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5FC8C7" w14:textId="77777777" w:rsidR="00D82C18" w:rsidRPr="00BC4FC4" w:rsidRDefault="00B3608C" w:rsidP="00BC4FC4">
      <w:pPr>
        <w:spacing w:before="120" w:after="120" w:line="260" w:lineRule="atLeast"/>
        <w:rPr>
          <w:rFonts w:ascii="Verdana" w:hAnsi="Verdana"/>
        </w:rPr>
      </w:pPr>
      <w:r w:rsidRPr="00BC4FC4">
        <w:rPr>
          <w:rFonts w:ascii="Verdana" w:hAnsi="Verdana"/>
          <w:sz w:val="28"/>
          <w:szCs w:val="28"/>
          <w:lang w:val="tr"/>
        </w:rPr>
        <w:t>Ders 2.3 (</w:t>
      </w:r>
      <w:r w:rsidRPr="00BC4FC4">
        <w:rPr>
          <w:rFonts w:ascii="Verdana" w:hAnsi="Verdana"/>
          <w:color w:val="000000" w:themeColor="text1"/>
          <w:sz w:val="28"/>
          <w:szCs w:val="28"/>
          <w:lang w:val="tr"/>
        </w:rPr>
        <w:t>Budapeşte Sözleşmesinin Maddi Hukuk Hükümleri - Kısım 2 - çevrim içi sürüm)</w:t>
      </w:r>
    </w:p>
    <w:p w14:paraId="70A652EE" w14:textId="77777777" w:rsidR="00C115FC" w:rsidRPr="00BC4FC4" w:rsidRDefault="00C115FC" w:rsidP="00BC4FC4">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BC4FC4" w14:paraId="366E2CC3" w14:textId="77777777" w:rsidTr="00F1574D">
        <w:trPr>
          <w:trHeight w:val="872"/>
        </w:trPr>
        <w:tc>
          <w:tcPr>
            <w:tcW w:w="6845" w:type="dxa"/>
            <w:gridSpan w:val="2"/>
            <w:shd w:val="clear" w:color="auto" w:fill="DEEAF6" w:themeFill="accent5" w:themeFillTint="33"/>
            <w:vAlign w:val="center"/>
          </w:tcPr>
          <w:p w14:paraId="37C87018" w14:textId="77777777" w:rsidR="00D82C18" w:rsidRPr="00BC4FC4" w:rsidRDefault="00C115FC" w:rsidP="00BC4FC4">
            <w:pPr>
              <w:spacing w:before="120" w:after="120" w:line="260" w:lineRule="atLeast"/>
              <w:rPr>
                <w:rFonts w:ascii="Verdana" w:hAnsi="Verdana"/>
                <w:sz w:val="22"/>
                <w:szCs w:val="22"/>
              </w:rPr>
            </w:pPr>
            <w:r w:rsidRPr="00BC4FC4">
              <w:rPr>
                <w:rFonts w:ascii="Verdana" w:hAnsi="Verdana"/>
                <w:sz w:val="22"/>
                <w:szCs w:val="22"/>
                <w:lang w:val="tr"/>
              </w:rPr>
              <w:t xml:space="preserve">Ders 2.3 </w:t>
            </w:r>
            <w:r w:rsidRPr="00BC4FC4">
              <w:rPr>
                <w:rFonts w:ascii="Verdana" w:hAnsi="Verdana"/>
                <w:color w:val="000000" w:themeColor="text1"/>
                <w:sz w:val="22"/>
                <w:szCs w:val="22"/>
                <w:lang w:val="tr"/>
              </w:rPr>
              <w:t>Budapeşte Sözleşmesinin Maddi Hukuk Hükümleri - Kısım 2</w:t>
            </w:r>
          </w:p>
        </w:tc>
        <w:tc>
          <w:tcPr>
            <w:tcW w:w="2165" w:type="dxa"/>
            <w:shd w:val="clear" w:color="auto" w:fill="DEEAF6" w:themeFill="accent5" w:themeFillTint="33"/>
            <w:vAlign w:val="center"/>
          </w:tcPr>
          <w:p w14:paraId="1F811778" w14:textId="77777777" w:rsidR="00D82C18" w:rsidRPr="00BC4FC4" w:rsidRDefault="00D82C18" w:rsidP="00BC4FC4">
            <w:pPr>
              <w:spacing w:before="120" w:after="120" w:line="260" w:lineRule="atLeast"/>
              <w:rPr>
                <w:rFonts w:ascii="Verdana" w:hAnsi="Verdana"/>
                <w:sz w:val="22"/>
                <w:szCs w:val="22"/>
              </w:rPr>
            </w:pPr>
            <w:r w:rsidRPr="00BC4FC4">
              <w:rPr>
                <w:rFonts w:ascii="Verdana" w:hAnsi="Verdana"/>
                <w:sz w:val="22"/>
                <w:szCs w:val="22"/>
                <w:lang w:val="tr"/>
              </w:rPr>
              <w:t xml:space="preserve">Süre: </w:t>
            </w:r>
            <w:r w:rsidRPr="00BC4FC4">
              <w:rPr>
                <w:rFonts w:ascii="Verdana" w:hAnsi="Verdana"/>
                <w:color w:val="000000" w:themeColor="text1"/>
                <w:sz w:val="22"/>
                <w:szCs w:val="22"/>
                <w:lang w:val="tr"/>
              </w:rPr>
              <w:t xml:space="preserve">90 dakika </w:t>
            </w:r>
          </w:p>
        </w:tc>
      </w:tr>
      <w:tr w:rsidR="00E7344B" w:rsidRPr="00BC4FC4" w14:paraId="4EF92236" w14:textId="77777777" w:rsidTr="00A439ED">
        <w:trPr>
          <w:trHeight w:val="1727"/>
        </w:trPr>
        <w:tc>
          <w:tcPr>
            <w:tcW w:w="9010" w:type="dxa"/>
            <w:gridSpan w:val="3"/>
            <w:vAlign w:val="center"/>
          </w:tcPr>
          <w:p w14:paraId="3BB80A55" w14:textId="77777777" w:rsidR="00921A3D" w:rsidRPr="00BC4FC4" w:rsidRDefault="00921A3D" w:rsidP="00BC4FC4">
            <w:pPr>
              <w:spacing w:before="120" w:after="120" w:line="260" w:lineRule="atLeast"/>
              <w:rPr>
                <w:rFonts w:ascii="Verdana" w:hAnsi="Verdana"/>
                <w:b/>
                <w:sz w:val="22"/>
                <w:szCs w:val="22"/>
              </w:rPr>
            </w:pPr>
            <w:r w:rsidRPr="00BC4FC4">
              <w:rPr>
                <w:rFonts w:ascii="Verdana" w:hAnsi="Verdana"/>
                <w:b/>
                <w:bCs/>
                <w:sz w:val="22"/>
                <w:szCs w:val="22"/>
                <w:lang w:val="tr"/>
              </w:rPr>
              <w:t>Gerek</w:t>
            </w:r>
            <w:r w:rsidR="008A4337" w:rsidRPr="00BC4FC4">
              <w:rPr>
                <w:rFonts w:ascii="Verdana" w:hAnsi="Verdana"/>
                <w:b/>
                <w:bCs/>
                <w:sz w:val="22"/>
                <w:szCs w:val="22"/>
                <w:lang w:val="tr"/>
              </w:rPr>
              <w:t>li</w:t>
            </w:r>
            <w:r w:rsidRPr="00BC4FC4">
              <w:rPr>
                <w:rFonts w:ascii="Verdana" w:hAnsi="Verdana"/>
                <w:b/>
                <w:bCs/>
                <w:sz w:val="22"/>
                <w:szCs w:val="22"/>
                <w:lang w:val="tr"/>
              </w:rPr>
              <w:t xml:space="preserve"> Kaynaklar: </w:t>
            </w:r>
          </w:p>
          <w:p w14:paraId="1E714263" w14:textId="77777777" w:rsidR="00921A3D" w:rsidRPr="00BC4FC4" w:rsidRDefault="00921A3D" w:rsidP="00BC4FC4">
            <w:pPr>
              <w:pStyle w:val="bul1"/>
              <w:numPr>
                <w:ilvl w:val="0"/>
                <w:numId w:val="6"/>
              </w:numPr>
              <w:spacing w:before="120" w:after="120" w:line="260" w:lineRule="atLeast"/>
              <w:ind w:left="714" w:hanging="357"/>
              <w:contextualSpacing/>
              <w:rPr>
                <w:szCs w:val="18"/>
              </w:rPr>
            </w:pPr>
            <w:r w:rsidRPr="00BC4FC4">
              <w:rPr>
                <w:szCs w:val="18"/>
                <w:lang w:val="tr"/>
              </w:rPr>
              <w:t>Hazırlanan materyallerle uyumlu yazılım sürümlerinin yüklü olduğu bir PC/dizüstü bilgisayar</w:t>
            </w:r>
            <w:r w:rsidR="008A4337" w:rsidRPr="00BC4FC4">
              <w:rPr>
                <w:szCs w:val="18"/>
                <w:lang w:val="tr"/>
              </w:rPr>
              <w:t xml:space="preserve"> (Laptop)</w:t>
            </w:r>
          </w:p>
          <w:p w14:paraId="7A0C8BD4" w14:textId="77777777" w:rsidR="00921A3D" w:rsidRPr="00BC4FC4" w:rsidRDefault="00921A3D" w:rsidP="00BC4FC4">
            <w:pPr>
              <w:pStyle w:val="bul1"/>
              <w:numPr>
                <w:ilvl w:val="0"/>
                <w:numId w:val="6"/>
              </w:numPr>
              <w:spacing w:before="120" w:after="120" w:line="260" w:lineRule="atLeast"/>
              <w:ind w:left="714" w:hanging="357"/>
              <w:contextualSpacing/>
              <w:rPr>
                <w:szCs w:val="18"/>
              </w:rPr>
            </w:pPr>
            <w:r w:rsidRPr="00BC4FC4">
              <w:rPr>
                <w:szCs w:val="18"/>
                <w:lang w:val="tr"/>
              </w:rPr>
              <w:t>Çevrim içi konferans görüşme yazılımına/platformuna erişim</w:t>
            </w:r>
          </w:p>
          <w:p w14:paraId="4E5D493D" w14:textId="77777777" w:rsidR="00921A3D" w:rsidRPr="00BC4FC4" w:rsidRDefault="00921A3D" w:rsidP="00BC4FC4">
            <w:pPr>
              <w:pStyle w:val="bul1"/>
              <w:numPr>
                <w:ilvl w:val="0"/>
                <w:numId w:val="6"/>
              </w:numPr>
              <w:spacing w:before="120" w:after="120" w:line="260" w:lineRule="atLeast"/>
              <w:ind w:left="714" w:hanging="357"/>
              <w:contextualSpacing/>
              <w:rPr>
                <w:szCs w:val="18"/>
              </w:rPr>
            </w:pPr>
            <w:r w:rsidRPr="00BC4FC4">
              <w:rPr>
                <w:szCs w:val="18"/>
                <w:lang w:val="tr"/>
              </w:rPr>
              <w:t xml:space="preserve">İnternet erişimi </w:t>
            </w:r>
          </w:p>
          <w:p w14:paraId="6BCF8180" w14:textId="77777777" w:rsidR="00921A3D" w:rsidRPr="00BC4FC4" w:rsidRDefault="00921A3D" w:rsidP="00BC4FC4">
            <w:pPr>
              <w:pStyle w:val="bul1"/>
              <w:numPr>
                <w:ilvl w:val="0"/>
                <w:numId w:val="6"/>
              </w:numPr>
              <w:spacing w:before="120" w:after="120" w:line="260" w:lineRule="atLeast"/>
              <w:ind w:left="714" w:hanging="357"/>
              <w:contextualSpacing/>
            </w:pPr>
            <w:r w:rsidRPr="00BC4FC4">
              <w:rPr>
                <w:rFonts w:cs="Helvetica"/>
                <w:szCs w:val="18"/>
                <w:lang w:val="tr"/>
              </w:rPr>
              <w:t>Öğrenci not kağıdı ve kalemler</w:t>
            </w:r>
          </w:p>
          <w:p w14:paraId="12A7EB43" w14:textId="77777777" w:rsidR="000F7896" w:rsidRPr="00BC4FC4" w:rsidRDefault="00921A3D" w:rsidP="00BC4FC4">
            <w:pPr>
              <w:pStyle w:val="bul1"/>
              <w:numPr>
                <w:ilvl w:val="0"/>
                <w:numId w:val="6"/>
              </w:numPr>
              <w:spacing w:before="120" w:after="120" w:line="260" w:lineRule="atLeast"/>
              <w:ind w:left="714" w:hanging="357"/>
              <w:contextualSpacing/>
            </w:pPr>
            <w:r w:rsidRPr="00BC4FC4">
              <w:rPr>
                <w:rFonts w:cs="Helvetica"/>
                <w:szCs w:val="18"/>
                <w:lang w:val="tr"/>
              </w:rPr>
              <w:t>Budapeşte Sözleşmesinin kopyası</w:t>
            </w:r>
          </w:p>
        </w:tc>
      </w:tr>
      <w:tr w:rsidR="00E7344B" w:rsidRPr="00BC4FC4" w14:paraId="7947A247" w14:textId="77777777" w:rsidTr="00BC4FC4">
        <w:trPr>
          <w:trHeight w:val="1814"/>
        </w:trPr>
        <w:tc>
          <w:tcPr>
            <w:tcW w:w="9010" w:type="dxa"/>
            <w:gridSpan w:val="3"/>
            <w:vAlign w:val="center"/>
          </w:tcPr>
          <w:p w14:paraId="46A24649" w14:textId="77777777" w:rsidR="00A03CF0" w:rsidRPr="00BC4FC4" w:rsidRDefault="00A03CF0" w:rsidP="00BC4FC4">
            <w:pPr>
              <w:spacing w:before="120" w:after="120" w:line="260" w:lineRule="atLeast"/>
              <w:jc w:val="both"/>
              <w:rPr>
                <w:rFonts w:ascii="Verdana" w:hAnsi="Verdana"/>
                <w:b/>
                <w:sz w:val="22"/>
                <w:szCs w:val="22"/>
              </w:rPr>
            </w:pPr>
            <w:r w:rsidRPr="00BC4FC4">
              <w:rPr>
                <w:rFonts w:ascii="Verdana" w:hAnsi="Verdana"/>
                <w:b/>
                <w:bCs/>
                <w:sz w:val="22"/>
                <w:szCs w:val="22"/>
                <w:lang w:val="tr"/>
              </w:rPr>
              <w:t xml:space="preserve">Oturumun Amacı:  </w:t>
            </w:r>
          </w:p>
          <w:p w14:paraId="5A6F4219" w14:textId="77777777" w:rsidR="00A03CF0" w:rsidRPr="00BC4FC4" w:rsidRDefault="000C47A2" w:rsidP="00BC4FC4">
            <w:pPr>
              <w:spacing w:before="120" w:after="120" w:line="260" w:lineRule="atLeast"/>
              <w:jc w:val="both"/>
              <w:rPr>
                <w:rFonts w:ascii="Verdana" w:hAnsi="Verdana"/>
                <w:i/>
                <w:color w:val="FF0000"/>
                <w:sz w:val="18"/>
                <w:szCs w:val="18"/>
              </w:rPr>
            </w:pPr>
            <w:r w:rsidRPr="00BC4FC4">
              <w:rPr>
                <w:rFonts w:ascii="Verdana" w:eastAsia="Times New Roman" w:hAnsi="Verdana" w:cs="Times New Roman"/>
                <w:sz w:val="18"/>
                <w:szCs w:val="18"/>
                <w:lang w:val="tr"/>
              </w:rPr>
              <w:t>Oturumun amacı, katılımcıların, Budapeşte Sözleşmesinde belirlenen bilgisayarla ilgili suçlar, içerikle ilgili suçlar ve telif hakkı ve ilgili hakların ihlaliyle ilgili suçların unsurlarını kapsamlı bir şekilde anlamalarını sağlamaktır. Oturumda, Budapeşte Sözleşmesi Madde 7 (bilgisayarla ilgili sahtecilik), Madde 8 (bilgisayarla ilgili dolandırıcılık), Madde 9 (çocuk pornografisi), Madde 10 (telif hakkı ve ilgili hakların ihlaline ilişkin suçlar), Madde 11 (teşebbüs ve yardım veya yataklık) ve Madde 12'nin (kurumsal sorumluluk) unsurları detaylı olarak ele alınmaktadır.</w:t>
            </w:r>
          </w:p>
        </w:tc>
      </w:tr>
      <w:tr w:rsidR="00A03CF0" w:rsidRPr="00BC4FC4" w14:paraId="40AD797B" w14:textId="77777777" w:rsidTr="001E7389">
        <w:trPr>
          <w:trHeight w:val="983"/>
        </w:trPr>
        <w:tc>
          <w:tcPr>
            <w:tcW w:w="9010" w:type="dxa"/>
            <w:gridSpan w:val="3"/>
            <w:vAlign w:val="center"/>
          </w:tcPr>
          <w:p w14:paraId="4C297EE5" w14:textId="77777777" w:rsidR="00A03CF0" w:rsidRPr="00BC4FC4" w:rsidRDefault="00271010" w:rsidP="00BC4FC4">
            <w:pPr>
              <w:spacing w:before="120" w:after="120" w:line="260" w:lineRule="atLeast"/>
              <w:rPr>
                <w:rFonts w:ascii="Verdana" w:hAnsi="Verdana"/>
                <w:b/>
                <w:sz w:val="22"/>
                <w:szCs w:val="22"/>
              </w:rPr>
            </w:pPr>
            <w:r w:rsidRPr="00BC4FC4">
              <w:rPr>
                <w:rFonts w:ascii="Verdana" w:hAnsi="Verdana"/>
                <w:b/>
                <w:bCs/>
                <w:sz w:val="22"/>
                <w:szCs w:val="22"/>
                <w:lang w:val="tr"/>
              </w:rPr>
              <w:t>Hedefler:</w:t>
            </w:r>
          </w:p>
          <w:p w14:paraId="6EF5EFD4" w14:textId="77777777" w:rsidR="000F7896" w:rsidRPr="00BC4FC4" w:rsidRDefault="000F7896" w:rsidP="00BC4FC4">
            <w:pPr>
              <w:tabs>
                <w:tab w:val="left" w:pos="426"/>
                <w:tab w:val="left" w:pos="851"/>
              </w:tabs>
              <w:spacing w:before="120" w:after="120" w:line="260" w:lineRule="atLeast"/>
              <w:rPr>
                <w:rFonts w:ascii="Verdana" w:eastAsia="Times New Roman" w:hAnsi="Verdana" w:cs="Times New Roman"/>
                <w:sz w:val="18"/>
                <w:szCs w:val="18"/>
              </w:rPr>
            </w:pPr>
            <w:r w:rsidRPr="00BC4FC4">
              <w:rPr>
                <w:rFonts w:ascii="Verdana" w:eastAsia="Times New Roman" w:hAnsi="Verdana" w:cs="Times New Roman"/>
                <w:sz w:val="18"/>
                <w:szCs w:val="18"/>
                <w:lang w:val="tr"/>
              </w:rPr>
              <w:t xml:space="preserve">Bu oturumun sonunda </w:t>
            </w:r>
            <w:r w:rsidR="00CC4E38" w:rsidRPr="00BC4FC4">
              <w:rPr>
                <w:rFonts w:ascii="Verdana" w:eastAsia="Times New Roman" w:hAnsi="Verdana" w:cs="Times New Roman"/>
                <w:sz w:val="18"/>
                <w:szCs w:val="18"/>
                <w:lang w:val="tr"/>
              </w:rPr>
              <w:t>katılımcılar</w:t>
            </w:r>
            <w:r w:rsidRPr="00BC4FC4">
              <w:rPr>
                <w:rFonts w:ascii="Verdana" w:eastAsia="Times New Roman" w:hAnsi="Verdana" w:cs="Times New Roman"/>
                <w:sz w:val="18"/>
                <w:szCs w:val="18"/>
                <w:lang w:val="tr"/>
              </w:rPr>
              <w:t>:</w:t>
            </w:r>
          </w:p>
          <w:p w14:paraId="6BFE93A5" w14:textId="77777777" w:rsidR="000C47A2" w:rsidRPr="00BC4FC4" w:rsidRDefault="000C47A2" w:rsidP="00BC4FC4">
            <w:pPr>
              <w:pStyle w:val="bul1"/>
              <w:numPr>
                <w:ilvl w:val="0"/>
                <w:numId w:val="11"/>
              </w:numPr>
              <w:spacing w:before="120" w:after="120" w:line="260" w:lineRule="atLeast"/>
            </w:pPr>
            <w:r w:rsidRPr="00BC4FC4">
              <w:rPr>
                <w:lang w:val="tr"/>
              </w:rPr>
              <w:t xml:space="preserve">Bu oturumun sonunda </w:t>
            </w:r>
            <w:r w:rsidR="00CC4E38" w:rsidRPr="00BC4FC4">
              <w:rPr>
                <w:lang w:val="tr"/>
              </w:rPr>
              <w:t>katılımcılar</w:t>
            </w:r>
            <w:r w:rsidRPr="00BC4FC4">
              <w:rPr>
                <w:lang w:val="tr"/>
              </w:rPr>
              <w:t>:</w:t>
            </w:r>
          </w:p>
          <w:p w14:paraId="2073160E" w14:textId="77777777" w:rsidR="000C47A2" w:rsidRPr="00BC4FC4" w:rsidRDefault="000C47A2" w:rsidP="00BC4FC4">
            <w:pPr>
              <w:pStyle w:val="bul1"/>
              <w:numPr>
                <w:ilvl w:val="0"/>
                <w:numId w:val="11"/>
              </w:numPr>
              <w:spacing w:before="120" w:after="120" w:line="260" w:lineRule="atLeast"/>
            </w:pPr>
            <w:r w:rsidRPr="00BC4FC4">
              <w:rPr>
                <w:lang w:val="tr"/>
              </w:rPr>
              <w:t>Aşağıda belirtilen suçları teşkil eden unsurları belirleyebileceklerdir:</w:t>
            </w:r>
          </w:p>
          <w:p w14:paraId="7A21ED53" w14:textId="77777777" w:rsidR="000C47A2" w:rsidRPr="00BC4FC4" w:rsidRDefault="000C47A2" w:rsidP="00BC4FC4">
            <w:pPr>
              <w:pStyle w:val="bul1"/>
              <w:numPr>
                <w:ilvl w:val="0"/>
                <w:numId w:val="13"/>
              </w:numPr>
              <w:spacing w:before="120" w:after="120" w:line="260" w:lineRule="atLeast"/>
              <w:ind w:left="1077" w:hanging="357"/>
              <w:contextualSpacing/>
            </w:pPr>
            <w:r w:rsidRPr="00BC4FC4">
              <w:rPr>
                <w:lang w:val="tr"/>
              </w:rPr>
              <w:t>Bilgisayarla ilgili sahtecilik</w:t>
            </w:r>
          </w:p>
          <w:p w14:paraId="029A8BFB" w14:textId="77777777" w:rsidR="000C47A2" w:rsidRPr="00BC4FC4" w:rsidRDefault="000C47A2" w:rsidP="00BC4FC4">
            <w:pPr>
              <w:pStyle w:val="bul1"/>
              <w:numPr>
                <w:ilvl w:val="0"/>
                <w:numId w:val="13"/>
              </w:numPr>
              <w:spacing w:before="120" w:after="120" w:line="260" w:lineRule="atLeast"/>
              <w:ind w:left="1077" w:hanging="357"/>
              <w:contextualSpacing/>
            </w:pPr>
            <w:r w:rsidRPr="00BC4FC4">
              <w:rPr>
                <w:lang w:val="tr"/>
              </w:rPr>
              <w:t>Bilgisayarla ilgili dolandırıcılık</w:t>
            </w:r>
          </w:p>
          <w:p w14:paraId="7DF8D55A" w14:textId="77777777" w:rsidR="000C47A2" w:rsidRPr="00BC4FC4" w:rsidRDefault="000C47A2" w:rsidP="00BC4FC4">
            <w:pPr>
              <w:pStyle w:val="bul1"/>
              <w:numPr>
                <w:ilvl w:val="0"/>
                <w:numId w:val="13"/>
              </w:numPr>
              <w:spacing w:before="120" w:after="120" w:line="260" w:lineRule="atLeast"/>
              <w:ind w:left="1077" w:hanging="357"/>
              <w:contextualSpacing/>
            </w:pPr>
            <w:r w:rsidRPr="00BC4FC4">
              <w:rPr>
                <w:lang w:val="tr"/>
              </w:rPr>
              <w:t xml:space="preserve">Çocuk pornografisi </w:t>
            </w:r>
          </w:p>
          <w:p w14:paraId="4E1DCE3D" w14:textId="77777777" w:rsidR="000C47A2" w:rsidRPr="00BC4FC4" w:rsidRDefault="000C47A2" w:rsidP="00BC4FC4">
            <w:pPr>
              <w:pStyle w:val="bul1"/>
              <w:numPr>
                <w:ilvl w:val="0"/>
                <w:numId w:val="13"/>
              </w:numPr>
              <w:spacing w:before="120" w:after="120" w:line="260" w:lineRule="atLeast"/>
            </w:pPr>
            <w:r w:rsidRPr="00BC4FC4">
              <w:rPr>
                <w:lang w:val="tr"/>
              </w:rPr>
              <w:t>Telif hakkı ve ilgili hakların ihlali</w:t>
            </w:r>
          </w:p>
          <w:p w14:paraId="687DE455" w14:textId="77777777" w:rsidR="001E7389" w:rsidRPr="00BC4FC4" w:rsidRDefault="000C47A2" w:rsidP="00BC4FC4">
            <w:pPr>
              <w:pStyle w:val="bul1"/>
              <w:numPr>
                <w:ilvl w:val="0"/>
                <w:numId w:val="11"/>
              </w:numPr>
              <w:spacing w:before="120" w:after="120" w:line="260" w:lineRule="atLeast"/>
            </w:pPr>
            <w:r w:rsidRPr="00BC4FC4">
              <w:rPr>
                <w:lang w:val="tr"/>
              </w:rPr>
              <w:t>Budapeşte Sözleşmesinde yardım, yataklık ve teşebbüs eylemlerinin nasıl suç sayıldığını ve kurumsal sorumluluğun kapsamını anlayabileceklerdir.</w:t>
            </w:r>
          </w:p>
        </w:tc>
      </w:tr>
      <w:tr w:rsidR="005703B7" w:rsidRPr="00BC4FC4" w14:paraId="409E329C" w14:textId="77777777" w:rsidTr="00832F68">
        <w:trPr>
          <w:trHeight w:val="3523"/>
        </w:trPr>
        <w:tc>
          <w:tcPr>
            <w:tcW w:w="9010" w:type="dxa"/>
            <w:gridSpan w:val="3"/>
            <w:tcBorders>
              <w:bottom w:val="single" w:sz="4" w:space="0" w:color="auto"/>
            </w:tcBorders>
            <w:vAlign w:val="center"/>
          </w:tcPr>
          <w:p w14:paraId="5A1A2D0A" w14:textId="77777777" w:rsidR="005703B7" w:rsidRPr="00BC4FC4" w:rsidRDefault="00CC4E38" w:rsidP="00BC4FC4">
            <w:pPr>
              <w:spacing w:before="120" w:after="120" w:line="260" w:lineRule="atLeast"/>
              <w:jc w:val="both"/>
              <w:rPr>
                <w:rFonts w:ascii="Verdana" w:hAnsi="Verdana"/>
                <w:b/>
                <w:color w:val="000000" w:themeColor="text1"/>
                <w:sz w:val="22"/>
                <w:szCs w:val="22"/>
              </w:rPr>
            </w:pPr>
            <w:r w:rsidRPr="00BC4FC4">
              <w:rPr>
                <w:rFonts w:ascii="Verdana" w:hAnsi="Verdana"/>
                <w:b/>
                <w:bCs/>
                <w:color w:val="000000" w:themeColor="text1"/>
                <w:sz w:val="22"/>
                <w:szCs w:val="22"/>
                <w:lang w:val="tr"/>
              </w:rPr>
              <w:t>Eğitici</w:t>
            </w:r>
            <w:r w:rsidR="00E95703" w:rsidRPr="00BC4FC4">
              <w:rPr>
                <w:rFonts w:ascii="Verdana" w:hAnsi="Verdana"/>
                <w:b/>
                <w:bCs/>
                <w:color w:val="000000" w:themeColor="text1"/>
                <w:sz w:val="22"/>
                <w:szCs w:val="22"/>
                <w:lang w:val="tr"/>
              </w:rPr>
              <w:t xml:space="preserve"> Rehberi</w:t>
            </w:r>
          </w:p>
          <w:p w14:paraId="393EABCE" w14:textId="77777777" w:rsidR="000C47A2" w:rsidRPr="00BC4FC4" w:rsidRDefault="000C47A2" w:rsidP="00BC4FC4">
            <w:pPr>
              <w:spacing w:before="120" w:after="120" w:line="260" w:lineRule="atLeast"/>
              <w:jc w:val="both"/>
              <w:rPr>
                <w:rFonts w:ascii="Verdana" w:hAnsi="Verdana"/>
                <w:sz w:val="18"/>
                <w:szCs w:val="18"/>
              </w:rPr>
            </w:pPr>
            <w:r w:rsidRPr="00BC4FC4">
              <w:rPr>
                <w:rFonts w:ascii="Verdana" w:hAnsi="Verdana"/>
                <w:sz w:val="18"/>
                <w:szCs w:val="18"/>
                <w:lang w:val="tr"/>
              </w:rPr>
              <w:t xml:space="preserve">Bu oturum, </w:t>
            </w:r>
            <w:r w:rsidR="00CC4E38" w:rsidRPr="00BC4FC4">
              <w:rPr>
                <w:rFonts w:ascii="Verdana" w:hAnsi="Verdana"/>
                <w:sz w:val="18"/>
                <w:szCs w:val="18"/>
                <w:lang w:val="tr"/>
              </w:rPr>
              <w:t xml:space="preserve">katılımcıların </w:t>
            </w:r>
            <w:r w:rsidRPr="00BC4FC4">
              <w:rPr>
                <w:rFonts w:ascii="Verdana" w:hAnsi="Verdana"/>
                <w:sz w:val="18"/>
                <w:szCs w:val="18"/>
                <w:lang w:val="tr"/>
              </w:rPr>
              <w:t xml:space="preserve">Budapeşte Sözleşmesi Bölüm 2 Kısım 2 Başlık 2'de (bilgisayarla ilgili suçlar), Başlık 3'te (içerikle ilgili suçlar), Başlık 4'te (telif hakkı ve ilgili hakların ihlallerine ilişkin suçlar) ve Başlık 5'te (tali sorumluluk ve yaptırımlar) yer alan maddi hukuk hükümleri kapsamlı bir şekilde anlamaları için hazırlanmıştır. Oturum, bir giriş ve bir sonuç bölümüne ek olarak beş bölümden oluşmaktadır. Birinci bölümde bilgisayarla ilgili sahtecilik suçu işlenmektedir. İkinci bölümde bilgisayarla ilgili dolandırıcılık suçu işlenmektedir. Üçüncü bölümde çocuk pornografisi suçu işlenmektedir. Dördüncü bölümde telif hakkı ve ilgili hakların ihlaline ilişkin suçlar işlenmektedir. Beşinci bölümde teşebbüs, yardım veya yataklık ve kurumsal sorumluluk işlenmektedir. </w:t>
            </w:r>
          </w:p>
          <w:p w14:paraId="3451C924" w14:textId="77777777" w:rsidR="0023745E" w:rsidRPr="00BC4FC4" w:rsidRDefault="00CC4E38" w:rsidP="00BC4FC4">
            <w:pPr>
              <w:spacing w:before="120" w:after="120" w:line="260" w:lineRule="atLeast"/>
              <w:jc w:val="both"/>
              <w:rPr>
                <w:rFonts w:ascii="Verdana" w:hAnsi="Verdana"/>
                <w:sz w:val="18"/>
                <w:szCs w:val="18"/>
              </w:rPr>
            </w:pPr>
            <w:r w:rsidRPr="00BC4FC4">
              <w:rPr>
                <w:rFonts w:ascii="Verdana" w:hAnsi="Verdana"/>
                <w:sz w:val="18"/>
                <w:szCs w:val="18"/>
                <w:lang w:val="tr"/>
              </w:rPr>
              <w:t>Eğiticin</w:t>
            </w:r>
            <w:r w:rsidR="000C47A2" w:rsidRPr="00BC4FC4">
              <w:rPr>
                <w:rFonts w:ascii="Verdana" w:hAnsi="Verdana"/>
                <w:sz w:val="18"/>
                <w:szCs w:val="18"/>
                <w:lang w:val="tr"/>
              </w:rPr>
              <w:t xml:space="preserve">in oturumdan önce </w:t>
            </w:r>
            <w:hyperlink r:id="rId5" w:history="1">
              <w:r w:rsidR="000C47A2" w:rsidRPr="00BC4FC4">
                <w:rPr>
                  <w:rStyle w:val="Hyperlink"/>
                  <w:rFonts w:ascii="Verdana" w:hAnsi="Verdana"/>
                  <w:sz w:val="18"/>
                  <w:szCs w:val="18"/>
                  <w:lang w:val="tr"/>
                </w:rPr>
                <w:t>Siber Suçlar Sözleşmesine İlişkin Açıklayıcı Raporda</w:t>
              </w:r>
            </w:hyperlink>
            <w:r w:rsidR="000C47A2" w:rsidRPr="00BC4FC4">
              <w:rPr>
                <w:rFonts w:ascii="Verdana" w:hAnsi="Verdana"/>
                <w:sz w:val="18"/>
                <w:szCs w:val="18"/>
                <w:lang w:val="tr"/>
              </w:rPr>
              <w:t xml:space="preserve"> Paragraf 79-127 arasındaki bölümü gözden geçirmesi tavsiye edilmektedir.</w:t>
            </w:r>
          </w:p>
        </w:tc>
      </w:tr>
      <w:tr w:rsidR="005A4E47" w:rsidRPr="00BC4FC4" w14:paraId="2C07D2A5"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10085DEC" w14:textId="77777777" w:rsidR="005A4E47" w:rsidRPr="00BC4FC4" w:rsidRDefault="005A4E47" w:rsidP="00BC4FC4">
            <w:pPr>
              <w:spacing w:before="120" w:after="120" w:line="260" w:lineRule="atLeast"/>
              <w:rPr>
                <w:rFonts w:ascii="Verdana" w:hAnsi="Verdana"/>
                <w:b/>
                <w:sz w:val="28"/>
                <w:szCs w:val="28"/>
              </w:rPr>
            </w:pPr>
            <w:r w:rsidRPr="00BC4FC4">
              <w:rPr>
                <w:rFonts w:ascii="Verdana" w:hAnsi="Verdana"/>
                <w:b/>
                <w:bCs/>
                <w:sz w:val="28"/>
                <w:szCs w:val="28"/>
                <w:lang w:val="tr"/>
              </w:rPr>
              <w:t>Ders İçeriği</w:t>
            </w:r>
          </w:p>
        </w:tc>
      </w:tr>
      <w:tr w:rsidR="00F1574D" w:rsidRPr="00BC4FC4" w14:paraId="6A350A2C" w14:textId="77777777" w:rsidTr="00F1574D">
        <w:trPr>
          <w:trHeight w:val="629"/>
        </w:trPr>
        <w:tc>
          <w:tcPr>
            <w:tcW w:w="1525" w:type="dxa"/>
            <w:shd w:val="clear" w:color="auto" w:fill="D9E2F3" w:themeFill="accent1" w:themeFillTint="33"/>
            <w:vAlign w:val="center"/>
          </w:tcPr>
          <w:p w14:paraId="4328C85A" w14:textId="77777777" w:rsidR="00D82C18" w:rsidRPr="00BC4FC4" w:rsidRDefault="00E13BE7" w:rsidP="00BC4FC4">
            <w:pPr>
              <w:spacing w:before="120" w:after="120" w:line="260" w:lineRule="atLeast"/>
              <w:jc w:val="center"/>
              <w:rPr>
                <w:rFonts w:ascii="Verdana" w:hAnsi="Verdana"/>
                <w:b/>
                <w:sz w:val="20"/>
                <w:szCs w:val="20"/>
              </w:rPr>
            </w:pPr>
            <w:r w:rsidRPr="00BC4FC4">
              <w:rPr>
                <w:rFonts w:ascii="Verdana" w:hAnsi="Verdana"/>
                <w:b/>
                <w:bCs/>
                <w:sz w:val="20"/>
                <w:szCs w:val="20"/>
                <w:lang w:val="tr"/>
              </w:rPr>
              <w:lastRenderedPageBreak/>
              <w:t>Slayt Numaraları</w:t>
            </w:r>
          </w:p>
        </w:tc>
        <w:tc>
          <w:tcPr>
            <w:tcW w:w="7485" w:type="dxa"/>
            <w:gridSpan w:val="2"/>
            <w:shd w:val="clear" w:color="auto" w:fill="D9E2F3" w:themeFill="accent1" w:themeFillTint="33"/>
            <w:vAlign w:val="center"/>
          </w:tcPr>
          <w:p w14:paraId="0E9AF852" w14:textId="77777777" w:rsidR="00D82C18" w:rsidRPr="00BC4FC4" w:rsidRDefault="00E13BE7" w:rsidP="00BC4FC4">
            <w:pPr>
              <w:spacing w:before="120" w:after="120" w:line="260" w:lineRule="atLeast"/>
              <w:rPr>
                <w:rFonts w:ascii="Verdana" w:hAnsi="Verdana"/>
                <w:b/>
                <w:sz w:val="20"/>
                <w:szCs w:val="20"/>
              </w:rPr>
            </w:pPr>
            <w:r w:rsidRPr="00BC4FC4">
              <w:rPr>
                <w:rFonts w:ascii="Verdana" w:hAnsi="Verdana"/>
                <w:b/>
                <w:bCs/>
                <w:sz w:val="20"/>
                <w:szCs w:val="20"/>
                <w:lang w:val="tr"/>
              </w:rPr>
              <w:t>İçerik</w:t>
            </w:r>
          </w:p>
        </w:tc>
      </w:tr>
      <w:tr w:rsidR="00F1574D" w:rsidRPr="00BC4FC4" w14:paraId="06BC849B" w14:textId="77777777" w:rsidTr="000F04E4">
        <w:trPr>
          <w:trHeight w:val="591"/>
        </w:trPr>
        <w:tc>
          <w:tcPr>
            <w:tcW w:w="1525" w:type="dxa"/>
            <w:vAlign w:val="center"/>
          </w:tcPr>
          <w:p w14:paraId="0FD43685" w14:textId="77777777" w:rsidR="00D82C18" w:rsidRPr="00BC4FC4" w:rsidRDefault="003630ED" w:rsidP="00BC4FC4">
            <w:pPr>
              <w:spacing w:before="120" w:after="120" w:line="260" w:lineRule="atLeast"/>
              <w:jc w:val="center"/>
              <w:rPr>
                <w:rFonts w:ascii="Verdana" w:hAnsi="Verdana"/>
                <w:sz w:val="18"/>
                <w:szCs w:val="18"/>
              </w:rPr>
            </w:pPr>
            <w:r w:rsidRPr="00BC4FC4">
              <w:rPr>
                <w:rFonts w:ascii="Verdana" w:hAnsi="Verdana"/>
                <w:sz w:val="18"/>
                <w:szCs w:val="18"/>
                <w:lang w:val="tr"/>
              </w:rPr>
              <w:t>1-4</w:t>
            </w:r>
          </w:p>
          <w:p w14:paraId="5B3C3B72" w14:textId="77777777" w:rsidR="00F1574D" w:rsidRPr="00BC4FC4" w:rsidRDefault="00F1574D" w:rsidP="00BC4FC4">
            <w:pPr>
              <w:spacing w:before="120" w:after="120" w:line="260" w:lineRule="atLeast"/>
              <w:jc w:val="center"/>
              <w:rPr>
                <w:rFonts w:ascii="Verdana" w:hAnsi="Verdana"/>
                <w:sz w:val="18"/>
                <w:szCs w:val="18"/>
              </w:rPr>
            </w:pPr>
            <w:r w:rsidRPr="00BC4FC4">
              <w:rPr>
                <w:rFonts w:ascii="Verdana" w:hAnsi="Verdana"/>
                <w:sz w:val="18"/>
                <w:szCs w:val="18"/>
                <w:lang w:val="tr"/>
              </w:rPr>
              <w:t>Zorunlu Slaytlar</w:t>
            </w:r>
          </w:p>
        </w:tc>
        <w:tc>
          <w:tcPr>
            <w:tcW w:w="7485" w:type="dxa"/>
            <w:gridSpan w:val="2"/>
            <w:vAlign w:val="center"/>
          </w:tcPr>
          <w:p w14:paraId="30C167EC" w14:textId="77777777" w:rsidR="00556D69" w:rsidRPr="00BC4FC4" w:rsidRDefault="00556D69" w:rsidP="00BC4FC4">
            <w:pPr>
              <w:spacing w:before="120" w:after="120" w:line="260" w:lineRule="atLeast"/>
              <w:jc w:val="both"/>
              <w:rPr>
                <w:rFonts w:ascii="Verdana" w:hAnsi="Verdana"/>
                <w:color w:val="000000" w:themeColor="text1"/>
                <w:sz w:val="18"/>
                <w:szCs w:val="18"/>
              </w:rPr>
            </w:pPr>
            <w:r w:rsidRPr="00BC4FC4">
              <w:rPr>
                <w:rFonts w:ascii="Verdana" w:hAnsi="Verdana"/>
                <w:color w:val="000000" w:themeColor="text1"/>
                <w:sz w:val="18"/>
                <w:szCs w:val="18"/>
                <w:lang w:val="tr"/>
              </w:rPr>
              <w:t xml:space="preserve">Açılış slaytları oturumun giriş kısmıdır ve gündemi ve oturum amaç ve hedeflerini içerir. </w:t>
            </w:r>
          </w:p>
        </w:tc>
      </w:tr>
      <w:tr w:rsidR="00F1574D" w:rsidRPr="00BC4FC4" w14:paraId="62491AD1" w14:textId="77777777" w:rsidTr="00F1574D">
        <w:trPr>
          <w:trHeight w:val="1880"/>
        </w:trPr>
        <w:tc>
          <w:tcPr>
            <w:tcW w:w="1525" w:type="dxa"/>
            <w:vAlign w:val="center"/>
          </w:tcPr>
          <w:p w14:paraId="0937E6CF" w14:textId="77777777" w:rsidR="00D82C18" w:rsidRPr="00BC4FC4" w:rsidRDefault="00C70C5C" w:rsidP="00BC4FC4">
            <w:pPr>
              <w:spacing w:before="120" w:after="120" w:line="260" w:lineRule="atLeast"/>
              <w:jc w:val="center"/>
              <w:rPr>
                <w:rFonts w:ascii="Verdana" w:hAnsi="Verdana"/>
                <w:sz w:val="18"/>
                <w:szCs w:val="18"/>
              </w:rPr>
            </w:pPr>
            <w:r w:rsidRPr="00BC4FC4">
              <w:rPr>
                <w:rFonts w:ascii="Verdana" w:hAnsi="Verdana"/>
                <w:sz w:val="18"/>
                <w:szCs w:val="18"/>
                <w:lang w:val="tr"/>
              </w:rPr>
              <w:t>5-14</w:t>
            </w:r>
          </w:p>
          <w:p w14:paraId="409E4507" w14:textId="77777777" w:rsidR="00F1574D" w:rsidRPr="00BC4FC4" w:rsidRDefault="00BA7368" w:rsidP="00BC4FC4">
            <w:pPr>
              <w:spacing w:before="120" w:after="120" w:line="260" w:lineRule="atLeast"/>
              <w:jc w:val="center"/>
              <w:rPr>
                <w:rFonts w:ascii="Verdana" w:hAnsi="Verdana"/>
                <w:sz w:val="18"/>
                <w:szCs w:val="18"/>
              </w:rPr>
            </w:pPr>
            <w:r w:rsidRPr="00BC4FC4">
              <w:rPr>
                <w:rFonts w:ascii="Verdana" w:hAnsi="Verdana"/>
                <w:sz w:val="18"/>
                <w:szCs w:val="18"/>
                <w:lang w:val="tr"/>
              </w:rPr>
              <w:t>Zorunlu Slaytlar</w:t>
            </w:r>
          </w:p>
        </w:tc>
        <w:tc>
          <w:tcPr>
            <w:tcW w:w="7485" w:type="dxa"/>
            <w:gridSpan w:val="2"/>
            <w:vAlign w:val="center"/>
          </w:tcPr>
          <w:p w14:paraId="12CAEF5E" w14:textId="77777777" w:rsidR="0049797C" w:rsidRPr="00BC4FC4" w:rsidRDefault="0049797C" w:rsidP="00BC4FC4">
            <w:pPr>
              <w:pStyle w:val="Subtitle"/>
              <w:spacing w:before="120" w:line="260" w:lineRule="atLeast"/>
              <w:rPr>
                <w:rFonts w:ascii="Verdana" w:eastAsiaTheme="minorHAnsi" w:hAnsi="Verdana" w:cstheme="minorBidi"/>
                <w:iCs w:val="0"/>
                <w:color w:val="auto"/>
                <w:szCs w:val="18"/>
              </w:rPr>
            </w:pPr>
            <w:r w:rsidRPr="00BC4FC4">
              <w:rPr>
                <w:rFonts w:ascii="Verdana" w:eastAsia="Times New Roman" w:hAnsi="Verdana"/>
                <w:iCs w:val="0"/>
                <w:szCs w:val="18"/>
                <w:lang w:val="tr"/>
              </w:rPr>
              <w:t xml:space="preserve">Bu slaytlarda, Budapeşte Sözleşmesi Madde 7'de belirtildiği şekilde bilgisayarla ilgili sahtecilik suçu açıklanmaktadır. </w:t>
            </w:r>
          </w:p>
          <w:p w14:paraId="0E4DAA1D" w14:textId="77777777" w:rsidR="0049797C" w:rsidRPr="00BC4FC4" w:rsidRDefault="0049797C" w:rsidP="00BC4FC4">
            <w:pPr>
              <w:pStyle w:val="Subtitle"/>
              <w:spacing w:before="120" w:line="260" w:lineRule="atLeast"/>
              <w:rPr>
                <w:rFonts w:ascii="Verdana" w:eastAsiaTheme="minorHAnsi" w:hAnsi="Verdana" w:cstheme="minorBidi"/>
                <w:iCs w:val="0"/>
                <w:color w:val="auto"/>
                <w:szCs w:val="18"/>
              </w:rPr>
            </w:pPr>
            <w:r w:rsidRPr="00BC4FC4">
              <w:rPr>
                <w:rFonts w:ascii="Verdana" w:hAnsi="Verdana"/>
                <w:iCs w:val="0"/>
                <w:color w:val="auto"/>
                <w:szCs w:val="18"/>
                <w:lang w:val="tr"/>
              </w:rPr>
              <w:t xml:space="preserve">İlk slayt grubunda Budapeşte Sözleşmesi Madde 7'nin ana unsurları özetlenmektedir. Aralarında, yakın bir geçmişte Hindistan'da gerçekleşen bir bilgisayarla ilgili sahtecilik vakası hakkında bir slayt ve sonrasında </w:t>
            </w:r>
            <w:r w:rsidR="00CC4E38" w:rsidRPr="00BC4FC4">
              <w:rPr>
                <w:rFonts w:ascii="Verdana" w:hAnsi="Verdana"/>
                <w:iCs w:val="0"/>
                <w:color w:val="auto"/>
                <w:szCs w:val="18"/>
                <w:lang w:val="tr"/>
              </w:rPr>
              <w:t>eğitici</w:t>
            </w:r>
            <w:r w:rsidRPr="00BC4FC4">
              <w:rPr>
                <w:rFonts w:ascii="Verdana" w:hAnsi="Verdana"/>
                <w:iCs w:val="0"/>
                <w:color w:val="auto"/>
                <w:szCs w:val="18"/>
                <w:lang w:val="tr"/>
              </w:rPr>
              <w:t xml:space="preserve"> tarafından </w:t>
            </w:r>
            <w:r w:rsidR="00CC4E38" w:rsidRPr="00BC4FC4">
              <w:rPr>
                <w:rFonts w:ascii="Verdana" w:hAnsi="Verdana"/>
                <w:iCs w:val="0"/>
                <w:color w:val="auto"/>
                <w:szCs w:val="18"/>
                <w:lang w:val="tr"/>
              </w:rPr>
              <w:t xml:space="preserve">katılımcıların </w:t>
            </w:r>
            <w:r w:rsidRPr="00BC4FC4">
              <w:rPr>
                <w:rFonts w:ascii="Verdana" w:hAnsi="Verdana"/>
                <w:iCs w:val="0"/>
                <w:color w:val="auto"/>
                <w:szCs w:val="18"/>
                <w:lang w:val="tr"/>
              </w:rPr>
              <w:t>ilgisini cezbetmek için kullanılabilecek kimlik avı e-postaları ve sahte e-postaların görüntülerinin bulunduğu slaytlar yer almaktadır.</w:t>
            </w:r>
          </w:p>
          <w:p w14:paraId="5483E084" w14:textId="77777777" w:rsidR="00CB3026" w:rsidRPr="00BC4FC4" w:rsidRDefault="0049797C" w:rsidP="00BC4FC4">
            <w:pPr>
              <w:pStyle w:val="Subtitle"/>
              <w:spacing w:before="120" w:line="260" w:lineRule="atLeast"/>
              <w:rPr>
                <w:rFonts w:ascii="Verdana" w:eastAsia="Times New Roman" w:hAnsi="Verdana"/>
              </w:rPr>
            </w:pPr>
            <w:r w:rsidRPr="00BC4FC4">
              <w:rPr>
                <w:rFonts w:ascii="Verdana" w:eastAsia="Times New Roman" w:hAnsi="Verdana"/>
                <w:iCs w:val="0"/>
                <w:szCs w:val="18"/>
                <w:lang w:val="tr"/>
              </w:rPr>
              <w:t xml:space="preserve">Kalan slaytlar iki sütuna ayrılmıştır. Soldaki sütunda Budapeşte Sözleşmesi Madde 7 metni belirli bir unsuru vurgulanmış olarak verilirken, sağdaki sütunda, vurgulanan unsurun açıklaması verilmektedir. </w:t>
            </w:r>
            <w:r w:rsidR="00CC4E38" w:rsidRPr="00BC4FC4">
              <w:rPr>
                <w:rFonts w:ascii="Verdana" w:eastAsia="Times New Roman" w:hAnsi="Verdana"/>
                <w:iCs w:val="0"/>
                <w:szCs w:val="18"/>
                <w:lang w:val="tr"/>
              </w:rPr>
              <w:t xml:space="preserve">Katılımcıların </w:t>
            </w:r>
            <w:r w:rsidRPr="00BC4FC4">
              <w:rPr>
                <w:rFonts w:ascii="Verdana" w:eastAsia="Times New Roman" w:hAnsi="Verdana"/>
                <w:iCs w:val="0"/>
                <w:szCs w:val="18"/>
                <w:lang w:val="tr"/>
              </w:rPr>
              <w:t xml:space="preserve">Budapeşte Sözleşmesi Madde 7'yi kapsamlı bir şekilde anlamaları için </w:t>
            </w:r>
            <w:r w:rsidR="00CC4E38" w:rsidRPr="00BC4FC4">
              <w:rPr>
                <w:rFonts w:ascii="Verdana" w:eastAsia="Times New Roman" w:hAnsi="Verdana"/>
                <w:iCs w:val="0"/>
                <w:szCs w:val="18"/>
                <w:lang w:val="tr"/>
              </w:rPr>
              <w:t>eğitici</w:t>
            </w:r>
            <w:r w:rsidRPr="00BC4FC4">
              <w:rPr>
                <w:rFonts w:ascii="Verdana" w:eastAsia="Times New Roman" w:hAnsi="Verdana"/>
                <w:iCs w:val="0"/>
                <w:szCs w:val="18"/>
                <w:lang w:val="tr"/>
              </w:rPr>
              <w:t>den her bir unsurun üzerinden geçmesi beklenmektedir.</w:t>
            </w:r>
          </w:p>
        </w:tc>
      </w:tr>
      <w:tr w:rsidR="00F1574D" w:rsidRPr="00BC4FC4" w14:paraId="486E9460" w14:textId="77777777" w:rsidTr="00040BBB">
        <w:trPr>
          <w:trHeight w:val="1266"/>
        </w:trPr>
        <w:tc>
          <w:tcPr>
            <w:tcW w:w="1525" w:type="dxa"/>
            <w:vAlign w:val="center"/>
          </w:tcPr>
          <w:p w14:paraId="2996AF3A" w14:textId="77777777" w:rsidR="00556D69" w:rsidRPr="00BC4FC4" w:rsidRDefault="00402C27" w:rsidP="00BC4FC4">
            <w:pPr>
              <w:spacing w:before="120" w:after="120" w:line="260" w:lineRule="atLeast"/>
              <w:jc w:val="center"/>
              <w:rPr>
                <w:rFonts w:ascii="Verdana" w:hAnsi="Verdana"/>
                <w:sz w:val="18"/>
                <w:szCs w:val="18"/>
              </w:rPr>
            </w:pPr>
            <w:r w:rsidRPr="00BC4FC4">
              <w:rPr>
                <w:rFonts w:ascii="Verdana" w:hAnsi="Verdana"/>
                <w:sz w:val="18"/>
                <w:szCs w:val="18"/>
                <w:lang w:val="tr"/>
              </w:rPr>
              <w:t>15-22</w:t>
            </w:r>
          </w:p>
          <w:p w14:paraId="14CCFBBF" w14:textId="77777777" w:rsidR="00F1574D" w:rsidRPr="00BC4FC4" w:rsidRDefault="006B3820" w:rsidP="00BC4FC4">
            <w:pPr>
              <w:spacing w:before="120" w:after="120" w:line="260" w:lineRule="atLeast"/>
              <w:jc w:val="center"/>
              <w:rPr>
                <w:rFonts w:ascii="Verdana" w:hAnsi="Verdana"/>
                <w:sz w:val="18"/>
                <w:szCs w:val="18"/>
              </w:rPr>
            </w:pPr>
            <w:r w:rsidRPr="00BC4FC4">
              <w:rPr>
                <w:rFonts w:ascii="Verdana" w:hAnsi="Verdana"/>
                <w:sz w:val="18"/>
                <w:szCs w:val="18"/>
                <w:lang w:val="tr"/>
              </w:rPr>
              <w:t>Zorunlu Slaytlar</w:t>
            </w:r>
          </w:p>
        </w:tc>
        <w:tc>
          <w:tcPr>
            <w:tcW w:w="7485" w:type="dxa"/>
            <w:gridSpan w:val="2"/>
            <w:vAlign w:val="center"/>
          </w:tcPr>
          <w:p w14:paraId="16E2804B" w14:textId="77777777" w:rsidR="00040BBB" w:rsidRPr="00BC4FC4" w:rsidRDefault="00040BBB" w:rsidP="00BC4FC4">
            <w:pPr>
              <w:pStyle w:val="Subtitle"/>
              <w:spacing w:before="120" w:line="260" w:lineRule="atLeast"/>
              <w:rPr>
                <w:rFonts w:ascii="Verdana" w:eastAsia="Times New Roman" w:hAnsi="Verdana"/>
              </w:rPr>
            </w:pPr>
            <w:r w:rsidRPr="00BC4FC4">
              <w:rPr>
                <w:rFonts w:ascii="Verdana" w:eastAsia="Times New Roman" w:hAnsi="Verdana"/>
                <w:iCs w:val="0"/>
                <w:lang w:val="tr"/>
              </w:rPr>
              <w:t xml:space="preserve">Bu slaytlarda, Budapeşte Sözleşmesi Madde 8'de belirtildiği şekilde bilgisayarla ilgili dolandırıcılık suçu açıklanmaktadır. </w:t>
            </w:r>
          </w:p>
          <w:p w14:paraId="0A606FAD" w14:textId="77777777" w:rsidR="00040BBB" w:rsidRPr="00BC4FC4" w:rsidRDefault="00040BBB" w:rsidP="00BC4FC4">
            <w:pPr>
              <w:pStyle w:val="Subtitle"/>
              <w:spacing w:before="120" w:line="260" w:lineRule="atLeast"/>
              <w:rPr>
                <w:rFonts w:ascii="Verdana" w:eastAsia="Times New Roman" w:hAnsi="Verdana"/>
              </w:rPr>
            </w:pPr>
            <w:r w:rsidRPr="00BC4FC4">
              <w:rPr>
                <w:rFonts w:ascii="Verdana" w:eastAsia="Times New Roman" w:hAnsi="Verdana"/>
                <w:iCs w:val="0"/>
                <w:lang w:val="tr"/>
              </w:rPr>
              <w:t xml:space="preserve">İlk slayt grubunda Budapeşte Sözleşmesi Madde 8'in ana unsurları özetlenmektedir. Aralarında, </w:t>
            </w:r>
            <w:r w:rsidR="00CC4E38" w:rsidRPr="00BC4FC4">
              <w:rPr>
                <w:rFonts w:ascii="Verdana" w:eastAsia="Times New Roman" w:hAnsi="Verdana"/>
                <w:iCs w:val="0"/>
                <w:lang w:val="tr"/>
              </w:rPr>
              <w:t>eğiticin</w:t>
            </w:r>
            <w:r w:rsidRPr="00BC4FC4">
              <w:rPr>
                <w:rFonts w:ascii="Verdana" w:eastAsia="Times New Roman" w:hAnsi="Verdana"/>
                <w:iCs w:val="0"/>
                <w:lang w:val="tr"/>
              </w:rPr>
              <w:t xml:space="preserve">in bilgisayarla ilgili dolandırıcılık suçuna örnek olarak gösterebileceği bir vakanın verildiği bir slayt yer almaktadır. </w:t>
            </w:r>
          </w:p>
          <w:p w14:paraId="30A8FCB1" w14:textId="77777777" w:rsidR="00921A3D" w:rsidRPr="00BC4FC4" w:rsidRDefault="00040BBB" w:rsidP="00BC4FC4">
            <w:pPr>
              <w:spacing w:before="120" w:after="120" w:line="260" w:lineRule="atLeast"/>
              <w:jc w:val="both"/>
              <w:rPr>
                <w:rFonts w:ascii="Verdana" w:eastAsia="Times New Roman" w:hAnsi="Verdana" w:cstheme="majorBidi"/>
                <w:color w:val="000000" w:themeColor="text1"/>
                <w:sz w:val="18"/>
                <w:lang w:val="tr"/>
              </w:rPr>
            </w:pPr>
            <w:r w:rsidRPr="00BC4FC4">
              <w:rPr>
                <w:rFonts w:ascii="Verdana" w:eastAsia="Times New Roman" w:hAnsi="Verdana" w:cstheme="majorBidi"/>
                <w:color w:val="000000" w:themeColor="text1"/>
                <w:sz w:val="18"/>
                <w:lang w:val="tr"/>
              </w:rPr>
              <w:t xml:space="preserve">Kalan slaytlar iki sütuna ayrılmıştır. Soldaki sütunda Budapeşte Sözleşmesi Madde 8 metni belirli bir unsuru vurgulanmış olarak verilirken, sağdaki sütunda, vurgulanan unsurun açıklaması verilmektedir. </w:t>
            </w:r>
            <w:r w:rsidR="00CC4E38" w:rsidRPr="00BC4FC4">
              <w:rPr>
                <w:rFonts w:ascii="Verdana" w:eastAsia="Times New Roman" w:hAnsi="Verdana" w:cstheme="majorBidi"/>
                <w:color w:val="000000" w:themeColor="text1"/>
                <w:sz w:val="18"/>
                <w:lang w:val="tr"/>
              </w:rPr>
              <w:t xml:space="preserve">Katılımcıların </w:t>
            </w:r>
            <w:r w:rsidRPr="00BC4FC4">
              <w:rPr>
                <w:rFonts w:ascii="Verdana" w:eastAsia="Times New Roman" w:hAnsi="Verdana" w:cstheme="majorBidi"/>
                <w:color w:val="000000" w:themeColor="text1"/>
                <w:sz w:val="18"/>
                <w:lang w:val="tr"/>
              </w:rPr>
              <w:t xml:space="preserve">Budapeşte Sözleşmesi Madde 8'i kapsamlı bir şekilde anlamaları için </w:t>
            </w:r>
            <w:r w:rsidR="00CC4E38" w:rsidRPr="00BC4FC4">
              <w:rPr>
                <w:rFonts w:ascii="Verdana" w:eastAsia="Times New Roman" w:hAnsi="Verdana" w:cstheme="majorBidi"/>
                <w:color w:val="000000" w:themeColor="text1"/>
                <w:sz w:val="18"/>
                <w:lang w:val="tr"/>
              </w:rPr>
              <w:t>eğitici</w:t>
            </w:r>
            <w:r w:rsidRPr="00BC4FC4">
              <w:rPr>
                <w:rFonts w:ascii="Verdana" w:eastAsia="Times New Roman" w:hAnsi="Verdana" w:cstheme="majorBidi"/>
                <w:color w:val="000000" w:themeColor="text1"/>
                <w:sz w:val="18"/>
                <w:lang w:val="tr"/>
              </w:rPr>
              <w:t>den her bir unsurun üzerinden geçmesi beklenmektedir.</w:t>
            </w:r>
          </w:p>
          <w:p w14:paraId="5DF2D8A8" w14:textId="77777777" w:rsidR="00921A3D" w:rsidRPr="00BC4FC4" w:rsidRDefault="00921A3D" w:rsidP="00BC4FC4">
            <w:pPr>
              <w:spacing w:before="120" w:after="120" w:line="260" w:lineRule="atLeast"/>
              <w:jc w:val="both"/>
              <w:rPr>
                <w:rFonts w:ascii="Verdana" w:eastAsia="Times New Roman" w:hAnsi="Verdana" w:cstheme="majorBidi"/>
                <w:iCs/>
                <w:color w:val="000000" w:themeColor="text1"/>
                <w:sz w:val="18"/>
              </w:rPr>
            </w:pPr>
            <w:r w:rsidRPr="00BC4FC4">
              <w:rPr>
                <w:rFonts w:ascii="Verdana" w:hAnsi="Verdana"/>
                <w:sz w:val="18"/>
                <w:szCs w:val="18"/>
                <w:lang w:val="tr"/>
              </w:rPr>
              <w:t>Bu kısım bir tane soruyla sona erer.</w:t>
            </w:r>
          </w:p>
        </w:tc>
      </w:tr>
      <w:tr w:rsidR="00F1574D" w:rsidRPr="00BC4FC4" w14:paraId="348693D5" w14:textId="77777777" w:rsidTr="00F1574D">
        <w:trPr>
          <w:trHeight w:val="791"/>
        </w:trPr>
        <w:tc>
          <w:tcPr>
            <w:tcW w:w="1525" w:type="dxa"/>
            <w:vAlign w:val="center"/>
          </w:tcPr>
          <w:p w14:paraId="553EFD91" w14:textId="77777777" w:rsidR="00556D69" w:rsidRPr="00BC4FC4" w:rsidRDefault="00921A3D" w:rsidP="00BC4FC4">
            <w:pPr>
              <w:spacing w:before="120" w:after="120" w:line="260" w:lineRule="atLeast"/>
              <w:jc w:val="center"/>
              <w:rPr>
                <w:rFonts w:ascii="Verdana" w:hAnsi="Verdana"/>
                <w:sz w:val="18"/>
                <w:szCs w:val="18"/>
              </w:rPr>
            </w:pPr>
            <w:r w:rsidRPr="00BC4FC4">
              <w:rPr>
                <w:rFonts w:ascii="Verdana" w:hAnsi="Verdana"/>
                <w:sz w:val="18"/>
                <w:szCs w:val="18"/>
                <w:lang w:val="tr"/>
              </w:rPr>
              <w:t>23-35</w:t>
            </w:r>
          </w:p>
          <w:p w14:paraId="6C928395" w14:textId="77777777" w:rsidR="00C70C5C" w:rsidRPr="00BC4FC4" w:rsidRDefault="00C70C5C" w:rsidP="00BC4FC4">
            <w:pPr>
              <w:spacing w:before="120" w:after="120" w:line="260" w:lineRule="atLeast"/>
              <w:jc w:val="center"/>
              <w:rPr>
                <w:rFonts w:ascii="Verdana" w:hAnsi="Verdana"/>
                <w:sz w:val="18"/>
                <w:szCs w:val="18"/>
              </w:rPr>
            </w:pPr>
            <w:r w:rsidRPr="00BC4FC4">
              <w:rPr>
                <w:rFonts w:ascii="Verdana" w:hAnsi="Verdana"/>
                <w:sz w:val="18"/>
                <w:szCs w:val="18"/>
                <w:lang w:val="tr"/>
              </w:rPr>
              <w:t>Zorunlu Slaytlar</w:t>
            </w:r>
          </w:p>
        </w:tc>
        <w:tc>
          <w:tcPr>
            <w:tcW w:w="7485" w:type="dxa"/>
            <w:gridSpan w:val="2"/>
            <w:vAlign w:val="center"/>
          </w:tcPr>
          <w:p w14:paraId="4BCED826" w14:textId="77777777" w:rsidR="00E06B99" w:rsidRPr="00BC4FC4" w:rsidRDefault="00E06B99" w:rsidP="00BC4FC4">
            <w:pPr>
              <w:pStyle w:val="Subtitle"/>
              <w:spacing w:before="120" w:line="260" w:lineRule="atLeast"/>
              <w:rPr>
                <w:rFonts w:ascii="Verdana" w:eastAsia="Times New Roman" w:hAnsi="Verdana"/>
              </w:rPr>
            </w:pPr>
            <w:r w:rsidRPr="00BC4FC4">
              <w:rPr>
                <w:rFonts w:ascii="Verdana" w:eastAsia="Times New Roman" w:hAnsi="Verdana"/>
                <w:iCs w:val="0"/>
                <w:lang w:val="tr"/>
              </w:rPr>
              <w:t xml:space="preserve">Bu slaytlarda, Budapeşte Sözleşmesi Madde 9'da belirtildiği şekilde çocuk pornografisi suçu açıklanmaktadır. </w:t>
            </w:r>
          </w:p>
          <w:p w14:paraId="59470EBB" w14:textId="77777777" w:rsidR="00E06B99" w:rsidRPr="00BC4FC4" w:rsidRDefault="00E06B99" w:rsidP="00BC4FC4">
            <w:pPr>
              <w:pStyle w:val="Subtitle"/>
              <w:spacing w:before="120" w:line="260" w:lineRule="atLeast"/>
              <w:rPr>
                <w:rFonts w:ascii="Verdana" w:eastAsia="Times New Roman" w:hAnsi="Verdana"/>
              </w:rPr>
            </w:pPr>
            <w:r w:rsidRPr="00BC4FC4">
              <w:rPr>
                <w:rFonts w:ascii="Verdana" w:eastAsia="Times New Roman" w:hAnsi="Verdana"/>
                <w:iCs w:val="0"/>
                <w:lang w:val="tr"/>
              </w:rPr>
              <w:t>İlk slayt grubunda Budapeşte Sözleşmesi Madde 9'un ana unsurları özetlenmektedir. Özetin ardından çocuk pornografisi suçuyla ilgili birkaç vaka yer almaktadır.</w:t>
            </w:r>
          </w:p>
          <w:p w14:paraId="160D0F7A" w14:textId="77777777" w:rsidR="00C70C5C" w:rsidRPr="00BC4FC4" w:rsidRDefault="00E06B99" w:rsidP="00BC4FC4">
            <w:pPr>
              <w:spacing w:before="120" w:after="120" w:line="260" w:lineRule="atLeast"/>
              <w:jc w:val="both"/>
              <w:rPr>
                <w:rFonts w:ascii="Verdana" w:eastAsia="Times New Roman" w:hAnsi="Verdana" w:cstheme="majorBidi"/>
                <w:iCs/>
                <w:color w:val="000000" w:themeColor="text1"/>
                <w:sz w:val="18"/>
              </w:rPr>
            </w:pPr>
            <w:r w:rsidRPr="00BC4FC4">
              <w:rPr>
                <w:rFonts w:ascii="Verdana" w:eastAsia="Times New Roman" w:hAnsi="Verdana" w:cstheme="majorBidi"/>
                <w:color w:val="000000" w:themeColor="text1"/>
                <w:sz w:val="18"/>
                <w:lang w:val="tr"/>
              </w:rPr>
              <w:t xml:space="preserve">Kalan slaytlar iki sütuna ayrılmıştır. Soldaki sütunda Budapeşte Sözleşmesi Madde 9 metni belirli bir unsuru vurgulanmış olarak verilirken, sağdaki sütunda, vurgulanan unsurun açıklaması verilmektedir. </w:t>
            </w:r>
            <w:r w:rsidR="00CC4E38" w:rsidRPr="00BC4FC4">
              <w:rPr>
                <w:rFonts w:ascii="Verdana" w:eastAsia="Times New Roman" w:hAnsi="Verdana" w:cstheme="majorBidi"/>
                <w:color w:val="000000" w:themeColor="text1"/>
                <w:sz w:val="18"/>
                <w:lang w:val="tr"/>
              </w:rPr>
              <w:t xml:space="preserve">Katılımcıların </w:t>
            </w:r>
            <w:r w:rsidRPr="00BC4FC4">
              <w:rPr>
                <w:rFonts w:ascii="Verdana" w:eastAsia="Times New Roman" w:hAnsi="Verdana" w:cstheme="majorBidi"/>
                <w:color w:val="000000" w:themeColor="text1"/>
                <w:sz w:val="18"/>
                <w:lang w:val="tr"/>
              </w:rPr>
              <w:t xml:space="preserve">Budapeşte Sözleşmesi Madde 9'u kapsamlı bir şekilde anlamaları için </w:t>
            </w:r>
            <w:r w:rsidR="00CC4E38" w:rsidRPr="00BC4FC4">
              <w:rPr>
                <w:rFonts w:ascii="Verdana" w:eastAsia="Times New Roman" w:hAnsi="Verdana" w:cstheme="majorBidi"/>
                <w:color w:val="000000" w:themeColor="text1"/>
                <w:sz w:val="18"/>
                <w:lang w:val="tr"/>
              </w:rPr>
              <w:t>eğitici</w:t>
            </w:r>
            <w:r w:rsidRPr="00BC4FC4">
              <w:rPr>
                <w:rFonts w:ascii="Verdana" w:eastAsia="Times New Roman" w:hAnsi="Verdana" w:cstheme="majorBidi"/>
                <w:color w:val="000000" w:themeColor="text1"/>
                <w:sz w:val="18"/>
                <w:lang w:val="tr"/>
              </w:rPr>
              <w:t>den her bir unsurun üzerinden geçmesi beklenmektedir.</w:t>
            </w:r>
          </w:p>
          <w:p w14:paraId="0E17723F" w14:textId="77777777" w:rsidR="00921A3D" w:rsidRPr="00BC4FC4" w:rsidRDefault="00921A3D" w:rsidP="00BC4FC4">
            <w:pPr>
              <w:spacing w:before="120" w:after="120" w:line="260" w:lineRule="atLeast"/>
              <w:jc w:val="both"/>
              <w:rPr>
                <w:rFonts w:ascii="Verdana" w:eastAsia="Times New Roman" w:hAnsi="Verdana" w:cstheme="majorBidi"/>
                <w:iCs/>
                <w:color w:val="000000" w:themeColor="text1"/>
                <w:sz w:val="18"/>
              </w:rPr>
            </w:pPr>
            <w:r w:rsidRPr="00BC4FC4">
              <w:rPr>
                <w:rFonts w:ascii="Verdana" w:hAnsi="Verdana"/>
                <w:sz w:val="18"/>
                <w:szCs w:val="18"/>
                <w:lang w:val="tr"/>
              </w:rPr>
              <w:t>Bu kısım bir tane soruyla sona erer.</w:t>
            </w:r>
          </w:p>
        </w:tc>
      </w:tr>
      <w:tr w:rsidR="00F1574D" w:rsidRPr="00BC4FC4" w14:paraId="4BDE4A9A" w14:textId="77777777" w:rsidTr="00F1574D">
        <w:trPr>
          <w:trHeight w:val="890"/>
        </w:trPr>
        <w:tc>
          <w:tcPr>
            <w:tcW w:w="1525" w:type="dxa"/>
            <w:vAlign w:val="center"/>
          </w:tcPr>
          <w:p w14:paraId="29E22E05" w14:textId="77777777" w:rsidR="00556D69" w:rsidRPr="00BC4FC4" w:rsidRDefault="00921A3D" w:rsidP="00BC4FC4">
            <w:pPr>
              <w:spacing w:before="120" w:after="120" w:line="260" w:lineRule="atLeast"/>
              <w:jc w:val="center"/>
              <w:rPr>
                <w:rFonts w:ascii="Verdana" w:hAnsi="Verdana"/>
                <w:sz w:val="18"/>
                <w:szCs w:val="18"/>
              </w:rPr>
            </w:pPr>
            <w:r w:rsidRPr="00BC4FC4">
              <w:rPr>
                <w:rFonts w:ascii="Verdana" w:hAnsi="Verdana"/>
                <w:sz w:val="18"/>
                <w:szCs w:val="18"/>
                <w:lang w:val="tr"/>
              </w:rPr>
              <w:t>36-43</w:t>
            </w:r>
          </w:p>
          <w:p w14:paraId="650C2EE9" w14:textId="77777777" w:rsidR="00F1574D" w:rsidRPr="00BC4FC4" w:rsidRDefault="00F1574D" w:rsidP="00BC4FC4">
            <w:pPr>
              <w:spacing w:before="120" w:after="120" w:line="260" w:lineRule="atLeast"/>
              <w:jc w:val="center"/>
              <w:rPr>
                <w:rFonts w:ascii="Verdana" w:hAnsi="Verdana"/>
                <w:sz w:val="18"/>
                <w:szCs w:val="18"/>
              </w:rPr>
            </w:pPr>
            <w:r w:rsidRPr="00BC4FC4">
              <w:rPr>
                <w:rFonts w:ascii="Verdana" w:hAnsi="Verdana"/>
                <w:sz w:val="18"/>
                <w:szCs w:val="18"/>
                <w:lang w:val="tr"/>
              </w:rPr>
              <w:t>Zorunlu Slaytlar</w:t>
            </w:r>
          </w:p>
        </w:tc>
        <w:tc>
          <w:tcPr>
            <w:tcW w:w="7485" w:type="dxa"/>
            <w:gridSpan w:val="2"/>
            <w:vAlign w:val="center"/>
          </w:tcPr>
          <w:p w14:paraId="1F708A39" w14:textId="77777777" w:rsidR="00FD4093" w:rsidRPr="00BC4FC4" w:rsidRDefault="00FD4093" w:rsidP="00BC4FC4">
            <w:pPr>
              <w:pStyle w:val="Subtitle"/>
              <w:spacing w:before="120" w:line="260" w:lineRule="atLeast"/>
              <w:rPr>
                <w:rFonts w:ascii="Verdana" w:eastAsia="Times New Roman" w:hAnsi="Verdana"/>
              </w:rPr>
            </w:pPr>
            <w:r w:rsidRPr="00BC4FC4">
              <w:rPr>
                <w:rFonts w:ascii="Verdana" w:eastAsia="Times New Roman" w:hAnsi="Verdana"/>
                <w:iCs w:val="0"/>
                <w:lang w:val="tr"/>
              </w:rPr>
              <w:t xml:space="preserve">Bu slaytlarda Budapeşte Sözleşmesi Madde 10'da belirtildiği şekilde telif hakkı ve ilgili hakların ihlali suçu açıklanmaktadır. </w:t>
            </w:r>
          </w:p>
          <w:p w14:paraId="3B735D90" w14:textId="77777777" w:rsidR="00FD4093" w:rsidRPr="00BC4FC4" w:rsidRDefault="00FD4093" w:rsidP="00BC4FC4">
            <w:pPr>
              <w:pStyle w:val="Subtitle"/>
              <w:spacing w:before="120" w:line="260" w:lineRule="atLeast"/>
              <w:rPr>
                <w:rFonts w:ascii="Verdana" w:eastAsia="Times New Roman" w:hAnsi="Verdana"/>
              </w:rPr>
            </w:pPr>
            <w:r w:rsidRPr="00BC4FC4">
              <w:rPr>
                <w:rFonts w:ascii="Verdana" w:eastAsia="Times New Roman" w:hAnsi="Verdana"/>
                <w:iCs w:val="0"/>
                <w:lang w:val="tr"/>
              </w:rPr>
              <w:t xml:space="preserve">İlk slayt grubunda Budapeşte Sözleşmesi Madde 10'un ana unsurları özetlenmektedir. Bu slaytlarda telif hakkı ihlalleri yapan popüler bir İnternet sitesinin kurucularının tutuklanması hakkında bir vaka yer almaktadır. Ayrıca telif hakkıyla korunan materyallerin İnternet sitelerinde nasıl kullanıma </w:t>
            </w:r>
            <w:r w:rsidRPr="00BC4FC4">
              <w:rPr>
                <w:rFonts w:ascii="Verdana" w:eastAsia="Times New Roman" w:hAnsi="Verdana"/>
                <w:iCs w:val="0"/>
                <w:lang w:val="tr"/>
              </w:rPr>
              <w:lastRenderedPageBreak/>
              <w:t>sunulduğunu gösteren bir ekran görüntüsü de mevcuttur.</w:t>
            </w:r>
          </w:p>
          <w:p w14:paraId="53D92146" w14:textId="77777777" w:rsidR="00556D69" w:rsidRPr="00BC4FC4" w:rsidRDefault="00FD4093" w:rsidP="00BC4FC4">
            <w:pPr>
              <w:spacing w:before="120" w:after="120" w:line="260" w:lineRule="atLeast"/>
              <w:jc w:val="both"/>
              <w:rPr>
                <w:rFonts w:ascii="Verdana" w:hAnsi="Verdana"/>
                <w:sz w:val="18"/>
                <w:szCs w:val="18"/>
              </w:rPr>
            </w:pPr>
            <w:r w:rsidRPr="00BC4FC4">
              <w:rPr>
                <w:rFonts w:ascii="Verdana" w:eastAsia="Times New Roman" w:hAnsi="Verdana" w:cstheme="majorBidi"/>
                <w:color w:val="000000" w:themeColor="text1"/>
                <w:sz w:val="18"/>
                <w:lang w:val="tr"/>
              </w:rPr>
              <w:t xml:space="preserve">Kalan slaytlar iki sütuna ayrılmıştır. Soldaki sütunda Budapeşte Sözleşmesi Madde 10 metni belirli bir unsuru vurgulanmış olarak verilirken, sağdaki sütunda, vurgulanan unsurun açıklaması verilmektedir. </w:t>
            </w:r>
            <w:r w:rsidR="00CC4E38" w:rsidRPr="00BC4FC4">
              <w:rPr>
                <w:rFonts w:ascii="Verdana" w:eastAsia="Times New Roman" w:hAnsi="Verdana" w:cstheme="majorBidi"/>
                <w:color w:val="000000" w:themeColor="text1"/>
                <w:sz w:val="18"/>
                <w:lang w:val="tr"/>
              </w:rPr>
              <w:t xml:space="preserve">Katılımcıların </w:t>
            </w:r>
            <w:r w:rsidRPr="00BC4FC4">
              <w:rPr>
                <w:rFonts w:ascii="Verdana" w:eastAsia="Times New Roman" w:hAnsi="Verdana" w:cstheme="majorBidi"/>
                <w:color w:val="000000" w:themeColor="text1"/>
                <w:sz w:val="18"/>
                <w:lang w:val="tr"/>
              </w:rPr>
              <w:t xml:space="preserve">Budapeşte Sözleşmesi Madde 10'u kapsamlı bir şekilde anlamaları için </w:t>
            </w:r>
            <w:r w:rsidR="00CC4E38" w:rsidRPr="00BC4FC4">
              <w:rPr>
                <w:rFonts w:ascii="Verdana" w:eastAsia="Times New Roman" w:hAnsi="Verdana" w:cstheme="majorBidi"/>
                <w:color w:val="000000" w:themeColor="text1"/>
                <w:sz w:val="18"/>
                <w:lang w:val="tr"/>
              </w:rPr>
              <w:t>eğitici</w:t>
            </w:r>
            <w:r w:rsidRPr="00BC4FC4">
              <w:rPr>
                <w:rFonts w:ascii="Verdana" w:eastAsia="Times New Roman" w:hAnsi="Verdana" w:cstheme="majorBidi"/>
                <w:color w:val="000000" w:themeColor="text1"/>
                <w:sz w:val="18"/>
                <w:lang w:val="tr"/>
              </w:rPr>
              <w:t>den her bir unsurun üzerinden geçmesi beklenmektedir.</w:t>
            </w:r>
          </w:p>
        </w:tc>
      </w:tr>
      <w:tr w:rsidR="006B3820" w:rsidRPr="00BC4FC4" w14:paraId="3070EDF4" w14:textId="77777777" w:rsidTr="00F1574D">
        <w:trPr>
          <w:trHeight w:val="890"/>
        </w:trPr>
        <w:tc>
          <w:tcPr>
            <w:tcW w:w="1525" w:type="dxa"/>
            <w:vAlign w:val="center"/>
          </w:tcPr>
          <w:p w14:paraId="29E0DD6C" w14:textId="77777777" w:rsidR="006B3820" w:rsidRPr="00BC4FC4" w:rsidRDefault="00921A3D" w:rsidP="00BC4FC4">
            <w:pPr>
              <w:spacing w:before="120" w:after="120" w:line="260" w:lineRule="atLeast"/>
              <w:jc w:val="center"/>
              <w:rPr>
                <w:rFonts w:ascii="Verdana" w:hAnsi="Verdana"/>
                <w:sz w:val="18"/>
                <w:szCs w:val="18"/>
              </w:rPr>
            </w:pPr>
            <w:r w:rsidRPr="00BC4FC4">
              <w:rPr>
                <w:rFonts w:ascii="Verdana" w:hAnsi="Verdana"/>
                <w:sz w:val="18"/>
                <w:szCs w:val="18"/>
                <w:lang w:val="tr"/>
              </w:rPr>
              <w:lastRenderedPageBreak/>
              <w:t>44-48</w:t>
            </w:r>
          </w:p>
          <w:p w14:paraId="329B4C28" w14:textId="77777777" w:rsidR="006B3820" w:rsidRPr="00BC4FC4" w:rsidRDefault="006B3820" w:rsidP="00BC4FC4">
            <w:pPr>
              <w:spacing w:before="120" w:after="120" w:line="260" w:lineRule="atLeast"/>
              <w:jc w:val="center"/>
              <w:rPr>
                <w:rFonts w:ascii="Verdana" w:hAnsi="Verdana"/>
                <w:sz w:val="18"/>
                <w:szCs w:val="18"/>
              </w:rPr>
            </w:pPr>
            <w:r w:rsidRPr="00BC4FC4">
              <w:rPr>
                <w:rFonts w:ascii="Verdana" w:hAnsi="Verdana"/>
                <w:sz w:val="18"/>
                <w:szCs w:val="18"/>
                <w:lang w:val="tr"/>
              </w:rPr>
              <w:t>Zorunlu Slaytlar</w:t>
            </w:r>
          </w:p>
        </w:tc>
        <w:tc>
          <w:tcPr>
            <w:tcW w:w="7485" w:type="dxa"/>
            <w:gridSpan w:val="2"/>
            <w:vAlign w:val="center"/>
          </w:tcPr>
          <w:p w14:paraId="0AC55ECB" w14:textId="77777777" w:rsidR="00DF01EB" w:rsidRPr="00BC4FC4" w:rsidRDefault="00DF01EB" w:rsidP="00BC4FC4">
            <w:pPr>
              <w:spacing w:before="120" w:after="120" w:line="260" w:lineRule="atLeast"/>
              <w:jc w:val="both"/>
              <w:rPr>
                <w:rFonts w:ascii="Verdana" w:hAnsi="Verdana"/>
                <w:sz w:val="18"/>
                <w:szCs w:val="18"/>
              </w:rPr>
            </w:pPr>
            <w:r w:rsidRPr="00BC4FC4">
              <w:rPr>
                <w:rFonts w:ascii="Verdana" w:hAnsi="Verdana"/>
                <w:sz w:val="18"/>
                <w:szCs w:val="18"/>
                <w:lang w:val="tr"/>
              </w:rPr>
              <w:t xml:space="preserve">Bu slaytlarda Budapeşte Sözleşmesi Madde 11'de belirtildiği şekilde tali sorumlulukla (teşebbüs ve yardım veya yataklık) ilgili hükümler ve Madde 12'de belirtildiği şekilde kurumsal sorumlulukla ilgili hükümler açıklanmaktadır. </w:t>
            </w:r>
          </w:p>
          <w:p w14:paraId="50D2576E" w14:textId="77777777" w:rsidR="00DF01EB" w:rsidRPr="00BC4FC4" w:rsidRDefault="00DF01EB" w:rsidP="00BC4FC4">
            <w:pPr>
              <w:spacing w:before="120" w:after="120" w:line="260" w:lineRule="atLeast"/>
              <w:jc w:val="both"/>
              <w:rPr>
                <w:rFonts w:ascii="Verdana" w:hAnsi="Verdana"/>
                <w:sz w:val="18"/>
                <w:szCs w:val="18"/>
              </w:rPr>
            </w:pPr>
            <w:r w:rsidRPr="00BC4FC4">
              <w:rPr>
                <w:rFonts w:ascii="Verdana" w:eastAsia="Times New Roman" w:hAnsi="Verdana" w:cstheme="majorBidi"/>
                <w:color w:val="000000" w:themeColor="text1"/>
                <w:sz w:val="18"/>
                <w:lang w:val="tr"/>
              </w:rPr>
              <w:t xml:space="preserve">Bu slaytlar iki sütuna ayrılmıştır. Soldaki sütunda Budapeşte Sözleşmesi Madde 11 ve 12 metni belirli bir unsuru vurgulanmış olarak verilirken, sağdaki sütunda, vurgulanan unsurun açıklaması verilmektedir. </w:t>
            </w:r>
            <w:r w:rsidR="00CC4E38" w:rsidRPr="00BC4FC4">
              <w:rPr>
                <w:rFonts w:ascii="Verdana" w:eastAsia="Times New Roman" w:hAnsi="Verdana" w:cstheme="majorBidi"/>
                <w:color w:val="000000" w:themeColor="text1"/>
                <w:sz w:val="18"/>
                <w:lang w:val="tr"/>
              </w:rPr>
              <w:t xml:space="preserve">Katılımcıların </w:t>
            </w:r>
            <w:r w:rsidRPr="00BC4FC4">
              <w:rPr>
                <w:rFonts w:ascii="Verdana" w:eastAsia="Times New Roman" w:hAnsi="Verdana" w:cstheme="majorBidi"/>
                <w:color w:val="000000" w:themeColor="text1"/>
                <w:sz w:val="18"/>
                <w:lang w:val="tr"/>
              </w:rPr>
              <w:t xml:space="preserve">Budapeşte Sözleşmesi Madde 11 ve 12'yi kapsamlı bir şekilde anlamaları için </w:t>
            </w:r>
            <w:r w:rsidR="00CC4E38" w:rsidRPr="00BC4FC4">
              <w:rPr>
                <w:rFonts w:ascii="Verdana" w:eastAsia="Times New Roman" w:hAnsi="Verdana" w:cstheme="majorBidi"/>
                <w:color w:val="000000" w:themeColor="text1"/>
                <w:sz w:val="18"/>
                <w:lang w:val="tr"/>
              </w:rPr>
              <w:t>eğitici</w:t>
            </w:r>
            <w:r w:rsidRPr="00BC4FC4">
              <w:rPr>
                <w:rFonts w:ascii="Verdana" w:eastAsia="Times New Roman" w:hAnsi="Verdana" w:cstheme="majorBidi"/>
                <w:color w:val="000000" w:themeColor="text1"/>
                <w:sz w:val="18"/>
                <w:lang w:val="tr"/>
              </w:rPr>
              <w:t>den her bir unsurun üzerinden geçmesi beklenmektedir.</w:t>
            </w:r>
          </w:p>
        </w:tc>
      </w:tr>
      <w:tr w:rsidR="00F1574D" w:rsidRPr="00BC4FC4" w14:paraId="59AE48E9" w14:textId="77777777" w:rsidTr="00F1574D">
        <w:trPr>
          <w:trHeight w:val="1259"/>
        </w:trPr>
        <w:tc>
          <w:tcPr>
            <w:tcW w:w="1525" w:type="dxa"/>
            <w:vAlign w:val="center"/>
          </w:tcPr>
          <w:p w14:paraId="77657F0E" w14:textId="77777777" w:rsidR="00556D69" w:rsidRPr="00BC4FC4" w:rsidRDefault="00921A3D" w:rsidP="00BC4FC4">
            <w:pPr>
              <w:spacing w:before="120" w:after="120" w:line="260" w:lineRule="atLeast"/>
              <w:jc w:val="center"/>
              <w:rPr>
                <w:rFonts w:ascii="Verdana" w:hAnsi="Verdana"/>
                <w:sz w:val="18"/>
                <w:szCs w:val="18"/>
              </w:rPr>
            </w:pPr>
            <w:r w:rsidRPr="00BC4FC4">
              <w:rPr>
                <w:rFonts w:ascii="Verdana" w:hAnsi="Verdana"/>
                <w:sz w:val="18"/>
                <w:szCs w:val="18"/>
                <w:lang w:val="tr"/>
              </w:rPr>
              <w:t>49-50</w:t>
            </w:r>
          </w:p>
          <w:p w14:paraId="0BC83EFD" w14:textId="77777777" w:rsidR="00F1574D" w:rsidRPr="00BC4FC4" w:rsidRDefault="00F1574D" w:rsidP="00BC4FC4">
            <w:pPr>
              <w:spacing w:before="120" w:after="120" w:line="260" w:lineRule="atLeast"/>
              <w:jc w:val="center"/>
              <w:rPr>
                <w:rFonts w:ascii="Verdana" w:hAnsi="Verdana"/>
                <w:sz w:val="18"/>
                <w:szCs w:val="18"/>
              </w:rPr>
            </w:pPr>
            <w:r w:rsidRPr="00BC4FC4">
              <w:rPr>
                <w:rFonts w:ascii="Verdana" w:hAnsi="Verdana"/>
                <w:sz w:val="18"/>
                <w:szCs w:val="18"/>
                <w:lang w:val="tr"/>
              </w:rPr>
              <w:t>Önemli Slaytlar</w:t>
            </w:r>
          </w:p>
        </w:tc>
        <w:tc>
          <w:tcPr>
            <w:tcW w:w="7485" w:type="dxa"/>
            <w:gridSpan w:val="2"/>
            <w:vAlign w:val="center"/>
          </w:tcPr>
          <w:p w14:paraId="1C252FFA" w14:textId="77777777" w:rsidR="00314D32" w:rsidRPr="00BC4FC4" w:rsidRDefault="00CC4E38" w:rsidP="00BC4FC4">
            <w:pPr>
              <w:pStyle w:val="Subtitle"/>
              <w:spacing w:before="120" w:line="260" w:lineRule="atLeast"/>
              <w:rPr>
                <w:rFonts w:ascii="Verdana" w:hAnsi="Verdana"/>
              </w:rPr>
            </w:pPr>
            <w:r w:rsidRPr="00BC4FC4">
              <w:rPr>
                <w:rFonts w:ascii="Verdana" w:eastAsia="Times New Roman" w:hAnsi="Verdana" w:cs="Times New Roman"/>
                <w:iCs w:val="0"/>
                <w:szCs w:val="18"/>
                <w:lang w:val="tr"/>
              </w:rPr>
              <w:t>Eğitici</w:t>
            </w:r>
            <w:r w:rsidR="00DF01EB" w:rsidRPr="00BC4FC4">
              <w:rPr>
                <w:rFonts w:ascii="Verdana" w:eastAsia="Times New Roman" w:hAnsi="Verdana" w:cs="Times New Roman"/>
                <w:iCs w:val="0"/>
                <w:szCs w:val="18"/>
                <w:lang w:val="tr"/>
              </w:rPr>
              <w:t xml:space="preserve"> </w:t>
            </w:r>
            <w:r w:rsidRPr="00BC4FC4">
              <w:rPr>
                <w:rFonts w:ascii="Verdana" w:eastAsia="Times New Roman" w:hAnsi="Verdana" w:cs="Times New Roman"/>
                <w:iCs w:val="0"/>
                <w:szCs w:val="18"/>
                <w:lang w:val="tr"/>
              </w:rPr>
              <w:t>katılımcılarla</w:t>
            </w:r>
            <w:r w:rsidR="00DF01EB" w:rsidRPr="00BC4FC4">
              <w:rPr>
                <w:rFonts w:ascii="Verdana" w:eastAsia="Times New Roman" w:hAnsi="Verdana" w:cs="Times New Roman"/>
                <w:iCs w:val="0"/>
                <w:szCs w:val="18"/>
                <w:lang w:val="tr"/>
              </w:rPr>
              <w:t xml:space="preserve"> birlikte oturum hedeflerini tekrarlamalı ve bu modülde işlenen materyallerle ilgili sorular sormaları için fırsat vermelidir. </w:t>
            </w:r>
          </w:p>
        </w:tc>
      </w:tr>
      <w:tr w:rsidR="00CB3026" w:rsidRPr="00BC4FC4" w14:paraId="4B505D83" w14:textId="77777777" w:rsidTr="00F1574D">
        <w:trPr>
          <w:trHeight w:val="890"/>
        </w:trPr>
        <w:tc>
          <w:tcPr>
            <w:tcW w:w="9010" w:type="dxa"/>
            <w:gridSpan w:val="3"/>
            <w:vAlign w:val="center"/>
          </w:tcPr>
          <w:p w14:paraId="0E2FEA3D" w14:textId="77777777" w:rsidR="008A4337" w:rsidRPr="00BC4FC4" w:rsidRDefault="008A4337" w:rsidP="00BC4FC4">
            <w:pPr>
              <w:spacing w:before="120" w:after="120" w:line="260" w:lineRule="atLeast"/>
              <w:jc w:val="both"/>
              <w:rPr>
                <w:rFonts w:ascii="Verdana" w:hAnsi="Verdana"/>
                <w:b/>
              </w:rPr>
            </w:pPr>
            <w:r w:rsidRPr="00BC4FC4">
              <w:rPr>
                <w:rFonts w:ascii="Verdana" w:hAnsi="Verdana"/>
                <w:b/>
                <w:bCs/>
              </w:rPr>
              <w:t>Uygulamalı Egzersizler</w:t>
            </w:r>
          </w:p>
          <w:p w14:paraId="5F39E699" w14:textId="77777777" w:rsidR="00CB3026" w:rsidRPr="00BC4FC4" w:rsidRDefault="008A4337" w:rsidP="00BC4FC4">
            <w:pPr>
              <w:spacing w:before="120" w:after="120" w:line="260" w:lineRule="atLeast"/>
              <w:jc w:val="both"/>
              <w:rPr>
                <w:rFonts w:ascii="Verdana" w:hAnsi="Verdana"/>
              </w:rPr>
            </w:pPr>
            <w:r w:rsidRPr="00BC4FC4">
              <w:rPr>
                <w:rFonts w:ascii="Verdana" w:hAnsi="Verdana"/>
                <w:color w:val="000000" w:themeColor="text1"/>
                <w:sz w:val="18"/>
                <w:szCs w:val="18"/>
              </w:rPr>
              <w:t>Bu ders ile ilgili uygulamalı egzersiz yoktur.</w:t>
            </w:r>
          </w:p>
        </w:tc>
      </w:tr>
      <w:tr w:rsidR="00CB3026" w:rsidRPr="00BC4FC4" w14:paraId="6DB11C9B" w14:textId="77777777" w:rsidTr="00F1574D">
        <w:tc>
          <w:tcPr>
            <w:tcW w:w="9010" w:type="dxa"/>
            <w:gridSpan w:val="3"/>
            <w:vAlign w:val="center"/>
          </w:tcPr>
          <w:p w14:paraId="652053F0" w14:textId="77777777" w:rsidR="00CB3026" w:rsidRPr="00BC4FC4" w:rsidRDefault="00CB3026" w:rsidP="00BC4FC4">
            <w:pPr>
              <w:spacing w:before="120" w:after="120" w:line="260" w:lineRule="atLeast"/>
              <w:jc w:val="both"/>
              <w:rPr>
                <w:rFonts w:ascii="Verdana" w:hAnsi="Verdana"/>
                <w:b/>
                <w:sz w:val="22"/>
                <w:szCs w:val="22"/>
              </w:rPr>
            </w:pPr>
            <w:r w:rsidRPr="00BC4FC4">
              <w:rPr>
                <w:rFonts w:ascii="Verdana" w:hAnsi="Verdana"/>
                <w:b/>
                <w:bCs/>
                <w:sz w:val="22"/>
                <w:szCs w:val="22"/>
              </w:rPr>
              <w:t>Değerlendirme/Bilgi Kontrolü</w:t>
            </w:r>
          </w:p>
          <w:p w14:paraId="244106DD" w14:textId="77777777" w:rsidR="00CB3026" w:rsidRPr="00BC4FC4" w:rsidRDefault="00CB3026" w:rsidP="00BC4FC4">
            <w:pPr>
              <w:spacing w:before="120" w:after="120" w:line="260" w:lineRule="atLeast"/>
              <w:jc w:val="both"/>
              <w:rPr>
                <w:rFonts w:ascii="Verdana" w:hAnsi="Verdana"/>
                <w:sz w:val="18"/>
                <w:szCs w:val="18"/>
              </w:rPr>
            </w:pPr>
            <w:r w:rsidRPr="00BC4FC4">
              <w:rPr>
                <w:rFonts w:ascii="Verdana" w:hAnsi="Verdana"/>
                <w:color w:val="000000" w:themeColor="text1"/>
                <w:sz w:val="18"/>
                <w:szCs w:val="18"/>
              </w:rPr>
              <w:t>Bu oturum için bilgi kontrolü veya değerlendirme yapılması istenmemektedir.</w:t>
            </w:r>
          </w:p>
        </w:tc>
      </w:tr>
    </w:tbl>
    <w:p w14:paraId="3EA35BB9" w14:textId="77777777" w:rsidR="00D82C18" w:rsidRPr="00BC4FC4" w:rsidRDefault="00D82C18" w:rsidP="00BC4FC4">
      <w:pPr>
        <w:spacing w:before="120" w:after="120" w:line="260" w:lineRule="atLeast"/>
        <w:rPr>
          <w:rFonts w:ascii="Verdana" w:hAnsi="Verdana"/>
        </w:rPr>
      </w:pPr>
    </w:p>
    <w:sectPr w:rsidR="00D82C18" w:rsidRPr="00BC4FC4"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F6B1384"/>
    <w:multiLevelType w:val="hybridMultilevel"/>
    <w:tmpl w:val="B8AC3A46"/>
    <w:lvl w:ilvl="0" w:tplc="E0B411A4">
      <w:start w:val="1"/>
      <w:numFmt w:val="bullet"/>
      <w:lvlText w:val="•"/>
      <w:lvlJc w:val="left"/>
      <w:pPr>
        <w:tabs>
          <w:tab w:val="num" w:pos="720"/>
        </w:tabs>
        <w:ind w:left="720" w:hanging="360"/>
      </w:pPr>
      <w:rPr>
        <w:rFonts w:ascii="Arial" w:hAnsi="Arial" w:hint="default"/>
      </w:rPr>
    </w:lvl>
    <w:lvl w:ilvl="1" w:tplc="20C0B3B0">
      <w:numFmt w:val="none"/>
      <w:lvlText w:val=""/>
      <w:lvlJc w:val="left"/>
      <w:pPr>
        <w:tabs>
          <w:tab w:val="num" w:pos="360"/>
        </w:tabs>
      </w:pPr>
    </w:lvl>
    <w:lvl w:ilvl="2" w:tplc="F0CA38CC" w:tentative="1">
      <w:start w:val="1"/>
      <w:numFmt w:val="bullet"/>
      <w:lvlText w:val="•"/>
      <w:lvlJc w:val="left"/>
      <w:pPr>
        <w:tabs>
          <w:tab w:val="num" w:pos="2160"/>
        </w:tabs>
        <w:ind w:left="2160" w:hanging="360"/>
      </w:pPr>
      <w:rPr>
        <w:rFonts w:ascii="Arial" w:hAnsi="Arial" w:hint="default"/>
      </w:rPr>
    </w:lvl>
    <w:lvl w:ilvl="3" w:tplc="6E02C082" w:tentative="1">
      <w:start w:val="1"/>
      <w:numFmt w:val="bullet"/>
      <w:lvlText w:val="•"/>
      <w:lvlJc w:val="left"/>
      <w:pPr>
        <w:tabs>
          <w:tab w:val="num" w:pos="2880"/>
        </w:tabs>
        <w:ind w:left="2880" w:hanging="360"/>
      </w:pPr>
      <w:rPr>
        <w:rFonts w:ascii="Arial" w:hAnsi="Arial" w:hint="default"/>
      </w:rPr>
    </w:lvl>
    <w:lvl w:ilvl="4" w:tplc="E7624988" w:tentative="1">
      <w:start w:val="1"/>
      <w:numFmt w:val="bullet"/>
      <w:lvlText w:val="•"/>
      <w:lvlJc w:val="left"/>
      <w:pPr>
        <w:tabs>
          <w:tab w:val="num" w:pos="3600"/>
        </w:tabs>
        <w:ind w:left="3600" w:hanging="360"/>
      </w:pPr>
      <w:rPr>
        <w:rFonts w:ascii="Arial" w:hAnsi="Arial" w:hint="default"/>
      </w:rPr>
    </w:lvl>
    <w:lvl w:ilvl="5" w:tplc="732838A0" w:tentative="1">
      <w:start w:val="1"/>
      <w:numFmt w:val="bullet"/>
      <w:lvlText w:val="•"/>
      <w:lvlJc w:val="left"/>
      <w:pPr>
        <w:tabs>
          <w:tab w:val="num" w:pos="4320"/>
        </w:tabs>
        <w:ind w:left="4320" w:hanging="360"/>
      </w:pPr>
      <w:rPr>
        <w:rFonts w:ascii="Arial" w:hAnsi="Arial" w:hint="default"/>
      </w:rPr>
    </w:lvl>
    <w:lvl w:ilvl="6" w:tplc="BFF840E2" w:tentative="1">
      <w:start w:val="1"/>
      <w:numFmt w:val="bullet"/>
      <w:lvlText w:val="•"/>
      <w:lvlJc w:val="left"/>
      <w:pPr>
        <w:tabs>
          <w:tab w:val="num" w:pos="5040"/>
        </w:tabs>
        <w:ind w:left="5040" w:hanging="360"/>
      </w:pPr>
      <w:rPr>
        <w:rFonts w:ascii="Arial" w:hAnsi="Arial" w:hint="default"/>
      </w:rPr>
    </w:lvl>
    <w:lvl w:ilvl="7" w:tplc="A56EE41C" w:tentative="1">
      <w:start w:val="1"/>
      <w:numFmt w:val="bullet"/>
      <w:lvlText w:val="•"/>
      <w:lvlJc w:val="left"/>
      <w:pPr>
        <w:tabs>
          <w:tab w:val="num" w:pos="5760"/>
        </w:tabs>
        <w:ind w:left="5760" w:hanging="360"/>
      </w:pPr>
      <w:rPr>
        <w:rFonts w:ascii="Arial" w:hAnsi="Arial" w:hint="default"/>
      </w:rPr>
    </w:lvl>
    <w:lvl w:ilvl="8" w:tplc="872AD2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923971"/>
    <w:multiLevelType w:val="hybridMultilevel"/>
    <w:tmpl w:val="87EE23CC"/>
    <w:lvl w:ilvl="0" w:tplc="D7B00ED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4EF1"/>
    <w:rsid w:val="00040BBB"/>
    <w:rsid w:val="00051376"/>
    <w:rsid w:val="00056568"/>
    <w:rsid w:val="00062742"/>
    <w:rsid w:val="000C40EE"/>
    <w:rsid w:val="000C47A2"/>
    <w:rsid w:val="000D0409"/>
    <w:rsid w:val="000F04E4"/>
    <w:rsid w:val="000F7896"/>
    <w:rsid w:val="001D2D02"/>
    <w:rsid w:val="001D603D"/>
    <w:rsid w:val="001E7389"/>
    <w:rsid w:val="00207B05"/>
    <w:rsid w:val="0023745E"/>
    <w:rsid w:val="00271010"/>
    <w:rsid w:val="00274BDB"/>
    <w:rsid w:val="002E3ECE"/>
    <w:rsid w:val="002F3B54"/>
    <w:rsid w:val="00314D32"/>
    <w:rsid w:val="0034224C"/>
    <w:rsid w:val="00342639"/>
    <w:rsid w:val="003453F7"/>
    <w:rsid w:val="003630ED"/>
    <w:rsid w:val="00372572"/>
    <w:rsid w:val="003A435F"/>
    <w:rsid w:val="003F6587"/>
    <w:rsid w:val="00402C27"/>
    <w:rsid w:val="00437AF3"/>
    <w:rsid w:val="00450007"/>
    <w:rsid w:val="00457DD3"/>
    <w:rsid w:val="00491C99"/>
    <w:rsid w:val="0049797C"/>
    <w:rsid w:val="004B7351"/>
    <w:rsid w:val="00514FE0"/>
    <w:rsid w:val="00556D69"/>
    <w:rsid w:val="005703B7"/>
    <w:rsid w:val="005729DB"/>
    <w:rsid w:val="00596408"/>
    <w:rsid w:val="005A4E47"/>
    <w:rsid w:val="005D4432"/>
    <w:rsid w:val="006527C6"/>
    <w:rsid w:val="00671ADF"/>
    <w:rsid w:val="006B0B52"/>
    <w:rsid w:val="006B3820"/>
    <w:rsid w:val="0075334E"/>
    <w:rsid w:val="007678A6"/>
    <w:rsid w:val="00775CE6"/>
    <w:rsid w:val="007E3B3E"/>
    <w:rsid w:val="008115FC"/>
    <w:rsid w:val="00832F68"/>
    <w:rsid w:val="00844FBF"/>
    <w:rsid w:val="008817F1"/>
    <w:rsid w:val="008A4337"/>
    <w:rsid w:val="008A4C93"/>
    <w:rsid w:val="008C3900"/>
    <w:rsid w:val="008E3FE7"/>
    <w:rsid w:val="009010F1"/>
    <w:rsid w:val="00901D97"/>
    <w:rsid w:val="00906F18"/>
    <w:rsid w:val="00921A3D"/>
    <w:rsid w:val="00951791"/>
    <w:rsid w:val="009526EA"/>
    <w:rsid w:val="009B4375"/>
    <w:rsid w:val="009D1DB1"/>
    <w:rsid w:val="009E1390"/>
    <w:rsid w:val="009E3827"/>
    <w:rsid w:val="009F336B"/>
    <w:rsid w:val="00A03CF0"/>
    <w:rsid w:val="00A342ED"/>
    <w:rsid w:val="00A4110D"/>
    <w:rsid w:val="00A439ED"/>
    <w:rsid w:val="00A55067"/>
    <w:rsid w:val="00A734A5"/>
    <w:rsid w:val="00A76996"/>
    <w:rsid w:val="00A94D8B"/>
    <w:rsid w:val="00AA3DD5"/>
    <w:rsid w:val="00AA5742"/>
    <w:rsid w:val="00AC1380"/>
    <w:rsid w:val="00AC45A8"/>
    <w:rsid w:val="00B30582"/>
    <w:rsid w:val="00B3608C"/>
    <w:rsid w:val="00BA7368"/>
    <w:rsid w:val="00BC4FC4"/>
    <w:rsid w:val="00C115FC"/>
    <w:rsid w:val="00C541A2"/>
    <w:rsid w:val="00C70C5C"/>
    <w:rsid w:val="00C83397"/>
    <w:rsid w:val="00CB02C4"/>
    <w:rsid w:val="00CB3026"/>
    <w:rsid w:val="00CC1F79"/>
    <w:rsid w:val="00CC4E38"/>
    <w:rsid w:val="00D2324F"/>
    <w:rsid w:val="00D30EF4"/>
    <w:rsid w:val="00D716CA"/>
    <w:rsid w:val="00D82C18"/>
    <w:rsid w:val="00DF01EB"/>
    <w:rsid w:val="00E06B99"/>
    <w:rsid w:val="00E13BE7"/>
    <w:rsid w:val="00E7344B"/>
    <w:rsid w:val="00E95703"/>
    <w:rsid w:val="00F1574D"/>
    <w:rsid w:val="00F504D6"/>
    <w:rsid w:val="00F62A15"/>
    <w:rsid w:val="00F955B5"/>
    <w:rsid w:val="00FA5D5D"/>
    <w:rsid w:val="00FB24E8"/>
    <w:rsid w:val="00FB6DE5"/>
    <w:rsid w:val="00FD4093"/>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31059"/>
  <w15:docId w15:val="{1AABD03C-079E-4BFD-8768-C12A0532A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D97"/>
    <w:rPr>
      <w:lang w:val="tr-TR"/>
    </w:rPr>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5331602">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962566325">
      <w:bodyDiv w:val="1"/>
      <w:marLeft w:val="0"/>
      <w:marRight w:val="0"/>
      <w:marTop w:val="0"/>
      <w:marBottom w:val="0"/>
      <w:divBdr>
        <w:top w:val="none" w:sz="0" w:space="0" w:color="auto"/>
        <w:left w:val="none" w:sz="0" w:space="0" w:color="auto"/>
        <w:bottom w:val="none" w:sz="0" w:space="0" w:color="auto"/>
        <w:right w:val="none" w:sz="0" w:space="0" w:color="auto"/>
      </w:divBdr>
      <w:divsChild>
        <w:div w:id="1099369111">
          <w:marLeft w:val="547"/>
          <w:marRight w:val="0"/>
          <w:marTop w:val="125"/>
          <w:marBottom w:val="0"/>
          <w:divBdr>
            <w:top w:val="none" w:sz="0" w:space="0" w:color="auto"/>
            <w:left w:val="none" w:sz="0" w:space="0" w:color="auto"/>
            <w:bottom w:val="none" w:sz="0" w:space="0" w:color="auto"/>
            <w:right w:val="none" w:sz="0" w:space="0" w:color="auto"/>
          </w:divBdr>
        </w:div>
        <w:div w:id="837039629">
          <w:marLeft w:val="1166"/>
          <w:marRight w:val="0"/>
          <w:marTop w:val="125"/>
          <w:marBottom w:val="0"/>
          <w:divBdr>
            <w:top w:val="none" w:sz="0" w:space="0" w:color="auto"/>
            <w:left w:val="none" w:sz="0" w:space="0" w:color="auto"/>
            <w:bottom w:val="none" w:sz="0" w:space="0" w:color="auto"/>
            <w:right w:val="none" w:sz="0" w:space="0" w:color="auto"/>
          </w:divBdr>
        </w:div>
        <w:div w:id="1363357823">
          <w:marLeft w:val="1166"/>
          <w:marRight w:val="0"/>
          <w:marTop w:val="125"/>
          <w:marBottom w:val="0"/>
          <w:divBdr>
            <w:top w:val="none" w:sz="0" w:space="0" w:color="auto"/>
            <w:left w:val="none" w:sz="0" w:space="0" w:color="auto"/>
            <w:bottom w:val="none" w:sz="0" w:space="0" w:color="auto"/>
            <w:right w:val="none" w:sz="0" w:space="0" w:color="auto"/>
          </w:divBdr>
        </w:div>
        <w:div w:id="1221400460">
          <w:marLeft w:val="1166"/>
          <w:marRight w:val="0"/>
          <w:marTop w:val="125"/>
          <w:marBottom w:val="0"/>
          <w:divBdr>
            <w:top w:val="none" w:sz="0" w:space="0" w:color="auto"/>
            <w:left w:val="none" w:sz="0" w:space="0" w:color="auto"/>
            <w:bottom w:val="none" w:sz="0" w:space="0" w:color="auto"/>
            <w:right w:val="none" w:sz="0" w:space="0" w:color="auto"/>
          </w:divBdr>
        </w:div>
        <w:div w:id="1385375965">
          <w:marLeft w:val="1166"/>
          <w:marRight w:val="0"/>
          <w:marTop w:val="125"/>
          <w:marBottom w:val="0"/>
          <w:divBdr>
            <w:top w:val="none" w:sz="0" w:space="0" w:color="auto"/>
            <w:left w:val="none" w:sz="0" w:space="0" w:color="auto"/>
            <w:bottom w:val="none" w:sz="0" w:space="0" w:color="auto"/>
            <w:right w:val="none" w:sz="0" w:space="0" w:color="auto"/>
          </w:divBdr>
        </w:div>
        <w:div w:id="1921400673">
          <w:marLeft w:val="547"/>
          <w:marRight w:val="0"/>
          <w:marTop w:val="12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1035</Words>
  <Characters>5696</Characters>
  <Application>Microsoft Office Word</Application>
  <DocSecurity>0</DocSecurity>
  <Lines>47</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11</cp:revision>
  <dcterms:created xsi:type="dcterms:W3CDTF">2020-10-14T09:12:00Z</dcterms:created>
  <dcterms:modified xsi:type="dcterms:W3CDTF">2021-05-04T13:28:00Z</dcterms:modified>
</cp:coreProperties>
</file>