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3B9E1" w14:textId="77777777" w:rsidR="00151ADF" w:rsidRPr="00EA59D4" w:rsidRDefault="00B71D66" w:rsidP="00EA59D4">
      <w:pPr>
        <w:pStyle w:val="ListParagraph"/>
        <w:spacing w:before="120" w:after="120" w:line="260" w:lineRule="atLeast"/>
        <w:ind w:left="0"/>
        <w:rPr>
          <w:rFonts w:ascii="Verdana" w:hAnsi="Verdana"/>
          <w:b/>
          <w:sz w:val="32"/>
          <w:szCs w:val="32"/>
        </w:rPr>
      </w:pPr>
      <w:r w:rsidRPr="00EA59D4">
        <w:rPr>
          <w:rFonts w:ascii="Verdana" w:hAnsi="Verdana"/>
          <w:b/>
          <w:bCs/>
          <w:sz w:val="32"/>
          <w:szCs w:val="32"/>
        </w:rPr>
        <w:t xml:space="preserve">Ders Planı </w:t>
      </w:r>
    </w:p>
    <w:p w14:paraId="0A9E9B33" w14:textId="77777777" w:rsidR="00B71D66" w:rsidRPr="00EA59D4" w:rsidRDefault="00B71D66" w:rsidP="00EA59D4">
      <w:pPr>
        <w:pStyle w:val="ListParagraph"/>
        <w:spacing w:before="120" w:after="120" w:line="260" w:lineRule="atLeast"/>
        <w:ind w:left="360"/>
        <w:rPr>
          <w:rFonts w:ascii="Verdana" w:hAnsi="Verdana"/>
        </w:rPr>
      </w:pPr>
    </w:p>
    <w:p w14:paraId="01B49852" w14:textId="77777777" w:rsidR="00D82C18" w:rsidRPr="00EA59D4" w:rsidRDefault="00D82C18" w:rsidP="00EA59D4">
      <w:pPr>
        <w:pStyle w:val="ListParagraph"/>
        <w:spacing w:before="120" w:after="120" w:line="260" w:lineRule="atLeast"/>
        <w:ind w:left="0"/>
        <w:rPr>
          <w:rFonts w:ascii="Verdana" w:hAnsi="Verdana"/>
          <w:b/>
          <w:sz w:val="32"/>
          <w:szCs w:val="32"/>
        </w:rPr>
      </w:pPr>
      <w:r w:rsidRPr="00EA59D4">
        <w:rPr>
          <w:rFonts w:ascii="Verdana" w:hAnsi="Verdana"/>
          <w:sz w:val="28"/>
          <w:szCs w:val="28"/>
        </w:rPr>
        <w:t>Ders 3.x (Uluslararası İşbirliğine Dair Temel Kavramlar)</w:t>
      </w:r>
    </w:p>
    <w:p w14:paraId="08443C63" w14:textId="77777777" w:rsidR="00D82C18" w:rsidRPr="00EA59D4" w:rsidRDefault="00D82C18" w:rsidP="00EA59D4">
      <w:pPr>
        <w:spacing w:before="120" w:after="120" w:line="260" w:lineRule="atLeast"/>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EA59D4" w14:paraId="1CEF457B" w14:textId="77777777" w:rsidTr="00CB3026">
        <w:trPr>
          <w:trHeight w:val="872"/>
        </w:trPr>
        <w:tc>
          <w:tcPr>
            <w:tcW w:w="6326" w:type="dxa"/>
            <w:gridSpan w:val="2"/>
            <w:shd w:val="clear" w:color="auto" w:fill="DEEAF6" w:themeFill="accent5" w:themeFillTint="33"/>
            <w:vAlign w:val="center"/>
          </w:tcPr>
          <w:p w14:paraId="3CCD5718" w14:textId="77777777" w:rsidR="00D82C18" w:rsidRPr="00EA59D4" w:rsidRDefault="00D82C18" w:rsidP="00EA59D4">
            <w:pPr>
              <w:spacing w:before="120" w:after="120" w:line="260" w:lineRule="atLeast"/>
              <w:rPr>
                <w:rFonts w:ascii="Verdana" w:hAnsi="Verdana"/>
                <w:sz w:val="22"/>
                <w:szCs w:val="22"/>
              </w:rPr>
            </w:pPr>
            <w:r w:rsidRPr="00EA59D4">
              <w:rPr>
                <w:rFonts w:ascii="Verdana" w:hAnsi="Verdana"/>
                <w:sz w:val="22"/>
                <w:szCs w:val="22"/>
              </w:rPr>
              <w:t>Ders 3.x (Uluslararası İşbirliğine Dair Temel Kavramlar)</w:t>
            </w:r>
          </w:p>
        </w:tc>
        <w:tc>
          <w:tcPr>
            <w:tcW w:w="2684" w:type="dxa"/>
            <w:shd w:val="clear" w:color="auto" w:fill="DEEAF6" w:themeFill="accent5" w:themeFillTint="33"/>
            <w:vAlign w:val="center"/>
          </w:tcPr>
          <w:p w14:paraId="2C92F5DF" w14:textId="77777777" w:rsidR="00D82C18" w:rsidRPr="00EA59D4" w:rsidRDefault="00D82C18" w:rsidP="00EA59D4">
            <w:pPr>
              <w:spacing w:before="120" w:after="120" w:line="260" w:lineRule="atLeast"/>
              <w:rPr>
                <w:rFonts w:ascii="Verdana" w:hAnsi="Verdana"/>
                <w:sz w:val="22"/>
                <w:szCs w:val="22"/>
              </w:rPr>
            </w:pPr>
            <w:r w:rsidRPr="00EA59D4">
              <w:rPr>
                <w:rFonts w:ascii="Verdana" w:hAnsi="Verdana"/>
                <w:sz w:val="22"/>
                <w:szCs w:val="22"/>
              </w:rPr>
              <w:t>Süre: 90 dakika</w:t>
            </w:r>
          </w:p>
        </w:tc>
      </w:tr>
      <w:tr w:rsidR="003406F3" w:rsidRPr="00EA59D4" w14:paraId="7112A3CD" w14:textId="77777777" w:rsidTr="00B569A5">
        <w:trPr>
          <w:trHeight w:val="1025"/>
        </w:trPr>
        <w:tc>
          <w:tcPr>
            <w:tcW w:w="9010" w:type="dxa"/>
            <w:gridSpan w:val="3"/>
            <w:vAlign w:val="center"/>
          </w:tcPr>
          <w:p w14:paraId="22492E84" w14:textId="77777777" w:rsidR="00E7344B" w:rsidRPr="00EA59D4" w:rsidRDefault="00E7344B" w:rsidP="00EA59D4">
            <w:pPr>
              <w:spacing w:before="120" w:after="120" w:line="260" w:lineRule="atLeast"/>
              <w:rPr>
                <w:rFonts w:ascii="Verdana" w:hAnsi="Verdana"/>
                <w:b/>
                <w:sz w:val="22"/>
                <w:szCs w:val="22"/>
              </w:rPr>
            </w:pPr>
            <w:r w:rsidRPr="00EA59D4">
              <w:rPr>
                <w:rFonts w:ascii="Verdana" w:hAnsi="Verdana"/>
                <w:b/>
                <w:bCs/>
                <w:sz w:val="22"/>
                <w:szCs w:val="22"/>
              </w:rPr>
              <w:t>Gerek</w:t>
            </w:r>
            <w:r w:rsidR="00EE7A1F" w:rsidRPr="00EA59D4">
              <w:rPr>
                <w:rFonts w:ascii="Verdana" w:hAnsi="Verdana"/>
                <w:b/>
                <w:bCs/>
                <w:sz w:val="22"/>
                <w:szCs w:val="22"/>
              </w:rPr>
              <w:t>li</w:t>
            </w:r>
            <w:r w:rsidRPr="00EA59D4">
              <w:rPr>
                <w:rFonts w:ascii="Verdana" w:hAnsi="Verdana"/>
                <w:b/>
                <w:bCs/>
                <w:sz w:val="22"/>
                <w:szCs w:val="22"/>
              </w:rPr>
              <w:t xml:space="preserve"> Kaynaklar:</w:t>
            </w:r>
          </w:p>
          <w:p w14:paraId="6C8A4595" w14:textId="77777777" w:rsidR="00E7344B" w:rsidRPr="00EA59D4" w:rsidRDefault="00E7344B" w:rsidP="00EA59D4">
            <w:pPr>
              <w:pStyle w:val="bul1"/>
              <w:numPr>
                <w:ilvl w:val="0"/>
                <w:numId w:val="6"/>
              </w:numPr>
              <w:spacing w:before="120" w:after="120" w:line="260" w:lineRule="atLeast"/>
              <w:contextualSpacing/>
              <w:rPr>
                <w:szCs w:val="18"/>
              </w:rPr>
            </w:pPr>
            <w:r w:rsidRPr="00EA59D4">
              <w:rPr>
                <w:szCs w:val="18"/>
              </w:rPr>
              <w:t>Hazırlanan materyallerle uyumlu yazılım sürümlerinin yüklü olduğu bir PC/dizüstü bilgisayar</w:t>
            </w:r>
            <w:r w:rsidR="00EE7A1F" w:rsidRPr="00EA59D4">
              <w:rPr>
                <w:szCs w:val="18"/>
              </w:rPr>
              <w:t xml:space="preserve"> (Laptop)</w:t>
            </w:r>
          </w:p>
          <w:p w14:paraId="0F9C57D9" w14:textId="77777777" w:rsidR="00E7344B" w:rsidRPr="00EA59D4" w:rsidRDefault="00E7344B" w:rsidP="00EA59D4">
            <w:pPr>
              <w:pStyle w:val="bul1"/>
              <w:numPr>
                <w:ilvl w:val="0"/>
                <w:numId w:val="6"/>
              </w:numPr>
              <w:spacing w:before="120" w:after="120" w:line="260" w:lineRule="atLeast"/>
              <w:contextualSpacing/>
              <w:rPr>
                <w:szCs w:val="18"/>
              </w:rPr>
            </w:pPr>
            <w:r w:rsidRPr="00EA59D4">
              <w:rPr>
                <w:szCs w:val="18"/>
              </w:rPr>
              <w:t>Projektör ve gösterim ekranı</w:t>
            </w:r>
          </w:p>
          <w:p w14:paraId="7BE2D6E7" w14:textId="77777777" w:rsidR="00E7344B" w:rsidRPr="00EA59D4" w:rsidRDefault="00E7344B" w:rsidP="00EA59D4">
            <w:pPr>
              <w:pStyle w:val="bul1"/>
              <w:numPr>
                <w:ilvl w:val="0"/>
                <w:numId w:val="6"/>
              </w:numPr>
              <w:spacing w:before="120" w:after="120" w:line="260" w:lineRule="atLeast"/>
              <w:contextualSpacing/>
              <w:rPr>
                <w:szCs w:val="18"/>
              </w:rPr>
            </w:pPr>
            <w:r w:rsidRPr="00EA59D4">
              <w:rPr>
                <w:szCs w:val="18"/>
              </w:rPr>
              <w:t>İnternet erişimi (</w:t>
            </w:r>
            <w:r w:rsidR="004F76C3" w:rsidRPr="00EA59D4">
              <w:rPr>
                <w:szCs w:val="18"/>
              </w:rPr>
              <w:t>mevcutsa</w:t>
            </w:r>
            <w:r w:rsidRPr="00EA59D4">
              <w:rPr>
                <w:szCs w:val="18"/>
              </w:rPr>
              <w:t xml:space="preserve">) </w:t>
            </w:r>
          </w:p>
          <w:p w14:paraId="485B492A" w14:textId="77777777" w:rsidR="00E7344B" w:rsidRPr="00EA59D4" w:rsidRDefault="00E7344B" w:rsidP="00EA59D4">
            <w:pPr>
              <w:pStyle w:val="bul1"/>
              <w:numPr>
                <w:ilvl w:val="0"/>
                <w:numId w:val="6"/>
              </w:numPr>
              <w:spacing w:before="120" w:after="120" w:line="260" w:lineRule="atLeast"/>
              <w:contextualSpacing/>
              <w:rPr>
                <w:i/>
                <w:szCs w:val="18"/>
              </w:rPr>
            </w:pPr>
            <w:r w:rsidRPr="00EA59D4">
              <w:rPr>
                <w:rFonts w:cs="Helvetica"/>
                <w:szCs w:val="18"/>
              </w:rPr>
              <w:t>Öğrenci not kağıdı ve kalemler.</w:t>
            </w:r>
          </w:p>
        </w:tc>
      </w:tr>
      <w:tr w:rsidR="003406F3" w:rsidRPr="00EA59D4" w14:paraId="6A0484DF" w14:textId="77777777" w:rsidTr="00B569A5">
        <w:trPr>
          <w:trHeight w:val="1241"/>
        </w:trPr>
        <w:tc>
          <w:tcPr>
            <w:tcW w:w="9010" w:type="dxa"/>
            <w:gridSpan w:val="3"/>
            <w:vAlign w:val="center"/>
          </w:tcPr>
          <w:p w14:paraId="7322DD9D" w14:textId="77777777" w:rsidR="00A03CF0" w:rsidRPr="00EA59D4" w:rsidRDefault="00A03CF0" w:rsidP="00EA59D4">
            <w:pPr>
              <w:spacing w:before="120" w:after="120" w:line="260" w:lineRule="atLeast"/>
              <w:rPr>
                <w:rFonts w:ascii="Verdana" w:hAnsi="Verdana"/>
                <w:b/>
                <w:sz w:val="22"/>
                <w:szCs w:val="22"/>
              </w:rPr>
            </w:pPr>
            <w:r w:rsidRPr="00EA59D4">
              <w:rPr>
                <w:rFonts w:ascii="Verdana" w:hAnsi="Verdana"/>
                <w:b/>
                <w:bCs/>
                <w:sz w:val="22"/>
                <w:szCs w:val="22"/>
              </w:rPr>
              <w:t xml:space="preserve">Oturumun Amacı:  </w:t>
            </w:r>
          </w:p>
          <w:p w14:paraId="1B9CD0D7" w14:textId="77777777" w:rsidR="00A03CF0" w:rsidRPr="00EA59D4" w:rsidRDefault="007B75A9" w:rsidP="00EA59D4">
            <w:pPr>
              <w:spacing w:before="120" w:after="120" w:line="260" w:lineRule="atLeast"/>
              <w:jc w:val="both"/>
              <w:rPr>
                <w:rFonts w:ascii="Verdana" w:hAnsi="Verdana"/>
                <w:sz w:val="18"/>
                <w:szCs w:val="18"/>
              </w:rPr>
            </w:pPr>
            <w:r w:rsidRPr="00EA59D4">
              <w:rPr>
                <w:rFonts w:ascii="Verdana" w:hAnsi="Verdana"/>
                <w:sz w:val="18"/>
                <w:szCs w:val="18"/>
              </w:rPr>
              <w:t xml:space="preserve">Bu oturumun genel amacı, Budapeşte Sözleşmesinin hükümlerine odaklanarak </w:t>
            </w:r>
            <w:r w:rsidR="00D84B60" w:rsidRPr="00EA59D4">
              <w:rPr>
                <w:rFonts w:ascii="Verdana" w:hAnsi="Verdana"/>
                <w:sz w:val="18"/>
                <w:szCs w:val="18"/>
              </w:rPr>
              <w:t>katılımcıların</w:t>
            </w:r>
            <w:r w:rsidRPr="00EA59D4">
              <w:rPr>
                <w:rFonts w:ascii="Verdana" w:hAnsi="Verdana"/>
                <w:sz w:val="18"/>
                <w:szCs w:val="18"/>
              </w:rPr>
              <w:t xml:space="preserve"> siber suçlar ve elektronik deliller ile ilgili konularda uluslararası işbirliği mekanizmalarını kapsamlı bir şekilde anlamalarını sağlamaktır.</w:t>
            </w:r>
          </w:p>
        </w:tc>
      </w:tr>
      <w:tr w:rsidR="003406F3" w:rsidRPr="00EA59D4" w14:paraId="31EE8410" w14:textId="77777777" w:rsidTr="00B569A5">
        <w:trPr>
          <w:trHeight w:val="2240"/>
        </w:trPr>
        <w:tc>
          <w:tcPr>
            <w:tcW w:w="9010" w:type="dxa"/>
            <w:gridSpan w:val="3"/>
            <w:vAlign w:val="center"/>
          </w:tcPr>
          <w:p w14:paraId="4A6A44C4" w14:textId="77777777" w:rsidR="00A03CF0" w:rsidRPr="00EA59D4" w:rsidRDefault="00271010" w:rsidP="00EA59D4">
            <w:pPr>
              <w:spacing w:before="120" w:after="120" w:line="260" w:lineRule="atLeast"/>
              <w:contextualSpacing/>
              <w:rPr>
                <w:rFonts w:ascii="Verdana" w:hAnsi="Verdana"/>
                <w:b/>
                <w:sz w:val="22"/>
                <w:szCs w:val="22"/>
              </w:rPr>
            </w:pPr>
            <w:r w:rsidRPr="00EA59D4">
              <w:rPr>
                <w:rFonts w:ascii="Verdana" w:hAnsi="Verdana"/>
                <w:b/>
                <w:bCs/>
                <w:sz w:val="22"/>
                <w:szCs w:val="22"/>
              </w:rPr>
              <w:t>Hedefler:</w:t>
            </w:r>
          </w:p>
          <w:p w14:paraId="69DCE04D" w14:textId="77777777" w:rsidR="005703B7" w:rsidRPr="00EA59D4" w:rsidRDefault="005703B7" w:rsidP="00EA59D4">
            <w:pPr>
              <w:tabs>
                <w:tab w:val="left" w:pos="426"/>
                <w:tab w:val="left" w:pos="851"/>
              </w:tabs>
              <w:spacing w:before="120" w:after="120" w:line="260" w:lineRule="atLeast"/>
              <w:contextualSpacing/>
              <w:jc w:val="both"/>
              <w:rPr>
                <w:rFonts w:ascii="Verdana" w:eastAsia="Times New Roman" w:hAnsi="Verdana" w:cs="Times New Roman"/>
                <w:sz w:val="18"/>
                <w:szCs w:val="18"/>
              </w:rPr>
            </w:pPr>
            <w:r w:rsidRPr="00EA59D4">
              <w:rPr>
                <w:rFonts w:ascii="Verdana" w:eastAsia="Times New Roman" w:hAnsi="Verdana" w:cs="Times New Roman"/>
                <w:sz w:val="18"/>
                <w:szCs w:val="18"/>
              </w:rPr>
              <w:t>Bu dersin sonunda öğrenciler:</w:t>
            </w:r>
          </w:p>
          <w:p w14:paraId="5995E6A7" w14:textId="77777777" w:rsidR="005703B7" w:rsidRPr="00EA59D4" w:rsidRDefault="0051122C" w:rsidP="00EA59D4">
            <w:pPr>
              <w:pStyle w:val="bul1"/>
              <w:spacing w:before="120" w:after="120" w:line="260" w:lineRule="atLeast"/>
              <w:ind w:left="697" w:hanging="360"/>
              <w:contextualSpacing/>
              <w:rPr>
                <w:szCs w:val="18"/>
              </w:rPr>
            </w:pPr>
            <w:r w:rsidRPr="00EA59D4">
              <w:rPr>
                <w:szCs w:val="18"/>
              </w:rPr>
              <w:t>İnternetin küresel boyutunu ve siber suçların uluslararası boyutunu anlayacak</w:t>
            </w:r>
          </w:p>
          <w:p w14:paraId="66BE7819" w14:textId="77777777" w:rsidR="005703B7" w:rsidRPr="00EA59D4" w:rsidRDefault="0051122C" w:rsidP="00EA59D4">
            <w:pPr>
              <w:pStyle w:val="bul1"/>
              <w:spacing w:before="120" w:after="120" w:line="260" w:lineRule="atLeast"/>
              <w:ind w:left="697" w:hanging="360"/>
              <w:contextualSpacing/>
              <w:rPr>
                <w:szCs w:val="18"/>
              </w:rPr>
            </w:pPr>
            <w:r w:rsidRPr="00EA59D4">
              <w:rPr>
                <w:szCs w:val="18"/>
              </w:rPr>
              <w:t>Uluslararası işbirliğinin önemini açıklayacak ve siber suç alanında uluslararası işbirliği için mevcut araçları tanıyacak</w:t>
            </w:r>
          </w:p>
          <w:p w14:paraId="34123259" w14:textId="77777777" w:rsidR="00E95703" w:rsidRPr="00EA59D4" w:rsidRDefault="0051122C" w:rsidP="00EA59D4">
            <w:pPr>
              <w:pStyle w:val="bul1"/>
              <w:spacing w:before="120" w:after="120" w:line="260" w:lineRule="atLeast"/>
              <w:ind w:left="697" w:hanging="360"/>
              <w:contextualSpacing/>
              <w:rPr>
                <w:i/>
                <w:szCs w:val="18"/>
              </w:rPr>
            </w:pPr>
            <w:r w:rsidRPr="00EA59D4">
              <w:rPr>
                <w:szCs w:val="18"/>
              </w:rPr>
              <w:t>Uluslararası işbirliği için çok hızlı ve verimli kanallara duyulan ihtiyacı ve mevcut araçları, nasıl kullanıldıklarını, zamanlama ve etkinliklerini belirleyebilecek</w:t>
            </w:r>
          </w:p>
          <w:p w14:paraId="39223CF3" w14:textId="77777777" w:rsidR="0051122C" w:rsidRPr="00EA59D4" w:rsidRDefault="0051122C" w:rsidP="00EA59D4">
            <w:pPr>
              <w:pStyle w:val="bul1"/>
              <w:spacing w:before="120" w:after="120" w:line="260" w:lineRule="atLeast"/>
              <w:ind w:left="697" w:hanging="360"/>
              <w:contextualSpacing/>
              <w:rPr>
                <w:szCs w:val="18"/>
              </w:rPr>
            </w:pPr>
            <w:r w:rsidRPr="00EA59D4">
              <w:rPr>
                <w:szCs w:val="18"/>
              </w:rPr>
              <w:t>Uluslararası işbirliğinin yeni biçimlerinin uygulanmasına ilişkin olarak uluslararası kuruluşların çalışmalarını açıklayabilecek</w:t>
            </w:r>
          </w:p>
          <w:p w14:paraId="71890E17" w14:textId="77777777" w:rsidR="0051122C" w:rsidRPr="00EA59D4" w:rsidRDefault="0051122C" w:rsidP="00EA59D4">
            <w:pPr>
              <w:pStyle w:val="bul1"/>
              <w:spacing w:before="120" w:after="120" w:line="260" w:lineRule="atLeast"/>
              <w:ind w:left="697" w:hanging="360"/>
              <w:contextualSpacing/>
              <w:rPr>
                <w:szCs w:val="18"/>
              </w:rPr>
            </w:pPr>
            <w:r w:rsidRPr="00EA59D4">
              <w:rPr>
                <w:szCs w:val="18"/>
              </w:rPr>
              <w:t>Budapeşte Siber Suçlar Sözleşmesini tartışabilecek ve genel ilkelerini, usul önlemlerini ve acil uluslararası işbirliği için 7/24 faal ağı açıklayabilecektir</w:t>
            </w:r>
          </w:p>
        </w:tc>
      </w:tr>
      <w:tr w:rsidR="003406F3" w:rsidRPr="00EA59D4" w14:paraId="14C63C1F" w14:textId="77777777" w:rsidTr="00B569A5">
        <w:trPr>
          <w:trHeight w:val="1475"/>
        </w:trPr>
        <w:tc>
          <w:tcPr>
            <w:tcW w:w="9010" w:type="dxa"/>
            <w:gridSpan w:val="3"/>
            <w:tcBorders>
              <w:bottom w:val="single" w:sz="4" w:space="0" w:color="auto"/>
            </w:tcBorders>
            <w:vAlign w:val="center"/>
          </w:tcPr>
          <w:p w14:paraId="264D2F75" w14:textId="77777777" w:rsidR="005703B7" w:rsidRPr="00EA59D4" w:rsidRDefault="00D84B60" w:rsidP="00EA59D4">
            <w:pPr>
              <w:spacing w:before="120" w:after="120" w:line="260" w:lineRule="atLeast"/>
              <w:rPr>
                <w:rFonts w:ascii="Verdana" w:hAnsi="Verdana"/>
                <w:b/>
                <w:sz w:val="22"/>
                <w:szCs w:val="22"/>
                <w:lang w:val="de-DE"/>
              </w:rPr>
            </w:pPr>
            <w:r w:rsidRPr="00EA59D4">
              <w:rPr>
                <w:rFonts w:ascii="Verdana" w:hAnsi="Verdana"/>
                <w:b/>
                <w:bCs/>
                <w:sz w:val="22"/>
                <w:szCs w:val="22"/>
                <w:lang w:val="de-DE"/>
              </w:rPr>
              <w:t>Eğitici</w:t>
            </w:r>
            <w:r w:rsidR="00E95703" w:rsidRPr="00EA59D4">
              <w:rPr>
                <w:rFonts w:ascii="Verdana" w:hAnsi="Verdana"/>
                <w:b/>
                <w:bCs/>
                <w:sz w:val="22"/>
                <w:szCs w:val="22"/>
                <w:lang w:val="de-DE"/>
              </w:rPr>
              <w:t xml:space="preserve"> Rehberi</w:t>
            </w:r>
          </w:p>
          <w:p w14:paraId="7A226694" w14:textId="77777777" w:rsidR="007B75A9" w:rsidRPr="00EA59D4" w:rsidRDefault="00B569A5" w:rsidP="00EA59D4">
            <w:pPr>
              <w:spacing w:before="120" w:after="120" w:line="260" w:lineRule="atLeast"/>
              <w:jc w:val="both"/>
              <w:rPr>
                <w:rFonts w:ascii="Verdana" w:hAnsi="Verdana"/>
                <w:sz w:val="18"/>
                <w:szCs w:val="18"/>
                <w:lang w:val="de-DE"/>
              </w:rPr>
            </w:pPr>
            <w:r w:rsidRPr="00EA59D4">
              <w:rPr>
                <w:rFonts w:ascii="Verdana" w:hAnsi="Verdana"/>
                <w:sz w:val="18"/>
                <w:szCs w:val="18"/>
                <w:lang w:val="de-DE"/>
              </w:rPr>
              <w:t xml:space="preserve">Bu oturum, </w:t>
            </w:r>
            <w:r w:rsidR="00D84B60" w:rsidRPr="00EA59D4">
              <w:rPr>
                <w:rFonts w:ascii="Verdana" w:hAnsi="Verdana"/>
                <w:sz w:val="18"/>
                <w:szCs w:val="18"/>
                <w:lang w:val="de-DE"/>
              </w:rPr>
              <w:t>katılımcıların</w:t>
            </w:r>
            <w:r w:rsidRPr="00EA59D4">
              <w:rPr>
                <w:rFonts w:ascii="Verdana" w:hAnsi="Verdana"/>
                <w:sz w:val="18"/>
                <w:szCs w:val="18"/>
                <w:lang w:val="de-DE"/>
              </w:rPr>
              <w:t xml:space="preserve"> siber suçlar ve elektronik delillerle ilgili uluslararası işbirliği mekanizmalarını kapsamlı bir şekilde anlamaları için hazırlanmıştır. Oturum, bir giriş ve bir sonuç bölümüne ek olarak beş bölümden oluşmaktadır. Birinci bölümde siber suçların uluslararası boyutu ele alınmaktadır. İkinci bölümde Siber Suçlar Sözleşmesi ve uluslararası işbirliği araçlarıyla olan ilişkin ele alınmaktadır. Üçüncü bölümde Budapeşte Sözleşmesinde uluslararası birliğiyle ilgili genel hususlar açıklanmaktadır. Dördüncü bölümde Budapeşte Sözleşmesinde uluslararası birliğiyle ilgili özel hususlar açıklanmaktadır.</w:t>
            </w:r>
          </w:p>
        </w:tc>
      </w:tr>
      <w:tr w:rsidR="003406F3" w:rsidRPr="00EA59D4" w14:paraId="72576E3E"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13FD2A96" w14:textId="77777777" w:rsidR="005A4E47" w:rsidRPr="00EA59D4" w:rsidRDefault="005A4E47" w:rsidP="00EA59D4">
            <w:pPr>
              <w:spacing w:before="120" w:after="120" w:line="260" w:lineRule="atLeast"/>
              <w:rPr>
                <w:rFonts w:ascii="Verdana" w:hAnsi="Verdana"/>
                <w:b/>
                <w:sz w:val="28"/>
                <w:szCs w:val="28"/>
              </w:rPr>
            </w:pPr>
            <w:r w:rsidRPr="00EA59D4">
              <w:rPr>
                <w:rFonts w:ascii="Verdana" w:hAnsi="Verdana"/>
                <w:b/>
                <w:bCs/>
                <w:sz w:val="28"/>
                <w:szCs w:val="28"/>
              </w:rPr>
              <w:t>Ders İçeriği</w:t>
            </w:r>
          </w:p>
        </w:tc>
      </w:tr>
      <w:tr w:rsidR="003406F3" w:rsidRPr="00EA59D4" w14:paraId="7EEBD6A6" w14:textId="77777777" w:rsidTr="00CB3026">
        <w:trPr>
          <w:trHeight w:val="629"/>
        </w:trPr>
        <w:tc>
          <w:tcPr>
            <w:tcW w:w="1615" w:type="dxa"/>
            <w:shd w:val="clear" w:color="auto" w:fill="D9E2F3" w:themeFill="accent1" w:themeFillTint="33"/>
            <w:vAlign w:val="center"/>
          </w:tcPr>
          <w:p w14:paraId="1F2D31BE" w14:textId="77777777" w:rsidR="00D82C18" w:rsidRPr="00EA59D4" w:rsidRDefault="00E13BE7" w:rsidP="00EA59D4">
            <w:pPr>
              <w:spacing w:before="120" w:after="120" w:line="260" w:lineRule="atLeast"/>
              <w:jc w:val="center"/>
              <w:rPr>
                <w:rFonts w:ascii="Verdana" w:hAnsi="Verdana"/>
                <w:b/>
                <w:sz w:val="22"/>
                <w:szCs w:val="22"/>
              </w:rPr>
            </w:pPr>
            <w:r w:rsidRPr="00EA59D4">
              <w:rPr>
                <w:rFonts w:ascii="Verdana" w:hAnsi="Verdana"/>
                <w:b/>
                <w:bCs/>
                <w:sz w:val="22"/>
                <w:szCs w:val="22"/>
              </w:rPr>
              <w:t>Slayt Numaraları</w:t>
            </w:r>
          </w:p>
        </w:tc>
        <w:tc>
          <w:tcPr>
            <w:tcW w:w="7395" w:type="dxa"/>
            <w:gridSpan w:val="2"/>
            <w:shd w:val="clear" w:color="auto" w:fill="D9E2F3" w:themeFill="accent1" w:themeFillTint="33"/>
            <w:vAlign w:val="center"/>
          </w:tcPr>
          <w:p w14:paraId="23DA0B2F" w14:textId="77777777" w:rsidR="00D82C18" w:rsidRPr="00EA59D4" w:rsidRDefault="00E13BE7" w:rsidP="00EA59D4">
            <w:pPr>
              <w:spacing w:before="120" w:after="120" w:line="260" w:lineRule="atLeast"/>
              <w:rPr>
                <w:rFonts w:ascii="Verdana" w:hAnsi="Verdana"/>
                <w:b/>
                <w:sz w:val="22"/>
                <w:szCs w:val="22"/>
              </w:rPr>
            </w:pPr>
            <w:r w:rsidRPr="00EA59D4">
              <w:rPr>
                <w:rFonts w:ascii="Verdana" w:hAnsi="Verdana"/>
                <w:b/>
                <w:bCs/>
                <w:sz w:val="22"/>
                <w:szCs w:val="22"/>
              </w:rPr>
              <w:t>İçerik</w:t>
            </w:r>
          </w:p>
        </w:tc>
      </w:tr>
      <w:tr w:rsidR="003406F3" w:rsidRPr="00EA59D4" w14:paraId="24F4EB27" w14:textId="77777777" w:rsidTr="00DB09DC">
        <w:trPr>
          <w:trHeight w:val="530"/>
        </w:trPr>
        <w:tc>
          <w:tcPr>
            <w:tcW w:w="1615" w:type="dxa"/>
            <w:vAlign w:val="center"/>
          </w:tcPr>
          <w:p w14:paraId="38969092" w14:textId="77777777" w:rsidR="00D82C18" w:rsidRPr="00EA59D4" w:rsidRDefault="003630ED" w:rsidP="00EA59D4">
            <w:pPr>
              <w:spacing w:before="120" w:after="120" w:line="260" w:lineRule="atLeast"/>
              <w:jc w:val="center"/>
              <w:rPr>
                <w:rFonts w:ascii="Verdana" w:hAnsi="Verdana"/>
                <w:sz w:val="18"/>
                <w:szCs w:val="18"/>
              </w:rPr>
            </w:pPr>
            <w:r w:rsidRPr="00EA59D4">
              <w:rPr>
                <w:rFonts w:ascii="Verdana" w:hAnsi="Verdana"/>
                <w:sz w:val="18"/>
                <w:szCs w:val="18"/>
              </w:rPr>
              <w:t>1-3</w:t>
            </w:r>
          </w:p>
        </w:tc>
        <w:tc>
          <w:tcPr>
            <w:tcW w:w="7395" w:type="dxa"/>
            <w:gridSpan w:val="2"/>
            <w:vAlign w:val="center"/>
          </w:tcPr>
          <w:p w14:paraId="03350B08" w14:textId="77777777" w:rsidR="003630ED" w:rsidRPr="00EA59D4" w:rsidRDefault="00DB09DC" w:rsidP="00EA59D4">
            <w:pPr>
              <w:tabs>
                <w:tab w:val="left" w:pos="426"/>
                <w:tab w:val="left" w:pos="851"/>
              </w:tabs>
              <w:spacing w:before="120" w:after="120" w:line="260" w:lineRule="atLeast"/>
              <w:jc w:val="both"/>
              <w:rPr>
                <w:rFonts w:ascii="Verdana" w:hAnsi="Verdana"/>
                <w:sz w:val="18"/>
                <w:szCs w:val="18"/>
              </w:rPr>
            </w:pPr>
            <w:r w:rsidRPr="00EA59D4">
              <w:rPr>
                <w:rFonts w:ascii="Verdana" w:eastAsia="Times New Roman" w:hAnsi="Verdana" w:cs="Times New Roman"/>
                <w:sz w:val="18"/>
                <w:szCs w:val="18"/>
              </w:rPr>
              <w:t xml:space="preserve">İlk slaytlarda bu oturumun yapısı ve hedefleri açıklanmaktadır. </w:t>
            </w:r>
            <w:r w:rsidR="00D84B60" w:rsidRPr="00EA59D4">
              <w:rPr>
                <w:rFonts w:ascii="Verdana" w:eastAsia="Times New Roman" w:hAnsi="Verdana" w:cs="Times New Roman"/>
                <w:sz w:val="18"/>
                <w:szCs w:val="18"/>
              </w:rPr>
              <w:t>Katılımcılara</w:t>
            </w:r>
            <w:r w:rsidRPr="00EA59D4">
              <w:rPr>
                <w:rFonts w:ascii="Verdana" w:eastAsia="Times New Roman" w:hAnsi="Verdana" w:cs="Times New Roman"/>
                <w:sz w:val="18"/>
                <w:szCs w:val="18"/>
              </w:rPr>
              <w:t xml:space="preserve"> oturumun yapısı ve hedefleri hakkında sahip olabilecekleri soruları sormaları için fırsat verilecektir.</w:t>
            </w:r>
          </w:p>
        </w:tc>
      </w:tr>
      <w:tr w:rsidR="003406F3" w:rsidRPr="00EA59D4" w14:paraId="726A96C6" w14:textId="77777777" w:rsidTr="00C9640B">
        <w:trPr>
          <w:trHeight w:val="1876"/>
        </w:trPr>
        <w:tc>
          <w:tcPr>
            <w:tcW w:w="1615" w:type="dxa"/>
            <w:vAlign w:val="center"/>
          </w:tcPr>
          <w:p w14:paraId="62EE0851" w14:textId="77777777" w:rsidR="00D82C18" w:rsidRPr="00EA59D4" w:rsidRDefault="00DB09DC" w:rsidP="00EA59D4">
            <w:pPr>
              <w:spacing w:before="120" w:after="120" w:line="260" w:lineRule="atLeast"/>
              <w:jc w:val="center"/>
              <w:rPr>
                <w:rFonts w:ascii="Verdana" w:hAnsi="Verdana"/>
                <w:sz w:val="18"/>
                <w:szCs w:val="18"/>
              </w:rPr>
            </w:pPr>
            <w:r w:rsidRPr="00EA59D4">
              <w:rPr>
                <w:rFonts w:ascii="Verdana" w:hAnsi="Verdana"/>
                <w:sz w:val="18"/>
                <w:szCs w:val="18"/>
              </w:rPr>
              <w:lastRenderedPageBreak/>
              <w:t>4-16</w:t>
            </w:r>
          </w:p>
        </w:tc>
        <w:tc>
          <w:tcPr>
            <w:tcW w:w="7395" w:type="dxa"/>
            <w:gridSpan w:val="2"/>
            <w:vAlign w:val="center"/>
          </w:tcPr>
          <w:p w14:paraId="60C1F167" w14:textId="77777777" w:rsidR="00357C78" w:rsidRPr="00EA59D4" w:rsidRDefault="00CF0C7C" w:rsidP="00EA59D4">
            <w:pPr>
              <w:pStyle w:val="Subtitle"/>
              <w:spacing w:before="120" w:line="260" w:lineRule="atLeast"/>
              <w:rPr>
                <w:rFonts w:ascii="Verdana" w:hAnsi="Verdana"/>
                <w:szCs w:val="18"/>
              </w:rPr>
            </w:pPr>
            <w:r w:rsidRPr="00EA59D4">
              <w:rPr>
                <w:rFonts w:ascii="Verdana" w:hAnsi="Verdana"/>
                <w:iCs w:val="0"/>
                <w:szCs w:val="18"/>
              </w:rPr>
              <w:t xml:space="preserve">Bu slaytlarda, </w:t>
            </w:r>
            <w:r w:rsidR="00D84B60" w:rsidRPr="00EA59D4">
              <w:rPr>
                <w:rFonts w:ascii="Verdana" w:hAnsi="Verdana"/>
                <w:iCs w:val="0"/>
                <w:szCs w:val="18"/>
              </w:rPr>
              <w:t>katılımcıların</w:t>
            </w:r>
            <w:r w:rsidRPr="00EA59D4">
              <w:rPr>
                <w:rFonts w:ascii="Verdana" w:hAnsi="Verdana"/>
                <w:iCs w:val="0"/>
                <w:szCs w:val="18"/>
              </w:rPr>
              <w:t xml:space="preserve"> İnternetin küresel boyutu ve siber suçlar ve elektronik deliller ile ilgili konularda etkili uluslararası işbirliği ihtiyacını anlamalarını sağlanması amaçlanmaktadır. </w:t>
            </w:r>
            <w:r w:rsidR="00D84B60" w:rsidRPr="00EA59D4">
              <w:rPr>
                <w:rFonts w:ascii="Verdana" w:hAnsi="Verdana"/>
                <w:iCs w:val="0"/>
                <w:szCs w:val="18"/>
              </w:rPr>
              <w:t>Eğitici</w:t>
            </w:r>
            <w:r w:rsidRPr="00EA59D4">
              <w:rPr>
                <w:rFonts w:ascii="Verdana" w:hAnsi="Verdana"/>
                <w:iCs w:val="0"/>
                <w:szCs w:val="18"/>
              </w:rPr>
              <w:t xml:space="preserve">, siber suçların uluslararası boyutlarıyla ilgili zor soruları, bu modülün sonraki bölümlerinde ele alınacak temel hususlar olarak vurgulamalıdır. </w:t>
            </w:r>
          </w:p>
          <w:p w14:paraId="0B56DE6D" w14:textId="77777777" w:rsidR="00357C78" w:rsidRPr="00EA59D4" w:rsidRDefault="00357C78" w:rsidP="00EA59D4">
            <w:pPr>
              <w:pStyle w:val="Subtitle"/>
              <w:spacing w:before="120" w:line="260" w:lineRule="atLeast"/>
              <w:rPr>
                <w:rFonts w:ascii="Verdana" w:hAnsi="Verdana"/>
                <w:szCs w:val="18"/>
              </w:rPr>
            </w:pPr>
          </w:p>
          <w:p w14:paraId="1E9FC58E" w14:textId="77777777" w:rsidR="00357C78" w:rsidRPr="00EA59D4" w:rsidRDefault="00357C78" w:rsidP="00EA59D4">
            <w:pPr>
              <w:pStyle w:val="Subtitle"/>
              <w:spacing w:before="120" w:line="260" w:lineRule="atLeast"/>
              <w:rPr>
                <w:rFonts w:ascii="Verdana" w:hAnsi="Verdana"/>
                <w:szCs w:val="18"/>
              </w:rPr>
            </w:pPr>
            <w:r w:rsidRPr="00EA59D4">
              <w:rPr>
                <w:rFonts w:ascii="Verdana" w:hAnsi="Verdana"/>
                <w:iCs w:val="0"/>
                <w:szCs w:val="18"/>
              </w:rPr>
              <w:t>Ayrıca, uluslararası adli yardımın zorlukları şeklindeki temel konular da sunulmakta ve açıklanmaktadır. Klasik karşılıklı adli yardım ve idari ya da bazen daha iyi sonuçlar verebilen hızlandırılmış yardıma ilişkin kavramların ve zorlukların tanıtılması ve açıklanmasına ek ilgi gösterilmektedir.</w:t>
            </w:r>
          </w:p>
        </w:tc>
      </w:tr>
      <w:tr w:rsidR="003406F3" w:rsidRPr="00EA59D4" w14:paraId="13CCAF4B" w14:textId="77777777" w:rsidTr="001B428D">
        <w:trPr>
          <w:trHeight w:val="2015"/>
        </w:trPr>
        <w:tc>
          <w:tcPr>
            <w:tcW w:w="1615" w:type="dxa"/>
            <w:vAlign w:val="center"/>
          </w:tcPr>
          <w:p w14:paraId="7E2720FD" w14:textId="77777777" w:rsidR="00A00A58" w:rsidRPr="00EA59D4" w:rsidRDefault="00357C78" w:rsidP="00EA59D4">
            <w:pPr>
              <w:spacing w:before="120" w:after="120" w:line="260" w:lineRule="atLeast"/>
              <w:jc w:val="center"/>
              <w:rPr>
                <w:rFonts w:ascii="Verdana" w:hAnsi="Verdana"/>
                <w:sz w:val="18"/>
                <w:szCs w:val="18"/>
              </w:rPr>
            </w:pPr>
            <w:r w:rsidRPr="00EA59D4">
              <w:rPr>
                <w:rFonts w:ascii="Verdana" w:hAnsi="Verdana"/>
                <w:sz w:val="18"/>
                <w:szCs w:val="18"/>
              </w:rPr>
              <w:t>17-23</w:t>
            </w:r>
          </w:p>
        </w:tc>
        <w:tc>
          <w:tcPr>
            <w:tcW w:w="7395" w:type="dxa"/>
            <w:gridSpan w:val="2"/>
            <w:vAlign w:val="center"/>
          </w:tcPr>
          <w:p w14:paraId="3E297BE0" w14:textId="77777777" w:rsidR="00175ADE" w:rsidRPr="00EA59D4" w:rsidRDefault="00357C78" w:rsidP="00EA59D4">
            <w:pPr>
              <w:spacing w:before="120" w:after="120" w:line="260" w:lineRule="atLeast"/>
              <w:jc w:val="both"/>
              <w:rPr>
                <w:rFonts w:ascii="Verdana" w:hAnsi="Verdana"/>
                <w:sz w:val="18"/>
                <w:szCs w:val="18"/>
              </w:rPr>
            </w:pPr>
            <w:r w:rsidRPr="00EA59D4">
              <w:rPr>
                <w:rFonts w:ascii="Verdana" w:hAnsi="Verdana"/>
                <w:sz w:val="18"/>
                <w:szCs w:val="18"/>
              </w:rPr>
              <w:t xml:space="preserve">Bu slaytlarda, suçlu iade kurallarının yanı sıra geleneksel ve bilgisayar suçlarıyla ilgili karşılıklı yardıma ilişkin hükümleri içeren Sözleşmenin 3. Bölümü sunulmaktadır. İki durumda geleneksel karşılıklı yardımı kapsar: Taraflar arasında hiçbir yasal dayanağın (antlaşma, karşılıklı mevzuat vb.) olmaması (ki bu durumda Sözleşmenin hükümleri uygulanır) ve böyle bir dayanağın mevcut olması (bu durumda Sözleşme uyarınca gerçekleştirilecek yardım için mevcut düzenlemeler de geçerlidir). </w:t>
            </w:r>
          </w:p>
          <w:p w14:paraId="588224DA" w14:textId="77777777" w:rsidR="009A46F5" w:rsidRPr="00EA59D4" w:rsidRDefault="009A46F5" w:rsidP="00EA59D4">
            <w:pPr>
              <w:spacing w:before="120" w:after="120" w:line="260" w:lineRule="atLeast"/>
              <w:jc w:val="both"/>
              <w:rPr>
                <w:rFonts w:ascii="Verdana" w:hAnsi="Verdana"/>
                <w:sz w:val="18"/>
                <w:szCs w:val="18"/>
              </w:rPr>
            </w:pPr>
            <w:r w:rsidRPr="00EA59D4">
              <w:rPr>
                <w:rFonts w:ascii="Verdana" w:hAnsi="Verdana"/>
                <w:sz w:val="18"/>
                <w:szCs w:val="18"/>
              </w:rPr>
              <w:t>Ayrıca slaytlarda ceza konularında karşılıklı adli yardımı düzenleyen uluslararası antlaşmalar ve kanunların temel ilkeleri ele alınacaktır.</w:t>
            </w:r>
          </w:p>
        </w:tc>
      </w:tr>
      <w:tr w:rsidR="003406F3" w:rsidRPr="00EA59D4" w14:paraId="4FE537FF" w14:textId="77777777" w:rsidTr="00CB3026">
        <w:trPr>
          <w:trHeight w:val="3158"/>
        </w:trPr>
        <w:tc>
          <w:tcPr>
            <w:tcW w:w="1615" w:type="dxa"/>
            <w:vAlign w:val="center"/>
          </w:tcPr>
          <w:p w14:paraId="2E6D7988" w14:textId="77777777" w:rsidR="00A00A58" w:rsidRPr="00EA59D4" w:rsidRDefault="00DB09DC" w:rsidP="00EA59D4">
            <w:pPr>
              <w:spacing w:before="120" w:after="120" w:line="260" w:lineRule="atLeast"/>
              <w:jc w:val="center"/>
              <w:rPr>
                <w:rFonts w:ascii="Verdana" w:hAnsi="Verdana"/>
                <w:sz w:val="18"/>
                <w:szCs w:val="18"/>
              </w:rPr>
            </w:pPr>
            <w:r w:rsidRPr="00EA59D4">
              <w:rPr>
                <w:rFonts w:ascii="Verdana" w:hAnsi="Verdana"/>
                <w:sz w:val="18"/>
                <w:szCs w:val="18"/>
              </w:rPr>
              <w:t>24-37</w:t>
            </w:r>
          </w:p>
        </w:tc>
        <w:tc>
          <w:tcPr>
            <w:tcW w:w="7395" w:type="dxa"/>
            <w:gridSpan w:val="2"/>
            <w:vAlign w:val="center"/>
          </w:tcPr>
          <w:p w14:paraId="38DC3378" w14:textId="77777777" w:rsidR="009A46F5" w:rsidRPr="00EA59D4" w:rsidRDefault="00DB09DC" w:rsidP="00EA59D4">
            <w:pPr>
              <w:pStyle w:val="Subtitle"/>
              <w:spacing w:before="120" w:line="260" w:lineRule="atLeast"/>
              <w:rPr>
                <w:rFonts w:ascii="Verdana" w:eastAsia="Times New Roman" w:hAnsi="Verdana"/>
                <w:color w:val="auto"/>
                <w:szCs w:val="18"/>
              </w:rPr>
            </w:pPr>
            <w:r w:rsidRPr="00EA59D4">
              <w:rPr>
                <w:rFonts w:ascii="Verdana" w:eastAsia="Times New Roman" w:hAnsi="Verdana"/>
                <w:iCs w:val="0"/>
                <w:color w:val="auto"/>
                <w:szCs w:val="18"/>
              </w:rPr>
              <w:t xml:space="preserve">Bu slaytlarda Budapeşte Sözleşmesi </w:t>
            </w:r>
            <w:proofErr w:type="spellStart"/>
            <w:r w:rsidRPr="00EA59D4">
              <w:rPr>
                <w:rFonts w:ascii="Verdana" w:eastAsia="Times New Roman" w:hAnsi="Verdana"/>
                <w:iCs w:val="0"/>
                <w:color w:val="auto"/>
                <w:szCs w:val="18"/>
              </w:rPr>
              <w:t>Bölüm</w:t>
            </w:r>
            <w:proofErr w:type="spellEnd"/>
            <w:r w:rsidRPr="00EA59D4">
              <w:rPr>
                <w:rFonts w:ascii="Verdana" w:eastAsia="Times New Roman" w:hAnsi="Verdana"/>
                <w:iCs w:val="0"/>
                <w:color w:val="auto"/>
                <w:szCs w:val="18"/>
              </w:rPr>
              <w:t xml:space="preserve"> 3 </w:t>
            </w:r>
            <w:proofErr w:type="spellStart"/>
            <w:r w:rsidRPr="00EA59D4">
              <w:rPr>
                <w:rFonts w:ascii="Verdana" w:eastAsia="Times New Roman" w:hAnsi="Verdana"/>
                <w:iCs w:val="0"/>
                <w:color w:val="auto"/>
                <w:szCs w:val="18"/>
              </w:rPr>
              <w:t>kapsamında</w:t>
            </w:r>
            <w:proofErr w:type="spellEnd"/>
            <w:r w:rsidRPr="00EA59D4">
              <w:rPr>
                <w:rFonts w:ascii="Verdana" w:eastAsia="Times New Roman" w:hAnsi="Verdana"/>
                <w:iCs w:val="0"/>
                <w:color w:val="auto"/>
                <w:szCs w:val="18"/>
              </w:rPr>
              <w:t xml:space="preserve"> </w:t>
            </w:r>
            <w:proofErr w:type="spellStart"/>
            <w:r w:rsidR="00AA2A8D" w:rsidRPr="00EA59D4">
              <w:rPr>
                <w:rFonts w:ascii="Verdana" w:eastAsia="Times New Roman" w:hAnsi="Verdana"/>
                <w:iCs w:val="0"/>
                <w:color w:val="auto"/>
                <w:szCs w:val="18"/>
              </w:rPr>
              <w:t>Karşılıklı</w:t>
            </w:r>
            <w:proofErr w:type="spellEnd"/>
            <w:r w:rsidR="00AA2A8D" w:rsidRPr="00EA59D4">
              <w:rPr>
                <w:rFonts w:ascii="Verdana" w:eastAsia="Times New Roman" w:hAnsi="Verdana"/>
                <w:iCs w:val="0"/>
                <w:color w:val="auto"/>
                <w:szCs w:val="18"/>
              </w:rPr>
              <w:t xml:space="preserve"> Adli </w:t>
            </w:r>
            <w:proofErr w:type="spellStart"/>
            <w:r w:rsidR="00AA2A8D" w:rsidRPr="00EA59D4">
              <w:rPr>
                <w:rFonts w:ascii="Verdana" w:eastAsia="Times New Roman" w:hAnsi="Verdana"/>
                <w:iCs w:val="0"/>
                <w:color w:val="auto"/>
                <w:szCs w:val="18"/>
              </w:rPr>
              <w:t>Yardımlaşma'nın</w:t>
            </w:r>
            <w:proofErr w:type="spellEnd"/>
            <w:r w:rsidR="00AA2A8D" w:rsidRPr="00EA59D4">
              <w:rPr>
                <w:rFonts w:ascii="Verdana" w:eastAsia="Times New Roman" w:hAnsi="Verdana"/>
                <w:iCs w:val="0"/>
                <w:color w:val="auto"/>
                <w:szCs w:val="18"/>
              </w:rPr>
              <w:t xml:space="preserve"> (MLA)</w:t>
            </w:r>
            <w:r w:rsidRPr="00EA59D4">
              <w:rPr>
                <w:rFonts w:ascii="Verdana" w:eastAsia="Times New Roman" w:hAnsi="Verdana"/>
                <w:iCs w:val="0"/>
                <w:color w:val="auto"/>
                <w:szCs w:val="18"/>
              </w:rPr>
              <w:t xml:space="preserve"> genel ilkelerine ilişkin uluslararası işbirliği hükümleri ele alınmaktadır. Daha somut olarak Madde 25, 26 ve 27. </w:t>
            </w:r>
            <w:r w:rsidR="00D84B60" w:rsidRPr="00EA59D4">
              <w:rPr>
                <w:rFonts w:ascii="Verdana" w:eastAsia="Times New Roman" w:hAnsi="Verdana"/>
                <w:iCs w:val="0"/>
                <w:color w:val="auto"/>
                <w:szCs w:val="18"/>
              </w:rPr>
              <w:t>Eğiticin</w:t>
            </w:r>
            <w:r w:rsidRPr="00EA59D4">
              <w:rPr>
                <w:rFonts w:ascii="Verdana" w:eastAsia="Times New Roman" w:hAnsi="Verdana"/>
                <w:iCs w:val="0"/>
                <w:color w:val="auto"/>
                <w:szCs w:val="18"/>
              </w:rPr>
              <w:t xml:space="preserve">in metni ve detaylı açıklamaları işlemesi gerekmektedir. </w:t>
            </w:r>
          </w:p>
          <w:p w14:paraId="72AF4CFF" w14:textId="77777777" w:rsidR="00F4792B" w:rsidRPr="00EA59D4" w:rsidRDefault="009A46F5" w:rsidP="00EA59D4">
            <w:pPr>
              <w:pStyle w:val="Subtitle"/>
              <w:spacing w:before="120" w:line="260" w:lineRule="atLeast"/>
              <w:rPr>
                <w:rFonts w:ascii="Verdana" w:hAnsi="Verdana" w:cs="Arial"/>
                <w:szCs w:val="18"/>
              </w:rPr>
            </w:pPr>
            <w:r w:rsidRPr="00EA59D4">
              <w:rPr>
                <w:rFonts w:ascii="Verdana" w:hAnsi="Verdana" w:cs="Arial"/>
                <w:iCs w:val="0"/>
                <w:szCs w:val="18"/>
              </w:rPr>
              <w:t xml:space="preserve">Bu Bölümün hükümlerinde, karşılıklı yardım sağlama yükümlülüğünün genellikle yürürlükteki karşılıklı adli yardım antlaşmaları, yasaları ve düzenlemelerine uygun olarak yerine getirilmesi gerektiği açıklanmaktadır. </w:t>
            </w:r>
          </w:p>
          <w:p w14:paraId="4A29BAA3" w14:textId="77777777" w:rsidR="00F4792B" w:rsidRPr="00EA59D4" w:rsidRDefault="00F4792B" w:rsidP="00EA59D4">
            <w:pPr>
              <w:pStyle w:val="Subtitle"/>
              <w:spacing w:before="120" w:line="260" w:lineRule="atLeast"/>
              <w:rPr>
                <w:rFonts w:ascii="Verdana" w:hAnsi="Verdana" w:cs="Arial"/>
                <w:szCs w:val="18"/>
              </w:rPr>
            </w:pPr>
            <w:r w:rsidRPr="00EA59D4">
              <w:rPr>
                <w:rFonts w:ascii="Verdana" w:hAnsi="Verdana" w:cs="Arial"/>
                <w:iCs w:val="0"/>
                <w:szCs w:val="18"/>
              </w:rPr>
              <w:t>Ayrıntılı uzman rehberi, her slaytın notlar bölümünde verilmiştir.</w:t>
            </w:r>
          </w:p>
          <w:p w14:paraId="3DE9DD8D" w14:textId="77777777" w:rsidR="003406F3" w:rsidRPr="00EA59D4" w:rsidRDefault="00DB09DC" w:rsidP="00EA59D4">
            <w:pPr>
              <w:spacing w:before="120" w:after="120" w:line="260" w:lineRule="atLeast"/>
              <w:jc w:val="both"/>
              <w:rPr>
                <w:rFonts w:ascii="Verdana" w:hAnsi="Verdana"/>
                <w:sz w:val="18"/>
                <w:szCs w:val="18"/>
              </w:rPr>
            </w:pPr>
            <w:r w:rsidRPr="00EA59D4">
              <w:rPr>
                <w:rFonts w:ascii="Verdana" w:hAnsi="Verdana"/>
                <w:sz w:val="18"/>
                <w:szCs w:val="18"/>
              </w:rPr>
              <w:t xml:space="preserve">Her maddenin önemli unsurları ayrı ayrı kırmızı renkle işaretlenmiştir ve vurgulanan her bir unsurun ardından, önceki unsurun açıklamalarını içeren slaytlar gelir. </w:t>
            </w:r>
          </w:p>
        </w:tc>
      </w:tr>
      <w:tr w:rsidR="00DB09DC" w:rsidRPr="00EA59D4" w14:paraId="7D27A3E0" w14:textId="77777777" w:rsidTr="00FC677E">
        <w:trPr>
          <w:trHeight w:val="1340"/>
        </w:trPr>
        <w:tc>
          <w:tcPr>
            <w:tcW w:w="1615" w:type="dxa"/>
            <w:vAlign w:val="center"/>
          </w:tcPr>
          <w:p w14:paraId="27A2204F" w14:textId="77777777" w:rsidR="00DB09DC" w:rsidRPr="00EA59D4" w:rsidRDefault="00F4792B" w:rsidP="00EA59D4">
            <w:pPr>
              <w:spacing w:before="120" w:after="120" w:line="260" w:lineRule="atLeast"/>
              <w:jc w:val="center"/>
              <w:rPr>
                <w:rFonts w:ascii="Verdana" w:hAnsi="Verdana"/>
                <w:sz w:val="18"/>
                <w:szCs w:val="18"/>
              </w:rPr>
            </w:pPr>
            <w:r w:rsidRPr="00EA59D4">
              <w:rPr>
                <w:rFonts w:ascii="Verdana" w:hAnsi="Verdana"/>
                <w:sz w:val="18"/>
                <w:szCs w:val="18"/>
              </w:rPr>
              <w:t>38-58</w:t>
            </w:r>
          </w:p>
        </w:tc>
        <w:tc>
          <w:tcPr>
            <w:tcW w:w="7395" w:type="dxa"/>
            <w:gridSpan w:val="2"/>
            <w:vAlign w:val="center"/>
          </w:tcPr>
          <w:p w14:paraId="11BE350B" w14:textId="77777777" w:rsidR="00F4792B" w:rsidRPr="00EA59D4" w:rsidRDefault="00F4792B" w:rsidP="00EA59D4">
            <w:pPr>
              <w:pStyle w:val="Subtitle"/>
              <w:spacing w:before="120" w:line="260" w:lineRule="atLeast"/>
              <w:rPr>
                <w:rFonts w:ascii="Verdana" w:eastAsia="Times New Roman" w:hAnsi="Verdana"/>
                <w:color w:val="auto"/>
                <w:szCs w:val="18"/>
              </w:rPr>
            </w:pPr>
            <w:r w:rsidRPr="00EA59D4">
              <w:rPr>
                <w:rFonts w:ascii="Verdana" w:eastAsia="Times New Roman" w:hAnsi="Verdana"/>
                <w:iCs w:val="0"/>
                <w:color w:val="auto"/>
                <w:szCs w:val="18"/>
              </w:rPr>
              <w:t xml:space="preserve">Bu slaytlarda Budapeşte Sözleşmesi </w:t>
            </w:r>
            <w:proofErr w:type="spellStart"/>
            <w:r w:rsidRPr="00EA59D4">
              <w:rPr>
                <w:rFonts w:ascii="Verdana" w:eastAsia="Times New Roman" w:hAnsi="Verdana"/>
                <w:iCs w:val="0"/>
                <w:color w:val="auto"/>
                <w:szCs w:val="18"/>
              </w:rPr>
              <w:t>Bölüm</w:t>
            </w:r>
            <w:proofErr w:type="spellEnd"/>
            <w:r w:rsidRPr="00EA59D4">
              <w:rPr>
                <w:rFonts w:ascii="Verdana" w:eastAsia="Times New Roman" w:hAnsi="Verdana"/>
                <w:iCs w:val="0"/>
                <w:color w:val="auto"/>
                <w:szCs w:val="18"/>
              </w:rPr>
              <w:t xml:space="preserve"> 3 </w:t>
            </w:r>
            <w:proofErr w:type="spellStart"/>
            <w:r w:rsidRPr="00EA59D4">
              <w:rPr>
                <w:rFonts w:ascii="Verdana" w:eastAsia="Times New Roman" w:hAnsi="Verdana"/>
                <w:iCs w:val="0"/>
                <w:color w:val="auto"/>
                <w:szCs w:val="18"/>
              </w:rPr>
              <w:t>kapsamında</w:t>
            </w:r>
            <w:proofErr w:type="spellEnd"/>
            <w:r w:rsidRPr="00EA59D4">
              <w:rPr>
                <w:rFonts w:ascii="Verdana" w:eastAsia="Times New Roman" w:hAnsi="Verdana"/>
                <w:iCs w:val="0"/>
                <w:color w:val="auto"/>
                <w:szCs w:val="18"/>
              </w:rPr>
              <w:t xml:space="preserve"> </w:t>
            </w:r>
            <w:proofErr w:type="spellStart"/>
            <w:r w:rsidR="00AA2A8D" w:rsidRPr="00EA59D4">
              <w:rPr>
                <w:rFonts w:ascii="Verdana" w:eastAsia="Times New Roman" w:hAnsi="Verdana"/>
                <w:iCs w:val="0"/>
                <w:color w:val="auto"/>
                <w:szCs w:val="18"/>
              </w:rPr>
              <w:t>MLA'nın</w:t>
            </w:r>
            <w:proofErr w:type="spellEnd"/>
            <w:r w:rsidRPr="00EA59D4">
              <w:rPr>
                <w:rFonts w:ascii="Verdana" w:eastAsia="Times New Roman" w:hAnsi="Verdana"/>
                <w:iCs w:val="0"/>
                <w:color w:val="auto"/>
                <w:szCs w:val="18"/>
              </w:rPr>
              <w:t xml:space="preserve"> </w:t>
            </w:r>
            <w:proofErr w:type="spellStart"/>
            <w:r w:rsidRPr="00EA59D4">
              <w:rPr>
                <w:rFonts w:ascii="Verdana" w:eastAsia="Times New Roman" w:hAnsi="Verdana"/>
                <w:iCs w:val="0"/>
                <w:color w:val="auto"/>
                <w:szCs w:val="18"/>
              </w:rPr>
              <w:t>özel</w:t>
            </w:r>
            <w:proofErr w:type="spellEnd"/>
            <w:r w:rsidRPr="00EA59D4">
              <w:rPr>
                <w:rFonts w:ascii="Verdana" w:eastAsia="Times New Roman" w:hAnsi="Verdana"/>
                <w:iCs w:val="0"/>
                <w:color w:val="auto"/>
                <w:szCs w:val="18"/>
              </w:rPr>
              <w:t xml:space="preserve"> </w:t>
            </w:r>
            <w:proofErr w:type="spellStart"/>
            <w:r w:rsidRPr="00EA59D4">
              <w:rPr>
                <w:rFonts w:ascii="Verdana" w:eastAsia="Times New Roman" w:hAnsi="Verdana"/>
                <w:iCs w:val="0"/>
                <w:color w:val="auto"/>
                <w:szCs w:val="18"/>
              </w:rPr>
              <w:t>ilkelerine</w:t>
            </w:r>
            <w:proofErr w:type="spellEnd"/>
            <w:r w:rsidRPr="00EA59D4">
              <w:rPr>
                <w:rFonts w:ascii="Verdana" w:eastAsia="Times New Roman" w:hAnsi="Verdana"/>
                <w:iCs w:val="0"/>
                <w:color w:val="auto"/>
                <w:szCs w:val="18"/>
              </w:rPr>
              <w:t xml:space="preserve"> </w:t>
            </w:r>
            <w:proofErr w:type="spellStart"/>
            <w:r w:rsidRPr="00EA59D4">
              <w:rPr>
                <w:rFonts w:ascii="Verdana" w:eastAsia="Times New Roman" w:hAnsi="Verdana"/>
                <w:iCs w:val="0"/>
                <w:color w:val="auto"/>
                <w:szCs w:val="18"/>
              </w:rPr>
              <w:t>ilişkin</w:t>
            </w:r>
            <w:proofErr w:type="spellEnd"/>
            <w:r w:rsidRPr="00EA59D4">
              <w:rPr>
                <w:rFonts w:ascii="Verdana" w:eastAsia="Times New Roman" w:hAnsi="Verdana"/>
                <w:iCs w:val="0"/>
                <w:color w:val="auto"/>
                <w:szCs w:val="18"/>
              </w:rPr>
              <w:t xml:space="preserve"> uluslararası işbirliği hükümleri ele alınmaktadır. Daha somut olarak Madde 29, 30, 31, 32, 33, 34 ve 35. </w:t>
            </w:r>
            <w:r w:rsidR="00D84B60" w:rsidRPr="00EA59D4">
              <w:rPr>
                <w:rFonts w:ascii="Verdana" w:eastAsia="Times New Roman" w:hAnsi="Verdana"/>
                <w:iCs w:val="0"/>
                <w:color w:val="auto"/>
                <w:szCs w:val="18"/>
              </w:rPr>
              <w:t>Eğiticin</w:t>
            </w:r>
            <w:r w:rsidRPr="00EA59D4">
              <w:rPr>
                <w:rFonts w:ascii="Verdana" w:eastAsia="Times New Roman" w:hAnsi="Verdana"/>
                <w:iCs w:val="0"/>
                <w:color w:val="auto"/>
                <w:szCs w:val="18"/>
              </w:rPr>
              <w:t xml:space="preserve">in metni ve detaylı açıklamaları işlemesi gerekmektedir. </w:t>
            </w:r>
          </w:p>
          <w:p w14:paraId="49059F44" w14:textId="77777777" w:rsidR="00F4792B" w:rsidRPr="00EA59D4" w:rsidRDefault="00F4792B" w:rsidP="00EA59D4">
            <w:pPr>
              <w:pStyle w:val="Subtitle"/>
              <w:spacing w:before="120" w:line="260" w:lineRule="atLeast"/>
              <w:rPr>
                <w:rFonts w:ascii="Verdana" w:eastAsia="Times New Roman" w:hAnsi="Verdana"/>
                <w:color w:val="auto"/>
                <w:szCs w:val="18"/>
              </w:rPr>
            </w:pPr>
            <w:r w:rsidRPr="00EA59D4">
              <w:rPr>
                <w:rFonts w:ascii="Verdana" w:hAnsi="Verdana" w:cs="Arial"/>
                <w:iCs w:val="0"/>
                <w:szCs w:val="18"/>
              </w:rPr>
              <w:t>Ayrıntılı uzman rehberi, her slaytın notlar bölümünde verilmiştir.</w:t>
            </w:r>
          </w:p>
          <w:p w14:paraId="77BBDD59" w14:textId="77777777" w:rsidR="00DB09DC" w:rsidRPr="00EA59D4" w:rsidRDefault="00F4792B" w:rsidP="00EA59D4">
            <w:pPr>
              <w:spacing w:before="120" w:after="120" w:line="260" w:lineRule="atLeast"/>
              <w:jc w:val="both"/>
              <w:rPr>
                <w:rFonts w:ascii="Verdana" w:eastAsia="Times New Roman" w:hAnsi="Verdana" w:cs="Times New Roman"/>
                <w:sz w:val="18"/>
                <w:szCs w:val="18"/>
              </w:rPr>
            </w:pPr>
            <w:r w:rsidRPr="00EA59D4">
              <w:rPr>
                <w:rFonts w:ascii="Verdana" w:hAnsi="Verdana"/>
                <w:sz w:val="18"/>
                <w:szCs w:val="18"/>
              </w:rPr>
              <w:t>Her maddenin önemli unsurları ayrı ayrı kırmızı renkle işaretlenmiştir ve vurgulanan her bir unsurun ardından, önceki unsurun açıklamalarını içeren slaytlar gelir.</w:t>
            </w:r>
          </w:p>
        </w:tc>
      </w:tr>
      <w:tr w:rsidR="003406F3" w:rsidRPr="00EA59D4" w14:paraId="5414D6DF" w14:textId="77777777" w:rsidTr="00FC677E">
        <w:trPr>
          <w:trHeight w:val="1340"/>
        </w:trPr>
        <w:tc>
          <w:tcPr>
            <w:tcW w:w="1615" w:type="dxa"/>
            <w:vAlign w:val="center"/>
          </w:tcPr>
          <w:p w14:paraId="74C6D503" w14:textId="77777777" w:rsidR="00A00A58" w:rsidRPr="00EA59D4" w:rsidRDefault="00AC475F" w:rsidP="00EA59D4">
            <w:pPr>
              <w:spacing w:before="120" w:after="120" w:line="260" w:lineRule="atLeast"/>
              <w:jc w:val="center"/>
              <w:rPr>
                <w:rFonts w:ascii="Verdana" w:hAnsi="Verdana"/>
                <w:sz w:val="18"/>
                <w:szCs w:val="18"/>
              </w:rPr>
            </w:pPr>
            <w:r w:rsidRPr="00EA59D4">
              <w:rPr>
                <w:rFonts w:ascii="Verdana" w:hAnsi="Verdana"/>
                <w:sz w:val="18"/>
                <w:szCs w:val="18"/>
              </w:rPr>
              <w:t>59-61</w:t>
            </w:r>
          </w:p>
        </w:tc>
        <w:tc>
          <w:tcPr>
            <w:tcW w:w="7395" w:type="dxa"/>
            <w:gridSpan w:val="2"/>
            <w:vAlign w:val="center"/>
          </w:tcPr>
          <w:p w14:paraId="0AE6D20C" w14:textId="77777777" w:rsidR="00A00A58" w:rsidRPr="00EA59D4" w:rsidRDefault="00D84B60" w:rsidP="00EA59D4">
            <w:pPr>
              <w:spacing w:before="120" w:after="120" w:line="260" w:lineRule="atLeast"/>
              <w:jc w:val="both"/>
              <w:rPr>
                <w:rFonts w:ascii="Verdana" w:hAnsi="Verdana"/>
                <w:i/>
                <w:sz w:val="18"/>
                <w:szCs w:val="18"/>
              </w:rPr>
            </w:pPr>
            <w:r w:rsidRPr="00EA59D4">
              <w:rPr>
                <w:rFonts w:ascii="Verdana" w:eastAsia="Times New Roman" w:hAnsi="Verdana" w:cs="Times New Roman"/>
                <w:sz w:val="18"/>
                <w:szCs w:val="18"/>
              </w:rPr>
              <w:t>Eğitici</w:t>
            </w:r>
            <w:r w:rsidR="00FC677E" w:rsidRPr="00EA59D4">
              <w:rPr>
                <w:rFonts w:ascii="Verdana" w:eastAsia="Times New Roman" w:hAnsi="Verdana" w:cs="Times New Roman"/>
                <w:sz w:val="18"/>
                <w:szCs w:val="18"/>
              </w:rPr>
              <w:t xml:space="preserve"> </w:t>
            </w:r>
            <w:r w:rsidRPr="00EA59D4">
              <w:rPr>
                <w:rFonts w:ascii="Verdana" w:eastAsia="Times New Roman" w:hAnsi="Verdana" w:cs="Times New Roman"/>
                <w:sz w:val="18"/>
                <w:szCs w:val="18"/>
              </w:rPr>
              <w:t>katılımcılarla</w:t>
            </w:r>
            <w:r w:rsidR="00FC677E" w:rsidRPr="00EA59D4">
              <w:rPr>
                <w:rFonts w:ascii="Verdana" w:eastAsia="Times New Roman" w:hAnsi="Verdana" w:cs="Times New Roman"/>
                <w:sz w:val="18"/>
                <w:szCs w:val="18"/>
              </w:rPr>
              <w:t xml:space="preserve"> birlikte oturum hedeflerini tekrarlamalı ve bu modülde işlenen materyallerle ilgili sorular sormaları için fırsat vermelidir.</w:t>
            </w:r>
          </w:p>
        </w:tc>
      </w:tr>
      <w:tr w:rsidR="003406F3" w:rsidRPr="00EA59D4" w14:paraId="5984E00F" w14:textId="77777777" w:rsidTr="00CB3026">
        <w:trPr>
          <w:trHeight w:val="1412"/>
        </w:trPr>
        <w:tc>
          <w:tcPr>
            <w:tcW w:w="9010" w:type="dxa"/>
            <w:gridSpan w:val="3"/>
            <w:vAlign w:val="center"/>
          </w:tcPr>
          <w:p w14:paraId="3E8411E9" w14:textId="77777777" w:rsidR="00CB3026" w:rsidRPr="00EA59D4" w:rsidRDefault="00CB3026" w:rsidP="00EA59D4">
            <w:pPr>
              <w:spacing w:before="120" w:after="120" w:line="260" w:lineRule="atLeast"/>
              <w:jc w:val="both"/>
              <w:rPr>
                <w:rFonts w:ascii="Verdana" w:hAnsi="Verdana"/>
                <w:b/>
                <w:sz w:val="22"/>
                <w:szCs w:val="22"/>
              </w:rPr>
            </w:pPr>
            <w:r w:rsidRPr="00EA59D4">
              <w:rPr>
                <w:rFonts w:ascii="Verdana" w:hAnsi="Verdana"/>
                <w:b/>
                <w:bCs/>
                <w:sz w:val="22"/>
                <w:szCs w:val="22"/>
              </w:rPr>
              <w:lastRenderedPageBreak/>
              <w:t xml:space="preserve">Uygulamalı </w:t>
            </w:r>
            <w:r w:rsidR="00EE7A1F" w:rsidRPr="00EA59D4">
              <w:rPr>
                <w:rFonts w:ascii="Verdana" w:hAnsi="Verdana"/>
                <w:b/>
                <w:bCs/>
                <w:sz w:val="22"/>
                <w:szCs w:val="22"/>
              </w:rPr>
              <w:t>Egzersizler</w:t>
            </w:r>
          </w:p>
          <w:p w14:paraId="6BAFFCDF" w14:textId="77777777" w:rsidR="00EE7A1F" w:rsidRPr="00EA59D4" w:rsidRDefault="00CB3026" w:rsidP="00EA59D4">
            <w:pPr>
              <w:spacing w:before="120" w:after="120" w:line="260" w:lineRule="atLeast"/>
              <w:jc w:val="both"/>
              <w:rPr>
                <w:rFonts w:ascii="Verdana" w:hAnsi="Verdana"/>
                <w:sz w:val="18"/>
                <w:szCs w:val="18"/>
              </w:rPr>
            </w:pPr>
            <w:r w:rsidRPr="00EA59D4">
              <w:rPr>
                <w:rFonts w:ascii="Verdana" w:hAnsi="Verdana"/>
                <w:sz w:val="18"/>
                <w:szCs w:val="18"/>
              </w:rPr>
              <w:t xml:space="preserve">Bu derste uygulamalı </w:t>
            </w:r>
            <w:r w:rsidR="00EE7A1F" w:rsidRPr="00EA59D4">
              <w:rPr>
                <w:rFonts w:ascii="Verdana" w:hAnsi="Verdana"/>
                <w:sz w:val="18"/>
                <w:szCs w:val="18"/>
              </w:rPr>
              <w:t>egzersiz</w:t>
            </w:r>
            <w:r w:rsidR="00EE7A1F" w:rsidRPr="00EA59D4">
              <w:rPr>
                <w:rFonts w:ascii="Verdana" w:hAnsi="Verdana"/>
                <w:color w:val="000000" w:themeColor="text1"/>
                <w:sz w:val="18"/>
                <w:szCs w:val="18"/>
              </w:rPr>
              <w:t xml:space="preserve"> </w:t>
            </w:r>
            <w:r w:rsidRPr="00EA59D4">
              <w:rPr>
                <w:rFonts w:ascii="Verdana" w:hAnsi="Verdana"/>
                <w:sz w:val="18"/>
                <w:szCs w:val="18"/>
              </w:rPr>
              <w:t>yapılması öngörülmemektedir.</w:t>
            </w:r>
          </w:p>
        </w:tc>
      </w:tr>
      <w:tr w:rsidR="003406F3" w:rsidRPr="00EA59D4" w14:paraId="2EAE0CCD" w14:textId="77777777" w:rsidTr="00801300">
        <w:tc>
          <w:tcPr>
            <w:tcW w:w="9010" w:type="dxa"/>
            <w:gridSpan w:val="3"/>
            <w:vAlign w:val="center"/>
          </w:tcPr>
          <w:p w14:paraId="599492C3" w14:textId="77777777" w:rsidR="00CB3026" w:rsidRPr="00EA59D4" w:rsidRDefault="00CB3026" w:rsidP="00EA59D4">
            <w:pPr>
              <w:spacing w:before="120" w:after="120" w:line="260" w:lineRule="atLeast"/>
              <w:jc w:val="both"/>
              <w:rPr>
                <w:rFonts w:ascii="Verdana" w:hAnsi="Verdana"/>
                <w:b/>
                <w:sz w:val="22"/>
                <w:szCs w:val="22"/>
              </w:rPr>
            </w:pPr>
            <w:r w:rsidRPr="00EA59D4">
              <w:rPr>
                <w:rFonts w:ascii="Verdana" w:hAnsi="Verdana"/>
                <w:b/>
                <w:bCs/>
                <w:sz w:val="22"/>
                <w:szCs w:val="22"/>
              </w:rPr>
              <w:t>Değerlendirme/Bilgi Kontrolü</w:t>
            </w:r>
          </w:p>
          <w:p w14:paraId="33CF3196" w14:textId="77777777" w:rsidR="00CB3026" w:rsidRPr="00EA59D4" w:rsidRDefault="00B468A3" w:rsidP="00EA59D4">
            <w:pPr>
              <w:spacing w:before="120" w:after="120" w:line="260" w:lineRule="atLeast"/>
              <w:jc w:val="both"/>
              <w:rPr>
                <w:rFonts w:ascii="Verdana" w:hAnsi="Verdana"/>
                <w:sz w:val="18"/>
                <w:szCs w:val="18"/>
              </w:rPr>
            </w:pPr>
            <w:r w:rsidRPr="00EA59D4">
              <w:rPr>
                <w:rFonts w:ascii="Verdana" w:hAnsi="Verdana"/>
                <w:sz w:val="18"/>
                <w:szCs w:val="18"/>
              </w:rPr>
              <w:t xml:space="preserve">Bu oturum için resmi bir değerlendirme hazırlanmamıştır. </w:t>
            </w:r>
            <w:r w:rsidR="00D84B60" w:rsidRPr="00EA59D4">
              <w:rPr>
                <w:rFonts w:ascii="Verdana" w:hAnsi="Verdana"/>
                <w:sz w:val="18"/>
                <w:szCs w:val="18"/>
              </w:rPr>
              <w:t>Eğiticin</w:t>
            </w:r>
            <w:r w:rsidRPr="00EA59D4">
              <w:rPr>
                <w:rFonts w:ascii="Verdana" w:hAnsi="Verdana"/>
                <w:sz w:val="18"/>
                <w:szCs w:val="18"/>
              </w:rPr>
              <w:t>in oturum boyunca ilgili sorular sorarak katılımcıların bilgi ve anlama düzeyini kontrol edilmesi teşvik edilir.</w:t>
            </w:r>
          </w:p>
        </w:tc>
      </w:tr>
    </w:tbl>
    <w:p w14:paraId="662DEEFC" w14:textId="77777777" w:rsidR="00D82C18" w:rsidRPr="00EA59D4" w:rsidRDefault="00D82C18" w:rsidP="00EA59D4">
      <w:pPr>
        <w:spacing w:before="120" w:after="120" w:line="260" w:lineRule="atLeast"/>
        <w:rPr>
          <w:rFonts w:ascii="Verdana" w:hAnsi="Verdana"/>
        </w:rPr>
      </w:pPr>
    </w:p>
    <w:sectPr w:rsidR="00D82C18" w:rsidRPr="00EA59D4"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105DD4"/>
    <w:rsid w:val="00151ADF"/>
    <w:rsid w:val="00175ADE"/>
    <w:rsid w:val="00185B76"/>
    <w:rsid w:val="001B428D"/>
    <w:rsid w:val="001B5DAD"/>
    <w:rsid w:val="00271010"/>
    <w:rsid w:val="0027512B"/>
    <w:rsid w:val="002F375E"/>
    <w:rsid w:val="003406F3"/>
    <w:rsid w:val="00357C78"/>
    <w:rsid w:val="003630ED"/>
    <w:rsid w:val="00397FEA"/>
    <w:rsid w:val="003E0EDB"/>
    <w:rsid w:val="004639E3"/>
    <w:rsid w:val="004F76C3"/>
    <w:rsid w:val="0051122C"/>
    <w:rsid w:val="00534FB7"/>
    <w:rsid w:val="005703B7"/>
    <w:rsid w:val="00594B3F"/>
    <w:rsid w:val="005951B6"/>
    <w:rsid w:val="005A4E47"/>
    <w:rsid w:val="006B6864"/>
    <w:rsid w:val="006F4B1A"/>
    <w:rsid w:val="007169BB"/>
    <w:rsid w:val="00761BA4"/>
    <w:rsid w:val="007B75A9"/>
    <w:rsid w:val="00823B30"/>
    <w:rsid w:val="008E3FE7"/>
    <w:rsid w:val="009277BD"/>
    <w:rsid w:val="0094072C"/>
    <w:rsid w:val="009A46F5"/>
    <w:rsid w:val="00A00A58"/>
    <w:rsid w:val="00A03CF0"/>
    <w:rsid w:val="00A4110D"/>
    <w:rsid w:val="00A45C00"/>
    <w:rsid w:val="00A734A5"/>
    <w:rsid w:val="00AA2A8D"/>
    <w:rsid w:val="00AC475F"/>
    <w:rsid w:val="00AD2B58"/>
    <w:rsid w:val="00AF62EC"/>
    <w:rsid w:val="00B03741"/>
    <w:rsid w:val="00B4556D"/>
    <w:rsid w:val="00B468A3"/>
    <w:rsid w:val="00B569A5"/>
    <w:rsid w:val="00B71D66"/>
    <w:rsid w:val="00BB0093"/>
    <w:rsid w:val="00C541A2"/>
    <w:rsid w:val="00C9640B"/>
    <w:rsid w:val="00CB02C4"/>
    <w:rsid w:val="00CB3026"/>
    <w:rsid w:val="00CF0C7C"/>
    <w:rsid w:val="00D82C18"/>
    <w:rsid w:val="00D84B60"/>
    <w:rsid w:val="00D944B5"/>
    <w:rsid w:val="00DB09DC"/>
    <w:rsid w:val="00DC6800"/>
    <w:rsid w:val="00E13BE7"/>
    <w:rsid w:val="00E17E67"/>
    <w:rsid w:val="00E55549"/>
    <w:rsid w:val="00E7344B"/>
    <w:rsid w:val="00E95703"/>
    <w:rsid w:val="00EA59D4"/>
    <w:rsid w:val="00EB11FC"/>
    <w:rsid w:val="00EE7A1F"/>
    <w:rsid w:val="00F35B67"/>
    <w:rsid w:val="00F4792B"/>
    <w:rsid w:val="00F62A15"/>
    <w:rsid w:val="00FA4E03"/>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F72B4"/>
  <w15:docId w15:val="{96CA82B3-8E52-426D-B198-70BCE4694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1055851761">
      <w:bodyDiv w:val="1"/>
      <w:marLeft w:val="0"/>
      <w:marRight w:val="0"/>
      <w:marTop w:val="0"/>
      <w:marBottom w:val="0"/>
      <w:divBdr>
        <w:top w:val="none" w:sz="0" w:space="0" w:color="auto"/>
        <w:left w:val="none" w:sz="0" w:space="0" w:color="auto"/>
        <w:bottom w:val="none" w:sz="0" w:space="0" w:color="auto"/>
        <w:right w:val="none" w:sz="0" w:space="0" w:color="auto"/>
      </w:divBdr>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789</Words>
  <Characters>4341</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9</cp:revision>
  <dcterms:created xsi:type="dcterms:W3CDTF">2020-09-20T20:19:00Z</dcterms:created>
  <dcterms:modified xsi:type="dcterms:W3CDTF">2021-05-04T13:46:00Z</dcterms:modified>
</cp:coreProperties>
</file>