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094FA" w14:textId="7582DCE4" w:rsidR="005977EF" w:rsidRPr="000E1BA8" w:rsidRDefault="007C26E7" w:rsidP="00A736B2">
      <w:pPr>
        <w:outlineLvl w:val="0"/>
        <w:rPr>
          <w:b/>
          <w:sz w:val="32"/>
          <w:szCs w:val="32"/>
          <w:lang w:val="tr-TR"/>
        </w:rPr>
      </w:pPr>
      <w:r w:rsidRPr="000E1BA8">
        <w:rPr>
          <w:b/>
          <w:sz w:val="32"/>
          <w:szCs w:val="32"/>
          <w:lang w:val="tr-TR"/>
        </w:rPr>
        <w:t>Ders</w:t>
      </w:r>
      <w:r w:rsidR="000420A8" w:rsidRPr="000E1BA8">
        <w:rPr>
          <w:b/>
          <w:sz w:val="32"/>
          <w:szCs w:val="32"/>
          <w:lang w:val="tr-TR"/>
        </w:rPr>
        <w:t xml:space="preserve"> Planı</w:t>
      </w:r>
    </w:p>
    <w:p w14:paraId="50200094" w14:textId="77777777" w:rsidR="005977EF" w:rsidRPr="000E1BA8" w:rsidRDefault="005977EF" w:rsidP="00FE1759">
      <w:pPr>
        <w:rPr>
          <w:sz w:val="28"/>
          <w:szCs w:val="28"/>
          <w:lang w:val="tr-TR"/>
        </w:rPr>
      </w:pPr>
    </w:p>
    <w:p w14:paraId="0A3DD02D" w14:textId="53BB8987" w:rsidR="00D82C18" w:rsidRPr="000E1BA8" w:rsidRDefault="000420A8" w:rsidP="00A736B2">
      <w:pPr>
        <w:outlineLvl w:val="0"/>
        <w:rPr>
          <w:b/>
          <w:color w:val="806000" w:themeColor="accent4" w:themeShade="80"/>
          <w:sz w:val="28"/>
          <w:szCs w:val="28"/>
          <w:lang w:val="tr-TR"/>
        </w:rPr>
      </w:pPr>
      <w:r w:rsidRPr="000E1BA8">
        <w:rPr>
          <w:sz w:val="28"/>
          <w:szCs w:val="28"/>
          <w:lang w:val="tr-TR"/>
        </w:rPr>
        <w:t>Ders</w:t>
      </w:r>
      <w:r w:rsidR="00F25217" w:rsidRPr="000E1BA8">
        <w:rPr>
          <w:sz w:val="28"/>
          <w:szCs w:val="28"/>
          <w:lang w:val="tr-TR"/>
        </w:rPr>
        <w:t xml:space="preserve"> 1.</w:t>
      </w:r>
      <w:r w:rsidR="002F6469" w:rsidRPr="000E1BA8">
        <w:rPr>
          <w:sz w:val="28"/>
          <w:szCs w:val="28"/>
          <w:lang w:val="tr-TR"/>
        </w:rPr>
        <w:t>3.4</w:t>
      </w:r>
      <w:r w:rsidR="00D82C18" w:rsidRPr="000E1BA8">
        <w:rPr>
          <w:sz w:val="28"/>
          <w:szCs w:val="28"/>
          <w:lang w:val="tr-TR"/>
        </w:rPr>
        <w:t xml:space="preserve"> </w:t>
      </w:r>
      <w:r w:rsidRPr="000E1BA8">
        <w:rPr>
          <w:sz w:val="28"/>
          <w:szCs w:val="28"/>
          <w:lang w:val="tr-TR"/>
        </w:rPr>
        <w:t xml:space="preserve">Uluslararası </w:t>
      </w:r>
      <w:proofErr w:type="gramStart"/>
      <w:r w:rsidRPr="000E1BA8">
        <w:rPr>
          <w:sz w:val="28"/>
          <w:szCs w:val="28"/>
          <w:lang w:val="tr-TR"/>
        </w:rPr>
        <w:t>İşbirliği</w:t>
      </w:r>
      <w:proofErr w:type="gramEnd"/>
    </w:p>
    <w:tbl>
      <w:tblPr>
        <w:tblStyle w:val="TableGrid"/>
        <w:tblW w:w="0" w:type="auto"/>
        <w:tblLook w:val="04A0" w:firstRow="1" w:lastRow="0" w:firstColumn="1" w:lastColumn="0" w:noHBand="0" w:noVBand="1"/>
      </w:tblPr>
      <w:tblGrid>
        <w:gridCol w:w="6326"/>
        <w:gridCol w:w="2684"/>
      </w:tblGrid>
      <w:tr w:rsidR="005703B7" w:rsidRPr="000E1BA8" w14:paraId="58A3485E" w14:textId="77777777" w:rsidTr="00CB3026">
        <w:trPr>
          <w:trHeight w:val="872"/>
        </w:trPr>
        <w:tc>
          <w:tcPr>
            <w:tcW w:w="6326" w:type="dxa"/>
            <w:shd w:val="clear" w:color="auto" w:fill="DEEAF6" w:themeFill="accent5" w:themeFillTint="33"/>
            <w:vAlign w:val="center"/>
          </w:tcPr>
          <w:p w14:paraId="0067FF35" w14:textId="74641664" w:rsidR="00D82C18" w:rsidRPr="000E1BA8" w:rsidRDefault="000420A8" w:rsidP="000420A8">
            <w:pPr>
              <w:rPr>
                <w:sz w:val="22"/>
                <w:szCs w:val="22"/>
                <w:lang w:val="tr-TR"/>
              </w:rPr>
            </w:pPr>
            <w:r w:rsidRPr="000E1BA8">
              <w:rPr>
                <w:sz w:val="22"/>
                <w:szCs w:val="22"/>
                <w:lang w:val="tr-TR"/>
              </w:rPr>
              <w:t>Ders</w:t>
            </w:r>
            <w:r w:rsidR="00D82C18" w:rsidRPr="000E1BA8">
              <w:rPr>
                <w:sz w:val="22"/>
                <w:szCs w:val="22"/>
                <w:lang w:val="tr-TR"/>
              </w:rPr>
              <w:t xml:space="preserve"> </w:t>
            </w:r>
            <w:r w:rsidR="00C340A2" w:rsidRPr="000E1BA8">
              <w:rPr>
                <w:sz w:val="22"/>
                <w:szCs w:val="22"/>
                <w:lang w:val="tr-TR"/>
              </w:rPr>
              <w:t>1.</w:t>
            </w:r>
            <w:r w:rsidR="009C5523" w:rsidRPr="000E1BA8">
              <w:rPr>
                <w:sz w:val="22"/>
                <w:szCs w:val="22"/>
                <w:lang w:val="tr-TR"/>
              </w:rPr>
              <w:t xml:space="preserve">3.3 </w:t>
            </w:r>
            <w:r w:rsidRPr="000E1BA8">
              <w:rPr>
                <w:sz w:val="22"/>
                <w:szCs w:val="22"/>
                <w:lang w:val="tr-TR"/>
              </w:rPr>
              <w:t xml:space="preserve">Uluslararası </w:t>
            </w:r>
            <w:proofErr w:type="gramStart"/>
            <w:r w:rsidRPr="000E1BA8">
              <w:rPr>
                <w:sz w:val="22"/>
                <w:szCs w:val="22"/>
                <w:lang w:val="tr-TR"/>
              </w:rPr>
              <w:t>İşbirliği</w:t>
            </w:r>
            <w:proofErr w:type="gramEnd"/>
          </w:p>
        </w:tc>
        <w:tc>
          <w:tcPr>
            <w:tcW w:w="2684" w:type="dxa"/>
            <w:shd w:val="clear" w:color="auto" w:fill="DEEAF6" w:themeFill="accent5" w:themeFillTint="33"/>
            <w:vAlign w:val="center"/>
          </w:tcPr>
          <w:p w14:paraId="5C9E0693" w14:textId="43D3DD18" w:rsidR="002F6469" w:rsidRPr="000E1BA8" w:rsidRDefault="00A736B2" w:rsidP="00FE1759">
            <w:pPr>
              <w:rPr>
                <w:sz w:val="22"/>
                <w:szCs w:val="22"/>
                <w:lang w:val="tr-TR"/>
              </w:rPr>
            </w:pPr>
            <w:r w:rsidRPr="000E1BA8">
              <w:rPr>
                <w:sz w:val="22"/>
                <w:szCs w:val="22"/>
                <w:lang w:val="tr-TR"/>
              </w:rPr>
              <w:t>Süre</w:t>
            </w:r>
            <w:r w:rsidR="00D82C18" w:rsidRPr="000E1BA8">
              <w:rPr>
                <w:sz w:val="22"/>
                <w:szCs w:val="22"/>
                <w:lang w:val="tr-TR"/>
              </w:rPr>
              <w:t xml:space="preserve">: </w:t>
            </w:r>
          </w:p>
          <w:p w14:paraId="30B631DA" w14:textId="71A5964E" w:rsidR="00D82C18" w:rsidRPr="000E1BA8" w:rsidRDefault="002F6469" w:rsidP="00A736B2">
            <w:pPr>
              <w:rPr>
                <w:sz w:val="22"/>
                <w:szCs w:val="22"/>
                <w:lang w:val="tr-TR"/>
              </w:rPr>
            </w:pPr>
            <w:r w:rsidRPr="000E1BA8">
              <w:rPr>
                <w:sz w:val="22"/>
                <w:szCs w:val="22"/>
                <w:lang w:val="tr-TR"/>
              </w:rPr>
              <w:t>12</w:t>
            </w:r>
            <w:r w:rsidR="009C5523" w:rsidRPr="000E1BA8">
              <w:rPr>
                <w:sz w:val="22"/>
                <w:szCs w:val="22"/>
                <w:lang w:val="tr-TR"/>
              </w:rPr>
              <w:t xml:space="preserve">0 </w:t>
            </w:r>
            <w:r w:rsidR="00A736B2" w:rsidRPr="000E1BA8">
              <w:rPr>
                <w:sz w:val="22"/>
                <w:szCs w:val="22"/>
                <w:lang w:val="tr-TR"/>
              </w:rPr>
              <w:t>Dakika</w:t>
            </w:r>
          </w:p>
        </w:tc>
      </w:tr>
      <w:tr w:rsidR="00E7344B" w:rsidRPr="000E1BA8" w14:paraId="7C1107AB" w14:textId="77777777" w:rsidTr="00F25217">
        <w:trPr>
          <w:trHeight w:val="2155"/>
        </w:trPr>
        <w:tc>
          <w:tcPr>
            <w:tcW w:w="9010" w:type="dxa"/>
            <w:gridSpan w:val="2"/>
            <w:vAlign w:val="center"/>
          </w:tcPr>
          <w:p w14:paraId="712E81B4" w14:textId="0A9F3F87" w:rsidR="00C340A2" w:rsidRPr="000E1BA8" w:rsidRDefault="00A736B2" w:rsidP="00D31019">
            <w:pPr>
              <w:jc w:val="left"/>
              <w:rPr>
                <w:b/>
                <w:sz w:val="22"/>
                <w:szCs w:val="22"/>
                <w:lang w:val="tr-TR"/>
              </w:rPr>
            </w:pPr>
            <w:r w:rsidRPr="000E1BA8">
              <w:rPr>
                <w:b/>
                <w:sz w:val="22"/>
                <w:szCs w:val="22"/>
                <w:lang w:val="tr-TR"/>
              </w:rPr>
              <w:t>Gerekli Kaynaklar</w:t>
            </w:r>
            <w:r w:rsidR="00E7344B" w:rsidRPr="000E1BA8">
              <w:rPr>
                <w:b/>
                <w:sz w:val="22"/>
                <w:szCs w:val="22"/>
                <w:lang w:val="tr-TR"/>
              </w:rPr>
              <w:t>:</w:t>
            </w:r>
            <w:r w:rsidR="00E13BE7" w:rsidRPr="000E1BA8">
              <w:rPr>
                <w:b/>
                <w:sz w:val="22"/>
                <w:szCs w:val="22"/>
                <w:lang w:val="tr-TR"/>
              </w:rPr>
              <w:t xml:space="preserve"> </w:t>
            </w:r>
          </w:p>
          <w:p w14:paraId="6680BA96" w14:textId="77777777" w:rsidR="00A736B2" w:rsidRPr="000E1BA8" w:rsidRDefault="00A736B2" w:rsidP="00A736B2">
            <w:pPr>
              <w:pStyle w:val="bul1"/>
              <w:numPr>
                <w:ilvl w:val="0"/>
                <w:numId w:val="8"/>
              </w:numPr>
              <w:spacing w:line="280" w:lineRule="exact"/>
              <w:contextualSpacing/>
              <w:rPr>
                <w:lang w:val="tr-TR"/>
              </w:rPr>
            </w:pPr>
            <w:r w:rsidRPr="000E1BA8">
              <w:rPr>
                <w:lang w:val="tr-TR"/>
              </w:rPr>
              <w:t>Windows 7, 8 veya 10 ve Microsoft Office 2010 ya da üstü bir versiyon yüklü olan PC/Dizüstü Bilgisayar.</w:t>
            </w:r>
          </w:p>
          <w:p w14:paraId="73830905" w14:textId="77777777" w:rsidR="00A736B2" w:rsidRPr="000E1BA8" w:rsidRDefault="00A736B2" w:rsidP="00A736B2">
            <w:pPr>
              <w:pStyle w:val="bul1"/>
              <w:numPr>
                <w:ilvl w:val="0"/>
                <w:numId w:val="8"/>
              </w:numPr>
              <w:spacing w:line="280" w:lineRule="exact"/>
              <w:contextualSpacing/>
              <w:rPr>
                <w:lang w:val="tr-TR"/>
              </w:rPr>
            </w:pPr>
            <w:r w:rsidRPr="000E1BA8">
              <w:rPr>
                <w:lang w:val="tr-TR"/>
              </w:rPr>
              <w:t>Projektör ve perde.</w:t>
            </w:r>
          </w:p>
          <w:p w14:paraId="04FE00AD" w14:textId="77777777" w:rsidR="00A736B2" w:rsidRPr="000E1BA8" w:rsidRDefault="00A736B2" w:rsidP="00A736B2">
            <w:pPr>
              <w:pStyle w:val="bul1"/>
              <w:numPr>
                <w:ilvl w:val="0"/>
                <w:numId w:val="8"/>
              </w:numPr>
              <w:spacing w:line="280" w:lineRule="exact"/>
              <w:contextualSpacing/>
              <w:rPr>
                <w:lang w:val="tr-TR"/>
              </w:rPr>
            </w:pPr>
            <w:r w:rsidRPr="000E1BA8">
              <w:rPr>
                <w:lang w:val="tr-TR"/>
              </w:rPr>
              <w:t>Beyaz tahta, kâğıt tahtası ve öğrencilerin girdilerini kaydedecek başka bir teknik malzeme</w:t>
            </w:r>
          </w:p>
          <w:p w14:paraId="14CF9EF0" w14:textId="1A681D71" w:rsidR="00E7344B" w:rsidRPr="000E1BA8" w:rsidRDefault="00A736B2" w:rsidP="00A736B2">
            <w:pPr>
              <w:pStyle w:val="bul1"/>
              <w:numPr>
                <w:ilvl w:val="0"/>
                <w:numId w:val="8"/>
              </w:numPr>
              <w:spacing w:line="280" w:lineRule="exact"/>
              <w:contextualSpacing/>
              <w:rPr>
                <w:lang w:val="tr-TR"/>
              </w:rPr>
            </w:pPr>
            <w:r w:rsidRPr="000E1BA8">
              <w:rPr>
                <w:lang w:val="tr-TR"/>
              </w:rPr>
              <w:t>Bu kaynaklar ancak eğitmenin bir PowerPoint sunumu kullanıyor olması halinde gereklidir.</w:t>
            </w:r>
          </w:p>
        </w:tc>
      </w:tr>
      <w:tr w:rsidR="00E7344B" w:rsidRPr="000E1BA8" w14:paraId="635F2EFD" w14:textId="77777777" w:rsidTr="00C340A2">
        <w:trPr>
          <w:trHeight w:val="1907"/>
        </w:trPr>
        <w:tc>
          <w:tcPr>
            <w:tcW w:w="9010" w:type="dxa"/>
            <w:gridSpan w:val="2"/>
            <w:vAlign w:val="center"/>
          </w:tcPr>
          <w:p w14:paraId="34602AF3" w14:textId="55B43F9F" w:rsidR="00A03CF0" w:rsidRPr="000E1BA8" w:rsidRDefault="00A736B2" w:rsidP="00FE1759">
            <w:pPr>
              <w:rPr>
                <w:b/>
                <w:sz w:val="22"/>
                <w:lang w:val="tr-TR"/>
              </w:rPr>
            </w:pPr>
            <w:r w:rsidRPr="000E1BA8">
              <w:rPr>
                <w:b/>
                <w:sz w:val="22"/>
                <w:lang w:val="tr-TR"/>
              </w:rPr>
              <w:t>Oturumun Amacı</w:t>
            </w:r>
            <w:r w:rsidR="00A03CF0" w:rsidRPr="000E1BA8">
              <w:rPr>
                <w:b/>
                <w:sz w:val="22"/>
                <w:lang w:val="tr-TR"/>
              </w:rPr>
              <w:t xml:space="preserve">:  </w:t>
            </w:r>
          </w:p>
          <w:p w14:paraId="3FE58655" w14:textId="662A91E4" w:rsidR="00A03CF0" w:rsidRPr="000E1BA8" w:rsidRDefault="007E1DA2" w:rsidP="00FE1759">
            <w:pPr>
              <w:rPr>
                <w:lang w:val="tr-TR"/>
              </w:rPr>
            </w:pPr>
            <w:r w:rsidRPr="000E1BA8">
              <w:rPr>
                <w:lang w:val="tr-TR"/>
              </w:rPr>
              <w:t xml:space="preserve">Katılımcılara mali soruşturmalarda ve siber suç soruşturmalarında uluslararası </w:t>
            </w:r>
            <w:proofErr w:type="gramStart"/>
            <w:r w:rsidRPr="000E1BA8">
              <w:rPr>
                <w:lang w:val="tr-TR"/>
              </w:rPr>
              <w:t>işbirliği</w:t>
            </w:r>
            <w:proofErr w:type="gramEnd"/>
            <w:r w:rsidRPr="000E1BA8">
              <w:rPr>
                <w:lang w:val="tr-TR"/>
              </w:rPr>
              <w:t xml:space="preserve"> hakkında bilgi sunmak. </w:t>
            </w:r>
          </w:p>
        </w:tc>
      </w:tr>
      <w:tr w:rsidR="00A03CF0" w:rsidRPr="000E1BA8" w14:paraId="1B5A80A7" w14:textId="77777777" w:rsidTr="00C340A2">
        <w:trPr>
          <w:trHeight w:val="1997"/>
        </w:trPr>
        <w:tc>
          <w:tcPr>
            <w:tcW w:w="9010" w:type="dxa"/>
            <w:gridSpan w:val="2"/>
            <w:vAlign w:val="center"/>
          </w:tcPr>
          <w:p w14:paraId="6AE7C3E8" w14:textId="49CFF092" w:rsidR="00F25217" w:rsidRPr="000E1BA8" w:rsidRDefault="00A736B2" w:rsidP="00FE1759">
            <w:pPr>
              <w:rPr>
                <w:b/>
                <w:sz w:val="22"/>
                <w:szCs w:val="22"/>
                <w:lang w:val="tr-TR"/>
              </w:rPr>
            </w:pPr>
            <w:r w:rsidRPr="000E1BA8">
              <w:rPr>
                <w:b/>
                <w:sz w:val="22"/>
                <w:szCs w:val="22"/>
                <w:lang w:val="tr-TR"/>
              </w:rPr>
              <w:t>Hedefler</w:t>
            </w:r>
            <w:r w:rsidR="00271010" w:rsidRPr="000E1BA8">
              <w:rPr>
                <w:b/>
                <w:sz w:val="22"/>
                <w:szCs w:val="22"/>
                <w:lang w:val="tr-TR"/>
              </w:rPr>
              <w:t>:</w:t>
            </w:r>
          </w:p>
          <w:p w14:paraId="7F1EFD71" w14:textId="4F886E72" w:rsidR="007E1DA2" w:rsidRPr="000E1BA8" w:rsidRDefault="00B32122" w:rsidP="007E1DA2">
            <w:pPr>
              <w:spacing w:line="240" w:lineRule="auto"/>
              <w:rPr>
                <w:lang w:val="tr-TR"/>
              </w:rPr>
            </w:pPr>
            <w:r>
              <w:rPr>
                <w:rFonts w:eastAsia="Times New Roman"/>
                <w:lang w:val="tr-TR"/>
              </w:rPr>
              <w:t>Bu dersin sonunda öğrenciler şunları öğrenecektir:</w:t>
            </w:r>
          </w:p>
          <w:p w14:paraId="5164DD8C" w14:textId="77777777" w:rsidR="00845D83" w:rsidRPr="000E1BA8" w:rsidRDefault="00520DB3" w:rsidP="007E1DA2">
            <w:pPr>
              <w:numPr>
                <w:ilvl w:val="0"/>
                <w:numId w:val="43"/>
              </w:numPr>
              <w:spacing w:line="240" w:lineRule="auto"/>
              <w:rPr>
                <w:lang w:val="tr-TR"/>
              </w:rPr>
            </w:pPr>
            <w:r w:rsidRPr="000E1BA8">
              <w:rPr>
                <w:lang w:val="tr-TR"/>
              </w:rPr>
              <w:t xml:space="preserve">Sanal suçlardan elde edilen gelirlerin hedef alınmasında uluslararası </w:t>
            </w:r>
            <w:proofErr w:type="gramStart"/>
            <w:r w:rsidRPr="000E1BA8">
              <w:rPr>
                <w:lang w:val="tr-TR"/>
              </w:rPr>
              <w:t>işbirliğinin</w:t>
            </w:r>
            <w:proofErr w:type="gramEnd"/>
            <w:r w:rsidRPr="000E1BA8">
              <w:rPr>
                <w:lang w:val="tr-TR"/>
              </w:rPr>
              <w:t xml:space="preserve"> öneminin açıklanması.</w:t>
            </w:r>
          </w:p>
          <w:p w14:paraId="25941622" w14:textId="77777777" w:rsidR="00845D83" w:rsidRPr="000E1BA8" w:rsidRDefault="00520DB3" w:rsidP="007E1DA2">
            <w:pPr>
              <w:numPr>
                <w:ilvl w:val="0"/>
                <w:numId w:val="43"/>
              </w:numPr>
              <w:spacing w:line="240" w:lineRule="auto"/>
              <w:rPr>
                <w:lang w:val="tr-TR"/>
              </w:rPr>
            </w:pPr>
            <w:r w:rsidRPr="000E1BA8">
              <w:rPr>
                <w:lang w:val="tr-TR"/>
              </w:rPr>
              <w:t xml:space="preserve">Mali soruşturmaların ve kara para aklama suçunun yanı sıra, siber suçlar ve e-delil alanlarında uluslararası </w:t>
            </w:r>
            <w:proofErr w:type="gramStart"/>
            <w:r w:rsidRPr="000E1BA8">
              <w:rPr>
                <w:lang w:val="tr-TR"/>
              </w:rPr>
              <w:t>işbirliği</w:t>
            </w:r>
            <w:proofErr w:type="gramEnd"/>
            <w:r w:rsidRPr="000E1BA8">
              <w:rPr>
                <w:lang w:val="tr-TR"/>
              </w:rPr>
              <w:t xml:space="preserve"> yollarının birleştirilmesinin avantajlarının açıklanması.</w:t>
            </w:r>
          </w:p>
          <w:p w14:paraId="3D21DAC3" w14:textId="77777777" w:rsidR="00845D83" w:rsidRPr="000E1BA8" w:rsidRDefault="00520DB3" w:rsidP="007E1DA2">
            <w:pPr>
              <w:numPr>
                <w:ilvl w:val="0"/>
                <w:numId w:val="43"/>
              </w:numPr>
              <w:spacing w:line="240" w:lineRule="auto"/>
              <w:rPr>
                <w:lang w:val="tr-TR"/>
              </w:rPr>
            </w:pPr>
            <w:r w:rsidRPr="000E1BA8">
              <w:rPr>
                <w:lang w:val="tr-TR"/>
              </w:rPr>
              <w:t xml:space="preserve">Bilgi alışverişi ile karşılıklı adli yardım konularında uluslararası </w:t>
            </w:r>
            <w:proofErr w:type="gramStart"/>
            <w:r w:rsidRPr="000E1BA8">
              <w:rPr>
                <w:lang w:val="tr-TR"/>
              </w:rPr>
              <w:t>işbirliğinin</w:t>
            </w:r>
            <w:proofErr w:type="gramEnd"/>
            <w:r w:rsidRPr="000E1BA8">
              <w:rPr>
                <w:lang w:val="tr-TR"/>
              </w:rPr>
              <w:t xml:space="preserve"> birbirinden ayrılması.</w:t>
            </w:r>
          </w:p>
          <w:p w14:paraId="56D23E75" w14:textId="77777777" w:rsidR="00845D83" w:rsidRPr="000E1BA8" w:rsidRDefault="00520DB3" w:rsidP="007E1DA2">
            <w:pPr>
              <w:numPr>
                <w:ilvl w:val="0"/>
                <w:numId w:val="43"/>
              </w:numPr>
              <w:spacing w:line="240" w:lineRule="auto"/>
              <w:rPr>
                <w:lang w:val="tr-TR"/>
              </w:rPr>
            </w:pPr>
            <w:r w:rsidRPr="000E1BA8">
              <w:rPr>
                <w:lang w:val="tr-TR"/>
              </w:rPr>
              <w:t>Bilgi alışverişine ilişkin uluslararası ağların ve kuruluşların sıralanması.</w:t>
            </w:r>
          </w:p>
          <w:p w14:paraId="5AB3039E" w14:textId="77777777" w:rsidR="00845D83" w:rsidRPr="000E1BA8" w:rsidRDefault="00520DB3" w:rsidP="007E1DA2">
            <w:pPr>
              <w:numPr>
                <w:ilvl w:val="0"/>
                <w:numId w:val="43"/>
              </w:numPr>
              <w:spacing w:line="240" w:lineRule="auto"/>
              <w:rPr>
                <w:lang w:val="tr-TR"/>
              </w:rPr>
            </w:pPr>
            <w:r w:rsidRPr="000E1BA8">
              <w:rPr>
                <w:lang w:val="tr-TR"/>
              </w:rPr>
              <w:t>Karşılıklı adli yardımın (KAY) niteliği ve amacının tanımlanması.</w:t>
            </w:r>
          </w:p>
          <w:p w14:paraId="29C81D4C" w14:textId="77777777" w:rsidR="007E1DA2" w:rsidRPr="000E1BA8" w:rsidRDefault="00520DB3" w:rsidP="007E1DA2">
            <w:pPr>
              <w:numPr>
                <w:ilvl w:val="0"/>
                <w:numId w:val="43"/>
              </w:numPr>
              <w:spacing w:line="240" w:lineRule="auto"/>
              <w:rPr>
                <w:lang w:val="tr-TR"/>
              </w:rPr>
            </w:pPr>
            <w:r w:rsidRPr="000E1BA8">
              <w:rPr>
                <w:lang w:val="tr-TR"/>
              </w:rPr>
              <w:t>Konuyla ilgili uluslararası hukuk belgelerinin sunulması.</w:t>
            </w:r>
          </w:p>
          <w:p w14:paraId="61ABEAC5" w14:textId="7FCC7BB9" w:rsidR="002F6469" w:rsidRPr="000E1BA8" w:rsidRDefault="007E1DA2" w:rsidP="007E1DA2">
            <w:pPr>
              <w:numPr>
                <w:ilvl w:val="0"/>
                <w:numId w:val="43"/>
              </w:numPr>
              <w:spacing w:line="240" w:lineRule="auto"/>
              <w:rPr>
                <w:lang w:val="tr-TR"/>
              </w:rPr>
            </w:pPr>
            <w:r w:rsidRPr="000E1BA8">
              <w:rPr>
                <w:lang w:val="tr-TR"/>
              </w:rPr>
              <w:t>Budapeşte ve Varşova Sözleşmelerinin bu konudaki hükümlerinin gereğince kullanılabilmesi amacıyla belirlenmesi.</w:t>
            </w:r>
          </w:p>
        </w:tc>
      </w:tr>
      <w:tr w:rsidR="005703B7" w:rsidRPr="000E1BA8" w14:paraId="03110757" w14:textId="77777777" w:rsidTr="009C5523">
        <w:trPr>
          <w:trHeight w:val="2258"/>
        </w:trPr>
        <w:tc>
          <w:tcPr>
            <w:tcW w:w="9010" w:type="dxa"/>
            <w:gridSpan w:val="2"/>
            <w:tcBorders>
              <w:bottom w:val="single" w:sz="4" w:space="0" w:color="auto"/>
            </w:tcBorders>
            <w:vAlign w:val="center"/>
          </w:tcPr>
          <w:p w14:paraId="7A064E85" w14:textId="252F3EAE" w:rsidR="005703B7" w:rsidRPr="000E1BA8" w:rsidRDefault="00A736B2" w:rsidP="00FE1759">
            <w:pPr>
              <w:rPr>
                <w:b/>
                <w:sz w:val="22"/>
                <w:szCs w:val="22"/>
                <w:lang w:val="tr-TR"/>
              </w:rPr>
            </w:pPr>
            <w:r w:rsidRPr="000E1BA8">
              <w:rPr>
                <w:b/>
                <w:sz w:val="22"/>
                <w:szCs w:val="22"/>
                <w:lang w:val="tr-TR"/>
              </w:rPr>
              <w:t>Eğitmen Rehberi</w:t>
            </w:r>
          </w:p>
          <w:p w14:paraId="74A8B6B4" w14:textId="24943E66" w:rsidR="007E1DA2" w:rsidRPr="000E1BA8" w:rsidRDefault="007E1DA2" w:rsidP="00FE1759">
            <w:pPr>
              <w:rPr>
                <w:lang w:val="tr-TR"/>
              </w:rPr>
            </w:pPr>
            <w:r w:rsidRPr="000E1BA8">
              <w:rPr>
                <w:lang w:val="tr-TR"/>
              </w:rPr>
              <w:t xml:space="preserve">Bu oturum mali soruşturmalarda ve siber suç soruşturmalarında uluslararası </w:t>
            </w:r>
            <w:proofErr w:type="gramStart"/>
            <w:r w:rsidRPr="000E1BA8">
              <w:rPr>
                <w:lang w:val="tr-TR"/>
              </w:rPr>
              <w:t>işbirliği</w:t>
            </w:r>
            <w:proofErr w:type="gramEnd"/>
            <w:r w:rsidRPr="000E1BA8">
              <w:rPr>
                <w:lang w:val="tr-TR"/>
              </w:rPr>
              <w:t xml:space="preserve"> metodolojileri hakkında bilgi sunmaktadır. </w:t>
            </w:r>
          </w:p>
          <w:p w14:paraId="76D3001F" w14:textId="77777777" w:rsidR="00C340A2" w:rsidRPr="000E1BA8" w:rsidRDefault="007E1DA2" w:rsidP="00FE1759">
            <w:pPr>
              <w:rPr>
                <w:lang w:val="tr-TR"/>
              </w:rPr>
            </w:pPr>
            <w:r w:rsidRPr="000E1BA8">
              <w:rPr>
                <w:lang w:val="tr-TR"/>
              </w:rPr>
              <w:t xml:space="preserve">Bu oturumdaki tüm bilgiler kaynak paketindeki “1.3.4 – Uluslararası </w:t>
            </w:r>
            <w:proofErr w:type="gramStart"/>
            <w:r w:rsidRPr="000E1BA8">
              <w:rPr>
                <w:lang w:val="tr-TR"/>
              </w:rPr>
              <w:t>İşbirliği</w:t>
            </w:r>
            <w:proofErr w:type="gramEnd"/>
            <w:r w:rsidRPr="000E1BA8">
              <w:rPr>
                <w:lang w:val="tr-TR"/>
              </w:rPr>
              <w:t xml:space="preserve">” başlıklı PowerPoint sunumlarında yer almaktadır. </w:t>
            </w:r>
            <w:r w:rsidR="00375B0A" w:rsidRPr="000E1BA8">
              <w:rPr>
                <w:lang w:val="tr-TR"/>
              </w:rPr>
              <w:t xml:space="preserve">Eğitmen materyallerin güncel olmasını sağlamaktan sorumludur. Değişiklik yapılabilir; ancak hedeflere ulaşılmalıdır. </w:t>
            </w:r>
          </w:p>
          <w:p w14:paraId="5EFF4BEF" w14:textId="739BFFAD" w:rsidR="007C26E7" w:rsidRPr="000E1BA8" w:rsidRDefault="007C26E7" w:rsidP="00FE1759">
            <w:pPr>
              <w:rPr>
                <w:lang w:val="tr-TR"/>
              </w:rPr>
            </w:pPr>
          </w:p>
        </w:tc>
      </w:tr>
    </w:tbl>
    <w:p w14:paraId="208E451E" w14:textId="77777777" w:rsidR="007C26E7" w:rsidRPr="000E1BA8" w:rsidRDefault="007C26E7">
      <w:pPr>
        <w:jc w:val="left"/>
        <w:rPr>
          <w:lang w:val="tr-TR"/>
        </w:rPr>
      </w:pPr>
      <w:r w:rsidRPr="000E1BA8">
        <w:rPr>
          <w:lang w:val="tr-TR"/>
        </w:rPr>
        <w:br w:type="page"/>
      </w:r>
    </w:p>
    <w:tbl>
      <w:tblPr>
        <w:tblStyle w:val="TableGrid"/>
        <w:tblW w:w="0" w:type="auto"/>
        <w:tblLook w:val="04A0" w:firstRow="1" w:lastRow="0" w:firstColumn="1" w:lastColumn="0" w:noHBand="0" w:noVBand="1"/>
      </w:tblPr>
      <w:tblGrid>
        <w:gridCol w:w="1615"/>
        <w:gridCol w:w="7395"/>
      </w:tblGrid>
      <w:tr w:rsidR="005A4E47" w:rsidRPr="000E1BA8" w14:paraId="7760520D" w14:textId="77777777" w:rsidTr="00E13BE7">
        <w:trPr>
          <w:trHeight w:val="701"/>
        </w:trPr>
        <w:tc>
          <w:tcPr>
            <w:tcW w:w="9010" w:type="dxa"/>
            <w:gridSpan w:val="2"/>
            <w:tcBorders>
              <w:bottom w:val="single" w:sz="4" w:space="0" w:color="auto"/>
            </w:tcBorders>
            <w:shd w:val="clear" w:color="auto" w:fill="D9E2F3" w:themeFill="accent1" w:themeFillTint="33"/>
            <w:vAlign w:val="center"/>
          </w:tcPr>
          <w:p w14:paraId="3F533D38" w14:textId="17B89DE6" w:rsidR="005A4E47" w:rsidRPr="000E1BA8" w:rsidRDefault="00A736B2" w:rsidP="00A736B2">
            <w:pPr>
              <w:spacing w:before="0" w:after="0" w:line="240" w:lineRule="auto"/>
              <w:jc w:val="left"/>
              <w:rPr>
                <w:lang w:val="tr-TR"/>
              </w:rPr>
            </w:pPr>
            <w:r w:rsidRPr="000E1BA8">
              <w:rPr>
                <w:b/>
                <w:sz w:val="28"/>
                <w:szCs w:val="28"/>
                <w:lang w:val="tr-TR"/>
              </w:rPr>
              <w:lastRenderedPageBreak/>
              <w:t>Ders İçeriği</w:t>
            </w:r>
          </w:p>
        </w:tc>
      </w:tr>
      <w:tr w:rsidR="00CB3026" w:rsidRPr="000E1BA8" w14:paraId="57CC7AA4" w14:textId="77777777" w:rsidTr="00CB3026">
        <w:trPr>
          <w:trHeight w:val="629"/>
        </w:trPr>
        <w:tc>
          <w:tcPr>
            <w:tcW w:w="1615" w:type="dxa"/>
            <w:shd w:val="clear" w:color="auto" w:fill="D9E2F3" w:themeFill="accent1" w:themeFillTint="33"/>
            <w:vAlign w:val="center"/>
          </w:tcPr>
          <w:p w14:paraId="4538C338" w14:textId="1122D8BE" w:rsidR="00D82C18" w:rsidRPr="000E1BA8" w:rsidRDefault="00A736B2" w:rsidP="00381D2C">
            <w:pPr>
              <w:spacing w:before="0" w:after="0" w:line="240" w:lineRule="auto"/>
              <w:jc w:val="center"/>
              <w:rPr>
                <w:b/>
                <w:sz w:val="22"/>
                <w:szCs w:val="22"/>
                <w:lang w:val="tr-TR"/>
              </w:rPr>
            </w:pPr>
            <w:r w:rsidRPr="000E1BA8">
              <w:rPr>
                <w:b/>
                <w:sz w:val="22"/>
                <w:szCs w:val="22"/>
                <w:lang w:val="tr-TR"/>
              </w:rPr>
              <w:t>Slayt Numaraları</w:t>
            </w:r>
          </w:p>
        </w:tc>
        <w:tc>
          <w:tcPr>
            <w:tcW w:w="7395" w:type="dxa"/>
            <w:shd w:val="clear" w:color="auto" w:fill="D9E2F3" w:themeFill="accent1" w:themeFillTint="33"/>
            <w:vAlign w:val="center"/>
          </w:tcPr>
          <w:p w14:paraId="2DA616FC" w14:textId="6EC1FDF4" w:rsidR="00D82C18" w:rsidRPr="000E1BA8" w:rsidRDefault="00A736B2" w:rsidP="00381D2C">
            <w:pPr>
              <w:spacing w:before="0" w:after="0" w:line="240" w:lineRule="auto"/>
              <w:rPr>
                <w:b/>
                <w:sz w:val="22"/>
                <w:szCs w:val="22"/>
                <w:lang w:val="tr-TR"/>
              </w:rPr>
            </w:pPr>
            <w:r w:rsidRPr="000E1BA8">
              <w:rPr>
                <w:b/>
                <w:sz w:val="22"/>
                <w:szCs w:val="22"/>
                <w:lang w:val="tr-TR"/>
              </w:rPr>
              <w:t>İçerik</w:t>
            </w:r>
          </w:p>
        </w:tc>
      </w:tr>
      <w:tr w:rsidR="002F6469" w:rsidRPr="000E1BA8" w14:paraId="11A12D7E" w14:textId="77777777" w:rsidTr="00857FD3">
        <w:trPr>
          <w:trHeight w:val="1187"/>
        </w:trPr>
        <w:tc>
          <w:tcPr>
            <w:tcW w:w="1615" w:type="dxa"/>
          </w:tcPr>
          <w:p w14:paraId="5A89CF27" w14:textId="6351F893" w:rsidR="002F6469" w:rsidRPr="000E1BA8" w:rsidRDefault="00A736B2" w:rsidP="00FE1759">
            <w:pPr>
              <w:rPr>
                <w:lang w:val="tr-TR"/>
              </w:rPr>
            </w:pPr>
            <w:r w:rsidRPr="000E1BA8">
              <w:rPr>
                <w:lang w:val="tr-TR"/>
              </w:rPr>
              <w:t>Slayt</w:t>
            </w:r>
            <w:r w:rsidR="002F6469" w:rsidRPr="000E1BA8">
              <w:rPr>
                <w:lang w:val="tr-TR"/>
              </w:rPr>
              <w:t xml:space="preserve"> 3</w:t>
            </w:r>
          </w:p>
        </w:tc>
        <w:tc>
          <w:tcPr>
            <w:tcW w:w="7395" w:type="dxa"/>
          </w:tcPr>
          <w:p w14:paraId="42AC72D4" w14:textId="77954B9B" w:rsidR="00C07AFF" w:rsidRPr="000E1BA8" w:rsidRDefault="00C07AFF" w:rsidP="00FE1759">
            <w:pPr>
              <w:rPr>
                <w:lang w:val="tr-TR"/>
              </w:rPr>
            </w:pPr>
            <w:r w:rsidRPr="000E1BA8">
              <w:rPr>
                <w:lang w:val="tr-TR"/>
              </w:rPr>
              <w:t xml:space="preserve">Siber suç ve internet ortamında işlenen suçlar </w:t>
            </w:r>
            <w:r w:rsidR="007C26E7" w:rsidRPr="000E1BA8">
              <w:rPr>
                <w:lang w:val="tr-TR"/>
              </w:rPr>
              <w:t xml:space="preserve">genellikle sınır ötesi bir nitelik taşır ve dolayısıyla uluslararası </w:t>
            </w:r>
            <w:proofErr w:type="gramStart"/>
            <w:r w:rsidR="007C26E7" w:rsidRPr="000E1BA8">
              <w:rPr>
                <w:lang w:val="tr-TR"/>
              </w:rPr>
              <w:t>işbirliği</w:t>
            </w:r>
            <w:proofErr w:type="gramEnd"/>
            <w:r w:rsidR="007C26E7" w:rsidRPr="000E1BA8">
              <w:rPr>
                <w:lang w:val="tr-TR"/>
              </w:rPr>
              <w:t xml:space="preserve"> hayati öneme sahiptir. Siber suçlar (Budapeşte Sözleşmesi’nin 7/24 ağı ve </w:t>
            </w:r>
            <w:proofErr w:type="spellStart"/>
            <w:r w:rsidR="007C26E7" w:rsidRPr="000E1BA8">
              <w:rPr>
                <w:lang w:val="tr-TR"/>
              </w:rPr>
              <w:t>Europol</w:t>
            </w:r>
            <w:proofErr w:type="spellEnd"/>
            <w:r w:rsidR="007C26E7" w:rsidRPr="000E1BA8">
              <w:rPr>
                <w:lang w:val="tr-TR"/>
              </w:rPr>
              <w:t xml:space="preserve"> EC3 gibi), mali soruşturmalar (CARIN) ve kara para aklamanın önlenmesi ve soruşturulması (EGMONT Grubu) alanlarında bilgi alışverişini kolaylaştıran ağlar ve kuruluşlar mevcuttur. Bu noktada INTERPOL’e de değinmek gerekir. </w:t>
            </w:r>
          </w:p>
          <w:p w14:paraId="358270F8" w14:textId="32EB4032" w:rsidR="007C26E7" w:rsidRPr="000E1BA8" w:rsidRDefault="007C26E7" w:rsidP="00FE1759">
            <w:pPr>
              <w:rPr>
                <w:lang w:val="tr-TR"/>
              </w:rPr>
            </w:pPr>
            <w:r w:rsidRPr="000E1BA8">
              <w:rPr>
                <w:lang w:val="tr-TR"/>
              </w:rPr>
              <w:t>Geleneksel karşılıklı adli yardım</w:t>
            </w:r>
            <w:r w:rsidR="00BE3105" w:rsidRPr="000E1BA8">
              <w:rPr>
                <w:lang w:val="tr-TR"/>
              </w:rPr>
              <w:t>, yurtdışındaki delillerin toplanması ve malların</w:t>
            </w:r>
            <w:r w:rsidRPr="000E1BA8">
              <w:rPr>
                <w:lang w:val="tr-TR"/>
              </w:rPr>
              <w:t xml:space="preserve"> </w:t>
            </w:r>
            <w:r w:rsidR="00BE3105" w:rsidRPr="000E1BA8">
              <w:rPr>
                <w:lang w:val="tr-TR"/>
              </w:rPr>
              <w:t xml:space="preserve">dondurulması ve müsadere edilmesi amacıyla çıkartılmış mahkeme kararlarının icraya konulması bakımından, çok fazla zaman alabilirse </w:t>
            </w:r>
            <w:proofErr w:type="gramStart"/>
            <w:r w:rsidR="00BE3105" w:rsidRPr="000E1BA8">
              <w:rPr>
                <w:lang w:val="tr-TR"/>
              </w:rPr>
              <w:t>de,</w:t>
            </w:r>
            <w:proofErr w:type="gramEnd"/>
            <w:r w:rsidR="00BE3105" w:rsidRPr="000E1BA8">
              <w:rPr>
                <w:lang w:val="tr-TR"/>
              </w:rPr>
              <w:t xml:space="preserve"> gerekli bir süreçtir. Ortak Soruşturma Ekipleri (</w:t>
            </w:r>
            <w:proofErr w:type="spellStart"/>
            <w:r w:rsidR="00BE3105" w:rsidRPr="000E1BA8">
              <w:rPr>
                <w:lang w:val="tr-TR"/>
              </w:rPr>
              <w:t>OSE’ler</w:t>
            </w:r>
            <w:proofErr w:type="spellEnd"/>
            <w:r w:rsidR="00BE3105" w:rsidRPr="000E1BA8">
              <w:rPr>
                <w:lang w:val="tr-TR"/>
              </w:rPr>
              <w:t xml:space="preserve">) veya paralel soruşturmalar yürütülmesi gibi alternatif yaklaşımlar da fayda sağlayabilir. </w:t>
            </w:r>
          </w:p>
          <w:p w14:paraId="060A9143" w14:textId="5E737BAC" w:rsidR="00BE3105" w:rsidRPr="000E1BA8" w:rsidRDefault="00BE3105" w:rsidP="00FE1759">
            <w:pPr>
              <w:rPr>
                <w:lang w:val="tr-TR"/>
              </w:rPr>
            </w:pPr>
            <w:r w:rsidRPr="000E1BA8">
              <w:rPr>
                <w:lang w:val="tr-TR"/>
              </w:rPr>
              <w:t>İnternet ortamında işlenen suçlara has özellikler</w:t>
            </w:r>
          </w:p>
          <w:p w14:paraId="0F5C6881" w14:textId="69034534" w:rsidR="00BE3105" w:rsidRPr="000E1BA8" w:rsidRDefault="00944B17" w:rsidP="00FE1759">
            <w:pPr>
              <w:rPr>
                <w:lang w:val="tr-TR"/>
              </w:rPr>
            </w:pPr>
            <w:r w:rsidRPr="000E1BA8">
              <w:rPr>
                <w:lang w:val="tr-TR"/>
              </w:rPr>
              <w:t xml:space="preserve">İnternet, birçok olumlu </w:t>
            </w:r>
            <w:r w:rsidR="00A63119" w:rsidRPr="000E1BA8">
              <w:rPr>
                <w:lang w:val="tr-TR"/>
              </w:rPr>
              <w:t xml:space="preserve">yönüne karşın, kimliklerini (örneğin </w:t>
            </w:r>
            <w:proofErr w:type="spellStart"/>
            <w:r w:rsidR="00A63119" w:rsidRPr="000E1BA8">
              <w:rPr>
                <w:lang w:val="tr-TR"/>
              </w:rPr>
              <w:t>Darknet</w:t>
            </w:r>
            <w:proofErr w:type="spellEnd"/>
            <w:r w:rsidR="00A63119" w:rsidRPr="000E1BA8">
              <w:rPr>
                <w:lang w:val="tr-TR"/>
              </w:rPr>
              <w:t xml:space="preserve"> hizmetlerini kullanarak), delilleri ve suçtan elde edilen kazançların izlerini hızla ve isimsiz bir şekilde gizlemek için neredeyse görünmez şekillerde hareket edebilen suçlular tarafından istismar olanakları da sunmaktadır. İnternetin bu özelliği kolluk makamları açısından bir güçlük yaratmaktadır. </w:t>
            </w:r>
          </w:p>
          <w:p w14:paraId="36345B59" w14:textId="67B3BA04" w:rsidR="001D6D84" w:rsidRPr="000E1BA8" w:rsidRDefault="00A63119" w:rsidP="00FE1759">
            <w:pPr>
              <w:rPr>
                <w:lang w:val="tr-TR"/>
              </w:rPr>
            </w:pPr>
            <w:r w:rsidRPr="000E1BA8">
              <w:rPr>
                <w:lang w:val="tr-TR"/>
              </w:rPr>
              <w:t xml:space="preserve">Bir suçun aracı veya nesnesi olarak bilgisayar veya internet kullanımını içeren olaylarda, failin fiziksel olarak belirli bir ülke topraklarında bulunması gerekmez. </w:t>
            </w:r>
            <w:r w:rsidR="00616E92" w:rsidRPr="000E1BA8">
              <w:rPr>
                <w:lang w:val="tr-TR"/>
              </w:rPr>
              <w:t xml:space="preserve">Hiçbir delilin de bir ülke topraklarında bulunması şart değildir. Fail, interneti kullanarak, bir ülkede faaliyet gösterirken, başka bir ülkede yer alan sunucuları kullanabilir, üçüncü bir ülkedeki bir mağduru hedef alabilir ve suç gelirleri dördüncü bir ülkede neticelenebilir. İnternet sınır tanımaz, fakat polis ve savcılar açısından sınırlar halen mevcuttur. Dolayısıyla, soruşturma ve delil toplama amaçları bakımından uluslararası </w:t>
            </w:r>
            <w:proofErr w:type="gramStart"/>
            <w:r w:rsidR="00616E92" w:rsidRPr="000E1BA8">
              <w:rPr>
                <w:lang w:val="tr-TR"/>
              </w:rPr>
              <w:t>işbirliği</w:t>
            </w:r>
            <w:proofErr w:type="gramEnd"/>
            <w:r w:rsidR="00616E92" w:rsidRPr="000E1BA8">
              <w:rPr>
                <w:lang w:val="tr-TR"/>
              </w:rPr>
              <w:t xml:space="preserve"> elzemdir. </w:t>
            </w:r>
          </w:p>
        </w:tc>
      </w:tr>
      <w:tr w:rsidR="002F6469" w:rsidRPr="000E1BA8" w14:paraId="65F07CB5" w14:textId="77777777" w:rsidTr="00857FD3">
        <w:trPr>
          <w:trHeight w:val="2402"/>
        </w:trPr>
        <w:tc>
          <w:tcPr>
            <w:tcW w:w="1615" w:type="dxa"/>
          </w:tcPr>
          <w:p w14:paraId="6F5AEB2D" w14:textId="2C3F69D3" w:rsidR="002F6469" w:rsidRPr="000E1BA8" w:rsidRDefault="00A736B2" w:rsidP="00FE1759">
            <w:pPr>
              <w:rPr>
                <w:lang w:val="tr-TR"/>
              </w:rPr>
            </w:pPr>
            <w:r w:rsidRPr="000E1BA8">
              <w:rPr>
                <w:lang w:val="tr-TR"/>
              </w:rPr>
              <w:t>Slayt</w:t>
            </w:r>
            <w:r w:rsidR="002F6469" w:rsidRPr="000E1BA8">
              <w:rPr>
                <w:lang w:val="tr-TR"/>
              </w:rPr>
              <w:t xml:space="preserve"> 4</w:t>
            </w:r>
          </w:p>
        </w:tc>
        <w:tc>
          <w:tcPr>
            <w:tcW w:w="7395" w:type="dxa"/>
          </w:tcPr>
          <w:p w14:paraId="1CB28086" w14:textId="23F13036" w:rsidR="001A4368" w:rsidRPr="000E1BA8" w:rsidRDefault="001A4368" w:rsidP="00FE1759">
            <w:pPr>
              <w:rPr>
                <w:lang w:val="tr-TR"/>
              </w:rPr>
            </w:pPr>
            <w:r w:rsidRPr="000E1BA8">
              <w:rPr>
                <w:lang w:val="tr-TR"/>
              </w:rPr>
              <w:t xml:space="preserve">Ceza soruşturmaları şu gibi sorulara yanıt vermek zorundadır: Bir IP adresi bir mağdur veya başka bir suçlu ile haberleşmekte kullanılırken söz konusu IP adresinin ardında kim var? Bir suç faaliyetine karışanları tespit edebilmek için merkezi yurtdışında bulunan bir şirketin iletişim trafiğinin veya hatta depoladığı iletişim içeriğinin incelenmesi önem arz edebilir. Ayrıca, mali soruşturmalar yürütülür ve para akışı incelenirken, yurtdışındaki banka hesap bilgileri ve işlemlerine erişmek ve işlemi </w:t>
            </w:r>
            <w:r w:rsidR="00326CC1" w:rsidRPr="000E1BA8">
              <w:rPr>
                <w:lang w:val="tr-TR"/>
              </w:rPr>
              <w:t>geciktirme</w:t>
            </w:r>
            <w:r w:rsidRPr="000E1BA8">
              <w:rPr>
                <w:lang w:val="tr-TR"/>
              </w:rPr>
              <w:t xml:space="preserve"> (MİB) ya da işlemi veya </w:t>
            </w:r>
            <w:proofErr w:type="spellStart"/>
            <w:r w:rsidRPr="000E1BA8">
              <w:rPr>
                <w:lang w:val="tr-TR"/>
              </w:rPr>
              <w:t>bitcoin</w:t>
            </w:r>
            <w:proofErr w:type="spellEnd"/>
            <w:r w:rsidRPr="000E1BA8">
              <w:rPr>
                <w:lang w:val="tr-TR"/>
              </w:rPr>
              <w:t xml:space="preserve"> cüzdanı gibi malları dondurma (mahkeme emri) imkânına sahip olmak önemlidir. </w:t>
            </w:r>
          </w:p>
          <w:p w14:paraId="56AB7D13" w14:textId="7C68CDD0" w:rsidR="001A4368" w:rsidRPr="000E1BA8" w:rsidRDefault="001A4368" w:rsidP="00FE1759">
            <w:pPr>
              <w:rPr>
                <w:lang w:val="tr-TR"/>
              </w:rPr>
            </w:pPr>
            <w:r w:rsidRPr="000E1BA8">
              <w:rPr>
                <w:lang w:val="tr-TR"/>
              </w:rPr>
              <w:t xml:space="preserve">Bu tür pratik güçlükler karşısında, belirli bir ülkeden bilgi veya delil cinsinden yardım talep etme ve alma konusundaki yasal ve fiili imkânları anlamak önem taşır. Somut olaylarda başarıya ulaşılabilmesi genellikle yerleşik irtibatlara, karşılıklı menfaate ve güvene dayanır. </w:t>
            </w:r>
          </w:p>
          <w:p w14:paraId="1225EB94" w14:textId="7C806D22" w:rsidR="002F6469" w:rsidRPr="000E1BA8" w:rsidRDefault="001A4368" w:rsidP="00FE1759">
            <w:pPr>
              <w:rPr>
                <w:lang w:val="tr-TR"/>
              </w:rPr>
            </w:pPr>
            <w:r w:rsidRPr="000E1BA8">
              <w:rPr>
                <w:lang w:val="tr-TR"/>
              </w:rPr>
              <w:t xml:space="preserve">3 </w:t>
            </w:r>
            <w:r w:rsidR="00A90AAB" w:rsidRPr="000E1BA8">
              <w:rPr>
                <w:lang w:val="tr-TR"/>
              </w:rPr>
              <w:t>unsurun</w:t>
            </w:r>
            <w:r w:rsidRPr="000E1BA8">
              <w:rPr>
                <w:lang w:val="tr-TR"/>
              </w:rPr>
              <w:t xml:space="preserve"> birleştirilmesi</w:t>
            </w:r>
          </w:p>
          <w:p w14:paraId="39A9E5FF" w14:textId="4185C264" w:rsidR="001A4368" w:rsidRPr="000E1BA8" w:rsidRDefault="001A4368" w:rsidP="00FE1759">
            <w:pPr>
              <w:rPr>
                <w:lang w:val="tr-TR"/>
              </w:rPr>
            </w:pPr>
            <w:r w:rsidRPr="000E1BA8">
              <w:rPr>
                <w:lang w:val="tr-TR"/>
              </w:rPr>
              <w:t>İnternet ortamında işlenen suçlardan elde edilen gelirlerin hedef alınması kavramı, siber suç soruşturmalarına, mali soruşturmalara ve kara para aklama soruşturmalarına ilişkin yaklaşımların</w:t>
            </w:r>
            <w:r w:rsidR="00A90AAB" w:rsidRPr="000E1BA8">
              <w:rPr>
                <w:lang w:val="tr-TR"/>
              </w:rPr>
              <w:t>,</w:t>
            </w:r>
            <w:r w:rsidRPr="000E1BA8">
              <w:rPr>
                <w:lang w:val="tr-TR"/>
              </w:rPr>
              <w:t xml:space="preserve"> </w:t>
            </w:r>
            <w:r w:rsidR="00A90AAB" w:rsidRPr="000E1BA8">
              <w:rPr>
                <w:lang w:val="tr-TR"/>
              </w:rPr>
              <w:t xml:space="preserve">ceza soruşturmalarında ve ceza yargılamalarında hem suçlunun </w:t>
            </w:r>
            <w:proofErr w:type="gramStart"/>
            <w:r w:rsidR="00A90AAB" w:rsidRPr="000E1BA8">
              <w:rPr>
                <w:lang w:val="tr-TR"/>
              </w:rPr>
              <w:t>kovuşturulması,</w:t>
            </w:r>
            <w:proofErr w:type="gramEnd"/>
            <w:r w:rsidR="00A90AAB" w:rsidRPr="000E1BA8">
              <w:rPr>
                <w:lang w:val="tr-TR"/>
              </w:rPr>
              <w:t xml:space="preserve"> hem de suç gelirlerinin hedef </w:t>
            </w:r>
            <w:r w:rsidR="00A90AAB" w:rsidRPr="000E1BA8">
              <w:rPr>
                <w:lang w:val="tr-TR"/>
              </w:rPr>
              <w:lastRenderedPageBreak/>
              <w:t xml:space="preserve">alınarak müsadere edilmesi bakımından </w:t>
            </w:r>
            <w:r w:rsidRPr="000E1BA8">
              <w:rPr>
                <w:lang w:val="tr-TR"/>
              </w:rPr>
              <w:t xml:space="preserve">verimliliğin </w:t>
            </w:r>
            <w:r w:rsidR="00A90AAB" w:rsidRPr="000E1BA8">
              <w:rPr>
                <w:lang w:val="tr-TR"/>
              </w:rPr>
              <w:t xml:space="preserve">ve başarının </w:t>
            </w:r>
            <w:r w:rsidRPr="000E1BA8">
              <w:rPr>
                <w:lang w:val="tr-TR"/>
              </w:rPr>
              <w:t xml:space="preserve">arttırılması </w:t>
            </w:r>
            <w:r w:rsidR="00A90AAB" w:rsidRPr="000E1BA8">
              <w:rPr>
                <w:lang w:val="tr-TR"/>
              </w:rPr>
              <w:t xml:space="preserve">amacıyla bir araya getirilmesidir. </w:t>
            </w:r>
          </w:p>
          <w:p w14:paraId="437F588F" w14:textId="7287C2C0" w:rsidR="00A90AAB" w:rsidRPr="000E1BA8" w:rsidRDefault="00A90AAB" w:rsidP="00FE1759">
            <w:pPr>
              <w:rPr>
                <w:lang w:val="tr-TR"/>
              </w:rPr>
            </w:pPr>
            <w:r w:rsidRPr="000E1BA8">
              <w:rPr>
                <w:lang w:val="tr-TR"/>
              </w:rPr>
              <w:t xml:space="preserve">Bu üç unsur birleştirilmek suretiyle </w:t>
            </w:r>
            <w:r w:rsidR="00E00AB1" w:rsidRPr="000E1BA8">
              <w:rPr>
                <w:lang w:val="tr-TR"/>
              </w:rPr>
              <w:t xml:space="preserve">uluslararası </w:t>
            </w:r>
            <w:proofErr w:type="gramStart"/>
            <w:r w:rsidR="00E00AB1" w:rsidRPr="000E1BA8">
              <w:rPr>
                <w:lang w:val="tr-TR"/>
              </w:rPr>
              <w:t>işbirliğine</w:t>
            </w:r>
            <w:proofErr w:type="gramEnd"/>
            <w:r w:rsidR="00E00AB1" w:rsidRPr="000E1BA8">
              <w:rPr>
                <w:lang w:val="tr-TR"/>
              </w:rPr>
              <w:t xml:space="preserve"> ilişkin </w:t>
            </w:r>
            <w:r w:rsidRPr="000E1BA8">
              <w:rPr>
                <w:lang w:val="tr-TR"/>
              </w:rPr>
              <w:t>f</w:t>
            </w:r>
            <w:r w:rsidR="00E00AB1" w:rsidRPr="000E1BA8">
              <w:rPr>
                <w:lang w:val="tr-TR"/>
              </w:rPr>
              <w:t xml:space="preserve">arklı olanakların </w:t>
            </w:r>
            <w:r w:rsidR="00326CC1" w:rsidRPr="000E1BA8">
              <w:rPr>
                <w:lang w:val="tr-TR"/>
              </w:rPr>
              <w:t xml:space="preserve">birleştirilmesinden doğan faydaların bilinmesi önemlidir. Ancak, kara para aklamanın önlenmesi ve bununla mücadele konusunda olası etkili araçlar bulunmasına karşın, birçok ülkede kara para aklanmasına yönelik kovuşturmalarda halen güçlükler yaşandığını belirtmek gerekir. </w:t>
            </w:r>
          </w:p>
          <w:p w14:paraId="649FEA68" w14:textId="7C6B823B" w:rsidR="002F6469" w:rsidRPr="000E1BA8" w:rsidRDefault="00326CC1" w:rsidP="00FE1759">
            <w:pPr>
              <w:rPr>
                <w:lang w:val="tr-TR"/>
              </w:rPr>
            </w:pPr>
            <w:r w:rsidRPr="000E1BA8">
              <w:rPr>
                <w:lang w:val="tr-TR"/>
              </w:rPr>
              <w:t xml:space="preserve">İnternet ortamında işlenen suçlara yönelik soruşturmalarda hız esastır. Kara para aklama suçunun unsurları var olduğunda (suç gelirlerinin gizlenmesi veya saklanması) MİB banka verilerine erişim yetkisini kullanıp şüpheli banka işlemini geciktirebilir ve dahası, bu talebi yurtdışındaki bir </w:t>
            </w:r>
            <w:proofErr w:type="spellStart"/>
            <w:r w:rsidRPr="000E1BA8">
              <w:rPr>
                <w:lang w:val="tr-TR"/>
              </w:rPr>
              <w:t>MİB’den</w:t>
            </w:r>
            <w:proofErr w:type="spellEnd"/>
            <w:r w:rsidRPr="000E1BA8">
              <w:rPr>
                <w:lang w:val="tr-TR"/>
              </w:rPr>
              <w:t xml:space="preserve"> de talep edebilir. Bunun için, yurtdışındaki banka verilerine erişim ve/veya işlemin dondurulması yönünde müteakip bir mahkeme kararı ve KAY gerekecektir. </w:t>
            </w:r>
          </w:p>
        </w:tc>
      </w:tr>
      <w:tr w:rsidR="002F6469" w:rsidRPr="000E1BA8" w14:paraId="24B7EB61" w14:textId="77777777" w:rsidTr="00857FD3">
        <w:trPr>
          <w:trHeight w:val="854"/>
        </w:trPr>
        <w:tc>
          <w:tcPr>
            <w:tcW w:w="1615" w:type="dxa"/>
          </w:tcPr>
          <w:p w14:paraId="39692316" w14:textId="789F655E" w:rsidR="002F6469" w:rsidRPr="000E1BA8" w:rsidRDefault="00A736B2" w:rsidP="00FE1759">
            <w:pPr>
              <w:rPr>
                <w:lang w:val="tr-TR"/>
              </w:rPr>
            </w:pPr>
            <w:r w:rsidRPr="000E1BA8">
              <w:rPr>
                <w:lang w:val="tr-TR"/>
              </w:rPr>
              <w:lastRenderedPageBreak/>
              <w:t>Slayt</w:t>
            </w:r>
            <w:r w:rsidR="002F6469" w:rsidRPr="000E1BA8">
              <w:rPr>
                <w:lang w:val="tr-TR"/>
              </w:rPr>
              <w:t xml:space="preserve"> 5</w:t>
            </w:r>
          </w:p>
        </w:tc>
        <w:tc>
          <w:tcPr>
            <w:tcW w:w="7395" w:type="dxa"/>
          </w:tcPr>
          <w:p w14:paraId="43700772" w14:textId="3BDA7D8D" w:rsidR="00326CC1" w:rsidRPr="000E1BA8" w:rsidRDefault="00326CC1" w:rsidP="00FE1759">
            <w:pPr>
              <w:rPr>
                <w:lang w:val="tr-TR"/>
              </w:rPr>
            </w:pPr>
            <w:r w:rsidRPr="000E1BA8">
              <w:rPr>
                <w:lang w:val="tr-TR"/>
              </w:rPr>
              <w:t xml:space="preserve">Kolluk (polis ve savcılar) makamlarının </w:t>
            </w:r>
            <w:proofErr w:type="gramStart"/>
            <w:r w:rsidRPr="000E1BA8">
              <w:rPr>
                <w:lang w:val="tr-TR"/>
              </w:rPr>
              <w:t>işbirliği</w:t>
            </w:r>
            <w:proofErr w:type="gramEnd"/>
            <w:r w:rsidRPr="000E1BA8">
              <w:rPr>
                <w:lang w:val="tr-TR"/>
              </w:rPr>
              <w:t xml:space="preserve"> ve bilgi alışverişi sınır ötesi soruşturmalar açısından olmazsa olmaz niteliktedir. İlgili ağlar bu anlamda önemli bir rol oynar. </w:t>
            </w:r>
          </w:p>
          <w:p w14:paraId="480F5B98" w14:textId="0FD2A984" w:rsidR="00326CC1" w:rsidRPr="000E1BA8" w:rsidRDefault="00326CC1" w:rsidP="00FE1759">
            <w:pPr>
              <w:rPr>
                <w:lang w:val="tr-TR"/>
              </w:rPr>
            </w:pPr>
            <w:r w:rsidRPr="000E1BA8">
              <w:rPr>
                <w:lang w:val="tr-TR"/>
              </w:rPr>
              <w:t xml:space="preserve">Karşılıklı adli yardım halen yurtdışında mahkeme kararlarının uygulanması ve delil toplanması bakımından temel yöntem olarak görülmektedir. Bu resmi usul yolunun </w:t>
            </w:r>
            <w:r w:rsidR="004A49FF" w:rsidRPr="000E1BA8">
              <w:rPr>
                <w:lang w:val="tr-TR"/>
              </w:rPr>
              <w:t xml:space="preserve">aldığı vakit ise genelde önemli bir engel oluşturmaktadır Ortak soruşturmaların ve </w:t>
            </w:r>
            <w:proofErr w:type="spellStart"/>
            <w:r w:rsidR="004A49FF" w:rsidRPr="000E1BA8">
              <w:rPr>
                <w:lang w:val="tr-TR"/>
              </w:rPr>
              <w:t>OSE’lerin</w:t>
            </w:r>
            <w:proofErr w:type="spellEnd"/>
            <w:r w:rsidR="004A49FF" w:rsidRPr="000E1BA8">
              <w:rPr>
                <w:lang w:val="tr-TR"/>
              </w:rPr>
              <w:t xml:space="preserve"> kullanılması bu anlamda etkinliğin önünde duran bazı güçlüklerin aşılmasına yarabilmektedir. </w:t>
            </w:r>
          </w:p>
          <w:p w14:paraId="1FBDE394" w14:textId="3FD0E821" w:rsidR="004A49FF" w:rsidRPr="000E1BA8" w:rsidRDefault="004A49FF" w:rsidP="00FE1759">
            <w:pPr>
              <w:rPr>
                <w:lang w:val="tr-TR"/>
              </w:rPr>
            </w:pPr>
            <w:r w:rsidRPr="000E1BA8">
              <w:rPr>
                <w:lang w:val="tr-TR"/>
              </w:rPr>
              <w:t xml:space="preserve">Budapeşte ve Varşova Sözleşmeleri gibi uluslararası hukuk belgeleri Sözleşme’nin başka bir tarafına yardımcı olunması yönünde yasal yükümlülükler getirmektedir. Somut olaylarda uluslararası </w:t>
            </w:r>
            <w:proofErr w:type="gramStart"/>
            <w:r w:rsidRPr="000E1BA8">
              <w:rPr>
                <w:lang w:val="tr-TR"/>
              </w:rPr>
              <w:t>işbirliği</w:t>
            </w:r>
            <w:proofErr w:type="gramEnd"/>
            <w:r w:rsidRPr="000E1BA8">
              <w:rPr>
                <w:lang w:val="tr-TR"/>
              </w:rPr>
              <w:t xml:space="preserve">, karşılıklı menfaatlerin bulunduğu durumlarda daha etkin olmaktadır. Bu nedenledir ki yurtdışındaki </w:t>
            </w:r>
            <w:proofErr w:type="spellStart"/>
            <w:r w:rsidRPr="000E1BA8">
              <w:rPr>
                <w:lang w:val="tr-TR"/>
              </w:rPr>
              <w:t>mevkidaşlarla</w:t>
            </w:r>
            <w:proofErr w:type="spellEnd"/>
            <w:r w:rsidRPr="000E1BA8">
              <w:rPr>
                <w:lang w:val="tr-TR"/>
              </w:rPr>
              <w:t xml:space="preserve"> profesyonel ilişkiler geliştirilmesi önem taşımaktadır. Uluslararası uzman ağları en iyi uygulamaların mübadele edilmesi ve güven tesisi konusunda fırsatlar sunmaktadır. Yine </w:t>
            </w:r>
            <w:proofErr w:type="spellStart"/>
            <w:r w:rsidRPr="000E1BA8">
              <w:rPr>
                <w:lang w:val="tr-TR"/>
              </w:rPr>
              <w:t>operasyonel</w:t>
            </w:r>
            <w:proofErr w:type="spellEnd"/>
            <w:r w:rsidRPr="000E1BA8">
              <w:rPr>
                <w:lang w:val="tr-TR"/>
              </w:rPr>
              <w:t xml:space="preserve"> bilgilerin alınıp verilmesi amacıyla bazı uluslararası ağlar oluşturulmaktadır. Bu gibi durumlarda kişisel veri koruma kuralları </w:t>
            </w:r>
            <w:r w:rsidR="00EE3A11" w:rsidRPr="000E1BA8">
              <w:rPr>
                <w:lang w:val="tr-TR"/>
              </w:rPr>
              <w:t>geçerlidir. Mali soruşturmanın siber suç (ve internet ortam</w:t>
            </w:r>
            <w:r w:rsidR="006D2D55">
              <w:rPr>
                <w:lang w:val="tr-TR"/>
              </w:rPr>
              <w:t>ında işlenen suç) soruşturmasıyl</w:t>
            </w:r>
            <w:r w:rsidR="00EE3A11" w:rsidRPr="000E1BA8">
              <w:rPr>
                <w:lang w:val="tr-TR"/>
              </w:rPr>
              <w:t xml:space="preserve">a paralel şekilde yürütülmesi gerektiğinden, </w:t>
            </w:r>
            <w:r w:rsidR="001444A3" w:rsidRPr="000E1BA8">
              <w:rPr>
                <w:lang w:val="tr-TR"/>
              </w:rPr>
              <w:t xml:space="preserve">siber suç ve e-delil alanlarının yanı sıra suç gelirlerinin hedef alınması (mali soruşturma) ve kara para aklamanın engellenmesi/soruşturulması alanlarıyla ilgili ağların </w:t>
            </w:r>
            <w:r w:rsidR="004D62E3" w:rsidRPr="000E1BA8">
              <w:rPr>
                <w:lang w:val="tr-TR"/>
              </w:rPr>
              <w:t xml:space="preserve">tespiti faydalıdır. </w:t>
            </w:r>
          </w:p>
          <w:p w14:paraId="23256483" w14:textId="27128A63" w:rsidR="004D62E3" w:rsidRPr="000E1BA8" w:rsidRDefault="004D62E3" w:rsidP="00FE1759">
            <w:pPr>
              <w:rPr>
                <w:lang w:val="tr-TR"/>
              </w:rPr>
            </w:pPr>
            <w:r w:rsidRPr="000E1BA8">
              <w:rPr>
                <w:lang w:val="tr-TR"/>
              </w:rPr>
              <w:t xml:space="preserve">Uluslararası suç grupları tarafından işlenen suçların soruşturulmasında, suçluların yurtdışında herhangi bir malı olup olmadığının doğrulanması gerekmektedir. Bu gibi durumlarda polis ve savcıların uluslararası </w:t>
            </w:r>
            <w:proofErr w:type="gramStart"/>
            <w:r w:rsidRPr="000E1BA8">
              <w:rPr>
                <w:lang w:val="tr-TR"/>
              </w:rPr>
              <w:t>işb</w:t>
            </w:r>
            <w:r w:rsidR="00D821CC" w:rsidRPr="000E1BA8">
              <w:rPr>
                <w:lang w:val="tr-TR"/>
              </w:rPr>
              <w:t>irliği</w:t>
            </w:r>
            <w:proofErr w:type="gramEnd"/>
            <w:r w:rsidR="00D821CC" w:rsidRPr="000E1BA8">
              <w:rPr>
                <w:lang w:val="tr-TR"/>
              </w:rPr>
              <w:t xml:space="preserve"> son derece önemlidir. Yab</w:t>
            </w:r>
            <w:r w:rsidRPr="000E1BA8">
              <w:rPr>
                <w:lang w:val="tr-TR"/>
              </w:rPr>
              <w:t xml:space="preserve">ancı bir polis gücündeki irtibat kişisi, </w:t>
            </w:r>
            <w:r w:rsidR="00D821CC" w:rsidRPr="000E1BA8">
              <w:rPr>
                <w:lang w:val="tr-TR"/>
              </w:rPr>
              <w:t xml:space="preserve">polisle </w:t>
            </w:r>
            <w:proofErr w:type="gramStart"/>
            <w:r w:rsidR="00D821CC" w:rsidRPr="000E1BA8">
              <w:rPr>
                <w:lang w:val="tr-TR"/>
              </w:rPr>
              <w:t>işbirliği</w:t>
            </w:r>
            <w:proofErr w:type="gramEnd"/>
            <w:r w:rsidR="00D821CC" w:rsidRPr="000E1BA8">
              <w:rPr>
                <w:lang w:val="tr-TR"/>
              </w:rPr>
              <w:t xml:space="preserve"> yürütülerek veya bir istinabe müzekkeresiyle </w:t>
            </w:r>
            <w:r w:rsidRPr="000E1BA8">
              <w:rPr>
                <w:lang w:val="tr-TR"/>
              </w:rPr>
              <w:t xml:space="preserve">kamusal kaynaklardan mallara ilişkin ne gibi verilerin elde edilebileceği konusunda </w:t>
            </w:r>
            <w:r w:rsidR="00D821CC" w:rsidRPr="000E1BA8">
              <w:rPr>
                <w:lang w:val="tr-TR"/>
              </w:rPr>
              <w:t xml:space="preserve">tavsiyede bulunabilir. Bu tavsiyelerle verilerin elde edilmesi çok daha kolay ve hızlı gerçekleştirilebilir. </w:t>
            </w:r>
          </w:p>
          <w:p w14:paraId="1173DB7C" w14:textId="3C7DF960" w:rsidR="002F6469" w:rsidRPr="000E1BA8" w:rsidRDefault="00D821CC" w:rsidP="00FE1759">
            <w:pPr>
              <w:rPr>
                <w:lang w:val="tr-TR"/>
              </w:rPr>
            </w:pPr>
            <w:r w:rsidRPr="000E1BA8">
              <w:rPr>
                <w:lang w:val="tr-TR"/>
              </w:rPr>
              <w:t xml:space="preserve">Ancak bu </w:t>
            </w:r>
            <w:proofErr w:type="gramStart"/>
            <w:r w:rsidRPr="000E1BA8">
              <w:rPr>
                <w:lang w:val="tr-TR"/>
              </w:rPr>
              <w:t>işbirliğinin</w:t>
            </w:r>
            <w:proofErr w:type="gramEnd"/>
            <w:r w:rsidRPr="000E1BA8">
              <w:rPr>
                <w:lang w:val="tr-TR"/>
              </w:rPr>
              <w:t xml:space="preserve"> </w:t>
            </w:r>
            <w:proofErr w:type="spellStart"/>
            <w:r w:rsidRPr="000E1BA8">
              <w:rPr>
                <w:lang w:val="tr-TR"/>
              </w:rPr>
              <w:t>operasyonel</w:t>
            </w:r>
            <w:proofErr w:type="spellEnd"/>
            <w:r w:rsidRPr="000E1BA8">
              <w:rPr>
                <w:lang w:val="tr-TR"/>
              </w:rPr>
              <w:t xml:space="preserve"> olduğu ve mahkeme kararlarının icrasını kapsamadığı belirtilmelidir. İşbirliğin kolaylaştıracak ağlar oluşturulmaktadır. Bu kanallar resmi karşılıklı adli yardım amacıyla kullanılamasa bile, bu kanallar yoluyla karşılıklı adli yardım koşulları ve başkaca pratik tavsiyeler paylaşılabilir. Bu </w:t>
            </w:r>
            <w:proofErr w:type="gramStart"/>
            <w:r w:rsidRPr="000E1BA8">
              <w:rPr>
                <w:lang w:val="tr-TR"/>
              </w:rPr>
              <w:t>işbirliği</w:t>
            </w:r>
            <w:proofErr w:type="gramEnd"/>
            <w:r w:rsidRPr="000E1BA8">
              <w:rPr>
                <w:lang w:val="tr-TR"/>
              </w:rPr>
              <w:t xml:space="preserve"> ortak soruşturma ekiplerinin kurulmasına da yol açabilir ve böylelikle, prensip olarak, daha etkili karşılıklı adli yardım yaklaşımları sağlanabilir. Ayrıca, daha fazla sayıda fail ve mağdur içeren sınır ötesi olaylarda paralel soruşturma düzenlenmesi de söz konusu olabilir. </w:t>
            </w:r>
          </w:p>
        </w:tc>
      </w:tr>
      <w:tr w:rsidR="002F6469" w:rsidRPr="000E1BA8" w14:paraId="7B92C015" w14:textId="77777777" w:rsidTr="00857FD3">
        <w:trPr>
          <w:trHeight w:val="1169"/>
        </w:trPr>
        <w:tc>
          <w:tcPr>
            <w:tcW w:w="1615" w:type="dxa"/>
          </w:tcPr>
          <w:p w14:paraId="6789DB34" w14:textId="337A2112"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6 </w:t>
            </w:r>
          </w:p>
        </w:tc>
        <w:tc>
          <w:tcPr>
            <w:tcW w:w="7395" w:type="dxa"/>
          </w:tcPr>
          <w:p w14:paraId="44BC0318" w14:textId="464244B0" w:rsidR="001D6D84" w:rsidRPr="000E1BA8" w:rsidRDefault="00D821CC" w:rsidP="00FE1759">
            <w:pPr>
              <w:rPr>
                <w:lang w:val="tr-TR"/>
              </w:rPr>
            </w:pPr>
            <w:r w:rsidRPr="000E1BA8">
              <w:rPr>
                <w:lang w:val="tr-TR"/>
              </w:rPr>
              <w:t>Kimler yardımcı olabilir</w:t>
            </w:r>
            <w:r w:rsidR="002F6469" w:rsidRPr="000E1BA8">
              <w:rPr>
                <w:lang w:val="tr-TR"/>
              </w:rPr>
              <w:t>?</w:t>
            </w:r>
          </w:p>
          <w:p w14:paraId="03FA5B56" w14:textId="2385210C" w:rsidR="002F6469" w:rsidRPr="000E1BA8" w:rsidRDefault="00EA59CD" w:rsidP="00FE1759">
            <w:pPr>
              <w:rPr>
                <w:lang w:val="tr-TR"/>
              </w:rPr>
            </w:pPr>
            <w:proofErr w:type="spellStart"/>
            <w:r w:rsidRPr="000E1BA8">
              <w:rPr>
                <w:lang w:val="tr-TR"/>
              </w:rPr>
              <w:t>Camden</w:t>
            </w:r>
            <w:proofErr w:type="spellEnd"/>
            <w:r w:rsidRPr="000E1BA8">
              <w:rPr>
                <w:lang w:val="tr-TR"/>
              </w:rPr>
              <w:t xml:space="preserve"> Müsadere </w:t>
            </w:r>
            <w:r w:rsidR="00B158FA" w:rsidRPr="000E1BA8">
              <w:rPr>
                <w:lang w:val="tr-TR"/>
              </w:rPr>
              <w:t>Ofisleri Ağı (</w:t>
            </w:r>
            <w:r w:rsidR="002F6469" w:rsidRPr="000E1BA8">
              <w:rPr>
                <w:lang w:val="tr-TR"/>
              </w:rPr>
              <w:t>CARIN)</w:t>
            </w:r>
          </w:p>
          <w:p w14:paraId="368EB24F" w14:textId="77777777" w:rsidR="002F6469" w:rsidRPr="000E1BA8" w:rsidRDefault="00FF1CA5" w:rsidP="00FE1759">
            <w:pPr>
              <w:rPr>
                <w:bCs/>
                <w:lang w:val="tr-TR"/>
              </w:rPr>
            </w:pPr>
            <w:hyperlink r:id="rId7" w:history="1">
              <w:r w:rsidR="002F6469" w:rsidRPr="000E1BA8">
                <w:rPr>
                  <w:rStyle w:val="Hyperlink"/>
                  <w:bCs/>
                  <w:lang w:val="tr-TR"/>
                </w:rPr>
                <w:t>http://carin-network.org/</w:t>
              </w:r>
            </w:hyperlink>
          </w:p>
          <w:p w14:paraId="4E2394D3" w14:textId="0486E81F" w:rsidR="006A211D" w:rsidRPr="000E1BA8" w:rsidRDefault="002F6469" w:rsidP="00FE1759">
            <w:pPr>
              <w:rPr>
                <w:lang w:val="tr-TR"/>
              </w:rPr>
            </w:pPr>
            <w:r w:rsidRPr="000E1BA8">
              <w:rPr>
                <w:lang w:val="tr-TR"/>
              </w:rPr>
              <w:t xml:space="preserve">CARIN </w:t>
            </w:r>
            <w:r w:rsidR="00B158FA" w:rsidRPr="000E1BA8">
              <w:rPr>
                <w:lang w:val="tr-TR"/>
              </w:rPr>
              <w:t>malvarlıklarının izlenmesi, dondurulması ve müsaderesi alanında uzmanlardan/</w:t>
            </w:r>
            <w:r w:rsidR="006A211D" w:rsidRPr="000E1BA8">
              <w:rPr>
                <w:lang w:val="tr-TR"/>
              </w:rPr>
              <w:t xml:space="preserve">uygulayıcılardan oluşan </w:t>
            </w:r>
            <w:proofErr w:type="spellStart"/>
            <w:r w:rsidR="006A211D" w:rsidRPr="000E1BA8">
              <w:rPr>
                <w:lang w:val="tr-TR"/>
              </w:rPr>
              <w:t>gayriresmi</w:t>
            </w:r>
            <w:proofErr w:type="spellEnd"/>
            <w:r w:rsidR="006A211D" w:rsidRPr="000E1BA8">
              <w:rPr>
                <w:lang w:val="tr-TR"/>
              </w:rPr>
              <w:t xml:space="preserve"> bir ağdır. </w:t>
            </w:r>
            <w:proofErr w:type="spellStart"/>
            <w:r w:rsidRPr="000E1BA8">
              <w:rPr>
                <w:lang w:val="tr-TR"/>
              </w:rPr>
              <w:t>Europol</w:t>
            </w:r>
            <w:proofErr w:type="spellEnd"/>
            <w:r w:rsidRPr="000E1BA8">
              <w:rPr>
                <w:lang w:val="tr-TR"/>
              </w:rPr>
              <w:t xml:space="preserve"> </w:t>
            </w:r>
            <w:r w:rsidR="006A211D" w:rsidRPr="000E1BA8">
              <w:rPr>
                <w:lang w:val="tr-TR"/>
              </w:rPr>
              <w:t xml:space="preserve">de </w:t>
            </w:r>
            <w:proofErr w:type="spellStart"/>
            <w:r w:rsidR="006A211D" w:rsidRPr="000E1BA8">
              <w:rPr>
                <w:lang w:val="tr-TR"/>
              </w:rPr>
              <w:t>CARIN’in</w:t>
            </w:r>
            <w:proofErr w:type="spellEnd"/>
            <w:r w:rsidR="006A211D" w:rsidRPr="000E1BA8">
              <w:rPr>
                <w:lang w:val="tr-TR"/>
              </w:rPr>
              <w:t xml:space="preserve"> </w:t>
            </w:r>
            <w:proofErr w:type="gramStart"/>
            <w:r w:rsidR="006A211D" w:rsidRPr="000E1BA8">
              <w:rPr>
                <w:lang w:val="tr-TR"/>
              </w:rPr>
              <w:t>daimi</w:t>
            </w:r>
            <w:proofErr w:type="gramEnd"/>
            <w:r w:rsidR="006A211D" w:rsidRPr="000E1BA8">
              <w:rPr>
                <w:lang w:val="tr-TR"/>
              </w:rPr>
              <w:t xml:space="preserve"> sekretaryasıdır. Suç gelirlerinin hedef alınması alanında en iyi uygulama ve hukuki olanaklar hakkında bilgi alışverişinde bulunur. İki irtibat noktası arasında </w:t>
            </w:r>
            <w:proofErr w:type="spellStart"/>
            <w:r w:rsidR="006A211D" w:rsidRPr="000E1BA8">
              <w:rPr>
                <w:lang w:val="tr-TR"/>
              </w:rPr>
              <w:t>operasyonel</w:t>
            </w:r>
            <w:proofErr w:type="spellEnd"/>
            <w:r w:rsidR="006A211D" w:rsidRPr="000E1BA8">
              <w:rPr>
                <w:lang w:val="tr-TR"/>
              </w:rPr>
              <w:t xml:space="preserve"> bilgiler iki taraflı olarak mübadele edilebilir. </w:t>
            </w:r>
          </w:p>
          <w:p w14:paraId="392ADA42" w14:textId="5969C598" w:rsidR="002F6469" w:rsidRPr="000E1BA8" w:rsidRDefault="006A211D" w:rsidP="00FE1759">
            <w:pPr>
              <w:rPr>
                <w:lang w:val="tr-TR"/>
              </w:rPr>
            </w:pPr>
            <w:proofErr w:type="spellStart"/>
            <w:r w:rsidRPr="000E1BA8">
              <w:rPr>
                <w:lang w:val="tr-TR"/>
              </w:rPr>
              <w:t>Egmont</w:t>
            </w:r>
            <w:proofErr w:type="spellEnd"/>
            <w:r w:rsidRPr="000E1BA8">
              <w:rPr>
                <w:lang w:val="tr-TR"/>
              </w:rPr>
              <w:t xml:space="preserve"> Grubu</w:t>
            </w:r>
          </w:p>
          <w:p w14:paraId="3C03F7E9" w14:textId="77777777" w:rsidR="002F6469" w:rsidRPr="000E1BA8" w:rsidRDefault="00FF1CA5" w:rsidP="00FE1759">
            <w:pPr>
              <w:rPr>
                <w:bCs/>
                <w:lang w:val="tr-TR"/>
              </w:rPr>
            </w:pPr>
            <w:hyperlink r:id="rId8" w:history="1">
              <w:r w:rsidR="002F6469" w:rsidRPr="000E1BA8">
                <w:rPr>
                  <w:rStyle w:val="Hyperlink"/>
                  <w:bCs/>
                  <w:lang w:val="tr-TR"/>
                </w:rPr>
                <w:t>https://egmontgroup.org/en</w:t>
              </w:r>
            </w:hyperlink>
          </w:p>
          <w:p w14:paraId="07BC2B9B" w14:textId="7D04DF19" w:rsidR="006A211D" w:rsidRPr="000E1BA8" w:rsidRDefault="006A211D" w:rsidP="00FE1759">
            <w:pPr>
              <w:rPr>
                <w:lang w:val="tr-TR"/>
              </w:rPr>
            </w:pPr>
            <w:proofErr w:type="spellStart"/>
            <w:r w:rsidRPr="000E1BA8">
              <w:rPr>
                <w:lang w:val="tr-TR"/>
              </w:rPr>
              <w:t>Egmont</w:t>
            </w:r>
            <w:proofErr w:type="spellEnd"/>
            <w:r w:rsidRPr="000E1BA8">
              <w:rPr>
                <w:lang w:val="tr-TR"/>
              </w:rPr>
              <w:t xml:space="preserve"> Grubu 152 adet Mali İstihbarat Biriminden (</w:t>
            </w:r>
            <w:proofErr w:type="spellStart"/>
            <w:r w:rsidRPr="000E1BA8">
              <w:rPr>
                <w:lang w:val="tr-TR"/>
              </w:rPr>
              <w:t>MİB’ler</w:t>
            </w:r>
            <w:proofErr w:type="spellEnd"/>
            <w:r w:rsidRPr="000E1BA8">
              <w:rPr>
                <w:lang w:val="tr-TR"/>
              </w:rPr>
              <w:t xml:space="preserve">) oluşan bir organdır. </w:t>
            </w:r>
            <w:proofErr w:type="spellStart"/>
            <w:r w:rsidRPr="000E1BA8">
              <w:rPr>
                <w:lang w:val="tr-TR"/>
              </w:rPr>
              <w:t>Egmont</w:t>
            </w:r>
            <w:proofErr w:type="spellEnd"/>
            <w:r w:rsidRPr="000E1BA8">
              <w:rPr>
                <w:lang w:val="tr-TR"/>
              </w:rPr>
              <w:t xml:space="preserve"> Grubu kara para aklama ve terör finansmanı ile mücadele amacıyla </w:t>
            </w:r>
            <w:r w:rsidR="00D33758" w:rsidRPr="000E1BA8">
              <w:rPr>
                <w:lang w:val="tr-TR"/>
              </w:rPr>
              <w:t xml:space="preserve">güvenli şekilde </w:t>
            </w:r>
            <w:r w:rsidRPr="000E1BA8">
              <w:rPr>
                <w:lang w:val="tr-TR"/>
              </w:rPr>
              <w:t xml:space="preserve">uzmanlık </w:t>
            </w:r>
            <w:r w:rsidR="00D33758" w:rsidRPr="000E1BA8">
              <w:rPr>
                <w:lang w:val="tr-TR"/>
              </w:rPr>
              <w:t xml:space="preserve">ve mali istihbarat değiş tokuşunda bulunmak amacıyla oluşturulmuş bir platformdur. Somut bir olayda </w:t>
            </w:r>
            <w:proofErr w:type="spellStart"/>
            <w:r w:rsidR="00D33758" w:rsidRPr="000E1BA8">
              <w:rPr>
                <w:lang w:val="tr-TR"/>
              </w:rPr>
              <w:t>MİB’ler</w:t>
            </w:r>
            <w:proofErr w:type="spellEnd"/>
            <w:r w:rsidR="00D33758" w:rsidRPr="000E1BA8">
              <w:rPr>
                <w:lang w:val="tr-TR"/>
              </w:rPr>
              <w:t xml:space="preserve"> arasında </w:t>
            </w:r>
            <w:proofErr w:type="spellStart"/>
            <w:r w:rsidR="00D33758" w:rsidRPr="000E1BA8">
              <w:rPr>
                <w:lang w:val="tr-TR"/>
              </w:rPr>
              <w:t>operasyonel</w:t>
            </w:r>
            <w:proofErr w:type="spellEnd"/>
            <w:r w:rsidR="00D33758" w:rsidRPr="000E1BA8">
              <w:rPr>
                <w:lang w:val="tr-TR"/>
              </w:rPr>
              <w:t xml:space="preserve"> bilgilerin mübadele edilmesinde kullanılır. MİB ağı </w:t>
            </w:r>
            <w:proofErr w:type="spellStart"/>
            <w:r w:rsidR="00D33758" w:rsidRPr="000E1BA8">
              <w:rPr>
                <w:lang w:val="tr-TR"/>
              </w:rPr>
              <w:t>ŞİB</w:t>
            </w:r>
            <w:r w:rsidR="00EC34BA" w:rsidRPr="000E1BA8">
              <w:rPr>
                <w:lang w:val="tr-TR"/>
              </w:rPr>
              <w:t>’lere</w:t>
            </w:r>
            <w:proofErr w:type="spellEnd"/>
            <w:r w:rsidR="00EC34BA" w:rsidRPr="000E1BA8">
              <w:rPr>
                <w:lang w:val="tr-TR"/>
              </w:rPr>
              <w:t xml:space="preserve"> ve banka verilerine dair bilgi alışverişinde bulunmak ve bir </w:t>
            </w:r>
            <w:proofErr w:type="spellStart"/>
            <w:r w:rsidR="00EC34BA" w:rsidRPr="000E1BA8">
              <w:rPr>
                <w:lang w:val="tr-TR"/>
              </w:rPr>
              <w:t>MİB’in</w:t>
            </w:r>
            <w:proofErr w:type="spellEnd"/>
            <w:r w:rsidR="00EC34BA" w:rsidRPr="000E1BA8">
              <w:rPr>
                <w:lang w:val="tr-TR"/>
              </w:rPr>
              <w:t xml:space="preserve"> talebine dayanarak mali işlemleri geçici olarak ertelemek amacıyla kullanılmaktadır (bkz. Varşova Sözleşmesi, V. Kısım, 46. ve 47. madde). </w:t>
            </w:r>
          </w:p>
          <w:p w14:paraId="3EEFAFB4" w14:textId="331748B5" w:rsidR="00EC34BA" w:rsidRPr="000E1BA8" w:rsidRDefault="00EC34BA" w:rsidP="00FE1759">
            <w:pPr>
              <w:rPr>
                <w:lang w:val="tr-TR"/>
              </w:rPr>
            </w:pPr>
            <w:r w:rsidRPr="000E1BA8">
              <w:rPr>
                <w:lang w:val="tr-TR"/>
              </w:rPr>
              <w:t xml:space="preserve">Budapeşte Sözleşmesi kapsamında bilgisayar sistemleri ve verileriyle ilgili suçlara ilişkin soruşturmalar veya yargılamalar amacıyla bilgi ve yardım alışverişinde bulunulması ve bir suça ilişkin elektronik delillerin toplanması için 7/24 Ağ (Bkz. Budapeşte Sözleşmesi, 35. madde). </w:t>
            </w:r>
          </w:p>
          <w:p w14:paraId="05FD3213" w14:textId="1EEBFA14" w:rsidR="00EC34BA" w:rsidRPr="000E1BA8" w:rsidRDefault="00EC34BA" w:rsidP="00FE1759">
            <w:pPr>
              <w:rPr>
                <w:lang w:val="tr-TR"/>
              </w:rPr>
            </w:pPr>
            <w:r w:rsidRPr="000E1BA8">
              <w:rPr>
                <w:lang w:val="tr-TR"/>
              </w:rPr>
              <w:t>İ</w:t>
            </w:r>
            <w:r w:rsidR="002F6469" w:rsidRPr="000E1BA8">
              <w:rPr>
                <w:lang w:val="tr-TR"/>
              </w:rPr>
              <w:t xml:space="preserve">NTERPOL, </w:t>
            </w:r>
            <w:proofErr w:type="spellStart"/>
            <w:r w:rsidR="002F6469" w:rsidRPr="000E1BA8">
              <w:rPr>
                <w:lang w:val="tr-TR"/>
              </w:rPr>
              <w:t>Europol</w:t>
            </w:r>
            <w:proofErr w:type="spellEnd"/>
            <w:r w:rsidR="002F6469" w:rsidRPr="000E1BA8">
              <w:rPr>
                <w:lang w:val="tr-TR"/>
              </w:rPr>
              <w:t xml:space="preserve"> (</w:t>
            </w:r>
            <w:r w:rsidRPr="000E1BA8">
              <w:rPr>
                <w:lang w:val="tr-TR"/>
              </w:rPr>
              <w:t xml:space="preserve">siber suçlar için </w:t>
            </w:r>
            <w:r w:rsidR="002F6469" w:rsidRPr="000E1BA8">
              <w:rPr>
                <w:lang w:val="tr-TR"/>
              </w:rPr>
              <w:t xml:space="preserve">EC3) </w:t>
            </w:r>
            <w:r w:rsidRPr="000E1BA8">
              <w:rPr>
                <w:lang w:val="tr-TR"/>
              </w:rPr>
              <w:t xml:space="preserve">yahut </w:t>
            </w:r>
            <w:proofErr w:type="spellStart"/>
            <w:r w:rsidR="002F6469" w:rsidRPr="000E1BA8">
              <w:rPr>
                <w:lang w:val="tr-TR"/>
              </w:rPr>
              <w:t>Eurojust</w:t>
            </w:r>
            <w:proofErr w:type="spellEnd"/>
            <w:r w:rsidR="002F6469" w:rsidRPr="000E1BA8">
              <w:rPr>
                <w:lang w:val="tr-TR"/>
              </w:rPr>
              <w:t xml:space="preserve"> </w:t>
            </w:r>
            <w:r w:rsidRPr="000E1BA8">
              <w:rPr>
                <w:lang w:val="tr-TR"/>
              </w:rPr>
              <w:t xml:space="preserve">polis ve savcılara yönelik kanallardır. </w:t>
            </w:r>
          </w:p>
          <w:p w14:paraId="1005037D" w14:textId="4D388F9F" w:rsidR="002F6469" w:rsidRPr="000E1BA8" w:rsidRDefault="00EC34BA" w:rsidP="00FE1759">
            <w:pPr>
              <w:rPr>
                <w:lang w:val="tr-TR"/>
              </w:rPr>
            </w:pPr>
            <w:r w:rsidRPr="000E1BA8">
              <w:rPr>
                <w:lang w:val="tr-TR"/>
              </w:rPr>
              <w:t>Güneydoğu Avrupa ülkeleri için</w:t>
            </w:r>
            <w:r w:rsidR="002F6469" w:rsidRPr="000E1BA8">
              <w:rPr>
                <w:lang w:val="tr-TR"/>
              </w:rPr>
              <w:t xml:space="preserve">: </w:t>
            </w:r>
          </w:p>
          <w:p w14:paraId="0DEA9C42" w14:textId="78A05AD9" w:rsidR="00EC34BA" w:rsidRPr="000E1BA8" w:rsidRDefault="00737552" w:rsidP="00FE1759">
            <w:pPr>
              <w:rPr>
                <w:lang w:val="tr-TR"/>
              </w:rPr>
            </w:pPr>
            <w:r w:rsidRPr="000E1BA8">
              <w:rPr>
                <w:lang w:val="tr-TR"/>
              </w:rPr>
              <w:t xml:space="preserve">Güneydoğu Avrupa Kolluk Merkezi (SELEC) veya Güneydoğu Avrupa Polis </w:t>
            </w:r>
            <w:proofErr w:type="gramStart"/>
            <w:r w:rsidRPr="000E1BA8">
              <w:rPr>
                <w:lang w:val="tr-TR"/>
              </w:rPr>
              <w:t>İşbirliği</w:t>
            </w:r>
            <w:proofErr w:type="gramEnd"/>
            <w:r w:rsidRPr="000E1BA8">
              <w:rPr>
                <w:lang w:val="tr-TR"/>
              </w:rPr>
              <w:t xml:space="preserve"> Sözleşmesi (PCCSEE) </w:t>
            </w:r>
            <w:r w:rsidR="003745E1" w:rsidRPr="000E1BA8">
              <w:rPr>
                <w:lang w:val="tr-TR"/>
              </w:rPr>
              <w:t xml:space="preserve">gibi başkaca bölgesel ve iki taraflı polis ve savcı irtibat noktaları da büyük bir öneme sahiptir. </w:t>
            </w:r>
          </w:p>
          <w:p w14:paraId="5D561B83" w14:textId="49CA236E" w:rsidR="002F6469" w:rsidRPr="000E1BA8" w:rsidRDefault="003745E1" w:rsidP="00FE1759">
            <w:pPr>
              <w:rPr>
                <w:lang w:val="tr-TR"/>
              </w:rPr>
            </w:pPr>
            <w:r w:rsidRPr="000E1BA8">
              <w:rPr>
                <w:lang w:val="tr-TR"/>
              </w:rPr>
              <w:t xml:space="preserve">Güneydoğu Avrupa Kolluk Merkezi </w:t>
            </w:r>
            <w:r w:rsidR="002F6469" w:rsidRPr="000E1BA8">
              <w:rPr>
                <w:lang w:val="tr-TR"/>
              </w:rPr>
              <w:t>(SELEC)</w:t>
            </w:r>
          </w:p>
          <w:p w14:paraId="4B6A6687" w14:textId="77777777" w:rsidR="002F6469" w:rsidRPr="000E1BA8" w:rsidRDefault="00FF1CA5" w:rsidP="00FE1759">
            <w:pPr>
              <w:rPr>
                <w:bCs/>
                <w:lang w:val="tr-TR"/>
              </w:rPr>
            </w:pPr>
            <w:hyperlink r:id="rId9" w:history="1">
              <w:r w:rsidR="002F6469" w:rsidRPr="000E1BA8">
                <w:rPr>
                  <w:rStyle w:val="Hyperlink"/>
                  <w:bCs/>
                  <w:lang w:val="tr-TR"/>
                </w:rPr>
                <w:t>http://www.selec.org/</w:t>
              </w:r>
            </w:hyperlink>
          </w:p>
          <w:p w14:paraId="6ABE1AE2" w14:textId="696E8BC7" w:rsidR="003745E1" w:rsidRPr="000E1BA8" w:rsidRDefault="003745E1" w:rsidP="00FE1759">
            <w:pPr>
              <w:rPr>
                <w:lang w:val="tr-TR"/>
              </w:rPr>
            </w:pPr>
            <w:proofErr w:type="spellStart"/>
            <w:r w:rsidRPr="000E1BA8">
              <w:rPr>
                <w:lang w:val="tr-TR"/>
              </w:rPr>
              <w:t>SELEC’in</w:t>
            </w:r>
            <w:proofErr w:type="spellEnd"/>
            <w:r w:rsidRPr="000E1BA8">
              <w:rPr>
                <w:lang w:val="tr-TR"/>
              </w:rPr>
              <w:t xml:space="preserve"> yetkili makamlar arasındaki </w:t>
            </w:r>
            <w:proofErr w:type="gramStart"/>
            <w:r w:rsidRPr="000E1BA8">
              <w:rPr>
                <w:lang w:val="tr-TR"/>
              </w:rPr>
              <w:t>işbirliği</w:t>
            </w:r>
            <w:proofErr w:type="gramEnd"/>
            <w:r w:rsidRPr="000E1BA8">
              <w:rPr>
                <w:lang w:val="tr-TR"/>
              </w:rPr>
              <w:t xml:space="preserve"> çerçevesi dahilindeki amacı, ağır ve örgütlü suçlar da dahil olmak üzere, sınır ötesi bir faaliyet unsuru içeren ya da içerir görünen suçların önlenmesi ve suçlarla mücadele konusunda üye devletlere destek sağlamak ve işbirliğini genişletmektir. </w:t>
            </w:r>
          </w:p>
          <w:p w14:paraId="2722596A" w14:textId="78A49FC5" w:rsidR="003745E1" w:rsidRPr="000E1BA8" w:rsidRDefault="003745E1" w:rsidP="00FE1759">
            <w:pPr>
              <w:rPr>
                <w:lang w:val="tr-TR"/>
              </w:rPr>
            </w:pPr>
            <w:r w:rsidRPr="000E1BA8">
              <w:rPr>
                <w:lang w:val="tr-TR"/>
              </w:rPr>
              <w:t xml:space="preserve">Güneydoğu Avrupa Polis </w:t>
            </w:r>
            <w:proofErr w:type="gramStart"/>
            <w:r w:rsidRPr="000E1BA8">
              <w:rPr>
                <w:lang w:val="tr-TR"/>
              </w:rPr>
              <w:t>İşbirliği</w:t>
            </w:r>
            <w:proofErr w:type="gramEnd"/>
            <w:r w:rsidRPr="000E1BA8">
              <w:rPr>
                <w:lang w:val="tr-TR"/>
              </w:rPr>
              <w:t xml:space="preserve"> Sözleşmesi (PCCSEE) polis işbirliği ve bilgi alışverişi konusunda yasal çerçeve sunmaktadır. </w:t>
            </w:r>
          </w:p>
          <w:p w14:paraId="0068CFE1" w14:textId="77777777" w:rsidR="002F6469" w:rsidRPr="000E1BA8" w:rsidRDefault="00FF1CA5" w:rsidP="00FE1759">
            <w:pPr>
              <w:rPr>
                <w:bCs/>
                <w:lang w:val="tr-TR"/>
              </w:rPr>
            </w:pPr>
            <w:hyperlink r:id="rId10" w:history="1">
              <w:r w:rsidR="002F6469" w:rsidRPr="000E1BA8">
                <w:rPr>
                  <w:rStyle w:val="Hyperlink"/>
                  <w:bCs/>
                  <w:lang w:val="tr-TR"/>
                </w:rPr>
                <w:t>http://www.pccseesecretariat.si/</w:t>
              </w:r>
            </w:hyperlink>
          </w:p>
          <w:p w14:paraId="1F9696FB" w14:textId="787F0495" w:rsidR="002F6469" w:rsidRPr="000E1BA8" w:rsidRDefault="0054657C" w:rsidP="00FE1759">
            <w:pPr>
              <w:rPr>
                <w:lang w:val="tr-TR"/>
              </w:rPr>
            </w:pPr>
            <w:r w:rsidRPr="000E1BA8">
              <w:rPr>
                <w:lang w:val="tr-TR"/>
              </w:rPr>
              <w:t>Avrupa Konseyi Uzmanlar K</w:t>
            </w:r>
            <w:r w:rsidR="003745E1" w:rsidRPr="000E1BA8">
              <w:rPr>
                <w:lang w:val="tr-TR"/>
              </w:rPr>
              <w:t>omitesi –</w:t>
            </w:r>
            <w:r w:rsidRPr="000E1BA8">
              <w:rPr>
                <w:lang w:val="tr-TR"/>
              </w:rPr>
              <w:t xml:space="preserve"> MONEY</w:t>
            </w:r>
            <w:r w:rsidR="003745E1" w:rsidRPr="000E1BA8">
              <w:rPr>
                <w:lang w:val="tr-TR"/>
              </w:rPr>
              <w:t>VAL ve kara para aklanması ve terör finansmanı</w:t>
            </w:r>
            <w:r w:rsidRPr="000E1BA8">
              <w:rPr>
                <w:lang w:val="tr-TR"/>
              </w:rPr>
              <w:t xml:space="preserve"> alanındaki AKAS 198 Tarafları, siber suçlar (T-CY) ya da ceza işlerinde </w:t>
            </w:r>
            <w:proofErr w:type="gramStart"/>
            <w:r w:rsidRPr="000E1BA8">
              <w:rPr>
                <w:lang w:val="tr-TR"/>
              </w:rPr>
              <w:t>işbirliği</w:t>
            </w:r>
            <w:proofErr w:type="gramEnd"/>
            <w:r w:rsidRPr="000E1BA8">
              <w:rPr>
                <w:lang w:val="tr-TR"/>
              </w:rPr>
              <w:t xml:space="preserve"> (PC-OC), kendi görevlerinin yanı sıra, uzmanlara kendi alanlarında çeşitli irtibatlar kurabilmeleri için fırsatlar da sunmaktadır. </w:t>
            </w:r>
          </w:p>
          <w:p w14:paraId="23E4532D" w14:textId="3E94B34A" w:rsidR="0054657C" w:rsidRPr="000E1BA8" w:rsidRDefault="0054657C" w:rsidP="00FE1759">
            <w:pPr>
              <w:rPr>
                <w:lang w:val="tr-TR"/>
              </w:rPr>
            </w:pPr>
            <w:r w:rsidRPr="000E1BA8">
              <w:rPr>
                <w:lang w:val="tr-TR"/>
              </w:rPr>
              <w:t xml:space="preserve">Eğitmen, uluslararası </w:t>
            </w:r>
            <w:proofErr w:type="gramStart"/>
            <w:r w:rsidRPr="000E1BA8">
              <w:rPr>
                <w:lang w:val="tr-TR"/>
              </w:rPr>
              <w:t>işbirliği</w:t>
            </w:r>
            <w:proofErr w:type="gramEnd"/>
            <w:r w:rsidRPr="000E1BA8">
              <w:rPr>
                <w:lang w:val="tr-TR"/>
              </w:rPr>
              <w:t xml:space="preserve"> yolu teşkil etmemekle birlikte, aşağıda belirtilen organların da bu alanda ilgili çalışmalar yürütmekte olduğunu ve bunların raporlarının/genel kurullarının izlenmesinin faydalı olabileceğini belirtmelidir: </w:t>
            </w:r>
          </w:p>
          <w:p w14:paraId="02A6FE00" w14:textId="77777777" w:rsidR="006E7C1A" w:rsidRPr="000E1BA8" w:rsidRDefault="006E7C1A" w:rsidP="006E7C1A">
            <w:pPr>
              <w:spacing w:before="0" w:after="0" w:line="240" w:lineRule="auto"/>
              <w:jc w:val="left"/>
              <w:rPr>
                <w:rFonts w:eastAsia="Times New Roman" w:cs="Times New Roman"/>
                <w:lang w:val="tr-TR" w:eastAsia="tr-TR"/>
              </w:rPr>
            </w:pPr>
          </w:p>
          <w:p w14:paraId="38AC72CB" w14:textId="4ABC992E" w:rsidR="006E7C1A" w:rsidRPr="000E1BA8" w:rsidRDefault="006E7C1A" w:rsidP="006E7C1A">
            <w:pPr>
              <w:jc w:val="left"/>
              <w:rPr>
                <w:rFonts w:eastAsia="Times New Roman" w:cs="Times New Roman"/>
                <w:lang w:val="tr-TR" w:eastAsia="tr-TR"/>
              </w:rPr>
            </w:pPr>
            <w:r w:rsidRPr="000E1BA8">
              <w:rPr>
                <w:rFonts w:eastAsia="Times New Roman" w:cs="Times New Roman"/>
                <w:lang w:val="tr-TR" w:eastAsia="tr-TR"/>
              </w:rPr>
              <w:lastRenderedPageBreak/>
              <w:t xml:space="preserve">Kara Para Aklamaya Karşı Tedbirler ve Terörün Finansmanını Değerlendirme Uzmanlar Komitesi (MONEYVAL), </w:t>
            </w:r>
            <w:hyperlink r:id="rId11" w:history="1">
              <w:r w:rsidR="002F6469" w:rsidRPr="000E1BA8">
                <w:rPr>
                  <w:rStyle w:val="Hyperlink"/>
                  <w:rFonts w:cs="Tahoma"/>
                  <w:bCs/>
                  <w:lang w:val="tr-TR"/>
                </w:rPr>
                <w:t>http://www.coe.int/t/dghl/monitoring/moneyval/</w:t>
              </w:r>
            </w:hyperlink>
          </w:p>
          <w:p w14:paraId="42CC984D" w14:textId="2B67FB92" w:rsidR="001D6D84" w:rsidRPr="000E1BA8" w:rsidRDefault="00B57620" w:rsidP="00FE1759">
            <w:pPr>
              <w:rPr>
                <w:shd w:val="clear" w:color="auto" w:fill="FFFFFF"/>
                <w:lang w:val="tr-TR"/>
              </w:rPr>
            </w:pPr>
            <w:r w:rsidRPr="000E1BA8">
              <w:rPr>
                <w:shd w:val="clear" w:color="auto" w:fill="FFFFFF"/>
                <w:lang w:val="tr-TR"/>
              </w:rPr>
              <w:t>AKAS</w:t>
            </w:r>
            <w:r w:rsidR="002F6469" w:rsidRPr="000E1BA8">
              <w:rPr>
                <w:shd w:val="clear" w:color="auto" w:fill="FFFFFF"/>
                <w:lang w:val="tr-TR"/>
              </w:rPr>
              <w:t xml:space="preserve"> 198 </w:t>
            </w:r>
            <w:r w:rsidR="006E7C1A" w:rsidRPr="000E1BA8">
              <w:rPr>
                <w:shd w:val="clear" w:color="auto" w:fill="FFFFFF"/>
                <w:lang w:val="tr-TR"/>
              </w:rPr>
              <w:t xml:space="preserve">Tarafları Konferansı </w:t>
            </w:r>
            <w:r w:rsidR="002F6469" w:rsidRPr="000E1BA8">
              <w:rPr>
                <w:shd w:val="clear" w:color="auto" w:fill="FFFFFF"/>
                <w:lang w:val="tr-TR"/>
              </w:rPr>
              <w:t>(</w:t>
            </w:r>
            <w:r w:rsidR="006E7C1A" w:rsidRPr="000E1BA8">
              <w:rPr>
                <w:shd w:val="clear" w:color="auto" w:fill="FFFFFF"/>
                <w:lang w:val="tr-TR"/>
              </w:rPr>
              <w:t>Varşova Sözleşmesi’ne dayalı izleme mekanizması</w:t>
            </w:r>
            <w:r w:rsidR="002F6469" w:rsidRPr="000E1BA8">
              <w:rPr>
                <w:shd w:val="clear" w:color="auto" w:fill="FFFFFF"/>
                <w:lang w:val="tr-TR"/>
              </w:rPr>
              <w:t>),</w:t>
            </w:r>
            <w:r w:rsidR="006E7C1A" w:rsidRPr="000E1BA8">
              <w:rPr>
                <w:shd w:val="clear" w:color="auto" w:fill="FFFFFF"/>
                <w:lang w:val="tr-TR"/>
              </w:rPr>
              <w:t xml:space="preserve"> </w:t>
            </w:r>
            <w:hyperlink r:id="rId12" w:history="1">
              <w:r w:rsidR="002F6469" w:rsidRPr="000E1BA8">
                <w:rPr>
                  <w:rStyle w:val="Hyperlink"/>
                  <w:rFonts w:cs="Tahoma"/>
                  <w:shd w:val="clear" w:color="auto" w:fill="FFFFFF"/>
                  <w:lang w:val="tr-TR"/>
                </w:rPr>
                <w:t>http://www.coe.int/t/dghl/monitoring/cop198/about/about_en.asp</w:t>
              </w:r>
            </w:hyperlink>
          </w:p>
          <w:p w14:paraId="20CBD456" w14:textId="45F13296" w:rsidR="002F6469" w:rsidRPr="000E1BA8" w:rsidRDefault="006E7C1A" w:rsidP="006E7C1A">
            <w:pPr>
              <w:jc w:val="left"/>
              <w:rPr>
                <w:rStyle w:val="Hyperlink"/>
                <w:color w:val="auto"/>
                <w:u w:val="none"/>
                <w:lang w:val="tr-TR"/>
              </w:rPr>
            </w:pPr>
            <w:r w:rsidRPr="000E1BA8">
              <w:rPr>
                <w:lang w:val="tr-TR"/>
              </w:rPr>
              <w:t xml:space="preserve">Siber Suç Sözleşmesi Komitesi (T-CY), </w:t>
            </w:r>
            <w:hyperlink r:id="rId13" w:history="1">
              <w:r w:rsidR="002F6469" w:rsidRPr="000E1BA8">
                <w:rPr>
                  <w:rStyle w:val="Hyperlink"/>
                  <w:rFonts w:cs="Tahoma"/>
                  <w:bCs/>
                  <w:lang w:val="tr-TR"/>
                </w:rPr>
                <w:t>http://www.coe.int/en/web/cybercrime/tcy</w:t>
              </w:r>
            </w:hyperlink>
          </w:p>
          <w:p w14:paraId="57299CFD" w14:textId="26EC08C5" w:rsidR="002F6469" w:rsidRPr="000E1BA8" w:rsidRDefault="006E7C1A" w:rsidP="00C83FD2">
            <w:pPr>
              <w:rPr>
                <w:lang w:val="tr-TR"/>
              </w:rPr>
            </w:pPr>
            <w:r w:rsidRPr="000E1BA8">
              <w:rPr>
                <w:lang w:val="tr-TR"/>
              </w:rPr>
              <w:t xml:space="preserve">Ceza </w:t>
            </w:r>
            <w:r w:rsidR="00C83FD2" w:rsidRPr="000E1BA8">
              <w:rPr>
                <w:lang w:val="tr-TR"/>
              </w:rPr>
              <w:t xml:space="preserve">İşlerinde </w:t>
            </w:r>
            <w:proofErr w:type="gramStart"/>
            <w:r w:rsidR="00C83FD2" w:rsidRPr="000E1BA8">
              <w:rPr>
                <w:lang w:val="tr-TR"/>
              </w:rPr>
              <w:t>işbirliğine</w:t>
            </w:r>
            <w:proofErr w:type="gramEnd"/>
            <w:r w:rsidR="00C83FD2" w:rsidRPr="000E1BA8">
              <w:rPr>
                <w:lang w:val="tr-TR"/>
              </w:rPr>
              <w:t xml:space="preserve"> ilişkin Avrupa Sözleşmesinin uygulanması uzmanlar komitesi (PC-OC), </w:t>
            </w:r>
            <w:hyperlink r:id="rId14" w:history="1">
              <w:r w:rsidR="002F6469" w:rsidRPr="000E1BA8">
                <w:rPr>
                  <w:rStyle w:val="Hyperlink"/>
                  <w:rFonts w:cs="Tahoma"/>
                  <w:bCs/>
                  <w:lang w:val="tr-TR"/>
                </w:rPr>
                <w:t>http://www.coe.int/t/DGHL/STANDARDSETTING/PC-OC/</w:t>
              </w:r>
            </w:hyperlink>
          </w:p>
          <w:p w14:paraId="0BF72708" w14:textId="77777777" w:rsidR="00C83FD2" w:rsidRPr="000E1BA8" w:rsidRDefault="00C83FD2" w:rsidP="00FE1759">
            <w:pPr>
              <w:rPr>
                <w:lang w:val="tr-TR"/>
              </w:rPr>
            </w:pPr>
          </w:p>
          <w:p w14:paraId="7278681B" w14:textId="08C1C167" w:rsidR="002F6469" w:rsidRPr="000E1BA8" w:rsidRDefault="00C83FD2" w:rsidP="00FE1759">
            <w:pPr>
              <w:rPr>
                <w:lang w:val="tr-TR"/>
              </w:rPr>
            </w:pPr>
            <w:r w:rsidRPr="000E1BA8">
              <w:rPr>
                <w:lang w:val="tr-TR"/>
              </w:rPr>
              <w:t xml:space="preserve">Finansal Eylem Görev Gücü </w:t>
            </w:r>
            <w:r w:rsidR="002F6469" w:rsidRPr="000E1BA8">
              <w:rPr>
                <w:lang w:val="tr-TR"/>
              </w:rPr>
              <w:t xml:space="preserve">(FATF), </w:t>
            </w:r>
            <w:hyperlink r:id="rId15" w:history="1">
              <w:r w:rsidR="002F6469" w:rsidRPr="000E1BA8">
                <w:rPr>
                  <w:rStyle w:val="Hyperlink"/>
                  <w:bCs/>
                  <w:lang w:val="tr-TR"/>
                </w:rPr>
                <w:t>http://www.fatf-gafi.org/</w:t>
              </w:r>
            </w:hyperlink>
          </w:p>
          <w:p w14:paraId="0C253F39" w14:textId="427BFD07" w:rsidR="00C83FD2" w:rsidRPr="000E1BA8" w:rsidRDefault="00C83FD2" w:rsidP="00FE1759">
            <w:pPr>
              <w:rPr>
                <w:lang w:val="tr-TR"/>
              </w:rPr>
            </w:pPr>
            <w:r w:rsidRPr="000E1BA8">
              <w:rPr>
                <w:lang w:val="tr-TR"/>
              </w:rPr>
              <w:t xml:space="preserve">FATF </w:t>
            </w:r>
            <w:proofErr w:type="spellStart"/>
            <w:r w:rsidRPr="000E1BA8">
              <w:rPr>
                <w:lang w:val="tr-TR"/>
              </w:rPr>
              <w:t>hükümetlerarası</w:t>
            </w:r>
            <w:proofErr w:type="spellEnd"/>
            <w:r w:rsidRPr="000E1BA8">
              <w:rPr>
                <w:lang w:val="tr-TR"/>
              </w:rPr>
              <w:t xml:space="preserve"> bir organdır. </w:t>
            </w:r>
            <w:proofErr w:type="spellStart"/>
            <w:r w:rsidRPr="000E1BA8">
              <w:rPr>
                <w:lang w:val="tr-TR"/>
              </w:rPr>
              <w:t>FATF’nin</w:t>
            </w:r>
            <w:proofErr w:type="spellEnd"/>
            <w:r w:rsidRPr="000E1BA8">
              <w:rPr>
                <w:lang w:val="tr-TR"/>
              </w:rPr>
              <w:t xml:space="preserve"> amacı, kara para aklama, terör finansmanı ve uluslararası finans sisteminin bütünlüğüne yönelik başkaca bağlantılı tehditlerle mücadele amacıyla yasal, düzenlemeye yönelik ve </w:t>
            </w:r>
            <w:proofErr w:type="spellStart"/>
            <w:r w:rsidRPr="000E1BA8">
              <w:rPr>
                <w:lang w:val="tr-TR"/>
              </w:rPr>
              <w:t>operasyonel</w:t>
            </w:r>
            <w:proofErr w:type="spellEnd"/>
            <w:r w:rsidRPr="000E1BA8">
              <w:rPr>
                <w:lang w:val="tr-TR"/>
              </w:rPr>
              <w:t xml:space="preserve"> tedbirlerin uygulanmasını teşvik etmek ve buna ilişkin standartlar geliştirmektir. </w:t>
            </w:r>
          </w:p>
          <w:p w14:paraId="5116D9C7" w14:textId="77777777" w:rsidR="002F6469" w:rsidRPr="000E1BA8" w:rsidRDefault="002F6469" w:rsidP="00FE1759">
            <w:pPr>
              <w:rPr>
                <w:lang w:val="tr-TR"/>
              </w:rPr>
            </w:pPr>
          </w:p>
          <w:p w14:paraId="29A6DB86" w14:textId="68420A15" w:rsidR="00C83FD2" w:rsidRPr="000E1BA8" w:rsidRDefault="00C83FD2" w:rsidP="00FE1759">
            <w:pPr>
              <w:rPr>
                <w:lang w:val="tr-TR"/>
              </w:rPr>
            </w:pPr>
            <w:r w:rsidRPr="000E1BA8">
              <w:rPr>
                <w:lang w:val="tr-TR"/>
              </w:rPr>
              <w:t>Karşılıklı adl</w:t>
            </w:r>
            <w:r w:rsidR="00E95FD0" w:rsidRPr="000E1BA8">
              <w:rPr>
                <w:lang w:val="tr-TR"/>
              </w:rPr>
              <w:t>i</w:t>
            </w:r>
            <w:r w:rsidRPr="000E1BA8">
              <w:rPr>
                <w:lang w:val="tr-TR"/>
              </w:rPr>
              <w:t xml:space="preserve"> yardım resmi bir </w:t>
            </w:r>
            <w:proofErr w:type="gramStart"/>
            <w:r w:rsidRPr="000E1BA8">
              <w:rPr>
                <w:lang w:val="tr-TR"/>
              </w:rPr>
              <w:t>işbirliğidir</w:t>
            </w:r>
            <w:proofErr w:type="gramEnd"/>
            <w:r w:rsidRPr="000E1BA8">
              <w:rPr>
                <w:lang w:val="tr-TR"/>
              </w:rPr>
              <w:t xml:space="preserve"> </w:t>
            </w:r>
            <w:r w:rsidR="0087588F" w:rsidRPr="000E1BA8">
              <w:rPr>
                <w:lang w:val="tr-TR"/>
              </w:rPr>
              <w:t xml:space="preserve">ve bir talebin neticesi mahkemede delil olarak kullanılabilir. Olağan </w:t>
            </w:r>
            <w:r w:rsidR="009E23E7" w:rsidRPr="000E1BA8">
              <w:rPr>
                <w:lang w:val="tr-TR"/>
              </w:rPr>
              <w:t xml:space="preserve">iletişim kanalları genelde Adalet Bakanlıklarından oluşan atanmış merkezi makamlardır. Olası kanallar arasında İçişleri Bakanlığı ve acil durumlarda İnterpol kanalı da yer alabilir. </w:t>
            </w:r>
          </w:p>
          <w:p w14:paraId="176BAC28" w14:textId="725A7193" w:rsidR="009E23E7" w:rsidRPr="000E1BA8" w:rsidRDefault="009E23E7" w:rsidP="00FE1759">
            <w:pPr>
              <w:rPr>
                <w:lang w:val="tr-TR"/>
              </w:rPr>
            </w:pPr>
            <w:r w:rsidRPr="000E1BA8">
              <w:rPr>
                <w:lang w:val="tr-TR"/>
              </w:rPr>
              <w:t>AB</w:t>
            </w:r>
            <w:r w:rsidR="00F5030E">
              <w:rPr>
                <w:lang w:val="tr-TR"/>
              </w:rPr>
              <w:t xml:space="preserve"> içinde</w:t>
            </w:r>
            <w:r w:rsidRPr="000E1BA8">
              <w:rPr>
                <w:lang w:val="tr-TR"/>
              </w:rPr>
              <w:t xml:space="preserve"> karşılıklı adli yardım </w:t>
            </w:r>
            <w:r w:rsidR="00B93D20" w:rsidRPr="000E1BA8">
              <w:rPr>
                <w:lang w:val="tr-TR"/>
              </w:rPr>
              <w:t xml:space="preserve">doğrudan sorumlu makamlar (savcı/mahkeme) arasında </w:t>
            </w:r>
            <w:r w:rsidR="00E95FD0" w:rsidRPr="000E1BA8">
              <w:rPr>
                <w:lang w:val="tr-TR"/>
              </w:rPr>
              <w:t>yürütülmektedir. Varşov</w:t>
            </w:r>
            <w:r w:rsidR="007551E4" w:rsidRPr="000E1BA8">
              <w:rPr>
                <w:lang w:val="tr-TR"/>
              </w:rPr>
              <w:t>a (34. madde) ve Budapeşte (27(</w:t>
            </w:r>
            <w:r w:rsidR="00E95FD0" w:rsidRPr="000E1BA8">
              <w:rPr>
                <w:lang w:val="tr-TR"/>
              </w:rPr>
              <w:t>9</w:t>
            </w:r>
            <w:r w:rsidR="007551E4" w:rsidRPr="000E1BA8">
              <w:rPr>
                <w:lang w:val="tr-TR"/>
              </w:rPr>
              <w:t>)</w:t>
            </w:r>
            <w:r w:rsidR="00E95FD0" w:rsidRPr="000E1BA8">
              <w:rPr>
                <w:lang w:val="tr-TR"/>
              </w:rPr>
              <w:t xml:space="preserve">. </w:t>
            </w:r>
            <w:proofErr w:type="gramStart"/>
            <w:r w:rsidR="00E95FD0" w:rsidRPr="000E1BA8">
              <w:rPr>
                <w:lang w:val="tr-TR"/>
              </w:rPr>
              <w:t>madde</w:t>
            </w:r>
            <w:proofErr w:type="gramEnd"/>
            <w:r w:rsidR="00E95FD0" w:rsidRPr="000E1BA8">
              <w:rPr>
                <w:lang w:val="tr-TR"/>
              </w:rPr>
              <w:t xml:space="preserve">) Sözleşmeleri ayrıca, merkezi makamlar aracılığıyla resmi talepler iletilirken acil durumlarda doğrudan temasa geçme imkânı da öngörmektedir. </w:t>
            </w:r>
          </w:p>
          <w:p w14:paraId="20851EF6" w14:textId="2AD1CF49" w:rsidR="00E95FD0" w:rsidRPr="000E1BA8" w:rsidRDefault="00E95FD0" w:rsidP="00FE1759">
            <w:pPr>
              <w:rPr>
                <w:lang w:val="tr-TR"/>
              </w:rPr>
            </w:pPr>
            <w:r w:rsidRPr="000E1BA8">
              <w:rPr>
                <w:lang w:val="tr-TR"/>
              </w:rPr>
              <w:t xml:space="preserve">Yardım talep edilen devlet </w:t>
            </w:r>
            <w:proofErr w:type="gramStart"/>
            <w:r w:rsidRPr="000E1BA8">
              <w:rPr>
                <w:lang w:val="tr-TR"/>
              </w:rPr>
              <w:t>işbirliği</w:t>
            </w:r>
            <w:proofErr w:type="gramEnd"/>
            <w:r w:rsidRPr="000E1BA8">
              <w:rPr>
                <w:lang w:val="tr-TR"/>
              </w:rPr>
              <w:t xml:space="preserve"> talebini veya mahkeme kararını tanımak ya da icraya koymakla yükümlüdür. </w:t>
            </w:r>
          </w:p>
          <w:p w14:paraId="5957F99D" w14:textId="60E783D8" w:rsidR="00E95FD0" w:rsidRPr="000E1BA8" w:rsidRDefault="00E95FD0" w:rsidP="00FE1759">
            <w:pPr>
              <w:rPr>
                <w:lang w:val="tr-TR"/>
              </w:rPr>
            </w:pPr>
            <w:r w:rsidRPr="000E1BA8">
              <w:rPr>
                <w:lang w:val="tr-TR"/>
              </w:rPr>
              <w:t xml:space="preserve">Ulusal mevzuat, karşılıklı adli yardım da dahil olmak üzere uluslararası </w:t>
            </w:r>
            <w:proofErr w:type="gramStart"/>
            <w:r w:rsidRPr="000E1BA8">
              <w:rPr>
                <w:lang w:val="tr-TR"/>
              </w:rPr>
              <w:t>işbirliği</w:t>
            </w:r>
            <w:proofErr w:type="gramEnd"/>
            <w:r w:rsidRPr="000E1BA8">
              <w:rPr>
                <w:lang w:val="tr-TR"/>
              </w:rPr>
              <w:t xml:space="preserve"> biçimlerini düzenlerken, konuyla ilgili uluslararası hukuk belgelerini temel alır. Siber suç gelirlerinin hedef alınması konusunda Suç gelirlerinin aklanması, araştırılması, el konulması, müsaderesi ve terörizmin finansmanına ilişkin Avrupa Konseyi Sözleşmesi (Varşova Sözleşmesi) ve Sanal Ortamda İşlenen Suçlar Budapeşte Sözleşmesi kilit niteliktedir. </w:t>
            </w:r>
          </w:p>
          <w:p w14:paraId="660D2CF1" w14:textId="7C2899C2" w:rsidR="002F6469" w:rsidRPr="000E1BA8" w:rsidRDefault="00E95FD0" w:rsidP="00FE1759">
            <w:pPr>
              <w:rPr>
                <w:lang w:val="tr-TR"/>
              </w:rPr>
            </w:pPr>
            <w:r w:rsidRPr="000E1BA8">
              <w:rPr>
                <w:lang w:val="tr-TR"/>
              </w:rPr>
              <w:t xml:space="preserve">Genelde bir talebin içeriği (hukuki koşullar ve gerekçe), dili ve iletişim kanalı kanunda belirtilir. Belirli bir üçüncü ülke ile uluslararası bir anlaşma bulunmuyorsa, mütekabiliyet ilkesine dayanılarak </w:t>
            </w:r>
            <w:proofErr w:type="gramStart"/>
            <w:r w:rsidRPr="000E1BA8">
              <w:rPr>
                <w:lang w:val="tr-TR"/>
              </w:rPr>
              <w:t>işbirliğinde</w:t>
            </w:r>
            <w:proofErr w:type="gramEnd"/>
            <w:r w:rsidRPr="000E1BA8">
              <w:rPr>
                <w:lang w:val="tr-TR"/>
              </w:rPr>
              <w:t xml:space="preserve"> bulunulması mümkün olacaktır.  </w:t>
            </w:r>
          </w:p>
          <w:p w14:paraId="2EAB456A" w14:textId="14155BEE" w:rsidR="002F6469" w:rsidRPr="000E1BA8" w:rsidRDefault="00E95FD0" w:rsidP="00FE1759">
            <w:pPr>
              <w:rPr>
                <w:lang w:val="tr-TR"/>
              </w:rPr>
            </w:pPr>
            <w:r w:rsidRPr="000E1BA8">
              <w:rPr>
                <w:lang w:val="tr-TR"/>
              </w:rPr>
              <w:t xml:space="preserve">Uluslararası </w:t>
            </w:r>
            <w:proofErr w:type="gramStart"/>
            <w:r w:rsidRPr="000E1BA8">
              <w:rPr>
                <w:lang w:val="tr-TR"/>
              </w:rPr>
              <w:t>işbirliğine</w:t>
            </w:r>
            <w:proofErr w:type="gramEnd"/>
            <w:r w:rsidRPr="000E1BA8">
              <w:rPr>
                <w:lang w:val="tr-TR"/>
              </w:rPr>
              <w:t xml:space="preserve"> (polis ve kovuşturma makamına ilişkin mevzuat) ve karşılıklı adli yardıma (ceza usul/uluslararası işbirliğine ilişkin mevzuat) yönelik koşulları tanımlayan ilgili iç hukuk mevzuatını belirtiniz. </w:t>
            </w:r>
          </w:p>
        </w:tc>
      </w:tr>
      <w:tr w:rsidR="002F6469" w:rsidRPr="000E1BA8" w14:paraId="56AE9554" w14:textId="77777777" w:rsidTr="00FE1759">
        <w:trPr>
          <w:trHeight w:val="440"/>
        </w:trPr>
        <w:tc>
          <w:tcPr>
            <w:tcW w:w="1615" w:type="dxa"/>
          </w:tcPr>
          <w:p w14:paraId="63D94B09" w14:textId="58E19088"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7</w:t>
            </w:r>
          </w:p>
        </w:tc>
        <w:tc>
          <w:tcPr>
            <w:tcW w:w="7395" w:type="dxa"/>
          </w:tcPr>
          <w:p w14:paraId="12747242" w14:textId="1B891AB0" w:rsidR="00E95FD0" w:rsidRPr="000E1BA8" w:rsidRDefault="00E95FD0" w:rsidP="00FE1759">
            <w:pPr>
              <w:rPr>
                <w:lang w:val="tr-TR"/>
              </w:rPr>
            </w:pPr>
            <w:r w:rsidRPr="000E1BA8">
              <w:rPr>
                <w:lang w:val="tr-TR"/>
              </w:rPr>
              <w:t xml:space="preserve">Uluslararası </w:t>
            </w:r>
            <w:proofErr w:type="gramStart"/>
            <w:r w:rsidRPr="000E1BA8">
              <w:rPr>
                <w:lang w:val="tr-TR"/>
              </w:rPr>
              <w:t>işbirliği</w:t>
            </w:r>
            <w:proofErr w:type="gramEnd"/>
            <w:r w:rsidRPr="000E1BA8">
              <w:rPr>
                <w:lang w:val="tr-TR"/>
              </w:rPr>
              <w:t xml:space="preserve"> </w:t>
            </w:r>
            <w:proofErr w:type="spellStart"/>
            <w:r w:rsidRPr="000E1BA8">
              <w:rPr>
                <w:lang w:val="tr-TR"/>
              </w:rPr>
              <w:t>usuli</w:t>
            </w:r>
            <w:proofErr w:type="spellEnd"/>
            <w:r w:rsidRPr="000E1BA8">
              <w:rPr>
                <w:lang w:val="tr-TR"/>
              </w:rPr>
              <w:t xml:space="preserve"> ve kurumsal bir açıdan (kim neyi yapıyor) tanımlanabilir. Ayrıca farklı yolların gösterilmesi bakımından ilgili uluslararası ağlar da eklenmektedir. </w:t>
            </w:r>
          </w:p>
          <w:p w14:paraId="7E19807C" w14:textId="26E37233" w:rsidR="002F6469" w:rsidRPr="000E1BA8" w:rsidRDefault="00E95FD0" w:rsidP="00FE1759">
            <w:pPr>
              <w:rPr>
                <w:lang w:val="tr-TR"/>
              </w:rPr>
            </w:pPr>
            <w:r w:rsidRPr="000E1BA8">
              <w:rPr>
                <w:lang w:val="tr-TR"/>
              </w:rPr>
              <w:t xml:space="preserve">Siber suçlara ve internet üzerinden işlenen suçlara yönelik soruşturmalarda </w:t>
            </w:r>
            <w:r w:rsidRPr="000E1BA8">
              <w:rPr>
                <w:lang w:val="tr-TR"/>
              </w:rPr>
              <w:lastRenderedPageBreak/>
              <w:t xml:space="preserve">sınır </w:t>
            </w:r>
            <w:r w:rsidR="00CA5B0A">
              <w:rPr>
                <w:lang w:val="tr-TR"/>
              </w:rPr>
              <w:t xml:space="preserve">ötesi </w:t>
            </w:r>
            <w:proofErr w:type="gramStart"/>
            <w:r w:rsidR="00CA5B0A">
              <w:rPr>
                <w:lang w:val="tr-TR"/>
              </w:rPr>
              <w:t>işbirliği</w:t>
            </w:r>
            <w:proofErr w:type="gramEnd"/>
            <w:r w:rsidR="00CA5B0A">
              <w:rPr>
                <w:lang w:val="tr-TR"/>
              </w:rPr>
              <w:t xml:space="preserve"> ulusal soruşturmanın</w:t>
            </w:r>
            <w:r w:rsidRPr="000E1BA8">
              <w:rPr>
                <w:lang w:val="tr-TR"/>
              </w:rPr>
              <w:t xml:space="preserve"> ihtiyaçlarına ve mevcut takvime göre belirlenmektedir. Örneğin, siber suç bölümünde </w:t>
            </w:r>
            <w:r w:rsidR="00E045D1" w:rsidRPr="000E1BA8">
              <w:rPr>
                <w:lang w:val="tr-TR"/>
              </w:rPr>
              <w:t xml:space="preserve">anlatılan CEO dolandırıcılığı olayında, polis veya savcının yurtdışında irtibata geçeceği kişi üçüncü ülkedeki hukuki koşullar ve en etkili KAY yaklaşımı hakkında tavsiyede bulunabilir. İç mevzuatta öngörülen şartlara bağlı olarak, polis savcıya ev araması, sorgu ve banka verilerine erişim, dondurma kararı, elektronik haberleşmeyle bağlantılı trafiğin veya içerik verilerinin açıklanması da dahil olmak üzere elektronik delillere el konulması yönündeki bir taleple ilgili olarak yurtdışında icraya konulacak bir mahkeme kararı talep etmesi yönünde öneride bulunabilir. </w:t>
            </w:r>
          </w:p>
          <w:p w14:paraId="0CC90F27" w14:textId="19C058BC" w:rsidR="00E045D1" w:rsidRPr="000E1BA8" w:rsidRDefault="00E045D1" w:rsidP="00FE1759">
            <w:pPr>
              <w:rPr>
                <w:lang w:val="tr-TR"/>
              </w:rPr>
            </w:pPr>
            <w:r w:rsidRPr="000E1BA8">
              <w:rPr>
                <w:lang w:val="tr-TR"/>
              </w:rPr>
              <w:t xml:space="preserve">Mallar yurtdışında ise dondurma veya müsadere kararlarının icraya konulması için de karşılıklı adli yardım gerekir. Ancak dondurulmuş malların idaresi, idari masraflar, müsadere edilen malların elden çıkartılması ve paylaşılması genellikle iki taraf arasında fiili düzenlemeler ve mutabakat gerektirir. </w:t>
            </w:r>
          </w:p>
          <w:p w14:paraId="0318D6BA" w14:textId="0DA2C407" w:rsidR="00E045D1" w:rsidRPr="000E1BA8" w:rsidRDefault="00E045D1" w:rsidP="00FE1759">
            <w:pPr>
              <w:rPr>
                <w:lang w:val="tr-TR"/>
              </w:rPr>
            </w:pPr>
            <w:r w:rsidRPr="000E1BA8">
              <w:rPr>
                <w:lang w:val="tr-TR"/>
              </w:rPr>
              <w:t xml:space="preserve">Ceza yargılamalarının devrine, cezaya çarptırılan kişilerin iadesine ve devrine ilişkin hükümler de ulusal ve uluslararası hukuk belgelerince tanımlanır. </w:t>
            </w:r>
          </w:p>
          <w:p w14:paraId="3846FE82" w14:textId="57DA9FB7" w:rsidR="00E045D1" w:rsidRPr="000E1BA8" w:rsidRDefault="00E045D1" w:rsidP="00FE1759">
            <w:pPr>
              <w:rPr>
                <w:lang w:val="tr-TR"/>
              </w:rPr>
            </w:pPr>
            <w:r w:rsidRPr="000E1BA8">
              <w:rPr>
                <w:lang w:val="tr-TR"/>
              </w:rPr>
              <w:t xml:space="preserve">Mahkeme emrini veren </w:t>
            </w:r>
            <w:proofErr w:type="gramStart"/>
            <w:r w:rsidRPr="000E1BA8">
              <w:rPr>
                <w:lang w:val="tr-TR"/>
              </w:rPr>
              <w:t>hakim</w:t>
            </w:r>
            <w:proofErr w:type="gramEnd"/>
            <w:r w:rsidRPr="000E1BA8">
              <w:rPr>
                <w:lang w:val="tr-TR"/>
              </w:rPr>
              <w:t xml:space="preserve">, ulusal mevzuata göre, üçüncü ülke ile işbirliği konusunda hususi bir sözleşme veya uygulamaya dayanarak, karşılıklı adli yardımla bağlantılı gereklilikleri de dikkate almak durumundadır. Uluslararası </w:t>
            </w:r>
            <w:proofErr w:type="gramStart"/>
            <w:r w:rsidRPr="000E1BA8">
              <w:rPr>
                <w:lang w:val="tr-TR"/>
              </w:rPr>
              <w:t>işbirliği</w:t>
            </w:r>
            <w:proofErr w:type="gramEnd"/>
            <w:r w:rsidRPr="000E1BA8">
              <w:rPr>
                <w:lang w:val="tr-TR"/>
              </w:rPr>
              <w:t xml:space="preserve"> alanındaki merkezi makam –ki bu genelde Adalet Bakanlığıdır– gerekli tavsiyeleri sunabilecek durumda olabilir. </w:t>
            </w:r>
          </w:p>
          <w:p w14:paraId="34EA7955" w14:textId="734FE975" w:rsidR="009E16BD" w:rsidRPr="000E1BA8" w:rsidRDefault="009E16BD" w:rsidP="00FE1759">
            <w:pPr>
              <w:rPr>
                <w:lang w:val="tr-TR"/>
              </w:rPr>
            </w:pPr>
            <w:r w:rsidRPr="000E1BA8">
              <w:rPr>
                <w:lang w:val="tr-TR"/>
              </w:rPr>
              <w:t>Gereklilikleri karşılayan talepler hazırlama yükümlülüğü bulunmakla birlikte, verimli</w:t>
            </w:r>
            <w:r w:rsidR="00494212">
              <w:rPr>
                <w:lang w:val="tr-TR"/>
              </w:rPr>
              <w:t>lik ve hız</w:t>
            </w:r>
            <w:r w:rsidRPr="000E1BA8">
              <w:rPr>
                <w:lang w:val="tr-TR"/>
              </w:rPr>
              <w:t xml:space="preserve"> doğrudan iki taraflı </w:t>
            </w:r>
            <w:r w:rsidR="00494212">
              <w:rPr>
                <w:lang w:val="tr-TR"/>
              </w:rPr>
              <w:t>temasa ve güvene de dayalıdı</w:t>
            </w:r>
            <w:r w:rsidRPr="000E1BA8">
              <w:rPr>
                <w:lang w:val="tr-TR"/>
              </w:rPr>
              <w:t xml:space="preserve">r. E-delil konusunda, iç hukukun elverdiği hallerde, internet hizmet sağlayıcılar (ISP’ler) ile ihtiyari ve doğrudan </w:t>
            </w:r>
            <w:proofErr w:type="gramStart"/>
            <w:r w:rsidRPr="000E1BA8">
              <w:rPr>
                <w:lang w:val="tr-TR"/>
              </w:rPr>
              <w:t>işbirliği</w:t>
            </w:r>
            <w:proofErr w:type="gramEnd"/>
            <w:r w:rsidRPr="000E1BA8">
              <w:rPr>
                <w:lang w:val="tr-TR"/>
              </w:rPr>
              <w:t xml:space="preserve"> son derece önemlidir. Bilhassa ABD’de yer alan çokuluslu hizmet sağlayıcıları (Facebook, Google, Microsoft, vs.) bakımından bu durum geçerli olup, talepte bulunan devletin iç mevzuatı dikkate alınarak, bir karşılıklı adli yardım talebi iletilene dek verilerin vakitlice muhafaza altına alınması ve abone bilgilerinin paylaşılması mümkün olabilmektedir. </w:t>
            </w:r>
          </w:p>
          <w:p w14:paraId="222092DB" w14:textId="079EA44B" w:rsidR="002F6469" w:rsidRPr="000E1BA8" w:rsidRDefault="009E16BD" w:rsidP="00FE1759">
            <w:pPr>
              <w:rPr>
                <w:lang w:val="tr-TR"/>
              </w:rPr>
            </w:pPr>
            <w:r w:rsidRPr="000E1BA8">
              <w:rPr>
                <w:lang w:val="tr-TR"/>
              </w:rPr>
              <w:t xml:space="preserve">Delil toplanmasına veya mahkeme taleplerinin icrasına ilişkin karşılıklı adli yardım süreci fiiliyatta uzun </w:t>
            </w:r>
            <w:r w:rsidR="00E83777" w:rsidRPr="000E1BA8">
              <w:rPr>
                <w:lang w:val="tr-TR"/>
              </w:rPr>
              <w:t>zaman alabileceğinden ve</w:t>
            </w:r>
            <w:r w:rsidRPr="000E1BA8">
              <w:rPr>
                <w:lang w:val="tr-TR"/>
              </w:rPr>
              <w:t xml:space="preserve"> sorgu mercileri</w:t>
            </w:r>
            <w:r w:rsidR="00E83777" w:rsidRPr="000E1BA8">
              <w:rPr>
                <w:lang w:val="tr-TR"/>
              </w:rPr>
              <w:t>nin de esasen böyle bir vakti olmadığından,</w:t>
            </w:r>
            <w:r w:rsidRPr="000E1BA8">
              <w:rPr>
                <w:lang w:val="tr-TR"/>
              </w:rPr>
              <w:t xml:space="preserve"> ortak soruşturma ekipleri (</w:t>
            </w:r>
            <w:proofErr w:type="spellStart"/>
            <w:r w:rsidRPr="000E1BA8">
              <w:rPr>
                <w:lang w:val="tr-TR"/>
              </w:rPr>
              <w:t>OSE’ler</w:t>
            </w:r>
            <w:proofErr w:type="spellEnd"/>
            <w:r w:rsidRPr="000E1BA8">
              <w:rPr>
                <w:lang w:val="tr-TR"/>
              </w:rPr>
              <w:t>) veya paralel soruşturmalar gibi a</w:t>
            </w:r>
            <w:r w:rsidR="00E83777" w:rsidRPr="000E1BA8">
              <w:rPr>
                <w:lang w:val="tr-TR"/>
              </w:rPr>
              <w:t xml:space="preserve">lternatif </w:t>
            </w:r>
            <w:proofErr w:type="gramStart"/>
            <w:r w:rsidR="00E83777" w:rsidRPr="000E1BA8">
              <w:rPr>
                <w:lang w:val="tr-TR"/>
              </w:rPr>
              <w:t>işbirliği</w:t>
            </w:r>
            <w:proofErr w:type="gramEnd"/>
            <w:r w:rsidR="00E83777" w:rsidRPr="000E1BA8">
              <w:rPr>
                <w:lang w:val="tr-TR"/>
              </w:rPr>
              <w:t xml:space="preserve"> biçimleri teşvik edilmektedir. Karşılıklı menfaatin ve yoğun bir ilişkinin mevcut olduğu hallerde, iki ülkenin sorumlu makamları gecikmeksizin harekete geçme eğilimindedir. </w:t>
            </w:r>
          </w:p>
        </w:tc>
      </w:tr>
      <w:tr w:rsidR="002F6469" w:rsidRPr="000E1BA8" w14:paraId="141F68C7" w14:textId="77777777" w:rsidTr="00857FD3">
        <w:trPr>
          <w:trHeight w:val="800"/>
        </w:trPr>
        <w:tc>
          <w:tcPr>
            <w:tcW w:w="1615" w:type="dxa"/>
          </w:tcPr>
          <w:p w14:paraId="4CCA5FCF" w14:textId="55073EFE"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8</w:t>
            </w:r>
          </w:p>
        </w:tc>
        <w:tc>
          <w:tcPr>
            <w:tcW w:w="7395" w:type="dxa"/>
          </w:tcPr>
          <w:p w14:paraId="18F9C818" w14:textId="7508982F" w:rsidR="00D15EC9" w:rsidRPr="000E1BA8" w:rsidRDefault="00D15EC9" w:rsidP="00FE1759">
            <w:pPr>
              <w:rPr>
                <w:bCs/>
                <w:lang w:val="tr-TR"/>
              </w:rPr>
            </w:pPr>
            <w:r w:rsidRPr="000E1BA8">
              <w:rPr>
                <w:lang w:val="tr-TR"/>
              </w:rPr>
              <w:t xml:space="preserve">Avrupa Konseyi Varşova ve Budapeşte Sözleşmeleri gibi konuya ilişkin sözleşmeler ve ayrıca Ceza İşlerinde </w:t>
            </w:r>
            <w:r w:rsidR="003C3909" w:rsidRPr="000E1BA8">
              <w:rPr>
                <w:bCs/>
                <w:lang w:val="tr-TR"/>
              </w:rPr>
              <w:t xml:space="preserve">Karşılıklı Adli Yardım Avrupa Sözleşmesi ve ek protokoller sınır ötesi olaylarda bilgi alışverişine ve mahkeme kararlarının icrasına dair yasak yükümlülük getirmekte ve usul ve seçenekler öngörmektedir. </w:t>
            </w:r>
          </w:p>
          <w:p w14:paraId="65C34C44" w14:textId="46E13EA0" w:rsidR="003C3909" w:rsidRPr="000E1BA8" w:rsidRDefault="003C3909" w:rsidP="00FE1759">
            <w:pPr>
              <w:rPr>
                <w:lang w:val="tr-TR"/>
              </w:rPr>
            </w:pPr>
            <w:r w:rsidRPr="000E1BA8">
              <w:rPr>
                <w:bCs/>
                <w:lang w:val="tr-TR"/>
              </w:rPr>
              <w:t xml:space="preserve">Eğitmen </w:t>
            </w:r>
            <w:r w:rsidR="000923A2" w:rsidRPr="000E1BA8">
              <w:rPr>
                <w:bCs/>
                <w:lang w:val="tr-TR"/>
              </w:rPr>
              <w:t xml:space="preserve">bir önceki Suç Gelirlerinin Aklanması, Araştırılması, El Konulması ve Müsaderesine ilişkin 1990 tarihli Strazburg Sözleşmesi Taraflarıyla </w:t>
            </w:r>
            <w:proofErr w:type="gramStart"/>
            <w:r w:rsidR="000923A2" w:rsidRPr="000E1BA8">
              <w:rPr>
                <w:bCs/>
                <w:lang w:val="tr-TR"/>
              </w:rPr>
              <w:t>işbirliğinin</w:t>
            </w:r>
            <w:proofErr w:type="gramEnd"/>
            <w:r w:rsidR="000923A2" w:rsidRPr="000E1BA8">
              <w:rPr>
                <w:bCs/>
                <w:lang w:val="tr-TR"/>
              </w:rPr>
              <w:t xml:space="preserve"> Varşova Sözleşmesi’nin 49. maddesi 6. fıkrasında düzenlendiğini hatırlatmalıdır. </w:t>
            </w:r>
          </w:p>
          <w:p w14:paraId="4A2C4CB4" w14:textId="26E9B8BC" w:rsidR="000923A2" w:rsidRPr="000E1BA8" w:rsidRDefault="000923A2" w:rsidP="00FE1759">
            <w:pPr>
              <w:rPr>
                <w:lang w:val="tr-TR"/>
              </w:rPr>
            </w:pPr>
            <w:r w:rsidRPr="000E1BA8">
              <w:rPr>
                <w:lang w:val="tr-TR"/>
              </w:rPr>
              <w:t xml:space="preserve">Ayrıca </w:t>
            </w:r>
            <w:r w:rsidR="007A296F" w:rsidRPr="000E1BA8">
              <w:rPr>
                <w:lang w:val="tr-TR"/>
              </w:rPr>
              <w:t xml:space="preserve">1988 tarihli Uyuşturucu ve </w:t>
            </w:r>
            <w:proofErr w:type="spellStart"/>
            <w:r w:rsidR="007A296F" w:rsidRPr="000E1BA8">
              <w:rPr>
                <w:lang w:val="tr-TR"/>
              </w:rPr>
              <w:t>Psikotrop</w:t>
            </w:r>
            <w:proofErr w:type="spellEnd"/>
            <w:r w:rsidR="007A296F" w:rsidRPr="000E1BA8">
              <w:rPr>
                <w:lang w:val="tr-TR"/>
              </w:rPr>
              <w:t xml:space="preserve"> Maddelerin Kaçakçılığına Karşı BM Sözleşmesi (Viyana Sözleşmesi) ve 2001 tarihli </w:t>
            </w:r>
            <w:proofErr w:type="spellStart"/>
            <w:r w:rsidR="007A296F" w:rsidRPr="000E1BA8">
              <w:rPr>
                <w:lang w:val="tr-TR"/>
              </w:rPr>
              <w:t>Sınıraşan</w:t>
            </w:r>
            <w:proofErr w:type="spellEnd"/>
            <w:r w:rsidR="007A296F" w:rsidRPr="000E1BA8">
              <w:rPr>
                <w:lang w:val="tr-TR"/>
              </w:rPr>
              <w:t xml:space="preserve"> Örgütlü Suçlara Karşı BM Sözleşmesi (Palermo Sözleşmesi) de bu konuda ilgi arz etmektedir. </w:t>
            </w:r>
          </w:p>
          <w:p w14:paraId="7EB91C5B" w14:textId="35F5EE1F" w:rsidR="002F6469" w:rsidRPr="000E1BA8" w:rsidRDefault="007A296F" w:rsidP="00FE1759">
            <w:pPr>
              <w:rPr>
                <w:lang w:val="tr-TR"/>
              </w:rPr>
            </w:pPr>
            <w:r w:rsidRPr="000E1BA8">
              <w:rPr>
                <w:lang w:val="tr-TR"/>
              </w:rPr>
              <w:t xml:space="preserve">Bundan başka, ceza işlerinde karşılıklı adli yardıma yönelik iki taraflı anlaşmalar ve polis </w:t>
            </w:r>
            <w:proofErr w:type="gramStart"/>
            <w:r w:rsidRPr="000E1BA8">
              <w:rPr>
                <w:lang w:val="tr-TR"/>
              </w:rPr>
              <w:t>işbirliği</w:t>
            </w:r>
            <w:proofErr w:type="gramEnd"/>
            <w:r w:rsidRPr="000E1BA8">
              <w:rPr>
                <w:lang w:val="tr-TR"/>
              </w:rPr>
              <w:t xml:space="preserve"> anlaşmaları da bu konu bakımından ilgi arz </w:t>
            </w:r>
            <w:r w:rsidRPr="000E1BA8">
              <w:rPr>
                <w:lang w:val="tr-TR"/>
              </w:rPr>
              <w:lastRenderedPageBreak/>
              <w:t xml:space="preserve">etmelidir. </w:t>
            </w:r>
          </w:p>
          <w:p w14:paraId="36BCE8D0" w14:textId="4E1B7ADF" w:rsidR="007A296F" w:rsidRPr="000E1BA8" w:rsidRDefault="007A296F" w:rsidP="00FE1759">
            <w:pPr>
              <w:rPr>
                <w:lang w:val="tr-TR"/>
              </w:rPr>
            </w:pPr>
            <w:r w:rsidRPr="000E1BA8">
              <w:rPr>
                <w:lang w:val="tr-TR"/>
              </w:rPr>
              <w:t>Uluslararası hukuk belgeleri</w:t>
            </w:r>
            <w:r w:rsidR="00A77940">
              <w:rPr>
                <w:lang w:val="tr-TR"/>
              </w:rPr>
              <w:t>,</w:t>
            </w:r>
            <w:r w:rsidRPr="000E1BA8">
              <w:rPr>
                <w:lang w:val="tr-TR"/>
              </w:rPr>
              <w:t xml:space="preserve"> karşılıklı adli yardım (KAY) konusunda yasal dayanak da dahil olmak üzere, bir davranışın suç sayılmasına, </w:t>
            </w:r>
            <w:proofErr w:type="spellStart"/>
            <w:r w:rsidRPr="000E1BA8">
              <w:rPr>
                <w:lang w:val="tr-TR"/>
              </w:rPr>
              <w:t>usuli</w:t>
            </w:r>
            <w:proofErr w:type="spellEnd"/>
            <w:r w:rsidRPr="000E1BA8">
              <w:rPr>
                <w:lang w:val="tr-TR"/>
              </w:rPr>
              <w:t xml:space="preserve"> yetkilere (soruşturma araçları) ve uluslararası </w:t>
            </w:r>
            <w:proofErr w:type="gramStart"/>
            <w:r w:rsidRPr="000E1BA8">
              <w:rPr>
                <w:lang w:val="tr-TR"/>
              </w:rPr>
              <w:t>işbirliğine</w:t>
            </w:r>
            <w:proofErr w:type="gramEnd"/>
            <w:r w:rsidRPr="000E1BA8">
              <w:rPr>
                <w:lang w:val="tr-TR"/>
              </w:rPr>
              <w:t xml:space="preserve"> dair hususlar içermektedir. </w:t>
            </w:r>
          </w:p>
          <w:p w14:paraId="5642746A" w14:textId="4247EC4E" w:rsidR="007A296F" w:rsidRPr="000E1BA8" w:rsidRDefault="007A296F" w:rsidP="00FE1759">
            <w:pPr>
              <w:rPr>
                <w:lang w:val="tr-TR"/>
              </w:rPr>
            </w:pPr>
            <w:r w:rsidRPr="000E1BA8">
              <w:rPr>
                <w:lang w:val="tr-TR"/>
              </w:rPr>
              <w:t xml:space="preserve">Suç gelirlerinin dondurulması ve müsaderesi ile kara para aklama (Varşova Sözleşmesi) ve siber suç (Budapeşte Sözleşmesi) konuları uluslararası </w:t>
            </w:r>
            <w:proofErr w:type="gramStart"/>
            <w:r w:rsidRPr="000E1BA8">
              <w:rPr>
                <w:lang w:val="tr-TR"/>
              </w:rPr>
              <w:t>işbirliği</w:t>
            </w:r>
            <w:proofErr w:type="gramEnd"/>
            <w:r w:rsidRPr="000E1BA8">
              <w:rPr>
                <w:lang w:val="tr-TR"/>
              </w:rPr>
              <w:t xml:space="preserve"> ve karşılıklı adli yardım açılarından ele alınacaktır. Bu sözleşmeler paralel mali soruşturma ve (siber) suç soruşturması yürütülürken en etkili sonuçların alınabilmesi amacıyla kullanılabilecek ve birleştirilebilecek yöntemler öngörmektedir. </w:t>
            </w:r>
          </w:p>
          <w:p w14:paraId="5C41559C" w14:textId="5B599C5E" w:rsidR="007A296F" w:rsidRPr="000E1BA8" w:rsidRDefault="007A296F" w:rsidP="00FE1759">
            <w:pPr>
              <w:rPr>
                <w:lang w:val="tr-TR"/>
              </w:rPr>
            </w:pPr>
            <w:r w:rsidRPr="000E1BA8">
              <w:rPr>
                <w:lang w:val="tr-TR"/>
              </w:rPr>
              <w:t xml:space="preserve">Varşova Sözleşmesi soruşturma, dondurma ve müsadere ve karşılıklı adli yardım konularında merkezi makamlar tesis etmektedir. Acil durumlarda sorumlu yargı ve kovuşturma makamları arasında doğrudan </w:t>
            </w:r>
            <w:proofErr w:type="gramStart"/>
            <w:r w:rsidRPr="000E1BA8">
              <w:rPr>
                <w:lang w:val="tr-TR"/>
              </w:rPr>
              <w:t>işbirliğinin</w:t>
            </w:r>
            <w:proofErr w:type="gramEnd"/>
            <w:r w:rsidRPr="000E1BA8">
              <w:rPr>
                <w:lang w:val="tr-TR"/>
              </w:rPr>
              <w:t xml:space="preserve"> (34. madde) yanı sıra, işlemlerin idari olarak geciktirilmesi de dahil olmak üzere Mali İstihbarat Birimleri (</w:t>
            </w:r>
            <w:proofErr w:type="spellStart"/>
            <w:r w:rsidRPr="000E1BA8">
              <w:rPr>
                <w:lang w:val="tr-TR"/>
              </w:rPr>
              <w:t>MİB’ler</w:t>
            </w:r>
            <w:proofErr w:type="spellEnd"/>
            <w:r w:rsidRPr="000E1BA8">
              <w:rPr>
                <w:lang w:val="tr-TR"/>
              </w:rPr>
              <w:t>) arasında doğrudan işbirliği de öngörülmektedir.</w:t>
            </w:r>
          </w:p>
          <w:p w14:paraId="17D0AD00" w14:textId="4584434E" w:rsidR="007A296F" w:rsidRPr="000E1BA8" w:rsidRDefault="007A296F" w:rsidP="00FE1759">
            <w:pPr>
              <w:rPr>
                <w:lang w:val="tr-TR"/>
              </w:rPr>
            </w:pPr>
            <w:r w:rsidRPr="000E1BA8">
              <w:rPr>
                <w:lang w:val="tr-TR"/>
              </w:rPr>
              <w:t xml:space="preserve">Budapeşte Sözleşmesi </w:t>
            </w:r>
            <w:proofErr w:type="gramStart"/>
            <w:r w:rsidRPr="000E1BA8">
              <w:rPr>
                <w:lang w:val="tr-TR"/>
              </w:rPr>
              <w:t>işbirliği</w:t>
            </w:r>
            <w:proofErr w:type="gramEnd"/>
            <w:r w:rsidRPr="000E1BA8">
              <w:rPr>
                <w:lang w:val="tr-TR"/>
              </w:rPr>
              <w:t xml:space="preserve"> için (emniyet ve/veya savcılık seviyesinde) 7/24 ağ öngörmekte ve verilerin muhafazasına ve delillerin toplanmasına yönelik taleplere imkân sağlamaktadır. </w:t>
            </w:r>
          </w:p>
          <w:p w14:paraId="0ACA760C" w14:textId="290D040D" w:rsidR="002F6469" w:rsidRPr="000E1BA8" w:rsidRDefault="007A296F" w:rsidP="00FE1759">
            <w:pPr>
              <w:rPr>
                <w:lang w:val="tr-TR"/>
              </w:rPr>
            </w:pPr>
            <w:r w:rsidRPr="000E1BA8">
              <w:rPr>
                <w:lang w:val="tr-TR"/>
              </w:rPr>
              <w:t xml:space="preserve">Ayrıca, ceza işlerinde </w:t>
            </w:r>
            <w:r w:rsidRPr="000E1BA8">
              <w:rPr>
                <w:bCs/>
                <w:lang w:val="tr-TR"/>
              </w:rPr>
              <w:t xml:space="preserve">karşılıklı adli yardım konusundaki geleneksel Sözleşme ve protokolleri de kullanılabilir. </w:t>
            </w:r>
          </w:p>
        </w:tc>
      </w:tr>
      <w:tr w:rsidR="002F6469" w:rsidRPr="000E1BA8" w14:paraId="6F152489" w14:textId="77777777" w:rsidTr="00857FD3">
        <w:trPr>
          <w:trHeight w:val="800"/>
        </w:trPr>
        <w:tc>
          <w:tcPr>
            <w:tcW w:w="1615" w:type="dxa"/>
          </w:tcPr>
          <w:p w14:paraId="7D00FE61" w14:textId="6A4E885C"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9</w:t>
            </w:r>
          </w:p>
        </w:tc>
        <w:tc>
          <w:tcPr>
            <w:tcW w:w="7395" w:type="dxa"/>
          </w:tcPr>
          <w:p w14:paraId="2A2BD849" w14:textId="295F3CA4" w:rsidR="002F6469" w:rsidRPr="000E1BA8" w:rsidRDefault="00B81E58" w:rsidP="00FE1759">
            <w:pPr>
              <w:rPr>
                <w:lang w:val="tr-TR"/>
              </w:rPr>
            </w:pPr>
            <w:r w:rsidRPr="000E1BA8">
              <w:rPr>
                <w:lang w:val="tr-TR"/>
              </w:rPr>
              <w:t xml:space="preserve">Siber suç soruşturması, mali soruşturma ve kara para aklama (önlenmesi ve) soruşturmasının birleştirilmesi sırasında </w:t>
            </w:r>
            <w:r w:rsidR="007551E4" w:rsidRPr="000E1BA8">
              <w:rPr>
                <w:lang w:val="tr-TR"/>
              </w:rPr>
              <w:t xml:space="preserve">uygun </w:t>
            </w:r>
            <w:r w:rsidRPr="000E1BA8">
              <w:rPr>
                <w:lang w:val="tr-TR"/>
              </w:rPr>
              <w:t xml:space="preserve">olanakların tespitine </w:t>
            </w:r>
            <w:r w:rsidR="007551E4" w:rsidRPr="000E1BA8">
              <w:rPr>
                <w:lang w:val="tr-TR"/>
              </w:rPr>
              <w:t xml:space="preserve">imkân sağlayan </w:t>
            </w:r>
            <w:r w:rsidRPr="000E1BA8">
              <w:rPr>
                <w:lang w:val="tr-TR"/>
              </w:rPr>
              <w:t xml:space="preserve">Varşova ve Budapeşte Sözleşmeleri kapsamında var olan uluslararası </w:t>
            </w:r>
            <w:proofErr w:type="gramStart"/>
            <w:r w:rsidRPr="000E1BA8">
              <w:rPr>
                <w:lang w:val="tr-TR"/>
              </w:rPr>
              <w:t>işbirliği</w:t>
            </w:r>
            <w:proofErr w:type="gramEnd"/>
            <w:r w:rsidRPr="000E1BA8">
              <w:rPr>
                <w:lang w:val="tr-TR"/>
              </w:rPr>
              <w:t xml:space="preserve"> hükümleri </w:t>
            </w:r>
            <w:r w:rsidR="007551E4" w:rsidRPr="000E1BA8">
              <w:rPr>
                <w:lang w:val="tr-TR"/>
              </w:rPr>
              <w:t xml:space="preserve">anlatılacaktır. </w:t>
            </w:r>
            <w:proofErr w:type="gramStart"/>
            <w:r w:rsidR="007551E4" w:rsidRPr="000E1BA8">
              <w:rPr>
                <w:lang w:val="tr-TR"/>
              </w:rPr>
              <w:t>İşbirliği</w:t>
            </w:r>
            <w:proofErr w:type="gramEnd"/>
            <w:r w:rsidR="007551E4" w:rsidRPr="000E1BA8">
              <w:rPr>
                <w:lang w:val="tr-TR"/>
              </w:rPr>
              <w:t xml:space="preserve"> açısından ulusal yasa hükümleri ve geciktirme ya da talebin reddi konusundaki güvenceler geçerlidir (Varşova Sözleşmesi, 5. Kısım, 27. madde ve Budapeşte Sözleşmesi, 25(4) ve 27(4) ve (5). </w:t>
            </w:r>
            <w:proofErr w:type="gramStart"/>
            <w:r w:rsidR="007551E4" w:rsidRPr="000E1BA8">
              <w:rPr>
                <w:lang w:val="tr-TR"/>
              </w:rPr>
              <w:t>madde</w:t>
            </w:r>
            <w:proofErr w:type="gramEnd"/>
            <w:r w:rsidR="007551E4" w:rsidRPr="000E1BA8">
              <w:rPr>
                <w:lang w:val="tr-TR"/>
              </w:rPr>
              <w:t>). Budapeşte Sözleşmesi’nin 24. maddesi de iadeyi düzenlemektedir.</w:t>
            </w:r>
          </w:p>
        </w:tc>
      </w:tr>
      <w:tr w:rsidR="002F6469" w:rsidRPr="000E1BA8" w14:paraId="3851EF7D" w14:textId="77777777" w:rsidTr="00857FD3">
        <w:trPr>
          <w:trHeight w:val="800"/>
        </w:trPr>
        <w:tc>
          <w:tcPr>
            <w:tcW w:w="1615" w:type="dxa"/>
          </w:tcPr>
          <w:p w14:paraId="7E9EB6B1" w14:textId="52F85026" w:rsidR="002F6469" w:rsidRPr="000E1BA8" w:rsidRDefault="00A736B2" w:rsidP="00FE1759">
            <w:pPr>
              <w:rPr>
                <w:color w:val="000000" w:themeColor="text1"/>
                <w:lang w:val="tr-TR"/>
              </w:rPr>
            </w:pPr>
            <w:r w:rsidRPr="000E1BA8">
              <w:rPr>
                <w:lang w:val="tr-TR"/>
              </w:rPr>
              <w:t>Slayt</w:t>
            </w:r>
            <w:r w:rsidR="002F6469" w:rsidRPr="000E1BA8">
              <w:rPr>
                <w:lang w:val="tr-TR"/>
              </w:rPr>
              <w:t xml:space="preserve"> 10-14</w:t>
            </w:r>
          </w:p>
        </w:tc>
        <w:tc>
          <w:tcPr>
            <w:tcW w:w="7395" w:type="dxa"/>
          </w:tcPr>
          <w:p w14:paraId="3BAC885B" w14:textId="6F051AA8" w:rsidR="002F6469" w:rsidRPr="000E1BA8" w:rsidRDefault="007551E4" w:rsidP="00FE1759">
            <w:pPr>
              <w:rPr>
                <w:lang w:val="tr-TR"/>
              </w:rPr>
            </w:pPr>
            <w:r w:rsidRPr="000E1BA8">
              <w:rPr>
                <w:lang w:val="tr-TR"/>
              </w:rPr>
              <w:t xml:space="preserve">Uluslararası </w:t>
            </w:r>
            <w:proofErr w:type="gramStart"/>
            <w:r w:rsidRPr="000E1BA8">
              <w:rPr>
                <w:lang w:val="tr-TR"/>
              </w:rPr>
              <w:t>işbirliği</w:t>
            </w:r>
            <w:proofErr w:type="gramEnd"/>
            <w:r w:rsidRPr="000E1BA8">
              <w:rPr>
                <w:lang w:val="tr-TR"/>
              </w:rPr>
              <w:t xml:space="preserve"> konusundaki genel ilke ve tedbirler </w:t>
            </w:r>
          </w:p>
          <w:p w14:paraId="64F7F169" w14:textId="561CF668" w:rsidR="002F6469" w:rsidRPr="000E1BA8" w:rsidRDefault="002F6469" w:rsidP="00FE1759">
            <w:pPr>
              <w:rPr>
                <w:lang w:val="tr-TR"/>
              </w:rPr>
            </w:pPr>
            <w:r w:rsidRPr="000E1BA8">
              <w:rPr>
                <w:lang w:val="tr-TR"/>
              </w:rPr>
              <w:t>(</w:t>
            </w:r>
            <w:r w:rsidR="007551E4" w:rsidRPr="000E1BA8">
              <w:rPr>
                <w:lang w:val="tr-TR"/>
              </w:rPr>
              <w:t>Varşova Sözleşmesi</w:t>
            </w:r>
            <w:r w:rsidRPr="000E1BA8">
              <w:rPr>
                <w:lang w:val="tr-TR"/>
              </w:rPr>
              <w:t>, 15</w:t>
            </w:r>
            <w:r w:rsidR="007551E4" w:rsidRPr="000E1BA8">
              <w:rPr>
                <w:lang w:val="tr-TR"/>
              </w:rPr>
              <w:t>. madde</w:t>
            </w:r>
            <w:r w:rsidRPr="000E1BA8">
              <w:rPr>
                <w:lang w:val="tr-TR"/>
              </w:rPr>
              <w:t>)</w:t>
            </w:r>
          </w:p>
          <w:p w14:paraId="6A452803" w14:textId="0A660BAE" w:rsidR="00857FD3" w:rsidRPr="000E1BA8" w:rsidRDefault="00857FD3" w:rsidP="00FE1759">
            <w:pPr>
              <w:rPr>
                <w:lang w:val="tr-TR"/>
              </w:rPr>
            </w:pPr>
            <w:r w:rsidRPr="000E1BA8">
              <w:rPr>
                <w:lang w:val="tr-TR"/>
              </w:rPr>
              <w:t xml:space="preserve">Taraflar, suç araçlarının ve gelirlerin müsaderesi amacıyla soruşturma ve yargılama yapılmasını </w:t>
            </w:r>
            <w:proofErr w:type="spellStart"/>
            <w:r w:rsidRPr="000E1BA8">
              <w:rPr>
                <w:lang w:val="tr-TR"/>
              </w:rPr>
              <w:t>teminen</w:t>
            </w:r>
            <w:proofErr w:type="spellEnd"/>
            <w:r w:rsidRPr="000E1BA8">
              <w:rPr>
                <w:lang w:val="tr-TR"/>
              </w:rPr>
              <w:t xml:space="preserve"> birbirleriyle </w:t>
            </w:r>
            <w:proofErr w:type="gramStart"/>
            <w:r w:rsidRPr="000E1BA8">
              <w:rPr>
                <w:lang w:val="tr-TR"/>
              </w:rPr>
              <w:t>işbirliğinde</w:t>
            </w:r>
            <w:proofErr w:type="gramEnd"/>
            <w:r w:rsidRPr="000E1BA8">
              <w:rPr>
                <w:lang w:val="tr-TR"/>
              </w:rPr>
              <w:t xml:space="preserve"> bulunacaktır. Taraf </w:t>
            </w:r>
            <w:r w:rsidR="00C96E6D" w:rsidRPr="000E1BA8">
              <w:rPr>
                <w:lang w:val="tr-TR"/>
              </w:rPr>
              <w:t xml:space="preserve">belirli mal unsurlarının müsaderesine veya </w:t>
            </w:r>
            <w:r w:rsidR="008B0AAD" w:rsidRPr="000E1BA8">
              <w:rPr>
                <w:lang w:val="tr-TR"/>
              </w:rPr>
              <w:t xml:space="preserve">gelirin değerine tekabül eden </w:t>
            </w:r>
            <w:r w:rsidR="00C96E6D" w:rsidRPr="000E1BA8">
              <w:rPr>
                <w:lang w:val="tr-TR"/>
              </w:rPr>
              <w:t>bir para miktarının ödenmesi</w:t>
            </w:r>
            <w:r w:rsidR="008B0AAD" w:rsidRPr="000E1BA8">
              <w:rPr>
                <w:lang w:val="tr-TR"/>
              </w:rPr>
              <w:t xml:space="preserve"> </w:t>
            </w:r>
            <w:r w:rsidR="00C96E6D" w:rsidRPr="000E1BA8">
              <w:rPr>
                <w:lang w:val="tr-TR"/>
              </w:rPr>
              <w:t xml:space="preserve">gereğine ve soruşturma yardımına ve </w:t>
            </w:r>
            <w:r w:rsidR="00F4416E" w:rsidRPr="000E1BA8">
              <w:rPr>
                <w:lang w:val="tr-TR"/>
              </w:rPr>
              <w:t xml:space="preserve">bu müsadere biçimleri doğrultusundaki </w:t>
            </w:r>
            <w:r w:rsidR="00C96E6D" w:rsidRPr="000E1BA8">
              <w:rPr>
                <w:lang w:val="tr-TR"/>
              </w:rPr>
              <w:t xml:space="preserve">geçici tedbirlere </w:t>
            </w:r>
            <w:r w:rsidR="00F4416E" w:rsidRPr="000E1BA8">
              <w:rPr>
                <w:lang w:val="tr-TR"/>
              </w:rPr>
              <w:t xml:space="preserve">yönelik taleplere riayet edecektir. </w:t>
            </w:r>
          </w:p>
          <w:p w14:paraId="1232B5F5" w14:textId="6E3DC9D9" w:rsidR="002F6469" w:rsidRPr="000E1BA8" w:rsidRDefault="002F6469" w:rsidP="00FE1759">
            <w:pPr>
              <w:rPr>
                <w:lang w:val="tr-TR"/>
              </w:rPr>
            </w:pPr>
            <w:r w:rsidRPr="000E1BA8">
              <w:rPr>
                <w:lang w:val="tr-TR"/>
              </w:rPr>
              <w:t>(</w:t>
            </w:r>
            <w:r w:rsidR="007551E4" w:rsidRPr="000E1BA8">
              <w:rPr>
                <w:lang w:val="tr-TR"/>
              </w:rPr>
              <w:t>Budapeşte Sözleşmesi</w:t>
            </w:r>
            <w:r w:rsidRPr="000E1BA8">
              <w:rPr>
                <w:lang w:val="tr-TR"/>
              </w:rPr>
              <w:t xml:space="preserve">, 23 </w:t>
            </w:r>
            <w:r w:rsidR="007551E4" w:rsidRPr="000E1BA8">
              <w:rPr>
                <w:lang w:val="tr-TR"/>
              </w:rPr>
              <w:t xml:space="preserve">ve </w:t>
            </w:r>
            <w:r w:rsidRPr="000E1BA8">
              <w:rPr>
                <w:lang w:val="tr-TR"/>
              </w:rPr>
              <w:t>25</w:t>
            </w:r>
            <w:r w:rsidR="007551E4" w:rsidRPr="000E1BA8">
              <w:rPr>
                <w:lang w:val="tr-TR"/>
              </w:rPr>
              <w:t>. madde</w:t>
            </w:r>
            <w:r w:rsidRPr="000E1BA8">
              <w:rPr>
                <w:lang w:val="tr-TR"/>
              </w:rPr>
              <w:t xml:space="preserve">) </w:t>
            </w:r>
          </w:p>
          <w:p w14:paraId="53758A2F" w14:textId="0F9F765D" w:rsidR="00F4416E" w:rsidRPr="000E1BA8" w:rsidRDefault="0099513E" w:rsidP="00FE1759">
            <w:pPr>
              <w:rPr>
                <w:rFonts w:cs="Arial"/>
                <w:bCs/>
                <w:lang w:val="tr-TR"/>
              </w:rPr>
            </w:pPr>
            <w:r w:rsidRPr="000E1BA8">
              <w:rPr>
                <w:rFonts w:cs="Arial"/>
                <w:bCs/>
                <w:lang w:val="tr-TR"/>
              </w:rPr>
              <w:t xml:space="preserve">Taraflar bilgisayar verileri ve sistemleri ile ilgili cezai suçlara ilişkin soruşturma ve </w:t>
            </w:r>
            <w:r w:rsidR="00840C5A" w:rsidRPr="000E1BA8">
              <w:rPr>
                <w:rFonts w:cs="Arial"/>
                <w:bCs/>
                <w:lang w:val="tr-TR"/>
              </w:rPr>
              <w:t>yargılamalar için</w:t>
            </w:r>
            <w:r w:rsidRPr="000E1BA8">
              <w:rPr>
                <w:rFonts w:cs="Arial"/>
                <w:bCs/>
                <w:lang w:val="tr-TR"/>
              </w:rPr>
              <w:t xml:space="preserve"> veya cezai suçlara ilişkin olarak elektronik or</w:t>
            </w:r>
            <w:r w:rsidR="00840C5A" w:rsidRPr="000E1BA8">
              <w:rPr>
                <w:rFonts w:cs="Arial"/>
                <w:bCs/>
                <w:lang w:val="tr-TR"/>
              </w:rPr>
              <w:t xml:space="preserve">tamda delil toplanması amacıyla karşılıklı yardım yapacaklardır. </w:t>
            </w:r>
            <w:r w:rsidRPr="000E1BA8">
              <w:rPr>
                <w:rFonts w:cs="Arial"/>
                <w:bCs/>
                <w:lang w:val="tr-TR"/>
              </w:rPr>
              <w:t xml:space="preserve"> </w:t>
            </w:r>
          </w:p>
          <w:p w14:paraId="700A9C80" w14:textId="72F0FA5C" w:rsidR="002F6469" w:rsidRPr="000E1BA8" w:rsidRDefault="00840C5A" w:rsidP="00FE1759">
            <w:pPr>
              <w:rPr>
                <w:lang w:val="tr-TR"/>
              </w:rPr>
            </w:pPr>
            <w:r w:rsidRPr="000E1BA8">
              <w:rPr>
                <w:lang w:val="tr-TR"/>
              </w:rPr>
              <w:t>Soruşturma yardımı</w:t>
            </w:r>
          </w:p>
          <w:p w14:paraId="5C53413A" w14:textId="13863EB2" w:rsidR="003A068C" w:rsidRPr="000E1BA8" w:rsidRDefault="002F6469" w:rsidP="00FE1759">
            <w:pPr>
              <w:rPr>
                <w:bCs/>
                <w:lang w:val="tr-TR"/>
              </w:rPr>
            </w:pPr>
            <w:r w:rsidRPr="000E1BA8">
              <w:rPr>
                <w:bCs/>
                <w:lang w:val="tr-TR"/>
              </w:rPr>
              <w:t>(</w:t>
            </w:r>
            <w:r w:rsidR="00840C5A" w:rsidRPr="000E1BA8">
              <w:rPr>
                <w:lang w:val="tr-TR"/>
              </w:rPr>
              <w:t>Varşova Sözleşmesi,</w:t>
            </w:r>
            <w:r w:rsidR="00840C5A" w:rsidRPr="000E1BA8">
              <w:rPr>
                <w:bCs/>
                <w:lang w:val="tr-TR"/>
              </w:rPr>
              <w:t xml:space="preserve"> 16–</w:t>
            </w:r>
            <w:r w:rsidRPr="000E1BA8">
              <w:rPr>
                <w:bCs/>
                <w:lang w:val="tr-TR"/>
              </w:rPr>
              <w:t>20</w:t>
            </w:r>
            <w:r w:rsidR="00840C5A" w:rsidRPr="000E1BA8">
              <w:rPr>
                <w:bCs/>
                <w:lang w:val="tr-TR"/>
              </w:rPr>
              <w:t>. madde</w:t>
            </w:r>
            <w:r w:rsidRPr="000E1BA8">
              <w:rPr>
                <w:bCs/>
                <w:lang w:val="tr-TR"/>
              </w:rPr>
              <w:t xml:space="preserve">) </w:t>
            </w:r>
            <w:r w:rsidR="003A068C" w:rsidRPr="000E1BA8">
              <w:rPr>
                <w:bCs/>
                <w:lang w:val="tr-TR"/>
              </w:rPr>
              <w:t xml:space="preserve">Taraflar bahse konu malın varlığına, mahalline veya hareketine, niteliğine, hukuki statüsüne veya değerine ilişkin delillerin güvence altına alınması da dahil olmak üzere suç araçlarının ve gelirlerinin tespiti ve izlenmesinde yardımcı olacaktır. Bu yardım banka hesaplarındaki bilgilere, bankacılık işlemlerine yönelik bilgi ve bankacılık </w:t>
            </w:r>
            <w:r w:rsidR="003A068C" w:rsidRPr="000E1BA8">
              <w:rPr>
                <w:bCs/>
                <w:lang w:val="tr-TR"/>
              </w:rPr>
              <w:lastRenderedPageBreak/>
              <w:t xml:space="preserve">işlemlerinin izlenmesi ve kendiliğinden bilgi taleplerini de içermektedir. </w:t>
            </w:r>
          </w:p>
          <w:p w14:paraId="5F4AC2DB" w14:textId="77777777" w:rsidR="003A068C" w:rsidRPr="000E1BA8" w:rsidRDefault="002F6469" w:rsidP="00FE1759">
            <w:pPr>
              <w:rPr>
                <w:iCs/>
                <w:lang w:val="tr-TR"/>
              </w:rPr>
            </w:pPr>
            <w:r w:rsidRPr="000E1BA8">
              <w:rPr>
                <w:iCs/>
                <w:lang w:val="tr-TR"/>
              </w:rPr>
              <w:t>(</w:t>
            </w:r>
            <w:r w:rsidR="007551E4" w:rsidRPr="000E1BA8">
              <w:rPr>
                <w:lang w:val="tr-TR"/>
              </w:rPr>
              <w:t xml:space="preserve">Budapeşte Sözleşmesi, </w:t>
            </w:r>
            <w:r w:rsidRPr="000E1BA8">
              <w:rPr>
                <w:iCs/>
                <w:lang w:val="tr-TR"/>
              </w:rPr>
              <w:t>31-34</w:t>
            </w:r>
            <w:r w:rsidR="007551E4" w:rsidRPr="000E1BA8">
              <w:rPr>
                <w:iCs/>
                <w:lang w:val="tr-TR"/>
              </w:rPr>
              <w:t>. madde</w:t>
            </w:r>
            <w:r w:rsidRPr="000E1BA8">
              <w:rPr>
                <w:iCs/>
                <w:lang w:val="tr-TR"/>
              </w:rPr>
              <w:t xml:space="preserve">): </w:t>
            </w:r>
          </w:p>
          <w:p w14:paraId="4B4E81B1" w14:textId="0A1EC1F8" w:rsidR="00744503" w:rsidRPr="000E1BA8" w:rsidRDefault="00744503" w:rsidP="00FE1759">
            <w:pPr>
              <w:rPr>
                <w:iCs/>
                <w:lang w:val="tr-TR"/>
              </w:rPr>
            </w:pPr>
            <w:r w:rsidRPr="000E1BA8">
              <w:rPr>
                <w:iCs/>
                <w:lang w:val="tr-TR"/>
              </w:rPr>
              <w:t xml:space="preserve">Soruşturma yetkilerine ilişkin karşılıklı yardım: Depolanan bilgisayar verilerine erişim; depolanmış bilgisayar verilerine izinli şekilde veya bu verilerin halka açık olduğu durumlarda sınır ötesinden erişim sağlanması; trafik verilerinin gerçek zamanlı olarak toplanması konusunda karşılıklı yardımlaşma; içerik verilerinin ele geçirilmesi konusunda karşılıklı yardımlaşma. </w:t>
            </w:r>
          </w:p>
          <w:p w14:paraId="62BFB6C7" w14:textId="6FE5F58B" w:rsidR="002F6469" w:rsidRPr="000E1BA8" w:rsidRDefault="00840C5A" w:rsidP="00FE1759">
            <w:pPr>
              <w:rPr>
                <w:lang w:val="tr-TR"/>
              </w:rPr>
            </w:pPr>
            <w:r w:rsidRPr="000E1BA8">
              <w:rPr>
                <w:lang w:val="tr-TR"/>
              </w:rPr>
              <w:t>Kendiliğinden bilgi</w:t>
            </w:r>
          </w:p>
          <w:p w14:paraId="5903FA91" w14:textId="2F1E2B8F" w:rsidR="00744503" w:rsidRPr="000E1BA8" w:rsidRDefault="002F6469" w:rsidP="00FE1759">
            <w:pPr>
              <w:rPr>
                <w:lang w:val="tr-TR"/>
              </w:rPr>
            </w:pPr>
            <w:r w:rsidRPr="000E1BA8">
              <w:rPr>
                <w:bCs/>
                <w:lang w:val="tr-TR"/>
              </w:rPr>
              <w:t>(</w:t>
            </w:r>
            <w:r w:rsidR="00840C5A" w:rsidRPr="000E1BA8">
              <w:rPr>
                <w:lang w:val="tr-TR"/>
              </w:rPr>
              <w:t>Varşova Sözleşmesi,</w:t>
            </w:r>
            <w:r w:rsidR="00840C5A" w:rsidRPr="000E1BA8">
              <w:rPr>
                <w:bCs/>
                <w:lang w:val="tr-TR"/>
              </w:rPr>
              <w:t xml:space="preserve"> </w:t>
            </w:r>
            <w:r w:rsidRPr="000E1BA8">
              <w:rPr>
                <w:bCs/>
                <w:lang w:val="tr-TR"/>
              </w:rPr>
              <w:t>20</w:t>
            </w:r>
            <w:r w:rsidR="00840C5A" w:rsidRPr="000E1BA8">
              <w:rPr>
                <w:bCs/>
                <w:lang w:val="tr-TR"/>
              </w:rPr>
              <w:t>. madde</w:t>
            </w:r>
            <w:r w:rsidRPr="000E1BA8">
              <w:rPr>
                <w:bCs/>
                <w:lang w:val="tr-TR"/>
              </w:rPr>
              <w:t xml:space="preserve">) </w:t>
            </w:r>
            <w:r w:rsidR="00840C5A" w:rsidRPr="000E1BA8">
              <w:rPr>
                <w:bCs/>
                <w:lang w:val="tr-TR"/>
              </w:rPr>
              <w:t xml:space="preserve">ve </w:t>
            </w:r>
            <w:r w:rsidRPr="000E1BA8">
              <w:rPr>
                <w:rFonts w:cs="Arial"/>
                <w:iCs/>
                <w:lang w:val="tr-TR"/>
              </w:rPr>
              <w:t>(</w:t>
            </w:r>
            <w:r w:rsidR="007551E4" w:rsidRPr="000E1BA8">
              <w:rPr>
                <w:lang w:val="tr-TR"/>
              </w:rPr>
              <w:t xml:space="preserve">Budapeşte Sözleşmesi, </w:t>
            </w:r>
            <w:r w:rsidRPr="000E1BA8">
              <w:rPr>
                <w:rFonts w:cs="Arial"/>
                <w:iCs/>
                <w:lang w:val="tr-TR"/>
              </w:rPr>
              <w:t>26</w:t>
            </w:r>
            <w:r w:rsidR="007551E4" w:rsidRPr="000E1BA8">
              <w:rPr>
                <w:rFonts w:cs="Arial"/>
                <w:iCs/>
                <w:lang w:val="tr-TR"/>
              </w:rPr>
              <w:t>. madde</w:t>
            </w:r>
            <w:r w:rsidRPr="000E1BA8">
              <w:rPr>
                <w:rFonts w:cs="Arial"/>
                <w:iCs/>
                <w:lang w:val="tr-TR"/>
              </w:rPr>
              <w:t>):</w:t>
            </w:r>
            <w:r w:rsidRPr="000E1BA8">
              <w:rPr>
                <w:lang w:val="tr-TR"/>
              </w:rPr>
              <w:t xml:space="preserve"> </w:t>
            </w:r>
            <w:r w:rsidR="00744503" w:rsidRPr="000E1BA8">
              <w:rPr>
                <w:lang w:val="tr-TR"/>
              </w:rPr>
              <w:t xml:space="preserve">Taraf, kendi iç hukukunun sınırları kapsamında ve önceden talepte bulunmaksızın, başka bir Tarafa, </w:t>
            </w:r>
            <w:r w:rsidR="00E97CD5" w:rsidRPr="000E1BA8">
              <w:rPr>
                <w:lang w:val="tr-TR"/>
              </w:rPr>
              <w:t xml:space="preserve">kendi soruşturmaları çerçevesinde elde etmiş olduğu ve </w:t>
            </w:r>
            <w:r w:rsidR="00744503" w:rsidRPr="000E1BA8">
              <w:rPr>
                <w:lang w:val="tr-TR"/>
              </w:rPr>
              <w:t xml:space="preserve">yardım alan Tarafın, </w:t>
            </w:r>
            <w:proofErr w:type="spellStart"/>
            <w:r w:rsidR="00744503" w:rsidRPr="000E1BA8">
              <w:rPr>
                <w:lang w:val="tr-TR"/>
              </w:rPr>
              <w:t>Sözleşme’de</w:t>
            </w:r>
            <w:proofErr w:type="spellEnd"/>
            <w:r w:rsidR="00744503" w:rsidRPr="000E1BA8">
              <w:rPr>
                <w:lang w:val="tr-TR"/>
              </w:rPr>
              <w:t xml:space="preserve"> belirtilmiş olan suçlara ilişkin soruşturma veya yargılama başlatması veya yürütmesi bakımından </w:t>
            </w:r>
            <w:r w:rsidR="00E97CD5" w:rsidRPr="000E1BA8">
              <w:rPr>
                <w:lang w:val="tr-TR"/>
              </w:rPr>
              <w:t>yardımcı olabileceği düşüncesinde olduğu veya işbu Kısım kapsamında söz konusu Tarafça bir işbirliği talebinde bulunulmasına yol açabilecek bir bilgiyi ifşa edebilir. (2…)</w:t>
            </w:r>
          </w:p>
          <w:p w14:paraId="5CA1858A" w14:textId="6CC2821A" w:rsidR="002F6469" w:rsidRPr="000E1BA8" w:rsidRDefault="00840C5A" w:rsidP="00FE1759">
            <w:pPr>
              <w:rPr>
                <w:lang w:val="tr-TR"/>
              </w:rPr>
            </w:pPr>
            <w:r w:rsidRPr="000E1BA8">
              <w:rPr>
                <w:lang w:val="tr-TR"/>
              </w:rPr>
              <w:t>Geçici tedbirler</w:t>
            </w:r>
          </w:p>
          <w:p w14:paraId="6CF97D70" w14:textId="6DCE255B" w:rsidR="00F00F86" w:rsidRPr="000E1BA8" w:rsidRDefault="002F6469" w:rsidP="00FE1759">
            <w:pPr>
              <w:rPr>
                <w:bCs/>
                <w:lang w:val="tr-TR"/>
              </w:rPr>
            </w:pPr>
            <w:r w:rsidRPr="000E1BA8">
              <w:rPr>
                <w:bCs/>
                <w:lang w:val="tr-TR"/>
              </w:rPr>
              <w:t>(</w:t>
            </w:r>
            <w:r w:rsidR="00840C5A" w:rsidRPr="000E1BA8">
              <w:rPr>
                <w:lang w:val="tr-TR"/>
              </w:rPr>
              <w:t>Varşova Sözleşmesi,</w:t>
            </w:r>
            <w:r w:rsidR="00840C5A" w:rsidRPr="000E1BA8">
              <w:rPr>
                <w:bCs/>
                <w:lang w:val="tr-TR"/>
              </w:rPr>
              <w:t xml:space="preserve"> </w:t>
            </w:r>
            <w:r w:rsidRPr="000E1BA8">
              <w:rPr>
                <w:bCs/>
                <w:lang w:val="tr-TR"/>
              </w:rPr>
              <w:t>21-22</w:t>
            </w:r>
            <w:r w:rsidR="00F00F86" w:rsidRPr="000E1BA8">
              <w:rPr>
                <w:bCs/>
                <w:lang w:val="tr-TR"/>
              </w:rPr>
              <w:t xml:space="preserve">. </w:t>
            </w:r>
            <w:r w:rsidR="00840C5A" w:rsidRPr="000E1BA8">
              <w:rPr>
                <w:bCs/>
                <w:lang w:val="tr-TR"/>
              </w:rPr>
              <w:t>madde</w:t>
            </w:r>
            <w:r w:rsidRPr="000E1BA8">
              <w:rPr>
                <w:bCs/>
                <w:lang w:val="tr-TR"/>
              </w:rPr>
              <w:t>):</w:t>
            </w:r>
            <w:r w:rsidR="00F00F86" w:rsidRPr="000E1BA8">
              <w:rPr>
                <w:bCs/>
                <w:lang w:val="tr-TR"/>
              </w:rPr>
              <w:t xml:space="preserve"> Taraflar mala ilişkin her türlü muamelenin, devrin veya tasarrufun önlenmesi için </w:t>
            </w:r>
            <w:r w:rsidR="00F00F86" w:rsidRPr="000E1BA8">
              <w:rPr>
                <w:bCs/>
                <w:u w:val="single"/>
                <w:lang w:val="tr-TR"/>
              </w:rPr>
              <w:t>dondurma ve el koyma</w:t>
            </w:r>
            <w:r w:rsidR="00F00F86" w:rsidRPr="000E1BA8">
              <w:rPr>
                <w:bCs/>
                <w:lang w:val="tr-TR"/>
              </w:rPr>
              <w:t xml:space="preserve"> gibi gerekli olan her türlü geçici tedbiri alacak ve geçici tedbirler açısından </w:t>
            </w:r>
            <w:r w:rsidR="00F00F86" w:rsidRPr="000E1BA8">
              <w:rPr>
                <w:bCs/>
                <w:u w:val="single"/>
                <w:lang w:val="tr-TR"/>
              </w:rPr>
              <w:t>ilgi arz eden tüm bilgileri kendiliğinden</w:t>
            </w:r>
            <w:r w:rsidR="00F00F86" w:rsidRPr="000E1BA8">
              <w:rPr>
                <w:bCs/>
                <w:lang w:val="tr-TR"/>
              </w:rPr>
              <w:t xml:space="preserve"> verecektir. </w:t>
            </w:r>
          </w:p>
          <w:p w14:paraId="1757C955" w14:textId="313D5D1B" w:rsidR="00F00F86" w:rsidRPr="000E1BA8" w:rsidRDefault="002F6469" w:rsidP="00FE1759">
            <w:pPr>
              <w:rPr>
                <w:iCs/>
                <w:lang w:val="tr-TR"/>
              </w:rPr>
            </w:pPr>
            <w:r w:rsidRPr="000E1BA8">
              <w:rPr>
                <w:iCs/>
                <w:lang w:val="tr-TR"/>
              </w:rPr>
              <w:t>(</w:t>
            </w:r>
            <w:r w:rsidR="007551E4" w:rsidRPr="000E1BA8">
              <w:rPr>
                <w:lang w:val="tr-TR"/>
              </w:rPr>
              <w:t xml:space="preserve">Budapeşte Sözleşmesi, </w:t>
            </w:r>
            <w:r w:rsidRPr="000E1BA8">
              <w:rPr>
                <w:iCs/>
                <w:lang w:val="tr-TR"/>
              </w:rPr>
              <w:t>29-30</w:t>
            </w:r>
            <w:r w:rsidR="007551E4" w:rsidRPr="000E1BA8">
              <w:rPr>
                <w:iCs/>
                <w:lang w:val="tr-TR"/>
              </w:rPr>
              <w:t>. madde</w:t>
            </w:r>
            <w:r w:rsidRPr="000E1BA8">
              <w:rPr>
                <w:iCs/>
                <w:lang w:val="tr-TR"/>
              </w:rPr>
              <w:t xml:space="preserve">): </w:t>
            </w:r>
            <w:r w:rsidR="00F00F86" w:rsidRPr="000E1BA8">
              <w:rPr>
                <w:iCs/>
                <w:lang w:val="tr-TR"/>
              </w:rPr>
              <w:t xml:space="preserve">Şu tedbirler öngörülmektedir: depolanan bilgisayar verilerinin süratli şekilde korunması, korunan trafik verilerinin süratli şekilde açıklanması. </w:t>
            </w:r>
          </w:p>
          <w:p w14:paraId="1A298F8E" w14:textId="4F3B1F92" w:rsidR="00F00F86" w:rsidRPr="000E1BA8" w:rsidRDefault="00840C5A" w:rsidP="00FE1759">
            <w:pPr>
              <w:rPr>
                <w:bCs/>
                <w:lang w:val="tr-TR"/>
              </w:rPr>
            </w:pPr>
            <w:r w:rsidRPr="000E1BA8">
              <w:rPr>
                <w:bCs/>
                <w:lang w:val="tr-TR"/>
              </w:rPr>
              <w:t>Müsadere</w:t>
            </w:r>
            <w:r w:rsidR="002F6469" w:rsidRPr="000E1BA8">
              <w:rPr>
                <w:bCs/>
                <w:lang w:val="tr-TR"/>
              </w:rPr>
              <w:t xml:space="preserve"> (</w:t>
            </w:r>
            <w:r w:rsidRPr="000E1BA8">
              <w:rPr>
                <w:lang w:val="tr-TR"/>
              </w:rPr>
              <w:t>Varşova Sözleşmesi</w:t>
            </w:r>
            <w:r w:rsidR="002F6469" w:rsidRPr="000E1BA8">
              <w:rPr>
                <w:bCs/>
                <w:lang w:val="tr-TR"/>
              </w:rPr>
              <w:t>)</w:t>
            </w:r>
            <w:r w:rsidR="00F00F86" w:rsidRPr="000E1BA8">
              <w:rPr>
                <w:bCs/>
                <w:lang w:val="tr-TR"/>
              </w:rPr>
              <w:t>: Taraflar</w:t>
            </w:r>
            <w:r w:rsidR="00CD3907" w:rsidRPr="000E1BA8">
              <w:rPr>
                <w:bCs/>
                <w:lang w:val="tr-TR"/>
              </w:rPr>
              <w:t>dan</w:t>
            </w:r>
            <w:r w:rsidR="00F00F86" w:rsidRPr="000E1BA8">
              <w:rPr>
                <w:bCs/>
                <w:lang w:val="tr-TR"/>
              </w:rPr>
              <w:t xml:space="preserve"> </w:t>
            </w:r>
            <w:r w:rsidR="004313C8" w:rsidRPr="000E1BA8">
              <w:rPr>
                <w:bCs/>
                <w:lang w:val="tr-TR"/>
              </w:rPr>
              <w:t xml:space="preserve">ya </w:t>
            </w:r>
            <w:r w:rsidR="004313C8" w:rsidRPr="000E1BA8">
              <w:rPr>
                <w:bCs/>
                <w:u w:val="single"/>
                <w:lang w:val="tr-TR"/>
              </w:rPr>
              <w:t>bir müsadere kararının icraya konması</w:t>
            </w:r>
            <w:r w:rsidR="004313C8" w:rsidRPr="000E1BA8">
              <w:rPr>
                <w:bCs/>
                <w:lang w:val="tr-TR"/>
              </w:rPr>
              <w:t xml:space="preserve"> ya da </w:t>
            </w:r>
            <w:r w:rsidR="00CD3907" w:rsidRPr="000E1BA8">
              <w:rPr>
                <w:bCs/>
                <w:u w:val="single"/>
                <w:lang w:val="tr-TR"/>
              </w:rPr>
              <w:t>bir müsadere kararı elde etmek</w:t>
            </w:r>
            <w:r w:rsidR="00CD3907" w:rsidRPr="000E1BA8">
              <w:rPr>
                <w:bCs/>
                <w:lang w:val="tr-TR"/>
              </w:rPr>
              <w:t xml:space="preserve"> ve bunu icraya koymak için kendi yetkili makamlarına talepte bulunulması istenir. Buna gelirlerin değerine tekabül eden miktarda bir paranın ödenmesi veya belirli bir mal unsurunun müsaderesi dahildir (23. madde). 23. maddenin 5. fıkrası, cezai yaptırım niteliğinde olmayan (</w:t>
            </w:r>
            <w:r w:rsidR="00CD3907" w:rsidRPr="000E1BA8">
              <w:rPr>
                <w:bCs/>
                <w:u w:val="single"/>
                <w:lang w:val="tr-TR"/>
              </w:rPr>
              <w:t>mahkûmiye</w:t>
            </w:r>
            <w:r w:rsidR="00A96CF3" w:rsidRPr="000E1BA8">
              <w:rPr>
                <w:bCs/>
                <w:u w:val="single"/>
                <w:lang w:val="tr-TR"/>
              </w:rPr>
              <w:t>t kararına dayanmayan müsadere</w:t>
            </w:r>
            <w:r w:rsidR="00A96CF3" w:rsidRPr="000E1BA8">
              <w:rPr>
                <w:bCs/>
                <w:lang w:val="tr-TR"/>
              </w:rPr>
              <w:t xml:space="preserve">), maldan mahrum bırakmayla neticelenen müsadere muadili tedbirlere ilişkin bir yargısal talebin icrasını öngörmektedir. </w:t>
            </w:r>
          </w:p>
          <w:p w14:paraId="2A36F497" w14:textId="50D1B65C" w:rsidR="00A96CF3" w:rsidRPr="000E1BA8" w:rsidRDefault="00A96CF3" w:rsidP="00FE1759">
            <w:pPr>
              <w:rPr>
                <w:bCs/>
                <w:lang w:val="tr-TR"/>
              </w:rPr>
            </w:pPr>
            <w:r w:rsidRPr="000E1BA8">
              <w:rPr>
                <w:bCs/>
                <w:lang w:val="tr-TR"/>
              </w:rPr>
              <w:t xml:space="preserve">25. madde malvarlığı paylaşımı kurallarını belirlemektedir: Mallar öncelikle icrayı gerçekleştiren Tarafça tasarruf edilir, meğer ki </w:t>
            </w:r>
            <w:r w:rsidRPr="000E1BA8">
              <w:rPr>
                <w:bCs/>
                <w:u w:val="single"/>
                <w:lang w:val="tr-TR"/>
              </w:rPr>
              <w:t>mağdurlara tazminat verilmesi</w:t>
            </w:r>
            <w:r w:rsidRPr="000E1BA8">
              <w:rPr>
                <w:bCs/>
                <w:lang w:val="tr-TR"/>
              </w:rPr>
              <w:t xml:space="preserve"> veya malın </w:t>
            </w:r>
            <w:r w:rsidRPr="000E1BA8">
              <w:rPr>
                <w:bCs/>
                <w:u w:val="single"/>
                <w:lang w:val="tr-TR"/>
              </w:rPr>
              <w:t>meşru maliklerine</w:t>
            </w:r>
            <w:r w:rsidRPr="000E1BA8">
              <w:rPr>
                <w:bCs/>
                <w:lang w:val="tr-TR"/>
              </w:rPr>
              <w:t xml:space="preserve"> iade edilmesi amacıyla, yardım talep eden Tarafa iadesinin öncelikli olarak değerlendirilmesi talep edilmiş olsun. </w:t>
            </w:r>
          </w:p>
          <w:p w14:paraId="184DD4AC" w14:textId="575B01E9" w:rsidR="00A96CF3" w:rsidRPr="000E1BA8" w:rsidRDefault="00A96CF3" w:rsidP="00FE1759">
            <w:pPr>
              <w:rPr>
                <w:bCs/>
                <w:lang w:val="tr-TR"/>
              </w:rPr>
            </w:pPr>
            <w:r w:rsidRPr="000E1BA8">
              <w:rPr>
                <w:bCs/>
                <w:lang w:val="tr-TR"/>
              </w:rPr>
              <w:t xml:space="preserve">Doğrudan </w:t>
            </w:r>
            <w:r w:rsidR="00D44D99" w:rsidRPr="000E1BA8">
              <w:rPr>
                <w:bCs/>
                <w:lang w:val="tr-TR"/>
              </w:rPr>
              <w:t>Haberleşme İstisnası</w:t>
            </w:r>
          </w:p>
          <w:p w14:paraId="6FF934AC" w14:textId="298F413B" w:rsidR="00D44D99" w:rsidRPr="000E1BA8" w:rsidRDefault="002F6469" w:rsidP="00FE1759">
            <w:pPr>
              <w:rPr>
                <w:rFonts w:cs="Arial,Bold"/>
                <w:bCs/>
                <w:lang w:val="tr-TR"/>
              </w:rPr>
            </w:pPr>
            <w:r w:rsidRPr="000E1BA8">
              <w:rPr>
                <w:rFonts w:cs="Arial,Bold"/>
                <w:bCs/>
                <w:lang w:val="tr-TR"/>
              </w:rPr>
              <w:t>(</w:t>
            </w:r>
            <w:r w:rsidR="00840C5A" w:rsidRPr="000E1BA8">
              <w:rPr>
                <w:lang w:val="tr-TR"/>
              </w:rPr>
              <w:t>Varşova Sözleşmesi</w:t>
            </w:r>
            <w:r w:rsidR="00840C5A" w:rsidRPr="000E1BA8">
              <w:rPr>
                <w:rFonts w:cs="Arial,Bold"/>
                <w:bCs/>
                <w:lang w:val="tr-TR"/>
              </w:rPr>
              <w:t xml:space="preserve">, </w:t>
            </w:r>
            <w:r w:rsidRPr="000E1BA8">
              <w:rPr>
                <w:rFonts w:cs="Arial,Bold"/>
                <w:bCs/>
                <w:lang w:val="tr-TR"/>
              </w:rPr>
              <w:t>34</w:t>
            </w:r>
            <w:r w:rsidR="00840C5A" w:rsidRPr="000E1BA8">
              <w:rPr>
                <w:rFonts w:cs="Arial,Bold"/>
                <w:bCs/>
                <w:lang w:val="tr-TR"/>
              </w:rPr>
              <w:t>. madde</w:t>
            </w:r>
            <w:r w:rsidRPr="000E1BA8">
              <w:rPr>
                <w:rFonts w:cs="Arial,Bold"/>
                <w:bCs/>
                <w:lang w:val="tr-TR"/>
              </w:rPr>
              <w:t xml:space="preserve">) </w:t>
            </w:r>
            <w:proofErr w:type="spellStart"/>
            <w:r w:rsidR="00D44D99" w:rsidRPr="000E1BA8">
              <w:rPr>
                <w:rFonts w:cs="Arial,Bold"/>
                <w:bCs/>
                <w:lang w:val="tr-TR"/>
              </w:rPr>
              <w:t>Aciliyet</w:t>
            </w:r>
            <w:proofErr w:type="spellEnd"/>
            <w:r w:rsidR="00D44D99" w:rsidRPr="000E1BA8">
              <w:rPr>
                <w:rFonts w:cs="Arial,Bold"/>
                <w:bCs/>
                <w:lang w:val="tr-TR"/>
              </w:rPr>
              <w:t xml:space="preserve"> arz eden durumlarda, 34(2). </w:t>
            </w:r>
            <w:proofErr w:type="gramStart"/>
            <w:r w:rsidR="00D44D99" w:rsidRPr="000E1BA8">
              <w:rPr>
                <w:rFonts w:cs="Arial,Bold"/>
                <w:bCs/>
                <w:lang w:val="tr-TR"/>
              </w:rPr>
              <w:t>madde</w:t>
            </w:r>
            <w:proofErr w:type="gramEnd"/>
            <w:r w:rsidR="00D44D99" w:rsidRPr="000E1BA8">
              <w:rPr>
                <w:rFonts w:cs="Arial,Bold"/>
                <w:bCs/>
                <w:lang w:val="tr-TR"/>
              </w:rPr>
              <w:t xml:space="preserve"> uyarınca talepler doğrudan yargı makamları (savcılar da dahil olmak üzere) arasında gönderilebilir; ancak talebin bir örneği de merkezi makamlar üzerinden gönderilecektir. 34(3). </w:t>
            </w:r>
            <w:proofErr w:type="gramStart"/>
            <w:r w:rsidR="00D44D99" w:rsidRPr="000E1BA8">
              <w:rPr>
                <w:rFonts w:cs="Arial,Bold"/>
                <w:bCs/>
                <w:lang w:val="tr-TR"/>
              </w:rPr>
              <w:t>madde</w:t>
            </w:r>
            <w:proofErr w:type="gramEnd"/>
            <w:r w:rsidR="00D44D99" w:rsidRPr="000E1BA8">
              <w:rPr>
                <w:rFonts w:cs="Arial,Bold"/>
                <w:bCs/>
                <w:lang w:val="tr-TR"/>
              </w:rPr>
              <w:t xml:space="preserve"> uyarınca (İnterpol) üzerinden de bir haberleşme talebinde bulunulabilmektedir. 34(5). </w:t>
            </w:r>
            <w:proofErr w:type="gramStart"/>
            <w:r w:rsidR="00D44D99" w:rsidRPr="000E1BA8">
              <w:rPr>
                <w:rFonts w:cs="Arial,Bold"/>
                <w:bCs/>
                <w:lang w:val="tr-TR"/>
              </w:rPr>
              <w:t>madde</w:t>
            </w:r>
            <w:proofErr w:type="gramEnd"/>
            <w:r w:rsidR="00D44D99" w:rsidRPr="000E1BA8">
              <w:rPr>
                <w:rFonts w:cs="Arial,Bold"/>
                <w:bCs/>
                <w:lang w:val="tr-TR"/>
              </w:rPr>
              <w:t xml:space="preserve"> kapsamında cebri (zorlayıcı) nitelik taşımayan talepler doğrudan yetkili makamlar arasında iletilebilir. 34(6). </w:t>
            </w:r>
            <w:proofErr w:type="gramStart"/>
            <w:r w:rsidR="00D44D99" w:rsidRPr="000E1BA8">
              <w:rPr>
                <w:rFonts w:cs="Arial,Bold"/>
                <w:bCs/>
                <w:lang w:val="tr-TR"/>
              </w:rPr>
              <w:t>madde</w:t>
            </w:r>
            <w:proofErr w:type="gramEnd"/>
            <w:r w:rsidR="00D44D99" w:rsidRPr="000E1BA8">
              <w:rPr>
                <w:rFonts w:cs="Arial,Bold"/>
                <w:bCs/>
                <w:lang w:val="tr-TR"/>
              </w:rPr>
              <w:t xml:space="preserve"> uyarınca talep taslağının doğrudan iletilmesi mümkündür. </w:t>
            </w:r>
          </w:p>
          <w:p w14:paraId="3775C81F" w14:textId="408BA975" w:rsidR="002F6469" w:rsidRPr="000E1BA8" w:rsidRDefault="002F6469" w:rsidP="00FE1759">
            <w:pPr>
              <w:rPr>
                <w:lang w:val="tr-TR"/>
              </w:rPr>
            </w:pPr>
            <w:r w:rsidRPr="000E1BA8">
              <w:rPr>
                <w:lang w:val="tr-TR"/>
              </w:rPr>
              <w:t>(</w:t>
            </w:r>
            <w:r w:rsidR="007551E4" w:rsidRPr="000E1BA8">
              <w:rPr>
                <w:lang w:val="tr-TR"/>
              </w:rPr>
              <w:t xml:space="preserve">Budapeşte Sözleşmesi, </w:t>
            </w:r>
            <w:r w:rsidRPr="000E1BA8">
              <w:rPr>
                <w:lang w:val="tr-TR"/>
              </w:rPr>
              <w:t>27/9</w:t>
            </w:r>
            <w:r w:rsidR="007551E4" w:rsidRPr="000E1BA8">
              <w:rPr>
                <w:lang w:val="tr-TR"/>
              </w:rPr>
              <w:t>. madde</w:t>
            </w:r>
            <w:r w:rsidRPr="000E1BA8">
              <w:rPr>
                <w:lang w:val="tr-TR"/>
              </w:rPr>
              <w:t xml:space="preserve">) </w:t>
            </w:r>
            <w:r w:rsidR="00D44D99" w:rsidRPr="000E1BA8">
              <w:rPr>
                <w:lang w:val="tr-TR"/>
              </w:rPr>
              <w:t xml:space="preserve">de acil durumlar için benzer bir hüküm içermektedir. </w:t>
            </w:r>
          </w:p>
          <w:p w14:paraId="3C8B2E38" w14:textId="77777777" w:rsidR="002F6469" w:rsidRPr="000E1BA8" w:rsidRDefault="002F6469" w:rsidP="00FE1759">
            <w:pPr>
              <w:rPr>
                <w:lang w:val="tr-TR"/>
              </w:rPr>
            </w:pPr>
            <w:r w:rsidRPr="000E1BA8">
              <w:rPr>
                <w:lang w:val="tr-TR"/>
              </w:rPr>
              <w:lastRenderedPageBreak/>
              <w:t>24/7 network</w:t>
            </w:r>
          </w:p>
          <w:p w14:paraId="55235694" w14:textId="5765F3E4" w:rsidR="00925BD9" w:rsidRPr="000E1BA8" w:rsidRDefault="002F6469" w:rsidP="00FE1759">
            <w:pPr>
              <w:rPr>
                <w:lang w:val="tr-TR"/>
              </w:rPr>
            </w:pPr>
            <w:r w:rsidRPr="000E1BA8">
              <w:rPr>
                <w:lang w:val="tr-TR"/>
              </w:rPr>
              <w:t>(</w:t>
            </w:r>
            <w:r w:rsidR="00857FD3" w:rsidRPr="000E1BA8">
              <w:rPr>
                <w:lang w:val="tr-TR"/>
              </w:rPr>
              <w:t xml:space="preserve">Budapeşte Sözleşmesi, </w:t>
            </w:r>
            <w:r w:rsidRPr="000E1BA8">
              <w:rPr>
                <w:lang w:val="tr-TR"/>
              </w:rPr>
              <w:t>35</w:t>
            </w:r>
            <w:r w:rsidR="00857FD3" w:rsidRPr="000E1BA8">
              <w:rPr>
                <w:lang w:val="tr-TR"/>
              </w:rPr>
              <w:t>. madde</w:t>
            </w:r>
            <w:r w:rsidRPr="000E1BA8">
              <w:rPr>
                <w:lang w:val="tr-TR"/>
              </w:rPr>
              <w:t xml:space="preserve">): </w:t>
            </w:r>
            <w:r w:rsidR="00925BD9" w:rsidRPr="000E1BA8">
              <w:rPr>
                <w:lang w:val="tr-TR"/>
              </w:rPr>
              <w:t xml:space="preserve">Her bir Taraf, bilgisayar sistemleri ve verileriyle ilgili cezai suçlar konusundaki soruşturma ve yargılama veya cezai suçun elektronik biçimdeki delillerinin toplanması için anında yardım temin edilmesini sağlamak amacıyla haftanın 7 günü, günde 24 saat erişilebilecek bir irtibat noktası belirleyecektir. Söz konusu yardım şu tedbirlerin kolaylaştırılmasını </w:t>
            </w:r>
            <w:proofErr w:type="gramStart"/>
            <w:r w:rsidR="00925BD9" w:rsidRPr="000E1BA8">
              <w:rPr>
                <w:lang w:val="tr-TR"/>
              </w:rPr>
              <w:t>veya,</w:t>
            </w:r>
            <w:proofErr w:type="gramEnd"/>
            <w:r w:rsidR="00925BD9" w:rsidRPr="000E1BA8">
              <w:rPr>
                <w:lang w:val="tr-TR"/>
              </w:rPr>
              <w:t xml:space="preserve"> iç hukuk ve uygulamalarının izin vermesi halinde, doğrudan yürütülmesini içerecektir: teknik tavsiye sunulması; 29. ve 30. maddeler uyarınca verilerin muhafazası; delil toplanması, hukuki bilgi sağlanması ve şüphelilerin yerlerinin tespit edilmesi. </w:t>
            </w:r>
          </w:p>
          <w:p w14:paraId="6731125E" w14:textId="37A2A174" w:rsidR="002F6469" w:rsidRPr="000E1BA8" w:rsidRDefault="00840C5A" w:rsidP="00FE1759">
            <w:pPr>
              <w:rPr>
                <w:lang w:val="tr-TR"/>
              </w:rPr>
            </w:pPr>
            <w:r w:rsidRPr="000E1BA8">
              <w:rPr>
                <w:lang w:val="tr-TR"/>
              </w:rPr>
              <w:t>MİB</w:t>
            </w:r>
            <w:r w:rsidR="002F6469" w:rsidRPr="000E1BA8">
              <w:rPr>
                <w:lang w:val="tr-TR"/>
              </w:rPr>
              <w:t xml:space="preserve"> </w:t>
            </w:r>
            <w:proofErr w:type="gramStart"/>
            <w:r w:rsidRPr="000E1BA8">
              <w:rPr>
                <w:lang w:val="tr-TR"/>
              </w:rPr>
              <w:t>işbirliği</w:t>
            </w:r>
            <w:proofErr w:type="gramEnd"/>
          </w:p>
          <w:p w14:paraId="29D3AAF3" w14:textId="6AF8AAB2" w:rsidR="002F6469" w:rsidRPr="000E1BA8" w:rsidRDefault="002F6469" w:rsidP="00840C5A">
            <w:pPr>
              <w:rPr>
                <w:rFonts w:cs="Arial,Bold"/>
                <w:bCs/>
                <w:lang w:val="tr-TR"/>
              </w:rPr>
            </w:pPr>
            <w:r w:rsidRPr="000E1BA8">
              <w:rPr>
                <w:rFonts w:cs="Arial,Bold"/>
                <w:bCs/>
                <w:lang w:val="tr-TR"/>
              </w:rPr>
              <w:t>(</w:t>
            </w:r>
            <w:r w:rsidR="00840C5A" w:rsidRPr="000E1BA8">
              <w:rPr>
                <w:lang w:val="tr-TR"/>
              </w:rPr>
              <w:t>Varşova Sözleşmesi,</w:t>
            </w:r>
            <w:r w:rsidR="00840C5A" w:rsidRPr="000E1BA8">
              <w:rPr>
                <w:bCs/>
                <w:lang w:val="tr-TR"/>
              </w:rPr>
              <w:t xml:space="preserve"> </w:t>
            </w:r>
            <w:r w:rsidRPr="000E1BA8">
              <w:rPr>
                <w:bCs/>
                <w:lang w:val="tr-TR"/>
              </w:rPr>
              <w:t>V</w:t>
            </w:r>
            <w:r w:rsidR="00840C5A" w:rsidRPr="000E1BA8">
              <w:rPr>
                <w:bCs/>
                <w:lang w:val="tr-TR"/>
              </w:rPr>
              <w:t>. Kısım</w:t>
            </w:r>
            <w:r w:rsidRPr="000E1BA8">
              <w:rPr>
                <w:bCs/>
                <w:lang w:val="tr-TR"/>
              </w:rPr>
              <w:t xml:space="preserve">, </w:t>
            </w:r>
            <w:r w:rsidRPr="000E1BA8">
              <w:rPr>
                <w:rFonts w:cs="Arial,Bold"/>
                <w:bCs/>
                <w:lang w:val="tr-TR"/>
              </w:rPr>
              <w:t xml:space="preserve">46 </w:t>
            </w:r>
            <w:r w:rsidR="00840C5A" w:rsidRPr="000E1BA8">
              <w:rPr>
                <w:rFonts w:cs="Arial,Bold"/>
                <w:bCs/>
                <w:lang w:val="tr-TR"/>
              </w:rPr>
              <w:t xml:space="preserve">ve </w:t>
            </w:r>
            <w:r w:rsidRPr="000E1BA8">
              <w:rPr>
                <w:rFonts w:cs="Arial,Bold"/>
                <w:bCs/>
                <w:lang w:val="tr-TR"/>
              </w:rPr>
              <w:t>47</w:t>
            </w:r>
            <w:r w:rsidR="00840C5A" w:rsidRPr="000E1BA8">
              <w:rPr>
                <w:rFonts w:cs="Arial,Bold"/>
                <w:bCs/>
                <w:lang w:val="tr-TR"/>
              </w:rPr>
              <w:t>. madde</w:t>
            </w:r>
            <w:r w:rsidRPr="000E1BA8">
              <w:rPr>
                <w:rFonts w:cs="Arial,Bold"/>
                <w:bCs/>
                <w:lang w:val="tr-TR"/>
              </w:rPr>
              <w:t xml:space="preserve">): </w:t>
            </w:r>
            <w:proofErr w:type="spellStart"/>
            <w:proofErr w:type="gramStart"/>
            <w:r w:rsidR="00925BD9" w:rsidRPr="000E1BA8">
              <w:rPr>
                <w:rFonts w:cs="Arial,Bold"/>
                <w:bCs/>
                <w:lang w:val="tr-TR"/>
              </w:rPr>
              <w:t>MİB’ler</w:t>
            </w:r>
            <w:proofErr w:type="spellEnd"/>
            <w:r w:rsidR="001000B0" w:rsidRPr="000E1BA8">
              <w:rPr>
                <w:rFonts w:cs="Arial,Bold"/>
                <w:bCs/>
                <w:lang w:val="tr-TR"/>
              </w:rPr>
              <w:t>,</w:t>
            </w:r>
            <w:proofErr w:type="gramEnd"/>
            <w:r w:rsidR="001000B0" w:rsidRPr="000E1BA8">
              <w:rPr>
                <w:rFonts w:cs="Arial,Bold"/>
                <w:bCs/>
                <w:lang w:val="tr-TR"/>
              </w:rPr>
              <w:t xml:space="preserve"> ya bu Sözleşme uyarınca ya da bu Sözleşme ile bağdaşır nitelikteki</w:t>
            </w:r>
            <w:r w:rsidR="00925BD9" w:rsidRPr="000E1BA8">
              <w:rPr>
                <w:rFonts w:cs="Arial,Bold"/>
                <w:bCs/>
                <w:lang w:val="tr-TR"/>
              </w:rPr>
              <w:t xml:space="preserve"> </w:t>
            </w:r>
            <w:r w:rsidR="001000B0" w:rsidRPr="000E1BA8">
              <w:rPr>
                <w:rFonts w:cs="Arial,Bold"/>
                <w:bCs/>
                <w:lang w:val="tr-TR"/>
              </w:rPr>
              <w:t xml:space="preserve">mevcut veya müstakbel bir mutabakat anlaşması uyarınca, </w:t>
            </w:r>
            <w:r w:rsidR="00925BD9" w:rsidRPr="000E1BA8">
              <w:rPr>
                <w:rFonts w:cs="Arial,Bold"/>
                <w:bCs/>
                <w:lang w:val="tr-TR"/>
              </w:rPr>
              <w:t>kara paranın aklanmasıyl</w:t>
            </w:r>
            <w:r w:rsidR="001000B0" w:rsidRPr="000E1BA8">
              <w:rPr>
                <w:rFonts w:cs="Arial,Bold"/>
                <w:bCs/>
                <w:lang w:val="tr-TR"/>
              </w:rPr>
              <w:t>a bağlantılı finansal işlemlere ve</w:t>
            </w:r>
            <w:r w:rsidR="00925BD9" w:rsidRPr="000E1BA8">
              <w:rPr>
                <w:rFonts w:cs="Arial,Bold"/>
                <w:bCs/>
                <w:lang w:val="tr-TR"/>
              </w:rPr>
              <w:t xml:space="preserve"> buna dahil olan </w:t>
            </w:r>
            <w:r w:rsidR="001000B0" w:rsidRPr="000E1BA8">
              <w:rPr>
                <w:rFonts w:cs="Arial,Bold"/>
                <w:bCs/>
                <w:lang w:val="tr-TR"/>
              </w:rPr>
              <w:t xml:space="preserve">gerçek veya tüzel kişilere ilişkin bilgi analizi veya işlenmesi ya da, uygun hallerde, MİB soruşturması bakımından önem arz edebilecek her türlü erişilebilir bilgiyi kendiliğinden veya talep üzerine mübadele eder. </w:t>
            </w:r>
            <w:r w:rsidRPr="000E1BA8">
              <w:rPr>
                <w:rFonts w:cs="Arial,Bold"/>
                <w:bCs/>
                <w:lang w:val="tr-TR"/>
              </w:rPr>
              <w:t>47</w:t>
            </w:r>
            <w:r w:rsidR="00840C5A" w:rsidRPr="000E1BA8">
              <w:rPr>
                <w:rFonts w:cs="Arial,Bold"/>
                <w:bCs/>
                <w:lang w:val="tr-TR"/>
              </w:rPr>
              <w:t>. madde</w:t>
            </w:r>
            <w:r w:rsidRPr="000E1BA8">
              <w:rPr>
                <w:rFonts w:cs="Arial,Bold"/>
                <w:bCs/>
                <w:lang w:val="tr-TR"/>
              </w:rPr>
              <w:t xml:space="preserve">: </w:t>
            </w:r>
            <w:proofErr w:type="spellStart"/>
            <w:r w:rsidR="001000B0" w:rsidRPr="000E1BA8">
              <w:rPr>
                <w:rFonts w:cs="Arial,Bold"/>
                <w:bCs/>
                <w:lang w:val="tr-TR"/>
              </w:rPr>
              <w:t>MİB’in</w:t>
            </w:r>
            <w:proofErr w:type="spellEnd"/>
            <w:r w:rsidR="001000B0" w:rsidRPr="000E1BA8">
              <w:rPr>
                <w:rFonts w:cs="Arial,Bold"/>
                <w:bCs/>
                <w:lang w:val="tr-TR"/>
              </w:rPr>
              <w:t xml:space="preserve"> şüpheli işlemleri geciktirmesi. </w:t>
            </w:r>
          </w:p>
        </w:tc>
      </w:tr>
      <w:tr w:rsidR="002F6469" w:rsidRPr="000E1BA8" w14:paraId="6B72AA52" w14:textId="77777777" w:rsidTr="00857FD3">
        <w:trPr>
          <w:trHeight w:val="800"/>
        </w:trPr>
        <w:tc>
          <w:tcPr>
            <w:tcW w:w="1615" w:type="dxa"/>
          </w:tcPr>
          <w:p w14:paraId="27BA37F0" w14:textId="59571CF1"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15</w:t>
            </w:r>
          </w:p>
        </w:tc>
        <w:tc>
          <w:tcPr>
            <w:tcW w:w="7395" w:type="dxa"/>
          </w:tcPr>
          <w:p w14:paraId="60B94EF2" w14:textId="4016837D" w:rsidR="001000B0" w:rsidRPr="000E1BA8" w:rsidRDefault="001000B0" w:rsidP="00FE1759">
            <w:pPr>
              <w:rPr>
                <w:lang w:val="tr-TR"/>
              </w:rPr>
            </w:pPr>
            <w:r w:rsidRPr="000E1BA8">
              <w:rPr>
                <w:lang w:val="tr-TR"/>
              </w:rPr>
              <w:t xml:space="preserve">Eğitmen katılımcılarla şu soruları tartışmaya açmalıdır: </w:t>
            </w:r>
          </w:p>
          <w:p w14:paraId="3ABF29A1" w14:textId="25383CCD" w:rsidR="001000B0" w:rsidRPr="000E1BA8" w:rsidRDefault="001000B0" w:rsidP="00FE1759">
            <w:pPr>
              <w:pStyle w:val="ListParagraph"/>
              <w:numPr>
                <w:ilvl w:val="0"/>
                <w:numId w:val="38"/>
              </w:numPr>
              <w:rPr>
                <w:lang w:val="tr-TR"/>
              </w:rPr>
            </w:pPr>
            <w:r w:rsidRPr="000E1BA8">
              <w:rPr>
                <w:lang w:val="tr-TR"/>
              </w:rPr>
              <w:t>Varşova ve Siber Suçlar Sözleşmeleri bakımından ulusal merkezi makam kimdir?</w:t>
            </w:r>
          </w:p>
          <w:p w14:paraId="5BCC21C0" w14:textId="4CD8FA5E" w:rsidR="001000B0" w:rsidRPr="000E1BA8" w:rsidRDefault="001000B0" w:rsidP="00FE1759">
            <w:pPr>
              <w:pStyle w:val="ListParagraph"/>
              <w:numPr>
                <w:ilvl w:val="0"/>
                <w:numId w:val="38"/>
              </w:numPr>
              <w:rPr>
                <w:lang w:val="tr-TR"/>
              </w:rPr>
            </w:pPr>
            <w:r w:rsidRPr="000E1BA8">
              <w:rPr>
                <w:lang w:val="tr-TR"/>
              </w:rPr>
              <w:t>CARIN, EGMONT Grubu ve 7/24 Ağı açısından irtibat noktası kimdir?</w:t>
            </w:r>
          </w:p>
          <w:p w14:paraId="79814775" w14:textId="3B792D5E" w:rsidR="001000B0" w:rsidRPr="000E1BA8" w:rsidRDefault="001000B0" w:rsidP="00FE1759">
            <w:pPr>
              <w:pStyle w:val="ListParagraph"/>
              <w:numPr>
                <w:ilvl w:val="0"/>
                <w:numId w:val="38"/>
              </w:numPr>
              <w:rPr>
                <w:lang w:val="tr-TR"/>
              </w:rPr>
            </w:pPr>
            <w:r w:rsidRPr="000E1BA8">
              <w:rPr>
                <w:lang w:val="tr-TR"/>
              </w:rPr>
              <w:t>Kurulu bir Malvarlığı Müsadere Kuruluşu var mı?</w:t>
            </w:r>
          </w:p>
          <w:p w14:paraId="32CE3522" w14:textId="4D0E6F50" w:rsidR="001000B0" w:rsidRPr="000E1BA8" w:rsidRDefault="001000B0" w:rsidP="00FE1759">
            <w:pPr>
              <w:pStyle w:val="ListParagraph"/>
              <w:numPr>
                <w:ilvl w:val="0"/>
                <w:numId w:val="38"/>
              </w:numPr>
              <w:rPr>
                <w:lang w:val="tr-TR"/>
              </w:rPr>
            </w:pPr>
            <w:r w:rsidRPr="000E1BA8">
              <w:rPr>
                <w:lang w:val="tr-TR"/>
              </w:rPr>
              <w:t>AKAS 198 Tarafları Konferansı, MONEYVAL ve T-</w:t>
            </w:r>
            <w:proofErr w:type="spellStart"/>
            <w:r w:rsidRPr="000E1BA8">
              <w:rPr>
                <w:lang w:val="tr-TR"/>
              </w:rPr>
              <w:t>CY’nin</w:t>
            </w:r>
            <w:proofErr w:type="spellEnd"/>
            <w:r w:rsidRPr="000E1BA8">
              <w:rPr>
                <w:lang w:val="tr-TR"/>
              </w:rPr>
              <w:t xml:space="preserve"> ulusal üyesi kimdir?</w:t>
            </w:r>
          </w:p>
          <w:p w14:paraId="3DD12EB3" w14:textId="24789217" w:rsidR="001000B0" w:rsidRPr="000E1BA8" w:rsidRDefault="001000B0" w:rsidP="00FE1759">
            <w:pPr>
              <w:rPr>
                <w:lang w:val="tr-TR"/>
              </w:rPr>
            </w:pPr>
            <w:r w:rsidRPr="000E1BA8">
              <w:rPr>
                <w:lang w:val="tr-TR"/>
              </w:rPr>
              <w:t xml:space="preserve">Şu konulardaki iç mevzuat: </w:t>
            </w:r>
          </w:p>
          <w:p w14:paraId="0AEF9067" w14:textId="543387BC" w:rsidR="002F6469" w:rsidRPr="000E1BA8" w:rsidRDefault="001000B0" w:rsidP="00FE1759">
            <w:pPr>
              <w:pStyle w:val="ListParagraph"/>
              <w:numPr>
                <w:ilvl w:val="0"/>
                <w:numId w:val="39"/>
              </w:numPr>
              <w:rPr>
                <w:lang w:val="tr-TR"/>
              </w:rPr>
            </w:pPr>
            <w:proofErr w:type="spellStart"/>
            <w:r w:rsidRPr="000E1BA8">
              <w:rPr>
                <w:lang w:val="tr-TR"/>
              </w:rPr>
              <w:t>OSE’ler</w:t>
            </w:r>
            <w:proofErr w:type="spellEnd"/>
            <w:r w:rsidRPr="000E1BA8">
              <w:rPr>
                <w:lang w:val="tr-TR"/>
              </w:rPr>
              <w:t>, para</w:t>
            </w:r>
            <w:r w:rsidR="002F6469" w:rsidRPr="000E1BA8">
              <w:rPr>
                <w:lang w:val="tr-TR"/>
              </w:rPr>
              <w:t xml:space="preserve">lel </w:t>
            </w:r>
            <w:r w:rsidRPr="000E1BA8">
              <w:rPr>
                <w:lang w:val="tr-TR"/>
              </w:rPr>
              <w:t>soruşturma</w:t>
            </w:r>
            <w:r w:rsidR="002F6469" w:rsidRPr="000E1BA8">
              <w:rPr>
                <w:lang w:val="tr-TR"/>
              </w:rPr>
              <w:t xml:space="preserve">, </w:t>
            </w:r>
          </w:p>
          <w:p w14:paraId="2E00B028" w14:textId="724A82DF" w:rsidR="002F6469" w:rsidRPr="000E1BA8" w:rsidRDefault="001000B0" w:rsidP="001000B0">
            <w:pPr>
              <w:rPr>
                <w:rFonts w:eastAsia="Times New Roman" w:cs="Times New Roman"/>
                <w:lang w:val="tr-TR"/>
              </w:rPr>
            </w:pPr>
            <w:r w:rsidRPr="000E1BA8">
              <w:rPr>
                <w:lang w:val="tr-TR"/>
              </w:rPr>
              <w:t>Karşılıklı adli yardım</w:t>
            </w:r>
            <w:r w:rsidR="002F6469" w:rsidRPr="000E1BA8">
              <w:rPr>
                <w:lang w:val="tr-TR"/>
              </w:rPr>
              <w:t>.</w:t>
            </w:r>
          </w:p>
        </w:tc>
      </w:tr>
      <w:tr w:rsidR="002F6469" w:rsidRPr="000E1BA8" w14:paraId="1B8AB909" w14:textId="77777777" w:rsidTr="00857FD3">
        <w:trPr>
          <w:trHeight w:val="800"/>
        </w:trPr>
        <w:tc>
          <w:tcPr>
            <w:tcW w:w="1615" w:type="dxa"/>
          </w:tcPr>
          <w:p w14:paraId="13422CF4" w14:textId="2F8BA3F1" w:rsidR="002F6469" w:rsidRPr="000E1BA8" w:rsidRDefault="00A736B2" w:rsidP="00FE1759">
            <w:pPr>
              <w:rPr>
                <w:color w:val="000000" w:themeColor="text1"/>
                <w:lang w:val="tr-TR"/>
              </w:rPr>
            </w:pPr>
            <w:r w:rsidRPr="000E1BA8">
              <w:rPr>
                <w:lang w:val="tr-TR"/>
              </w:rPr>
              <w:t>Slayt</w:t>
            </w:r>
            <w:r w:rsidR="002F6469" w:rsidRPr="000E1BA8">
              <w:rPr>
                <w:lang w:val="tr-TR"/>
              </w:rPr>
              <w:t xml:space="preserve"> 16-32</w:t>
            </w:r>
          </w:p>
        </w:tc>
        <w:tc>
          <w:tcPr>
            <w:tcW w:w="7395" w:type="dxa"/>
          </w:tcPr>
          <w:p w14:paraId="6CC34DC0" w14:textId="23DC2491" w:rsidR="002F6469" w:rsidRPr="000E1BA8" w:rsidRDefault="001000B0" w:rsidP="00FE1759">
            <w:pPr>
              <w:rPr>
                <w:lang w:val="tr-TR"/>
              </w:rPr>
            </w:pPr>
            <w:r w:rsidRPr="000E1BA8">
              <w:rPr>
                <w:lang w:val="tr-TR"/>
              </w:rPr>
              <w:t>Bu</w:t>
            </w:r>
            <w:r w:rsidR="002F6469" w:rsidRPr="000E1BA8">
              <w:rPr>
                <w:lang w:val="tr-TR"/>
              </w:rPr>
              <w:t xml:space="preserve"> </w:t>
            </w:r>
            <w:r w:rsidRPr="000E1BA8">
              <w:rPr>
                <w:lang w:val="tr-TR"/>
              </w:rPr>
              <w:t>s</w:t>
            </w:r>
            <w:r w:rsidR="00A736B2" w:rsidRPr="000E1BA8">
              <w:rPr>
                <w:lang w:val="tr-TR"/>
              </w:rPr>
              <w:t>layt</w:t>
            </w:r>
            <w:r w:rsidRPr="000E1BA8">
              <w:rPr>
                <w:lang w:val="tr-TR"/>
              </w:rPr>
              <w:t xml:space="preserve">larda uluslararası </w:t>
            </w:r>
            <w:proofErr w:type="gramStart"/>
            <w:r w:rsidRPr="000E1BA8">
              <w:rPr>
                <w:lang w:val="tr-TR"/>
              </w:rPr>
              <w:t>işbirliği</w:t>
            </w:r>
            <w:proofErr w:type="gramEnd"/>
            <w:r w:rsidRPr="000E1BA8">
              <w:rPr>
                <w:lang w:val="tr-TR"/>
              </w:rPr>
              <w:t xml:space="preserve"> yönündeki herhangi bir girişim sırasında yaşanabilecek fiili sorunlardan bahsedilmektedir. Eğitmen bu slaytları, katılımcılara, uluslararası </w:t>
            </w:r>
            <w:proofErr w:type="gramStart"/>
            <w:r w:rsidRPr="000E1BA8">
              <w:rPr>
                <w:lang w:val="tr-TR"/>
              </w:rPr>
              <w:t>işbirliği</w:t>
            </w:r>
            <w:proofErr w:type="gramEnd"/>
            <w:r w:rsidRPr="000E1BA8">
              <w:rPr>
                <w:lang w:val="tr-TR"/>
              </w:rPr>
              <w:t xml:space="preserve"> sağlama yetkilerini kullanırken göz önünde bulundurmaları gereken çeşitli faktörleri göstermek amacıyla kullanmalıdır. </w:t>
            </w:r>
          </w:p>
        </w:tc>
      </w:tr>
      <w:tr w:rsidR="002F6469" w:rsidRPr="000E1BA8" w14:paraId="2753474A" w14:textId="77777777" w:rsidTr="00857FD3">
        <w:trPr>
          <w:trHeight w:val="800"/>
        </w:trPr>
        <w:tc>
          <w:tcPr>
            <w:tcW w:w="1615" w:type="dxa"/>
          </w:tcPr>
          <w:p w14:paraId="13A0D65A" w14:textId="3CFFB8AF" w:rsidR="002F6469" w:rsidRPr="000E1BA8" w:rsidRDefault="00A736B2" w:rsidP="00FE1759">
            <w:pPr>
              <w:rPr>
                <w:color w:val="000000" w:themeColor="text1"/>
                <w:lang w:val="tr-TR"/>
              </w:rPr>
            </w:pPr>
            <w:r w:rsidRPr="000E1BA8">
              <w:rPr>
                <w:lang w:val="tr-TR"/>
              </w:rPr>
              <w:t>Slayt</w:t>
            </w:r>
            <w:r w:rsidR="002F6469" w:rsidRPr="000E1BA8">
              <w:rPr>
                <w:lang w:val="tr-TR"/>
              </w:rPr>
              <w:t xml:space="preserve"> 33</w:t>
            </w:r>
          </w:p>
        </w:tc>
        <w:tc>
          <w:tcPr>
            <w:tcW w:w="7395" w:type="dxa"/>
          </w:tcPr>
          <w:p w14:paraId="4F73A644" w14:textId="70F14018" w:rsidR="001000B0" w:rsidRPr="000E1BA8" w:rsidRDefault="001000B0" w:rsidP="00FE1759">
            <w:pPr>
              <w:rPr>
                <w:lang w:val="tr-TR"/>
              </w:rPr>
            </w:pPr>
            <w:r w:rsidRPr="000E1BA8">
              <w:rPr>
                <w:lang w:val="tr-TR"/>
              </w:rPr>
              <w:t xml:space="preserve">Eğitmen katılımcılarla şu hususları ele almalıdır: </w:t>
            </w:r>
          </w:p>
          <w:p w14:paraId="1D13ECF9" w14:textId="77777777" w:rsidR="00517CCD" w:rsidRPr="000E1BA8" w:rsidRDefault="00B10797" w:rsidP="00A568CF">
            <w:pPr>
              <w:pStyle w:val="ListParagraph"/>
              <w:numPr>
                <w:ilvl w:val="0"/>
                <w:numId w:val="40"/>
              </w:numPr>
              <w:rPr>
                <w:lang w:val="tr-TR"/>
              </w:rPr>
            </w:pPr>
            <w:r w:rsidRPr="000E1BA8">
              <w:rPr>
                <w:lang w:val="tr-TR"/>
              </w:rPr>
              <w:t xml:space="preserve">Uluslararası </w:t>
            </w:r>
            <w:proofErr w:type="gramStart"/>
            <w:r w:rsidRPr="000E1BA8">
              <w:rPr>
                <w:lang w:val="tr-TR"/>
              </w:rPr>
              <w:t>işbirliğine</w:t>
            </w:r>
            <w:proofErr w:type="gramEnd"/>
            <w:r w:rsidRPr="000E1BA8">
              <w:rPr>
                <w:lang w:val="tr-TR"/>
              </w:rPr>
              <w:t xml:space="preserve"> dahil olan ulusal makamlar hangileridir: bilgi alışverişi, KAY veya işlemlerin geciktirilmesi?</w:t>
            </w:r>
          </w:p>
          <w:p w14:paraId="2076BBE4" w14:textId="77777777" w:rsidR="00517CCD" w:rsidRPr="000E1BA8" w:rsidRDefault="00B10797" w:rsidP="00A568CF">
            <w:pPr>
              <w:pStyle w:val="ListParagraph"/>
              <w:numPr>
                <w:ilvl w:val="0"/>
                <w:numId w:val="40"/>
              </w:numPr>
              <w:rPr>
                <w:lang w:val="tr-TR"/>
              </w:rPr>
            </w:pPr>
            <w:r w:rsidRPr="000E1BA8">
              <w:rPr>
                <w:lang w:val="tr-TR"/>
              </w:rPr>
              <w:t>Konuyla ilgili ağlar ve kuruluşlar? Ulusal irtibat noktaları kimlerdir?</w:t>
            </w:r>
          </w:p>
          <w:p w14:paraId="0612CC7C" w14:textId="77777777" w:rsidR="00517CCD" w:rsidRPr="000E1BA8" w:rsidRDefault="00B10797" w:rsidP="00A568CF">
            <w:pPr>
              <w:pStyle w:val="ListParagraph"/>
              <w:numPr>
                <w:ilvl w:val="0"/>
                <w:numId w:val="40"/>
              </w:numPr>
              <w:rPr>
                <w:lang w:val="tr-TR"/>
              </w:rPr>
            </w:pPr>
            <w:r w:rsidRPr="000E1BA8">
              <w:rPr>
                <w:lang w:val="tr-TR"/>
              </w:rPr>
              <w:t>Varşova ve Budapeşte Sözleşmesi kapsamındaki merkezi makam kimdir?</w:t>
            </w:r>
          </w:p>
          <w:p w14:paraId="1A3B5C6F" w14:textId="2448319B" w:rsidR="00517CCD" w:rsidRPr="000E1BA8" w:rsidRDefault="00B10797" w:rsidP="00A568CF">
            <w:pPr>
              <w:pStyle w:val="ListParagraph"/>
              <w:numPr>
                <w:ilvl w:val="0"/>
                <w:numId w:val="40"/>
              </w:numPr>
              <w:rPr>
                <w:lang w:val="tr-TR"/>
              </w:rPr>
            </w:pPr>
            <w:r w:rsidRPr="000E1BA8">
              <w:rPr>
                <w:lang w:val="tr-TR"/>
              </w:rPr>
              <w:t xml:space="preserve">Varşova ve Budapeşte Sözleşmesi’ne dayanarak hangi bilgiler talep edilebilir ve hangi </w:t>
            </w:r>
            <w:proofErr w:type="spellStart"/>
            <w:r w:rsidRPr="000E1BA8">
              <w:rPr>
                <w:lang w:val="tr-TR"/>
              </w:rPr>
              <w:t>usul</w:t>
            </w:r>
            <w:r w:rsidR="00A568CF" w:rsidRPr="000E1BA8">
              <w:rPr>
                <w:lang w:val="tr-TR"/>
              </w:rPr>
              <w:t>i</w:t>
            </w:r>
            <w:proofErr w:type="spellEnd"/>
            <w:r w:rsidRPr="000E1BA8">
              <w:rPr>
                <w:lang w:val="tr-TR"/>
              </w:rPr>
              <w:t xml:space="preserve"> taleplerde bulunulabilir?</w:t>
            </w:r>
          </w:p>
          <w:p w14:paraId="7255C851" w14:textId="63138B4A" w:rsidR="00517CCD" w:rsidRPr="000E1BA8" w:rsidRDefault="00B10797" w:rsidP="00A568CF">
            <w:pPr>
              <w:pStyle w:val="ListParagraph"/>
              <w:numPr>
                <w:ilvl w:val="0"/>
                <w:numId w:val="40"/>
              </w:numPr>
              <w:rPr>
                <w:lang w:val="tr-TR"/>
              </w:rPr>
            </w:pPr>
            <w:r w:rsidRPr="000E1BA8">
              <w:rPr>
                <w:lang w:val="tr-TR"/>
              </w:rPr>
              <w:t xml:space="preserve">Uluslararası </w:t>
            </w:r>
            <w:proofErr w:type="gramStart"/>
            <w:r w:rsidRPr="000E1BA8">
              <w:rPr>
                <w:lang w:val="tr-TR"/>
              </w:rPr>
              <w:t>işbirliği</w:t>
            </w:r>
            <w:proofErr w:type="gramEnd"/>
            <w:r w:rsidRPr="000E1BA8">
              <w:rPr>
                <w:lang w:val="tr-TR"/>
              </w:rPr>
              <w:t xml:space="preserve"> </w:t>
            </w:r>
            <w:r w:rsidR="00DD3B11">
              <w:rPr>
                <w:lang w:val="tr-TR"/>
              </w:rPr>
              <w:t>konusundaki ulusal mevzuat ne</w:t>
            </w:r>
            <w:r w:rsidRPr="000E1BA8">
              <w:rPr>
                <w:lang w:val="tr-TR"/>
              </w:rPr>
              <w:t>dir (polis, savcılık, KAY?)</w:t>
            </w:r>
          </w:p>
          <w:p w14:paraId="5FF2BBE4" w14:textId="34F3E722" w:rsidR="00517CCD" w:rsidRPr="000E1BA8" w:rsidRDefault="00DD3B11" w:rsidP="00A568CF">
            <w:pPr>
              <w:pStyle w:val="ListParagraph"/>
              <w:numPr>
                <w:ilvl w:val="0"/>
                <w:numId w:val="40"/>
              </w:numPr>
              <w:rPr>
                <w:lang w:val="tr-TR"/>
              </w:rPr>
            </w:pPr>
            <w:r>
              <w:rPr>
                <w:lang w:val="tr-TR"/>
              </w:rPr>
              <w:t>ABD’de Internet</w:t>
            </w:r>
            <w:r w:rsidR="002D1DF5" w:rsidRPr="002D1DF5">
              <w:rPr>
                <w:lang w:val="tr-TR"/>
              </w:rPr>
              <w:t xml:space="preserve"> </w:t>
            </w:r>
            <w:r>
              <w:rPr>
                <w:lang w:val="tr-TR"/>
              </w:rPr>
              <w:t>Hizmet Sağlayıcılarla (I</w:t>
            </w:r>
            <w:r w:rsidR="00A568CF" w:rsidRPr="002D1DF5">
              <w:rPr>
                <w:lang w:val="tr-TR"/>
              </w:rPr>
              <w:t>SP’ler)</w:t>
            </w:r>
            <w:r w:rsidR="00B10797" w:rsidRPr="000E1BA8">
              <w:rPr>
                <w:lang w:val="tr-TR"/>
              </w:rPr>
              <w:t xml:space="preserve"> doğrudan </w:t>
            </w:r>
            <w:proofErr w:type="gramStart"/>
            <w:r w:rsidR="00B10797" w:rsidRPr="000E1BA8">
              <w:rPr>
                <w:lang w:val="tr-TR"/>
              </w:rPr>
              <w:t>işbirliği</w:t>
            </w:r>
            <w:proofErr w:type="gramEnd"/>
            <w:r w:rsidR="00B10797" w:rsidRPr="000E1BA8">
              <w:rPr>
                <w:lang w:val="tr-TR"/>
              </w:rPr>
              <w:t xml:space="preserve"> konusunda uygulama nedir? </w:t>
            </w:r>
          </w:p>
          <w:p w14:paraId="28ED7C51" w14:textId="576EA35B" w:rsidR="002F6469" w:rsidRPr="000E1BA8" w:rsidRDefault="00B10797" w:rsidP="000E1BA8">
            <w:pPr>
              <w:pStyle w:val="ListParagraph"/>
              <w:numPr>
                <w:ilvl w:val="0"/>
                <w:numId w:val="40"/>
              </w:numPr>
              <w:rPr>
                <w:lang w:val="tr-TR"/>
              </w:rPr>
            </w:pPr>
            <w:r w:rsidRPr="000E1BA8">
              <w:rPr>
                <w:lang w:val="tr-TR"/>
              </w:rPr>
              <w:t>KAY/İSTATİSTİKLER hakkında bilgi?</w:t>
            </w:r>
          </w:p>
          <w:p w14:paraId="4A7DCF9F" w14:textId="5792E060" w:rsidR="000E1BA8" w:rsidRPr="000E1BA8" w:rsidRDefault="000E1BA8" w:rsidP="00FE1759">
            <w:pPr>
              <w:pStyle w:val="ListParagraph"/>
              <w:numPr>
                <w:ilvl w:val="0"/>
                <w:numId w:val="39"/>
              </w:numPr>
              <w:rPr>
                <w:lang w:val="tr-TR"/>
              </w:rPr>
            </w:pPr>
            <w:r w:rsidRPr="000E1BA8">
              <w:rPr>
                <w:lang w:val="tr-TR"/>
              </w:rPr>
              <w:t>Sınır ötesi mali soruşturma ve bilgi alışverişi sayısı</w:t>
            </w:r>
          </w:p>
          <w:p w14:paraId="38B6A602" w14:textId="147D829B" w:rsidR="000E1BA8" w:rsidRPr="000E1BA8" w:rsidRDefault="000E1BA8" w:rsidP="00FE1759">
            <w:pPr>
              <w:pStyle w:val="ListParagraph"/>
              <w:numPr>
                <w:ilvl w:val="0"/>
                <w:numId w:val="39"/>
              </w:numPr>
              <w:rPr>
                <w:lang w:val="tr-TR"/>
              </w:rPr>
            </w:pPr>
            <w:r w:rsidRPr="000E1BA8">
              <w:rPr>
                <w:lang w:val="tr-TR"/>
              </w:rPr>
              <w:lastRenderedPageBreak/>
              <w:t>Banka verilerine ilişkin kararlara yönelik KAY taleplerinin sayısı (gelen/giden)</w:t>
            </w:r>
          </w:p>
          <w:p w14:paraId="4FA5ADC6" w14:textId="2E084070" w:rsidR="000E1BA8" w:rsidRPr="000E1BA8" w:rsidRDefault="000E1BA8" w:rsidP="00FE1759">
            <w:pPr>
              <w:pStyle w:val="ListParagraph"/>
              <w:numPr>
                <w:ilvl w:val="0"/>
                <w:numId w:val="39"/>
              </w:numPr>
              <w:rPr>
                <w:lang w:val="tr-TR"/>
              </w:rPr>
            </w:pPr>
            <w:r w:rsidRPr="000E1BA8">
              <w:rPr>
                <w:lang w:val="tr-TR"/>
              </w:rPr>
              <w:t>Dondurma/müsadere kararlarına yönelik KAY taleplerinin sayısı (gelen/giden)</w:t>
            </w:r>
          </w:p>
          <w:p w14:paraId="1C4BE9C1" w14:textId="6FAC7D1F" w:rsidR="002F6469" w:rsidRPr="000E1BA8" w:rsidRDefault="000E1BA8" w:rsidP="000E1BA8">
            <w:pPr>
              <w:pStyle w:val="ListParagraph"/>
              <w:numPr>
                <w:ilvl w:val="0"/>
                <w:numId w:val="39"/>
              </w:numPr>
              <w:rPr>
                <w:bCs/>
                <w:lang w:val="tr-TR"/>
              </w:rPr>
            </w:pPr>
            <w:r w:rsidRPr="000E1BA8">
              <w:rPr>
                <w:bCs/>
                <w:lang w:val="tr-TR"/>
              </w:rPr>
              <w:t>Siber suç olaylarındaki KAY taleplerinin, abonelik, trafik ve içerik verilerine, e-delillere y</w:t>
            </w:r>
            <w:bookmarkStart w:id="0" w:name="_GoBack"/>
            <w:bookmarkEnd w:id="0"/>
            <w:r w:rsidRPr="000E1BA8">
              <w:rPr>
                <w:bCs/>
                <w:lang w:val="tr-TR"/>
              </w:rPr>
              <w:t>önelik KAY taleplerinin sayısı.</w:t>
            </w:r>
          </w:p>
        </w:tc>
      </w:tr>
      <w:tr w:rsidR="002F6469" w:rsidRPr="000E1BA8" w14:paraId="0FD4C16F" w14:textId="77777777" w:rsidTr="00857FD3">
        <w:trPr>
          <w:trHeight w:val="800"/>
        </w:trPr>
        <w:tc>
          <w:tcPr>
            <w:tcW w:w="1615" w:type="dxa"/>
          </w:tcPr>
          <w:p w14:paraId="3B93D1D9" w14:textId="5B2EA99D" w:rsidR="002F6469" w:rsidRPr="000E1BA8" w:rsidRDefault="00A736B2" w:rsidP="00FE1759">
            <w:pPr>
              <w:rPr>
                <w:color w:val="000000" w:themeColor="text1"/>
                <w:lang w:val="tr-TR"/>
              </w:rPr>
            </w:pPr>
            <w:r w:rsidRPr="000E1BA8">
              <w:rPr>
                <w:lang w:val="tr-TR"/>
              </w:rPr>
              <w:lastRenderedPageBreak/>
              <w:t>Slayt</w:t>
            </w:r>
            <w:r w:rsidR="002F6469" w:rsidRPr="000E1BA8">
              <w:rPr>
                <w:lang w:val="tr-TR"/>
              </w:rPr>
              <w:t xml:space="preserve"> 34</w:t>
            </w:r>
          </w:p>
        </w:tc>
        <w:tc>
          <w:tcPr>
            <w:tcW w:w="7395" w:type="dxa"/>
          </w:tcPr>
          <w:p w14:paraId="04A02B8C" w14:textId="579A6A1D" w:rsidR="002F6469" w:rsidRPr="000E1BA8" w:rsidRDefault="000E1BA8" w:rsidP="00FE1759">
            <w:pPr>
              <w:rPr>
                <w:lang w:val="tr-TR"/>
              </w:rPr>
            </w:pPr>
            <w:r w:rsidRPr="000E1BA8">
              <w:rPr>
                <w:lang w:val="tr-TR"/>
              </w:rPr>
              <w:t>Pratik çalışma</w:t>
            </w:r>
          </w:p>
          <w:p w14:paraId="59E5BC17" w14:textId="6A72A9F9" w:rsidR="000E1BA8" w:rsidRPr="000E1BA8" w:rsidRDefault="000E1BA8" w:rsidP="00FE1759">
            <w:pPr>
              <w:rPr>
                <w:lang w:val="tr-TR"/>
              </w:rPr>
            </w:pPr>
            <w:r w:rsidRPr="000E1BA8">
              <w:rPr>
                <w:bCs/>
                <w:lang w:val="tr-TR"/>
              </w:rPr>
              <w:t>Şu konulara dair iç hukuk mevzuatını ve içtihadını değerlendirin:</w:t>
            </w:r>
          </w:p>
          <w:p w14:paraId="1F28008F" w14:textId="6805ADBD" w:rsidR="00517CCD" w:rsidRPr="000E1BA8" w:rsidRDefault="000E1BA8" w:rsidP="000E1BA8">
            <w:pPr>
              <w:pStyle w:val="Style4"/>
              <w:rPr>
                <w:lang w:val="tr-TR"/>
              </w:rPr>
            </w:pPr>
            <w:r w:rsidRPr="000E1BA8">
              <w:rPr>
                <w:lang w:val="tr-TR"/>
              </w:rPr>
              <w:t>B</w:t>
            </w:r>
            <w:r w:rsidR="00B10797" w:rsidRPr="000E1BA8">
              <w:rPr>
                <w:lang w:val="tr-TR"/>
              </w:rPr>
              <w:t>anka verilerine erişim</w:t>
            </w:r>
          </w:p>
          <w:p w14:paraId="5CAA3B93" w14:textId="07B65B10" w:rsidR="00517CCD" w:rsidRPr="000E1BA8" w:rsidRDefault="000E1BA8" w:rsidP="000E1BA8">
            <w:pPr>
              <w:pStyle w:val="Style4"/>
              <w:rPr>
                <w:lang w:val="tr-TR"/>
              </w:rPr>
            </w:pPr>
            <w:r w:rsidRPr="000E1BA8">
              <w:rPr>
                <w:lang w:val="tr-TR"/>
              </w:rPr>
              <w:t>E</w:t>
            </w:r>
            <w:r w:rsidR="00B10797" w:rsidRPr="000E1BA8">
              <w:rPr>
                <w:lang w:val="tr-TR"/>
              </w:rPr>
              <w:t>le geçirme de dahil olmak üzere, internet hizmet sağlayıcının abone, trafik ve içerik verilerine erişim</w:t>
            </w:r>
          </w:p>
          <w:p w14:paraId="09BC5723" w14:textId="2996285F" w:rsidR="00517CCD" w:rsidRPr="000E1BA8" w:rsidRDefault="000E1BA8" w:rsidP="000E1BA8">
            <w:pPr>
              <w:pStyle w:val="Style4"/>
              <w:rPr>
                <w:lang w:val="tr-TR"/>
              </w:rPr>
            </w:pPr>
            <w:r w:rsidRPr="000E1BA8">
              <w:rPr>
                <w:lang w:val="tr-TR"/>
              </w:rPr>
              <w:t>İ</w:t>
            </w:r>
            <w:r w:rsidR="00B10797" w:rsidRPr="000E1BA8">
              <w:rPr>
                <w:lang w:val="tr-TR"/>
              </w:rPr>
              <w:t>nternet hizmet sağlayıcıya doğrudan iletilen muhafaza talebi</w:t>
            </w:r>
          </w:p>
          <w:p w14:paraId="1967A04D" w14:textId="0A5AF2F7" w:rsidR="00517CCD" w:rsidRPr="000E1BA8" w:rsidRDefault="000E1BA8" w:rsidP="000E1BA8">
            <w:pPr>
              <w:pStyle w:val="Style4"/>
              <w:rPr>
                <w:lang w:val="tr-TR"/>
              </w:rPr>
            </w:pPr>
            <w:r w:rsidRPr="000E1BA8">
              <w:rPr>
                <w:lang w:val="tr-TR"/>
              </w:rPr>
              <w:t>D</w:t>
            </w:r>
            <w:r w:rsidR="00B10797" w:rsidRPr="000E1BA8">
              <w:rPr>
                <w:lang w:val="tr-TR"/>
              </w:rPr>
              <w:t>epolanan bilgisayar verilerine (e-delil) erişilmesi, el konulması ve bunlara yönelik adli bilimler incelemesi</w:t>
            </w:r>
          </w:p>
          <w:p w14:paraId="377D617F" w14:textId="309FA898" w:rsidR="00517CCD" w:rsidRPr="000E1BA8" w:rsidRDefault="000E1BA8" w:rsidP="000E1BA8">
            <w:pPr>
              <w:pStyle w:val="Style4"/>
              <w:rPr>
                <w:lang w:val="tr-TR"/>
              </w:rPr>
            </w:pPr>
            <w:r w:rsidRPr="000E1BA8">
              <w:rPr>
                <w:lang w:val="tr-TR"/>
              </w:rPr>
              <w:t>İ</w:t>
            </w:r>
            <w:r w:rsidR="00B10797" w:rsidRPr="000E1BA8">
              <w:rPr>
                <w:lang w:val="tr-TR"/>
              </w:rPr>
              <w:t>şlemin/malın dondurulması</w:t>
            </w:r>
          </w:p>
          <w:p w14:paraId="60120F77" w14:textId="781389CF" w:rsidR="00517CCD" w:rsidRPr="000E1BA8" w:rsidRDefault="00B10797" w:rsidP="000E1BA8">
            <w:pPr>
              <w:pStyle w:val="Style4"/>
              <w:rPr>
                <w:lang w:val="tr-TR"/>
              </w:rPr>
            </w:pPr>
            <w:r w:rsidRPr="000E1BA8">
              <w:rPr>
                <w:lang w:val="tr-TR"/>
              </w:rPr>
              <w:t>Malların müsaderesi</w:t>
            </w:r>
          </w:p>
          <w:p w14:paraId="2FE82944" w14:textId="209ACC0D" w:rsidR="00517CCD" w:rsidRPr="000E1BA8" w:rsidRDefault="00B10797" w:rsidP="000E1BA8">
            <w:pPr>
              <w:pStyle w:val="Style4"/>
              <w:rPr>
                <w:lang w:val="tr-TR"/>
              </w:rPr>
            </w:pPr>
            <w:r w:rsidRPr="000E1BA8">
              <w:rPr>
                <w:lang w:val="tr-TR"/>
              </w:rPr>
              <w:t>Malvarlığı paylaşımı</w:t>
            </w:r>
          </w:p>
          <w:p w14:paraId="7883D1CB" w14:textId="77777777" w:rsidR="000E1BA8" w:rsidRPr="000E1BA8" w:rsidRDefault="000E1BA8" w:rsidP="000E1BA8">
            <w:pPr>
              <w:pStyle w:val="Style4"/>
              <w:numPr>
                <w:ilvl w:val="0"/>
                <w:numId w:val="0"/>
              </w:numPr>
              <w:ind w:left="360"/>
              <w:rPr>
                <w:lang w:val="tr-TR"/>
              </w:rPr>
            </w:pPr>
            <w:proofErr w:type="gramStart"/>
            <w:r w:rsidRPr="000E1BA8">
              <w:rPr>
                <w:lang w:val="tr-TR"/>
              </w:rPr>
              <w:t>konulu</w:t>
            </w:r>
            <w:proofErr w:type="gramEnd"/>
            <w:r w:rsidRPr="000E1BA8">
              <w:rPr>
                <w:lang w:val="tr-TR"/>
              </w:rPr>
              <w:t xml:space="preserve"> KAY talebi ve icrası</w:t>
            </w:r>
          </w:p>
          <w:p w14:paraId="3092883F" w14:textId="4B8B8C9F" w:rsidR="002F6469" w:rsidRPr="000E1BA8" w:rsidRDefault="000E1BA8" w:rsidP="00FE1759">
            <w:pPr>
              <w:rPr>
                <w:lang w:val="tr-TR"/>
              </w:rPr>
            </w:pPr>
            <w:r w:rsidRPr="000E1BA8">
              <w:rPr>
                <w:bCs/>
                <w:lang w:val="tr-TR"/>
              </w:rPr>
              <w:t>Şu konulara dair şablon/formlar temin edin/tartışın:</w:t>
            </w:r>
          </w:p>
          <w:p w14:paraId="5F789FE9" w14:textId="77777777" w:rsidR="00517CCD" w:rsidRPr="000E1BA8" w:rsidRDefault="00B10797" w:rsidP="000E1BA8">
            <w:pPr>
              <w:pStyle w:val="Style4"/>
              <w:rPr>
                <w:lang w:val="tr-TR"/>
              </w:rPr>
            </w:pPr>
            <w:r w:rsidRPr="000E1BA8">
              <w:rPr>
                <w:lang w:val="tr-TR"/>
              </w:rPr>
              <w:t>Budapeşte ve Varşova Sözleşmeleri ile bağlantılı olarak iç mevzuata dayanan KAY talebi</w:t>
            </w:r>
          </w:p>
          <w:p w14:paraId="319BA921" w14:textId="7DAC0BED" w:rsidR="00517CCD" w:rsidRPr="000E1BA8" w:rsidRDefault="000E1BA8" w:rsidP="000E1BA8">
            <w:pPr>
              <w:pStyle w:val="Style4"/>
              <w:rPr>
                <w:lang w:val="tr-TR"/>
              </w:rPr>
            </w:pPr>
            <w:r w:rsidRPr="000E1BA8">
              <w:rPr>
                <w:lang w:val="tr-TR"/>
              </w:rPr>
              <w:t>D</w:t>
            </w:r>
            <w:r w:rsidR="00B10797" w:rsidRPr="000E1BA8">
              <w:rPr>
                <w:lang w:val="tr-TR"/>
              </w:rPr>
              <w:t>epolanan bilgisayar verilerinin süratli şekilde korunması ve trafik verilerinin açıklanması</w:t>
            </w:r>
          </w:p>
          <w:p w14:paraId="3BB417A7" w14:textId="133C4177" w:rsidR="00517CCD" w:rsidRPr="000E1BA8" w:rsidRDefault="000E1BA8" w:rsidP="000E1BA8">
            <w:pPr>
              <w:pStyle w:val="Style4"/>
              <w:rPr>
                <w:lang w:val="tr-TR"/>
              </w:rPr>
            </w:pPr>
            <w:r w:rsidRPr="000E1BA8">
              <w:rPr>
                <w:lang w:val="tr-TR"/>
              </w:rPr>
              <w:t>İ</w:t>
            </w:r>
            <w:r w:rsidR="00B10797" w:rsidRPr="000E1BA8">
              <w:rPr>
                <w:lang w:val="tr-TR"/>
              </w:rPr>
              <w:t>nternet hizmet sağlayıcıya doğrudan iletilen muhafaza talebi</w:t>
            </w:r>
          </w:p>
          <w:p w14:paraId="06FC3225" w14:textId="09A835AB" w:rsidR="00517CCD" w:rsidRPr="000E1BA8" w:rsidRDefault="00B10797" w:rsidP="000E1BA8">
            <w:pPr>
              <w:pStyle w:val="Style4"/>
              <w:rPr>
                <w:lang w:val="tr-TR"/>
              </w:rPr>
            </w:pPr>
            <w:r w:rsidRPr="000E1BA8">
              <w:rPr>
                <w:lang w:val="tr-TR"/>
              </w:rPr>
              <w:t>7/24 ağ kanalıyla iletilen talepler (Budapeşte Sözleşmesi)</w:t>
            </w:r>
          </w:p>
          <w:p w14:paraId="30E65843" w14:textId="33743D90" w:rsidR="00BB6C23" w:rsidRPr="000E1BA8" w:rsidRDefault="00B10797" w:rsidP="000E1BA8">
            <w:pPr>
              <w:pStyle w:val="Style4"/>
              <w:rPr>
                <w:lang w:val="tr-TR"/>
              </w:rPr>
            </w:pPr>
            <w:r w:rsidRPr="000E1BA8">
              <w:rPr>
                <w:lang w:val="tr-TR"/>
              </w:rPr>
              <w:t>Yurtdışında finansal işlemlerin geciktirilmesine yönelik MİB talebi</w:t>
            </w:r>
            <w:r w:rsidR="002F6469" w:rsidRPr="000E1BA8">
              <w:rPr>
                <w:lang w:val="tr-TR"/>
              </w:rPr>
              <w:t>.</w:t>
            </w:r>
          </w:p>
        </w:tc>
      </w:tr>
      <w:tr w:rsidR="002F6469" w:rsidRPr="000E1BA8" w14:paraId="35C64624" w14:textId="77777777" w:rsidTr="00857FD3">
        <w:trPr>
          <w:trHeight w:val="800"/>
        </w:trPr>
        <w:tc>
          <w:tcPr>
            <w:tcW w:w="1615" w:type="dxa"/>
          </w:tcPr>
          <w:p w14:paraId="79D7A01C" w14:textId="0223707C" w:rsidR="002F6469" w:rsidRPr="000E1BA8" w:rsidRDefault="00A736B2" w:rsidP="00FE1759">
            <w:pPr>
              <w:rPr>
                <w:color w:val="000000" w:themeColor="text1"/>
                <w:lang w:val="tr-TR"/>
              </w:rPr>
            </w:pPr>
            <w:r w:rsidRPr="000E1BA8">
              <w:rPr>
                <w:lang w:val="tr-TR"/>
              </w:rPr>
              <w:t>Slayt</w:t>
            </w:r>
            <w:r w:rsidR="002F6469" w:rsidRPr="000E1BA8">
              <w:rPr>
                <w:lang w:val="tr-TR"/>
              </w:rPr>
              <w:t xml:space="preserve"> 35</w:t>
            </w:r>
          </w:p>
        </w:tc>
        <w:tc>
          <w:tcPr>
            <w:tcW w:w="7395" w:type="dxa"/>
          </w:tcPr>
          <w:p w14:paraId="60263B85" w14:textId="1F7EB74F" w:rsidR="002F6469" w:rsidRPr="00FC7ED1" w:rsidRDefault="000E1BA8" w:rsidP="00FE1759">
            <w:pPr>
              <w:rPr>
                <w:lang w:val="tr-TR"/>
              </w:rPr>
            </w:pPr>
            <w:r>
              <w:rPr>
                <w:lang w:val="tr-TR"/>
              </w:rPr>
              <w:t xml:space="preserve">Eğitmen </w:t>
            </w:r>
            <w:r w:rsidR="006F3185">
              <w:rPr>
                <w:lang w:val="tr-TR"/>
              </w:rPr>
              <w:t xml:space="preserve">oturum hedeflerini </w:t>
            </w:r>
            <w:r w:rsidR="00FC7ED1">
              <w:rPr>
                <w:lang w:val="tr-TR"/>
              </w:rPr>
              <w:t xml:space="preserve">katılımcılarla birlikte özetleyerek, onlara bu modülde ele alınan materyallerle ilgili sorularını sorma fırsatı tanımalıdır. </w:t>
            </w:r>
          </w:p>
        </w:tc>
      </w:tr>
      <w:tr w:rsidR="00E97CD5" w:rsidRPr="000E1BA8" w14:paraId="2ECF09B7" w14:textId="77777777" w:rsidTr="002002D6">
        <w:trPr>
          <w:trHeight w:val="864"/>
        </w:trPr>
        <w:tc>
          <w:tcPr>
            <w:tcW w:w="9010" w:type="dxa"/>
            <w:gridSpan w:val="2"/>
            <w:vAlign w:val="center"/>
          </w:tcPr>
          <w:p w14:paraId="6B09E7B2" w14:textId="77777777" w:rsidR="00E97CD5" w:rsidRPr="000E1BA8" w:rsidRDefault="00E97CD5" w:rsidP="002F04F1">
            <w:pPr>
              <w:rPr>
                <w:b/>
                <w:sz w:val="22"/>
                <w:szCs w:val="22"/>
                <w:lang w:val="tr-TR"/>
              </w:rPr>
            </w:pPr>
            <w:r w:rsidRPr="000E1BA8">
              <w:rPr>
                <w:b/>
                <w:sz w:val="22"/>
                <w:szCs w:val="22"/>
                <w:lang w:val="tr-TR"/>
              </w:rPr>
              <w:t>Pratik Çalışmalar</w:t>
            </w:r>
          </w:p>
          <w:p w14:paraId="04D65D89" w14:textId="760A8EB9" w:rsidR="00E97CD5" w:rsidRPr="000E1BA8" w:rsidRDefault="00E97CD5" w:rsidP="00FE1759">
            <w:pPr>
              <w:rPr>
                <w:lang w:val="tr-TR"/>
              </w:rPr>
            </w:pPr>
            <w:r w:rsidRPr="000E1BA8">
              <w:rPr>
                <w:lang w:val="tr-TR"/>
              </w:rPr>
              <w:t>Bu derste öngörülen bir pratik çalışma bulunmamaktadır.</w:t>
            </w:r>
            <w:r w:rsidRPr="000E1BA8">
              <w:rPr>
                <w:color w:val="000000" w:themeColor="text1"/>
                <w:lang w:val="tr-TR"/>
              </w:rPr>
              <w:t xml:space="preserve"> </w:t>
            </w:r>
          </w:p>
        </w:tc>
      </w:tr>
      <w:tr w:rsidR="00E97CD5" w:rsidRPr="000E1BA8" w14:paraId="603967A2" w14:textId="77777777" w:rsidTr="00857FD3">
        <w:tc>
          <w:tcPr>
            <w:tcW w:w="9010" w:type="dxa"/>
            <w:gridSpan w:val="2"/>
            <w:vAlign w:val="center"/>
          </w:tcPr>
          <w:p w14:paraId="6D5B1976" w14:textId="77777777" w:rsidR="00E97CD5" w:rsidRPr="000E1BA8" w:rsidRDefault="00E97CD5" w:rsidP="002F04F1">
            <w:pPr>
              <w:rPr>
                <w:b/>
                <w:sz w:val="22"/>
                <w:szCs w:val="22"/>
                <w:lang w:val="tr-TR"/>
              </w:rPr>
            </w:pPr>
            <w:r w:rsidRPr="000E1BA8">
              <w:rPr>
                <w:b/>
                <w:sz w:val="22"/>
                <w:szCs w:val="22"/>
                <w:lang w:val="tr-TR"/>
              </w:rPr>
              <w:t>Değerlendirme /Bilgi Testi</w:t>
            </w:r>
          </w:p>
          <w:p w14:paraId="4496975B" w14:textId="5AECB3F5" w:rsidR="00E97CD5" w:rsidRPr="000E1BA8" w:rsidRDefault="00E97CD5" w:rsidP="00FE1759">
            <w:pPr>
              <w:rPr>
                <w:lang w:val="tr-TR"/>
              </w:rPr>
            </w:pPr>
            <w:r w:rsidRPr="000E1BA8">
              <w:rPr>
                <w:lang w:val="tr-TR"/>
              </w:rPr>
              <w:t>Bu oturum için hazırlanmış bilgi testi ya da resmi bir değerlendirme bulunmamaktadır.</w:t>
            </w:r>
          </w:p>
        </w:tc>
      </w:tr>
    </w:tbl>
    <w:p w14:paraId="15498912" w14:textId="77777777" w:rsidR="00D82C18" w:rsidRPr="000E1BA8" w:rsidRDefault="00D82C18" w:rsidP="00FE1759">
      <w:pPr>
        <w:rPr>
          <w:lang w:val="tr-TR"/>
        </w:rPr>
      </w:pPr>
    </w:p>
    <w:sectPr w:rsidR="00D82C18" w:rsidRPr="000E1BA8"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01A9E" w14:textId="77777777" w:rsidR="00FF1CA5" w:rsidRDefault="00FF1CA5" w:rsidP="00FE1759">
      <w:r>
        <w:separator/>
      </w:r>
    </w:p>
  </w:endnote>
  <w:endnote w:type="continuationSeparator" w:id="0">
    <w:p w14:paraId="7A1A37E8" w14:textId="77777777" w:rsidR="00FF1CA5" w:rsidRDefault="00FF1CA5" w:rsidP="00FE1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Verdana Bold">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7B7A6" w14:textId="77777777" w:rsidR="00FF1CA5" w:rsidRDefault="00FF1CA5" w:rsidP="00FE1759">
      <w:r>
        <w:separator/>
      </w:r>
    </w:p>
  </w:footnote>
  <w:footnote w:type="continuationSeparator" w:id="0">
    <w:p w14:paraId="1ACAE8AA" w14:textId="77777777" w:rsidR="00FF1CA5" w:rsidRDefault="00FF1CA5" w:rsidP="00FE17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3C73B3"/>
    <w:multiLevelType w:val="hybridMultilevel"/>
    <w:tmpl w:val="FAC86C18"/>
    <w:lvl w:ilvl="0" w:tplc="66C4D0F4">
      <w:start w:val="1"/>
      <w:numFmt w:val="bullet"/>
      <w:lvlText w:val="•"/>
      <w:lvlJc w:val="left"/>
      <w:pPr>
        <w:tabs>
          <w:tab w:val="num" w:pos="720"/>
        </w:tabs>
        <w:ind w:left="720" w:hanging="360"/>
      </w:pPr>
      <w:rPr>
        <w:rFonts w:ascii="Arial" w:hAnsi="Arial" w:hint="default"/>
      </w:rPr>
    </w:lvl>
    <w:lvl w:ilvl="1" w:tplc="BE148224" w:tentative="1">
      <w:start w:val="1"/>
      <w:numFmt w:val="bullet"/>
      <w:lvlText w:val="•"/>
      <w:lvlJc w:val="left"/>
      <w:pPr>
        <w:tabs>
          <w:tab w:val="num" w:pos="1440"/>
        </w:tabs>
        <w:ind w:left="1440" w:hanging="360"/>
      </w:pPr>
      <w:rPr>
        <w:rFonts w:ascii="Arial" w:hAnsi="Arial" w:hint="default"/>
      </w:rPr>
    </w:lvl>
    <w:lvl w:ilvl="2" w:tplc="24400162" w:tentative="1">
      <w:start w:val="1"/>
      <w:numFmt w:val="bullet"/>
      <w:lvlText w:val="•"/>
      <w:lvlJc w:val="left"/>
      <w:pPr>
        <w:tabs>
          <w:tab w:val="num" w:pos="2160"/>
        </w:tabs>
        <w:ind w:left="2160" w:hanging="360"/>
      </w:pPr>
      <w:rPr>
        <w:rFonts w:ascii="Arial" w:hAnsi="Arial" w:hint="default"/>
      </w:rPr>
    </w:lvl>
    <w:lvl w:ilvl="3" w:tplc="703E8782" w:tentative="1">
      <w:start w:val="1"/>
      <w:numFmt w:val="bullet"/>
      <w:lvlText w:val="•"/>
      <w:lvlJc w:val="left"/>
      <w:pPr>
        <w:tabs>
          <w:tab w:val="num" w:pos="2880"/>
        </w:tabs>
        <w:ind w:left="2880" w:hanging="360"/>
      </w:pPr>
      <w:rPr>
        <w:rFonts w:ascii="Arial" w:hAnsi="Arial" w:hint="default"/>
      </w:rPr>
    </w:lvl>
    <w:lvl w:ilvl="4" w:tplc="0F4E9C56" w:tentative="1">
      <w:start w:val="1"/>
      <w:numFmt w:val="bullet"/>
      <w:lvlText w:val="•"/>
      <w:lvlJc w:val="left"/>
      <w:pPr>
        <w:tabs>
          <w:tab w:val="num" w:pos="3600"/>
        </w:tabs>
        <w:ind w:left="3600" w:hanging="360"/>
      </w:pPr>
      <w:rPr>
        <w:rFonts w:ascii="Arial" w:hAnsi="Arial" w:hint="default"/>
      </w:rPr>
    </w:lvl>
    <w:lvl w:ilvl="5" w:tplc="20607B7E" w:tentative="1">
      <w:start w:val="1"/>
      <w:numFmt w:val="bullet"/>
      <w:lvlText w:val="•"/>
      <w:lvlJc w:val="left"/>
      <w:pPr>
        <w:tabs>
          <w:tab w:val="num" w:pos="4320"/>
        </w:tabs>
        <w:ind w:left="4320" w:hanging="360"/>
      </w:pPr>
      <w:rPr>
        <w:rFonts w:ascii="Arial" w:hAnsi="Arial" w:hint="default"/>
      </w:rPr>
    </w:lvl>
    <w:lvl w:ilvl="6" w:tplc="35A8DD68" w:tentative="1">
      <w:start w:val="1"/>
      <w:numFmt w:val="bullet"/>
      <w:lvlText w:val="•"/>
      <w:lvlJc w:val="left"/>
      <w:pPr>
        <w:tabs>
          <w:tab w:val="num" w:pos="5040"/>
        </w:tabs>
        <w:ind w:left="5040" w:hanging="360"/>
      </w:pPr>
      <w:rPr>
        <w:rFonts w:ascii="Arial" w:hAnsi="Arial" w:hint="default"/>
      </w:rPr>
    </w:lvl>
    <w:lvl w:ilvl="7" w:tplc="682E2D06" w:tentative="1">
      <w:start w:val="1"/>
      <w:numFmt w:val="bullet"/>
      <w:lvlText w:val="•"/>
      <w:lvlJc w:val="left"/>
      <w:pPr>
        <w:tabs>
          <w:tab w:val="num" w:pos="5760"/>
        </w:tabs>
        <w:ind w:left="5760" w:hanging="360"/>
      </w:pPr>
      <w:rPr>
        <w:rFonts w:ascii="Arial" w:hAnsi="Arial" w:hint="default"/>
      </w:rPr>
    </w:lvl>
    <w:lvl w:ilvl="8" w:tplc="9C2AA116" w:tentative="1">
      <w:start w:val="1"/>
      <w:numFmt w:val="bullet"/>
      <w:lvlText w:val="•"/>
      <w:lvlJc w:val="left"/>
      <w:pPr>
        <w:tabs>
          <w:tab w:val="num" w:pos="6480"/>
        </w:tabs>
        <w:ind w:left="6480" w:hanging="360"/>
      </w:pPr>
      <w:rPr>
        <w:rFonts w:ascii="Arial" w:hAnsi="Arial" w:hint="default"/>
      </w:rPr>
    </w:lvl>
  </w:abstractNum>
  <w:abstractNum w:abstractNumId="2">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1F3E52"/>
    <w:multiLevelType w:val="hybridMultilevel"/>
    <w:tmpl w:val="1FB48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8538A"/>
    <w:multiLevelType w:val="hybridMultilevel"/>
    <w:tmpl w:val="5BBA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8B02A7"/>
    <w:multiLevelType w:val="hybridMultilevel"/>
    <w:tmpl w:val="D8EA3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63D37"/>
    <w:multiLevelType w:val="hybridMultilevel"/>
    <w:tmpl w:val="433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CD72A4"/>
    <w:multiLevelType w:val="hybridMultilevel"/>
    <w:tmpl w:val="2954CAD6"/>
    <w:lvl w:ilvl="0" w:tplc="46685A00">
      <w:start w:val="1"/>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724DC"/>
    <w:multiLevelType w:val="hybridMultilevel"/>
    <w:tmpl w:val="642C6C28"/>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B44A17"/>
    <w:multiLevelType w:val="hybridMultilevel"/>
    <w:tmpl w:val="29A27D7C"/>
    <w:lvl w:ilvl="0" w:tplc="5B60E71A">
      <w:start w:val="1"/>
      <w:numFmt w:val="bullet"/>
      <w:lvlText w:val="•"/>
      <w:lvlJc w:val="left"/>
      <w:pPr>
        <w:tabs>
          <w:tab w:val="num" w:pos="720"/>
        </w:tabs>
        <w:ind w:left="720" w:hanging="360"/>
      </w:pPr>
      <w:rPr>
        <w:rFonts w:ascii="Arial" w:hAnsi="Arial" w:hint="default"/>
      </w:rPr>
    </w:lvl>
    <w:lvl w:ilvl="1" w:tplc="5A921086" w:tentative="1">
      <w:start w:val="1"/>
      <w:numFmt w:val="bullet"/>
      <w:lvlText w:val="•"/>
      <w:lvlJc w:val="left"/>
      <w:pPr>
        <w:tabs>
          <w:tab w:val="num" w:pos="1440"/>
        </w:tabs>
        <w:ind w:left="1440" w:hanging="360"/>
      </w:pPr>
      <w:rPr>
        <w:rFonts w:ascii="Arial" w:hAnsi="Arial" w:hint="default"/>
      </w:rPr>
    </w:lvl>
    <w:lvl w:ilvl="2" w:tplc="58564F66" w:tentative="1">
      <w:start w:val="1"/>
      <w:numFmt w:val="bullet"/>
      <w:lvlText w:val="•"/>
      <w:lvlJc w:val="left"/>
      <w:pPr>
        <w:tabs>
          <w:tab w:val="num" w:pos="2160"/>
        </w:tabs>
        <w:ind w:left="2160" w:hanging="360"/>
      </w:pPr>
      <w:rPr>
        <w:rFonts w:ascii="Arial" w:hAnsi="Arial" w:hint="default"/>
      </w:rPr>
    </w:lvl>
    <w:lvl w:ilvl="3" w:tplc="69C29654" w:tentative="1">
      <w:start w:val="1"/>
      <w:numFmt w:val="bullet"/>
      <w:lvlText w:val="•"/>
      <w:lvlJc w:val="left"/>
      <w:pPr>
        <w:tabs>
          <w:tab w:val="num" w:pos="2880"/>
        </w:tabs>
        <w:ind w:left="2880" w:hanging="360"/>
      </w:pPr>
      <w:rPr>
        <w:rFonts w:ascii="Arial" w:hAnsi="Arial" w:hint="default"/>
      </w:rPr>
    </w:lvl>
    <w:lvl w:ilvl="4" w:tplc="A3CA1762" w:tentative="1">
      <w:start w:val="1"/>
      <w:numFmt w:val="bullet"/>
      <w:lvlText w:val="•"/>
      <w:lvlJc w:val="left"/>
      <w:pPr>
        <w:tabs>
          <w:tab w:val="num" w:pos="3600"/>
        </w:tabs>
        <w:ind w:left="3600" w:hanging="360"/>
      </w:pPr>
      <w:rPr>
        <w:rFonts w:ascii="Arial" w:hAnsi="Arial" w:hint="default"/>
      </w:rPr>
    </w:lvl>
    <w:lvl w:ilvl="5" w:tplc="8A28A1E2" w:tentative="1">
      <w:start w:val="1"/>
      <w:numFmt w:val="bullet"/>
      <w:lvlText w:val="•"/>
      <w:lvlJc w:val="left"/>
      <w:pPr>
        <w:tabs>
          <w:tab w:val="num" w:pos="4320"/>
        </w:tabs>
        <w:ind w:left="4320" w:hanging="360"/>
      </w:pPr>
      <w:rPr>
        <w:rFonts w:ascii="Arial" w:hAnsi="Arial" w:hint="default"/>
      </w:rPr>
    </w:lvl>
    <w:lvl w:ilvl="6" w:tplc="DCECD5F4" w:tentative="1">
      <w:start w:val="1"/>
      <w:numFmt w:val="bullet"/>
      <w:lvlText w:val="•"/>
      <w:lvlJc w:val="left"/>
      <w:pPr>
        <w:tabs>
          <w:tab w:val="num" w:pos="5040"/>
        </w:tabs>
        <w:ind w:left="5040" w:hanging="360"/>
      </w:pPr>
      <w:rPr>
        <w:rFonts w:ascii="Arial" w:hAnsi="Arial" w:hint="default"/>
      </w:rPr>
    </w:lvl>
    <w:lvl w:ilvl="7" w:tplc="70EC95F6" w:tentative="1">
      <w:start w:val="1"/>
      <w:numFmt w:val="bullet"/>
      <w:lvlText w:val="•"/>
      <w:lvlJc w:val="left"/>
      <w:pPr>
        <w:tabs>
          <w:tab w:val="num" w:pos="5760"/>
        </w:tabs>
        <w:ind w:left="5760" w:hanging="360"/>
      </w:pPr>
      <w:rPr>
        <w:rFonts w:ascii="Arial" w:hAnsi="Arial" w:hint="default"/>
      </w:rPr>
    </w:lvl>
    <w:lvl w:ilvl="8" w:tplc="63D8BC3A" w:tentative="1">
      <w:start w:val="1"/>
      <w:numFmt w:val="bullet"/>
      <w:lvlText w:val="•"/>
      <w:lvlJc w:val="left"/>
      <w:pPr>
        <w:tabs>
          <w:tab w:val="num" w:pos="6480"/>
        </w:tabs>
        <w:ind w:left="6480" w:hanging="360"/>
      </w:pPr>
      <w:rPr>
        <w:rFonts w:ascii="Arial" w:hAnsi="Arial" w:hint="default"/>
      </w:rPr>
    </w:lvl>
  </w:abstractNum>
  <w:abstractNum w:abstractNumId="15">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74302C"/>
    <w:multiLevelType w:val="hybridMultilevel"/>
    <w:tmpl w:val="895AC3F8"/>
    <w:lvl w:ilvl="0" w:tplc="B40EFDF4">
      <w:start w:val="1"/>
      <w:numFmt w:val="bullet"/>
      <w:lvlText w:val="•"/>
      <w:lvlJc w:val="left"/>
      <w:pPr>
        <w:tabs>
          <w:tab w:val="num" w:pos="720"/>
        </w:tabs>
        <w:ind w:left="720" w:hanging="360"/>
      </w:pPr>
      <w:rPr>
        <w:rFonts w:ascii="Arial" w:hAnsi="Arial" w:hint="default"/>
      </w:rPr>
    </w:lvl>
    <w:lvl w:ilvl="1" w:tplc="3BA6D722" w:tentative="1">
      <w:start w:val="1"/>
      <w:numFmt w:val="bullet"/>
      <w:lvlText w:val="•"/>
      <w:lvlJc w:val="left"/>
      <w:pPr>
        <w:tabs>
          <w:tab w:val="num" w:pos="1440"/>
        </w:tabs>
        <w:ind w:left="1440" w:hanging="360"/>
      </w:pPr>
      <w:rPr>
        <w:rFonts w:ascii="Arial" w:hAnsi="Arial" w:hint="default"/>
      </w:rPr>
    </w:lvl>
    <w:lvl w:ilvl="2" w:tplc="C1B6E532" w:tentative="1">
      <w:start w:val="1"/>
      <w:numFmt w:val="bullet"/>
      <w:lvlText w:val="•"/>
      <w:lvlJc w:val="left"/>
      <w:pPr>
        <w:tabs>
          <w:tab w:val="num" w:pos="2160"/>
        </w:tabs>
        <w:ind w:left="2160" w:hanging="360"/>
      </w:pPr>
      <w:rPr>
        <w:rFonts w:ascii="Arial" w:hAnsi="Arial" w:hint="default"/>
      </w:rPr>
    </w:lvl>
    <w:lvl w:ilvl="3" w:tplc="2EECA22A" w:tentative="1">
      <w:start w:val="1"/>
      <w:numFmt w:val="bullet"/>
      <w:lvlText w:val="•"/>
      <w:lvlJc w:val="left"/>
      <w:pPr>
        <w:tabs>
          <w:tab w:val="num" w:pos="2880"/>
        </w:tabs>
        <w:ind w:left="2880" w:hanging="360"/>
      </w:pPr>
      <w:rPr>
        <w:rFonts w:ascii="Arial" w:hAnsi="Arial" w:hint="default"/>
      </w:rPr>
    </w:lvl>
    <w:lvl w:ilvl="4" w:tplc="AD402648" w:tentative="1">
      <w:start w:val="1"/>
      <w:numFmt w:val="bullet"/>
      <w:lvlText w:val="•"/>
      <w:lvlJc w:val="left"/>
      <w:pPr>
        <w:tabs>
          <w:tab w:val="num" w:pos="3600"/>
        </w:tabs>
        <w:ind w:left="3600" w:hanging="360"/>
      </w:pPr>
      <w:rPr>
        <w:rFonts w:ascii="Arial" w:hAnsi="Arial" w:hint="default"/>
      </w:rPr>
    </w:lvl>
    <w:lvl w:ilvl="5" w:tplc="F2DA341C" w:tentative="1">
      <w:start w:val="1"/>
      <w:numFmt w:val="bullet"/>
      <w:lvlText w:val="•"/>
      <w:lvlJc w:val="left"/>
      <w:pPr>
        <w:tabs>
          <w:tab w:val="num" w:pos="4320"/>
        </w:tabs>
        <w:ind w:left="4320" w:hanging="360"/>
      </w:pPr>
      <w:rPr>
        <w:rFonts w:ascii="Arial" w:hAnsi="Arial" w:hint="default"/>
      </w:rPr>
    </w:lvl>
    <w:lvl w:ilvl="6" w:tplc="9E327F4E" w:tentative="1">
      <w:start w:val="1"/>
      <w:numFmt w:val="bullet"/>
      <w:lvlText w:val="•"/>
      <w:lvlJc w:val="left"/>
      <w:pPr>
        <w:tabs>
          <w:tab w:val="num" w:pos="5040"/>
        </w:tabs>
        <w:ind w:left="5040" w:hanging="360"/>
      </w:pPr>
      <w:rPr>
        <w:rFonts w:ascii="Arial" w:hAnsi="Arial" w:hint="default"/>
      </w:rPr>
    </w:lvl>
    <w:lvl w:ilvl="7" w:tplc="33DC00AC" w:tentative="1">
      <w:start w:val="1"/>
      <w:numFmt w:val="bullet"/>
      <w:lvlText w:val="•"/>
      <w:lvlJc w:val="left"/>
      <w:pPr>
        <w:tabs>
          <w:tab w:val="num" w:pos="5760"/>
        </w:tabs>
        <w:ind w:left="5760" w:hanging="360"/>
      </w:pPr>
      <w:rPr>
        <w:rFonts w:ascii="Arial" w:hAnsi="Arial" w:hint="default"/>
      </w:rPr>
    </w:lvl>
    <w:lvl w:ilvl="8" w:tplc="2372199C" w:tentative="1">
      <w:start w:val="1"/>
      <w:numFmt w:val="bullet"/>
      <w:lvlText w:val="•"/>
      <w:lvlJc w:val="left"/>
      <w:pPr>
        <w:tabs>
          <w:tab w:val="num" w:pos="6480"/>
        </w:tabs>
        <w:ind w:left="6480" w:hanging="360"/>
      </w:pPr>
      <w:rPr>
        <w:rFonts w:ascii="Arial" w:hAnsi="Arial" w:hint="default"/>
      </w:rPr>
    </w:lvl>
  </w:abstractNum>
  <w:abstractNum w:abstractNumId="18">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21">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56E4BA5"/>
    <w:multiLevelType w:val="hybridMultilevel"/>
    <w:tmpl w:val="93603334"/>
    <w:lvl w:ilvl="0" w:tplc="B27A796A">
      <w:start w:val="1"/>
      <w:numFmt w:val="bullet"/>
      <w:lvlText w:val="•"/>
      <w:lvlJc w:val="left"/>
      <w:pPr>
        <w:tabs>
          <w:tab w:val="num" w:pos="720"/>
        </w:tabs>
        <w:ind w:left="720" w:hanging="360"/>
      </w:pPr>
      <w:rPr>
        <w:rFonts w:ascii="Arial" w:hAnsi="Arial" w:hint="default"/>
      </w:rPr>
    </w:lvl>
    <w:lvl w:ilvl="1" w:tplc="69ECEA24" w:tentative="1">
      <w:start w:val="1"/>
      <w:numFmt w:val="bullet"/>
      <w:lvlText w:val="•"/>
      <w:lvlJc w:val="left"/>
      <w:pPr>
        <w:tabs>
          <w:tab w:val="num" w:pos="1440"/>
        </w:tabs>
        <w:ind w:left="1440" w:hanging="360"/>
      </w:pPr>
      <w:rPr>
        <w:rFonts w:ascii="Arial" w:hAnsi="Arial" w:hint="default"/>
      </w:rPr>
    </w:lvl>
    <w:lvl w:ilvl="2" w:tplc="FE7224AE" w:tentative="1">
      <w:start w:val="1"/>
      <w:numFmt w:val="bullet"/>
      <w:lvlText w:val="•"/>
      <w:lvlJc w:val="left"/>
      <w:pPr>
        <w:tabs>
          <w:tab w:val="num" w:pos="2160"/>
        </w:tabs>
        <w:ind w:left="2160" w:hanging="360"/>
      </w:pPr>
      <w:rPr>
        <w:rFonts w:ascii="Arial" w:hAnsi="Arial" w:hint="default"/>
      </w:rPr>
    </w:lvl>
    <w:lvl w:ilvl="3" w:tplc="866682B2" w:tentative="1">
      <w:start w:val="1"/>
      <w:numFmt w:val="bullet"/>
      <w:lvlText w:val="•"/>
      <w:lvlJc w:val="left"/>
      <w:pPr>
        <w:tabs>
          <w:tab w:val="num" w:pos="2880"/>
        </w:tabs>
        <w:ind w:left="2880" w:hanging="360"/>
      </w:pPr>
      <w:rPr>
        <w:rFonts w:ascii="Arial" w:hAnsi="Arial" w:hint="default"/>
      </w:rPr>
    </w:lvl>
    <w:lvl w:ilvl="4" w:tplc="773A5E04" w:tentative="1">
      <w:start w:val="1"/>
      <w:numFmt w:val="bullet"/>
      <w:lvlText w:val="•"/>
      <w:lvlJc w:val="left"/>
      <w:pPr>
        <w:tabs>
          <w:tab w:val="num" w:pos="3600"/>
        </w:tabs>
        <w:ind w:left="3600" w:hanging="360"/>
      </w:pPr>
      <w:rPr>
        <w:rFonts w:ascii="Arial" w:hAnsi="Arial" w:hint="default"/>
      </w:rPr>
    </w:lvl>
    <w:lvl w:ilvl="5" w:tplc="52E6D89C" w:tentative="1">
      <w:start w:val="1"/>
      <w:numFmt w:val="bullet"/>
      <w:lvlText w:val="•"/>
      <w:lvlJc w:val="left"/>
      <w:pPr>
        <w:tabs>
          <w:tab w:val="num" w:pos="4320"/>
        </w:tabs>
        <w:ind w:left="4320" w:hanging="360"/>
      </w:pPr>
      <w:rPr>
        <w:rFonts w:ascii="Arial" w:hAnsi="Arial" w:hint="default"/>
      </w:rPr>
    </w:lvl>
    <w:lvl w:ilvl="6" w:tplc="6DE2D348" w:tentative="1">
      <w:start w:val="1"/>
      <w:numFmt w:val="bullet"/>
      <w:lvlText w:val="•"/>
      <w:lvlJc w:val="left"/>
      <w:pPr>
        <w:tabs>
          <w:tab w:val="num" w:pos="5040"/>
        </w:tabs>
        <w:ind w:left="5040" w:hanging="360"/>
      </w:pPr>
      <w:rPr>
        <w:rFonts w:ascii="Arial" w:hAnsi="Arial" w:hint="default"/>
      </w:rPr>
    </w:lvl>
    <w:lvl w:ilvl="7" w:tplc="065AF1DC" w:tentative="1">
      <w:start w:val="1"/>
      <w:numFmt w:val="bullet"/>
      <w:lvlText w:val="•"/>
      <w:lvlJc w:val="left"/>
      <w:pPr>
        <w:tabs>
          <w:tab w:val="num" w:pos="5760"/>
        </w:tabs>
        <w:ind w:left="5760" w:hanging="360"/>
      </w:pPr>
      <w:rPr>
        <w:rFonts w:ascii="Arial" w:hAnsi="Arial" w:hint="default"/>
      </w:rPr>
    </w:lvl>
    <w:lvl w:ilvl="8" w:tplc="1DE8C1E0" w:tentative="1">
      <w:start w:val="1"/>
      <w:numFmt w:val="bullet"/>
      <w:lvlText w:val="•"/>
      <w:lvlJc w:val="left"/>
      <w:pPr>
        <w:tabs>
          <w:tab w:val="num" w:pos="6480"/>
        </w:tabs>
        <w:ind w:left="6480" w:hanging="360"/>
      </w:pPr>
      <w:rPr>
        <w:rFonts w:ascii="Arial" w:hAnsi="Arial" w:hint="default"/>
      </w:rPr>
    </w:lvl>
  </w:abstractNum>
  <w:abstractNum w:abstractNumId="25">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6">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3613BF"/>
    <w:multiLevelType w:val="hybridMultilevel"/>
    <w:tmpl w:val="83A2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F2371ED"/>
    <w:multiLevelType w:val="hybridMultilevel"/>
    <w:tmpl w:val="C75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610D88"/>
    <w:multiLevelType w:val="hybridMultilevel"/>
    <w:tmpl w:val="A7DA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23"/>
  </w:num>
  <w:num w:numId="4">
    <w:abstractNumId w:val="21"/>
  </w:num>
  <w:num w:numId="5">
    <w:abstractNumId w:val="22"/>
  </w:num>
  <w:num w:numId="6">
    <w:abstractNumId w:val="45"/>
  </w:num>
  <w:num w:numId="7">
    <w:abstractNumId w:val="13"/>
  </w:num>
  <w:num w:numId="8">
    <w:abstractNumId w:val="32"/>
  </w:num>
  <w:num w:numId="9">
    <w:abstractNumId w:val="27"/>
  </w:num>
  <w:num w:numId="10">
    <w:abstractNumId w:val="30"/>
  </w:num>
  <w:num w:numId="11">
    <w:abstractNumId w:val="31"/>
  </w:num>
  <w:num w:numId="12">
    <w:abstractNumId w:val="35"/>
  </w:num>
  <w:num w:numId="13">
    <w:abstractNumId w:val="41"/>
  </w:num>
  <w:num w:numId="14">
    <w:abstractNumId w:val="29"/>
  </w:num>
  <w:num w:numId="15">
    <w:abstractNumId w:val="20"/>
  </w:num>
  <w:num w:numId="16">
    <w:abstractNumId w:val="25"/>
  </w:num>
  <w:num w:numId="17">
    <w:abstractNumId w:val="15"/>
  </w:num>
  <w:num w:numId="18">
    <w:abstractNumId w:val="34"/>
  </w:num>
  <w:num w:numId="19">
    <w:abstractNumId w:val="40"/>
  </w:num>
  <w:num w:numId="20">
    <w:abstractNumId w:val="6"/>
  </w:num>
  <w:num w:numId="21">
    <w:abstractNumId w:val="44"/>
  </w:num>
  <w:num w:numId="22">
    <w:abstractNumId w:val="11"/>
  </w:num>
  <w:num w:numId="23">
    <w:abstractNumId w:val="26"/>
  </w:num>
  <w:num w:numId="24">
    <w:abstractNumId w:val="0"/>
  </w:num>
  <w:num w:numId="25">
    <w:abstractNumId w:val="37"/>
  </w:num>
  <w:num w:numId="26">
    <w:abstractNumId w:val="19"/>
  </w:num>
  <w:num w:numId="27">
    <w:abstractNumId w:val="2"/>
  </w:num>
  <w:num w:numId="28">
    <w:abstractNumId w:val="4"/>
  </w:num>
  <w:num w:numId="29">
    <w:abstractNumId w:val="38"/>
  </w:num>
  <w:num w:numId="30">
    <w:abstractNumId w:val="28"/>
  </w:num>
  <w:num w:numId="31">
    <w:abstractNumId w:val="39"/>
  </w:num>
  <w:num w:numId="32">
    <w:abstractNumId w:val="7"/>
  </w:num>
  <w:num w:numId="33">
    <w:abstractNumId w:val="16"/>
  </w:num>
  <w:num w:numId="34">
    <w:abstractNumId w:val="12"/>
  </w:num>
  <w:num w:numId="35">
    <w:abstractNumId w:val="10"/>
  </w:num>
  <w:num w:numId="36">
    <w:abstractNumId w:val="3"/>
  </w:num>
  <w:num w:numId="37">
    <w:abstractNumId w:val="43"/>
  </w:num>
  <w:num w:numId="38">
    <w:abstractNumId w:val="36"/>
  </w:num>
  <w:num w:numId="39">
    <w:abstractNumId w:val="9"/>
  </w:num>
  <w:num w:numId="40">
    <w:abstractNumId w:val="5"/>
  </w:num>
  <w:num w:numId="41">
    <w:abstractNumId w:val="8"/>
  </w:num>
  <w:num w:numId="42">
    <w:abstractNumId w:val="42"/>
  </w:num>
  <w:num w:numId="43">
    <w:abstractNumId w:val="1"/>
  </w:num>
  <w:num w:numId="44">
    <w:abstractNumId w:val="17"/>
  </w:num>
  <w:num w:numId="45">
    <w:abstractNumId w:val="14"/>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420A8"/>
    <w:rsid w:val="000608F5"/>
    <w:rsid w:val="00082ECE"/>
    <w:rsid w:val="000923A2"/>
    <w:rsid w:val="000E1BA8"/>
    <w:rsid w:val="001000B0"/>
    <w:rsid w:val="001444A3"/>
    <w:rsid w:val="001A4368"/>
    <w:rsid w:val="001D6D84"/>
    <w:rsid w:val="002002D6"/>
    <w:rsid w:val="00271010"/>
    <w:rsid w:val="00273764"/>
    <w:rsid w:val="002D1DF5"/>
    <w:rsid w:val="002E373F"/>
    <w:rsid w:val="002F6469"/>
    <w:rsid w:val="00326CC1"/>
    <w:rsid w:val="00333032"/>
    <w:rsid w:val="003630ED"/>
    <w:rsid w:val="003721F7"/>
    <w:rsid w:val="003745E1"/>
    <w:rsid w:val="00375B0A"/>
    <w:rsid w:val="00381D2C"/>
    <w:rsid w:val="003A068C"/>
    <w:rsid w:val="003C3909"/>
    <w:rsid w:val="003F77CE"/>
    <w:rsid w:val="004313C8"/>
    <w:rsid w:val="00446F0A"/>
    <w:rsid w:val="00494212"/>
    <w:rsid w:val="004A49FF"/>
    <w:rsid w:val="004C3167"/>
    <w:rsid w:val="004C3F53"/>
    <w:rsid w:val="004D62E3"/>
    <w:rsid w:val="00503634"/>
    <w:rsid w:val="005150E2"/>
    <w:rsid w:val="00517CCD"/>
    <w:rsid w:val="00520DB3"/>
    <w:rsid w:val="0054657C"/>
    <w:rsid w:val="005703B7"/>
    <w:rsid w:val="005932DC"/>
    <w:rsid w:val="005977EF"/>
    <w:rsid w:val="005A4E47"/>
    <w:rsid w:val="00616E92"/>
    <w:rsid w:val="006A211D"/>
    <w:rsid w:val="006D2D55"/>
    <w:rsid w:val="006E7C1A"/>
    <w:rsid w:val="006F3185"/>
    <w:rsid w:val="00736028"/>
    <w:rsid w:val="00737552"/>
    <w:rsid w:val="00744503"/>
    <w:rsid w:val="007551E4"/>
    <w:rsid w:val="007A296F"/>
    <w:rsid w:val="007C26E7"/>
    <w:rsid w:val="007E1DA2"/>
    <w:rsid w:val="00840C5A"/>
    <w:rsid w:val="00845D83"/>
    <w:rsid w:val="00857FD3"/>
    <w:rsid w:val="0087588F"/>
    <w:rsid w:val="008B0AAD"/>
    <w:rsid w:val="008E3FE7"/>
    <w:rsid w:val="00925BD9"/>
    <w:rsid w:val="00925D6B"/>
    <w:rsid w:val="00944B17"/>
    <w:rsid w:val="00945D49"/>
    <w:rsid w:val="0099513E"/>
    <w:rsid w:val="009C5523"/>
    <w:rsid w:val="009E16BD"/>
    <w:rsid w:val="009E23E7"/>
    <w:rsid w:val="00A03CF0"/>
    <w:rsid w:val="00A4110D"/>
    <w:rsid w:val="00A568CF"/>
    <w:rsid w:val="00A63119"/>
    <w:rsid w:val="00A734A5"/>
    <w:rsid w:val="00A736B2"/>
    <w:rsid w:val="00A77940"/>
    <w:rsid w:val="00A90AAB"/>
    <w:rsid w:val="00A96CF3"/>
    <w:rsid w:val="00B10797"/>
    <w:rsid w:val="00B158FA"/>
    <w:rsid w:val="00B32122"/>
    <w:rsid w:val="00B57620"/>
    <w:rsid w:val="00B81E58"/>
    <w:rsid w:val="00B93D20"/>
    <w:rsid w:val="00BB6C23"/>
    <w:rsid w:val="00BE3105"/>
    <w:rsid w:val="00C07AFF"/>
    <w:rsid w:val="00C340A2"/>
    <w:rsid w:val="00C541A2"/>
    <w:rsid w:val="00C83FD2"/>
    <w:rsid w:val="00C96E6D"/>
    <w:rsid w:val="00CA3376"/>
    <w:rsid w:val="00CA5B0A"/>
    <w:rsid w:val="00CB02C4"/>
    <w:rsid w:val="00CB3026"/>
    <w:rsid w:val="00CD3907"/>
    <w:rsid w:val="00D15EC9"/>
    <w:rsid w:val="00D31019"/>
    <w:rsid w:val="00D33758"/>
    <w:rsid w:val="00D44D99"/>
    <w:rsid w:val="00D821CC"/>
    <w:rsid w:val="00D82C18"/>
    <w:rsid w:val="00DD3B11"/>
    <w:rsid w:val="00E00AB1"/>
    <w:rsid w:val="00E045D1"/>
    <w:rsid w:val="00E13BE7"/>
    <w:rsid w:val="00E207FA"/>
    <w:rsid w:val="00E21039"/>
    <w:rsid w:val="00E64336"/>
    <w:rsid w:val="00E679B8"/>
    <w:rsid w:val="00E7344B"/>
    <w:rsid w:val="00E83777"/>
    <w:rsid w:val="00E95703"/>
    <w:rsid w:val="00E95FD0"/>
    <w:rsid w:val="00E97CD5"/>
    <w:rsid w:val="00EA1437"/>
    <w:rsid w:val="00EA59CD"/>
    <w:rsid w:val="00EC34BA"/>
    <w:rsid w:val="00EE3A11"/>
    <w:rsid w:val="00F00F86"/>
    <w:rsid w:val="00F244A2"/>
    <w:rsid w:val="00F24890"/>
    <w:rsid w:val="00F25217"/>
    <w:rsid w:val="00F4416E"/>
    <w:rsid w:val="00F5030E"/>
    <w:rsid w:val="00F62A15"/>
    <w:rsid w:val="00F73AC7"/>
    <w:rsid w:val="00FC7ED1"/>
    <w:rsid w:val="00FE1759"/>
    <w:rsid w:val="00FF1CA5"/>
    <w:rsid w:val="00FF2E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30A229FB-601D-4FC8-9ADC-1B85272F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E1759"/>
    <w:pPr>
      <w:spacing w:before="120" w:after="120" w:line="280" w:lineRule="exact"/>
      <w:jc w:val="both"/>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spacing w:line="280" w:lineRule="atLeast"/>
    </w:pPr>
    <w:rPr>
      <w:rFonts w:eastAsia="Calibri" w:cs="Times New Roman"/>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line="280" w:lineRule="atLeast"/>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outlineLvl w:val="4"/>
    </w:pPr>
    <w:rPr>
      <w:rFonts w:eastAsia="Times New Roman" w:cs="Times New Roman"/>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Header">
    <w:name w:val="header"/>
    <w:basedOn w:val="Normal"/>
    <w:link w:val="HeaderChar"/>
    <w:rsid w:val="002F6469"/>
    <w:pPr>
      <w:tabs>
        <w:tab w:val="center" w:pos="4536"/>
        <w:tab w:val="right" w:pos="9072"/>
      </w:tabs>
      <w:spacing w:line="260" w:lineRule="atLeast"/>
    </w:pPr>
    <w:rPr>
      <w:rFonts w:ascii="Calibri" w:eastAsia="Calibri" w:hAnsi="Calibri" w:cs="Times New Roman"/>
      <w:sz w:val="20"/>
      <w:szCs w:val="20"/>
    </w:rPr>
  </w:style>
  <w:style w:type="character" w:customStyle="1" w:styleId="HeaderChar">
    <w:name w:val="Header Char"/>
    <w:basedOn w:val="DefaultParagraphFont"/>
    <w:link w:val="Header"/>
    <w:rsid w:val="002F6469"/>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244102">
      <w:bodyDiv w:val="1"/>
      <w:marLeft w:val="0"/>
      <w:marRight w:val="0"/>
      <w:marTop w:val="0"/>
      <w:marBottom w:val="0"/>
      <w:divBdr>
        <w:top w:val="none" w:sz="0" w:space="0" w:color="auto"/>
        <w:left w:val="none" w:sz="0" w:space="0" w:color="auto"/>
        <w:bottom w:val="none" w:sz="0" w:space="0" w:color="auto"/>
        <w:right w:val="none" w:sz="0" w:space="0" w:color="auto"/>
      </w:divBdr>
      <w:divsChild>
        <w:div w:id="1991249725">
          <w:marLeft w:val="547"/>
          <w:marRight w:val="0"/>
          <w:marTop w:val="96"/>
          <w:marBottom w:val="0"/>
          <w:divBdr>
            <w:top w:val="none" w:sz="0" w:space="0" w:color="auto"/>
            <w:left w:val="none" w:sz="0" w:space="0" w:color="auto"/>
            <w:bottom w:val="none" w:sz="0" w:space="0" w:color="auto"/>
            <w:right w:val="none" w:sz="0" w:space="0" w:color="auto"/>
          </w:divBdr>
        </w:div>
        <w:div w:id="998850001">
          <w:marLeft w:val="547"/>
          <w:marRight w:val="0"/>
          <w:marTop w:val="96"/>
          <w:marBottom w:val="0"/>
          <w:divBdr>
            <w:top w:val="none" w:sz="0" w:space="0" w:color="auto"/>
            <w:left w:val="none" w:sz="0" w:space="0" w:color="auto"/>
            <w:bottom w:val="none" w:sz="0" w:space="0" w:color="auto"/>
            <w:right w:val="none" w:sz="0" w:space="0" w:color="auto"/>
          </w:divBdr>
        </w:div>
        <w:div w:id="782194922">
          <w:marLeft w:val="547"/>
          <w:marRight w:val="0"/>
          <w:marTop w:val="96"/>
          <w:marBottom w:val="0"/>
          <w:divBdr>
            <w:top w:val="none" w:sz="0" w:space="0" w:color="auto"/>
            <w:left w:val="none" w:sz="0" w:space="0" w:color="auto"/>
            <w:bottom w:val="none" w:sz="0" w:space="0" w:color="auto"/>
            <w:right w:val="none" w:sz="0" w:space="0" w:color="auto"/>
          </w:divBdr>
        </w:div>
        <w:div w:id="1576933308">
          <w:marLeft w:val="547"/>
          <w:marRight w:val="0"/>
          <w:marTop w:val="96"/>
          <w:marBottom w:val="0"/>
          <w:divBdr>
            <w:top w:val="none" w:sz="0" w:space="0" w:color="auto"/>
            <w:left w:val="none" w:sz="0" w:space="0" w:color="auto"/>
            <w:bottom w:val="none" w:sz="0" w:space="0" w:color="auto"/>
            <w:right w:val="none" w:sz="0" w:space="0" w:color="auto"/>
          </w:divBdr>
        </w:div>
        <w:div w:id="1507212085">
          <w:marLeft w:val="547"/>
          <w:marRight w:val="0"/>
          <w:marTop w:val="96"/>
          <w:marBottom w:val="0"/>
          <w:divBdr>
            <w:top w:val="none" w:sz="0" w:space="0" w:color="auto"/>
            <w:left w:val="none" w:sz="0" w:space="0" w:color="auto"/>
            <w:bottom w:val="none" w:sz="0" w:space="0" w:color="auto"/>
            <w:right w:val="none" w:sz="0" w:space="0" w:color="auto"/>
          </w:divBdr>
        </w:div>
        <w:div w:id="197663571">
          <w:marLeft w:val="547"/>
          <w:marRight w:val="0"/>
          <w:marTop w:val="96"/>
          <w:marBottom w:val="0"/>
          <w:divBdr>
            <w:top w:val="none" w:sz="0" w:space="0" w:color="auto"/>
            <w:left w:val="none" w:sz="0" w:space="0" w:color="auto"/>
            <w:bottom w:val="none" w:sz="0" w:space="0" w:color="auto"/>
            <w:right w:val="none" w:sz="0" w:space="0" w:color="auto"/>
          </w:divBdr>
        </w:div>
        <w:div w:id="95101004">
          <w:marLeft w:val="547"/>
          <w:marRight w:val="0"/>
          <w:marTop w:val="96"/>
          <w:marBottom w:val="0"/>
          <w:divBdr>
            <w:top w:val="none" w:sz="0" w:space="0" w:color="auto"/>
            <w:left w:val="none" w:sz="0" w:space="0" w:color="auto"/>
            <w:bottom w:val="none" w:sz="0" w:space="0" w:color="auto"/>
            <w:right w:val="none" w:sz="0" w:space="0" w:color="auto"/>
          </w:divBdr>
        </w:div>
      </w:divsChild>
    </w:div>
    <w:div w:id="437066974">
      <w:bodyDiv w:val="1"/>
      <w:marLeft w:val="0"/>
      <w:marRight w:val="0"/>
      <w:marTop w:val="0"/>
      <w:marBottom w:val="0"/>
      <w:divBdr>
        <w:top w:val="none" w:sz="0" w:space="0" w:color="auto"/>
        <w:left w:val="none" w:sz="0" w:space="0" w:color="auto"/>
        <w:bottom w:val="none" w:sz="0" w:space="0" w:color="auto"/>
        <w:right w:val="none" w:sz="0" w:space="0" w:color="auto"/>
      </w:divBdr>
    </w:div>
    <w:div w:id="589196519">
      <w:bodyDiv w:val="1"/>
      <w:marLeft w:val="0"/>
      <w:marRight w:val="0"/>
      <w:marTop w:val="0"/>
      <w:marBottom w:val="0"/>
      <w:divBdr>
        <w:top w:val="none" w:sz="0" w:space="0" w:color="auto"/>
        <w:left w:val="none" w:sz="0" w:space="0" w:color="auto"/>
        <w:bottom w:val="none" w:sz="0" w:space="0" w:color="auto"/>
        <w:right w:val="none" w:sz="0" w:space="0" w:color="auto"/>
      </w:divBdr>
      <w:divsChild>
        <w:div w:id="1850564417">
          <w:marLeft w:val="547"/>
          <w:marRight w:val="0"/>
          <w:marTop w:val="96"/>
          <w:marBottom w:val="0"/>
          <w:divBdr>
            <w:top w:val="none" w:sz="0" w:space="0" w:color="auto"/>
            <w:left w:val="none" w:sz="0" w:space="0" w:color="auto"/>
            <w:bottom w:val="none" w:sz="0" w:space="0" w:color="auto"/>
            <w:right w:val="none" w:sz="0" w:space="0" w:color="auto"/>
          </w:divBdr>
        </w:div>
        <w:div w:id="1647272980">
          <w:marLeft w:val="547"/>
          <w:marRight w:val="0"/>
          <w:marTop w:val="96"/>
          <w:marBottom w:val="0"/>
          <w:divBdr>
            <w:top w:val="none" w:sz="0" w:space="0" w:color="auto"/>
            <w:left w:val="none" w:sz="0" w:space="0" w:color="auto"/>
            <w:bottom w:val="none" w:sz="0" w:space="0" w:color="auto"/>
            <w:right w:val="none" w:sz="0" w:space="0" w:color="auto"/>
          </w:divBdr>
        </w:div>
        <w:div w:id="1670524241">
          <w:marLeft w:val="547"/>
          <w:marRight w:val="0"/>
          <w:marTop w:val="96"/>
          <w:marBottom w:val="0"/>
          <w:divBdr>
            <w:top w:val="none" w:sz="0" w:space="0" w:color="auto"/>
            <w:left w:val="none" w:sz="0" w:space="0" w:color="auto"/>
            <w:bottom w:val="none" w:sz="0" w:space="0" w:color="auto"/>
            <w:right w:val="none" w:sz="0" w:space="0" w:color="auto"/>
          </w:divBdr>
        </w:div>
        <w:div w:id="681932016">
          <w:marLeft w:val="547"/>
          <w:marRight w:val="0"/>
          <w:marTop w:val="96"/>
          <w:marBottom w:val="0"/>
          <w:divBdr>
            <w:top w:val="none" w:sz="0" w:space="0" w:color="auto"/>
            <w:left w:val="none" w:sz="0" w:space="0" w:color="auto"/>
            <w:bottom w:val="none" w:sz="0" w:space="0" w:color="auto"/>
            <w:right w:val="none" w:sz="0" w:space="0" w:color="auto"/>
          </w:divBdr>
        </w:div>
        <w:div w:id="1094278371">
          <w:marLeft w:val="547"/>
          <w:marRight w:val="0"/>
          <w:marTop w:val="96"/>
          <w:marBottom w:val="0"/>
          <w:divBdr>
            <w:top w:val="none" w:sz="0" w:space="0" w:color="auto"/>
            <w:left w:val="none" w:sz="0" w:space="0" w:color="auto"/>
            <w:bottom w:val="none" w:sz="0" w:space="0" w:color="auto"/>
            <w:right w:val="none" w:sz="0" w:space="0" w:color="auto"/>
          </w:divBdr>
        </w:div>
        <w:div w:id="1881673550">
          <w:marLeft w:val="547"/>
          <w:marRight w:val="0"/>
          <w:marTop w:val="96"/>
          <w:marBottom w:val="0"/>
          <w:divBdr>
            <w:top w:val="none" w:sz="0" w:space="0" w:color="auto"/>
            <w:left w:val="none" w:sz="0" w:space="0" w:color="auto"/>
            <w:bottom w:val="none" w:sz="0" w:space="0" w:color="auto"/>
            <w:right w:val="none" w:sz="0" w:space="0" w:color="auto"/>
          </w:divBdr>
        </w:div>
        <w:div w:id="1117217149">
          <w:marLeft w:val="547"/>
          <w:marRight w:val="0"/>
          <w:marTop w:val="96"/>
          <w:marBottom w:val="0"/>
          <w:divBdr>
            <w:top w:val="none" w:sz="0" w:space="0" w:color="auto"/>
            <w:left w:val="none" w:sz="0" w:space="0" w:color="auto"/>
            <w:bottom w:val="none" w:sz="0" w:space="0" w:color="auto"/>
            <w:right w:val="none" w:sz="0" w:space="0" w:color="auto"/>
          </w:divBdr>
        </w:div>
      </w:divsChild>
    </w:div>
    <w:div w:id="810174554">
      <w:bodyDiv w:val="1"/>
      <w:marLeft w:val="0"/>
      <w:marRight w:val="0"/>
      <w:marTop w:val="0"/>
      <w:marBottom w:val="0"/>
      <w:divBdr>
        <w:top w:val="none" w:sz="0" w:space="0" w:color="auto"/>
        <w:left w:val="none" w:sz="0" w:space="0" w:color="auto"/>
        <w:bottom w:val="none" w:sz="0" w:space="0" w:color="auto"/>
        <w:right w:val="none" w:sz="0" w:space="0" w:color="auto"/>
      </w:divBdr>
    </w:div>
    <w:div w:id="1116872922">
      <w:bodyDiv w:val="1"/>
      <w:marLeft w:val="0"/>
      <w:marRight w:val="0"/>
      <w:marTop w:val="0"/>
      <w:marBottom w:val="0"/>
      <w:divBdr>
        <w:top w:val="none" w:sz="0" w:space="0" w:color="auto"/>
        <w:left w:val="none" w:sz="0" w:space="0" w:color="auto"/>
        <w:bottom w:val="none" w:sz="0" w:space="0" w:color="auto"/>
        <w:right w:val="none" w:sz="0" w:space="0" w:color="auto"/>
      </w:divBdr>
      <w:divsChild>
        <w:div w:id="1055079314">
          <w:marLeft w:val="547"/>
          <w:marRight w:val="0"/>
          <w:marTop w:val="91"/>
          <w:marBottom w:val="0"/>
          <w:divBdr>
            <w:top w:val="none" w:sz="0" w:space="0" w:color="auto"/>
            <w:left w:val="none" w:sz="0" w:space="0" w:color="auto"/>
            <w:bottom w:val="none" w:sz="0" w:space="0" w:color="auto"/>
            <w:right w:val="none" w:sz="0" w:space="0" w:color="auto"/>
          </w:divBdr>
        </w:div>
        <w:div w:id="1261988909">
          <w:marLeft w:val="547"/>
          <w:marRight w:val="0"/>
          <w:marTop w:val="91"/>
          <w:marBottom w:val="0"/>
          <w:divBdr>
            <w:top w:val="none" w:sz="0" w:space="0" w:color="auto"/>
            <w:left w:val="none" w:sz="0" w:space="0" w:color="auto"/>
            <w:bottom w:val="none" w:sz="0" w:space="0" w:color="auto"/>
            <w:right w:val="none" w:sz="0" w:space="0" w:color="auto"/>
          </w:divBdr>
        </w:div>
        <w:div w:id="378747211">
          <w:marLeft w:val="547"/>
          <w:marRight w:val="0"/>
          <w:marTop w:val="91"/>
          <w:marBottom w:val="0"/>
          <w:divBdr>
            <w:top w:val="none" w:sz="0" w:space="0" w:color="auto"/>
            <w:left w:val="none" w:sz="0" w:space="0" w:color="auto"/>
            <w:bottom w:val="none" w:sz="0" w:space="0" w:color="auto"/>
            <w:right w:val="none" w:sz="0" w:space="0" w:color="auto"/>
          </w:divBdr>
        </w:div>
        <w:div w:id="1010529635">
          <w:marLeft w:val="547"/>
          <w:marRight w:val="0"/>
          <w:marTop w:val="91"/>
          <w:marBottom w:val="0"/>
          <w:divBdr>
            <w:top w:val="none" w:sz="0" w:space="0" w:color="auto"/>
            <w:left w:val="none" w:sz="0" w:space="0" w:color="auto"/>
            <w:bottom w:val="none" w:sz="0" w:space="0" w:color="auto"/>
            <w:right w:val="none" w:sz="0" w:space="0" w:color="auto"/>
          </w:divBdr>
        </w:div>
        <w:div w:id="231040696">
          <w:marLeft w:val="547"/>
          <w:marRight w:val="0"/>
          <w:marTop w:val="91"/>
          <w:marBottom w:val="0"/>
          <w:divBdr>
            <w:top w:val="none" w:sz="0" w:space="0" w:color="auto"/>
            <w:left w:val="none" w:sz="0" w:space="0" w:color="auto"/>
            <w:bottom w:val="none" w:sz="0" w:space="0" w:color="auto"/>
            <w:right w:val="none" w:sz="0" w:space="0" w:color="auto"/>
          </w:divBdr>
        </w:div>
        <w:div w:id="2062509068">
          <w:marLeft w:val="547"/>
          <w:marRight w:val="0"/>
          <w:marTop w:val="91"/>
          <w:marBottom w:val="0"/>
          <w:divBdr>
            <w:top w:val="none" w:sz="0" w:space="0" w:color="auto"/>
            <w:left w:val="none" w:sz="0" w:space="0" w:color="auto"/>
            <w:bottom w:val="none" w:sz="0" w:space="0" w:color="auto"/>
            <w:right w:val="none" w:sz="0" w:space="0" w:color="auto"/>
          </w:divBdr>
        </w:div>
      </w:divsChild>
    </w:div>
    <w:div w:id="1446920217">
      <w:bodyDiv w:val="1"/>
      <w:marLeft w:val="0"/>
      <w:marRight w:val="0"/>
      <w:marTop w:val="0"/>
      <w:marBottom w:val="0"/>
      <w:divBdr>
        <w:top w:val="none" w:sz="0" w:space="0" w:color="auto"/>
        <w:left w:val="none" w:sz="0" w:space="0" w:color="auto"/>
        <w:bottom w:val="none" w:sz="0" w:space="0" w:color="auto"/>
        <w:right w:val="none" w:sz="0" w:space="0" w:color="auto"/>
      </w:divBdr>
    </w:div>
    <w:div w:id="14583294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e.int/t/dghl/monitoring/moneyval/" TargetMode="External"/><Relationship Id="rId12" Type="http://schemas.openxmlformats.org/officeDocument/2006/relationships/hyperlink" Target="http://www.coe.int/t/dghl/monitoring/cop198/about/about_en.asp" TargetMode="External"/><Relationship Id="rId13" Type="http://schemas.openxmlformats.org/officeDocument/2006/relationships/hyperlink" Target="http://www.coe.int/en/web/cybercrime/tcy" TargetMode="External"/><Relationship Id="rId14" Type="http://schemas.openxmlformats.org/officeDocument/2006/relationships/hyperlink" Target="http://www.coe.int/t/DGHL/STANDARDSETTING/PC-OC/" TargetMode="External"/><Relationship Id="rId15" Type="http://schemas.openxmlformats.org/officeDocument/2006/relationships/hyperlink" Target="http://www.fatf-gafi.org/"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carin-network.org/" TargetMode="External"/><Relationship Id="rId8" Type="http://schemas.openxmlformats.org/officeDocument/2006/relationships/hyperlink" Target="https://egmontgroup.org/en" TargetMode="External"/><Relationship Id="rId9" Type="http://schemas.openxmlformats.org/officeDocument/2006/relationships/hyperlink" Target="http://www.selec.org/" TargetMode="External"/><Relationship Id="rId10" Type="http://schemas.openxmlformats.org/officeDocument/2006/relationships/hyperlink" Target="http://www.pccseesecretariat.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4204</Words>
  <Characters>23967</Characters>
  <Application>Microsoft Macintosh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28115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Hande Güner</cp:lastModifiedBy>
  <cp:revision>7</cp:revision>
  <dcterms:created xsi:type="dcterms:W3CDTF">2017-11-06T08:14:00Z</dcterms:created>
  <dcterms:modified xsi:type="dcterms:W3CDTF">2017-11-07T13:46:00Z</dcterms:modified>
</cp:coreProperties>
</file>