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AB5B69"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BBF667A" w14:textId="77777777" w:rsidR="00AB5B69" w:rsidRDefault="00AB5B69" w:rsidP="005A398A">
      <w:pPr>
        <w:jc w:val="center"/>
        <w:rPr>
          <w:rFonts w:ascii="Myriad Pro" w:eastAsia="Calibri" w:hAnsi="Myriad Pro" w:cs="Calibri"/>
          <w:b/>
          <w:bCs/>
          <w:color w:val="2F5496"/>
          <w:sz w:val="28"/>
          <w:szCs w:val="32"/>
          <w:lang w:val="en-GB"/>
        </w:rPr>
      </w:pPr>
    </w:p>
    <w:p w14:paraId="3D4E8C1A" w14:textId="6345118E" w:rsidR="005A398A" w:rsidRPr="00AB5B69" w:rsidRDefault="005A398A" w:rsidP="005A398A">
      <w:pPr>
        <w:jc w:val="center"/>
        <w:rPr>
          <w:rFonts w:ascii="Myriad Pro" w:eastAsia="Calibri" w:hAnsi="Myriad Pro" w:cs="Calibri"/>
          <w:b/>
          <w:bCs/>
          <w:color w:val="2F5496"/>
          <w:sz w:val="28"/>
          <w:szCs w:val="32"/>
          <w:lang w:val="en-GB"/>
        </w:rPr>
      </w:pPr>
      <w:r w:rsidRPr="00AB5B69">
        <w:rPr>
          <w:rFonts w:ascii="Myriad Pro" w:eastAsia="Calibri" w:hAnsi="Myriad Pro" w:cs="Calibri"/>
          <w:b/>
          <w:bCs/>
          <w:color w:val="2F5496"/>
          <w:sz w:val="28"/>
          <w:szCs w:val="32"/>
          <w:lang w:val="en-GB"/>
        </w:rPr>
        <w:t xml:space="preserve">Tool 2 - Supporting recently arrived </w:t>
      </w:r>
      <w:proofErr w:type="gramStart"/>
      <w:r w:rsidRPr="00AB5B69">
        <w:rPr>
          <w:rFonts w:ascii="Myriad Pro" w:eastAsia="Calibri" w:hAnsi="Myriad Pro" w:cs="Calibri"/>
          <w:b/>
          <w:bCs/>
          <w:color w:val="2F5496"/>
          <w:sz w:val="28"/>
          <w:szCs w:val="32"/>
          <w:lang w:val="en-GB"/>
        </w:rPr>
        <w:t>migrants</w:t>
      </w:r>
      <w:proofErr w:type="gramEnd"/>
      <w:r w:rsidRPr="00AB5B69">
        <w:rPr>
          <w:rFonts w:ascii="Myriad Pro" w:eastAsia="Calibri" w:hAnsi="Myriad Pro" w:cs="Calibri"/>
          <w:b/>
          <w:bCs/>
          <w:color w:val="2F5496"/>
          <w:sz w:val="28"/>
          <w:szCs w:val="32"/>
          <w:lang w:val="en-GB"/>
        </w:rPr>
        <w:t xml:space="preserve"> </w:t>
      </w:r>
    </w:p>
    <w:p w14:paraId="01AAF144" w14:textId="0050F834" w:rsidR="005A398A" w:rsidRPr="00AB5B69" w:rsidRDefault="005A398A" w:rsidP="005A398A">
      <w:pPr>
        <w:jc w:val="center"/>
        <w:rPr>
          <w:rFonts w:ascii="Myriad Pro" w:eastAsia="Calibri" w:hAnsi="Myriad Pro" w:cs="Calibri"/>
          <w:b/>
          <w:bCs/>
          <w:color w:val="2F5496"/>
          <w:sz w:val="28"/>
          <w:szCs w:val="32"/>
          <w:lang w:val="en-GB"/>
        </w:rPr>
      </w:pPr>
      <w:r w:rsidRPr="00AB5B69">
        <w:rPr>
          <w:rFonts w:ascii="Myriad Pro" w:eastAsia="Calibri" w:hAnsi="Myriad Pro" w:cs="Calibri"/>
          <w:b/>
          <w:bCs/>
          <w:color w:val="2F5496"/>
          <w:sz w:val="28"/>
          <w:szCs w:val="32"/>
          <w:lang w:val="en-GB"/>
        </w:rPr>
        <w:t xml:space="preserve">who are adjusting to their new </w:t>
      </w:r>
      <w:proofErr w:type="gramStart"/>
      <w:r w:rsidRPr="00AB5B69">
        <w:rPr>
          <w:rFonts w:ascii="Myriad Pro" w:eastAsia="Calibri" w:hAnsi="Myriad Pro" w:cs="Calibri"/>
          <w:b/>
          <w:bCs/>
          <w:color w:val="2F5496"/>
          <w:sz w:val="28"/>
          <w:szCs w:val="32"/>
          <w:lang w:val="en-GB"/>
        </w:rPr>
        <w:t>situation</w:t>
      </w:r>
      <w:proofErr w:type="gramEnd"/>
    </w:p>
    <w:p w14:paraId="79E50571" w14:textId="77777777" w:rsidR="005A398A" w:rsidRPr="005A398A" w:rsidRDefault="005A398A" w:rsidP="005A398A">
      <w:pPr>
        <w:jc w:val="center"/>
        <w:rPr>
          <w:rFonts w:ascii="Myriad Pro" w:eastAsia="Calibri" w:hAnsi="Myriad Pro" w:cs="Calibri"/>
          <w:b/>
          <w:bCs/>
          <w:color w:val="2F5496"/>
          <w:sz w:val="30"/>
          <w:szCs w:val="36"/>
          <w:lang w:val="en-GB"/>
        </w:rPr>
      </w:pPr>
    </w:p>
    <w:p w14:paraId="15F66EDC" w14:textId="77777777" w:rsidR="005A398A" w:rsidRPr="00AB5B69" w:rsidRDefault="005A398A" w:rsidP="005A398A">
      <w:pPr>
        <w:shd w:val="clear" w:color="auto" w:fill="DDDDDD"/>
        <w:tabs>
          <w:tab w:val="left" w:pos="709"/>
        </w:tabs>
        <w:spacing w:after="240"/>
        <w:ind w:left="703" w:hanging="703"/>
        <w:jc w:val="both"/>
        <w:rPr>
          <w:rFonts w:ascii="Myriad Pro" w:eastAsia="Calibri" w:hAnsi="Myriad Pro"/>
          <w:b/>
          <w:sz w:val="22"/>
          <w:lang w:val="en-GB"/>
        </w:rPr>
      </w:pPr>
      <w:r w:rsidRPr="00AB5B69">
        <w:rPr>
          <w:rFonts w:ascii="Myriad Pro" w:eastAsia="Calibri" w:hAnsi="Myriad Pro"/>
          <w:b/>
          <w:sz w:val="22"/>
          <w:lang w:val="en-GB"/>
        </w:rPr>
        <w:t xml:space="preserve">Aim: </w:t>
      </w:r>
      <w:r w:rsidRPr="00AB5B69">
        <w:rPr>
          <w:rFonts w:ascii="Myriad Pro" w:eastAsia="Calibri" w:hAnsi="Myriad Pro"/>
          <w:b/>
          <w:sz w:val="22"/>
          <w:lang w:val="en-GB"/>
        </w:rPr>
        <w:tab/>
        <w:t>To suggest ways of supporting recently arrived migrants when they are making sense of their new circumstances and surroundings and to adjust to their new situation.</w:t>
      </w:r>
    </w:p>
    <w:p w14:paraId="072D38FF" w14:textId="77777777" w:rsidR="00AB5B69" w:rsidRDefault="005A398A" w:rsidP="005A398A">
      <w:pPr>
        <w:spacing w:before="120"/>
        <w:jc w:val="both"/>
        <w:rPr>
          <w:rFonts w:ascii="Myriad Pro" w:eastAsia="Calibri" w:hAnsi="Myriad Pro" w:cs="Calibri"/>
          <w:sz w:val="20"/>
          <w:szCs w:val="20"/>
          <w:lang w:val="en-GB"/>
        </w:rPr>
      </w:pPr>
      <w:r w:rsidRPr="00AB5B69">
        <w:rPr>
          <w:rFonts w:ascii="Myriad Pro" w:eastAsia="Calibri" w:hAnsi="Myriad Pro" w:cs="Calibri"/>
          <w:sz w:val="20"/>
          <w:szCs w:val="20"/>
          <w:lang w:val="en-GB"/>
        </w:rPr>
        <w:t xml:space="preserve">When they arrive in a new country it is common for migrants to feel various sorts of anxiety and apprehension about their unfamiliar surroundings. From an educational point of view, this ‘culture shock’ needs to be managed by the institutions or people concerned with their welfare. </w:t>
      </w:r>
    </w:p>
    <w:p w14:paraId="04D50194" w14:textId="19FFD8CF" w:rsidR="005A398A" w:rsidRPr="00AB5B69" w:rsidRDefault="005A398A" w:rsidP="005A398A">
      <w:pPr>
        <w:spacing w:before="120"/>
        <w:jc w:val="both"/>
        <w:rPr>
          <w:rFonts w:ascii="Myriad Pro" w:eastAsia="Calibri" w:hAnsi="Myriad Pro" w:cs="Calibri"/>
          <w:sz w:val="20"/>
          <w:szCs w:val="20"/>
          <w:lang w:val="en-GB"/>
        </w:rPr>
      </w:pPr>
      <w:r w:rsidRPr="00AB5B69">
        <w:rPr>
          <w:rFonts w:ascii="Myriad Pro" w:eastAsia="Calibri" w:hAnsi="Myriad Pro" w:cs="Calibri"/>
          <w:sz w:val="20"/>
          <w:szCs w:val="20"/>
          <w:lang w:val="en-GB"/>
        </w:rPr>
        <w:t>Managing the unexpected reactions and curiosity that newly arriving migrants may experience when encountering new and unfamiliar circumstances is an integral part of intercultural education. The ‘shock’ that migrant learners experience may be a reaction to new discoveries about the host community and their living conditions. These may include:</w:t>
      </w:r>
    </w:p>
    <w:p w14:paraId="7AAA2CAB" w14:textId="77777777" w:rsidR="005A398A" w:rsidRPr="00AB5B69" w:rsidRDefault="005A398A" w:rsidP="005A398A">
      <w:pPr>
        <w:numPr>
          <w:ilvl w:val="0"/>
          <w:numId w:val="15"/>
        </w:numPr>
        <w:jc w:val="both"/>
        <w:rPr>
          <w:rFonts w:ascii="Myriad Pro" w:eastAsia="Calibri" w:hAnsi="Myriad Pro" w:cs="Calibri"/>
          <w:sz w:val="20"/>
          <w:szCs w:val="20"/>
          <w:lang w:val="en-GB"/>
        </w:rPr>
      </w:pPr>
      <w:r w:rsidRPr="00AB5B69">
        <w:rPr>
          <w:rFonts w:ascii="Myriad Pro" w:eastAsia="Calibri" w:hAnsi="Myriad Pro" w:cs="Calibri"/>
          <w:sz w:val="20"/>
          <w:szCs w:val="20"/>
          <w:lang w:val="en-GB"/>
        </w:rPr>
        <w:t>an unfamiliar educational culture</w:t>
      </w:r>
    </w:p>
    <w:p w14:paraId="6D809085" w14:textId="77777777" w:rsidR="005A398A" w:rsidRPr="00AB5B69" w:rsidRDefault="005A398A" w:rsidP="005A398A">
      <w:pPr>
        <w:numPr>
          <w:ilvl w:val="0"/>
          <w:numId w:val="15"/>
        </w:numPr>
        <w:jc w:val="both"/>
        <w:rPr>
          <w:rFonts w:ascii="Myriad Pro" w:eastAsia="Calibri" w:hAnsi="Myriad Pro" w:cs="Calibri"/>
          <w:sz w:val="20"/>
          <w:szCs w:val="20"/>
          <w:lang w:val="en-GB"/>
        </w:rPr>
      </w:pPr>
      <w:r w:rsidRPr="00AB5B69">
        <w:rPr>
          <w:rFonts w:ascii="Myriad Pro" w:eastAsia="Calibri" w:hAnsi="Myriad Pro" w:cs="Calibri"/>
          <w:sz w:val="20"/>
          <w:szCs w:val="20"/>
          <w:lang w:val="en-GB"/>
        </w:rPr>
        <w:t>food, the organisation of meals, mealtimes etc.</w:t>
      </w:r>
    </w:p>
    <w:p w14:paraId="7835323A" w14:textId="77777777" w:rsidR="005A398A" w:rsidRPr="00AB5B69" w:rsidRDefault="005A398A" w:rsidP="005A398A">
      <w:pPr>
        <w:numPr>
          <w:ilvl w:val="0"/>
          <w:numId w:val="15"/>
        </w:numPr>
        <w:jc w:val="both"/>
        <w:rPr>
          <w:rFonts w:ascii="Myriad Pro" w:eastAsia="Calibri" w:hAnsi="Myriad Pro" w:cs="Calibri"/>
          <w:sz w:val="20"/>
          <w:szCs w:val="20"/>
          <w:lang w:val="en-GB"/>
        </w:rPr>
      </w:pPr>
      <w:r w:rsidRPr="00AB5B69">
        <w:rPr>
          <w:rFonts w:ascii="Myriad Pro" w:eastAsia="Calibri" w:hAnsi="Myriad Pro" w:cs="Calibri"/>
          <w:sz w:val="20"/>
          <w:szCs w:val="20"/>
          <w:lang w:val="en-GB"/>
        </w:rPr>
        <w:t xml:space="preserve">the clothes people </w:t>
      </w:r>
      <w:proofErr w:type="gramStart"/>
      <w:r w:rsidRPr="00AB5B69">
        <w:rPr>
          <w:rFonts w:ascii="Myriad Pro" w:eastAsia="Calibri" w:hAnsi="Myriad Pro" w:cs="Calibri"/>
          <w:sz w:val="20"/>
          <w:szCs w:val="20"/>
          <w:lang w:val="en-GB"/>
        </w:rPr>
        <w:t>wear</w:t>
      </w:r>
      <w:proofErr w:type="gramEnd"/>
      <w:r w:rsidRPr="00AB5B69">
        <w:rPr>
          <w:rFonts w:ascii="Myriad Pro" w:eastAsia="Calibri" w:hAnsi="Myriad Pro" w:cs="Calibri"/>
          <w:sz w:val="20"/>
          <w:szCs w:val="20"/>
          <w:lang w:val="en-GB"/>
        </w:rPr>
        <w:t xml:space="preserve"> </w:t>
      </w:r>
    </w:p>
    <w:p w14:paraId="2BD4DB46" w14:textId="032FFE8D" w:rsidR="005A398A" w:rsidRPr="00AB5B69" w:rsidRDefault="005A398A" w:rsidP="005A398A">
      <w:pPr>
        <w:numPr>
          <w:ilvl w:val="0"/>
          <w:numId w:val="15"/>
        </w:numPr>
        <w:jc w:val="both"/>
        <w:rPr>
          <w:rFonts w:ascii="Myriad Pro" w:eastAsia="Calibri" w:hAnsi="Myriad Pro" w:cs="Calibri"/>
          <w:sz w:val="20"/>
          <w:szCs w:val="20"/>
          <w:lang w:val="en-GB"/>
        </w:rPr>
      </w:pPr>
      <w:r w:rsidRPr="00AB5B69">
        <w:rPr>
          <w:rFonts w:ascii="Myriad Pro" w:eastAsia="Calibri" w:hAnsi="Myriad Pro" w:cs="Calibri"/>
          <w:sz w:val="20"/>
          <w:szCs w:val="20"/>
          <w:lang w:val="en-GB"/>
        </w:rPr>
        <w:t xml:space="preserve">the most popular kinds of sports, </w:t>
      </w:r>
      <w:r w:rsidR="00AB5B69" w:rsidRPr="00AB5B69">
        <w:rPr>
          <w:rFonts w:ascii="Myriad Pro" w:eastAsia="Calibri" w:hAnsi="Myriad Pro" w:cs="Calibri"/>
          <w:sz w:val="20"/>
          <w:szCs w:val="20"/>
          <w:lang w:val="en-GB"/>
        </w:rPr>
        <w:t>games,</w:t>
      </w:r>
      <w:r w:rsidRPr="00AB5B69">
        <w:rPr>
          <w:rFonts w:ascii="Myriad Pro" w:eastAsia="Calibri" w:hAnsi="Myriad Pro" w:cs="Calibri"/>
          <w:sz w:val="20"/>
          <w:szCs w:val="20"/>
          <w:lang w:val="en-GB"/>
        </w:rPr>
        <w:t xml:space="preserve"> or pastimes </w:t>
      </w:r>
    </w:p>
    <w:p w14:paraId="1FECDE2E" w14:textId="77777777" w:rsidR="005A398A" w:rsidRPr="00AB5B69" w:rsidRDefault="005A398A" w:rsidP="005A398A">
      <w:pPr>
        <w:numPr>
          <w:ilvl w:val="0"/>
          <w:numId w:val="15"/>
        </w:numPr>
        <w:jc w:val="both"/>
        <w:rPr>
          <w:rFonts w:ascii="Myriad Pro" w:eastAsia="Calibri" w:hAnsi="Myriad Pro" w:cs="Calibri"/>
          <w:sz w:val="20"/>
          <w:szCs w:val="20"/>
          <w:lang w:val="en-GB"/>
        </w:rPr>
      </w:pPr>
      <w:r w:rsidRPr="00AB5B69">
        <w:rPr>
          <w:rFonts w:ascii="Myriad Pro" w:eastAsia="Calibri" w:hAnsi="Myriad Pro" w:cs="Calibri"/>
          <w:sz w:val="20"/>
          <w:szCs w:val="20"/>
          <w:lang w:val="en-GB"/>
        </w:rPr>
        <w:t>the media, such as local or national TV</w:t>
      </w:r>
    </w:p>
    <w:p w14:paraId="5D1444B4" w14:textId="77777777" w:rsidR="005A398A" w:rsidRPr="00AB5B69" w:rsidRDefault="005A398A" w:rsidP="005A398A">
      <w:pPr>
        <w:numPr>
          <w:ilvl w:val="0"/>
          <w:numId w:val="15"/>
        </w:numPr>
        <w:spacing w:after="120"/>
        <w:ind w:left="714" w:hanging="357"/>
        <w:jc w:val="both"/>
        <w:rPr>
          <w:rFonts w:ascii="Myriad Pro" w:eastAsia="Calibri" w:hAnsi="Myriad Pro" w:cs="Calibri"/>
          <w:sz w:val="20"/>
          <w:szCs w:val="20"/>
          <w:lang w:val="en-GB"/>
        </w:rPr>
      </w:pPr>
      <w:r w:rsidRPr="00AB5B69">
        <w:rPr>
          <w:rFonts w:ascii="Myriad Pro" w:eastAsia="Calibri" w:hAnsi="Myriad Pro" w:cs="Calibri"/>
          <w:sz w:val="20"/>
          <w:szCs w:val="20"/>
          <w:lang w:val="en-GB"/>
        </w:rPr>
        <w:t>the organisation of leisure time, including national holidays; and so on.</w:t>
      </w:r>
    </w:p>
    <w:p w14:paraId="57DA6791" w14:textId="77777777" w:rsidR="00AB5B69" w:rsidRDefault="00AB5B69" w:rsidP="005A398A">
      <w:pPr>
        <w:spacing w:before="120" w:after="120"/>
        <w:jc w:val="both"/>
        <w:rPr>
          <w:rFonts w:ascii="Myriad Pro" w:eastAsia="Calibri" w:hAnsi="Myriad Pro" w:cs="Calibri"/>
          <w:b/>
          <w:bCs/>
          <w:sz w:val="20"/>
          <w:szCs w:val="20"/>
          <w:lang w:val="en-GB"/>
        </w:rPr>
      </w:pPr>
    </w:p>
    <w:p w14:paraId="6D9C9DDB" w14:textId="6CF04029" w:rsidR="005A398A" w:rsidRPr="00AB5B69" w:rsidRDefault="005A398A" w:rsidP="005A398A">
      <w:pPr>
        <w:spacing w:before="120" w:after="120"/>
        <w:jc w:val="both"/>
        <w:rPr>
          <w:rFonts w:ascii="Myriad Pro" w:eastAsia="Calibri" w:hAnsi="Myriad Pro" w:cs="Calibri"/>
          <w:b/>
          <w:bCs/>
          <w:sz w:val="20"/>
          <w:szCs w:val="20"/>
          <w:lang w:val="en-GB"/>
        </w:rPr>
      </w:pPr>
      <w:r w:rsidRPr="00AB5B69">
        <w:rPr>
          <w:rFonts w:ascii="Myriad Pro" w:eastAsia="Calibri" w:hAnsi="Myriad Pro" w:cs="Calibri"/>
          <w:b/>
          <w:bCs/>
          <w:sz w:val="20"/>
          <w:szCs w:val="20"/>
          <w:lang w:val="en-GB"/>
        </w:rPr>
        <w:t>Some general guidelines</w:t>
      </w:r>
    </w:p>
    <w:p w14:paraId="2C60CD0D" w14:textId="77777777" w:rsidR="005A398A" w:rsidRPr="00AB5B69" w:rsidRDefault="005A398A" w:rsidP="005A398A">
      <w:pPr>
        <w:spacing w:before="120" w:after="120"/>
        <w:jc w:val="both"/>
        <w:rPr>
          <w:rFonts w:ascii="Myriad Pro" w:eastAsia="Calibri" w:hAnsi="Myriad Pro" w:cs="Calibri"/>
          <w:sz w:val="20"/>
          <w:szCs w:val="20"/>
          <w:lang w:val="en-GB"/>
        </w:rPr>
      </w:pPr>
      <w:r w:rsidRPr="00AB5B69">
        <w:rPr>
          <w:rFonts w:ascii="Myriad Pro" w:eastAsia="Calibri" w:hAnsi="Myriad Pro" w:cs="Calibri"/>
          <w:sz w:val="20"/>
          <w:szCs w:val="20"/>
          <w:lang w:val="en-GB"/>
        </w:rPr>
        <w:t>Migrants’ reactions to these kinds of discoveries are normally immediate and spontaneous. They often take the form of a judgement such as ‘that’s good’ or a comparison with what they know, such as ‘it’s better than where I live’. To prevent these discoveries being either rejected as ‘foreign’ or being accepted uncritically, they need to be dealt with as part of your language support. This is best done in a language the learners know well. Below are some suggestions about how to do this.</w:t>
      </w:r>
    </w:p>
    <w:p w14:paraId="18A7342E" w14:textId="77777777" w:rsidR="005A398A" w:rsidRPr="00AB5B69" w:rsidRDefault="005A398A" w:rsidP="005A398A">
      <w:pPr>
        <w:numPr>
          <w:ilvl w:val="0"/>
          <w:numId w:val="16"/>
        </w:numPr>
        <w:spacing w:after="80"/>
        <w:ind w:left="714" w:hanging="357"/>
        <w:jc w:val="both"/>
        <w:rPr>
          <w:rFonts w:ascii="Myriad Pro" w:eastAsia="Calibri" w:hAnsi="Myriad Pro" w:cs="Calibri"/>
          <w:sz w:val="20"/>
          <w:szCs w:val="20"/>
          <w:lang w:val="en-GB"/>
        </w:rPr>
      </w:pPr>
      <w:r w:rsidRPr="00AB5B69">
        <w:rPr>
          <w:rFonts w:ascii="Myriad Pro" w:eastAsia="Calibri" w:hAnsi="Myriad Pro" w:cs="Calibri"/>
          <w:sz w:val="20"/>
          <w:szCs w:val="20"/>
          <w:lang w:val="en-GB"/>
        </w:rPr>
        <w:t>Find out about learners’ reactions to their new circumstances and/or organise some time to enable them to talk about their feelings.</w:t>
      </w:r>
    </w:p>
    <w:p w14:paraId="618994FC" w14:textId="77777777" w:rsidR="005A398A" w:rsidRPr="00AB5B69" w:rsidRDefault="005A398A" w:rsidP="005A398A">
      <w:pPr>
        <w:numPr>
          <w:ilvl w:val="0"/>
          <w:numId w:val="16"/>
        </w:numPr>
        <w:spacing w:after="80"/>
        <w:ind w:left="714" w:hanging="357"/>
        <w:jc w:val="both"/>
        <w:rPr>
          <w:rFonts w:ascii="Myriad Pro" w:eastAsia="Calibri" w:hAnsi="Myriad Pro" w:cs="Calibri"/>
          <w:sz w:val="20"/>
          <w:szCs w:val="20"/>
          <w:lang w:val="en-GB"/>
        </w:rPr>
      </w:pPr>
      <w:r w:rsidRPr="00AB5B69">
        <w:rPr>
          <w:rFonts w:ascii="Myriad Pro" w:eastAsia="Calibri" w:hAnsi="Myriad Pro" w:cs="Calibri"/>
          <w:sz w:val="20"/>
          <w:szCs w:val="20"/>
          <w:lang w:val="en-GB"/>
        </w:rPr>
        <w:t>Try to get them to express their views verbally in their own language (although there are likely to be problems understanding them) or in the language of the host community (although their knowledge of the language may be too limited).</w:t>
      </w:r>
    </w:p>
    <w:p w14:paraId="7625844D" w14:textId="77777777" w:rsidR="005A398A" w:rsidRPr="00AB5B69" w:rsidRDefault="005A398A" w:rsidP="005A398A">
      <w:pPr>
        <w:numPr>
          <w:ilvl w:val="0"/>
          <w:numId w:val="16"/>
        </w:numPr>
        <w:spacing w:after="80"/>
        <w:ind w:left="714" w:hanging="357"/>
        <w:jc w:val="both"/>
        <w:rPr>
          <w:rFonts w:ascii="Myriad Pro" w:eastAsia="Calibri" w:hAnsi="Myriad Pro" w:cs="Calibri"/>
          <w:sz w:val="20"/>
          <w:szCs w:val="20"/>
          <w:lang w:val="en-GB"/>
        </w:rPr>
      </w:pPr>
      <w:r w:rsidRPr="00AB5B69">
        <w:rPr>
          <w:rFonts w:ascii="Myriad Pro" w:eastAsia="Calibri" w:hAnsi="Myriad Pro" w:cs="Calibri"/>
          <w:sz w:val="20"/>
          <w:szCs w:val="20"/>
          <w:lang w:val="en-GB"/>
        </w:rPr>
        <w:t xml:space="preserve">Gather some reliable information about the subject in question or, if feasible, ask the learners to do some basic research on it. </w:t>
      </w:r>
    </w:p>
    <w:p w14:paraId="18516860" w14:textId="77777777" w:rsidR="005A398A" w:rsidRPr="00AB5B69" w:rsidRDefault="005A398A" w:rsidP="005A398A">
      <w:pPr>
        <w:numPr>
          <w:ilvl w:val="0"/>
          <w:numId w:val="16"/>
        </w:numPr>
        <w:spacing w:after="80"/>
        <w:ind w:left="714" w:hanging="357"/>
        <w:jc w:val="both"/>
        <w:rPr>
          <w:rFonts w:ascii="Myriad Pro" w:eastAsia="Calibri" w:hAnsi="Myriad Pro" w:cs="Calibri"/>
          <w:sz w:val="20"/>
          <w:szCs w:val="20"/>
          <w:lang w:val="en-GB"/>
        </w:rPr>
      </w:pPr>
      <w:r w:rsidRPr="00AB5B69">
        <w:rPr>
          <w:rFonts w:ascii="Myriad Pro" w:eastAsia="Calibri" w:hAnsi="Myriad Pro" w:cs="Calibri"/>
          <w:sz w:val="20"/>
          <w:szCs w:val="20"/>
          <w:lang w:val="en-GB"/>
        </w:rPr>
        <w:t>Avoid talking about ‘national characteristics’ or under-estimating the diversity that exists within the host community.</w:t>
      </w:r>
    </w:p>
    <w:p w14:paraId="061DDBA8" w14:textId="77777777" w:rsidR="005A398A" w:rsidRPr="00AB5B69" w:rsidRDefault="005A398A" w:rsidP="005A398A">
      <w:pPr>
        <w:numPr>
          <w:ilvl w:val="0"/>
          <w:numId w:val="16"/>
        </w:numPr>
        <w:spacing w:after="80"/>
        <w:ind w:left="714" w:hanging="357"/>
        <w:jc w:val="both"/>
        <w:rPr>
          <w:rFonts w:ascii="Myriad Pro" w:eastAsia="Calibri" w:hAnsi="Myriad Pro" w:cs="Calibri"/>
          <w:sz w:val="20"/>
          <w:szCs w:val="20"/>
          <w:lang w:val="en-GB"/>
        </w:rPr>
      </w:pPr>
      <w:r w:rsidRPr="00AB5B69">
        <w:rPr>
          <w:rFonts w:ascii="Myriad Pro" w:eastAsia="Calibri" w:hAnsi="Myriad Pro" w:cs="Calibri"/>
          <w:sz w:val="20"/>
          <w:szCs w:val="20"/>
          <w:lang w:val="en-GB"/>
        </w:rPr>
        <w:t>Avoid direct comparisons between the characteristics of the host community and those of the countries of origin as these could be misleading. Bring in at least one other point of comparison.</w:t>
      </w:r>
    </w:p>
    <w:p w14:paraId="42807906" w14:textId="77777777" w:rsidR="005A398A" w:rsidRPr="00AB5B69" w:rsidRDefault="005A398A" w:rsidP="005A398A">
      <w:pPr>
        <w:numPr>
          <w:ilvl w:val="0"/>
          <w:numId w:val="16"/>
        </w:numPr>
        <w:spacing w:after="80"/>
        <w:ind w:left="714" w:hanging="357"/>
        <w:jc w:val="both"/>
        <w:rPr>
          <w:rFonts w:ascii="Myriad Pro" w:eastAsia="Calibri" w:hAnsi="Myriad Pro" w:cs="Calibri"/>
          <w:sz w:val="20"/>
          <w:szCs w:val="20"/>
          <w:lang w:val="en-GB"/>
        </w:rPr>
      </w:pPr>
      <w:r w:rsidRPr="00AB5B69">
        <w:rPr>
          <w:rFonts w:ascii="Myriad Pro" w:eastAsia="Calibri" w:hAnsi="Myriad Pro" w:cs="Calibri"/>
          <w:sz w:val="20"/>
          <w:szCs w:val="20"/>
          <w:lang w:val="en-GB"/>
        </w:rPr>
        <w:t xml:space="preserve">Organise group discussion </w:t>
      </w:r>
      <w:proofErr w:type="gramStart"/>
      <w:r w:rsidRPr="00AB5B69">
        <w:rPr>
          <w:rFonts w:ascii="Myriad Pro" w:eastAsia="Calibri" w:hAnsi="Myriad Pro" w:cs="Calibri"/>
          <w:sz w:val="20"/>
          <w:szCs w:val="20"/>
          <w:lang w:val="en-GB"/>
        </w:rPr>
        <w:t>so as to</w:t>
      </w:r>
      <w:proofErr w:type="gramEnd"/>
      <w:r w:rsidRPr="00AB5B69">
        <w:rPr>
          <w:rFonts w:ascii="Myriad Pro" w:eastAsia="Calibri" w:hAnsi="Myriad Pro" w:cs="Calibri"/>
          <w:sz w:val="20"/>
          <w:szCs w:val="20"/>
          <w:lang w:val="en-GB"/>
        </w:rPr>
        <w:t xml:space="preserve"> bring the learners’ different points of view to the fore.</w:t>
      </w:r>
    </w:p>
    <w:p w14:paraId="55AFAF79" w14:textId="77777777" w:rsidR="005A398A" w:rsidRPr="00AB5B69" w:rsidRDefault="005A398A" w:rsidP="005A398A">
      <w:pPr>
        <w:numPr>
          <w:ilvl w:val="0"/>
          <w:numId w:val="16"/>
        </w:numPr>
        <w:spacing w:after="80"/>
        <w:ind w:left="714" w:hanging="357"/>
        <w:jc w:val="both"/>
        <w:rPr>
          <w:rFonts w:ascii="Myriad Pro" w:eastAsia="Calibri" w:hAnsi="Myriad Pro" w:cs="Calibri"/>
          <w:sz w:val="20"/>
          <w:szCs w:val="20"/>
          <w:lang w:val="en-GB"/>
        </w:rPr>
      </w:pPr>
      <w:r w:rsidRPr="00AB5B69">
        <w:rPr>
          <w:rFonts w:ascii="Myriad Pro" w:eastAsia="Calibri" w:hAnsi="Myriad Pro" w:cs="Calibri"/>
          <w:sz w:val="20"/>
          <w:szCs w:val="20"/>
          <w:lang w:val="en-GB"/>
        </w:rPr>
        <w:lastRenderedPageBreak/>
        <w:t>When leading the discussion, do not try to change learners’ reactions; try instead to make them aware of the complexity of the topics being discussed and the reasons why more thoughtful reactions are needed.</w:t>
      </w:r>
    </w:p>
    <w:p w14:paraId="4FEB9C0F" w14:textId="77777777" w:rsidR="005A398A" w:rsidRPr="00AB5B69" w:rsidRDefault="005A398A" w:rsidP="005A398A">
      <w:pPr>
        <w:numPr>
          <w:ilvl w:val="0"/>
          <w:numId w:val="16"/>
        </w:numPr>
        <w:contextualSpacing/>
        <w:rPr>
          <w:rFonts w:ascii="Myriad Pro" w:hAnsi="Myriad Pro"/>
          <w:sz w:val="20"/>
          <w:szCs w:val="20"/>
          <w:lang w:val="en-GB"/>
        </w:rPr>
      </w:pPr>
      <w:r w:rsidRPr="00AB5B69">
        <w:rPr>
          <w:rFonts w:ascii="Myriad Pro" w:hAnsi="Myriad Pro"/>
          <w:sz w:val="20"/>
          <w:szCs w:val="20"/>
          <w:lang w:val="en-GB"/>
        </w:rPr>
        <w:t>Give examples of the ways in which such reactions can affect relationships and democratic life, including in educational and/or work environments.</w:t>
      </w:r>
    </w:p>
    <w:p w14:paraId="43F9D1B1" w14:textId="00380F2D" w:rsidR="00287745" w:rsidRPr="00C829A5" w:rsidRDefault="00287745" w:rsidP="005A398A">
      <w:pPr>
        <w:pStyle w:val="TKMAINTITLE"/>
        <w:spacing w:before="0" w:after="0"/>
        <w:rPr>
          <w:rFonts w:ascii="Myriad Pro" w:hAnsi="Myriad Pro"/>
          <w:sz w:val="24"/>
          <w:szCs w:val="24"/>
        </w:rPr>
      </w:pPr>
    </w:p>
    <w:sectPr w:rsidR="00287745" w:rsidRPr="00C829A5"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631EA" w14:textId="77777777" w:rsidR="00755D33" w:rsidRDefault="00755D33" w:rsidP="00C523EA">
      <w:r>
        <w:separator/>
      </w:r>
    </w:p>
  </w:endnote>
  <w:endnote w:type="continuationSeparator" w:id="0">
    <w:p w14:paraId="2CC6EE79" w14:textId="77777777" w:rsidR="00755D33" w:rsidRDefault="00755D33"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1AACBA22"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0478D8">
            <w:rPr>
              <w:rFonts w:eastAsia="Calibri" w:cs="Cambria"/>
              <w:b/>
              <w:sz w:val="18"/>
              <w:szCs w:val="18"/>
              <w:lang w:val="en-US"/>
            </w:rPr>
            <w:t>2</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642211">
          <w:pPr>
            <w:jc w:val="center"/>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223D7" w14:textId="77777777" w:rsidR="00755D33" w:rsidRDefault="00755D33" w:rsidP="00C523EA">
      <w:r>
        <w:separator/>
      </w:r>
    </w:p>
  </w:footnote>
  <w:footnote w:type="continuationSeparator" w:id="0">
    <w:p w14:paraId="39BB18DC" w14:textId="77777777" w:rsidR="00755D33" w:rsidRDefault="00755D33"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3"/>
  </w:num>
  <w:num w:numId="2" w16cid:durableId="1247761672">
    <w:abstractNumId w:val="6"/>
  </w:num>
  <w:num w:numId="3" w16cid:durableId="695236864">
    <w:abstractNumId w:val="12"/>
  </w:num>
  <w:num w:numId="4" w16cid:durableId="1869487878">
    <w:abstractNumId w:val="1"/>
  </w:num>
  <w:num w:numId="5" w16cid:durableId="1229881289">
    <w:abstractNumId w:val="9"/>
  </w:num>
  <w:num w:numId="6" w16cid:durableId="847334046">
    <w:abstractNumId w:val="8"/>
  </w:num>
  <w:num w:numId="7" w16cid:durableId="855851539">
    <w:abstractNumId w:val="6"/>
  </w:num>
  <w:num w:numId="8" w16cid:durableId="1438527522">
    <w:abstractNumId w:val="4"/>
  </w:num>
  <w:num w:numId="9" w16cid:durableId="66462525">
    <w:abstractNumId w:val="7"/>
  </w:num>
  <w:num w:numId="10" w16cid:durableId="1083332573">
    <w:abstractNumId w:val="13"/>
  </w:num>
  <w:num w:numId="11" w16cid:durableId="110051674">
    <w:abstractNumId w:val="6"/>
  </w:num>
  <w:num w:numId="12" w16cid:durableId="1751926612">
    <w:abstractNumId w:val="5"/>
  </w:num>
  <w:num w:numId="13" w16cid:durableId="1973290193">
    <w:abstractNumId w:val="11"/>
  </w:num>
  <w:num w:numId="14" w16cid:durableId="1677918417">
    <w:abstractNumId w:val="0"/>
  </w:num>
  <w:num w:numId="15" w16cid:durableId="2146387394">
    <w:abstractNumId w:val="10"/>
  </w:num>
  <w:num w:numId="16" w16cid:durableId="198928827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478D8"/>
    <w:rsid w:val="000618A7"/>
    <w:rsid w:val="00066FE4"/>
    <w:rsid w:val="000815DD"/>
    <w:rsid w:val="000937FA"/>
    <w:rsid w:val="00097062"/>
    <w:rsid w:val="000A080D"/>
    <w:rsid w:val="000C5F40"/>
    <w:rsid w:val="000D0D46"/>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A398A"/>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2AAE"/>
    <w:rsid w:val="006968FC"/>
    <w:rsid w:val="006A1A21"/>
    <w:rsid w:val="006A2065"/>
    <w:rsid w:val="006C0689"/>
    <w:rsid w:val="006C08C3"/>
    <w:rsid w:val="006C7764"/>
    <w:rsid w:val="006D0185"/>
    <w:rsid w:val="006D234F"/>
    <w:rsid w:val="006D71C7"/>
    <w:rsid w:val="006F56BB"/>
    <w:rsid w:val="00705BF1"/>
    <w:rsid w:val="00732AFD"/>
    <w:rsid w:val="00734E55"/>
    <w:rsid w:val="0074542C"/>
    <w:rsid w:val="007458E1"/>
    <w:rsid w:val="00755D33"/>
    <w:rsid w:val="00773ACD"/>
    <w:rsid w:val="00786599"/>
    <w:rsid w:val="007B4D14"/>
    <w:rsid w:val="007C6439"/>
    <w:rsid w:val="007F5F10"/>
    <w:rsid w:val="0080462C"/>
    <w:rsid w:val="0080506D"/>
    <w:rsid w:val="00805257"/>
    <w:rsid w:val="008067EC"/>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B5B69"/>
    <w:rsid w:val="00AD36D4"/>
    <w:rsid w:val="00AE4F9B"/>
    <w:rsid w:val="00AE657E"/>
    <w:rsid w:val="00AF4A1E"/>
    <w:rsid w:val="00AF56A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11DD0"/>
    <w:rsid w:val="00C24B3F"/>
    <w:rsid w:val="00C32BDD"/>
    <w:rsid w:val="00C35A15"/>
    <w:rsid w:val="00C35F1A"/>
    <w:rsid w:val="00C36B49"/>
    <w:rsid w:val="00C478A6"/>
    <w:rsid w:val="00C5092C"/>
    <w:rsid w:val="00C50AF6"/>
    <w:rsid w:val="00C523EA"/>
    <w:rsid w:val="00C622D7"/>
    <w:rsid w:val="00C7477C"/>
    <w:rsid w:val="00C77992"/>
    <w:rsid w:val="00C8086F"/>
    <w:rsid w:val="00C829A5"/>
    <w:rsid w:val="00C866B1"/>
    <w:rsid w:val="00C94196"/>
    <w:rsid w:val="00CA4EF8"/>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6</TotalTime>
  <Pages>2</Pages>
  <Words>464</Words>
  <Characters>2554</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5</cp:revision>
  <cp:lastPrinted>2024-03-14T08:47:00Z</cp:lastPrinted>
  <dcterms:created xsi:type="dcterms:W3CDTF">2024-03-14T19:56:00Z</dcterms:created>
  <dcterms:modified xsi:type="dcterms:W3CDTF">2024-03-15T14:39:00Z</dcterms:modified>
</cp:coreProperties>
</file>