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998" w:rsidRDefault="00DE10B5">
      <w:pPr>
        <w:pStyle w:val="BodyA"/>
        <w:tabs>
          <w:tab w:val="left" w:pos="7686"/>
        </w:tabs>
        <w:rPr>
          <w:rFonts w:ascii="Tahoma" w:eastAsia="Tahoma" w:hAnsi="Tahoma" w:cs="Tahoma"/>
          <w:b/>
          <w:bCs/>
          <w:caps/>
          <w:sz w:val="24"/>
          <w:szCs w:val="24"/>
        </w:rPr>
      </w:pPr>
      <w:r>
        <w:rPr>
          <w:rFonts w:ascii="Tahoma" w:eastAsia="Tahoma" w:hAnsi="Tahoma" w:cs="Tahoma"/>
          <w:b/>
          <w:bCs/>
          <w:noProof/>
          <w:sz w:val="18"/>
          <w:szCs w:val="18"/>
        </w:rPr>
        <w:drawing>
          <wp:anchor distT="57150" distB="57150" distL="57150" distR="57150" simplePos="0" relativeHeight="251659264" behindDoc="0" locked="0" layoutInCell="1" allowOverlap="1">
            <wp:simplePos x="0" y="0"/>
            <wp:positionH relativeFrom="column">
              <wp:posOffset>4710429</wp:posOffset>
            </wp:positionH>
            <wp:positionV relativeFrom="line">
              <wp:posOffset>-276858</wp:posOffset>
            </wp:positionV>
            <wp:extent cx="1438912" cy="1152525"/>
            <wp:effectExtent l="0" t="0" r="0" b="0"/>
            <wp:wrapSquare wrapText="bothSides" distT="57150" distB="57150" distL="57150" distR="5715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7"/>
                    <a:stretch>
                      <a:fillRect/>
                    </a:stretch>
                  </pic:blipFill>
                  <pic:spPr>
                    <a:xfrm>
                      <a:off x="0" y="0"/>
                      <a:ext cx="1438912" cy="1152525"/>
                    </a:xfrm>
                    <a:prstGeom prst="rect">
                      <a:avLst/>
                    </a:prstGeom>
                    <a:ln w="12700" cap="flat">
                      <a:noFill/>
                      <a:miter lim="400000"/>
                    </a:ln>
                    <a:effectLst/>
                  </pic:spPr>
                </pic:pic>
              </a:graphicData>
            </a:graphic>
          </wp:anchor>
        </w:drawing>
      </w:r>
      <w:r>
        <w:rPr>
          <w:rFonts w:ascii="Tahoma" w:hAnsi="Tahoma"/>
          <w:b/>
          <w:bCs/>
          <w:caps/>
          <w:sz w:val="24"/>
          <w:szCs w:val="24"/>
        </w:rPr>
        <w:t>TENDER FILE / TERMS OF REFERENCE</w:t>
      </w:r>
    </w:p>
    <w:p w:rsidR="00D92998" w:rsidRDefault="00DE10B5">
      <w:pPr>
        <w:pStyle w:val="BodyA"/>
        <w:rPr>
          <w:rFonts w:ascii="Tahoma" w:eastAsia="Tahoma" w:hAnsi="Tahoma" w:cs="Tahoma"/>
          <w:b/>
          <w:bCs/>
        </w:rPr>
      </w:pPr>
      <w:r>
        <w:rPr>
          <w:rFonts w:ascii="Tahoma" w:hAnsi="Tahoma"/>
          <w:b/>
          <w:bCs/>
        </w:rPr>
        <w:t>(Competitive bidding procedure / Framework Contract)</w:t>
      </w:r>
    </w:p>
    <w:p w:rsidR="00D92998" w:rsidRDefault="00D92998">
      <w:pPr>
        <w:pStyle w:val="BodyA"/>
        <w:rPr>
          <w:rFonts w:ascii="Tahoma" w:eastAsia="Tahoma" w:hAnsi="Tahoma" w:cs="Tahoma"/>
          <w:b/>
          <w:bCs/>
          <w:sz w:val="20"/>
          <w:szCs w:val="20"/>
        </w:rPr>
      </w:pPr>
    </w:p>
    <w:p w:rsidR="00D92998" w:rsidRDefault="00DE10B5">
      <w:pPr>
        <w:pStyle w:val="BodyA"/>
        <w:rPr>
          <w:rFonts w:ascii="Tahoma" w:eastAsia="Tahoma" w:hAnsi="Tahoma" w:cs="Tahoma"/>
          <w:b/>
          <w:bCs/>
        </w:rPr>
      </w:pPr>
      <w:r>
        <w:rPr>
          <w:rFonts w:ascii="Tahoma" w:hAnsi="Tahoma"/>
          <w:b/>
          <w:bCs/>
          <w:caps/>
        </w:rPr>
        <w:t xml:space="preserve">Purchase of NATIONAL consultancy SERVICES CONCERNING A GAP ANALYSIS </w:t>
      </w:r>
      <w:r>
        <w:rPr>
          <w:rFonts w:ascii="Tahoma" w:hAnsi="Tahoma"/>
          <w:b/>
          <w:bCs/>
        </w:rPr>
        <w:t>IN THE INVESTIGATION PROCEDURE AND PROSECUTION OF HUMAN TRAFFICKING CASES IN COURT</w:t>
      </w:r>
    </w:p>
    <w:p w:rsidR="00D92998" w:rsidRDefault="00D92998">
      <w:pPr>
        <w:pStyle w:val="BodyA"/>
        <w:rPr>
          <w:rFonts w:ascii="Tahoma" w:eastAsia="Tahoma" w:hAnsi="Tahoma" w:cs="Tahoma"/>
        </w:rPr>
      </w:pPr>
    </w:p>
    <w:p w:rsidR="00D92998" w:rsidRDefault="00DE10B5">
      <w:pPr>
        <w:pStyle w:val="ListParagraph"/>
        <w:spacing w:after="120"/>
        <w:ind w:left="0"/>
        <w:jc w:val="both"/>
        <w:rPr>
          <w:rStyle w:val="Hyperlink7"/>
        </w:rPr>
      </w:pPr>
      <w:r>
        <w:rPr>
          <w:rFonts w:ascii="Tahoma" w:hAnsi="Tahoma"/>
          <w:sz w:val="20"/>
          <w:szCs w:val="20"/>
          <w:shd w:val="clear" w:color="auto" w:fill="FFFFFF"/>
        </w:rPr>
        <w:t>"The Council of Europe is currently implementing (until May 2022) an action on “Strengthening the human rights protection of asylum seekers, migrants and victims of human trafficking in Turkey”. The action is implemented under the the joint European Union (EU) and the Council of Europe (CoE) programme “</w:t>
      </w:r>
      <w:hyperlink r:id="rId8" w:history="1">
        <w:r>
          <w:rPr>
            <w:rStyle w:val="Hyperlink0"/>
            <w:rFonts w:ascii="Tahoma" w:hAnsi="Tahoma"/>
            <w:sz w:val="20"/>
            <w:szCs w:val="20"/>
          </w:rPr>
          <w:t>Horizontal Facility</w:t>
        </w:r>
      </w:hyperlink>
      <w:r>
        <w:rPr>
          <w:rStyle w:val="None"/>
          <w:rFonts w:ascii="Tahoma" w:hAnsi="Tahoma"/>
          <w:color w:val="111111"/>
          <w:sz w:val="20"/>
          <w:szCs w:val="20"/>
          <w:shd w:val="clear" w:color="auto" w:fill="FFFFFF"/>
        </w:rPr>
        <w:t> </w:t>
      </w:r>
      <w:r>
        <w:rPr>
          <w:rStyle w:val="None"/>
          <w:rFonts w:ascii="Tahoma" w:hAnsi="Tahoma"/>
          <w:sz w:val="20"/>
          <w:szCs w:val="20"/>
          <w:shd w:val="clear" w:color="auto" w:fill="FFFFFF"/>
        </w:rPr>
        <w:t>for the Western Balkans and Turkey II (2019-2022)”. </w:t>
      </w:r>
    </w:p>
    <w:p w:rsidR="00D92998" w:rsidRDefault="00DE10B5">
      <w:pPr>
        <w:pStyle w:val="ListParagraph"/>
        <w:spacing w:after="120"/>
        <w:ind w:left="0"/>
        <w:jc w:val="both"/>
        <w:rPr>
          <w:rStyle w:val="Hyperlink7"/>
        </w:rPr>
      </w:pPr>
      <w:r>
        <w:rPr>
          <w:rStyle w:val="Hyperlink7"/>
        </w:rPr>
        <w:t>In that context, the Council of Europe is looking for two Providers for the provision of a gap analysis in the investigation procedure and prosecution of human trafficking cases in court, to be requested by the Council on an as needed basis.</w:t>
      </w:r>
    </w:p>
    <w:p w:rsidR="00D92998" w:rsidRDefault="00DE10B5">
      <w:pPr>
        <w:pStyle w:val="ListParagraph"/>
        <w:numPr>
          <w:ilvl w:val="0"/>
          <w:numId w:val="2"/>
        </w:numPr>
        <w:spacing w:after="120"/>
        <w:jc w:val="both"/>
        <w:rPr>
          <w:rFonts w:ascii="Tahoma" w:hAnsi="Tahoma"/>
          <w:sz w:val="20"/>
          <w:szCs w:val="20"/>
        </w:rPr>
      </w:pPr>
      <w:r>
        <w:rPr>
          <w:rFonts w:ascii="Tahoma" w:hAnsi="Tahoma"/>
          <w:sz w:val="20"/>
          <w:szCs w:val="20"/>
        </w:rPr>
        <w:t>TENDER RULES</w:t>
      </w:r>
    </w:p>
    <w:p w:rsidR="00D92998" w:rsidRDefault="00DE10B5">
      <w:pPr>
        <w:pStyle w:val="BodyA"/>
        <w:spacing w:after="120"/>
        <w:jc w:val="both"/>
        <w:rPr>
          <w:rStyle w:val="None"/>
          <w:rFonts w:ascii="Tahoma" w:eastAsia="Tahoma" w:hAnsi="Tahoma" w:cs="Tahoma"/>
          <w:b/>
          <w:bCs/>
          <w:sz w:val="20"/>
          <w:szCs w:val="20"/>
        </w:rPr>
      </w:pPr>
      <w:r>
        <w:rPr>
          <w:rStyle w:val="Hyperlink7"/>
        </w:rPr>
        <w:t xml:space="preserve">This tender procedure is a competitive bidding procedure. </w:t>
      </w:r>
      <w:r>
        <w:rPr>
          <w:rStyle w:val="None"/>
          <w:rFonts w:ascii="Tahoma" w:hAnsi="Tahoma"/>
          <w:b/>
          <w:bCs/>
          <w:sz w:val="20"/>
          <w:szCs w:val="20"/>
        </w:rPr>
        <w:t>In accordance with Rule 1395 of the Secretary General of the Council of Europe on the procurement procedures of the Council of Europe</w:t>
      </w:r>
      <w:r>
        <w:rPr>
          <w:rStyle w:val="None"/>
          <w:rFonts w:ascii="Tahoma" w:eastAsia="Tahoma" w:hAnsi="Tahoma" w:cs="Tahoma"/>
          <w:b/>
          <w:bCs/>
          <w:sz w:val="20"/>
          <w:szCs w:val="20"/>
          <w:vertAlign w:val="superscript"/>
        </w:rPr>
        <w:footnoteReference w:id="2"/>
      </w:r>
      <w:r>
        <w:rPr>
          <w:rStyle w:val="None"/>
          <w:rFonts w:ascii="Tahoma" w:hAnsi="Tahoma"/>
          <w:b/>
          <w:bCs/>
          <w:sz w:val="20"/>
          <w:szCs w:val="20"/>
        </w:rPr>
        <w:t>, the Organisation shall invite to tender at least three potential providers for any purchase between €2,000 (or €5,000 for intellectual services) and €55,000 tax exclusive.</w:t>
      </w:r>
    </w:p>
    <w:p w:rsidR="00D92998" w:rsidRDefault="00DE10B5">
      <w:pPr>
        <w:pStyle w:val="BodyA"/>
        <w:spacing w:after="120"/>
        <w:jc w:val="both"/>
        <w:rPr>
          <w:rStyle w:val="Hyperlink7"/>
        </w:rPr>
      </w:pPr>
      <w:r>
        <w:rPr>
          <w:rStyle w:val="None"/>
          <w:rFonts w:ascii="Tahoma" w:hAnsi="Tahoma"/>
          <w:sz w:val="20"/>
          <w:szCs w:val="20"/>
        </w:rPr>
        <w:t xml:space="preserve">This specific tender procedure aims at concluding a </w:t>
      </w:r>
      <w:r>
        <w:rPr>
          <w:rStyle w:val="None"/>
          <w:rFonts w:ascii="Tahoma" w:hAnsi="Tahoma"/>
          <w:b/>
          <w:bCs/>
          <w:sz w:val="20"/>
          <w:szCs w:val="20"/>
        </w:rPr>
        <w:t>framework contract</w:t>
      </w:r>
      <w:r>
        <w:rPr>
          <w:rStyle w:val="None"/>
          <w:rFonts w:ascii="Tahoma" w:hAnsi="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Pr>
          <w:rStyle w:val="None"/>
          <w:rFonts w:ascii="Tahoma" w:hAnsi="Tahoma"/>
          <w:sz w:val="20"/>
          <w:szCs w:val="20"/>
          <w:lang w:val="it-IT"/>
        </w:rPr>
        <w:t>procedure.</w:t>
      </w:r>
    </w:p>
    <w:p w:rsidR="00D92998" w:rsidRDefault="00DE10B5">
      <w:pPr>
        <w:pStyle w:val="BodyA"/>
        <w:spacing w:after="120"/>
        <w:jc w:val="both"/>
        <w:rPr>
          <w:rStyle w:val="Hyperlink7"/>
        </w:rPr>
      </w:pPr>
      <w:r>
        <w:rPr>
          <w:rStyle w:val="Hyperlink7"/>
        </w:rPr>
        <w:t>The tenderer must be either a natural person, or a legal person except consortia.</w:t>
      </w:r>
    </w:p>
    <w:p w:rsidR="00D92998" w:rsidRDefault="00DE10B5">
      <w:pPr>
        <w:pStyle w:val="BodyA"/>
        <w:spacing w:after="120"/>
        <w:jc w:val="both"/>
        <w:rPr>
          <w:rStyle w:val="None"/>
          <w:rFonts w:ascii="Tahoma" w:eastAsia="Tahoma" w:hAnsi="Tahoma" w:cs="Tahoma"/>
          <w:b/>
          <w:bCs/>
          <w:sz w:val="20"/>
          <w:szCs w:val="20"/>
        </w:rPr>
      </w:pPr>
      <w:r>
        <w:rPr>
          <w:rStyle w:val="Hyperlink7"/>
        </w:rPr>
        <w:t>Tenders shall be submitted</w:t>
      </w:r>
      <w:r>
        <w:rPr>
          <w:rStyle w:val="None"/>
          <w:rFonts w:ascii="Tahoma" w:hAnsi="Tahoma"/>
          <w:b/>
          <w:bCs/>
          <w:sz w:val="20"/>
          <w:szCs w:val="20"/>
        </w:rPr>
        <w:t xml:space="preserve"> by email only </w:t>
      </w:r>
      <w:r>
        <w:rPr>
          <w:rStyle w:val="Hyperlink7"/>
        </w:rPr>
        <w:t>(with attachments)</w:t>
      </w:r>
      <w:r>
        <w:rPr>
          <w:rStyle w:val="None"/>
          <w:rFonts w:ascii="Tahoma" w:hAnsi="Tahoma"/>
          <w:b/>
          <w:bCs/>
          <w:sz w:val="20"/>
          <w:szCs w:val="20"/>
        </w:rPr>
        <w:t xml:space="preserve"> to the email address indicated in the table below, with the following reference in subject: “HF30 - Gap Analysis in the Investigation Procedure and Prosecution of Human Trafficking Cases in Court in Turkey”. </w:t>
      </w:r>
      <w:r>
        <w:rPr>
          <w:rStyle w:val="Hyperlink7"/>
        </w:rPr>
        <w:t>Tenders addressed to another email address</w:t>
      </w:r>
      <w:r>
        <w:rPr>
          <w:rStyle w:val="None"/>
          <w:rFonts w:ascii="Tahoma" w:hAnsi="Tahoma"/>
          <w:b/>
          <w:bCs/>
          <w:sz w:val="20"/>
          <w:szCs w:val="20"/>
        </w:rPr>
        <w:t xml:space="preserve"> will be rejected.</w:t>
      </w:r>
    </w:p>
    <w:p w:rsidR="00D92998" w:rsidRDefault="00DE10B5">
      <w:pPr>
        <w:pStyle w:val="BodyA"/>
        <w:spacing w:after="120"/>
        <w:jc w:val="both"/>
        <w:rPr>
          <w:rStyle w:val="None"/>
          <w:rFonts w:ascii="Tahoma" w:eastAsia="Tahoma" w:hAnsi="Tahoma" w:cs="Tahoma"/>
          <w:b/>
          <w:bCs/>
          <w:sz w:val="20"/>
          <w:szCs w:val="20"/>
        </w:rPr>
      </w:pPr>
      <w:r>
        <w:rPr>
          <w:rStyle w:val="Hyperlink7"/>
        </w:rPr>
        <w:t>The general information and contact details for this procedure are indicated on this page. You are invited to use the CoE Contact details indicated below for any question you may have.</w:t>
      </w:r>
      <w:r>
        <w:rPr>
          <w:rStyle w:val="None"/>
          <w:rFonts w:ascii="Tahoma" w:hAnsi="Tahoma"/>
          <w:b/>
          <w:bCs/>
          <w:sz w:val="20"/>
          <w:szCs w:val="20"/>
        </w:rPr>
        <w:t xml:space="preserve"> All questions shall be submitted at least </w:t>
      </w:r>
      <w:r>
        <w:rPr>
          <w:rStyle w:val="None"/>
          <w:rFonts w:ascii="Tahoma" w:hAnsi="Tahoma"/>
          <w:b/>
          <w:bCs/>
          <w:sz w:val="20"/>
          <w:szCs w:val="20"/>
          <w:u w:val="single"/>
        </w:rPr>
        <w:t>5 (five) working days before the deadline for submission of the tenders</w:t>
      </w:r>
      <w:r>
        <w:rPr>
          <w:rStyle w:val="None"/>
          <w:rFonts w:ascii="Tahoma" w:hAnsi="Tahoma"/>
          <w:b/>
          <w:bCs/>
          <w:sz w:val="20"/>
          <w:szCs w:val="20"/>
        </w:rPr>
        <w:t xml:space="preserve"> and shall be exclusively addressed to the email address indicated below with the following reference in subject: “HF30 - Gap Analysis in the Investigation Procedure and Prosecution of Human Trafficking Cases in Court in Turkey”.</w:t>
      </w:r>
    </w:p>
    <w:p w:rsidR="00D92998" w:rsidRDefault="00D92998">
      <w:pPr>
        <w:pStyle w:val="BodyA"/>
        <w:spacing w:after="120"/>
        <w:jc w:val="both"/>
        <w:rPr>
          <w:rStyle w:val="None"/>
          <w:rFonts w:ascii="Tahoma" w:eastAsia="Tahoma" w:hAnsi="Tahoma" w:cs="Tahoma"/>
          <w:b/>
          <w:bCs/>
          <w:sz w:val="18"/>
          <w:szCs w:val="18"/>
        </w:rPr>
      </w:pPr>
    </w:p>
    <w:tbl>
      <w:tblPr>
        <w:tblW w:w="9571"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0"/>
        <w:gridCol w:w="6061"/>
      </w:tblGrid>
      <w:tr w:rsidR="00D92998">
        <w:trPr>
          <w:trHeight w:val="313"/>
        </w:trPr>
        <w:tc>
          <w:tcPr>
            <w:tcW w:w="3510" w:type="dxa"/>
            <w:tcBorders>
              <w:top w:val="single" w:sz="2" w:space="0" w:color="808080"/>
              <w:left w:val="single" w:sz="2" w:space="0" w:color="808080"/>
              <w:bottom w:val="single" w:sz="2" w:space="0" w:color="808080"/>
              <w:right w:val="nil"/>
            </w:tcBorders>
            <w:shd w:val="clear" w:color="auto" w:fill="F2F2F2"/>
            <w:tcMar>
              <w:top w:w="80" w:type="dxa"/>
              <w:left w:w="80" w:type="dxa"/>
              <w:bottom w:w="80" w:type="dxa"/>
              <w:right w:w="80" w:type="dxa"/>
            </w:tcMar>
            <w:vAlign w:val="center"/>
          </w:tcPr>
          <w:p w:rsidR="00D92998" w:rsidRDefault="00DE10B5">
            <w:pPr>
              <w:pStyle w:val="BodyA"/>
              <w:jc w:val="right"/>
            </w:pPr>
            <w:r>
              <w:rPr>
                <w:rStyle w:val="None"/>
                <w:rFonts w:ascii="Tahoma" w:hAnsi="Tahoma"/>
                <w:b/>
                <w:bCs/>
                <w:sz w:val="18"/>
                <w:szCs w:val="18"/>
              </w:rPr>
              <w:t xml:space="preserve">Type of contract </w:t>
            </w:r>
            <w:r>
              <w:rPr>
                <w:rStyle w:val="None"/>
                <w:b/>
                <w:bCs/>
                <w:color w:val="0070C0"/>
                <w:sz w:val="18"/>
                <w:szCs w:val="18"/>
                <w:u w:color="0070C0"/>
              </w:rPr>
              <w:t>►</w:t>
            </w:r>
          </w:p>
        </w:tc>
        <w:tc>
          <w:tcPr>
            <w:tcW w:w="6061" w:type="dxa"/>
            <w:tcBorders>
              <w:top w:val="single" w:sz="2" w:space="0" w:color="808080"/>
              <w:left w:val="nil"/>
              <w:bottom w:val="single" w:sz="2" w:space="0" w:color="808080"/>
              <w:right w:val="single" w:sz="2" w:space="0" w:color="808080"/>
            </w:tcBorders>
            <w:shd w:val="clear" w:color="auto" w:fill="auto"/>
            <w:tcMar>
              <w:top w:w="80" w:type="dxa"/>
              <w:left w:w="80" w:type="dxa"/>
              <w:bottom w:w="80" w:type="dxa"/>
              <w:right w:w="80" w:type="dxa"/>
            </w:tcMar>
            <w:vAlign w:val="center"/>
          </w:tcPr>
          <w:p w:rsidR="00D92998" w:rsidRDefault="00DE10B5">
            <w:pPr>
              <w:pStyle w:val="BodyA"/>
            </w:pPr>
            <w:r>
              <w:rPr>
                <w:rStyle w:val="None"/>
                <w:rFonts w:ascii="Tahoma" w:hAnsi="Tahoma"/>
                <w:sz w:val="20"/>
                <w:szCs w:val="20"/>
              </w:rPr>
              <w:t xml:space="preserve">Framework contract </w:t>
            </w:r>
          </w:p>
        </w:tc>
      </w:tr>
      <w:tr w:rsidR="00D92998">
        <w:trPr>
          <w:trHeight w:val="276"/>
        </w:trPr>
        <w:tc>
          <w:tcPr>
            <w:tcW w:w="3510" w:type="dxa"/>
            <w:tcBorders>
              <w:top w:val="single" w:sz="2" w:space="0" w:color="808080"/>
              <w:left w:val="single" w:sz="2" w:space="0" w:color="808080"/>
              <w:bottom w:val="single" w:sz="2" w:space="0" w:color="808080"/>
              <w:right w:val="nil"/>
            </w:tcBorders>
            <w:shd w:val="clear" w:color="auto" w:fill="F2F2F2"/>
            <w:tcMar>
              <w:top w:w="80" w:type="dxa"/>
              <w:left w:w="80" w:type="dxa"/>
              <w:bottom w:w="80" w:type="dxa"/>
              <w:right w:w="80" w:type="dxa"/>
            </w:tcMar>
            <w:vAlign w:val="center"/>
          </w:tcPr>
          <w:p w:rsidR="00D92998" w:rsidRDefault="00DE10B5">
            <w:pPr>
              <w:pStyle w:val="BodyA"/>
              <w:jc w:val="right"/>
            </w:pPr>
            <w:r>
              <w:rPr>
                <w:rStyle w:val="None"/>
                <w:rFonts w:ascii="Tahoma" w:hAnsi="Tahoma"/>
                <w:b/>
                <w:bCs/>
                <w:sz w:val="18"/>
                <w:szCs w:val="18"/>
              </w:rPr>
              <w:t xml:space="preserve">Duration </w:t>
            </w:r>
            <w:r>
              <w:rPr>
                <w:rStyle w:val="None"/>
                <w:b/>
                <w:bCs/>
                <w:color w:val="0070C0"/>
                <w:sz w:val="18"/>
                <w:szCs w:val="18"/>
                <w:u w:color="0070C0"/>
              </w:rPr>
              <w:t>►</w:t>
            </w:r>
          </w:p>
        </w:tc>
        <w:tc>
          <w:tcPr>
            <w:tcW w:w="6061" w:type="dxa"/>
            <w:tcBorders>
              <w:top w:val="single" w:sz="2" w:space="0" w:color="808080"/>
              <w:left w:val="nil"/>
              <w:bottom w:val="single" w:sz="2" w:space="0" w:color="808080"/>
              <w:right w:val="single" w:sz="2" w:space="0" w:color="808080"/>
            </w:tcBorders>
            <w:shd w:val="clear" w:color="auto" w:fill="auto"/>
            <w:tcMar>
              <w:top w:w="80" w:type="dxa"/>
              <w:left w:w="80" w:type="dxa"/>
              <w:bottom w:w="80" w:type="dxa"/>
              <w:right w:w="80" w:type="dxa"/>
            </w:tcMar>
            <w:vAlign w:val="center"/>
          </w:tcPr>
          <w:p w:rsidR="00D92998" w:rsidRDefault="00DE10B5">
            <w:pPr>
              <w:pStyle w:val="BodyA"/>
            </w:pPr>
            <w:r>
              <w:rPr>
                <w:rStyle w:val="None"/>
                <w:rFonts w:ascii="Tahoma" w:hAnsi="Tahoma"/>
                <w:sz w:val="20"/>
                <w:szCs w:val="20"/>
              </w:rPr>
              <w:t>Until 30 April 2022</w:t>
            </w:r>
          </w:p>
        </w:tc>
      </w:tr>
      <w:tr w:rsidR="00D92998">
        <w:trPr>
          <w:trHeight w:val="461"/>
        </w:trPr>
        <w:tc>
          <w:tcPr>
            <w:tcW w:w="3510" w:type="dxa"/>
            <w:tcBorders>
              <w:top w:val="single" w:sz="2" w:space="0" w:color="808080"/>
              <w:left w:val="single" w:sz="2" w:space="0" w:color="808080"/>
              <w:bottom w:val="single" w:sz="2" w:space="0" w:color="808080"/>
              <w:right w:val="nil"/>
            </w:tcBorders>
            <w:shd w:val="clear" w:color="auto" w:fill="DBE5F1"/>
            <w:tcMar>
              <w:top w:w="80" w:type="dxa"/>
              <w:left w:w="80" w:type="dxa"/>
              <w:bottom w:w="80" w:type="dxa"/>
              <w:right w:w="80" w:type="dxa"/>
            </w:tcMar>
            <w:vAlign w:val="center"/>
          </w:tcPr>
          <w:p w:rsidR="00D92998" w:rsidRDefault="00DE10B5">
            <w:pPr>
              <w:pStyle w:val="BodyA"/>
              <w:jc w:val="right"/>
            </w:pPr>
            <w:r>
              <w:rPr>
                <w:rStyle w:val="None"/>
                <w:rFonts w:ascii="Tahoma" w:hAnsi="Tahoma"/>
                <w:b/>
                <w:bCs/>
                <w:sz w:val="18"/>
                <w:szCs w:val="18"/>
              </w:rPr>
              <w:t xml:space="preserve">Deadline for submission of tenders/offers </w:t>
            </w:r>
            <w:r>
              <w:rPr>
                <w:rStyle w:val="None"/>
                <w:b/>
                <w:bCs/>
                <w:color w:val="0070C0"/>
                <w:sz w:val="18"/>
                <w:szCs w:val="18"/>
                <w:u w:color="0070C0"/>
              </w:rPr>
              <w:t>►</w:t>
            </w:r>
          </w:p>
        </w:tc>
        <w:tc>
          <w:tcPr>
            <w:tcW w:w="6061" w:type="dxa"/>
            <w:tcBorders>
              <w:top w:val="single" w:sz="2" w:space="0" w:color="808080"/>
              <w:left w:val="nil"/>
              <w:bottom w:val="single" w:sz="2" w:space="0" w:color="808080"/>
              <w:right w:val="single" w:sz="2" w:space="0" w:color="808080"/>
            </w:tcBorders>
            <w:shd w:val="clear" w:color="auto" w:fill="DBE5F1"/>
            <w:tcMar>
              <w:top w:w="80" w:type="dxa"/>
              <w:left w:w="80" w:type="dxa"/>
              <w:bottom w:w="80" w:type="dxa"/>
              <w:right w:w="80" w:type="dxa"/>
            </w:tcMar>
            <w:vAlign w:val="center"/>
          </w:tcPr>
          <w:p w:rsidR="00D92998" w:rsidRDefault="00DE10B5">
            <w:pPr>
              <w:pStyle w:val="BodyA"/>
            </w:pPr>
            <w:r>
              <w:rPr>
                <w:rStyle w:val="None"/>
                <w:sz w:val="20"/>
                <w:szCs w:val="20"/>
              </w:rPr>
              <w:t>31</w:t>
            </w:r>
            <w:r>
              <w:rPr>
                <w:rStyle w:val="None"/>
                <w:rFonts w:ascii="Tahoma" w:hAnsi="Tahoma"/>
                <w:sz w:val="20"/>
                <w:szCs w:val="20"/>
                <w:u w:color="808080"/>
              </w:rPr>
              <w:t xml:space="preserve"> May 2020</w:t>
            </w:r>
          </w:p>
        </w:tc>
      </w:tr>
      <w:tr w:rsidR="00D92998">
        <w:trPr>
          <w:trHeight w:val="461"/>
        </w:trPr>
        <w:tc>
          <w:tcPr>
            <w:tcW w:w="3510" w:type="dxa"/>
            <w:tcBorders>
              <w:top w:val="single" w:sz="2" w:space="0" w:color="808080"/>
              <w:left w:val="single" w:sz="2" w:space="0" w:color="808080"/>
              <w:bottom w:val="single" w:sz="2" w:space="0" w:color="808080"/>
              <w:right w:val="nil"/>
            </w:tcBorders>
            <w:shd w:val="clear" w:color="auto" w:fill="DBE5F1"/>
            <w:tcMar>
              <w:top w:w="80" w:type="dxa"/>
              <w:left w:w="80" w:type="dxa"/>
              <w:bottom w:w="80" w:type="dxa"/>
              <w:right w:w="80" w:type="dxa"/>
            </w:tcMar>
            <w:vAlign w:val="center"/>
          </w:tcPr>
          <w:p w:rsidR="00D92998" w:rsidRDefault="00DE10B5">
            <w:pPr>
              <w:pStyle w:val="BodyA"/>
              <w:jc w:val="right"/>
            </w:pPr>
            <w:r>
              <w:rPr>
                <w:rStyle w:val="None"/>
                <w:rFonts w:ascii="Tahoma" w:hAnsi="Tahoma"/>
                <w:b/>
                <w:bCs/>
                <w:sz w:val="18"/>
                <w:szCs w:val="18"/>
              </w:rPr>
              <w:t xml:space="preserve">Email for submission of tenders/offers </w:t>
            </w:r>
            <w:r>
              <w:rPr>
                <w:rStyle w:val="None"/>
                <w:b/>
                <w:bCs/>
                <w:color w:val="0070C0"/>
                <w:sz w:val="18"/>
                <w:szCs w:val="18"/>
                <w:u w:color="0070C0"/>
              </w:rPr>
              <w:t>►</w:t>
            </w:r>
          </w:p>
        </w:tc>
        <w:tc>
          <w:tcPr>
            <w:tcW w:w="6061" w:type="dxa"/>
            <w:tcBorders>
              <w:top w:val="single" w:sz="2" w:space="0" w:color="808080"/>
              <w:left w:val="nil"/>
              <w:bottom w:val="single" w:sz="2" w:space="0" w:color="808080"/>
              <w:right w:val="single" w:sz="2" w:space="0" w:color="808080"/>
            </w:tcBorders>
            <w:shd w:val="clear" w:color="auto" w:fill="DBE5F1"/>
            <w:tcMar>
              <w:top w:w="80" w:type="dxa"/>
              <w:left w:w="80" w:type="dxa"/>
              <w:bottom w:w="80" w:type="dxa"/>
              <w:right w:w="80" w:type="dxa"/>
            </w:tcMar>
            <w:vAlign w:val="center"/>
          </w:tcPr>
          <w:p w:rsidR="00D92998" w:rsidRDefault="00441FF4">
            <w:pPr>
              <w:pStyle w:val="BodyA"/>
            </w:pPr>
            <w:hyperlink r:id="rId9" w:history="1">
              <w:r w:rsidR="00DE10B5">
                <w:rPr>
                  <w:rStyle w:val="Hyperlink3"/>
                </w:rPr>
                <w:t>ankara.office@coe.int</w:t>
              </w:r>
            </w:hyperlink>
          </w:p>
        </w:tc>
      </w:tr>
      <w:tr w:rsidR="00D92998">
        <w:trPr>
          <w:trHeight w:val="283"/>
        </w:trPr>
        <w:tc>
          <w:tcPr>
            <w:tcW w:w="3510" w:type="dxa"/>
            <w:tcBorders>
              <w:top w:val="single" w:sz="2" w:space="0" w:color="808080"/>
              <w:left w:val="single" w:sz="2" w:space="0" w:color="808080"/>
              <w:bottom w:val="single" w:sz="2" w:space="0" w:color="808080"/>
              <w:right w:val="nil"/>
            </w:tcBorders>
            <w:shd w:val="clear" w:color="auto" w:fill="F2F2F2"/>
            <w:tcMar>
              <w:top w:w="80" w:type="dxa"/>
              <w:left w:w="80" w:type="dxa"/>
              <w:bottom w:w="80" w:type="dxa"/>
              <w:right w:w="80" w:type="dxa"/>
            </w:tcMar>
            <w:vAlign w:val="center"/>
          </w:tcPr>
          <w:p w:rsidR="00D92998" w:rsidRDefault="00DE10B5">
            <w:pPr>
              <w:pStyle w:val="BodyA"/>
              <w:jc w:val="right"/>
            </w:pPr>
            <w:r>
              <w:rPr>
                <w:rStyle w:val="None"/>
                <w:rFonts w:ascii="Tahoma" w:hAnsi="Tahoma"/>
                <w:b/>
                <w:bCs/>
                <w:sz w:val="18"/>
                <w:szCs w:val="18"/>
              </w:rPr>
              <w:t xml:space="preserve">Email for questions </w:t>
            </w:r>
            <w:r>
              <w:rPr>
                <w:rStyle w:val="None"/>
                <w:b/>
                <w:bCs/>
                <w:color w:val="0070C0"/>
                <w:sz w:val="18"/>
                <w:szCs w:val="18"/>
                <w:u w:color="0070C0"/>
              </w:rPr>
              <w:t>►</w:t>
            </w:r>
          </w:p>
        </w:tc>
        <w:tc>
          <w:tcPr>
            <w:tcW w:w="6061" w:type="dxa"/>
            <w:tcBorders>
              <w:top w:val="single" w:sz="2" w:space="0" w:color="808080"/>
              <w:left w:val="nil"/>
              <w:bottom w:val="single" w:sz="2" w:space="0" w:color="808080"/>
              <w:right w:val="single" w:sz="2" w:space="0" w:color="808080"/>
            </w:tcBorders>
            <w:shd w:val="clear" w:color="auto" w:fill="auto"/>
            <w:tcMar>
              <w:top w:w="80" w:type="dxa"/>
              <w:left w:w="80" w:type="dxa"/>
              <w:bottom w:w="80" w:type="dxa"/>
              <w:right w:w="80" w:type="dxa"/>
            </w:tcMar>
            <w:vAlign w:val="center"/>
          </w:tcPr>
          <w:p w:rsidR="00D92998" w:rsidRDefault="00441FF4">
            <w:pPr>
              <w:pStyle w:val="BodyA"/>
            </w:pPr>
            <w:hyperlink r:id="rId10" w:history="1">
              <w:r w:rsidR="00DE10B5">
                <w:rPr>
                  <w:rStyle w:val="Hyperlink3"/>
                </w:rPr>
                <w:t>ankara.office@coe.int</w:t>
              </w:r>
            </w:hyperlink>
          </w:p>
        </w:tc>
      </w:tr>
      <w:tr w:rsidR="00D92998">
        <w:trPr>
          <w:trHeight w:val="456"/>
        </w:trPr>
        <w:tc>
          <w:tcPr>
            <w:tcW w:w="3510" w:type="dxa"/>
            <w:tcBorders>
              <w:top w:val="single" w:sz="2" w:space="0" w:color="808080"/>
              <w:left w:val="single" w:sz="2" w:space="0" w:color="808080"/>
              <w:bottom w:val="single" w:sz="2" w:space="0" w:color="808080"/>
              <w:right w:val="nil"/>
            </w:tcBorders>
            <w:shd w:val="clear" w:color="auto" w:fill="F2F2F2"/>
            <w:tcMar>
              <w:top w:w="80" w:type="dxa"/>
              <w:left w:w="80" w:type="dxa"/>
              <w:bottom w:w="80" w:type="dxa"/>
              <w:right w:w="80" w:type="dxa"/>
            </w:tcMar>
            <w:vAlign w:val="center"/>
          </w:tcPr>
          <w:p w:rsidR="00D92998" w:rsidRDefault="00DE10B5">
            <w:pPr>
              <w:pStyle w:val="BodyA"/>
              <w:jc w:val="right"/>
            </w:pPr>
            <w:r>
              <w:rPr>
                <w:rStyle w:val="None"/>
                <w:rFonts w:ascii="Tahoma" w:hAnsi="Tahoma"/>
                <w:b/>
                <w:bCs/>
                <w:sz w:val="18"/>
                <w:szCs w:val="18"/>
              </w:rPr>
              <w:t xml:space="preserve">Expected starting date of execution </w:t>
            </w:r>
            <w:r>
              <w:rPr>
                <w:rStyle w:val="None"/>
                <w:b/>
                <w:bCs/>
                <w:color w:val="0070C0"/>
                <w:sz w:val="18"/>
                <w:szCs w:val="18"/>
                <w:u w:color="0070C0"/>
              </w:rPr>
              <w:t>►</w:t>
            </w:r>
          </w:p>
        </w:tc>
        <w:tc>
          <w:tcPr>
            <w:tcW w:w="6061" w:type="dxa"/>
            <w:tcBorders>
              <w:top w:val="single" w:sz="2" w:space="0" w:color="808080"/>
              <w:left w:val="nil"/>
              <w:bottom w:val="single" w:sz="2" w:space="0" w:color="808080"/>
              <w:right w:val="single" w:sz="2" w:space="0" w:color="808080"/>
            </w:tcBorders>
            <w:shd w:val="clear" w:color="auto" w:fill="auto"/>
            <w:tcMar>
              <w:top w:w="80" w:type="dxa"/>
              <w:left w:w="80" w:type="dxa"/>
              <w:bottom w:w="80" w:type="dxa"/>
              <w:right w:w="80" w:type="dxa"/>
            </w:tcMar>
            <w:vAlign w:val="center"/>
          </w:tcPr>
          <w:p w:rsidR="00D92998" w:rsidRDefault="00DE10B5">
            <w:pPr>
              <w:pStyle w:val="BodyA"/>
            </w:pPr>
            <w:r>
              <w:rPr>
                <w:rStyle w:val="None"/>
                <w:rFonts w:ascii="Tahoma" w:hAnsi="Tahoma"/>
                <w:sz w:val="20"/>
                <w:szCs w:val="20"/>
                <w:u w:color="808080"/>
              </w:rPr>
              <w:t>15 June 2020</w:t>
            </w:r>
          </w:p>
        </w:tc>
      </w:tr>
    </w:tbl>
    <w:p w:rsidR="00D92998" w:rsidRDefault="00D92998">
      <w:pPr>
        <w:pStyle w:val="BodyA"/>
        <w:widowControl w:val="0"/>
        <w:spacing w:after="120"/>
        <w:ind w:left="324" w:hanging="324"/>
        <w:rPr>
          <w:rStyle w:val="None"/>
          <w:rFonts w:ascii="Tahoma" w:eastAsia="Tahoma" w:hAnsi="Tahoma" w:cs="Tahoma"/>
          <w:b/>
          <w:bCs/>
          <w:sz w:val="18"/>
          <w:szCs w:val="18"/>
        </w:rPr>
      </w:pPr>
    </w:p>
    <w:p w:rsidR="00D92998" w:rsidRDefault="00D92998">
      <w:pPr>
        <w:pStyle w:val="BodyA"/>
        <w:widowControl w:val="0"/>
        <w:spacing w:after="120"/>
        <w:jc w:val="both"/>
        <w:rPr>
          <w:rStyle w:val="None"/>
          <w:rFonts w:ascii="Tahoma" w:eastAsia="Tahoma" w:hAnsi="Tahoma" w:cs="Tahoma"/>
          <w:b/>
          <w:bCs/>
          <w:sz w:val="18"/>
          <w:szCs w:val="18"/>
        </w:rPr>
      </w:pPr>
      <w:bookmarkStart w:id="0" w:name="_GoBack"/>
      <w:bookmarkEnd w:id="0"/>
    </w:p>
    <w:p w:rsidR="00D92998" w:rsidRDefault="00DE10B5">
      <w:pPr>
        <w:pStyle w:val="BodyA"/>
      </w:pPr>
      <w:r>
        <w:rPr>
          <w:rStyle w:val="None"/>
          <w:rFonts w:ascii="Arial Unicode MS" w:eastAsia="Arial Unicode MS" w:hAnsi="Arial Unicode MS" w:cs="Arial Unicode MS"/>
          <w:sz w:val="20"/>
          <w:szCs w:val="20"/>
        </w:rPr>
        <w:br w:type="page"/>
      </w:r>
    </w:p>
    <w:p w:rsidR="00D92998" w:rsidRDefault="00DE10B5">
      <w:pPr>
        <w:pStyle w:val="ListParagraph"/>
        <w:numPr>
          <w:ilvl w:val="0"/>
          <w:numId w:val="3"/>
        </w:numPr>
        <w:rPr>
          <w:rFonts w:ascii="Tahoma" w:hAnsi="Tahoma"/>
          <w:b/>
          <w:bCs/>
          <w:sz w:val="20"/>
          <w:szCs w:val="20"/>
        </w:rPr>
      </w:pPr>
      <w:r>
        <w:rPr>
          <w:rStyle w:val="None"/>
          <w:rFonts w:ascii="Tahoma" w:hAnsi="Tahoma"/>
          <w:sz w:val="20"/>
          <w:szCs w:val="20"/>
        </w:rPr>
        <w:lastRenderedPageBreak/>
        <w:t>EXPECTED DELIVERABLES</w:t>
      </w:r>
    </w:p>
    <w:p w:rsidR="00D92998" w:rsidRDefault="00D92998">
      <w:pPr>
        <w:pStyle w:val="ListParagraph"/>
        <w:rPr>
          <w:rStyle w:val="None"/>
          <w:rFonts w:ascii="Tahoma" w:eastAsia="Tahoma" w:hAnsi="Tahoma" w:cs="Tahoma"/>
          <w:b/>
          <w:bCs/>
          <w:kern w:val="32"/>
          <w:sz w:val="20"/>
          <w:szCs w:val="20"/>
        </w:rPr>
      </w:pPr>
    </w:p>
    <w:p w:rsidR="00D92998" w:rsidRDefault="00DE10B5">
      <w:pPr>
        <w:pStyle w:val="BodyA"/>
        <w:spacing w:after="120"/>
        <w:rPr>
          <w:rStyle w:val="None"/>
          <w:rFonts w:ascii="Tahoma" w:eastAsia="Tahoma" w:hAnsi="Tahoma" w:cs="Tahoma"/>
          <w:b/>
          <w:bCs/>
          <w:sz w:val="20"/>
          <w:szCs w:val="20"/>
        </w:rPr>
      </w:pPr>
      <w:r>
        <w:rPr>
          <w:rStyle w:val="None"/>
          <w:rFonts w:ascii="Tahoma" w:hAnsi="Tahoma"/>
          <w:b/>
          <w:bCs/>
          <w:sz w:val="20"/>
          <w:szCs w:val="20"/>
        </w:rPr>
        <w:t xml:space="preserve">Background of the Action </w:t>
      </w:r>
    </w:p>
    <w:p w:rsidR="00D92998" w:rsidRDefault="00DE10B5">
      <w:pPr>
        <w:pStyle w:val="BodyA"/>
        <w:jc w:val="both"/>
        <w:rPr>
          <w:rStyle w:val="Hyperlink7"/>
        </w:rPr>
      </w:pPr>
      <w:r>
        <w:rPr>
          <w:rStyle w:val="None"/>
          <w:rFonts w:ascii="Tahoma" w:hAnsi="Tahoma"/>
          <w:sz w:val="20"/>
          <w:szCs w:val="20"/>
          <w:u w:color="161616"/>
          <w:shd w:val="clear" w:color="auto" w:fill="FFFFFF"/>
        </w:rPr>
        <w:t xml:space="preserve">The Council of Europe action </w:t>
      </w:r>
      <w:r>
        <w:rPr>
          <w:rStyle w:val="Hyperlink7"/>
        </w:rPr>
        <w:t xml:space="preserve">“Strengthening the human rights protection of asylum seekers, migrants and victims of human trafficking in Turkey” </w:t>
      </w:r>
      <w:r>
        <w:rPr>
          <w:rStyle w:val="None"/>
          <w:rFonts w:ascii="Tahoma" w:hAnsi="Tahoma"/>
          <w:sz w:val="20"/>
          <w:szCs w:val="20"/>
          <w:u w:color="161616"/>
          <w:shd w:val="clear" w:color="auto" w:fill="FFFFFF"/>
        </w:rPr>
        <w:t xml:space="preserve">is implemented under the </w:t>
      </w:r>
      <w:hyperlink r:id="rId11" w:history="1">
        <w:r>
          <w:rPr>
            <w:rStyle w:val="Hyperlink4"/>
          </w:rPr>
          <w:t>Horizontal Facility</w:t>
        </w:r>
      </w:hyperlink>
      <w:r>
        <w:rPr>
          <w:rStyle w:val="None"/>
          <w:rFonts w:ascii="Tahoma" w:hAnsi="Tahoma"/>
          <w:sz w:val="20"/>
          <w:szCs w:val="20"/>
          <w:u w:color="161616"/>
          <w:shd w:val="clear" w:color="auto" w:fill="FFFFFF"/>
        </w:rPr>
        <w:t xml:space="preserve"> </w:t>
      </w:r>
      <w:r>
        <w:rPr>
          <w:rStyle w:val="Hyperlink7"/>
        </w:rPr>
        <w:t xml:space="preserve">for the Western Balkans and Turkey II (2019-2022), </w:t>
      </w:r>
      <w:r>
        <w:rPr>
          <w:rStyle w:val="None"/>
          <w:rFonts w:ascii="Tahoma" w:hAnsi="Tahoma"/>
          <w:sz w:val="20"/>
          <w:szCs w:val="20"/>
          <w:u w:color="161616"/>
          <w:shd w:val="clear" w:color="auto" w:fill="FFFFFF"/>
        </w:rPr>
        <w:t xml:space="preserve">a joint programme between the European Union (EU) and the Council of Europe (CoE). The first component of the action </w:t>
      </w:r>
      <w:r>
        <w:rPr>
          <w:rStyle w:val="Hyperlink7"/>
        </w:rPr>
        <w:t xml:space="preserve">aims at strengthening institutional mechanisms in Turkey to co-ordinate and effectively apply the standards of the Council of Europe Convention on Action against Trafficking in Human Beings (THB) and developing knowledge and skills of key authorities responsible for preventing and combating trafficking in human beings. </w:t>
      </w:r>
    </w:p>
    <w:p w:rsidR="00D92998" w:rsidRDefault="00D92998">
      <w:pPr>
        <w:pStyle w:val="BodyA"/>
        <w:jc w:val="both"/>
        <w:rPr>
          <w:rStyle w:val="None"/>
          <w:rFonts w:ascii="Tahoma" w:eastAsia="Tahoma" w:hAnsi="Tahoma" w:cs="Tahoma"/>
          <w:sz w:val="20"/>
          <w:szCs w:val="20"/>
        </w:rPr>
      </w:pPr>
    </w:p>
    <w:p w:rsidR="00D92998" w:rsidRDefault="00DE10B5">
      <w:pPr>
        <w:pStyle w:val="BodyA"/>
        <w:jc w:val="both"/>
        <w:rPr>
          <w:rStyle w:val="Hyperlink7"/>
        </w:rPr>
      </w:pPr>
      <w:r>
        <w:rPr>
          <w:rStyle w:val="Hyperlink7"/>
        </w:rPr>
        <w:t>Based on recommendations made by the Group of Experts on Action against Trafficking in Human Beings (</w:t>
      </w:r>
      <w:hyperlink r:id="rId12" w:history="1">
        <w:r>
          <w:rPr>
            <w:rStyle w:val="Hyperlink5"/>
          </w:rPr>
          <w:t>GRETA</w:t>
        </w:r>
      </w:hyperlink>
      <w:r>
        <w:rPr>
          <w:rStyle w:val="Hyperlink7"/>
        </w:rPr>
        <w:t>) in its first evaluation report on Turkey</w:t>
      </w:r>
      <w:r>
        <w:rPr>
          <w:rStyle w:val="None"/>
          <w:rFonts w:ascii="Tahoma" w:eastAsia="Tahoma" w:hAnsi="Tahoma" w:cs="Tahoma"/>
          <w:sz w:val="20"/>
          <w:szCs w:val="20"/>
          <w:vertAlign w:val="superscript"/>
        </w:rPr>
        <w:footnoteReference w:id="3"/>
      </w:r>
      <w:r>
        <w:rPr>
          <w:rStyle w:val="Hyperlink7"/>
        </w:rPr>
        <w:t>, the action will contribute to the areas that have been identified together with the public authorities based on their needs and priorities. One of the main outcomes of the action includes support to the Turkish authorities in adopting a comprehensive and integrated approach to addressing trafficking in human beings, including through strengthening the criminal justice response to human trafficking.</w:t>
      </w:r>
    </w:p>
    <w:p w:rsidR="00D92998" w:rsidRDefault="00D92998">
      <w:pPr>
        <w:pStyle w:val="BodyA"/>
        <w:jc w:val="both"/>
        <w:rPr>
          <w:rStyle w:val="None"/>
          <w:rFonts w:ascii="Tahoma" w:eastAsia="Tahoma" w:hAnsi="Tahoma" w:cs="Tahoma"/>
          <w:sz w:val="20"/>
          <w:szCs w:val="20"/>
        </w:rPr>
      </w:pPr>
    </w:p>
    <w:p w:rsidR="00D92998" w:rsidRDefault="00DE10B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jc w:val="both"/>
        <w:rPr>
          <w:rStyle w:val="Hyperlink7"/>
        </w:rPr>
      </w:pPr>
      <w:r>
        <w:rPr>
          <w:rStyle w:val="Hyperlink7"/>
        </w:rPr>
        <w:t>To achieve these objectives, the action foresees the following activities:</w:t>
      </w:r>
    </w:p>
    <w:p w:rsidR="00D92998" w:rsidRDefault="00DE10B5">
      <w:pPr>
        <w:pStyle w:val="ListParagraph"/>
        <w:numPr>
          <w:ilvl w:val="0"/>
          <w:numId w:val="5"/>
        </w:numPr>
        <w:spacing w:after="160" w:line="259" w:lineRule="auto"/>
        <w:jc w:val="both"/>
        <w:rPr>
          <w:rFonts w:ascii="Tahoma" w:hAnsi="Tahoma"/>
          <w:sz w:val="20"/>
          <w:szCs w:val="20"/>
        </w:rPr>
      </w:pPr>
      <w:r>
        <w:rPr>
          <w:rFonts w:ascii="Tahoma" w:hAnsi="Tahoma"/>
          <w:sz w:val="20"/>
          <w:szCs w:val="20"/>
        </w:rPr>
        <w:t>Gap analysis of the investigation procedure and the prosecution of THB cases, with a view to ensuring effective, proportionate and dissuasive convictions;</w:t>
      </w:r>
    </w:p>
    <w:p w:rsidR="00D92998" w:rsidRDefault="00DE10B5">
      <w:pPr>
        <w:pStyle w:val="ListParagraph"/>
        <w:numPr>
          <w:ilvl w:val="0"/>
          <w:numId w:val="5"/>
        </w:numPr>
        <w:spacing w:after="160" w:line="259" w:lineRule="auto"/>
        <w:jc w:val="both"/>
        <w:rPr>
          <w:rFonts w:ascii="Tahoma" w:hAnsi="Tahoma"/>
          <w:sz w:val="20"/>
          <w:szCs w:val="20"/>
        </w:rPr>
      </w:pPr>
      <w:r>
        <w:rPr>
          <w:rFonts w:ascii="Tahoma" w:hAnsi="Tahoma"/>
          <w:sz w:val="20"/>
          <w:szCs w:val="20"/>
        </w:rPr>
        <w:t>A conference</w:t>
      </w:r>
      <w:r>
        <w:rPr>
          <w:rStyle w:val="None"/>
          <w:rFonts w:ascii="Tahoma" w:hAnsi="Tahoma"/>
          <w:sz w:val="20"/>
          <w:szCs w:val="20"/>
          <w:u w:color="333333"/>
          <w:shd w:val="clear" w:color="auto" w:fill="FFFFFF"/>
        </w:rPr>
        <w:t xml:space="preserve"> to present the results of the gap analysis and discuss ways to improve Turkey’s criminal justice system response to human trafficking;</w:t>
      </w:r>
    </w:p>
    <w:p w:rsidR="00D92998" w:rsidRDefault="00DE10B5">
      <w:pPr>
        <w:pStyle w:val="ListParagraph"/>
        <w:numPr>
          <w:ilvl w:val="0"/>
          <w:numId w:val="5"/>
        </w:numPr>
        <w:spacing w:after="160" w:line="259" w:lineRule="auto"/>
        <w:jc w:val="both"/>
        <w:rPr>
          <w:rFonts w:ascii="Tahoma" w:hAnsi="Tahoma"/>
          <w:sz w:val="20"/>
          <w:szCs w:val="20"/>
        </w:rPr>
      </w:pPr>
      <w:r>
        <w:rPr>
          <w:rStyle w:val="None"/>
          <w:rFonts w:ascii="Tahoma" w:hAnsi="Tahoma"/>
          <w:sz w:val="20"/>
          <w:szCs w:val="20"/>
          <w:u w:color="333333"/>
          <w:shd w:val="clear" w:color="auto" w:fill="FFFFFF"/>
        </w:rPr>
        <w:t>Capacity building activities for law enforcement officials, prosecutors and judges on the specificity of THB cases for different purposes of exploitation, the collection of evidence, protection of victims, access to compensation.</w:t>
      </w:r>
    </w:p>
    <w:p w:rsidR="00D92998" w:rsidRDefault="00DE10B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rPr>
          <w:rStyle w:val="None"/>
          <w:rFonts w:ascii="Tahoma" w:eastAsia="Tahoma" w:hAnsi="Tahoma" w:cs="Tahoma"/>
          <w:sz w:val="20"/>
          <w:szCs w:val="20"/>
          <w:u w:val="single"/>
        </w:rPr>
      </w:pPr>
      <w:r>
        <w:rPr>
          <w:rStyle w:val="None"/>
          <w:rFonts w:ascii="Tahoma" w:hAnsi="Tahoma"/>
          <w:sz w:val="20"/>
          <w:szCs w:val="20"/>
          <w:u w:val="single"/>
        </w:rPr>
        <w:t>The rationale for the gap analysis, to serve as guidance, is attached in Annex I.</w:t>
      </w:r>
    </w:p>
    <w:p w:rsidR="00D92998" w:rsidRDefault="00D92998">
      <w:pPr>
        <w:pStyle w:val="BodyA"/>
        <w:jc w:val="both"/>
        <w:rPr>
          <w:rStyle w:val="None"/>
          <w:rFonts w:ascii="Tahoma" w:eastAsia="Tahoma" w:hAnsi="Tahoma" w:cs="Tahoma"/>
        </w:rPr>
      </w:pPr>
    </w:p>
    <w:p w:rsidR="00D92998" w:rsidRDefault="00DE10B5">
      <w:pPr>
        <w:pStyle w:val="BodyA"/>
        <w:jc w:val="both"/>
        <w:rPr>
          <w:rStyle w:val="Hyperlink7"/>
        </w:rPr>
      </w:pPr>
      <w:r>
        <w:rPr>
          <w:rStyle w:val="Hyperlink7"/>
        </w:rPr>
        <w:t>The Council of Europe is aiming to establish a pool of maximum five consultants (provided enough tenders meet the criteria indicated below) in order to support the implementation of the action with a particular expertise on the fields explained in detail in the scope of the assignment.</w:t>
      </w:r>
    </w:p>
    <w:p w:rsidR="00D92998" w:rsidRDefault="00D92998">
      <w:pPr>
        <w:pStyle w:val="BodyA"/>
        <w:jc w:val="both"/>
        <w:rPr>
          <w:rStyle w:val="None"/>
          <w:rFonts w:ascii="Tahoma" w:eastAsia="Tahoma" w:hAnsi="Tahoma" w:cs="Tahoma"/>
          <w:sz w:val="20"/>
          <w:szCs w:val="20"/>
        </w:rPr>
      </w:pPr>
    </w:p>
    <w:p w:rsidR="00D92998" w:rsidRDefault="00DE10B5">
      <w:pPr>
        <w:pStyle w:val="BodyA"/>
        <w:jc w:val="both"/>
        <w:rPr>
          <w:rStyle w:val="None"/>
          <w:rFonts w:ascii="Tahoma" w:eastAsia="Tahoma" w:hAnsi="Tahoma" w:cs="Tahoma"/>
          <w:b/>
          <w:bCs/>
          <w:sz w:val="20"/>
          <w:szCs w:val="20"/>
        </w:rPr>
      </w:pPr>
      <w:r>
        <w:rPr>
          <w:rStyle w:val="Hyperlink7"/>
        </w:rPr>
        <w:t>This Contract is currently estimated to cover around 15 activities, to be held by May 2022. This estimate is for information only and shall not constitute any sort of contractual commitment on the part of the Council of Europe. The Contract may potentially represent a higher or lower number of activities, depending on the evolving needs of the Organisation.</w:t>
      </w:r>
    </w:p>
    <w:p w:rsidR="00D92998" w:rsidRDefault="00D92998">
      <w:pPr>
        <w:pStyle w:val="BodyA"/>
        <w:jc w:val="both"/>
        <w:rPr>
          <w:rStyle w:val="None"/>
          <w:rFonts w:ascii="Tahoma" w:eastAsia="Tahoma" w:hAnsi="Tahoma" w:cs="Tahoma"/>
          <w:sz w:val="20"/>
          <w:szCs w:val="20"/>
        </w:rPr>
      </w:pPr>
    </w:p>
    <w:p w:rsidR="00D92998" w:rsidRDefault="00DE10B5">
      <w:pPr>
        <w:pStyle w:val="BodyA"/>
        <w:shd w:val="clear" w:color="auto" w:fill="FFFFFF"/>
        <w:spacing w:after="120"/>
        <w:jc w:val="both"/>
        <w:rPr>
          <w:rStyle w:val="None"/>
          <w:rFonts w:ascii="Tahoma" w:eastAsia="Tahoma" w:hAnsi="Tahoma" w:cs="Tahoma"/>
          <w:b/>
          <w:bCs/>
          <w:caps/>
          <w:sz w:val="20"/>
          <w:szCs w:val="20"/>
        </w:rPr>
      </w:pPr>
      <w:r>
        <w:rPr>
          <w:rStyle w:val="None"/>
          <w:rFonts w:ascii="Tahoma" w:hAnsi="Tahoma"/>
          <w:sz w:val="20"/>
          <w:szCs w:val="20"/>
        </w:rPr>
        <w:t>For information purposes only, the total budget of trafficking component of the action amounts to 1,350,000</w:t>
      </w:r>
      <w:r>
        <w:rPr>
          <w:rStyle w:val="None"/>
          <w:rFonts w:ascii="Tahoma" w:hAnsi="Tahoma"/>
          <w:sz w:val="20"/>
          <w:szCs w:val="20"/>
          <w:lang w:val="pt-PT"/>
        </w:rPr>
        <w:t xml:space="preserve"> Euros </w:t>
      </w:r>
      <w:r>
        <w:rPr>
          <w:rStyle w:val="None"/>
          <w:rFonts w:ascii="Tahoma" w:hAnsi="Tahoma"/>
          <w:sz w:val="20"/>
          <w:szCs w:val="20"/>
        </w:rPr>
        <w:t xml:space="preserve">and the total amount of the object of present tender </w:t>
      </w:r>
      <w:r>
        <w:rPr>
          <w:rStyle w:val="None"/>
          <w:rFonts w:ascii="Tahoma" w:hAnsi="Tahoma"/>
          <w:b/>
          <w:bCs/>
          <w:sz w:val="20"/>
          <w:szCs w:val="20"/>
        </w:rPr>
        <w:t>shall not exceed 55,000 Euros tax exclusive</w:t>
      </w:r>
      <w:r>
        <w:rPr>
          <w:rStyle w:val="None"/>
          <w:rFonts w:ascii="Tahoma" w:hAnsi="Tahoma"/>
          <w:sz w:val="20"/>
          <w:szCs w:val="20"/>
        </w:rPr>
        <w:t xml:space="preserve"> for the whole duration of the Framework Contract. This information does not constitute any sort of contractual commitment or obligation on the part of the Council of Europe.</w:t>
      </w:r>
      <w:r>
        <w:rPr>
          <w:rStyle w:val="None"/>
          <w:rFonts w:ascii="Tahoma" w:hAnsi="Tahoma"/>
          <w:b/>
          <w:bCs/>
          <w:caps/>
          <w:sz w:val="20"/>
          <w:szCs w:val="20"/>
        </w:rPr>
        <w:t xml:space="preserve"> </w:t>
      </w:r>
    </w:p>
    <w:p w:rsidR="00D92998" w:rsidRDefault="00DE10B5">
      <w:pPr>
        <w:pStyle w:val="BodyA"/>
        <w:spacing w:before="240" w:after="120"/>
        <w:jc w:val="both"/>
        <w:outlineLvl w:val="0"/>
        <w:rPr>
          <w:rStyle w:val="None"/>
          <w:rFonts w:ascii="Tahoma" w:eastAsia="Tahoma" w:hAnsi="Tahoma" w:cs="Tahoma"/>
          <w:b/>
          <w:bCs/>
          <w:sz w:val="20"/>
          <w:szCs w:val="20"/>
        </w:rPr>
      </w:pPr>
      <w:r>
        <w:rPr>
          <w:rStyle w:val="None"/>
          <w:rFonts w:ascii="Tahoma" w:hAnsi="Tahoma"/>
          <w:b/>
          <w:bCs/>
          <w:sz w:val="20"/>
          <w:szCs w:val="20"/>
        </w:rPr>
        <w:t>Scope of the Framework Contract</w:t>
      </w:r>
    </w:p>
    <w:p w:rsidR="00D92998" w:rsidRDefault="00DE10B5">
      <w:pPr>
        <w:pStyle w:val="ListParagraph"/>
        <w:tabs>
          <w:tab w:val="left" w:pos="1950"/>
          <w:tab w:val="left" w:pos="2124"/>
          <w:tab w:val="left" w:pos="2832"/>
          <w:tab w:val="left" w:pos="3540"/>
          <w:tab w:val="left" w:pos="4248"/>
          <w:tab w:val="left" w:pos="4956"/>
          <w:tab w:val="left" w:pos="5664"/>
          <w:tab w:val="left" w:pos="6372"/>
          <w:tab w:val="left" w:pos="7080"/>
          <w:tab w:val="left" w:pos="7788"/>
          <w:tab w:val="left" w:pos="8496"/>
          <w:tab w:val="left" w:pos="8848"/>
        </w:tabs>
        <w:spacing w:after="200" w:line="276" w:lineRule="auto"/>
        <w:ind w:left="0"/>
        <w:jc w:val="both"/>
        <w:rPr>
          <w:rStyle w:val="Hyperlink7"/>
        </w:rPr>
      </w:pPr>
      <w:r>
        <w:rPr>
          <w:rStyle w:val="Hyperlink7"/>
        </w:rPr>
        <w:t>On the basis of available case law, the consultants will identify gaps in the relevant legislation and in the investigation and prosecution of THB cases, and will make recommendations for overcoming them. The purpose of the gap analysis is to lead to</w:t>
      </w:r>
      <w:r>
        <w:rPr>
          <w:rStyle w:val="None"/>
          <w:rFonts w:ascii="Tahoma" w:hAnsi="Tahoma"/>
          <w:b/>
          <w:bCs/>
          <w:sz w:val="20"/>
          <w:szCs w:val="20"/>
        </w:rPr>
        <w:t xml:space="preserve"> the consideration and development of core guiding principles for criminal justice practitioners in Turkey in the investigation and prosecution of THB cases</w:t>
      </w:r>
      <w:r>
        <w:rPr>
          <w:rStyle w:val="Hyperlink7"/>
        </w:rPr>
        <w:t xml:space="preserve">. </w:t>
      </w:r>
    </w:p>
    <w:p w:rsidR="00D92998" w:rsidRDefault="00DE10B5">
      <w:pPr>
        <w:pStyle w:val="ListParagraph"/>
        <w:tabs>
          <w:tab w:val="left" w:pos="1950"/>
          <w:tab w:val="left" w:pos="2124"/>
          <w:tab w:val="left" w:pos="2832"/>
          <w:tab w:val="left" w:pos="3540"/>
          <w:tab w:val="left" w:pos="4248"/>
          <w:tab w:val="left" w:pos="4956"/>
          <w:tab w:val="left" w:pos="5664"/>
          <w:tab w:val="left" w:pos="6372"/>
          <w:tab w:val="left" w:pos="7080"/>
          <w:tab w:val="left" w:pos="7788"/>
          <w:tab w:val="left" w:pos="8496"/>
          <w:tab w:val="left" w:pos="8848"/>
        </w:tabs>
        <w:spacing w:after="200" w:line="276" w:lineRule="auto"/>
        <w:ind w:left="0"/>
        <w:jc w:val="both"/>
        <w:rPr>
          <w:rStyle w:val="Hyperlink7"/>
        </w:rPr>
      </w:pPr>
      <w:r>
        <w:rPr>
          <w:rStyle w:val="Hyperlink7"/>
        </w:rPr>
        <w:t xml:space="preserve">The outcomes of the gap analysis will be used to develop training for law enforcement officials, prosecutors and judges (activities under Outcome 2). They will also help stimulate discussion about legislative and </w:t>
      </w:r>
      <w:r>
        <w:rPr>
          <w:rStyle w:val="Hyperlink7"/>
        </w:rPr>
        <w:lastRenderedPageBreak/>
        <w:t xml:space="preserve">regulatory changes. Furthermore, it shall provide the background necessary to develop guidance for good practice. </w:t>
      </w:r>
    </w:p>
    <w:p w:rsidR="00D92998" w:rsidRDefault="00DE10B5">
      <w:pPr>
        <w:pStyle w:val="ListParagraph"/>
        <w:tabs>
          <w:tab w:val="left" w:pos="1950"/>
          <w:tab w:val="left" w:pos="2124"/>
          <w:tab w:val="left" w:pos="2832"/>
          <w:tab w:val="left" w:pos="3540"/>
          <w:tab w:val="left" w:pos="4248"/>
          <w:tab w:val="left" w:pos="4956"/>
          <w:tab w:val="left" w:pos="5664"/>
          <w:tab w:val="left" w:pos="6372"/>
          <w:tab w:val="left" w:pos="7080"/>
          <w:tab w:val="left" w:pos="7788"/>
          <w:tab w:val="left" w:pos="8496"/>
          <w:tab w:val="left" w:pos="8848"/>
        </w:tabs>
        <w:spacing w:after="200" w:line="276" w:lineRule="auto"/>
        <w:ind w:left="0"/>
        <w:jc w:val="both"/>
        <w:rPr>
          <w:rStyle w:val="None"/>
          <w:rFonts w:ascii="Tahoma" w:eastAsia="Tahoma" w:hAnsi="Tahoma" w:cs="Tahoma"/>
          <w:sz w:val="20"/>
          <w:szCs w:val="20"/>
          <w:u w:val="single"/>
        </w:rPr>
      </w:pPr>
      <w:r>
        <w:rPr>
          <w:rStyle w:val="None"/>
          <w:rFonts w:ascii="Tahoma" w:hAnsi="Tahoma"/>
          <w:sz w:val="20"/>
          <w:szCs w:val="20"/>
          <w:u w:val="single"/>
        </w:rPr>
        <w:t>Methodology</w:t>
      </w:r>
    </w:p>
    <w:p w:rsidR="00D92998" w:rsidRDefault="00DE10B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both"/>
        <w:rPr>
          <w:rStyle w:val="Hyperlink7"/>
        </w:rPr>
      </w:pPr>
      <w:r>
        <w:rPr>
          <w:rStyle w:val="Hyperlink7"/>
        </w:rPr>
        <w:t>The gap analysis will be prepared by a team of one/or two international and two national consultants (ideally a researcher/academic and a legal practitioner). It is expected that the consultants deliver a written analysis in form of a report that includes a summary of findings, recommendations, as well as guidelines for practitioners, including examples of good practice. The consultants are also expected to present the gap analysis report at the National Conference on THB and the 2</w:t>
      </w:r>
      <w:r>
        <w:rPr>
          <w:rStyle w:val="None"/>
          <w:rFonts w:ascii="Tahoma" w:hAnsi="Tahoma"/>
          <w:sz w:val="20"/>
          <w:szCs w:val="20"/>
          <w:vertAlign w:val="superscript"/>
        </w:rPr>
        <w:t>nd</w:t>
      </w:r>
      <w:r>
        <w:rPr>
          <w:rStyle w:val="Hyperlink7"/>
        </w:rPr>
        <w:t xml:space="preserve"> Action Steering Committee. </w:t>
      </w:r>
    </w:p>
    <w:p w:rsidR="00D92998" w:rsidRDefault="00D92998">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both"/>
        <w:rPr>
          <w:rStyle w:val="None"/>
          <w:rFonts w:ascii="Tahoma" w:eastAsia="Tahoma" w:hAnsi="Tahoma" w:cs="Tahoma"/>
          <w:sz w:val="20"/>
          <w:szCs w:val="20"/>
        </w:rPr>
      </w:pPr>
    </w:p>
    <w:p w:rsidR="00D92998" w:rsidRDefault="00DE10B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both"/>
        <w:rPr>
          <w:rStyle w:val="Hyperlink7"/>
        </w:rPr>
      </w:pPr>
      <w:r>
        <w:rPr>
          <w:rStyle w:val="Hyperlink7"/>
        </w:rPr>
        <w:t xml:space="preserve">The </w:t>
      </w:r>
      <w:r>
        <w:rPr>
          <w:rStyle w:val="None"/>
          <w:rFonts w:ascii="Tahoma" w:hAnsi="Tahoma"/>
          <w:b/>
          <w:bCs/>
          <w:sz w:val="20"/>
          <w:szCs w:val="20"/>
        </w:rPr>
        <w:t xml:space="preserve">expected outputs </w:t>
      </w:r>
      <w:r>
        <w:rPr>
          <w:rStyle w:val="Hyperlink7"/>
        </w:rPr>
        <w:t>of the gap analysis are as follows:</w:t>
      </w:r>
    </w:p>
    <w:p w:rsidR="00D92998" w:rsidRDefault="00D92998">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both"/>
        <w:rPr>
          <w:rStyle w:val="None"/>
          <w:rFonts w:ascii="Tahoma" w:eastAsia="Tahoma" w:hAnsi="Tahoma" w:cs="Tahoma"/>
          <w:sz w:val="24"/>
          <w:szCs w:val="24"/>
        </w:rPr>
      </w:pPr>
    </w:p>
    <w:p w:rsidR="00D92998" w:rsidRDefault="00DE10B5">
      <w:pPr>
        <w:pStyle w:val="BodyA"/>
        <w:numPr>
          <w:ilvl w:val="0"/>
          <w:numId w:val="7"/>
        </w:numPr>
        <w:spacing w:line="276" w:lineRule="auto"/>
        <w:jc w:val="both"/>
        <w:rPr>
          <w:rFonts w:ascii="Tahoma" w:eastAsia="Tahoma" w:hAnsi="Tahoma" w:cs="Tahoma"/>
          <w:sz w:val="20"/>
          <w:szCs w:val="20"/>
        </w:rPr>
      </w:pPr>
      <w:bookmarkStart w:id="1" w:name="_Hlk38959701"/>
      <w:r>
        <w:rPr>
          <w:rFonts w:ascii="Tahoma" w:hAnsi="Tahoma"/>
          <w:sz w:val="20"/>
          <w:szCs w:val="20"/>
        </w:rPr>
        <w:t>Analysis of the national legal framework relevant to combating THB and its compliance with the international legal framework</w:t>
      </w:r>
      <w:bookmarkEnd w:id="1"/>
      <w:r>
        <w:rPr>
          <w:rFonts w:ascii="Tahoma" w:hAnsi="Tahoma"/>
          <w:sz w:val="20"/>
          <w:szCs w:val="20"/>
        </w:rPr>
        <w:t>, including international human rights law and COE human rights and trafficking standards</w:t>
      </w:r>
    </w:p>
    <w:p w:rsidR="00D92998" w:rsidRDefault="00DE10B5">
      <w:pPr>
        <w:pStyle w:val="BodyA"/>
        <w:numPr>
          <w:ilvl w:val="0"/>
          <w:numId w:val="7"/>
        </w:numPr>
        <w:spacing w:line="276" w:lineRule="auto"/>
        <w:jc w:val="both"/>
        <w:rPr>
          <w:rFonts w:ascii="Tahoma" w:hAnsi="Tahoma"/>
          <w:sz w:val="20"/>
          <w:szCs w:val="20"/>
        </w:rPr>
      </w:pPr>
      <w:r>
        <w:rPr>
          <w:rFonts w:ascii="Tahoma" w:hAnsi="Tahoma"/>
          <w:sz w:val="20"/>
          <w:szCs w:val="20"/>
        </w:rPr>
        <w:t>Desk research on related national publications/studies and other relevant documents;</w:t>
      </w:r>
    </w:p>
    <w:p w:rsidR="00D92998" w:rsidRDefault="00DE10B5">
      <w:pPr>
        <w:pStyle w:val="ListParagraph"/>
        <w:numPr>
          <w:ilvl w:val="0"/>
          <w:numId w:val="8"/>
        </w:numPr>
        <w:spacing w:line="276" w:lineRule="auto"/>
        <w:jc w:val="both"/>
        <w:rPr>
          <w:rFonts w:ascii="Tahoma" w:hAnsi="Tahoma"/>
          <w:sz w:val="20"/>
          <w:szCs w:val="20"/>
        </w:rPr>
      </w:pPr>
      <w:r>
        <w:rPr>
          <w:rFonts w:ascii="Tahoma" w:hAnsi="Tahoma"/>
          <w:sz w:val="20"/>
          <w:szCs w:val="20"/>
        </w:rPr>
        <w:t>Development of a questionnaire as the basis for face-to-face interviews with law enforcement officers (including border guards and officials working in detention centres), prosecutors, judges, lawyers and civil society actors engaged in the action against THB. The questionnaire should allow to gain in particular information for the collation of information in particular on:</w:t>
      </w:r>
    </w:p>
    <w:p w:rsidR="00D92998" w:rsidRDefault="00DE10B5">
      <w:pPr>
        <w:pStyle w:val="BodyA"/>
        <w:numPr>
          <w:ilvl w:val="1"/>
          <w:numId w:val="10"/>
        </w:numPr>
        <w:jc w:val="both"/>
        <w:rPr>
          <w:rFonts w:ascii="Tahoma" w:hAnsi="Tahoma"/>
          <w:sz w:val="20"/>
          <w:szCs w:val="20"/>
        </w:rPr>
      </w:pPr>
      <w:r>
        <w:rPr>
          <w:rFonts w:ascii="Tahoma" w:hAnsi="Tahoma"/>
          <w:sz w:val="20"/>
          <w:szCs w:val="20"/>
        </w:rPr>
        <w:t>Roles and responsibilities of different actors, their perception, knowledge and experience of THB cases;</w:t>
      </w:r>
    </w:p>
    <w:p w:rsidR="00D92998" w:rsidRDefault="00DE10B5">
      <w:pPr>
        <w:pStyle w:val="BodyA"/>
        <w:numPr>
          <w:ilvl w:val="1"/>
          <w:numId w:val="10"/>
        </w:numPr>
        <w:jc w:val="both"/>
        <w:rPr>
          <w:rFonts w:ascii="Tahoma" w:hAnsi="Tahoma"/>
          <w:sz w:val="20"/>
          <w:szCs w:val="20"/>
        </w:rPr>
      </w:pPr>
      <w:r>
        <w:rPr>
          <w:rFonts w:ascii="Tahoma" w:hAnsi="Tahoma"/>
          <w:sz w:val="20"/>
          <w:szCs w:val="20"/>
        </w:rPr>
        <w:t>Key challenges related to identification of victims of THB, assistance  to victims, investigations, prosecution, protection of victims and witnesses, compensation of victims, adjudication of THB cases.</w:t>
      </w:r>
    </w:p>
    <w:p w:rsidR="00D92998" w:rsidRDefault="00DE10B5">
      <w:pPr>
        <w:pStyle w:val="ListParagraph"/>
        <w:numPr>
          <w:ilvl w:val="0"/>
          <w:numId w:val="8"/>
        </w:numPr>
        <w:spacing w:line="276" w:lineRule="auto"/>
        <w:jc w:val="both"/>
        <w:rPr>
          <w:rFonts w:ascii="Tahoma" w:eastAsia="Tahoma" w:hAnsi="Tahoma" w:cs="Tahoma"/>
          <w:sz w:val="20"/>
          <w:szCs w:val="20"/>
        </w:rPr>
      </w:pPr>
      <w:bookmarkStart w:id="2" w:name="_Hlk38960912"/>
      <w:r>
        <w:rPr>
          <w:rFonts w:ascii="Tahoma" w:hAnsi="Tahoma"/>
          <w:sz w:val="20"/>
          <w:szCs w:val="20"/>
        </w:rPr>
        <w:t>Analysis of cases of THB and related offences, for different forms of exploitation</w:t>
      </w:r>
      <w:bookmarkEnd w:id="2"/>
    </w:p>
    <w:p w:rsidR="00D92998" w:rsidRDefault="00DE10B5">
      <w:pPr>
        <w:pStyle w:val="ListParagraph"/>
        <w:numPr>
          <w:ilvl w:val="0"/>
          <w:numId w:val="8"/>
        </w:numPr>
        <w:spacing w:line="276" w:lineRule="auto"/>
        <w:jc w:val="both"/>
        <w:rPr>
          <w:rFonts w:ascii="Tahoma" w:hAnsi="Tahoma"/>
          <w:sz w:val="20"/>
          <w:szCs w:val="20"/>
        </w:rPr>
      </w:pPr>
      <w:r>
        <w:rPr>
          <w:rFonts w:ascii="Tahoma" w:hAnsi="Tahoma"/>
          <w:sz w:val="20"/>
          <w:szCs w:val="20"/>
        </w:rPr>
        <w:t>Preparation of a final report, including summary of findings/gaps identified as well as recommendations to overcome obstacles to investigation and prosecution</w:t>
      </w:r>
    </w:p>
    <w:p w:rsidR="00D92998" w:rsidRDefault="00DE10B5">
      <w:pPr>
        <w:pStyle w:val="ListParagraph"/>
        <w:numPr>
          <w:ilvl w:val="0"/>
          <w:numId w:val="8"/>
        </w:numPr>
        <w:spacing w:line="276" w:lineRule="auto"/>
        <w:jc w:val="both"/>
        <w:rPr>
          <w:rFonts w:ascii="Tahoma" w:hAnsi="Tahoma"/>
          <w:sz w:val="20"/>
          <w:szCs w:val="20"/>
        </w:rPr>
      </w:pPr>
      <w:r>
        <w:rPr>
          <w:rFonts w:ascii="Tahoma" w:hAnsi="Tahoma"/>
          <w:sz w:val="20"/>
          <w:szCs w:val="20"/>
        </w:rPr>
        <w:t>Presentation of the final report and guidelines to the Action beneficiaries at the National Conference on THB and the 2nd Action Steering Committee (tentatively in September 2021).</w:t>
      </w:r>
    </w:p>
    <w:p w:rsidR="00D92998" w:rsidRDefault="00D92998">
      <w:pPr>
        <w:pStyle w:val="BodyA"/>
        <w:jc w:val="both"/>
        <w:rPr>
          <w:rStyle w:val="None"/>
          <w:rFonts w:ascii="Tahoma" w:eastAsia="Tahoma" w:hAnsi="Tahoma" w:cs="Tahoma"/>
          <w:sz w:val="20"/>
          <w:szCs w:val="20"/>
        </w:rPr>
      </w:pPr>
    </w:p>
    <w:p w:rsidR="00D92998" w:rsidRDefault="00DE10B5">
      <w:pPr>
        <w:pStyle w:val="BodyB"/>
        <w:jc w:val="both"/>
        <w:rPr>
          <w:rStyle w:val="None"/>
          <w:rFonts w:ascii="Arial" w:eastAsia="Arial" w:hAnsi="Arial" w:cs="Arial"/>
          <w:sz w:val="22"/>
          <w:szCs w:val="22"/>
        </w:rPr>
      </w:pPr>
      <w:r>
        <w:rPr>
          <w:rStyle w:val="Hyperlink7"/>
        </w:rPr>
        <w:t xml:space="preserve">Throughout the duration of the Framework Contract, </w:t>
      </w:r>
      <w:r>
        <w:rPr>
          <w:rStyle w:val="None"/>
          <w:rFonts w:ascii="Tahoma" w:hAnsi="Tahoma"/>
          <w:b/>
          <w:bCs/>
          <w:sz w:val="20"/>
          <w:szCs w:val="20"/>
        </w:rPr>
        <w:t>pre-selected national consultancy Providers may be asked to:</w:t>
      </w:r>
    </w:p>
    <w:p w:rsidR="00D92998" w:rsidRDefault="00D92998">
      <w:pPr>
        <w:pStyle w:val="BodyA"/>
        <w:jc w:val="both"/>
        <w:rPr>
          <w:rStyle w:val="None"/>
          <w:rFonts w:ascii="Tahoma" w:eastAsia="Tahoma" w:hAnsi="Tahoma" w:cs="Tahoma"/>
          <w:sz w:val="20"/>
          <w:szCs w:val="20"/>
        </w:rPr>
      </w:pPr>
    </w:p>
    <w:p w:rsidR="00D92998" w:rsidRDefault="00DE10B5">
      <w:pPr>
        <w:pStyle w:val="Default"/>
        <w:numPr>
          <w:ilvl w:val="0"/>
          <w:numId w:val="12"/>
        </w:numPr>
        <w:spacing w:before="80"/>
        <w:jc w:val="both"/>
        <w:rPr>
          <w:rFonts w:ascii="Tahoma" w:hAnsi="Tahoma"/>
          <w:sz w:val="20"/>
          <w:szCs w:val="20"/>
        </w:rPr>
      </w:pPr>
      <w:r>
        <w:rPr>
          <w:rFonts w:ascii="Tahoma" w:hAnsi="Tahoma"/>
          <w:sz w:val="20"/>
          <w:szCs w:val="20"/>
        </w:rPr>
        <w:t>Deliver key questions and areas of focus for the gap analysis report, develop an outline of the research, work plan and questionnaire, prepare a list of participants and agenda of interviews with key informants.</w:t>
      </w:r>
    </w:p>
    <w:p w:rsidR="00D92998" w:rsidRDefault="00DE10B5">
      <w:pPr>
        <w:pStyle w:val="Default"/>
        <w:numPr>
          <w:ilvl w:val="0"/>
          <w:numId w:val="12"/>
        </w:numPr>
        <w:spacing w:before="80"/>
        <w:jc w:val="both"/>
        <w:rPr>
          <w:rFonts w:ascii="Tahoma" w:hAnsi="Tahoma"/>
          <w:sz w:val="20"/>
          <w:szCs w:val="20"/>
        </w:rPr>
      </w:pPr>
      <w:r>
        <w:rPr>
          <w:rFonts w:ascii="Tahoma" w:hAnsi="Tahoma"/>
          <w:sz w:val="20"/>
          <w:szCs w:val="20"/>
        </w:rPr>
        <w:t>Submit the first draft of the introduction, conclusions and recommendations, including an analysis of selected cases of THB and related offences, a summary of findings/gaps identified, and recommendations to overcome obstacles to investigation and prosecution</w:t>
      </w:r>
    </w:p>
    <w:p w:rsidR="00D92998" w:rsidRDefault="00DE10B5">
      <w:pPr>
        <w:pStyle w:val="Default"/>
        <w:numPr>
          <w:ilvl w:val="0"/>
          <w:numId w:val="12"/>
        </w:numPr>
        <w:spacing w:before="80"/>
        <w:jc w:val="both"/>
        <w:rPr>
          <w:rFonts w:ascii="Tahoma" w:hAnsi="Tahoma"/>
          <w:sz w:val="20"/>
          <w:szCs w:val="20"/>
        </w:rPr>
      </w:pPr>
      <w:r>
        <w:rPr>
          <w:rFonts w:ascii="Tahoma" w:hAnsi="Tahoma"/>
          <w:sz w:val="20"/>
          <w:szCs w:val="20"/>
        </w:rPr>
        <w:t>Submit the draft final report</w:t>
      </w:r>
    </w:p>
    <w:p w:rsidR="00D92998" w:rsidRDefault="00DE10B5">
      <w:pPr>
        <w:pStyle w:val="Default"/>
        <w:numPr>
          <w:ilvl w:val="0"/>
          <w:numId w:val="12"/>
        </w:numPr>
        <w:spacing w:before="80"/>
        <w:jc w:val="both"/>
        <w:rPr>
          <w:rFonts w:ascii="Tahoma" w:hAnsi="Tahoma"/>
          <w:sz w:val="20"/>
          <w:szCs w:val="20"/>
        </w:rPr>
      </w:pPr>
      <w:r>
        <w:rPr>
          <w:rFonts w:ascii="Tahoma" w:hAnsi="Tahoma"/>
          <w:sz w:val="20"/>
          <w:szCs w:val="20"/>
        </w:rPr>
        <w:t xml:space="preserve">Submit the revised and final draft of the report (50 pages) </w:t>
      </w:r>
      <w:r>
        <w:rPr>
          <w:rStyle w:val="None"/>
          <w:rFonts w:ascii="Tahoma" w:hAnsi="Tahoma"/>
          <w:b/>
          <w:bCs/>
          <w:sz w:val="20"/>
          <w:szCs w:val="20"/>
        </w:rPr>
        <w:t>(deadline: 31 August 2020)</w:t>
      </w:r>
    </w:p>
    <w:p w:rsidR="00D92998" w:rsidRDefault="00DE10B5">
      <w:pPr>
        <w:pStyle w:val="Default"/>
        <w:numPr>
          <w:ilvl w:val="0"/>
          <w:numId w:val="12"/>
        </w:numPr>
        <w:spacing w:before="80"/>
        <w:jc w:val="both"/>
        <w:rPr>
          <w:rFonts w:ascii="Tahoma" w:hAnsi="Tahoma"/>
          <w:sz w:val="20"/>
          <w:szCs w:val="20"/>
        </w:rPr>
      </w:pPr>
      <w:r>
        <w:rPr>
          <w:rFonts w:ascii="Tahoma" w:hAnsi="Tahoma"/>
          <w:sz w:val="20"/>
          <w:szCs w:val="20"/>
        </w:rPr>
        <w:t>Present the report to beneficiaries at the National Conference on THB</w:t>
      </w:r>
    </w:p>
    <w:p w:rsidR="00D92998" w:rsidRDefault="00DE10B5">
      <w:pPr>
        <w:pStyle w:val="Default"/>
        <w:numPr>
          <w:ilvl w:val="0"/>
          <w:numId w:val="12"/>
        </w:numPr>
        <w:spacing w:before="80"/>
        <w:jc w:val="both"/>
        <w:rPr>
          <w:rFonts w:ascii="Tahoma" w:hAnsi="Tahoma"/>
          <w:sz w:val="20"/>
          <w:szCs w:val="20"/>
        </w:rPr>
      </w:pPr>
      <w:r>
        <w:rPr>
          <w:rFonts w:ascii="Tahoma" w:hAnsi="Tahoma"/>
          <w:sz w:val="20"/>
          <w:szCs w:val="20"/>
        </w:rPr>
        <w:t>Present the report to beneficiaries at the 2</w:t>
      </w:r>
      <w:r>
        <w:rPr>
          <w:rStyle w:val="None"/>
          <w:rFonts w:ascii="Tahoma" w:hAnsi="Tahoma"/>
          <w:sz w:val="20"/>
          <w:szCs w:val="20"/>
          <w:vertAlign w:val="superscript"/>
        </w:rPr>
        <w:t>nd</w:t>
      </w:r>
      <w:r>
        <w:rPr>
          <w:rFonts w:ascii="Tahoma" w:hAnsi="Tahoma"/>
          <w:sz w:val="20"/>
          <w:szCs w:val="20"/>
        </w:rPr>
        <w:t xml:space="preserve"> Action Steering Committee</w:t>
      </w:r>
    </w:p>
    <w:p w:rsidR="00D92998" w:rsidRDefault="00D92998">
      <w:pPr>
        <w:pStyle w:val="BodyA"/>
        <w:shd w:val="clear" w:color="auto" w:fill="FFFFFF"/>
        <w:ind w:left="720"/>
        <w:jc w:val="both"/>
        <w:rPr>
          <w:rStyle w:val="None"/>
          <w:rFonts w:ascii="Tahoma" w:eastAsia="Tahoma" w:hAnsi="Tahoma" w:cs="Tahoma"/>
          <w:sz w:val="20"/>
          <w:szCs w:val="20"/>
          <w:shd w:val="clear" w:color="auto" w:fill="00FFFF"/>
        </w:rPr>
      </w:pPr>
    </w:p>
    <w:p w:rsidR="00D92998" w:rsidRDefault="00DE10B5">
      <w:pPr>
        <w:pStyle w:val="BodyA"/>
        <w:tabs>
          <w:tab w:val="left" w:pos="720"/>
          <w:tab w:val="left" w:pos="3828"/>
        </w:tabs>
        <w:jc w:val="both"/>
        <w:rPr>
          <w:rStyle w:val="None"/>
          <w:rFonts w:ascii="Tahoma" w:eastAsia="Tahoma" w:hAnsi="Tahoma" w:cs="Tahoma"/>
        </w:rPr>
      </w:pPr>
      <w:r>
        <w:rPr>
          <w:rStyle w:val="Hyperlink7"/>
        </w:rPr>
        <w:t xml:space="preserve">The above list is not considered exhaustive. The Council reserves the right to request deliverables not explicitly mentioned in the above list of expected services, but related to the field of expertise object of the present Framework Contract. </w:t>
      </w:r>
    </w:p>
    <w:p w:rsidR="00D92998" w:rsidRDefault="00D92998">
      <w:pPr>
        <w:pStyle w:val="BodyA"/>
        <w:jc w:val="both"/>
        <w:rPr>
          <w:rStyle w:val="None"/>
          <w:rFonts w:ascii="Tahoma" w:eastAsia="Tahoma" w:hAnsi="Tahoma" w:cs="Tahoma"/>
          <w:sz w:val="20"/>
          <w:szCs w:val="20"/>
          <w:shd w:val="clear" w:color="auto" w:fill="00FFFF"/>
        </w:rPr>
      </w:pPr>
    </w:p>
    <w:p w:rsidR="00D92998" w:rsidRDefault="00DE10B5">
      <w:pPr>
        <w:pStyle w:val="BodyA"/>
        <w:jc w:val="both"/>
        <w:rPr>
          <w:rStyle w:val="None"/>
          <w:rFonts w:ascii="Tahoma" w:eastAsia="Tahoma" w:hAnsi="Tahoma" w:cs="Tahoma"/>
          <w:sz w:val="20"/>
          <w:szCs w:val="20"/>
        </w:rPr>
      </w:pPr>
      <w:r>
        <w:rPr>
          <w:rStyle w:val="None"/>
          <w:rFonts w:ascii="Tahoma" w:hAnsi="Tahoma"/>
          <w:sz w:val="20"/>
          <w:szCs w:val="20"/>
        </w:rPr>
        <w:t xml:space="preserve">In terms of </w:t>
      </w:r>
      <w:r>
        <w:rPr>
          <w:rStyle w:val="None"/>
          <w:rFonts w:ascii="Tahoma" w:hAnsi="Tahoma"/>
          <w:b/>
          <w:bCs/>
          <w:sz w:val="20"/>
          <w:szCs w:val="20"/>
        </w:rPr>
        <w:t>quality requirements</w:t>
      </w:r>
      <w:r>
        <w:rPr>
          <w:rStyle w:val="None"/>
          <w:rFonts w:ascii="Tahoma" w:hAnsi="Tahoma"/>
          <w:sz w:val="20"/>
          <w:szCs w:val="20"/>
        </w:rPr>
        <w:t>, the pre-selected Service Providers must ensure</w:t>
      </w:r>
      <w:r>
        <w:rPr>
          <w:rStyle w:val="None"/>
          <w:rFonts w:ascii="Tahoma" w:hAnsi="Tahoma"/>
          <w:sz w:val="20"/>
          <w:szCs w:val="20"/>
          <w:lang w:val="pt-PT"/>
        </w:rPr>
        <w:t>, inter alia</w:t>
      </w:r>
      <w:r>
        <w:rPr>
          <w:rStyle w:val="None"/>
          <w:rFonts w:ascii="Tahoma" w:hAnsi="Tahoma"/>
          <w:sz w:val="20"/>
          <w:szCs w:val="20"/>
        </w:rPr>
        <w:t>, that:</w:t>
      </w:r>
    </w:p>
    <w:p w:rsidR="00D92998" w:rsidRDefault="00DE10B5">
      <w:pPr>
        <w:pStyle w:val="BodyA"/>
        <w:numPr>
          <w:ilvl w:val="0"/>
          <w:numId w:val="14"/>
        </w:numPr>
        <w:jc w:val="both"/>
        <w:rPr>
          <w:rFonts w:ascii="Tahoma" w:hAnsi="Tahoma"/>
          <w:sz w:val="20"/>
          <w:szCs w:val="20"/>
        </w:rPr>
      </w:pPr>
      <w:r>
        <w:rPr>
          <w:rStyle w:val="None"/>
          <w:rFonts w:ascii="Tahoma" w:hAnsi="Tahoma"/>
          <w:sz w:val="20"/>
          <w:szCs w:val="20"/>
        </w:rPr>
        <w:t>The services are provided to the highest professional/academic standard;</w:t>
      </w:r>
    </w:p>
    <w:p w:rsidR="00D92998" w:rsidRDefault="00DE10B5">
      <w:pPr>
        <w:pStyle w:val="BodyA"/>
        <w:numPr>
          <w:ilvl w:val="0"/>
          <w:numId w:val="15"/>
        </w:numPr>
        <w:spacing w:after="200" w:line="276" w:lineRule="auto"/>
        <w:jc w:val="both"/>
        <w:rPr>
          <w:rFonts w:ascii="Tahoma" w:hAnsi="Tahoma"/>
          <w:sz w:val="20"/>
          <w:szCs w:val="20"/>
        </w:rPr>
      </w:pPr>
      <w:r>
        <w:rPr>
          <w:rStyle w:val="None"/>
          <w:rFonts w:ascii="Tahoma" w:hAnsi="Tahoma"/>
          <w:sz w:val="20"/>
          <w:szCs w:val="20"/>
        </w:rPr>
        <w:t>Any specific instructions given by the Council – whenever this is the case – are followed.</w:t>
      </w:r>
    </w:p>
    <w:p w:rsidR="00D92998" w:rsidRDefault="00DE10B5">
      <w:pPr>
        <w:pStyle w:val="BodyA"/>
        <w:shd w:val="clear" w:color="auto" w:fill="FFFFFF"/>
        <w:jc w:val="both"/>
        <w:rPr>
          <w:rStyle w:val="Hyperlink7"/>
        </w:rPr>
      </w:pPr>
      <w:r>
        <w:rPr>
          <w:rStyle w:val="Hyperlink7"/>
        </w:rPr>
        <w:t xml:space="preserve">In addition to the orders requested on an as needed basis, the Provider shall keep regular communication with the Council to ensure continuing exchange of information relevant to the action’s implementation. This involves, among others, to inform the Council as soon as it becomes aware, during the execution of the Contract, of any initiatives and/or adopted laws and regulations, policies, strategies or action plans or any </w:t>
      </w:r>
      <w:r>
        <w:rPr>
          <w:rStyle w:val="Hyperlink7"/>
        </w:rPr>
        <w:lastRenderedPageBreak/>
        <w:t>other development related to the object of the Contract (see more on general obligations of the Provider in Article 3.1.2 of the Legal Conditions in the Act of Engagement).</w:t>
      </w:r>
    </w:p>
    <w:p w:rsidR="00D92998" w:rsidRDefault="00D92998">
      <w:pPr>
        <w:pStyle w:val="BodyA"/>
        <w:shd w:val="clear" w:color="auto" w:fill="FFFFFF"/>
        <w:jc w:val="both"/>
        <w:rPr>
          <w:rStyle w:val="None"/>
          <w:rFonts w:ascii="Tahoma" w:eastAsia="Tahoma" w:hAnsi="Tahoma" w:cs="Tahoma"/>
          <w:sz w:val="20"/>
          <w:szCs w:val="20"/>
        </w:rPr>
      </w:pPr>
    </w:p>
    <w:p w:rsidR="00D92998" w:rsidRDefault="00DE10B5">
      <w:pPr>
        <w:pStyle w:val="BodyA"/>
        <w:shd w:val="clear" w:color="auto" w:fill="FFFFFF"/>
        <w:jc w:val="both"/>
        <w:rPr>
          <w:rStyle w:val="Hyperlink7"/>
        </w:rPr>
      </w:pPr>
      <w:r>
        <w:rPr>
          <w:rStyle w:val="Hyperlink7"/>
        </w:rPr>
        <w:t>Unless otherwise agreed with the Council, written documents produced by the Provider shall be in English (see more on requirements for written documents in Articles 3.2.2 and 3.2.3 of the Legal Conditions in the Act of Engagement).]</w:t>
      </w:r>
    </w:p>
    <w:p w:rsidR="00D92998" w:rsidRDefault="00D92998">
      <w:pPr>
        <w:pStyle w:val="BodyA"/>
        <w:shd w:val="clear" w:color="auto" w:fill="FFFFFF"/>
        <w:jc w:val="both"/>
        <w:rPr>
          <w:rStyle w:val="None"/>
          <w:rFonts w:ascii="Tahoma" w:eastAsia="Tahoma" w:hAnsi="Tahoma" w:cs="Tahoma"/>
          <w:sz w:val="20"/>
          <w:szCs w:val="20"/>
        </w:rPr>
      </w:pPr>
    </w:p>
    <w:p w:rsidR="00D92998" w:rsidRDefault="00DE10B5">
      <w:pPr>
        <w:pStyle w:val="ListParagraph"/>
        <w:numPr>
          <w:ilvl w:val="0"/>
          <w:numId w:val="16"/>
        </w:numPr>
        <w:spacing w:after="120"/>
        <w:rPr>
          <w:rFonts w:ascii="Tahoma" w:hAnsi="Tahoma"/>
          <w:sz w:val="20"/>
          <w:szCs w:val="20"/>
        </w:rPr>
      </w:pPr>
      <w:r>
        <w:rPr>
          <w:rFonts w:ascii="Tahoma" w:hAnsi="Tahoma"/>
          <w:sz w:val="20"/>
          <w:szCs w:val="20"/>
        </w:rPr>
        <w:t>FEES</w:t>
      </w:r>
    </w:p>
    <w:p w:rsidR="00D92998" w:rsidRDefault="00DE10B5">
      <w:pPr>
        <w:pStyle w:val="BodyA"/>
        <w:keepLines/>
        <w:jc w:val="both"/>
        <w:rPr>
          <w:rStyle w:val="Hyperlink7"/>
        </w:rPr>
      </w:pPr>
      <w:r>
        <w:rPr>
          <w:rStyle w:val="Hyperlink7"/>
        </w:rPr>
        <w:t xml:space="preserve">Tenderers are invited to indicate their daily fees, by completing and sending the table of fees, as attached in Section A to the Act of Engagement. These fees are final and not subject to review. </w:t>
      </w:r>
    </w:p>
    <w:p w:rsidR="00D92998" w:rsidRDefault="00D92998">
      <w:pPr>
        <w:pStyle w:val="BodyA"/>
        <w:keepLines/>
        <w:jc w:val="both"/>
        <w:rPr>
          <w:rStyle w:val="None"/>
          <w:rFonts w:ascii="Tahoma" w:eastAsia="Tahoma" w:hAnsi="Tahoma" w:cs="Tahoma"/>
          <w:sz w:val="20"/>
          <w:szCs w:val="20"/>
        </w:rPr>
      </w:pPr>
    </w:p>
    <w:p w:rsidR="00D92998" w:rsidRDefault="00DE10B5">
      <w:pPr>
        <w:pStyle w:val="BodyA"/>
        <w:keepLines/>
        <w:jc w:val="both"/>
        <w:rPr>
          <w:rStyle w:val="Hyperlink7"/>
        </w:rPr>
      </w:pPr>
      <w:r>
        <w:rPr>
          <w:rStyle w:val="Hyperlink7"/>
        </w:rPr>
        <w:t xml:space="preserve">Tenders proposing fees above the exclusion level indicated in the Table of fees will be </w:t>
      </w:r>
      <w:r>
        <w:rPr>
          <w:rStyle w:val="None"/>
          <w:rFonts w:ascii="Tahoma" w:hAnsi="Tahoma"/>
          <w:b/>
          <w:bCs/>
          <w:sz w:val="20"/>
          <w:szCs w:val="20"/>
          <w:u w:val="single"/>
        </w:rPr>
        <w:t>entirely and automatically</w:t>
      </w:r>
      <w:r>
        <w:rPr>
          <w:rStyle w:val="Hyperlink7"/>
        </w:rPr>
        <w:t xml:space="preserve"> excluded from the tender procedure.</w:t>
      </w:r>
    </w:p>
    <w:p w:rsidR="00D92998" w:rsidRDefault="00D92998">
      <w:pPr>
        <w:pStyle w:val="BodyA"/>
        <w:keepLines/>
        <w:jc w:val="both"/>
        <w:rPr>
          <w:rStyle w:val="None"/>
          <w:rFonts w:ascii="Tahoma" w:eastAsia="Tahoma" w:hAnsi="Tahoma" w:cs="Tahoma"/>
          <w:sz w:val="20"/>
          <w:szCs w:val="20"/>
          <w:shd w:val="clear" w:color="auto" w:fill="00FFFF"/>
        </w:rPr>
      </w:pPr>
    </w:p>
    <w:p w:rsidR="00D92998" w:rsidRDefault="00DE10B5">
      <w:pPr>
        <w:pStyle w:val="BodyA"/>
        <w:keepLines/>
        <w:jc w:val="both"/>
        <w:rPr>
          <w:rStyle w:val="Hyperlink7"/>
        </w:rPr>
      </w:pPr>
      <w:r>
        <w:rPr>
          <w:rStyle w:val="Hyperlink7"/>
        </w:rPr>
        <w:t xml:space="preserve">The Council will indicate on each Order Form (see Section </w:t>
      </w:r>
      <w:hyperlink w:anchor="bookmark" w:history="1">
        <w:r>
          <w:rPr>
            <w:rStyle w:val="Hyperlink7"/>
          </w:rPr>
          <w:t>D</w:t>
        </w:r>
      </w:hyperlink>
      <w:r>
        <w:rPr>
          <w:rStyle w:val="Hyperlink7"/>
        </w:rPr>
        <w:t xml:space="preserve"> below) the global fee corresponding to each deliverable, calculated on the basis of the unit fees, as agreed by this Contract.</w:t>
      </w:r>
    </w:p>
    <w:p w:rsidR="00D92998" w:rsidRDefault="00D92998">
      <w:pPr>
        <w:pStyle w:val="BodyA"/>
        <w:jc w:val="both"/>
        <w:rPr>
          <w:rStyle w:val="None"/>
          <w:rFonts w:ascii="Tahoma" w:eastAsia="Tahoma" w:hAnsi="Tahoma" w:cs="Tahoma"/>
          <w:sz w:val="20"/>
          <w:szCs w:val="20"/>
        </w:rPr>
      </w:pPr>
    </w:p>
    <w:p w:rsidR="00D92998" w:rsidRDefault="00DE10B5">
      <w:pPr>
        <w:pStyle w:val="ListParagraph"/>
        <w:numPr>
          <w:ilvl w:val="0"/>
          <w:numId w:val="2"/>
        </w:numPr>
        <w:spacing w:after="120"/>
        <w:rPr>
          <w:rFonts w:ascii="Tahoma" w:eastAsia="Tahoma" w:hAnsi="Tahoma" w:cs="Tahoma"/>
          <w:sz w:val="20"/>
          <w:szCs w:val="20"/>
        </w:rPr>
      </w:pPr>
      <w:bookmarkStart w:id="3" w:name="_Ref482368674"/>
      <w:r>
        <w:rPr>
          <w:rStyle w:val="None"/>
          <w:rFonts w:ascii="Tahoma" w:hAnsi="Tahoma"/>
          <w:caps/>
          <w:sz w:val="20"/>
          <w:szCs w:val="20"/>
        </w:rPr>
        <w:t>HOW WILL THIS FRAMEWORK CONTRACT WORK? (Ordering PROCEDURE)</w:t>
      </w:r>
      <w:bookmarkEnd w:id="3"/>
    </w:p>
    <w:p w:rsidR="00D92998" w:rsidRDefault="00DE10B5">
      <w:pPr>
        <w:pStyle w:val="BodyA"/>
        <w:jc w:val="both"/>
        <w:rPr>
          <w:rStyle w:val="Hyperlink7"/>
        </w:rPr>
      </w:pPr>
      <w:r>
        <w:rPr>
          <w:rStyle w:val="Hyperlink7"/>
        </w:rPr>
        <w:t xml:space="preserve">Once the selection procedure is completed, you will be informed accordingly. Deliverables will then be delivered on the basis of Order Forms submitted by the Council to the selected Provider (s), by post or electronically, on </w:t>
      </w:r>
      <w:r>
        <w:rPr>
          <w:rStyle w:val="None"/>
          <w:rFonts w:ascii="Tahoma" w:hAnsi="Tahoma"/>
          <w:b/>
          <w:bCs/>
          <w:sz w:val="20"/>
          <w:szCs w:val="20"/>
        </w:rPr>
        <w:t>an as needed basis</w:t>
      </w:r>
      <w:r>
        <w:rPr>
          <w:rStyle w:val="Hyperlink7"/>
        </w:rPr>
        <w:t xml:space="preserve"> (there is therefore no obligation to order on the part of the Council).</w:t>
      </w:r>
    </w:p>
    <w:p w:rsidR="00D92998" w:rsidRDefault="00D92998">
      <w:pPr>
        <w:pStyle w:val="BodyA"/>
        <w:jc w:val="both"/>
        <w:rPr>
          <w:rStyle w:val="None"/>
          <w:rFonts w:ascii="Tahoma" w:eastAsia="Tahoma" w:hAnsi="Tahoma" w:cs="Tahoma"/>
          <w:sz w:val="20"/>
          <w:szCs w:val="20"/>
          <w:shd w:val="clear" w:color="auto" w:fill="00FFFF"/>
        </w:rPr>
      </w:pPr>
    </w:p>
    <w:p w:rsidR="00D92998" w:rsidRDefault="00DE10B5">
      <w:pPr>
        <w:pStyle w:val="BodyA"/>
        <w:jc w:val="both"/>
        <w:rPr>
          <w:rStyle w:val="None"/>
          <w:rFonts w:ascii="Tahoma" w:eastAsia="Tahoma" w:hAnsi="Tahoma" w:cs="Tahoma"/>
          <w:b/>
          <w:bCs/>
          <w:sz w:val="20"/>
          <w:szCs w:val="20"/>
        </w:rPr>
      </w:pPr>
      <w:r>
        <w:rPr>
          <w:rStyle w:val="None"/>
          <w:rFonts w:ascii="Tahoma" w:hAnsi="Tahoma"/>
          <w:b/>
          <w:bCs/>
          <w:sz w:val="20"/>
          <w:szCs w:val="20"/>
        </w:rPr>
        <w:t>Pooling</w:t>
      </w:r>
    </w:p>
    <w:p w:rsidR="00D92998" w:rsidRDefault="00DE10B5">
      <w:pPr>
        <w:pStyle w:val="BodyA"/>
        <w:jc w:val="both"/>
        <w:rPr>
          <w:rStyle w:val="Hyperlink7"/>
        </w:rPr>
      </w:pPr>
      <w:r>
        <w:rPr>
          <w:rStyle w:val="Hyperlink7"/>
        </w:rPr>
        <w:t xml:space="preserve">For each Order, the Council will choose from the pool of pre-selected tenderers the Provider who demonstrably offers best value for money for its requirement when assessed – for the Order concerned – against the criteria of:  </w:t>
      </w:r>
    </w:p>
    <w:p w:rsidR="00D92998" w:rsidRDefault="00DE10B5">
      <w:pPr>
        <w:pStyle w:val="Default"/>
        <w:numPr>
          <w:ilvl w:val="0"/>
          <w:numId w:val="18"/>
        </w:numPr>
        <w:rPr>
          <w:rFonts w:ascii="Tahoma" w:hAnsi="Tahoma"/>
          <w:sz w:val="20"/>
          <w:szCs w:val="20"/>
        </w:rPr>
      </w:pPr>
      <w:r>
        <w:rPr>
          <w:rFonts w:ascii="Tahoma" w:hAnsi="Tahoma"/>
          <w:sz w:val="20"/>
          <w:szCs w:val="20"/>
        </w:rPr>
        <w:t>quality (including as appropriate: capability, expertise, past performance, availability of resources and proposed methods of undertaking the work);</w:t>
      </w:r>
    </w:p>
    <w:p w:rsidR="00D92998" w:rsidRDefault="00DE10B5">
      <w:pPr>
        <w:pStyle w:val="Default"/>
        <w:numPr>
          <w:ilvl w:val="0"/>
          <w:numId w:val="18"/>
        </w:numPr>
        <w:rPr>
          <w:rFonts w:ascii="Tahoma" w:hAnsi="Tahoma"/>
          <w:sz w:val="20"/>
          <w:szCs w:val="20"/>
        </w:rPr>
      </w:pPr>
      <w:r>
        <w:rPr>
          <w:rFonts w:ascii="Tahoma" w:hAnsi="Tahoma"/>
          <w:sz w:val="20"/>
          <w:szCs w:val="20"/>
        </w:rPr>
        <w:t>availability (including, without limitation, capacity to meet required deadlines and, where relevant, geographical location); and</w:t>
      </w:r>
    </w:p>
    <w:p w:rsidR="00D92998" w:rsidRDefault="00DE10B5">
      <w:pPr>
        <w:pStyle w:val="Default"/>
        <w:numPr>
          <w:ilvl w:val="0"/>
          <w:numId w:val="18"/>
        </w:numPr>
        <w:rPr>
          <w:rFonts w:ascii="Tahoma" w:hAnsi="Tahoma"/>
          <w:sz w:val="20"/>
          <w:szCs w:val="20"/>
        </w:rPr>
      </w:pPr>
      <w:r>
        <w:rPr>
          <w:rFonts w:ascii="Tahoma" w:hAnsi="Tahoma"/>
          <w:sz w:val="20"/>
          <w:szCs w:val="20"/>
        </w:rPr>
        <w:t>price.</w:t>
      </w:r>
    </w:p>
    <w:p w:rsidR="00D92998" w:rsidRDefault="00D92998">
      <w:pPr>
        <w:pStyle w:val="Default"/>
        <w:ind w:left="720"/>
        <w:rPr>
          <w:rStyle w:val="None"/>
          <w:rFonts w:ascii="Tahoma" w:eastAsia="Tahoma" w:hAnsi="Tahoma" w:cs="Tahoma"/>
          <w:sz w:val="20"/>
          <w:szCs w:val="20"/>
          <w:shd w:val="clear" w:color="auto" w:fill="00FFFF"/>
        </w:rPr>
      </w:pPr>
    </w:p>
    <w:p w:rsidR="00D92998" w:rsidRDefault="00DE10B5">
      <w:pPr>
        <w:pStyle w:val="Default"/>
        <w:jc w:val="both"/>
        <w:rPr>
          <w:rStyle w:val="Hyperlink7"/>
        </w:rPr>
      </w:pPr>
      <w:r>
        <w:rPr>
          <w:rStyle w:val="Hyperlink7"/>
        </w:rPr>
        <w:t xml:space="preserve">Each time an Order Form is sent, the selected Provider undertakes to take all the necessary measures to send it </w:t>
      </w:r>
      <w:r>
        <w:rPr>
          <w:rStyle w:val="None"/>
          <w:rFonts w:ascii="Tahoma" w:hAnsi="Tahoma"/>
          <w:b/>
          <w:bCs/>
          <w:sz w:val="20"/>
          <w:szCs w:val="20"/>
        </w:rPr>
        <w:t>signed</w:t>
      </w:r>
      <w:r>
        <w:rPr>
          <w:rStyle w:val="Hyperlink7"/>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rsidR="00D92998" w:rsidRDefault="00D92998">
      <w:pPr>
        <w:pStyle w:val="BodyA"/>
        <w:jc w:val="both"/>
        <w:rPr>
          <w:rStyle w:val="None"/>
          <w:rFonts w:ascii="Tahoma" w:eastAsia="Tahoma" w:hAnsi="Tahoma" w:cs="Tahoma"/>
          <w:sz w:val="20"/>
          <w:szCs w:val="20"/>
        </w:rPr>
      </w:pPr>
    </w:p>
    <w:p w:rsidR="00D92998" w:rsidRDefault="00DE10B5">
      <w:pPr>
        <w:pStyle w:val="BodyA"/>
        <w:jc w:val="both"/>
        <w:rPr>
          <w:rStyle w:val="None"/>
          <w:rFonts w:ascii="Tahoma" w:eastAsia="Tahoma" w:hAnsi="Tahoma" w:cs="Tahoma"/>
          <w:b/>
          <w:bCs/>
          <w:sz w:val="20"/>
          <w:szCs w:val="20"/>
        </w:rPr>
      </w:pPr>
      <w:r>
        <w:rPr>
          <w:rStyle w:val="None"/>
          <w:rFonts w:ascii="Tahoma" w:hAnsi="Tahoma"/>
          <w:b/>
          <w:bCs/>
          <w:sz w:val="20"/>
          <w:szCs w:val="20"/>
        </w:rPr>
        <w:t>Providers subject to VAT</w:t>
      </w:r>
    </w:p>
    <w:p w:rsidR="00D92998" w:rsidRDefault="00DE10B5">
      <w:pPr>
        <w:pStyle w:val="BodyA"/>
        <w:jc w:val="both"/>
        <w:rPr>
          <w:rStyle w:val="Hyperlink7"/>
        </w:rPr>
      </w:pPr>
      <w:r>
        <w:rPr>
          <w:rStyle w:val="Hyperlink7"/>
        </w:rPr>
        <w:t xml:space="preserve">The Provider, </w:t>
      </w:r>
      <w:r>
        <w:rPr>
          <w:rStyle w:val="None"/>
          <w:rFonts w:ascii="Tahoma" w:hAnsi="Tahoma"/>
          <w:b/>
          <w:bCs/>
          <w:sz w:val="20"/>
          <w:szCs w:val="20"/>
        </w:rPr>
        <w:t>if subject to VAT</w:t>
      </w:r>
      <w:r>
        <w:rPr>
          <w:rStyle w:val="Hyperlink7"/>
        </w:rPr>
        <w:t>, shall also send, together with each signed Form, a quote</w:t>
      </w:r>
      <w:r>
        <w:rPr>
          <w:rStyle w:val="None"/>
          <w:rFonts w:ascii="Tahoma" w:eastAsia="Tahoma" w:hAnsi="Tahoma" w:cs="Tahoma"/>
          <w:sz w:val="20"/>
          <w:szCs w:val="20"/>
          <w:vertAlign w:val="superscript"/>
        </w:rPr>
        <w:footnoteReference w:id="4"/>
      </w:r>
      <w:r>
        <w:rPr>
          <w:rStyle w:val="Hyperlink7"/>
        </w:rPr>
        <w:t xml:space="preserve"> (Pro Forma invoice) in line with the indications specified on each Order Form, and including:</w:t>
      </w:r>
    </w:p>
    <w:p w:rsidR="00D92998" w:rsidRDefault="00DE10B5">
      <w:pPr>
        <w:pStyle w:val="BodyA"/>
        <w:ind w:left="709" w:hanging="345"/>
        <w:jc w:val="both"/>
        <w:rPr>
          <w:rStyle w:val="Hyperlink7"/>
        </w:rPr>
      </w:pPr>
      <w:r>
        <w:rPr>
          <w:rStyle w:val="Hyperlink7"/>
        </w:rPr>
        <w:t>-</w:t>
      </w:r>
      <w:r>
        <w:rPr>
          <w:rStyle w:val="Hyperlink7"/>
        </w:rPr>
        <w:tab/>
        <w:t>the Service Provider’s name and address;</w:t>
      </w:r>
    </w:p>
    <w:p w:rsidR="00D92998" w:rsidRDefault="00DE10B5">
      <w:pPr>
        <w:pStyle w:val="BodyA"/>
        <w:ind w:left="709" w:hanging="345"/>
        <w:jc w:val="both"/>
        <w:rPr>
          <w:rStyle w:val="Hyperlink7"/>
        </w:rPr>
      </w:pPr>
      <w:r>
        <w:rPr>
          <w:rStyle w:val="Hyperlink7"/>
        </w:rPr>
        <w:t>-</w:t>
      </w:r>
      <w:r>
        <w:rPr>
          <w:rStyle w:val="Hyperlink7"/>
        </w:rPr>
        <w:tab/>
        <w:t>its VAT number;</w:t>
      </w:r>
    </w:p>
    <w:p w:rsidR="00D92998" w:rsidRDefault="00DE10B5">
      <w:pPr>
        <w:pStyle w:val="BodyA"/>
        <w:ind w:left="709" w:hanging="345"/>
        <w:jc w:val="both"/>
        <w:rPr>
          <w:rStyle w:val="Hyperlink7"/>
        </w:rPr>
      </w:pPr>
      <w:r>
        <w:rPr>
          <w:rStyle w:val="Hyperlink7"/>
        </w:rPr>
        <w:t>-</w:t>
      </w:r>
      <w:r>
        <w:rPr>
          <w:rStyle w:val="Hyperlink7"/>
        </w:rPr>
        <w:tab/>
        <w:t>the full list of services;</w:t>
      </w:r>
    </w:p>
    <w:p w:rsidR="00D92998" w:rsidRDefault="00DE10B5">
      <w:pPr>
        <w:pStyle w:val="BodyA"/>
        <w:ind w:left="709" w:hanging="345"/>
        <w:jc w:val="both"/>
        <w:rPr>
          <w:rStyle w:val="Hyperlink7"/>
        </w:rPr>
      </w:pPr>
      <w:r>
        <w:rPr>
          <w:rStyle w:val="Hyperlink7"/>
        </w:rPr>
        <w:t>-</w:t>
      </w:r>
      <w:r>
        <w:rPr>
          <w:rStyle w:val="Hyperlink7"/>
        </w:rPr>
        <w:tab/>
        <w:t>the fee per type of deliverables (in the currency indicated on the Act of Engagement, tax exclusive);</w:t>
      </w:r>
    </w:p>
    <w:p w:rsidR="00D92998" w:rsidRDefault="00DE10B5">
      <w:pPr>
        <w:pStyle w:val="BodyA"/>
        <w:ind w:left="709" w:hanging="345"/>
        <w:jc w:val="both"/>
        <w:rPr>
          <w:rStyle w:val="Hyperlink7"/>
        </w:rPr>
      </w:pPr>
      <w:r>
        <w:rPr>
          <w:rStyle w:val="Hyperlink7"/>
        </w:rPr>
        <w:t>-</w:t>
      </w:r>
      <w:r>
        <w:rPr>
          <w:rStyle w:val="Hyperlink7"/>
        </w:rPr>
        <w:tab/>
        <w:t>the total amount per type of deliverables (in the currency indicated on the Act of Engagement, tax exclusive);</w:t>
      </w:r>
    </w:p>
    <w:p w:rsidR="00D92998" w:rsidRDefault="00DE10B5">
      <w:pPr>
        <w:pStyle w:val="BodyA"/>
        <w:ind w:left="709" w:hanging="345"/>
        <w:jc w:val="both"/>
        <w:rPr>
          <w:rStyle w:val="Hyperlink7"/>
        </w:rPr>
      </w:pPr>
      <w:r>
        <w:rPr>
          <w:rStyle w:val="Hyperlink7"/>
        </w:rPr>
        <w:t>-</w:t>
      </w:r>
      <w:r>
        <w:rPr>
          <w:rStyle w:val="Hyperlink7"/>
        </w:rPr>
        <w:tab/>
        <w:t>the total amount (in the currency indicated on the Act of Engagement), tax exclusive, the applicable VAT rate, the amount of VAT and the amount VAT inclusive .</w:t>
      </w:r>
    </w:p>
    <w:p w:rsidR="00D92998" w:rsidRDefault="00D92998">
      <w:pPr>
        <w:pStyle w:val="BodyA"/>
        <w:ind w:left="284" w:firstLine="283"/>
        <w:jc w:val="both"/>
        <w:rPr>
          <w:rStyle w:val="None"/>
          <w:rFonts w:ascii="Tahoma" w:eastAsia="Tahoma" w:hAnsi="Tahoma" w:cs="Tahoma"/>
          <w:sz w:val="20"/>
          <w:szCs w:val="20"/>
        </w:rPr>
      </w:pPr>
    </w:p>
    <w:p w:rsidR="00D92998" w:rsidRDefault="00DE10B5">
      <w:pPr>
        <w:pStyle w:val="BodyA"/>
        <w:jc w:val="both"/>
        <w:rPr>
          <w:rStyle w:val="None"/>
          <w:rFonts w:ascii="Tahoma" w:eastAsia="Tahoma" w:hAnsi="Tahoma" w:cs="Tahoma"/>
          <w:b/>
          <w:bCs/>
          <w:sz w:val="20"/>
          <w:szCs w:val="20"/>
        </w:rPr>
      </w:pPr>
      <w:r>
        <w:rPr>
          <w:rStyle w:val="None"/>
          <w:rFonts w:ascii="Tahoma" w:hAnsi="Tahoma"/>
          <w:b/>
          <w:bCs/>
          <w:sz w:val="20"/>
          <w:szCs w:val="20"/>
        </w:rPr>
        <w:t>Signature of orders</w:t>
      </w:r>
    </w:p>
    <w:p w:rsidR="00D92998" w:rsidRDefault="00DE10B5">
      <w:pPr>
        <w:pStyle w:val="BodyA"/>
        <w:jc w:val="both"/>
        <w:rPr>
          <w:rStyle w:val="Hyperlink7"/>
        </w:rPr>
      </w:pPr>
      <w:r>
        <w:rPr>
          <w:rStyle w:val="Hyperlink7"/>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rsidR="00D92998" w:rsidRDefault="00D92998">
      <w:pPr>
        <w:pStyle w:val="BodyA"/>
        <w:jc w:val="both"/>
        <w:rPr>
          <w:rStyle w:val="None"/>
          <w:rFonts w:ascii="Tahoma" w:eastAsia="Tahoma" w:hAnsi="Tahoma" w:cs="Tahoma"/>
          <w:sz w:val="20"/>
          <w:szCs w:val="20"/>
        </w:rPr>
      </w:pPr>
    </w:p>
    <w:p w:rsidR="00D92998" w:rsidRDefault="00DE10B5">
      <w:pPr>
        <w:pStyle w:val="ListParagraph"/>
        <w:numPr>
          <w:ilvl w:val="0"/>
          <w:numId w:val="19"/>
        </w:numPr>
        <w:spacing w:after="120"/>
        <w:rPr>
          <w:rFonts w:ascii="Tahoma" w:hAnsi="Tahoma"/>
          <w:sz w:val="20"/>
          <w:szCs w:val="20"/>
        </w:rPr>
      </w:pPr>
      <w:r>
        <w:rPr>
          <w:rStyle w:val="None"/>
          <w:rFonts w:ascii="Tahoma" w:hAnsi="Tahoma"/>
          <w:smallCaps/>
          <w:sz w:val="20"/>
          <w:szCs w:val="20"/>
        </w:rPr>
        <w:t xml:space="preserve">ASSESSMENT </w:t>
      </w:r>
    </w:p>
    <w:p w:rsidR="00D92998" w:rsidRDefault="00DE10B5">
      <w:pPr>
        <w:pStyle w:val="BodyA"/>
        <w:tabs>
          <w:tab w:val="left" w:pos="1741"/>
        </w:tabs>
        <w:rPr>
          <w:rStyle w:val="Hyperlink7"/>
        </w:rPr>
      </w:pPr>
      <w:r>
        <w:rPr>
          <w:rStyle w:val="Hyperlink7"/>
        </w:rPr>
        <w:lastRenderedPageBreak/>
        <w:t>Exclusion criteria and absence of conflict of interests</w:t>
      </w:r>
    </w:p>
    <w:p w:rsidR="00D92998" w:rsidRDefault="00DE10B5">
      <w:pPr>
        <w:pStyle w:val="BodyA"/>
        <w:spacing w:after="120"/>
        <w:rPr>
          <w:rStyle w:val="Hyperlink7"/>
        </w:rPr>
      </w:pPr>
      <w:r>
        <w:rPr>
          <w:rStyle w:val="Hyperlink7"/>
        </w:rPr>
        <w:t>(by signing the Act of Engagement, you declare on your honour not being in any of the below situations)</w:t>
      </w:r>
      <w:r>
        <w:rPr>
          <w:rStyle w:val="None"/>
          <w:rFonts w:ascii="Tahoma" w:eastAsia="Tahoma" w:hAnsi="Tahoma" w:cs="Tahoma"/>
          <w:b/>
          <w:bCs/>
          <w:sz w:val="20"/>
          <w:szCs w:val="20"/>
          <w:vertAlign w:val="superscript"/>
        </w:rPr>
        <w:footnoteReference w:id="5"/>
      </w:r>
    </w:p>
    <w:p w:rsidR="00D92998" w:rsidRDefault="00DE10B5">
      <w:pPr>
        <w:pStyle w:val="BodyA"/>
        <w:spacing w:after="120"/>
        <w:rPr>
          <w:rStyle w:val="Hyperlink7"/>
        </w:rPr>
      </w:pPr>
      <w:r>
        <w:rPr>
          <w:rStyle w:val="Hyperlink7"/>
        </w:rPr>
        <w:t>Tenderers shall be excluded from participating in the tender procedure if they:</w:t>
      </w:r>
    </w:p>
    <w:p w:rsidR="00D92998" w:rsidRDefault="00DE10B5">
      <w:pPr>
        <w:pStyle w:val="BodyA"/>
        <w:numPr>
          <w:ilvl w:val="0"/>
          <w:numId w:val="21"/>
        </w:numPr>
        <w:jc w:val="both"/>
        <w:rPr>
          <w:rFonts w:ascii="Tahoma" w:eastAsia="Tahoma" w:hAnsi="Tahoma" w:cs="Tahoma"/>
          <w:sz w:val="20"/>
          <w:szCs w:val="20"/>
        </w:rPr>
      </w:pPr>
      <w:bookmarkStart w:id="4" w:name="_Hlk8810956"/>
      <w:r>
        <w:rPr>
          <w:rFonts w:ascii="Tahoma" w:hAnsi="Tahoma"/>
          <w:sz w:val="20"/>
          <w:szCs w:val="20"/>
        </w:rPr>
        <w:t>have been sentenced by final judgment on one or more of the following charges: participation in a criminal organisation, corruption, fraud, money laundering;</w:t>
      </w:r>
    </w:p>
    <w:p w:rsidR="00D92998" w:rsidRDefault="00DE10B5">
      <w:pPr>
        <w:pStyle w:val="BodyA"/>
        <w:numPr>
          <w:ilvl w:val="0"/>
          <w:numId w:val="21"/>
        </w:numPr>
        <w:jc w:val="both"/>
        <w:rPr>
          <w:rFonts w:ascii="Tahoma" w:hAnsi="Tahoma"/>
          <w:sz w:val="20"/>
          <w:szCs w:val="20"/>
        </w:rPr>
      </w:pPr>
      <w:r>
        <w:rPr>
          <w:rFonts w:ascii="Tahoma" w:hAnsi="Tahoma"/>
          <w:sz w:val="20"/>
          <w:szCs w:val="20"/>
        </w:rPr>
        <w:t>are in a situation of bankruptcy, liquidation, termination of activity, insolvency or arrangement with creditors or any like situation arising from a procedure of the same kind, or are subject to a procedure of the same kind;</w:t>
      </w:r>
    </w:p>
    <w:p w:rsidR="00D92998" w:rsidRDefault="00DE10B5">
      <w:pPr>
        <w:pStyle w:val="BodyA"/>
        <w:numPr>
          <w:ilvl w:val="0"/>
          <w:numId w:val="21"/>
        </w:numPr>
        <w:jc w:val="both"/>
        <w:rPr>
          <w:rFonts w:ascii="Tahoma" w:hAnsi="Tahoma"/>
          <w:sz w:val="20"/>
          <w:szCs w:val="20"/>
        </w:rPr>
      </w:pPr>
      <w:r>
        <w:rPr>
          <w:rFonts w:ascii="Tahoma" w:hAnsi="Tahoma"/>
          <w:sz w:val="20"/>
          <w:szCs w:val="20"/>
        </w:rPr>
        <w:t>have received a judgment with res judicata force, finding an offence that affects their professional integrity or serious professional misconduct;</w:t>
      </w:r>
    </w:p>
    <w:p w:rsidR="00D92998" w:rsidRDefault="00DE10B5">
      <w:pPr>
        <w:pStyle w:val="BodyA"/>
        <w:numPr>
          <w:ilvl w:val="0"/>
          <w:numId w:val="21"/>
        </w:numPr>
        <w:jc w:val="both"/>
        <w:rPr>
          <w:rFonts w:ascii="Tahoma" w:hAnsi="Tahoma"/>
          <w:sz w:val="20"/>
          <w:szCs w:val="20"/>
        </w:rPr>
      </w:pPr>
      <w:r>
        <w:rPr>
          <w:rFonts w:ascii="Tahoma" w:hAnsi="Tahoma"/>
          <w:sz w:val="20"/>
          <w:szCs w:val="20"/>
        </w:rPr>
        <w:t>do not comply with their obligations as regards payment of social security contributions, taxes and dues, according to the statutory provisions of their country of incorporation, establishment or residence;</w:t>
      </w:r>
    </w:p>
    <w:p w:rsidR="00D92998" w:rsidRDefault="00DE10B5">
      <w:pPr>
        <w:pStyle w:val="BodyA"/>
        <w:numPr>
          <w:ilvl w:val="0"/>
          <w:numId w:val="22"/>
        </w:numPr>
        <w:jc w:val="both"/>
        <w:rPr>
          <w:rFonts w:ascii="Tahoma" w:hAnsi="Tahoma"/>
          <w:sz w:val="20"/>
          <w:szCs w:val="20"/>
        </w:rPr>
      </w:pPr>
      <w:r>
        <w:rPr>
          <w:rFonts w:ascii="Tahoma" w:hAnsi="Tahoma"/>
          <w:sz w:val="20"/>
          <w:szCs w:val="20"/>
        </w:rPr>
        <w:t>are or are likely to be in a situation of conflict of interests;</w:t>
      </w:r>
    </w:p>
    <w:p w:rsidR="00D92998" w:rsidRDefault="00DE10B5">
      <w:pPr>
        <w:pStyle w:val="BodyA"/>
        <w:numPr>
          <w:ilvl w:val="0"/>
          <w:numId w:val="22"/>
        </w:numPr>
        <w:jc w:val="both"/>
        <w:rPr>
          <w:rFonts w:ascii="Tahoma" w:hAnsi="Tahoma"/>
          <w:sz w:val="20"/>
          <w:szCs w:val="20"/>
        </w:rPr>
      </w:pPr>
      <w:r>
        <w:rPr>
          <w:rFonts w:ascii="Tahoma" w:hAnsi="Tahoma"/>
          <w:sz w:val="20"/>
          <w:szCs w:val="20"/>
        </w:rPr>
        <w:t xml:space="preserve">are or if their owner(s) or executive officer(s), in the case of legal persons, are included in the lists of persons or entities subject to restrictive measures applied by the European Union (available at </w:t>
      </w:r>
      <w:hyperlink r:id="rId13" w:history="1">
        <w:r>
          <w:rPr>
            <w:rStyle w:val="Hyperlink8"/>
            <w:rFonts w:ascii="Tahoma" w:hAnsi="Tahoma"/>
            <w:sz w:val="20"/>
            <w:szCs w:val="20"/>
          </w:rPr>
          <w:t>www.sanctionsmap.eu</w:t>
        </w:r>
      </w:hyperlink>
      <w:r>
        <w:rPr>
          <w:rFonts w:ascii="Tahoma" w:hAnsi="Tahoma"/>
          <w:sz w:val="20"/>
          <w:szCs w:val="20"/>
        </w:rPr>
        <w:t>).</w:t>
      </w:r>
      <w:bookmarkEnd w:id="4"/>
    </w:p>
    <w:p w:rsidR="00D92998" w:rsidRDefault="00D92998">
      <w:pPr>
        <w:pStyle w:val="BodyA"/>
        <w:rPr>
          <w:rStyle w:val="None"/>
          <w:rFonts w:ascii="Tahoma" w:eastAsia="Tahoma" w:hAnsi="Tahoma" w:cs="Tahoma"/>
          <w:sz w:val="20"/>
          <w:szCs w:val="20"/>
        </w:rPr>
      </w:pPr>
    </w:p>
    <w:p w:rsidR="00D92998" w:rsidRDefault="00DE10B5">
      <w:pPr>
        <w:pStyle w:val="BodyA"/>
        <w:spacing w:after="120"/>
        <w:rPr>
          <w:rStyle w:val="Hyperlink7"/>
        </w:rPr>
      </w:pPr>
      <w:r>
        <w:rPr>
          <w:rStyle w:val="Hyperlink7"/>
        </w:rPr>
        <w:t>Eligibility criteria</w:t>
      </w:r>
    </w:p>
    <w:p w:rsidR="00D92998" w:rsidRDefault="00D92998">
      <w:pPr>
        <w:pStyle w:val="BodyA"/>
        <w:rPr>
          <w:rStyle w:val="None"/>
          <w:rFonts w:ascii="Tahoma" w:eastAsia="Tahoma" w:hAnsi="Tahoma" w:cs="Tahoma"/>
          <w:sz w:val="20"/>
          <w:szCs w:val="20"/>
        </w:rPr>
      </w:pPr>
    </w:p>
    <w:p w:rsidR="00D92998" w:rsidRDefault="00DE10B5">
      <w:pPr>
        <w:pStyle w:val="CommentText"/>
        <w:jc w:val="both"/>
      </w:pPr>
      <w:r>
        <w:t>Tenderers shall demonstrate that they fulfil the following criteria (to be assessed on the basis of all supporting documents listed in Section F). These minimum criteria apply to each person(s) whose CV is provided:</w:t>
      </w:r>
    </w:p>
    <w:p w:rsidR="00D92998" w:rsidRDefault="00DE10B5">
      <w:pPr>
        <w:pStyle w:val="BodyA"/>
        <w:numPr>
          <w:ilvl w:val="0"/>
          <w:numId w:val="24"/>
        </w:numPr>
        <w:rPr>
          <w:rFonts w:ascii="Tahoma" w:hAnsi="Tahoma"/>
          <w:sz w:val="20"/>
          <w:szCs w:val="20"/>
        </w:rPr>
      </w:pPr>
      <w:r>
        <w:rPr>
          <w:rFonts w:ascii="Tahoma" w:hAnsi="Tahoma"/>
          <w:sz w:val="20"/>
          <w:szCs w:val="20"/>
        </w:rPr>
        <w:t>Proven professional experience in criminal law research, preferably in the field of trafficking in human beings (minimum 5 years)</w:t>
      </w:r>
    </w:p>
    <w:p w:rsidR="00D92998" w:rsidRDefault="00DE10B5">
      <w:pPr>
        <w:pStyle w:val="ListParagraph"/>
        <w:numPr>
          <w:ilvl w:val="0"/>
          <w:numId w:val="24"/>
        </w:numPr>
        <w:rPr>
          <w:rFonts w:ascii="Tahoma" w:hAnsi="Tahoma"/>
          <w:sz w:val="20"/>
          <w:szCs w:val="20"/>
        </w:rPr>
      </w:pPr>
      <w:r>
        <w:rPr>
          <w:rFonts w:ascii="Tahoma" w:hAnsi="Tahoma"/>
          <w:sz w:val="20"/>
          <w:szCs w:val="20"/>
        </w:rPr>
        <w:t>University degree in Law, Public Policy, Social Sciences, Political Sciences, or in other relevant fields;</w:t>
      </w:r>
    </w:p>
    <w:p w:rsidR="00D92998" w:rsidRDefault="00DE10B5">
      <w:pPr>
        <w:pStyle w:val="ListParagraph"/>
        <w:numPr>
          <w:ilvl w:val="0"/>
          <w:numId w:val="24"/>
        </w:numPr>
        <w:rPr>
          <w:rFonts w:ascii="Tahoma" w:hAnsi="Tahoma"/>
          <w:sz w:val="20"/>
          <w:szCs w:val="20"/>
        </w:rPr>
      </w:pPr>
      <w:r>
        <w:rPr>
          <w:rFonts w:ascii="Tahoma" w:hAnsi="Tahoma"/>
          <w:sz w:val="20"/>
          <w:szCs w:val="20"/>
        </w:rPr>
        <w:t>Fluency in Turkish (preferably mother tongue level);</w:t>
      </w:r>
    </w:p>
    <w:p w:rsidR="00D92998" w:rsidRDefault="00DE10B5">
      <w:pPr>
        <w:pStyle w:val="ListParagraph"/>
        <w:numPr>
          <w:ilvl w:val="0"/>
          <w:numId w:val="24"/>
        </w:numPr>
        <w:rPr>
          <w:rFonts w:ascii="Tahoma" w:hAnsi="Tahoma"/>
          <w:sz w:val="20"/>
          <w:szCs w:val="20"/>
        </w:rPr>
      </w:pPr>
      <w:r>
        <w:rPr>
          <w:rFonts w:ascii="Tahoma" w:hAnsi="Tahoma"/>
          <w:sz w:val="20"/>
          <w:szCs w:val="20"/>
        </w:rPr>
        <w:t xml:space="preserve">Knowledge of English (at least B1 or B2 level </w:t>
      </w:r>
      <w:hyperlink r:id="rId14" w:history="1">
        <w:r>
          <w:rPr>
            <w:rFonts w:ascii="Tahoma" w:hAnsi="Tahoma"/>
            <w:sz w:val="20"/>
            <w:szCs w:val="20"/>
          </w:rPr>
          <w:t>CEFR</w:t>
        </w:r>
      </w:hyperlink>
      <w:r>
        <w:rPr>
          <w:rFonts w:ascii="Tahoma" w:hAnsi="Tahoma"/>
          <w:sz w:val="20"/>
          <w:szCs w:val="20"/>
        </w:rPr>
        <w:t>).</w:t>
      </w:r>
    </w:p>
    <w:p w:rsidR="00D92998" w:rsidRDefault="00D92998">
      <w:pPr>
        <w:pStyle w:val="ListParagraph"/>
        <w:ind w:left="0"/>
        <w:rPr>
          <w:rStyle w:val="None"/>
          <w:rFonts w:ascii="Tahoma" w:eastAsia="Tahoma" w:hAnsi="Tahoma" w:cs="Tahoma"/>
          <w:sz w:val="20"/>
          <w:szCs w:val="20"/>
        </w:rPr>
      </w:pPr>
    </w:p>
    <w:p w:rsidR="00D92998" w:rsidRDefault="00DE10B5">
      <w:pPr>
        <w:pStyle w:val="BodyA"/>
        <w:spacing w:after="120"/>
        <w:rPr>
          <w:rStyle w:val="Hyperlink7"/>
        </w:rPr>
      </w:pPr>
      <w:r>
        <w:rPr>
          <w:rStyle w:val="Hyperlink7"/>
        </w:rPr>
        <w:t>Award criteria</w:t>
      </w:r>
    </w:p>
    <w:p w:rsidR="00D92998" w:rsidRDefault="00DE10B5">
      <w:pPr>
        <w:pStyle w:val="BodyA"/>
        <w:numPr>
          <w:ilvl w:val="0"/>
          <w:numId w:val="26"/>
        </w:numPr>
        <w:rPr>
          <w:rFonts w:ascii="Tahoma" w:hAnsi="Tahoma"/>
          <w:sz w:val="20"/>
          <w:szCs w:val="20"/>
        </w:rPr>
      </w:pPr>
      <w:r>
        <w:rPr>
          <w:rFonts w:ascii="Tahoma" w:hAnsi="Tahoma"/>
          <w:sz w:val="20"/>
          <w:szCs w:val="20"/>
        </w:rPr>
        <w:t>Quality of the offer (90%), including:</w:t>
      </w:r>
    </w:p>
    <w:p w:rsidR="00D92998" w:rsidRDefault="00DE10B5">
      <w:pPr>
        <w:pStyle w:val="BodyA"/>
        <w:numPr>
          <w:ilvl w:val="1"/>
          <w:numId w:val="26"/>
        </w:numPr>
        <w:rPr>
          <w:rFonts w:ascii="Tahoma" w:hAnsi="Tahoma"/>
          <w:sz w:val="20"/>
          <w:szCs w:val="20"/>
        </w:rPr>
      </w:pPr>
      <w:r>
        <w:rPr>
          <w:rStyle w:val="None"/>
          <w:rFonts w:ascii="Tahoma" w:hAnsi="Tahoma"/>
          <w:sz w:val="20"/>
          <w:szCs w:val="20"/>
        </w:rPr>
        <w:t xml:space="preserve">Thematic expertise related to criminal law and trafficking in human beings gained from experience in drafting knowledge products such as books, articles, research and policy papers, baseline and comparative studies, desk reviews, legal advice/opinions, recommendations, handbooks, etc. </w:t>
      </w:r>
      <w:r>
        <w:rPr>
          <w:rStyle w:val="None"/>
          <w:rFonts w:ascii="Tahoma" w:hAnsi="Tahoma"/>
          <w:sz w:val="20"/>
          <w:szCs w:val="20"/>
          <w:u w:val="single"/>
          <w:lang w:val="de-DE"/>
        </w:rPr>
        <w:t>and/or</w:t>
      </w:r>
      <w:r>
        <w:rPr>
          <w:rStyle w:val="None"/>
          <w:rFonts w:ascii="Tahoma" w:hAnsi="Tahoma"/>
          <w:sz w:val="20"/>
          <w:szCs w:val="20"/>
        </w:rPr>
        <w:t xml:space="preserve"> thematic expertise gained from experience in developing or applying methodologies, protocols, guidelines, toolkits, courses, teaching/learning materials or from carrying out trainings, etc. </w:t>
      </w:r>
    </w:p>
    <w:p w:rsidR="00D92998" w:rsidRDefault="00DE10B5">
      <w:pPr>
        <w:pStyle w:val="BodyA"/>
        <w:numPr>
          <w:ilvl w:val="1"/>
          <w:numId w:val="26"/>
        </w:numPr>
        <w:rPr>
          <w:rFonts w:ascii="Tahoma" w:hAnsi="Tahoma"/>
          <w:sz w:val="20"/>
          <w:szCs w:val="20"/>
        </w:rPr>
      </w:pPr>
      <w:r>
        <w:rPr>
          <w:rFonts w:ascii="Tahoma" w:hAnsi="Tahoma"/>
          <w:sz w:val="20"/>
          <w:szCs w:val="20"/>
        </w:rPr>
        <w:t xml:space="preserve">Drafting skills in Turkish and in English; </w:t>
      </w:r>
    </w:p>
    <w:p w:rsidR="00D92998" w:rsidRDefault="00DE10B5">
      <w:pPr>
        <w:pStyle w:val="BodyA"/>
        <w:numPr>
          <w:ilvl w:val="1"/>
          <w:numId w:val="26"/>
        </w:numPr>
        <w:rPr>
          <w:rFonts w:ascii="Tahoma" w:hAnsi="Tahoma"/>
          <w:sz w:val="20"/>
          <w:szCs w:val="20"/>
        </w:rPr>
      </w:pPr>
      <w:r>
        <w:rPr>
          <w:rFonts w:ascii="Tahoma" w:hAnsi="Tahoma"/>
          <w:sz w:val="20"/>
          <w:szCs w:val="20"/>
        </w:rPr>
        <w:t>Previous experience in the relevant type of activity and/or conducting work in international context / within international organisations.</w:t>
      </w:r>
    </w:p>
    <w:p w:rsidR="00D92998" w:rsidRDefault="00D92998">
      <w:pPr>
        <w:pStyle w:val="BodyA"/>
        <w:ind w:left="1440"/>
        <w:rPr>
          <w:rStyle w:val="None"/>
          <w:rFonts w:ascii="Tahoma" w:eastAsia="Tahoma" w:hAnsi="Tahoma" w:cs="Tahoma"/>
          <w:sz w:val="20"/>
          <w:szCs w:val="20"/>
          <w:u w:color="808080"/>
        </w:rPr>
      </w:pPr>
    </w:p>
    <w:p w:rsidR="00D92998" w:rsidRDefault="00DE10B5">
      <w:pPr>
        <w:pStyle w:val="BodyA"/>
        <w:numPr>
          <w:ilvl w:val="0"/>
          <w:numId w:val="28"/>
        </w:numPr>
        <w:rPr>
          <w:rFonts w:ascii="Tahoma" w:hAnsi="Tahoma"/>
          <w:sz w:val="20"/>
          <w:szCs w:val="20"/>
        </w:rPr>
      </w:pPr>
      <w:r>
        <w:rPr>
          <w:rFonts w:ascii="Tahoma" w:hAnsi="Tahoma"/>
          <w:sz w:val="20"/>
          <w:szCs w:val="20"/>
        </w:rPr>
        <w:t>Financial offer (10%).</w:t>
      </w:r>
    </w:p>
    <w:p w:rsidR="00D92998" w:rsidRDefault="00D92998">
      <w:pPr>
        <w:pStyle w:val="BodyA"/>
        <w:rPr>
          <w:rStyle w:val="None"/>
          <w:rFonts w:ascii="Tahoma" w:eastAsia="Tahoma" w:hAnsi="Tahoma" w:cs="Tahoma"/>
          <w:sz w:val="20"/>
          <w:szCs w:val="20"/>
        </w:rPr>
      </w:pPr>
    </w:p>
    <w:p w:rsidR="00D92998" w:rsidRDefault="00DE10B5">
      <w:pPr>
        <w:pStyle w:val="BodyA"/>
        <w:keepLines/>
        <w:jc w:val="both"/>
        <w:rPr>
          <w:rStyle w:val="Hyperlink7"/>
        </w:rPr>
      </w:pPr>
      <w:r>
        <w:rPr>
          <w:rStyle w:val="Hyperlink7"/>
        </w:rPr>
        <w:t>The Council reserves the right to hold interviews with eligible tenderers.</w:t>
      </w:r>
    </w:p>
    <w:p w:rsidR="00D92998" w:rsidRDefault="00D92998">
      <w:pPr>
        <w:pStyle w:val="BodyA"/>
        <w:rPr>
          <w:rStyle w:val="None"/>
          <w:rFonts w:ascii="Tahoma" w:eastAsia="Tahoma" w:hAnsi="Tahoma" w:cs="Tahoma"/>
          <w:sz w:val="20"/>
          <w:szCs w:val="20"/>
        </w:rPr>
      </w:pPr>
    </w:p>
    <w:p w:rsidR="00D92998" w:rsidRDefault="00DE10B5">
      <w:pPr>
        <w:pStyle w:val="BodyA"/>
        <w:shd w:val="clear" w:color="auto" w:fill="FFFFFF"/>
        <w:rPr>
          <w:rStyle w:val="Hyperlink7"/>
        </w:rPr>
      </w:pPr>
      <w:r>
        <w:rPr>
          <w:rStyle w:val="Hyperlink7"/>
        </w:rPr>
        <w:t xml:space="preserve">Multiple tendering is not authorised. </w:t>
      </w:r>
    </w:p>
    <w:p w:rsidR="00D92998" w:rsidRDefault="00D92998">
      <w:pPr>
        <w:pStyle w:val="BodyA"/>
        <w:rPr>
          <w:rStyle w:val="None"/>
          <w:rFonts w:ascii="Tahoma" w:eastAsia="Tahoma" w:hAnsi="Tahoma" w:cs="Tahoma"/>
          <w:sz w:val="20"/>
          <w:szCs w:val="20"/>
        </w:rPr>
      </w:pPr>
    </w:p>
    <w:p w:rsidR="00D92998" w:rsidRDefault="00DE10B5">
      <w:pPr>
        <w:pStyle w:val="ListParagraph"/>
        <w:numPr>
          <w:ilvl w:val="0"/>
          <w:numId w:val="29"/>
        </w:numPr>
        <w:spacing w:after="120"/>
        <w:rPr>
          <w:rFonts w:ascii="Tahoma" w:hAnsi="Tahoma"/>
          <w:sz w:val="20"/>
          <w:szCs w:val="20"/>
        </w:rPr>
      </w:pPr>
      <w:r>
        <w:rPr>
          <w:rStyle w:val="None"/>
          <w:rFonts w:ascii="Tahoma" w:hAnsi="Tahoma"/>
          <w:smallCaps/>
          <w:sz w:val="20"/>
          <w:szCs w:val="20"/>
        </w:rPr>
        <w:t>NEGOTIATIONS</w:t>
      </w:r>
    </w:p>
    <w:p w:rsidR="00D92998" w:rsidRDefault="00DE10B5">
      <w:pPr>
        <w:pStyle w:val="BodyA"/>
        <w:spacing w:after="120" w:line="259" w:lineRule="auto"/>
        <w:rPr>
          <w:rStyle w:val="None"/>
          <w:rFonts w:ascii="Tahoma" w:eastAsia="Tahoma" w:hAnsi="Tahoma" w:cs="Tahoma"/>
          <w:smallCaps/>
        </w:rPr>
      </w:pPr>
      <w:bookmarkStart w:id="5" w:name="_Hlk12554245"/>
      <w:r>
        <w:rPr>
          <w:rStyle w:val="Hyperlink7"/>
        </w:rPr>
        <w:t>The Council reserves the right to hold negotiations with the bidders in accordance with Article 20 of Rule 1395</w:t>
      </w:r>
      <w:bookmarkEnd w:id="5"/>
      <w:r>
        <w:rPr>
          <w:rStyle w:val="Hyperlink7"/>
        </w:rPr>
        <w:t>.</w:t>
      </w:r>
    </w:p>
    <w:p w:rsidR="00D92998" w:rsidRDefault="00DE10B5">
      <w:pPr>
        <w:pStyle w:val="ListParagraph"/>
        <w:numPr>
          <w:ilvl w:val="0"/>
          <w:numId w:val="2"/>
        </w:numPr>
        <w:spacing w:after="120"/>
        <w:rPr>
          <w:rFonts w:ascii="Tahoma" w:hAnsi="Tahoma"/>
          <w:sz w:val="20"/>
          <w:szCs w:val="20"/>
        </w:rPr>
      </w:pPr>
      <w:r>
        <w:rPr>
          <w:rStyle w:val="None"/>
          <w:rFonts w:ascii="Tahoma" w:hAnsi="Tahoma"/>
          <w:smallCaps/>
          <w:sz w:val="20"/>
          <w:szCs w:val="20"/>
        </w:rPr>
        <w:t>DOCUMENTS TO BE PROVIDED</w:t>
      </w:r>
    </w:p>
    <w:p w:rsidR="00D92998" w:rsidRDefault="00DE10B5">
      <w:pPr>
        <w:pStyle w:val="BodyA"/>
        <w:numPr>
          <w:ilvl w:val="0"/>
          <w:numId w:val="30"/>
        </w:numPr>
        <w:rPr>
          <w:rFonts w:ascii="Tahoma" w:hAnsi="Tahoma"/>
          <w:b/>
          <w:bCs/>
          <w:sz w:val="20"/>
          <w:szCs w:val="20"/>
        </w:rPr>
      </w:pPr>
      <w:r>
        <w:rPr>
          <w:rStyle w:val="None"/>
          <w:rFonts w:ascii="Tahoma" w:hAnsi="Tahoma"/>
          <w:sz w:val="20"/>
          <w:szCs w:val="20"/>
        </w:rPr>
        <w:lastRenderedPageBreak/>
        <w:t xml:space="preserve">A completed and signed copy of the </w:t>
      </w:r>
      <w:r>
        <w:rPr>
          <w:rFonts w:ascii="Tahoma" w:hAnsi="Tahoma"/>
          <w:b/>
          <w:bCs/>
          <w:sz w:val="20"/>
          <w:szCs w:val="20"/>
        </w:rPr>
        <w:t>Act of Engagement</w:t>
      </w:r>
      <w:r>
        <w:rPr>
          <w:rStyle w:val="None"/>
          <w:rFonts w:ascii="Tahoma" w:eastAsia="Tahoma" w:hAnsi="Tahoma" w:cs="Tahoma"/>
          <w:b/>
          <w:bCs/>
          <w:sz w:val="20"/>
          <w:szCs w:val="20"/>
          <w:vertAlign w:val="superscript"/>
        </w:rPr>
        <w:footnoteReference w:id="6"/>
      </w:r>
      <w:r>
        <w:rPr>
          <w:rFonts w:ascii="Tahoma" w:hAnsi="Tahoma"/>
          <w:b/>
          <w:bCs/>
          <w:sz w:val="20"/>
          <w:szCs w:val="20"/>
        </w:rPr>
        <w:t xml:space="preserve"> </w:t>
      </w:r>
      <w:r>
        <w:rPr>
          <w:rStyle w:val="None"/>
          <w:rFonts w:ascii="Tahoma" w:hAnsi="Tahoma"/>
          <w:sz w:val="20"/>
          <w:szCs w:val="20"/>
        </w:rPr>
        <w:t>(See attached);</w:t>
      </w:r>
    </w:p>
    <w:p w:rsidR="00D92998" w:rsidRDefault="00DE10B5">
      <w:pPr>
        <w:pStyle w:val="BodyA"/>
        <w:numPr>
          <w:ilvl w:val="0"/>
          <w:numId w:val="30"/>
        </w:numPr>
        <w:rPr>
          <w:rFonts w:ascii="Tahoma" w:hAnsi="Tahoma"/>
          <w:b/>
          <w:bCs/>
          <w:sz w:val="20"/>
          <w:szCs w:val="20"/>
        </w:rPr>
      </w:pPr>
      <w:r>
        <w:rPr>
          <w:rStyle w:val="None"/>
          <w:rFonts w:ascii="Tahoma" w:hAnsi="Tahoma"/>
          <w:sz w:val="20"/>
          <w:szCs w:val="20"/>
        </w:rPr>
        <w:t>A detailed CV, preferably in Europass Format, demonstrating clearly that the tenderer fulfils the eligibility criteria;</w:t>
      </w:r>
    </w:p>
    <w:p w:rsidR="00D92998" w:rsidRDefault="00DE10B5">
      <w:pPr>
        <w:pStyle w:val="BodyA"/>
        <w:numPr>
          <w:ilvl w:val="0"/>
          <w:numId w:val="30"/>
        </w:numPr>
        <w:rPr>
          <w:rFonts w:ascii="Tahoma" w:hAnsi="Tahoma"/>
          <w:sz w:val="20"/>
          <w:szCs w:val="20"/>
        </w:rPr>
      </w:pPr>
      <w:r>
        <w:rPr>
          <w:rFonts w:ascii="Tahoma" w:hAnsi="Tahoma"/>
          <w:sz w:val="20"/>
          <w:szCs w:val="20"/>
        </w:rPr>
        <w:t>A list of all owners and executive officers, for legal persons only;</w:t>
      </w:r>
    </w:p>
    <w:p w:rsidR="00D92998" w:rsidRDefault="00DE10B5">
      <w:pPr>
        <w:pStyle w:val="ListParagraph"/>
        <w:keepLines/>
        <w:numPr>
          <w:ilvl w:val="0"/>
          <w:numId w:val="32"/>
        </w:numPr>
        <w:jc w:val="both"/>
        <w:rPr>
          <w:rFonts w:ascii="Tahoma" w:hAnsi="Tahoma"/>
          <w:sz w:val="20"/>
          <w:szCs w:val="20"/>
        </w:rPr>
      </w:pPr>
      <w:r>
        <w:rPr>
          <w:rFonts w:ascii="Tahoma" w:hAnsi="Tahoma"/>
          <w:sz w:val="20"/>
          <w:szCs w:val="20"/>
        </w:rPr>
        <w:t>A motivation letter in English (1 page maximum, in which to specify a suggested methodology and number of working days required to complete the final report);</w:t>
      </w:r>
    </w:p>
    <w:p w:rsidR="00D92998" w:rsidRDefault="00DE10B5">
      <w:pPr>
        <w:pStyle w:val="ListParagraph"/>
        <w:keepLines/>
        <w:numPr>
          <w:ilvl w:val="0"/>
          <w:numId w:val="32"/>
        </w:numPr>
        <w:jc w:val="both"/>
        <w:rPr>
          <w:rFonts w:ascii="Tahoma" w:hAnsi="Tahoma"/>
          <w:sz w:val="20"/>
          <w:szCs w:val="20"/>
        </w:rPr>
      </w:pPr>
      <w:r>
        <w:rPr>
          <w:rFonts w:ascii="Tahoma" w:hAnsi="Tahoma"/>
          <w:sz w:val="20"/>
          <w:szCs w:val="20"/>
        </w:rPr>
        <w:t>At least 1 sample of previous work relevant to the tender theme (articles, handbooks, research analysis, policy opinions, presentations, training materials, etc.) in English or Turkish;</w:t>
      </w:r>
    </w:p>
    <w:p w:rsidR="00D92998" w:rsidRDefault="00DE10B5">
      <w:pPr>
        <w:pStyle w:val="ListParagraph"/>
        <w:keepLines/>
        <w:numPr>
          <w:ilvl w:val="0"/>
          <w:numId w:val="32"/>
        </w:numPr>
        <w:jc w:val="both"/>
        <w:rPr>
          <w:rFonts w:ascii="Tahoma" w:hAnsi="Tahoma"/>
          <w:sz w:val="20"/>
          <w:szCs w:val="20"/>
        </w:rPr>
      </w:pPr>
      <w:r>
        <w:rPr>
          <w:rFonts w:ascii="Tahoma" w:hAnsi="Tahoma"/>
          <w:sz w:val="20"/>
          <w:szCs w:val="20"/>
        </w:rPr>
        <w:t>Two references (contacts including phone number and e-mail address).</w:t>
      </w:r>
    </w:p>
    <w:p w:rsidR="00D92998" w:rsidRDefault="00D92998">
      <w:pPr>
        <w:pStyle w:val="BodyA"/>
        <w:ind w:left="714"/>
        <w:rPr>
          <w:rStyle w:val="None"/>
          <w:rFonts w:ascii="Tahoma" w:eastAsia="Tahoma" w:hAnsi="Tahoma" w:cs="Tahoma"/>
          <w:b/>
          <w:bCs/>
          <w:sz w:val="20"/>
          <w:szCs w:val="20"/>
        </w:rPr>
      </w:pPr>
    </w:p>
    <w:p w:rsidR="00D92998" w:rsidRDefault="00DE10B5">
      <w:pPr>
        <w:pStyle w:val="BodyA"/>
        <w:shd w:val="clear" w:color="auto" w:fill="FFFFFF"/>
        <w:rPr>
          <w:rStyle w:val="None"/>
          <w:rFonts w:ascii="Tahoma" w:eastAsia="Tahoma" w:hAnsi="Tahoma" w:cs="Tahoma"/>
          <w:b/>
          <w:bCs/>
          <w:sz w:val="20"/>
          <w:szCs w:val="20"/>
        </w:rPr>
      </w:pPr>
      <w:r>
        <w:rPr>
          <w:rStyle w:val="None"/>
          <w:rFonts w:ascii="Tahoma" w:hAnsi="Tahoma"/>
          <w:b/>
          <w:bCs/>
          <w:sz w:val="20"/>
          <w:szCs w:val="20"/>
        </w:rPr>
        <w:t xml:space="preserve">All documents shall be submitted in English, failure to do so will result in the exclusion of the tender. </w:t>
      </w:r>
    </w:p>
    <w:p w:rsidR="00D92998" w:rsidRDefault="00DE10B5">
      <w:pPr>
        <w:pStyle w:val="BodyA"/>
        <w:shd w:val="clear" w:color="auto" w:fill="FFFFFF"/>
        <w:rPr>
          <w:rStyle w:val="None"/>
          <w:rFonts w:ascii="Tahoma" w:eastAsia="Tahoma" w:hAnsi="Tahoma" w:cs="Tahoma"/>
          <w:b/>
          <w:bCs/>
          <w:sz w:val="20"/>
          <w:szCs w:val="20"/>
        </w:rPr>
      </w:pPr>
      <w:r>
        <w:rPr>
          <w:rStyle w:val="None"/>
          <w:rFonts w:ascii="Tahoma" w:hAnsi="Tahoma"/>
          <w:b/>
          <w:bCs/>
          <w:sz w:val="20"/>
          <w:szCs w:val="20"/>
        </w:rPr>
        <w:t>If any of the documents listed above are missing, the Council of Europe reserves the right to reject the tender.</w:t>
      </w:r>
    </w:p>
    <w:p w:rsidR="00D92998" w:rsidRDefault="00D92998">
      <w:pPr>
        <w:pStyle w:val="BodyA"/>
        <w:shd w:val="clear" w:color="auto" w:fill="FFFFFF"/>
        <w:rPr>
          <w:rStyle w:val="None"/>
          <w:rFonts w:ascii="Tahoma" w:eastAsia="Tahoma" w:hAnsi="Tahoma" w:cs="Tahoma"/>
          <w:b/>
          <w:bCs/>
          <w:sz w:val="20"/>
          <w:szCs w:val="20"/>
        </w:rPr>
      </w:pPr>
    </w:p>
    <w:p w:rsidR="00D92998" w:rsidRDefault="00DE10B5">
      <w:pPr>
        <w:pStyle w:val="BodyA"/>
        <w:rPr>
          <w:rStyle w:val="Hyperlink7"/>
        </w:rPr>
      </w:pPr>
      <w:r>
        <w:rPr>
          <w:rStyle w:val="None"/>
          <w:rFonts w:ascii="Tahoma" w:hAnsi="Tahoma"/>
          <w:b/>
          <w:bCs/>
          <w:sz w:val="20"/>
          <w:szCs w:val="20"/>
        </w:rPr>
        <w:t xml:space="preserve">The Council reserves the right to reject a tender if the scanned documents </w:t>
      </w:r>
      <w:r>
        <w:rPr>
          <w:rStyle w:val="None"/>
          <w:rFonts w:ascii="Tahoma" w:hAnsi="Tahoma"/>
          <w:b/>
          <w:bCs/>
          <w:sz w:val="20"/>
          <w:szCs w:val="20"/>
          <w:u w:val="single"/>
        </w:rPr>
        <w:t>are of such a quality that the documents cannot be read once printed.</w:t>
      </w:r>
    </w:p>
    <w:p w:rsidR="00D92998" w:rsidRDefault="00D92998">
      <w:pPr>
        <w:pStyle w:val="BodyA"/>
        <w:rPr>
          <w:rStyle w:val="None"/>
          <w:rFonts w:ascii="Tahoma" w:eastAsia="Tahoma" w:hAnsi="Tahoma" w:cs="Tahoma"/>
          <w:b/>
          <w:bCs/>
          <w:sz w:val="20"/>
          <w:szCs w:val="20"/>
        </w:rPr>
      </w:pPr>
    </w:p>
    <w:p w:rsidR="00D92998" w:rsidRDefault="00DE10B5">
      <w:pPr>
        <w:pStyle w:val="BodyA"/>
        <w:jc w:val="center"/>
      </w:pPr>
      <w:r>
        <w:rPr>
          <w:rStyle w:val="None"/>
          <w:rFonts w:ascii="Tahoma" w:hAnsi="Tahoma"/>
          <w:b/>
          <w:bCs/>
          <w:sz w:val="20"/>
          <w:szCs w:val="20"/>
        </w:rPr>
        <w:t>* * *</w:t>
      </w:r>
    </w:p>
    <w:sectPr w:rsidR="00D92998">
      <w:headerReference w:type="default" r:id="rId15"/>
      <w:footerReference w:type="default" r:id="rId16"/>
      <w:headerReference w:type="first" r:id="rId17"/>
      <w:footerReference w:type="first" r:id="rId18"/>
      <w:pgSz w:w="11900" w:h="16840"/>
      <w:pgMar w:top="851" w:right="1134" w:bottom="851" w:left="1418" w:header="709" w:footer="32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1FF4" w:rsidRDefault="00441FF4">
      <w:r>
        <w:separator/>
      </w:r>
    </w:p>
  </w:endnote>
  <w:endnote w:type="continuationSeparator" w:id="0">
    <w:p w:rsidR="00441FF4" w:rsidRDefault="0044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enlo">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998" w:rsidRDefault="00D92998">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998" w:rsidRDefault="00D9299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1FF4" w:rsidRDefault="00441FF4">
      <w:r>
        <w:separator/>
      </w:r>
    </w:p>
  </w:footnote>
  <w:footnote w:type="continuationSeparator" w:id="0">
    <w:p w:rsidR="00441FF4" w:rsidRDefault="00441FF4">
      <w:r>
        <w:continuationSeparator/>
      </w:r>
    </w:p>
  </w:footnote>
  <w:footnote w:type="continuationNotice" w:id="1">
    <w:p w:rsidR="00441FF4" w:rsidRDefault="00441FF4"/>
  </w:footnote>
  <w:footnote w:id="2">
    <w:p w:rsidR="00D92998" w:rsidRDefault="00DE10B5">
      <w:pPr>
        <w:pStyle w:val="BodyA"/>
        <w:spacing w:after="120"/>
        <w:jc w:val="both"/>
      </w:pPr>
      <w:r>
        <w:rPr>
          <w:rStyle w:val="None"/>
          <w:rFonts w:ascii="Tahoma" w:eastAsia="Tahoma" w:hAnsi="Tahoma" w:cs="Tahoma"/>
          <w:b/>
          <w:bCs/>
          <w:sz w:val="20"/>
          <w:szCs w:val="20"/>
          <w:vertAlign w:val="superscript"/>
        </w:rPr>
        <w:footnoteRef/>
      </w:r>
      <w:r>
        <w:rPr>
          <w:rStyle w:val="None"/>
          <w:sz w:val="16"/>
          <w:szCs w:val="16"/>
        </w:rPr>
        <w:t xml:space="preserve"> </w:t>
      </w:r>
      <w:r>
        <w:rPr>
          <w:rStyle w:val="None"/>
          <w:rFonts w:ascii="Arial Narrow" w:hAnsi="Arial Narrow"/>
          <w:sz w:val="16"/>
          <w:szCs w:val="16"/>
        </w:rPr>
        <w:t xml:space="preserve">The activities of the Council of Europe are governed by its </w:t>
      </w:r>
      <w:hyperlink r:id="rId1" w:history="1">
        <w:r>
          <w:rPr>
            <w:rStyle w:val="Hyperlink1"/>
          </w:rPr>
          <w:t>Statute</w:t>
        </w:r>
      </w:hyperlink>
      <w:r>
        <w:rPr>
          <w:rStyle w:val="None"/>
          <w:rFonts w:ascii="Arial Narrow" w:hAnsi="Arial Narrow"/>
          <w:sz w:val="16"/>
          <w:szCs w:val="16"/>
        </w:rPr>
        <w:t xml:space="preserve"> and its internal Regulations. Procurement is governed by the Financial Regulations of the Organisation and by </w:t>
      </w:r>
      <w:hyperlink r:id="rId2" w:history="1">
        <w:r>
          <w:rPr>
            <w:rStyle w:val="Hyperlink2"/>
          </w:rPr>
          <w:t>Rule 1395 of 20 June 2019 on the procurement procedures of the Council of Europe</w:t>
        </w:r>
      </w:hyperlink>
      <w:r>
        <w:rPr>
          <w:rStyle w:val="None"/>
          <w:rFonts w:ascii="Arial Narrow" w:hAnsi="Arial Narrow"/>
          <w:sz w:val="16"/>
          <w:szCs w:val="16"/>
        </w:rPr>
        <w:t>.</w:t>
      </w:r>
    </w:p>
  </w:footnote>
  <w:footnote w:id="3">
    <w:p w:rsidR="00D92998" w:rsidRDefault="00DE10B5">
      <w:pPr>
        <w:pStyle w:val="FootnoteText"/>
      </w:pPr>
      <w:r>
        <w:rPr>
          <w:rStyle w:val="None"/>
          <w:rFonts w:ascii="Tahoma" w:eastAsia="Tahoma" w:hAnsi="Tahoma" w:cs="Tahoma"/>
          <w:vertAlign w:val="superscript"/>
        </w:rPr>
        <w:footnoteRef/>
      </w:r>
      <w:r>
        <w:rPr>
          <w:rStyle w:val="None"/>
          <w:rFonts w:ascii="Calibri" w:eastAsia="Calibri" w:hAnsi="Calibri" w:cs="Calibri"/>
          <w:sz w:val="18"/>
          <w:szCs w:val="18"/>
        </w:rPr>
        <w:t xml:space="preserve"> </w:t>
      </w:r>
      <w:hyperlink r:id="rId3" w:history="1">
        <w:r>
          <w:rPr>
            <w:rStyle w:val="Hyperlink6"/>
            <w:rFonts w:eastAsia="Arial Unicode MS" w:cs="Arial Unicode MS"/>
          </w:rPr>
          <w:t xml:space="preserve">The report concerning the implementation of the Council of Europe Convention on Action against Trafficking in Human Beings by Turkey, GRETA (2019)11 </w:t>
        </w:r>
      </w:hyperlink>
      <w:r>
        <w:rPr>
          <w:rStyle w:val="None"/>
          <w:rFonts w:ascii="Calibri" w:eastAsia="Calibri" w:hAnsi="Calibri" w:cs="Calibri"/>
          <w:sz w:val="18"/>
          <w:szCs w:val="18"/>
        </w:rPr>
        <w:t xml:space="preserve"> </w:t>
      </w:r>
    </w:p>
  </w:footnote>
  <w:footnote w:id="4">
    <w:p w:rsidR="00D92998" w:rsidRDefault="00DE10B5">
      <w:pPr>
        <w:pStyle w:val="BodyA"/>
        <w:jc w:val="both"/>
      </w:pPr>
      <w:r>
        <w:rPr>
          <w:rStyle w:val="None"/>
          <w:rFonts w:ascii="Tahoma" w:eastAsia="Tahoma" w:hAnsi="Tahoma" w:cs="Tahoma"/>
          <w:sz w:val="20"/>
          <w:szCs w:val="20"/>
          <w:vertAlign w:val="superscript"/>
        </w:rPr>
        <w:footnoteRef/>
      </w:r>
      <w:r>
        <w:rPr>
          <w:rStyle w:val="None"/>
          <w:sz w:val="16"/>
          <w:szCs w:val="16"/>
        </w:rPr>
        <w:t xml:space="preserve"> </w:t>
      </w:r>
      <w:r>
        <w:rPr>
          <w:rStyle w:val="None"/>
          <w:rFonts w:ascii="Arial Narrow" w:hAnsi="Arial Narrow"/>
          <w:sz w:val="16"/>
          <w:szCs w:val="16"/>
        </w:rPr>
        <w:t>It must strictly respect the fees indicated in the Act of Engagement. In case of non-compliance with these fees, the Council of Europe reserves the right to terminate the Contract with the Provider, in all or in part.</w:t>
      </w:r>
    </w:p>
  </w:footnote>
  <w:footnote w:id="5">
    <w:p w:rsidR="00D92998" w:rsidRDefault="00DE10B5">
      <w:pPr>
        <w:pStyle w:val="FootnoteText"/>
        <w:jc w:val="both"/>
      </w:pPr>
      <w:r>
        <w:rPr>
          <w:rStyle w:val="None"/>
          <w:rFonts w:ascii="Tahoma" w:eastAsia="Tahoma" w:hAnsi="Tahoma" w:cs="Tahoma"/>
          <w:b/>
          <w:bCs/>
          <w:vertAlign w:val="superscript"/>
        </w:rPr>
        <w:footnoteRef/>
      </w:r>
      <w:r>
        <w:rPr>
          <w:rStyle w:val="None"/>
          <w:rFonts w:ascii="Arial Narrow" w:hAnsi="Arial Narrow"/>
          <w:sz w:val="16"/>
          <w:szCs w:val="16"/>
        </w:rPr>
        <w:t xml:space="preserve"> The Council of Europe reserves the right to ask tenderers, at a later stage, to supply an extract from the record of convictions or failing that an equivalent document issued by the competent judicial or administrative authority of the country of incorporation, indicating that the first three above listed exclusion criteria are met, and a certificate issued by the competent authority of the country of incorporation indicating that the fourth criterion is met.</w:t>
      </w:r>
    </w:p>
  </w:footnote>
  <w:footnote w:id="6">
    <w:p w:rsidR="00D92998" w:rsidRDefault="00DE10B5">
      <w:pPr>
        <w:pStyle w:val="BodyA"/>
      </w:pPr>
      <w:r>
        <w:rPr>
          <w:rStyle w:val="None"/>
          <w:rFonts w:ascii="Tahoma" w:eastAsia="Tahoma" w:hAnsi="Tahoma" w:cs="Tahoma"/>
          <w:b/>
          <w:bCs/>
          <w:sz w:val="20"/>
          <w:szCs w:val="20"/>
          <w:vertAlign w:val="superscript"/>
        </w:rPr>
        <w:footnoteRef/>
      </w:r>
      <w:r>
        <w:rPr>
          <w:rFonts w:eastAsia="Arial Unicode MS" w:cs="Arial Unicode MS"/>
        </w:rPr>
        <w:t xml:space="preserve"> </w:t>
      </w:r>
      <w:r>
        <w:rPr>
          <w:rStyle w:val="None"/>
          <w:rFonts w:ascii="Arial Narrow" w:hAnsi="Arial Narrow"/>
          <w:sz w:val="16"/>
          <w:szCs w:val="16"/>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998" w:rsidRDefault="00DE10B5">
    <w:pPr>
      <w:pStyle w:val="Header"/>
      <w:tabs>
        <w:tab w:val="clear" w:pos="9360"/>
        <w:tab w:val="right" w:pos="9328"/>
      </w:tabs>
      <w:jc w:val="right"/>
    </w:pPr>
    <w:r>
      <w:rPr>
        <w:rFonts w:ascii="Arial Narrow" w:hAnsi="Arial Narrow"/>
      </w:rPr>
      <w:fldChar w:fldCharType="begin"/>
    </w:r>
    <w:r>
      <w:rPr>
        <w:rFonts w:ascii="Arial Narrow" w:hAnsi="Arial Narrow"/>
      </w:rPr>
      <w:instrText xml:space="preserve"> PAGE </w:instrText>
    </w:r>
    <w:r>
      <w:rPr>
        <w:rFonts w:ascii="Arial Narrow" w:hAnsi="Arial Narrow"/>
      </w:rPr>
      <w:fldChar w:fldCharType="separate"/>
    </w:r>
    <w:r>
      <w:rPr>
        <w:rFonts w:ascii="Arial Narrow" w:hAnsi="Arial Narrow"/>
      </w:rPr>
      <w:t>6</w:t>
    </w:r>
    <w:r>
      <w:rPr>
        <w:rFonts w:ascii="Arial Narrow" w:hAnsi="Arial Narrow"/>
      </w:rPr>
      <w:fldChar w:fldCharType="end"/>
    </w:r>
    <w:r>
      <w:rPr>
        <w:rFonts w:ascii="Arial Narrow" w:hAnsi="Arial Narrow"/>
      </w:rPr>
      <w:t xml:space="preserve"> / </w:t>
    </w:r>
    <w:r>
      <w:rPr>
        <w:rFonts w:ascii="Arial Narrow" w:eastAsia="Arial Narrow" w:hAnsi="Arial Narrow" w:cs="Arial Narrow"/>
      </w:rPr>
      <w:fldChar w:fldCharType="begin"/>
    </w:r>
    <w:r>
      <w:rPr>
        <w:rFonts w:ascii="Arial Narrow" w:eastAsia="Arial Narrow" w:hAnsi="Arial Narrow" w:cs="Arial Narrow"/>
      </w:rPr>
      <w:instrText xml:space="preserve"> NUMPAGES </w:instrText>
    </w:r>
    <w:r>
      <w:rPr>
        <w:rFonts w:ascii="Arial Narrow" w:eastAsia="Arial Narrow" w:hAnsi="Arial Narrow" w:cs="Arial Narrow"/>
      </w:rPr>
      <w:fldChar w:fldCharType="separate"/>
    </w:r>
    <w:r>
      <w:rPr>
        <w:rFonts w:ascii="Arial Narrow" w:eastAsia="Arial Narrow" w:hAnsi="Arial Narrow" w:cs="Arial Narrow"/>
      </w:rPr>
      <w:t>6</w:t>
    </w:r>
    <w:r>
      <w:rPr>
        <w:rFonts w:ascii="Arial Narrow" w:eastAsia="Arial Narrow" w:hAnsi="Arial Narrow" w:cs="Arial Narrow"/>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998" w:rsidRDefault="00D9299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F39D4"/>
    <w:multiLevelType w:val="hybridMultilevel"/>
    <w:tmpl w:val="BF78D528"/>
    <w:numStyleLink w:val="ImportedStyle1"/>
  </w:abstractNum>
  <w:abstractNum w:abstractNumId="1" w15:restartNumberingAfterBreak="0">
    <w:nsid w:val="03270C05"/>
    <w:multiLevelType w:val="hybridMultilevel"/>
    <w:tmpl w:val="BF78D528"/>
    <w:styleLink w:val="ImportedStyle1"/>
    <w:lvl w:ilvl="0" w:tplc="F6A47510">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4E2D27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D2A8C4E">
      <w:start w:val="1"/>
      <w:numFmt w:val="lowerRoman"/>
      <w:lvlText w:val="%3."/>
      <w:lvlJc w:val="left"/>
      <w:pPr>
        <w:ind w:left="216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01403F2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56A343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EF4281E">
      <w:start w:val="1"/>
      <w:numFmt w:val="lowerRoman"/>
      <w:lvlText w:val="%6."/>
      <w:lvlJc w:val="left"/>
      <w:pPr>
        <w:ind w:left="432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89060F3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40083D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75414F4">
      <w:start w:val="1"/>
      <w:numFmt w:val="lowerRoman"/>
      <w:lvlText w:val="%9."/>
      <w:lvlJc w:val="left"/>
      <w:pPr>
        <w:ind w:left="648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C6943DC"/>
    <w:multiLevelType w:val="hybridMultilevel"/>
    <w:tmpl w:val="30AEDA5A"/>
    <w:styleLink w:val="Bullets"/>
    <w:lvl w:ilvl="0" w:tplc="2C2858C8">
      <w:start w:val="1"/>
      <w:numFmt w:val="bullet"/>
      <w:lvlText w:val="•"/>
      <w:lvlJc w:val="left"/>
      <w:pPr>
        <w:tabs>
          <w:tab w:val="left" w:pos="1950"/>
          <w:tab w:val="left" w:pos="2124"/>
          <w:tab w:val="left" w:pos="2832"/>
          <w:tab w:val="left" w:pos="3540"/>
          <w:tab w:val="left" w:pos="4248"/>
          <w:tab w:val="left" w:pos="4956"/>
          <w:tab w:val="left" w:pos="5664"/>
          <w:tab w:val="left" w:pos="6372"/>
          <w:tab w:val="left" w:pos="7080"/>
          <w:tab w:val="left" w:pos="7788"/>
          <w:tab w:val="left" w:pos="8496"/>
          <w:tab w:val="left" w:pos="8848"/>
        </w:tabs>
        <w:ind w:left="158" w:hanging="158"/>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67768AD6">
      <w:start w:val="1"/>
      <w:numFmt w:val="bullet"/>
      <w:lvlText w:val="•"/>
      <w:lvlJc w:val="left"/>
      <w:pPr>
        <w:tabs>
          <w:tab w:val="left" w:pos="1950"/>
          <w:tab w:val="left" w:pos="2124"/>
          <w:tab w:val="left" w:pos="2832"/>
          <w:tab w:val="left" w:pos="3540"/>
          <w:tab w:val="left" w:pos="4248"/>
          <w:tab w:val="left" w:pos="4956"/>
          <w:tab w:val="left" w:pos="5664"/>
          <w:tab w:val="left" w:pos="6372"/>
          <w:tab w:val="left" w:pos="7080"/>
          <w:tab w:val="left" w:pos="7788"/>
          <w:tab w:val="left" w:pos="8496"/>
          <w:tab w:val="left" w:pos="8848"/>
        </w:tabs>
        <w:ind w:left="758" w:hanging="158"/>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A11AF80E">
      <w:start w:val="1"/>
      <w:numFmt w:val="bullet"/>
      <w:lvlText w:val="•"/>
      <w:lvlJc w:val="left"/>
      <w:pPr>
        <w:tabs>
          <w:tab w:val="left" w:pos="1950"/>
          <w:tab w:val="left" w:pos="2124"/>
          <w:tab w:val="left" w:pos="2832"/>
          <w:tab w:val="left" w:pos="3540"/>
          <w:tab w:val="left" w:pos="4248"/>
          <w:tab w:val="left" w:pos="4956"/>
          <w:tab w:val="left" w:pos="5664"/>
          <w:tab w:val="left" w:pos="6372"/>
          <w:tab w:val="left" w:pos="7080"/>
          <w:tab w:val="left" w:pos="7788"/>
          <w:tab w:val="left" w:pos="8496"/>
          <w:tab w:val="left" w:pos="8848"/>
        </w:tabs>
        <w:ind w:left="1358" w:hanging="158"/>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D0A008F8">
      <w:start w:val="1"/>
      <w:numFmt w:val="bullet"/>
      <w:lvlText w:val="•"/>
      <w:lvlJc w:val="left"/>
      <w:pPr>
        <w:tabs>
          <w:tab w:val="left" w:pos="2124"/>
          <w:tab w:val="left" w:pos="2832"/>
          <w:tab w:val="left" w:pos="3540"/>
          <w:tab w:val="left" w:pos="4248"/>
          <w:tab w:val="left" w:pos="4956"/>
          <w:tab w:val="left" w:pos="5664"/>
          <w:tab w:val="left" w:pos="6372"/>
          <w:tab w:val="left" w:pos="7080"/>
          <w:tab w:val="left" w:pos="7788"/>
          <w:tab w:val="left" w:pos="8496"/>
          <w:tab w:val="left" w:pos="8848"/>
        </w:tabs>
        <w:ind w:left="1958" w:hanging="158"/>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73DC5F84">
      <w:start w:val="1"/>
      <w:numFmt w:val="bullet"/>
      <w:lvlText w:val="•"/>
      <w:lvlJc w:val="left"/>
      <w:pPr>
        <w:tabs>
          <w:tab w:val="left" w:pos="1950"/>
          <w:tab w:val="left" w:pos="2124"/>
          <w:tab w:val="left" w:pos="2832"/>
          <w:tab w:val="left" w:pos="3540"/>
          <w:tab w:val="left" w:pos="4248"/>
          <w:tab w:val="left" w:pos="4956"/>
          <w:tab w:val="left" w:pos="5664"/>
          <w:tab w:val="left" w:pos="6372"/>
          <w:tab w:val="left" w:pos="7080"/>
          <w:tab w:val="left" w:pos="7788"/>
          <w:tab w:val="left" w:pos="8496"/>
          <w:tab w:val="left" w:pos="8848"/>
        </w:tabs>
        <w:ind w:left="2558" w:hanging="158"/>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BAEC9A5A">
      <w:start w:val="1"/>
      <w:numFmt w:val="bullet"/>
      <w:lvlText w:val="•"/>
      <w:lvlJc w:val="left"/>
      <w:pPr>
        <w:tabs>
          <w:tab w:val="left" w:pos="1950"/>
          <w:tab w:val="left" w:pos="2124"/>
          <w:tab w:val="left" w:pos="2832"/>
          <w:tab w:val="left" w:pos="3540"/>
          <w:tab w:val="left" w:pos="4248"/>
          <w:tab w:val="left" w:pos="4956"/>
          <w:tab w:val="left" w:pos="5664"/>
          <w:tab w:val="left" w:pos="6372"/>
          <w:tab w:val="left" w:pos="7080"/>
          <w:tab w:val="left" w:pos="7788"/>
          <w:tab w:val="left" w:pos="8496"/>
          <w:tab w:val="left" w:pos="8848"/>
        </w:tabs>
        <w:ind w:left="3158" w:hanging="158"/>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11B0F65E">
      <w:start w:val="1"/>
      <w:numFmt w:val="bullet"/>
      <w:lvlText w:val="•"/>
      <w:lvlJc w:val="left"/>
      <w:pPr>
        <w:tabs>
          <w:tab w:val="left" w:pos="1950"/>
          <w:tab w:val="left" w:pos="2124"/>
          <w:tab w:val="left" w:pos="2832"/>
          <w:tab w:val="left" w:pos="3540"/>
          <w:tab w:val="left" w:pos="4248"/>
          <w:tab w:val="left" w:pos="4956"/>
          <w:tab w:val="left" w:pos="5664"/>
          <w:tab w:val="left" w:pos="6372"/>
          <w:tab w:val="left" w:pos="7080"/>
          <w:tab w:val="left" w:pos="7788"/>
          <w:tab w:val="left" w:pos="8496"/>
          <w:tab w:val="left" w:pos="8848"/>
        </w:tabs>
        <w:ind w:left="3758" w:hanging="158"/>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0346F654">
      <w:start w:val="1"/>
      <w:numFmt w:val="bullet"/>
      <w:lvlText w:val="•"/>
      <w:lvlJc w:val="left"/>
      <w:pPr>
        <w:tabs>
          <w:tab w:val="left" w:pos="1950"/>
          <w:tab w:val="left" w:pos="2124"/>
          <w:tab w:val="left" w:pos="2832"/>
          <w:tab w:val="left" w:pos="3540"/>
          <w:tab w:val="left" w:pos="4248"/>
          <w:tab w:val="left" w:pos="4956"/>
          <w:tab w:val="left" w:pos="5664"/>
          <w:tab w:val="left" w:pos="6372"/>
          <w:tab w:val="left" w:pos="7080"/>
          <w:tab w:val="left" w:pos="7788"/>
          <w:tab w:val="left" w:pos="8496"/>
          <w:tab w:val="left" w:pos="8848"/>
        </w:tabs>
        <w:ind w:left="4358" w:hanging="158"/>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8D44E9C0">
      <w:start w:val="1"/>
      <w:numFmt w:val="bullet"/>
      <w:lvlText w:val="•"/>
      <w:lvlJc w:val="left"/>
      <w:pPr>
        <w:tabs>
          <w:tab w:val="left" w:pos="1950"/>
          <w:tab w:val="left" w:pos="2124"/>
          <w:tab w:val="left" w:pos="2832"/>
          <w:tab w:val="left" w:pos="3540"/>
          <w:tab w:val="left" w:pos="4248"/>
          <w:tab w:val="left" w:pos="5664"/>
          <w:tab w:val="left" w:pos="6372"/>
          <w:tab w:val="left" w:pos="7080"/>
          <w:tab w:val="left" w:pos="7788"/>
          <w:tab w:val="left" w:pos="8496"/>
          <w:tab w:val="left" w:pos="8848"/>
        </w:tabs>
        <w:ind w:left="4958" w:hanging="158"/>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5215233"/>
    <w:multiLevelType w:val="hybridMultilevel"/>
    <w:tmpl w:val="8C66AF4A"/>
    <w:styleLink w:val="ImportedStyle10"/>
    <w:lvl w:ilvl="0" w:tplc="496290EC">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5029D32">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ind w:left="14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E648E0">
      <w:start w:val="1"/>
      <w:numFmt w:val="bullet"/>
      <w:lvlText w:val="▪"/>
      <w:lvlJc w:val="left"/>
      <w:pPr>
        <w:tabs>
          <w:tab w:val="left" w:pos="1416"/>
          <w:tab w:val="left" w:pos="2832"/>
          <w:tab w:val="left" w:pos="3540"/>
          <w:tab w:val="left" w:pos="4248"/>
          <w:tab w:val="left" w:pos="4956"/>
          <w:tab w:val="left" w:pos="5664"/>
          <w:tab w:val="left" w:pos="6372"/>
          <w:tab w:val="left" w:pos="7080"/>
          <w:tab w:val="left" w:pos="7788"/>
          <w:tab w:val="left" w:pos="8496"/>
          <w:tab w:val="left" w:pos="8848"/>
        </w:tabs>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972D67C">
      <w:start w:val="1"/>
      <w:numFmt w:val="bullet"/>
      <w:lvlText w:val="•"/>
      <w:lvlJc w:val="left"/>
      <w:pPr>
        <w:tabs>
          <w:tab w:val="left" w:pos="1416"/>
          <w:tab w:val="left" w:pos="2124"/>
          <w:tab w:val="left" w:pos="3540"/>
          <w:tab w:val="left" w:pos="4248"/>
          <w:tab w:val="left" w:pos="4956"/>
          <w:tab w:val="left" w:pos="5664"/>
          <w:tab w:val="left" w:pos="6372"/>
          <w:tab w:val="left" w:pos="7080"/>
          <w:tab w:val="left" w:pos="7788"/>
          <w:tab w:val="left" w:pos="8496"/>
          <w:tab w:val="left" w:pos="8848"/>
        </w:tabs>
        <w:ind w:left="28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59E62A4">
      <w:start w:val="1"/>
      <w:numFmt w:val="bullet"/>
      <w:lvlText w:val="□"/>
      <w:lvlJc w:val="left"/>
      <w:pPr>
        <w:tabs>
          <w:tab w:val="left" w:pos="1416"/>
          <w:tab w:val="left" w:pos="2124"/>
          <w:tab w:val="left" w:pos="2832"/>
          <w:tab w:val="left" w:pos="4248"/>
          <w:tab w:val="left" w:pos="4956"/>
          <w:tab w:val="left" w:pos="5664"/>
          <w:tab w:val="left" w:pos="6372"/>
          <w:tab w:val="left" w:pos="7080"/>
          <w:tab w:val="left" w:pos="7788"/>
          <w:tab w:val="left" w:pos="8496"/>
          <w:tab w:val="left" w:pos="8848"/>
        </w:tabs>
        <w:ind w:left="35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810D862">
      <w:start w:val="1"/>
      <w:numFmt w:val="bullet"/>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8848"/>
        </w:tabs>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75C9BF0">
      <w:start w:val="1"/>
      <w:numFmt w:val="bullet"/>
      <w:lvlText w:val="•"/>
      <w:lvlJc w:val="left"/>
      <w:pPr>
        <w:tabs>
          <w:tab w:val="left" w:pos="1416"/>
          <w:tab w:val="left" w:pos="2124"/>
          <w:tab w:val="left" w:pos="2832"/>
          <w:tab w:val="left" w:pos="3540"/>
          <w:tab w:val="left" w:pos="4248"/>
          <w:tab w:val="left" w:pos="5664"/>
          <w:tab w:val="left" w:pos="6372"/>
          <w:tab w:val="left" w:pos="7080"/>
          <w:tab w:val="left" w:pos="7788"/>
          <w:tab w:val="left" w:pos="8496"/>
          <w:tab w:val="left" w:pos="8848"/>
        </w:tabs>
        <w:ind w:left="50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FC256EC">
      <w:start w:val="1"/>
      <w:numFmt w:val="bullet"/>
      <w:lvlText w:val="□"/>
      <w:lvlJc w:val="left"/>
      <w:pPr>
        <w:tabs>
          <w:tab w:val="left" w:pos="1416"/>
          <w:tab w:val="left" w:pos="2124"/>
          <w:tab w:val="left" w:pos="2832"/>
          <w:tab w:val="left" w:pos="3540"/>
          <w:tab w:val="left" w:pos="4248"/>
          <w:tab w:val="left" w:pos="4956"/>
          <w:tab w:val="left" w:pos="6372"/>
          <w:tab w:val="left" w:pos="7080"/>
          <w:tab w:val="left" w:pos="7788"/>
          <w:tab w:val="left" w:pos="8496"/>
          <w:tab w:val="left" w:pos="8848"/>
        </w:tabs>
        <w:ind w:left="57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242610">
      <w:start w:val="1"/>
      <w:numFmt w:val="bullet"/>
      <w:lvlText w:val="▪"/>
      <w:lvlJc w:val="left"/>
      <w:pPr>
        <w:tabs>
          <w:tab w:val="left" w:pos="1416"/>
          <w:tab w:val="left" w:pos="2124"/>
          <w:tab w:val="left" w:pos="2832"/>
          <w:tab w:val="left" w:pos="3540"/>
          <w:tab w:val="left" w:pos="4248"/>
          <w:tab w:val="left" w:pos="4956"/>
          <w:tab w:val="left" w:pos="5664"/>
          <w:tab w:val="left" w:pos="7080"/>
          <w:tab w:val="left" w:pos="7788"/>
          <w:tab w:val="left" w:pos="8496"/>
          <w:tab w:val="left" w:pos="8848"/>
        </w:tabs>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C675872"/>
    <w:multiLevelType w:val="hybridMultilevel"/>
    <w:tmpl w:val="91CCBDCE"/>
    <w:styleLink w:val="ImportedStyle11"/>
    <w:lvl w:ilvl="0" w:tplc="175C9FC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024B55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4B0BD9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BB0526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4221A1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0C2C3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B1E87B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1A443D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C830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0A178A4"/>
    <w:multiLevelType w:val="hybridMultilevel"/>
    <w:tmpl w:val="8C66AF4A"/>
    <w:numStyleLink w:val="ImportedStyle10"/>
  </w:abstractNum>
  <w:abstractNum w:abstractNumId="6" w15:restartNumberingAfterBreak="0">
    <w:nsid w:val="2436620E"/>
    <w:multiLevelType w:val="hybridMultilevel"/>
    <w:tmpl w:val="D6E6DC8A"/>
    <w:numStyleLink w:val="ImportedStyle8"/>
  </w:abstractNum>
  <w:abstractNum w:abstractNumId="7" w15:restartNumberingAfterBreak="0">
    <w:nsid w:val="32CC0502"/>
    <w:multiLevelType w:val="hybridMultilevel"/>
    <w:tmpl w:val="01902BA0"/>
    <w:numStyleLink w:val="ImportedStyle3"/>
  </w:abstractNum>
  <w:abstractNum w:abstractNumId="8" w15:restartNumberingAfterBreak="0">
    <w:nsid w:val="36E937EC"/>
    <w:multiLevelType w:val="hybridMultilevel"/>
    <w:tmpl w:val="50FAF28E"/>
    <w:numStyleLink w:val="ImportedStyle7"/>
  </w:abstractNum>
  <w:abstractNum w:abstractNumId="9" w15:restartNumberingAfterBreak="0">
    <w:nsid w:val="40664003"/>
    <w:multiLevelType w:val="hybridMultilevel"/>
    <w:tmpl w:val="EE4CA01A"/>
    <w:styleLink w:val="ImportedStyle4"/>
    <w:lvl w:ilvl="0" w:tplc="B7804778">
      <w:start w:val="1"/>
      <w:numFmt w:val="bullet"/>
      <w:lvlText w:val="-"/>
      <w:lvlJc w:val="left"/>
      <w:pPr>
        <w:ind w:left="72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1" w:tplc="53BCBCF4">
      <w:start w:val="1"/>
      <w:numFmt w:val="bullet"/>
      <w:lvlText w:val="o"/>
      <w:lvlJc w:val="left"/>
      <w:pPr>
        <w:ind w:left="144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2" w:tplc="7D50FBDA">
      <w:start w:val="1"/>
      <w:numFmt w:val="bullet"/>
      <w:lvlText w:val="▪"/>
      <w:lvlJc w:val="left"/>
      <w:pPr>
        <w:ind w:left="216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3" w:tplc="69241FF8">
      <w:start w:val="1"/>
      <w:numFmt w:val="bullet"/>
      <w:lvlText w:val="•"/>
      <w:lvlJc w:val="left"/>
      <w:pPr>
        <w:ind w:left="288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4" w:tplc="B1BC0456">
      <w:start w:val="1"/>
      <w:numFmt w:val="bullet"/>
      <w:lvlText w:val="o"/>
      <w:lvlJc w:val="left"/>
      <w:pPr>
        <w:ind w:left="360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5" w:tplc="B3B0D4F8">
      <w:start w:val="1"/>
      <w:numFmt w:val="bullet"/>
      <w:lvlText w:val="▪"/>
      <w:lvlJc w:val="left"/>
      <w:pPr>
        <w:ind w:left="432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6" w:tplc="EDDEDD06">
      <w:start w:val="1"/>
      <w:numFmt w:val="bullet"/>
      <w:lvlText w:val="•"/>
      <w:lvlJc w:val="left"/>
      <w:pPr>
        <w:ind w:left="504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7" w:tplc="D66EE97E">
      <w:start w:val="1"/>
      <w:numFmt w:val="bullet"/>
      <w:lvlText w:val="o"/>
      <w:lvlJc w:val="left"/>
      <w:pPr>
        <w:ind w:left="576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8" w:tplc="464C249A">
      <w:start w:val="1"/>
      <w:numFmt w:val="bullet"/>
      <w:lvlText w:val="▪"/>
      <w:lvlJc w:val="left"/>
      <w:pPr>
        <w:ind w:left="648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45C4321"/>
    <w:multiLevelType w:val="hybridMultilevel"/>
    <w:tmpl w:val="03148D88"/>
    <w:numStyleLink w:val="ImportedStyle9"/>
  </w:abstractNum>
  <w:abstractNum w:abstractNumId="11" w15:restartNumberingAfterBreak="0">
    <w:nsid w:val="475E36F8"/>
    <w:multiLevelType w:val="hybridMultilevel"/>
    <w:tmpl w:val="01902BA0"/>
    <w:styleLink w:val="ImportedStyle3"/>
    <w:lvl w:ilvl="0" w:tplc="13A05B52">
      <w:start w:val="1"/>
      <w:numFmt w:val="bullet"/>
      <w:lvlText w:val="·"/>
      <w:lvlJc w:val="left"/>
      <w:pPr>
        <w:tabs>
          <w:tab w:val="left" w:pos="720"/>
          <w:tab w:val="left" w:pos="3828"/>
        </w:tabs>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19CAE32">
      <w:start w:val="1"/>
      <w:numFmt w:val="bullet"/>
      <w:lvlText w:val="o"/>
      <w:lvlJc w:val="left"/>
      <w:pPr>
        <w:tabs>
          <w:tab w:val="left" w:pos="720"/>
          <w:tab w:val="left" w:pos="3828"/>
        </w:tabs>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E221E70">
      <w:start w:val="1"/>
      <w:numFmt w:val="bullet"/>
      <w:lvlText w:val="▪"/>
      <w:lvlJc w:val="left"/>
      <w:pPr>
        <w:tabs>
          <w:tab w:val="left" w:pos="720"/>
          <w:tab w:val="left" w:pos="3828"/>
        </w:tabs>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5E02F16">
      <w:start w:val="1"/>
      <w:numFmt w:val="bullet"/>
      <w:lvlText w:val="·"/>
      <w:lvlJc w:val="left"/>
      <w:pPr>
        <w:tabs>
          <w:tab w:val="left" w:pos="720"/>
          <w:tab w:val="left" w:pos="3828"/>
        </w:tabs>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C74E648">
      <w:start w:val="1"/>
      <w:numFmt w:val="bullet"/>
      <w:lvlText w:val="o"/>
      <w:lvlJc w:val="left"/>
      <w:pPr>
        <w:tabs>
          <w:tab w:val="left" w:pos="720"/>
          <w:tab w:val="left" w:pos="3828"/>
        </w:tabs>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2C6E02">
      <w:start w:val="1"/>
      <w:numFmt w:val="bullet"/>
      <w:lvlText w:val="▪"/>
      <w:lvlJc w:val="left"/>
      <w:pPr>
        <w:tabs>
          <w:tab w:val="left" w:pos="720"/>
          <w:tab w:val="left" w:pos="3828"/>
        </w:tabs>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C6450E">
      <w:start w:val="1"/>
      <w:numFmt w:val="bullet"/>
      <w:lvlText w:val="·"/>
      <w:lvlJc w:val="left"/>
      <w:pPr>
        <w:tabs>
          <w:tab w:val="left" w:pos="720"/>
          <w:tab w:val="left" w:pos="3828"/>
        </w:tabs>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CD2C5C2">
      <w:start w:val="1"/>
      <w:numFmt w:val="bullet"/>
      <w:lvlText w:val="o"/>
      <w:lvlJc w:val="left"/>
      <w:pPr>
        <w:tabs>
          <w:tab w:val="left" w:pos="720"/>
          <w:tab w:val="left" w:pos="3828"/>
        </w:tabs>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6223C10">
      <w:start w:val="1"/>
      <w:numFmt w:val="bullet"/>
      <w:lvlText w:val="▪"/>
      <w:lvlJc w:val="left"/>
      <w:pPr>
        <w:tabs>
          <w:tab w:val="left" w:pos="720"/>
          <w:tab w:val="left" w:pos="3828"/>
        </w:tabs>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CD00ABD"/>
    <w:multiLevelType w:val="hybridMultilevel"/>
    <w:tmpl w:val="50FAF28E"/>
    <w:styleLink w:val="ImportedStyle7"/>
    <w:lvl w:ilvl="0" w:tplc="C14AB7C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9F87A2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BC60E7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F2CD16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E8DC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DCD0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B3C10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A680C2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364D0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47F64F5"/>
    <w:multiLevelType w:val="hybridMultilevel"/>
    <w:tmpl w:val="30AEDA5A"/>
    <w:numStyleLink w:val="Bullets"/>
  </w:abstractNum>
  <w:abstractNum w:abstractNumId="14" w15:restartNumberingAfterBreak="0">
    <w:nsid w:val="55770530"/>
    <w:multiLevelType w:val="hybridMultilevel"/>
    <w:tmpl w:val="EE4CA01A"/>
    <w:numStyleLink w:val="ImportedStyle4"/>
  </w:abstractNum>
  <w:abstractNum w:abstractNumId="15" w15:restartNumberingAfterBreak="0">
    <w:nsid w:val="5D4435BA"/>
    <w:multiLevelType w:val="hybridMultilevel"/>
    <w:tmpl w:val="BDF4C7A0"/>
    <w:styleLink w:val="Numbered"/>
    <w:lvl w:ilvl="0" w:tplc="F062760E">
      <w:start w:val="1"/>
      <w:numFmt w:val="decimal"/>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s>
        <w:ind w:left="211" w:hanging="211"/>
      </w:pPr>
      <w:rPr>
        <w:rFonts w:hAnsi="Arial Unicode MS"/>
        <w:caps w:val="0"/>
        <w:smallCaps w:val="0"/>
        <w:strike w:val="0"/>
        <w:dstrike w:val="0"/>
        <w:outline w:val="0"/>
        <w:emboss w:val="0"/>
        <w:imprint w:val="0"/>
        <w:spacing w:val="0"/>
        <w:w w:val="100"/>
        <w:kern w:val="0"/>
        <w:position w:val="0"/>
        <w:highlight w:val="none"/>
        <w:vertAlign w:val="baseline"/>
      </w:rPr>
    </w:lvl>
    <w:lvl w:ilvl="1" w:tplc="7D522AE2">
      <w:start w:val="1"/>
      <w:numFmt w:val="decimal"/>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s>
        <w:ind w:left="1011" w:hanging="211"/>
      </w:pPr>
      <w:rPr>
        <w:rFonts w:hAnsi="Arial Unicode MS"/>
        <w:caps w:val="0"/>
        <w:smallCaps w:val="0"/>
        <w:strike w:val="0"/>
        <w:dstrike w:val="0"/>
        <w:outline w:val="0"/>
        <w:emboss w:val="0"/>
        <w:imprint w:val="0"/>
        <w:spacing w:val="0"/>
        <w:w w:val="100"/>
        <w:kern w:val="0"/>
        <w:position w:val="0"/>
        <w:highlight w:val="none"/>
        <w:vertAlign w:val="baseline"/>
      </w:rPr>
    </w:lvl>
    <w:lvl w:ilvl="2" w:tplc="96F854FC">
      <w:start w:val="1"/>
      <w:numFmt w:val="decimal"/>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s>
        <w:ind w:left="1811" w:hanging="211"/>
      </w:pPr>
      <w:rPr>
        <w:rFonts w:hAnsi="Arial Unicode MS"/>
        <w:caps w:val="0"/>
        <w:smallCaps w:val="0"/>
        <w:strike w:val="0"/>
        <w:dstrike w:val="0"/>
        <w:outline w:val="0"/>
        <w:emboss w:val="0"/>
        <w:imprint w:val="0"/>
        <w:spacing w:val="0"/>
        <w:w w:val="100"/>
        <w:kern w:val="0"/>
        <w:position w:val="0"/>
        <w:highlight w:val="none"/>
        <w:vertAlign w:val="baseline"/>
      </w:rPr>
    </w:lvl>
    <w:lvl w:ilvl="3" w:tplc="9F5CF9CE">
      <w:start w:val="1"/>
      <w:numFmt w:val="decimal"/>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s>
        <w:ind w:left="2611" w:hanging="211"/>
      </w:pPr>
      <w:rPr>
        <w:rFonts w:hAnsi="Arial Unicode MS"/>
        <w:caps w:val="0"/>
        <w:smallCaps w:val="0"/>
        <w:strike w:val="0"/>
        <w:dstrike w:val="0"/>
        <w:outline w:val="0"/>
        <w:emboss w:val="0"/>
        <w:imprint w:val="0"/>
        <w:spacing w:val="0"/>
        <w:w w:val="100"/>
        <w:kern w:val="0"/>
        <w:position w:val="0"/>
        <w:highlight w:val="none"/>
        <w:vertAlign w:val="baseline"/>
      </w:rPr>
    </w:lvl>
    <w:lvl w:ilvl="4" w:tplc="F920DDCE">
      <w:start w:val="1"/>
      <w:numFmt w:val="decimal"/>
      <w:suff w:val="nothing"/>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s>
        <w:ind w:left="3309" w:hanging="109"/>
      </w:pPr>
      <w:rPr>
        <w:rFonts w:hAnsi="Arial Unicode MS"/>
        <w:caps w:val="0"/>
        <w:smallCaps w:val="0"/>
        <w:strike w:val="0"/>
        <w:dstrike w:val="0"/>
        <w:outline w:val="0"/>
        <w:emboss w:val="0"/>
        <w:imprint w:val="0"/>
        <w:spacing w:val="0"/>
        <w:w w:val="100"/>
        <w:kern w:val="0"/>
        <w:position w:val="0"/>
        <w:highlight w:val="none"/>
        <w:vertAlign w:val="baseline"/>
      </w:rPr>
    </w:lvl>
    <w:lvl w:ilvl="5" w:tplc="CB8EA566">
      <w:start w:val="1"/>
      <w:numFmt w:val="decimal"/>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s>
        <w:ind w:left="4211" w:hanging="211"/>
      </w:pPr>
      <w:rPr>
        <w:rFonts w:hAnsi="Arial Unicode MS"/>
        <w:caps w:val="0"/>
        <w:smallCaps w:val="0"/>
        <w:strike w:val="0"/>
        <w:dstrike w:val="0"/>
        <w:outline w:val="0"/>
        <w:emboss w:val="0"/>
        <w:imprint w:val="0"/>
        <w:spacing w:val="0"/>
        <w:w w:val="100"/>
        <w:kern w:val="0"/>
        <w:position w:val="0"/>
        <w:highlight w:val="none"/>
        <w:vertAlign w:val="baseline"/>
      </w:rPr>
    </w:lvl>
    <w:lvl w:ilvl="6" w:tplc="D534EDF4">
      <w:start w:val="1"/>
      <w:numFmt w:val="decimal"/>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s>
        <w:ind w:left="5011" w:hanging="211"/>
      </w:pPr>
      <w:rPr>
        <w:rFonts w:hAnsi="Arial Unicode MS"/>
        <w:caps w:val="0"/>
        <w:smallCaps w:val="0"/>
        <w:strike w:val="0"/>
        <w:dstrike w:val="0"/>
        <w:outline w:val="0"/>
        <w:emboss w:val="0"/>
        <w:imprint w:val="0"/>
        <w:spacing w:val="0"/>
        <w:w w:val="100"/>
        <w:kern w:val="0"/>
        <w:position w:val="0"/>
        <w:highlight w:val="none"/>
        <w:vertAlign w:val="baseline"/>
      </w:rPr>
    </w:lvl>
    <w:lvl w:ilvl="7" w:tplc="3184E362">
      <w:start w:val="1"/>
      <w:numFmt w:val="decimal"/>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s>
        <w:ind w:left="5811" w:hanging="211"/>
      </w:pPr>
      <w:rPr>
        <w:rFonts w:hAnsi="Arial Unicode MS"/>
        <w:caps w:val="0"/>
        <w:smallCaps w:val="0"/>
        <w:strike w:val="0"/>
        <w:dstrike w:val="0"/>
        <w:outline w:val="0"/>
        <w:emboss w:val="0"/>
        <w:imprint w:val="0"/>
        <w:spacing w:val="0"/>
        <w:w w:val="100"/>
        <w:kern w:val="0"/>
        <w:position w:val="0"/>
        <w:highlight w:val="none"/>
        <w:vertAlign w:val="baseline"/>
      </w:rPr>
    </w:lvl>
    <w:lvl w:ilvl="8" w:tplc="CBC0FD3A">
      <w:start w:val="1"/>
      <w:numFmt w:val="decimal"/>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s>
        <w:ind w:left="6611" w:hanging="2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2175CB0"/>
    <w:multiLevelType w:val="hybridMultilevel"/>
    <w:tmpl w:val="46F8F988"/>
    <w:styleLink w:val="ImportedStyle100"/>
    <w:lvl w:ilvl="0" w:tplc="5B0664D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F8E4B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BF290E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E0616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48E0D9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14CC6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A6D3E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208B6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F49D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18F4AE1"/>
    <w:multiLevelType w:val="hybridMultilevel"/>
    <w:tmpl w:val="BDF4C7A0"/>
    <w:numStyleLink w:val="Numbered"/>
  </w:abstractNum>
  <w:abstractNum w:abstractNumId="18" w15:restartNumberingAfterBreak="0">
    <w:nsid w:val="74C62B80"/>
    <w:multiLevelType w:val="hybridMultilevel"/>
    <w:tmpl w:val="03148D88"/>
    <w:styleLink w:val="ImportedStyle9"/>
    <w:lvl w:ilvl="0" w:tplc="401E2AB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4EE337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451EFFE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086EB70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AA586E9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5120A3E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85FCA07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8BA842B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88209F3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5E22F28"/>
    <w:multiLevelType w:val="hybridMultilevel"/>
    <w:tmpl w:val="10AAA338"/>
    <w:numStyleLink w:val="Bullets0"/>
  </w:abstractNum>
  <w:abstractNum w:abstractNumId="20" w15:restartNumberingAfterBreak="0">
    <w:nsid w:val="771400DA"/>
    <w:multiLevelType w:val="hybridMultilevel"/>
    <w:tmpl w:val="D6E6DC8A"/>
    <w:styleLink w:val="ImportedStyle8"/>
    <w:lvl w:ilvl="0" w:tplc="18A86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470C7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10430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36E1BC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1EA9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52891A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6665E6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1274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DAEB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73037E8"/>
    <w:multiLevelType w:val="hybridMultilevel"/>
    <w:tmpl w:val="91CCBDCE"/>
    <w:numStyleLink w:val="ImportedStyle11"/>
  </w:abstractNum>
  <w:abstractNum w:abstractNumId="22" w15:restartNumberingAfterBreak="0">
    <w:nsid w:val="7A8107CF"/>
    <w:multiLevelType w:val="hybridMultilevel"/>
    <w:tmpl w:val="46F8F988"/>
    <w:numStyleLink w:val="ImportedStyle100"/>
  </w:abstractNum>
  <w:abstractNum w:abstractNumId="23" w15:restartNumberingAfterBreak="0">
    <w:nsid w:val="7E5B2EE0"/>
    <w:multiLevelType w:val="hybridMultilevel"/>
    <w:tmpl w:val="10AAA338"/>
    <w:styleLink w:val="Bullets0"/>
    <w:lvl w:ilvl="0" w:tplc="1ED67246">
      <w:start w:val="1"/>
      <w:numFmt w:val="bullet"/>
      <w:lvlText w:val="•"/>
      <w:lvlJc w:val="left"/>
      <w:pPr>
        <w:tabs>
          <w:tab w:val="left" w:pos="1950"/>
          <w:tab w:val="left" w:pos="2124"/>
          <w:tab w:val="left" w:pos="2832"/>
          <w:tab w:val="left" w:pos="3540"/>
          <w:tab w:val="left" w:pos="4248"/>
          <w:tab w:val="left" w:pos="4956"/>
          <w:tab w:val="left" w:pos="5664"/>
          <w:tab w:val="left" w:pos="6372"/>
          <w:tab w:val="left" w:pos="7080"/>
          <w:tab w:val="left" w:pos="7788"/>
          <w:tab w:val="left" w:pos="8496"/>
          <w:tab w:val="left" w:pos="8848"/>
        </w:tabs>
        <w:ind w:left="389" w:hanging="389"/>
      </w:pPr>
      <w:rPr>
        <w:rFonts w:ascii="Menlo" w:eastAsia="Menlo" w:hAnsi="Menlo" w:cs="Menlo"/>
        <w:b w:val="0"/>
        <w:bCs w:val="0"/>
        <w:i w:val="0"/>
        <w:iCs w:val="0"/>
        <w:caps w:val="0"/>
        <w:smallCaps w:val="0"/>
        <w:strike w:val="0"/>
        <w:dstrike w:val="0"/>
        <w:outline w:val="0"/>
        <w:emboss w:val="0"/>
        <w:imprint w:val="0"/>
        <w:spacing w:val="0"/>
        <w:w w:val="100"/>
        <w:kern w:val="0"/>
        <w:position w:val="0"/>
        <w:highlight w:val="none"/>
        <w:vertAlign w:val="baseline"/>
      </w:rPr>
    </w:lvl>
    <w:lvl w:ilvl="1" w:tplc="86282702">
      <w:start w:val="1"/>
      <w:numFmt w:val="bullet"/>
      <w:lvlText w:val="•"/>
      <w:lvlJc w:val="left"/>
      <w:pPr>
        <w:tabs>
          <w:tab w:val="left" w:pos="1950"/>
          <w:tab w:val="left" w:pos="2124"/>
          <w:tab w:val="left" w:pos="2832"/>
          <w:tab w:val="left" w:pos="3540"/>
          <w:tab w:val="left" w:pos="4248"/>
          <w:tab w:val="left" w:pos="4956"/>
          <w:tab w:val="left" w:pos="5664"/>
          <w:tab w:val="left" w:pos="6372"/>
          <w:tab w:val="left" w:pos="7080"/>
          <w:tab w:val="left" w:pos="7788"/>
          <w:tab w:val="left" w:pos="8496"/>
          <w:tab w:val="left" w:pos="8848"/>
        </w:tabs>
        <w:ind w:left="647" w:hanging="467"/>
      </w:pPr>
      <w:rPr>
        <w:rFonts w:ascii="Menlo" w:eastAsia="Menlo" w:hAnsi="Menlo" w:cs="Menlo"/>
        <w:b w:val="0"/>
        <w:bCs w:val="0"/>
        <w:i w:val="0"/>
        <w:iCs w:val="0"/>
        <w:caps w:val="0"/>
        <w:smallCaps w:val="0"/>
        <w:strike w:val="0"/>
        <w:dstrike w:val="0"/>
        <w:outline w:val="0"/>
        <w:emboss w:val="0"/>
        <w:imprint w:val="0"/>
        <w:spacing w:val="0"/>
        <w:w w:val="100"/>
        <w:kern w:val="0"/>
        <w:position w:val="0"/>
        <w:highlight w:val="none"/>
        <w:vertAlign w:val="baseline"/>
      </w:rPr>
    </w:lvl>
    <w:lvl w:ilvl="2" w:tplc="C47C775E">
      <w:start w:val="1"/>
      <w:numFmt w:val="bullet"/>
      <w:lvlText w:val="•"/>
      <w:lvlJc w:val="left"/>
      <w:pPr>
        <w:tabs>
          <w:tab w:val="left" w:pos="1950"/>
          <w:tab w:val="left" w:pos="2124"/>
          <w:tab w:val="left" w:pos="2832"/>
          <w:tab w:val="left" w:pos="3540"/>
          <w:tab w:val="left" w:pos="4248"/>
          <w:tab w:val="left" w:pos="4956"/>
          <w:tab w:val="left" w:pos="5664"/>
          <w:tab w:val="left" w:pos="6372"/>
          <w:tab w:val="left" w:pos="7080"/>
          <w:tab w:val="left" w:pos="7788"/>
          <w:tab w:val="left" w:pos="8496"/>
          <w:tab w:val="left" w:pos="8848"/>
        </w:tabs>
        <w:ind w:left="827" w:hanging="467"/>
      </w:pPr>
      <w:rPr>
        <w:rFonts w:ascii="Menlo" w:eastAsia="Menlo" w:hAnsi="Menlo" w:cs="Menlo"/>
        <w:b w:val="0"/>
        <w:bCs w:val="0"/>
        <w:i w:val="0"/>
        <w:iCs w:val="0"/>
        <w:caps w:val="0"/>
        <w:smallCaps w:val="0"/>
        <w:strike w:val="0"/>
        <w:dstrike w:val="0"/>
        <w:outline w:val="0"/>
        <w:emboss w:val="0"/>
        <w:imprint w:val="0"/>
        <w:spacing w:val="0"/>
        <w:w w:val="100"/>
        <w:kern w:val="0"/>
        <w:position w:val="0"/>
        <w:highlight w:val="none"/>
        <w:vertAlign w:val="baseline"/>
      </w:rPr>
    </w:lvl>
    <w:lvl w:ilvl="3" w:tplc="D5A6DF9A">
      <w:start w:val="1"/>
      <w:numFmt w:val="bullet"/>
      <w:lvlText w:val="•"/>
      <w:lvlJc w:val="left"/>
      <w:pPr>
        <w:tabs>
          <w:tab w:val="left" w:pos="1950"/>
          <w:tab w:val="left" w:pos="2124"/>
          <w:tab w:val="left" w:pos="2832"/>
          <w:tab w:val="left" w:pos="3540"/>
          <w:tab w:val="left" w:pos="4248"/>
          <w:tab w:val="left" w:pos="4956"/>
          <w:tab w:val="left" w:pos="5664"/>
          <w:tab w:val="left" w:pos="6372"/>
          <w:tab w:val="left" w:pos="7080"/>
          <w:tab w:val="left" w:pos="7788"/>
          <w:tab w:val="left" w:pos="8496"/>
          <w:tab w:val="left" w:pos="8848"/>
        </w:tabs>
        <w:ind w:left="1007" w:hanging="467"/>
      </w:pPr>
      <w:rPr>
        <w:rFonts w:ascii="Menlo" w:eastAsia="Menlo" w:hAnsi="Menlo" w:cs="Menlo"/>
        <w:b w:val="0"/>
        <w:bCs w:val="0"/>
        <w:i w:val="0"/>
        <w:iCs w:val="0"/>
        <w:caps w:val="0"/>
        <w:smallCaps w:val="0"/>
        <w:strike w:val="0"/>
        <w:dstrike w:val="0"/>
        <w:outline w:val="0"/>
        <w:emboss w:val="0"/>
        <w:imprint w:val="0"/>
        <w:spacing w:val="0"/>
        <w:w w:val="100"/>
        <w:kern w:val="0"/>
        <w:position w:val="0"/>
        <w:highlight w:val="none"/>
        <w:vertAlign w:val="baseline"/>
      </w:rPr>
    </w:lvl>
    <w:lvl w:ilvl="4" w:tplc="A5B8FE7E">
      <w:start w:val="1"/>
      <w:numFmt w:val="bullet"/>
      <w:lvlText w:val="•"/>
      <w:lvlJc w:val="left"/>
      <w:pPr>
        <w:tabs>
          <w:tab w:val="left" w:pos="1950"/>
          <w:tab w:val="left" w:pos="2124"/>
          <w:tab w:val="left" w:pos="2832"/>
          <w:tab w:val="left" w:pos="3540"/>
          <w:tab w:val="left" w:pos="4248"/>
          <w:tab w:val="left" w:pos="4956"/>
          <w:tab w:val="left" w:pos="5664"/>
          <w:tab w:val="left" w:pos="6372"/>
          <w:tab w:val="left" w:pos="7080"/>
          <w:tab w:val="left" w:pos="7788"/>
          <w:tab w:val="left" w:pos="8496"/>
          <w:tab w:val="left" w:pos="8848"/>
        </w:tabs>
        <w:ind w:left="1187" w:hanging="467"/>
      </w:pPr>
      <w:rPr>
        <w:rFonts w:ascii="Menlo" w:eastAsia="Menlo" w:hAnsi="Menlo" w:cs="Menlo"/>
        <w:b w:val="0"/>
        <w:bCs w:val="0"/>
        <w:i w:val="0"/>
        <w:iCs w:val="0"/>
        <w:caps w:val="0"/>
        <w:smallCaps w:val="0"/>
        <w:strike w:val="0"/>
        <w:dstrike w:val="0"/>
        <w:outline w:val="0"/>
        <w:emboss w:val="0"/>
        <w:imprint w:val="0"/>
        <w:spacing w:val="0"/>
        <w:w w:val="100"/>
        <w:kern w:val="0"/>
        <w:position w:val="0"/>
        <w:highlight w:val="none"/>
        <w:vertAlign w:val="baseline"/>
      </w:rPr>
    </w:lvl>
    <w:lvl w:ilvl="5" w:tplc="AC7237B4">
      <w:start w:val="1"/>
      <w:numFmt w:val="bullet"/>
      <w:lvlText w:val="•"/>
      <w:lvlJc w:val="left"/>
      <w:pPr>
        <w:tabs>
          <w:tab w:val="left" w:pos="1950"/>
          <w:tab w:val="left" w:pos="2124"/>
          <w:tab w:val="left" w:pos="2832"/>
          <w:tab w:val="left" w:pos="3540"/>
          <w:tab w:val="left" w:pos="4248"/>
          <w:tab w:val="left" w:pos="4956"/>
          <w:tab w:val="left" w:pos="5664"/>
          <w:tab w:val="left" w:pos="6372"/>
          <w:tab w:val="left" w:pos="7080"/>
          <w:tab w:val="left" w:pos="7788"/>
          <w:tab w:val="left" w:pos="8496"/>
          <w:tab w:val="left" w:pos="8848"/>
        </w:tabs>
        <w:ind w:left="1367" w:hanging="467"/>
      </w:pPr>
      <w:rPr>
        <w:rFonts w:ascii="Menlo" w:eastAsia="Menlo" w:hAnsi="Menlo" w:cs="Menlo"/>
        <w:b w:val="0"/>
        <w:bCs w:val="0"/>
        <w:i w:val="0"/>
        <w:iCs w:val="0"/>
        <w:caps w:val="0"/>
        <w:smallCaps w:val="0"/>
        <w:strike w:val="0"/>
        <w:dstrike w:val="0"/>
        <w:outline w:val="0"/>
        <w:emboss w:val="0"/>
        <w:imprint w:val="0"/>
        <w:spacing w:val="0"/>
        <w:w w:val="100"/>
        <w:kern w:val="0"/>
        <w:position w:val="0"/>
        <w:highlight w:val="none"/>
        <w:vertAlign w:val="baseline"/>
      </w:rPr>
    </w:lvl>
    <w:lvl w:ilvl="6" w:tplc="6DFCD028">
      <w:start w:val="1"/>
      <w:numFmt w:val="bullet"/>
      <w:lvlText w:val="•"/>
      <w:lvlJc w:val="left"/>
      <w:pPr>
        <w:tabs>
          <w:tab w:val="left" w:pos="1950"/>
          <w:tab w:val="left" w:pos="2124"/>
          <w:tab w:val="left" w:pos="2832"/>
          <w:tab w:val="left" w:pos="3540"/>
          <w:tab w:val="left" w:pos="4248"/>
          <w:tab w:val="left" w:pos="4956"/>
          <w:tab w:val="left" w:pos="5664"/>
          <w:tab w:val="left" w:pos="6372"/>
          <w:tab w:val="left" w:pos="7080"/>
          <w:tab w:val="left" w:pos="7788"/>
          <w:tab w:val="left" w:pos="8496"/>
          <w:tab w:val="left" w:pos="8848"/>
        </w:tabs>
        <w:ind w:left="1547" w:hanging="467"/>
      </w:pPr>
      <w:rPr>
        <w:rFonts w:ascii="Menlo" w:eastAsia="Menlo" w:hAnsi="Menlo" w:cs="Menlo"/>
        <w:b w:val="0"/>
        <w:bCs w:val="0"/>
        <w:i w:val="0"/>
        <w:iCs w:val="0"/>
        <w:caps w:val="0"/>
        <w:smallCaps w:val="0"/>
        <w:strike w:val="0"/>
        <w:dstrike w:val="0"/>
        <w:outline w:val="0"/>
        <w:emboss w:val="0"/>
        <w:imprint w:val="0"/>
        <w:spacing w:val="0"/>
        <w:w w:val="100"/>
        <w:kern w:val="0"/>
        <w:position w:val="0"/>
        <w:highlight w:val="none"/>
        <w:vertAlign w:val="baseline"/>
      </w:rPr>
    </w:lvl>
    <w:lvl w:ilvl="7" w:tplc="0FDCE6C8">
      <w:start w:val="1"/>
      <w:numFmt w:val="bullet"/>
      <w:lvlText w:val="•"/>
      <w:lvlJc w:val="left"/>
      <w:pPr>
        <w:tabs>
          <w:tab w:val="left" w:pos="1950"/>
          <w:tab w:val="left" w:pos="2124"/>
          <w:tab w:val="left" w:pos="2832"/>
          <w:tab w:val="left" w:pos="3540"/>
          <w:tab w:val="left" w:pos="4248"/>
          <w:tab w:val="left" w:pos="4956"/>
          <w:tab w:val="left" w:pos="5664"/>
          <w:tab w:val="left" w:pos="6372"/>
          <w:tab w:val="left" w:pos="7080"/>
          <w:tab w:val="left" w:pos="7788"/>
          <w:tab w:val="left" w:pos="8496"/>
          <w:tab w:val="left" w:pos="8848"/>
        </w:tabs>
        <w:ind w:left="1727" w:hanging="467"/>
      </w:pPr>
      <w:rPr>
        <w:rFonts w:ascii="Menlo" w:eastAsia="Menlo" w:hAnsi="Menlo" w:cs="Menlo"/>
        <w:b w:val="0"/>
        <w:bCs w:val="0"/>
        <w:i w:val="0"/>
        <w:iCs w:val="0"/>
        <w:caps w:val="0"/>
        <w:smallCaps w:val="0"/>
        <w:strike w:val="0"/>
        <w:dstrike w:val="0"/>
        <w:outline w:val="0"/>
        <w:emboss w:val="0"/>
        <w:imprint w:val="0"/>
        <w:spacing w:val="0"/>
        <w:w w:val="100"/>
        <w:kern w:val="0"/>
        <w:position w:val="0"/>
        <w:highlight w:val="none"/>
        <w:vertAlign w:val="baseline"/>
      </w:rPr>
    </w:lvl>
    <w:lvl w:ilvl="8" w:tplc="4796A7E8">
      <w:start w:val="1"/>
      <w:numFmt w:val="bullet"/>
      <w:lvlText w:val="•"/>
      <w:lvlJc w:val="left"/>
      <w:pPr>
        <w:tabs>
          <w:tab w:val="left" w:pos="1950"/>
          <w:tab w:val="left" w:pos="2124"/>
          <w:tab w:val="left" w:pos="2832"/>
          <w:tab w:val="left" w:pos="3540"/>
          <w:tab w:val="left" w:pos="4248"/>
          <w:tab w:val="left" w:pos="4956"/>
          <w:tab w:val="left" w:pos="5664"/>
          <w:tab w:val="left" w:pos="6372"/>
          <w:tab w:val="left" w:pos="7080"/>
          <w:tab w:val="left" w:pos="7788"/>
          <w:tab w:val="left" w:pos="8496"/>
          <w:tab w:val="left" w:pos="8848"/>
        </w:tabs>
        <w:ind w:left="1907" w:hanging="467"/>
      </w:pPr>
      <w:rPr>
        <w:rFonts w:ascii="Menlo" w:eastAsia="Menlo" w:hAnsi="Menlo" w:cs="Menlo"/>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2"/>
      <w:lvl w:ilvl="0" w:tplc="E2CE7E28">
        <w:start w:val="2"/>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1A0F86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50EBC60">
        <w:start w:val="1"/>
        <w:numFmt w:val="lowerRoman"/>
        <w:lvlText w:val="%3."/>
        <w:lvlJc w:val="left"/>
        <w:pPr>
          <w:ind w:left="2160" w:hanging="30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D7AFCC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3B42F7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56EB790">
        <w:start w:val="1"/>
        <w:numFmt w:val="lowerRoman"/>
        <w:lvlText w:val="%6."/>
        <w:lvlJc w:val="left"/>
        <w:pPr>
          <w:ind w:left="4320" w:hanging="30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89AF26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44A65A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644DB5C">
        <w:start w:val="1"/>
        <w:numFmt w:val="lowerRoman"/>
        <w:lvlText w:val="%9."/>
        <w:lvlJc w:val="left"/>
        <w:pPr>
          <w:ind w:left="6480" w:hanging="30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5"/>
  </w:num>
  <w:num w:numId="6">
    <w:abstractNumId w:val="2"/>
  </w:num>
  <w:num w:numId="7">
    <w:abstractNumId w:val="13"/>
  </w:num>
  <w:num w:numId="8">
    <w:abstractNumId w:val="13"/>
    <w:lvlOverride w:ilvl="0">
      <w:lvl w:ilvl="0" w:tplc="936AF84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ind w:left="158" w:hanging="158"/>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73CD2B2">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ind w:left="758" w:hanging="158"/>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5165EC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ind w:left="1358" w:hanging="158"/>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58AF43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ind w:left="1958" w:hanging="158"/>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AF66C9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ind w:left="2558" w:hanging="158"/>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110BCB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ind w:left="3158" w:hanging="158"/>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30CD0D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ind w:left="3758" w:hanging="158"/>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78E4F3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ind w:left="4358" w:hanging="158"/>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3842FFE">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8848"/>
          </w:tabs>
          <w:ind w:left="4958" w:hanging="158"/>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23"/>
  </w:num>
  <w:num w:numId="10">
    <w:abstractNumId w:val="19"/>
  </w:num>
  <w:num w:numId="11">
    <w:abstractNumId w:val="15"/>
  </w:num>
  <w:num w:numId="12">
    <w:abstractNumId w:val="17"/>
  </w:num>
  <w:num w:numId="13">
    <w:abstractNumId w:val="11"/>
  </w:num>
  <w:num w:numId="14">
    <w:abstractNumId w:val="7"/>
  </w:num>
  <w:num w:numId="15">
    <w:abstractNumId w:val="7"/>
    <w:lvlOverride w:ilvl="0">
      <w:lvl w:ilvl="0" w:tplc="5A5E32B6">
        <w:start w:val="1"/>
        <w:numFmt w:val="bullet"/>
        <w:lvlText w:val="·"/>
        <w:lvlJc w:val="left"/>
        <w:pPr>
          <w:tabs>
            <w:tab w:val="left" w:pos="382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EC480E6">
        <w:start w:val="1"/>
        <w:numFmt w:val="bullet"/>
        <w:lvlText w:val="o"/>
        <w:lvlJc w:val="left"/>
        <w:pPr>
          <w:tabs>
            <w:tab w:val="left" w:pos="3828"/>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DAE00AA">
        <w:start w:val="1"/>
        <w:numFmt w:val="bullet"/>
        <w:lvlText w:val="▪"/>
        <w:lvlJc w:val="left"/>
        <w:pPr>
          <w:tabs>
            <w:tab w:val="left" w:pos="3828"/>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B0ECDE8">
        <w:start w:val="1"/>
        <w:numFmt w:val="bullet"/>
        <w:lvlText w:val="·"/>
        <w:lvlJc w:val="left"/>
        <w:pPr>
          <w:tabs>
            <w:tab w:val="left" w:pos="3828"/>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C10DED4">
        <w:start w:val="1"/>
        <w:numFmt w:val="bullet"/>
        <w:lvlText w:val="o"/>
        <w:lvlJc w:val="left"/>
        <w:pPr>
          <w:tabs>
            <w:tab w:val="left" w:pos="3828"/>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162F7CA">
        <w:start w:val="1"/>
        <w:numFmt w:val="bullet"/>
        <w:lvlText w:val="▪"/>
        <w:lvlJc w:val="left"/>
        <w:pPr>
          <w:tabs>
            <w:tab w:val="left" w:pos="3828"/>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5DEF2FC">
        <w:start w:val="1"/>
        <w:numFmt w:val="bullet"/>
        <w:lvlText w:val="·"/>
        <w:lvlJc w:val="left"/>
        <w:pPr>
          <w:tabs>
            <w:tab w:val="left" w:pos="3828"/>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4B87B66">
        <w:start w:val="1"/>
        <w:numFmt w:val="bullet"/>
        <w:lvlText w:val="o"/>
        <w:lvlJc w:val="left"/>
        <w:pPr>
          <w:tabs>
            <w:tab w:val="left" w:pos="3828"/>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0608A92">
        <w:start w:val="1"/>
        <w:numFmt w:val="bullet"/>
        <w:lvlText w:val="▪"/>
        <w:lvlJc w:val="left"/>
        <w:pPr>
          <w:tabs>
            <w:tab w:val="left" w:pos="3828"/>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abstractNumId w:val="0"/>
    <w:lvlOverride w:ilvl="0">
      <w:startOverride w:val="3"/>
    </w:lvlOverride>
  </w:num>
  <w:num w:numId="17">
    <w:abstractNumId w:val="9"/>
  </w:num>
  <w:num w:numId="18">
    <w:abstractNumId w:val="14"/>
  </w:num>
  <w:num w:numId="19">
    <w:abstractNumId w:val="0"/>
    <w:lvlOverride w:ilvl="0">
      <w:startOverride w:val="5"/>
    </w:lvlOverride>
  </w:num>
  <w:num w:numId="20">
    <w:abstractNumId w:val="12"/>
  </w:num>
  <w:num w:numId="21">
    <w:abstractNumId w:val="8"/>
  </w:num>
  <w:num w:numId="22">
    <w:abstractNumId w:val="8"/>
    <w:lvlOverride w:ilvl="0">
      <w:lvl w:ilvl="0" w:tplc="8F483C1E">
        <w:start w:val="1"/>
        <w:numFmt w:val="bullet"/>
        <w:lvlText w:val="·"/>
        <w:lvlJc w:val="left"/>
        <w:pPr>
          <w:tabs>
            <w:tab w:val="left" w:pos="426"/>
            <w:tab w:val="num" w:pos="709"/>
            <w:tab w:val="left" w:pos="851"/>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9DEDB76">
        <w:start w:val="1"/>
        <w:numFmt w:val="bullet"/>
        <w:lvlText w:val="o"/>
        <w:lvlJc w:val="left"/>
        <w:pPr>
          <w:tabs>
            <w:tab w:val="left" w:pos="426"/>
            <w:tab w:val="left" w:pos="709"/>
            <w:tab w:val="left" w:pos="851"/>
            <w:tab w:val="num" w:pos="1440"/>
          </w:tabs>
          <w:ind w:left="1451"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5A47C88">
        <w:start w:val="1"/>
        <w:numFmt w:val="bullet"/>
        <w:lvlText w:val="▪"/>
        <w:lvlJc w:val="left"/>
        <w:pPr>
          <w:tabs>
            <w:tab w:val="left" w:pos="426"/>
            <w:tab w:val="left" w:pos="709"/>
            <w:tab w:val="left" w:pos="851"/>
            <w:tab w:val="num" w:pos="2160"/>
          </w:tabs>
          <w:ind w:left="2171"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6E22FB4">
        <w:start w:val="1"/>
        <w:numFmt w:val="bullet"/>
        <w:lvlText w:val="·"/>
        <w:lvlJc w:val="left"/>
        <w:pPr>
          <w:tabs>
            <w:tab w:val="left" w:pos="426"/>
            <w:tab w:val="left" w:pos="709"/>
            <w:tab w:val="left" w:pos="851"/>
            <w:tab w:val="num" w:pos="2880"/>
          </w:tabs>
          <w:ind w:left="2891"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B12AB08">
        <w:start w:val="1"/>
        <w:numFmt w:val="bullet"/>
        <w:lvlText w:val="o"/>
        <w:lvlJc w:val="left"/>
        <w:pPr>
          <w:tabs>
            <w:tab w:val="left" w:pos="426"/>
            <w:tab w:val="left" w:pos="709"/>
            <w:tab w:val="left" w:pos="851"/>
            <w:tab w:val="num" w:pos="3600"/>
          </w:tabs>
          <w:ind w:left="3611"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2C8EBDA">
        <w:start w:val="1"/>
        <w:numFmt w:val="bullet"/>
        <w:lvlText w:val="▪"/>
        <w:lvlJc w:val="left"/>
        <w:pPr>
          <w:tabs>
            <w:tab w:val="left" w:pos="426"/>
            <w:tab w:val="left" w:pos="709"/>
            <w:tab w:val="left" w:pos="851"/>
            <w:tab w:val="num" w:pos="4320"/>
          </w:tabs>
          <w:ind w:left="4331"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23EBD9C">
        <w:start w:val="1"/>
        <w:numFmt w:val="bullet"/>
        <w:lvlText w:val="·"/>
        <w:lvlJc w:val="left"/>
        <w:pPr>
          <w:tabs>
            <w:tab w:val="left" w:pos="426"/>
            <w:tab w:val="left" w:pos="709"/>
            <w:tab w:val="left" w:pos="851"/>
            <w:tab w:val="num" w:pos="5040"/>
          </w:tabs>
          <w:ind w:left="5051"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6524ED8">
        <w:start w:val="1"/>
        <w:numFmt w:val="bullet"/>
        <w:lvlText w:val="o"/>
        <w:lvlJc w:val="left"/>
        <w:pPr>
          <w:tabs>
            <w:tab w:val="left" w:pos="426"/>
            <w:tab w:val="left" w:pos="709"/>
            <w:tab w:val="left" w:pos="851"/>
            <w:tab w:val="num" w:pos="5760"/>
          </w:tabs>
          <w:ind w:left="5771"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7E28884">
        <w:start w:val="1"/>
        <w:numFmt w:val="bullet"/>
        <w:lvlText w:val="▪"/>
        <w:lvlJc w:val="left"/>
        <w:pPr>
          <w:tabs>
            <w:tab w:val="left" w:pos="426"/>
            <w:tab w:val="left" w:pos="709"/>
            <w:tab w:val="left" w:pos="851"/>
            <w:tab w:val="num" w:pos="6480"/>
          </w:tabs>
          <w:ind w:left="6491"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3">
    <w:abstractNumId w:val="20"/>
  </w:num>
  <w:num w:numId="24">
    <w:abstractNumId w:val="6"/>
  </w:num>
  <w:num w:numId="25">
    <w:abstractNumId w:val="18"/>
  </w:num>
  <w:num w:numId="26">
    <w:abstractNumId w:val="10"/>
  </w:num>
  <w:num w:numId="27">
    <w:abstractNumId w:val="16"/>
  </w:num>
  <w:num w:numId="28">
    <w:abstractNumId w:val="22"/>
  </w:num>
  <w:num w:numId="29">
    <w:abstractNumId w:val="0"/>
    <w:lvlOverride w:ilvl="0">
      <w:startOverride w:val="6"/>
    </w:lvlOverride>
  </w:num>
  <w:num w:numId="30">
    <w:abstractNumId w:val="22"/>
    <w:lvlOverride w:ilvl="0">
      <w:lvl w:ilvl="0" w:tplc="190085F2">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876D0AA">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24E1F5A">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2BABB3C">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3423E36">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B32C980">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870F830">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982A852">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0D8325E">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1">
    <w:abstractNumId w:val="4"/>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autoHyphenation/>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98"/>
    <w:rsid w:val="00413A69"/>
    <w:rsid w:val="00441FF4"/>
    <w:rsid w:val="00CF3EFD"/>
    <w:rsid w:val="00D92998"/>
    <w:rsid w:val="00DE10B5"/>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8EC50A-14A8-4212-A984-3340A60F6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150" w:eastAsia="en-150"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Arial" w:hAnsi="Arial" w:cs="Arial Unicode MS"/>
      <w:color w:val="000000"/>
      <w:sz w:val="22"/>
      <w:szCs w:val="22"/>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rPr>
      <w:rFonts w:ascii="Arial" w:eastAsia="Arial" w:hAnsi="Arial" w:cs="Arial"/>
      <w:color w:val="000000"/>
      <w:sz w:val="22"/>
      <w:szCs w:val="22"/>
      <w:u w:color="000000"/>
      <w:lang w:val="en-US"/>
    </w:rPr>
  </w:style>
  <w:style w:type="paragraph" w:styleId="ListParagraph">
    <w:name w:val="List Paragraph"/>
    <w:pPr>
      <w:ind w:left="720"/>
    </w:pPr>
    <w:rPr>
      <w:rFonts w:ascii="Arial" w:hAnsi="Arial" w:cs="Arial Unicode MS"/>
      <w:color w:val="000000"/>
      <w:sz w:val="22"/>
      <w:szCs w:val="22"/>
      <w:u w:color="000000"/>
      <w:lang w:val="en-US"/>
    </w:rPr>
  </w:style>
  <w:style w:type="character" w:customStyle="1" w:styleId="None">
    <w:name w:val="None"/>
  </w:style>
  <w:style w:type="character" w:customStyle="1" w:styleId="Hyperlink0">
    <w:name w:val="Hyperlink.0"/>
    <w:basedOn w:val="None"/>
    <w:rPr>
      <w:color w:val="0000EE"/>
      <w:u w:val="single"/>
      <w:shd w:val="clear" w:color="auto" w:fill="FFFFFF"/>
    </w:rPr>
  </w:style>
  <w:style w:type="character" w:customStyle="1" w:styleId="Hyperlink7">
    <w:name w:val="Hyperlink.7"/>
    <w:rPr>
      <w:rFonts w:ascii="Tahoma" w:eastAsia="Tahoma" w:hAnsi="Tahoma" w:cs="Tahoma"/>
      <w:sz w:val="20"/>
      <w:szCs w:val="20"/>
    </w:rPr>
  </w:style>
  <w:style w:type="numbering" w:customStyle="1" w:styleId="ImportedStyle1">
    <w:name w:val="Imported Style 1"/>
    <w:pPr>
      <w:numPr>
        <w:numId w:val="1"/>
      </w:numPr>
    </w:pPr>
  </w:style>
  <w:style w:type="character" w:customStyle="1" w:styleId="Hyperlink1">
    <w:name w:val="Hyperlink.1"/>
    <w:basedOn w:val="None"/>
    <w:rPr>
      <w:rFonts w:ascii="Arial Narrow" w:eastAsia="Arial Narrow" w:hAnsi="Arial Narrow" w:cs="Arial Narrow"/>
      <w:color w:val="0000FF"/>
      <w:sz w:val="16"/>
      <w:szCs w:val="16"/>
      <w:u w:val="single" w:color="0000FF"/>
      <w:lang w:val="it-IT"/>
    </w:rPr>
  </w:style>
  <w:style w:type="character" w:customStyle="1" w:styleId="Hyperlink2">
    <w:name w:val="Hyperlink.2"/>
    <w:basedOn w:val="None"/>
    <w:rPr>
      <w:rFonts w:ascii="Arial Narrow" w:eastAsia="Arial Narrow" w:hAnsi="Arial Narrow" w:cs="Arial Narrow"/>
      <w:color w:val="0000FF"/>
      <w:sz w:val="16"/>
      <w:szCs w:val="16"/>
      <w:u w:val="single" w:color="0000FF"/>
      <w:lang w:val="en-US"/>
    </w:rPr>
  </w:style>
  <w:style w:type="character" w:customStyle="1" w:styleId="Hyperlink3">
    <w:name w:val="Hyperlink.3"/>
    <w:basedOn w:val="None"/>
    <w:rPr>
      <w:rFonts w:ascii="Tahoma" w:eastAsia="Tahoma" w:hAnsi="Tahoma" w:cs="Tahoma"/>
      <w:b/>
      <w:bCs/>
      <w:color w:val="0000FF"/>
      <w:sz w:val="20"/>
      <w:szCs w:val="20"/>
      <w:u w:val="single" w:color="0000FF"/>
      <w:lang w:val="en-US"/>
    </w:rPr>
  </w:style>
  <w:style w:type="character" w:customStyle="1" w:styleId="Hyperlink4">
    <w:name w:val="Hyperlink.4"/>
    <w:basedOn w:val="None"/>
    <w:rPr>
      <w:rFonts w:ascii="Tahoma" w:eastAsia="Tahoma" w:hAnsi="Tahoma" w:cs="Tahoma"/>
      <w:sz w:val="20"/>
      <w:szCs w:val="20"/>
      <w:u w:val="single" w:color="0000FF"/>
      <w:shd w:val="clear" w:color="auto" w:fill="FFFFFF"/>
    </w:rPr>
  </w:style>
  <w:style w:type="character" w:customStyle="1" w:styleId="Hyperlink5">
    <w:name w:val="Hyperlink.5"/>
    <w:basedOn w:val="None"/>
    <w:rPr>
      <w:rFonts w:ascii="Tahoma" w:eastAsia="Tahoma" w:hAnsi="Tahoma" w:cs="Tahoma"/>
      <w:sz w:val="20"/>
      <w:szCs w:val="20"/>
      <w:u w:val="single" w:color="0563C1"/>
    </w:rPr>
  </w:style>
  <w:style w:type="paragraph" w:styleId="FootnoteText">
    <w:name w:val="footnote text"/>
    <w:rPr>
      <w:rFonts w:ascii="Arial" w:eastAsia="Arial" w:hAnsi="Arial" w:cs="Arial"/>
      <w:color w:val="000000"/>
      <w:u w:color="000000"/>
      <w:lang w:val="en-US"/>
    </w:rPr>
  </w:style>
  <w:style w:type="character" w:customStyle="1" w:styleId="Hyperlink6">
    <w:name w:val="Hyperlink.6"/>
    <w:basedOn w:val="None"/>
    <w:rPr>
      <w:rFonts w:ascii="Calibri" w:eastAsia="Calibri" w:hAnsi="Calibri" w:cs="Calibri"/>
      <w:color w:val="0563C1"/>
      <w:sz w:val="18"/>
      <w:szCs w:val="18"/>
      <w:u w:val="single" w:color="0563C1"/>
    </w:rPr>
  </w:style>
  <w:style w:type="numbering" w:customStyle="1" w:styleId="ImportedStyle10">
    <w:name w:val="Imported Style 1.0"/>
    <w:pPr>
      <w:numPr>
        <w:numId w:val="4"/>
      </w:numPr>
    </w:pPr>
  </w:style>
  <w:style w:type="numbering" w:customStyle="1" w:styleId="Bullets">
    <w:name w:val="Bullets"/>
    <w:pPr>
      <w:numPr>
        <w:numId w:val="6"/>
      </w:numPr>
    </w:pPr>
  </w:style>
  <w:style w:type="numbering" w:customStyle="1" w:styleId="Bullets0">
    <w:name w:val="Bullets.0"/>
    <w:pPr>
      <w:numPr>
        <w:numId w:val="9"/>
      </w:numPr>
    </w:pPr>
  </w:style>
  <w:style w:type="paragraph" w:customStyle="1" w:styleId="BodyB">
    <w:name w:val="Body B"/>
    <w:rPr>
      <w:rFonts w:cs="Arial Unicode MS"/>
      <w:color w:val="000000"/>
      <w:sz w:val="24"/>
      <w:szCs w:val="24"/>
      <w:u w:color="000000"/>
      <w:lang w:val="en-US"/>
    </w:rPr>
  </w:style>
  <w:style w:type="paragraph" w:customStyle="1" w:styleId="Default">
    <w:name w:val="Default"/>
    <w:rPr>
      <w:rFonts w:ascii="Arial" w:hAnsi="Arial" w:cs="Arial Unicode MS"/>
      <w:color w:val="000000"/>
      <w:sz w:val="24"/>
      <w:szCs w:val="24"/>
      <w:u w:color="000000"/>
      <w:lang w:val="en-US"/>
    </w:rPr>
  </w:style>
  <w:style w:type="numbering" w:customStyle="1" w:styleId="Numbered">
    <w:name w:val="Numbered"/>
    <w:pPr>
      <w:numPr>
        <w:numId w:val="11"/>
      </w:numPr>
    </w:pPr>
  </w:style>
  <w:style w:type="numbering" w:customStyle="1" w:styleId="ImportedStyle3">
    <w:name w:val="Imported Style 3"/>
    <w:pPr>
      <w:numPr>
        <w:numId w:val="13"/>
      </w:numPr>
    </w:pPr>
  </w:style>
  <w:style w:type="numbering" w:customStyle="1" w:styleId="ImportedStyle4">
    <w:name w:val="Imported Style 4"/>
    <w:pPr>
      <w:numPr>
        <w:numId w:val="17"/>
      </w:numPr>
    </w:pPr>
  </w:style>
  <w:style w:type="numbering" w:customStyle="1" w:styleId="ImportedStyle7">
    <w:name w:val="Imported Style 7"/>
    <w:pPr>
      <w:numPr>
        <w:numId w:val="20"/>
      </w:numPr>
    </w:pPr>
  </w:style>
  <w:style w:type="character" w:customStyle="1" w:styleId="Hyperlink8">
    <w:name w:val="Hyperlink.8"/>
    <w:basedOn w:val="None"/>
    <w:rPr>
      <w:u w:val="single" w:color="0000FF"/>
    </w:rPr>
  </w:style>
  <w:style w:type="paragraph" w:styleId="CommentText">
    <w:name w:val="annotation text"/>
    <w:pPr>
      <w:spacing w:after="200"/>
    </w:pPr>
    <w:rPr>
      <w:rFonts w:ascii="Calibri" w:eastAsia="Calibri" w:hAnsi="Calibri" w:cs="Calibri"/>
      <w:color w:val="000000"/>
      <w:u w:color="000000"/>
      <w:lang w:val="en-US"/>
    </w:rPr>
  </w:style>
  <w:style w:type="numbering" w:customStyle="1" w:styleId="ImportedStyle8">
    <w:name w:val="Imported Style 8"/>
    <w:pPr>
      <w:numPr>
        <w:numId w:val="23"/>
      </w:numPr>
    </w:pPr>
  </w:style>
  <w:style w:type="numbering" w:customStyle="1" w:styleId="ImportedStyle9">
    <w:name w:val="Imported Style 9"/>
    <w:pPr>
      <w:numPr>
        <w:numId w:val="25"/>
      </w:numPr>
    </w:pPr>
  </w:style>
  <w:style w:type="numbering" w:customStyle="1" w:styleId="ImportedStyle100">
    <w:name w:val="Imported Style 10"/>
    <w:pPr>
      <w:numPr>
        <w:numId w:val="27"/>
      </w:numPr>
    </w:pPr>
  </w:style>
  <w:style w:type="numbering" w:customStyle="1" w:styleId="ImportedStyle11">
    <w:name w:val="Imported Style 11"/>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mail.coe.int/owa/redir.aspx?C=-MlBhZa-8WtLbm8KI50iLeC1El9KClgZVJdMS7ox9FqtTnW9ufXXCA..&amp;URL=https%3a%2f%2fwww.coe.int%2fen%2fweb%2fprogrammes%2fhorizontal-facility" TargetMode="External"/><Relationship Id="rId13" Type="http://schemas.openxmlformats.org/officeDocument/2006/relationships/hyperlink" Target="http://www.sanctionsmap.eu"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oe.int/en/web/anti-human-trafficking/greta"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e.int/en/web/programmes/horizontal-facility"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nkara.office@coe.in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kara.office@coe.int" TargetMode="External"/><Relationship Id="rId14" Type="http://schemas.openxmlformats.org/officeDocument/2006/relationships/hyperlink" Target="https://www.coe.int/en/web/common-european-framework-reference-languages/table-2-cefr-3.3-common-reference-levels-self-assessment-gri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oe.int/en/web/anti-human-trafficking/turkey" TargetMode="External"/><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2733</Words>
  <Characters>15581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PAPILA Serkan</dc:creator>
  <cp:lastModifiedBy>PAPILA Serkan</cp:lastModifiedBy>
  <cp:revision>3</cp:revision>
  <dcterms:created xsi:type="dcterms:W3CDTF">2020-05-12T06:25:00Z</dcterms:created>
  <dcterms:modified xsi:type="dcterms:W3CDTF">2020-05-12T06:26:00Z</dcterms:modified>
</cp:coreProperties>
</file>