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495EC274" w14:textId="77777777" w:rsidR="00141023" w:rsidRDefault="00141023" w:rsidP="00141023">
      <w:pPr>
        <w:rPr>
          <w:rFonts w:ascii="Tahoma" w:hAnsi="Tahoma" w:cs="Tahoma"/>
          <w:b/>
          <w:sz w:val="24"/>
          <w:szCs w:val="28"/>
        </w:rPr>
      </w:pPr>
      <w:r>
        <w:rPr>
          <w:rFonts w:ascii="Tahoma" w:hAnsi="Tahoma" w:cs="Tahoma"/>
          <w:b/>
          <w:sz w:val="24"/>
          <w:szCs w:val="28"/>
        </w:rPr>
        <w:t xml:space="preserve">Purchase of international consultancy services for implementation of the project </w:t>
      </w:r>
      <w:bookmarkStart w:id="0" w:name="_Hlk95216983"/>
      <w:r>
        <w:rPr>
          <w:rFonts w:ascii="Tahoma" w:hAnsi="Tahoma" w:cs="Tahoma"/>
          <w:b/>
          <w:sz w:val="24"/>
          <w:szCs w:val="28"/>
        </w:rPr>
        <w:t xml:space="preserve">Support to the Constitutional Court in Applying and Disseminating European Human Rights Standards </w:t>
      </w:r>
    </w:p>
    <w:bookmarkEnd w:id="0"/>
    <w:p w14:paraId="5356AD36" w14:textId="4B41D7C6" w:rsidR="00141023" w:rsidRDefault="00141023" w:rsidP="00141023">
      <w:pPr>
        <w:rPr>
          <w:rFonts w:ascii="Tahoma" w:hAnsi="Tahoma" w:cs="Tahoma"/>
          <w:b/>
          <w:sz w:val="24"/>
          <w:szCs w:val="28"/>
        </w:rPr>
      </w:pPr>
      <w:r>
        <w:rPr>
          <w:rFonts w:ascii="Tahoma" w:hAnsi="Tahoma" w:cs="Tahoma"/>
          <w:b/>
          <w:i/>
          <w:sz w:val="24"/>
          <w:szCs w:val="28"/>
        </w:rPr>
        <w:t xml:space="preserve">Contract N° </w:t>
      </w:r>
      <w:r>
        <w:rPr>
          <w:rFonts w:ascii="Tahoma" w:hAnsi="Tahoma" w:cs="Tahoma"/>
          <w:b/>
          <w:iCs/>
          <w:sz w:val="24"/>
          <w:szCs w:val="28"/>
        </w:rPr>
        <w:t>BH8793/01</w:t>
      </w:r>
    </w:p>
    <w:p w14:paraId="0D2231F5" w14:textId="77777777" w:rsidR="005B6603" w:rsidRPr="00E25560" w:rsidRDefault="005B6603" w:rsidP="009E1B52">
      <w:pPr>
        <w:rPr>
          <w:rFonts w:ascii="Tahoma" w:hAnsi="Tahoma" w:cs="Tahoma"/>
          <w:b/>
        </w:rPr>
      </w:pPr>
    </w:p>
    <w:p w14:paraId="7BFFA865" w14:textId="77777777" w:rsidR="00141023" w:rsidRDefault="00141023" w:rsidP="00141023">
      <w:pPr>
        <w:jc w:val="both"/>
        <w:rPr>
          <w:rFonts w:ascii="Tahoma" w:hAnsi="Tahoma" w:cs="Tahoma"/>
          <w:sz w:val="20"/>
          <w:szCs w:val="20"/>
        </w:rPr>
      </w:pPr>
      <w:r>
        <w:rPr>
          <w:rFonts w:ascii="Tahoma" w:hAnsi="Tahoma" w:cs="Tahoma"/>
          <w:sz w:val="20"/>
          <w:szCs w:val="20"/>
        </w:rPr>
        <w:t xml:space="preserve">The Council of Europe is currently implementing and until </w:t>
      </w:r>
      <w:r>
        <w:rPr>
          <w:rFonts w:ascii="Tahoma" w:hAnsi="Tahoma" w:cs="Tahoma"/>
          <w:i/>
          <w:sz w:val="20"/>
          <w:szCs w:val="20"/>
        </w:rPr>
        <w:t>31 December 2023</w:t>
      </w:r>
      <w:r>
        <w:rPr>
          <w:rFonts w:ascii="Tahoma" w:hAnsi="Tahoma" w:cs="Tahoma"/>
          <w:sz w:val="20"/>
          <w:szCs w:val="20"/>
        </w:rPr>
        <w:t xml:space="preserve"> will implement a Project on Support to the Constitutional Court in Applying and Disseminating European Human Rights Standards. In that context, it is looking for Providers for the provision of international consultancy services for</w:t>
      </w:r>
      <w:r>
        <w:rPr>
          <w:rFonts w:ascii="Tahoma" w:eastAsiaTheme="minorHAnsi" w:hAnsi="Tahoma" w:cs="Tahoma"/>
          <w:sz w:val="20"/>
          <w:szCs w:val="20"/>
          <w:lang w:eastAsia="en-US"/>
        </w:rPr>
        <w:t xml:space="preserve"> draft of training materials, delivery of trainings, facilitation of workshops, round tables, webinars and conferences, design and conduction of outreach campaign for the beneficiary court and other relevant activities</w:t>
      </w:r>
      <w:r>
        <w:rPr>
          <w:rFonts w:ascii="Tahoma" w:eastAsiaTheme="minorHAnsi" w:hAnsi="Tahoma" w:cs="Tahoma"/>
          <w:color w:val="000000" w:themeColor="text1"/>
          <w:sz w:val="20"/>
          <w:szCs w:val="20"/>
          <w:lang w:eastAsia="en-US"/>
        </w:rPr>
        <w:t>,</w:t>
      </w:r>
      <w:r>
        <w:rPr>
          <w:rFonts w:ascii="Tahoma" w:hAnsi="Tahoma" w:cs="Tahoma"/>
          <w:sz w:val="20"/>
          <w:szCs w:val="20"/>
        </w:rPr>
        <w:t xml:space="preserve"> to be requested by the Council on an as needed basis.</w:t>
      </w:r>
    </w:p>
    <w:p w14:paraId="2E442EF9" w14:textId="77777777" w:rsidR="00141023" w:rsidRPr="00E25560" w:rsidRDefault="00141023"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35C1F80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w:t>
      </w:r>
      <w:r w:rsidR="00141023">
        <w:rPr>
          <w:rFonts w:ascii="Tahoma" w:hAnsi="Tahoma" w:cs="Tahoma"/>
          <w:b/>
          <w:sz w:val="20"/>
          <w:szCs w:val="20"/>
        </w:rPr>
        <w:t>5</w:t>
      </w:r>
      <w:r w:rsidR="006804BC">
        <w:rPr>
          <w:rFonts w:ascii="Tahoma" w:hAnsi="Tahoma" w:cs="Tahoma"/>
          <w:b/>
          <w:sz w:val="20"/>
          <w:szCs w:val="20"/>
        </w:rPr>
        <w:t xml:space="preserve">5,000 </w:t>
      </w:r>
      <w:r w:rsidRPr="00E25560">
        <w:rPr>
          <w:rFonts w:ascii="Tahoma" w:hAnsi="Tahoma" w:cs="Tahoma"/>
          <w:b/>
          <w:sz w:val="20"/>
          <w:szCs w:val="20"/>
        </w:rPr>
        <w:t>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1C19DCEF" w:rsidR="007958C9" w:rsidRPr="00033611" w:rsidRDefault="007958C9" w:rsidP="007958C9">
      <w:pPr>
        <w:spacing w:after="120"/>
        <w:jc w:val="both"/>
        <w:rPr>
          <w:rFonts w:ascii="Tahoma" w:hAnsi="Tahoma" w:cs="Tahoma"/>
          <w:color w:val="000000" w:themeColor="text1"/>
          <w:sz w:val="20"/>
          <w:szCs w:val="20"/>
        </w:rPr>
      </w:pPr>
      <w:r w:rsidRPr="00033611">
        <w:rPr>
          <w:rFonts w:ascii="Tahoma" w:hAnsi="Tahoma" w:cs="Tahoma"/>
          <w:color w:val="000000" w:themeColor="text1"/>
          <w:sz w:val="20"/>
          <w:szCs w:val="20"/>
        </w:rPr>
        <w:t>The tenderer must be either a natural person, a legal person</w:t>
      </w:r>
      <w:r w:rsidR="008A4614" w:rsidRPr="00033611">
        <w:rPr>
          <w:rFonts w:ascii="Tahoma" w:hAnsi="Tahoma" w:cs="Tahoma"/>
          <w:color w:val="000000" w:themeColor="text1"/>
          <w:sz w:val="20"/>
          <w:szCs w:val="20"/>
        </w:rPr>
        <w:t xml:space="preserve"> or consortia of legal and/or natural persons</w:t>
      </w:r>
      <w:r w:rsidRPr="00033611">
        <w:rPr>
          <w:rFonts w:ascii="Tahoma" w:hAnsi="Tahoma" w:cs="Tahoma"/>
          <w:color w:val="000000" w:themeColor="text1"/>
          <w:sz w:val="20"/>
          <w:szCs w:val="20"/>
        </w:rPr>
        <w:t>.</w:t>
      </w:r>
    </w:p>
    <w:p w14:paraId="2810F0BD" w14:textId="398237E1"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41023">
        <w:rPr>
          <w:rFonts w:ascii="Tahoma" w:hAnsi="Tahoma" w:cs="Tahoma"/>
          <w:b/>
          <w:color w:val="000000" w:themeColor="text1"/>
          <w:sz w:val="20"/>
          <w:szCs w:val="20"/>
        </w:rPr>
        <w:t xml:space="preserve">Tender – </w:t>
      </w:r>
      <w:bookmarkStart w:id="1" w:name="_Hlk95217843"/>
      <w:r w:rsidR="00141023">
        <w:rPr>
          <w:rFonts w:ascii="Tahoma" w:hAnsi="Tahoma" w:cs="Tahoma"/>
          <w:b/>
          <w:color w:val="000000" w:themeColor="text1"/>
          <w:sz w:val="20"/>
          <w:szCs w:val="20"/>
        </w:rPr>
        <w:t>International Consultancy – Support to the Constitutional Court</w:t>
      </w:r>
      <w:bookmarkEnd w:id="1"/>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1183930" w14:textId="77777777" w:rsidR="00141023" w:rsidRDefault="007958C9" w:rsidP="00141023">
      <w:pPr>
        <w:spacing w:after="120"/>
        <w:jc w:val="both"/>
        <w:rPr>
          <w:rFonts w:ascii="Tahoma" w:hAnsi="Tahoma" w:cs="Tahoma"/>
          <w:b/>
          <w:sz w:val="18"/>
          <w:szCs w:val="18"/>
          <w:lang w:eastAsia="fr-FR"/>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141023">
        <w:rPr>
          <w:rFonts w:ascii="Tahoma" w:hAnsi="Tahoma" w:cs="Tahoma"/>
          <w:b/>
          <w:color w:val="000000" w:themeColor="text1"/>
          <w:sz w:val="20"/>
          <w:szCs w:val="20"/>
        </w:rPr>
        <w:t xml:space="preserve">five (5)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141023">
        <w:rPr>
          <w:rFonts w:ascii="Tahoma" w:hAnsi="Tahoma" w:cs="Tahoma"/>
          <w:b/>
          <w:color w:val="000000" w:themeColor="text1"/>
          <w:sz w:val="20"/>
          <w:szCs w:val="20"/>
        </w:rPr>
        <w:t>Questions -</w:t>
      </w:r>
      <w:r w:rsidR="00141023">
        <w:t xml:space="preserve"> </w:t>
      </w:r>
      <w:r w:rsidR="00141023">
        <w:rPr>
          <w:rFonts w:ascii="Tahoma" w:hAnsi="Tahoma" w:cs="Tahoma"/>
          <w:b/>
          <w:color w:val="000000" w:themeColor="text1"/>
          <w:sz w:val="20"/>
          <w:szCs w:val="20"/>
        </w:rPr>
        <w:t>International Consultancy – Support to the Constitutional Court</w:t>
      </w:r>
      <w:r w:rsidR="00141023">
        <w:rPr>
          <w:rFonts w:ascii="Tahoma" w:hAnsi="Tahoma" w:cs="Tahoma"/>
          <w:b/>
          <w:color w:val="000000" w:themeColor="text1"/>
          <w:sz w:val="20"/>
          <w:szCs w:val="20"/>
          <w:highlight w:val="cyan"/>
        </w:rPr>
        <w:t xml:space="preserve"> </w:t>
      </w:r>
    </w:p>
    <w:p w14:paraId="142E0C0A" w14:textId="5956B6AF" w:rsidR="007958C9" w:rsidRPr="00E25560" w:rsidRDefault="007958C9" w:rsidP="00BB54A4">
      <w:pPr>
        <w:spacing w:after="120"/>
        <w:jc w:val="both"/>
        <w:rPr>
          <w:rFonts w:ascii="Tahoma" w:hAnsi="Tahoma" w:cs="Tahoma"/>
          <w:b/>
          <w:color w:val="000000" w:themeColor="text1"/>
          <w:sz w:val="20"/>
          <w:szCs w:val="20"/>
        </w:rPr>
      </w:pP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84027E"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B7B0A4C"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12-31T00:00:00Z">
                  <w:dateFormat w:val="dd MMMM yyyy"/>
                  <w:lid w:val="en-GB"/>
                  <w:storeMappedDataAs w:val="dateTime"/>
                  <w:calendar w:val="gregorian"/>
                </w:date>
              </w:sdtPr>
              <w:sdtEndPr>
                <w:rPr>
                  <w:rStyle w:val="DefaultParagraphFont"/>
                  <w:sz w:val="22"/>
                  <w:szCs w:val="20"/>
                </w:rPr>
              </w:sdtEndPr>
              <w:sdtContent>
                <w:r w:rsidR="00141023">
                  <w:rPr>
                    <w:rStyle w:val="Style73"/>
                    <w:rFonts w:ascii="Tahoma" w:hAnsi="Tahoma" w:cs="Tahoma"/>
                  </w:rPr>
                  <w:t>31 December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3-04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6C04D0A4" w:rsidR="007958C9" w:rsidRPr="00E25560" w:rsidRDefault="00141023" w:rsidP="007958C9">
                <w:pPr>
                  <w:rPr>
                    <w:rFonts w:ascii="Tahoma" w:hAnsi="Tahoma" w:cs="Tahoma"/>
                    <w:sz w:val="20"/>
                    <w:szCs w:val="20"/>
                    <w:lang w:eastAsia="fr-FR"/>
                  </w:rPr>
                </w:pPr>
                <w:r>
                  <w:rPr>
                    <w:rFonts w:ascii="Tahoma" w:hAnsi="Tahoma" w:cs="Tahoma"/>
                    <w:b/>
                    <w:color w:val="000000" w:themeColor="text1"/>
                    <w:sz w:val="20"/>
                    <w:szCs w:val="20"/>
                  </w:rPr>
                  <w:t>04 March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857704224"/>
                <w:placeholder>
                  <w:docPart w:val="5D4F3ECDFD60464891CB4BFF1CA660C8"/>
                </w:placeholder>
              </w:sdtPr>
              <w:sdtEndPr>
                <w:rPr>
                  <w:b w:val="0"/>
                  <w:color w:val="auto"/>
                  <w:sz w:val="22"/>
                  <w:lang w:eastAsia="fr-FR"/>
                </w:rPr>
              </w:sdtEndPr>
              <w:sdtContent>
                <w:tc>
                  <w:tcPr>
                    <w:tcW w:w="6061" w:type="dxa"/>
                    <w:shd w:val="clear" w:color="auto" w:fill="DBE5F1" w:themeFill="accent1" w:themeFillTint="33"/>
                    <w:vAlign w:val="center"/>
                  </w:tcPr>
                  <w:p w14:paraId="073C4B36" w14:textId="2099E2F1" w:rsidR="007958C9" w:rsidRPr="00E25560" w:rsidRDefault="00141023" w:rsidP="007958C9">
                    <w:pPr>
                      <w:rPr>
                        <w:rFonts w:ascii="Tahoma" w:hAnsi="Tahoma" w:cs="Tahoma"/>
                        <w:b/>
                        <w:color w:val="000000" w:themeColor="text1"/>
                        <w:sz w:val="20"/>
                        <w:szCs w:val="20"/>
                      </w:rPr>
                    </w:pPr>
                    <w:r w:rsidRPr="00FB404D">
                      <w:rPr>
                        <w:rFonts w:ascii="Tahoma" w:hAnsi="Tahoma" w:cs="Tahoma"/>
                        <w:b/>
                        <w:color w:val="000000" w:themeColor="text1"/>
                        <w:sz w:val="20"/>
                        <w:szCs w:val="20"/>
                      </w:rPr>
                      <w:t>cpd.pristina@coe.int</w:t>
                    </w:r>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736245828"/>
                <w:placeholder>
                  <w:docPart w:val="90124FC89C474C6CA09C252EBF108636"/>
                </w:placeholder>
              </w:sdtPr>
              <w:sdtEndPr>
                <w:rPr>
                  <w:sz w:val="22"/>
                  <w:lang w:eastAsia="fr-FR"/>
                </w:rPr>
              </w:sdtEndPr>
              <w:sdtContent>
                <w:tc>
                  <w:tcPr>
                    <w:tcW w:w="6061" w:type="dxa"/>
                    <w:vAlign w:val="center"/>
                  </w:tcPr>
                  <w:p w14:paraId="3A0DA430" w14:textId="6F3A0840" w:rsidR="007958C9" w:rsidRPr="00E25560" w:rsidRDefault="00141023" w:rsidP="007958C9">
                    <w:pPr>
                      <w:rPr>
                        <w:rFonts w:ascii="Tahoma" w:hAnsi="Tahoma" w:cs="Tahoma"/>
                        <w:b/>
                        <w:color w:val="000000" w:themeColor="text1"/>
                        <w:sz w:val="20"/>
                        <w:szCs w:val="20"/>
                      </w:rPr>
                    </w:pPr>
                    <w:r w:rsidRPr="00FB404D">
                      <w:rPr>
                        <w:rFonts w:ascii="Tahoma" w:hAnsi="Tahoma" w:cs="Tahoma"/>
                        <w:b/>
                        <w:color w:val="000000" w:themeColor="text1"/>
                        <w:sz w:val="20"/>
                        <w:szCs w:val="20"/>
                      </w:rPr>
                      <w:t>cpd.pristina@coe.int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3-15T00:00:00Z">
              <w:dateFormat w:val="dd MMMM yyyy"/>
              <w:lid w:val="en-GB"/>
              <w:storeMappedDataAs w:val="dateTime"/>
              <w:calendar w:val="gregorian"/>
            </w:date>
          </w:sdtPr>
          <w:sdtEndPr>
            <w:rPr>
              <w:lang w:eastAsia="fr-FR"/>
            </w:rPr>
          </w:sdtEndPr>
          <w:sdtContent>
            <w:tc>
              <w:tcPr>
                <w:tcW w:w="6061" w:type="dxa"/>
                <w:vAlign w:val="center"/>
              </w:tcPr>
              <w:p w14:paraId="03756942" w14:textId="036579B3" w:rsidR="007958C9" w:rsidRPr="00E25560" w:rsidRDefault="00141023" w:rsidP="007958C9">
                <w:pPr>
                  <w:rPr>
                    <w:rFonts w:ascii="Tahoma" w:hAnsi="Tahoma" w:cs="Tahoma"/>
                    <w:sz w:val="20"/>
                    <w:szCs w:val="20"/>
                    <w:lang w:eastAsia="fr-FR"/>
                  </w:rPr>
                </w:pPr>
                <w:r>
                  <w:rPr>
                    <w:rFonts w:ascii="Tahoma" w:hAnsi="Tahoma" w:cs="Tahoma"/>
                    <w:sz w:val="20"/>
                    <w:szCs w:val="20"/>
                  </w:rPr>
                  <w:t>15 March 2022</w:t>
                </w:r>
              </w:p>
            </w:tc>
          </w:sdtContent>
        </w:sdt>
      </w:tr>
    </w:tbl>
    <w:p w14:paraId="092F62CA" w14:textId="77777777" w:rsidR="007958C9" w:rsidRPr="00E25560" w:rsidRDefault="007958C9" w:rsidP="007958C9">
      <w:pPr>
        <w:rPr>
          <w:rFonts w:ascii="Tahoma" w:hAnsi="Tahoma" w:cs="Tahoma"/>
          <w:sz w:val="20"/>
          <w:szCs w:val="20"/>
          <w:lang w:eastAsia="fr-FR"/>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2"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4B32471" w14:textId="77777777" w:rsidR="00141023" w:rsidRPr="00210C01" w:rsidRDefault="00141023" w:rsidP="00141023">
      <w:pPr>
        <w:jc w:val="both"/>
        <w:rPr>
          <w:rFonts w:ascii="Tahoma" w:eastAsia="Calibri" w:hAnsi="Tahoma" w:cs="Tahoma"/>
          <w:sz w:val="20"/>
          <w:szCs w:val="20"/>
          <w:lang w:eastAsia="en-US"/>
        </w:rPr>
      </w:pPr>
      <w:r w:rsidRPr="00210C01">
        <w:rPr>
          <w:rFonts w:ascii="Tahoma" w:eastAsia="Calibri" w:hAnsi="Tahoma" w:cs="Tahoma"/>
          <w:sz w:val="20"/>
          <w:szCs w:val="20"/>
          <w:lang w:eastAsia="en-US"/>
        </w:rPr>
        <w:t>The Council of Europe is currently implementing a Project until 31 December 2023 on “Support to the Constitutional Court in Applying and Disseminating European Human Rights Standards” which is a continuation of the project “Improving the protection of European Human Rights Standards by the Constitutional Court”.</w:t>
      </w:r>
    </w:p>
    <w:p w14:paraId="178A04E8" w14:textId="77777777" w:rsidR="00141023" w:rsidRPr="00210C01" w:rsidRDefault="00141023" w:rsidP="00141023">
      <w:pPr>
        <w:jc w:val="both"/>
        <w:rPr>
          <w:rFonts w:ascii="Tahoma" w:eastAsia="Calibri" w:hAnsi="Tahoma" w:cs="Tahoma"/>
          <w:sz w:val="20"/>
          <w:szCs w:val="20"/>
          <w:lang w:eastAsia="en-US"/>
        </w:rPr>
      </w:pPr>
    </w:p>
    <w:p w14:paraId="24EAE384" w14:textId="4E87FD11" w:rsidR="00141023" w:rsidRPr="00210C01" w:rsidRDefault="00141023" w:rsidP="00141023">
      <w:pPr>
        <w:jc w:val="both"/>
        <w:rPr>
          <w:rFonts w:ascii="Tahoma" w:eastAsia="Calibri" w:hAnsi="Tahoma" w:cs="Tahoma"/>
          <w:sz w:val="20"/>
          <w:szCs w:val="20"/>
          <w:lang w:eastAsia="en-US"/>
        </w:rPr>
      </w:pPr>
      <w:r w:rsidRPr="00210C01">
        <w:rPr>
          <w:rFonts w:ascii="Tahoma" w:eastAsia="Calibri" w:hAnsi="Tahoma" w:cs="Tahoma"/>
          <w:sz w:val="20"/>
          <w:szCs w:val="20"/>
          <w:lang w:eastAsia="en-US"/>
        </w:rPr>
        <w:t>The project aims at supporting the efforts of the Constitutional Court</w:t>
      </w:r>
      <w:r w:rsidR="00CA783B">
        <w:rPr>
          <w:rFonts w:ascii="Tahoma" w:eastAsia="Calibri" w:hAnsi="Tahoma" w:cs="Tahoma"/>
          <w:sz w:val="20"/>
          <w:szCs w:val="20"/>
          <w:lang w:eastAsia="en-US"/>
        </w:rPr>
        <w:t xml:space="preserve"> (CC)</w:t>
      </w:r>
      <w:r w:rsidRPr="00210C01">
        <w:rPr>
          <w:rFonts w:ascii="Tahoma" w:eastAsia="Calibri" w:hAnsi="Tahoma" w:cs="Tahoma"/>
          <w:sz w:val="20"/>
          <w:szCs w:val="20"/>
          <w:lang w:eastAsia="en-US"/>
        </w:rPr>
        <w:t xml:space="preserve"> for ensuring the protection of individual human rights and fundamental freedoms of people. The objective is to align CC’s judgments with European human rights standards concerning individual complaints, to further raise awareness of legal professionals about the role and function of the CC and to increase the impact of the CC’s case-law on the domestic legal order. It should be achieved by reaching the following outcomes:</w:t>
      </w:r>
    </w:p>
    <w:p w14:paraId="6227115F" w14:textId="77777777" w:rsidR="00141023" w:rsidRPr="00210C01" w:rsidRDefault="00141023" w:rsidP="00141023">
      <w:pPr>
        <w:jc w:val="both"/>
        <w:rPr>
          <w:rFonts w:ascii="Tahoma" w:eastAsia="Calibri" w:hAnsi="Tahoma" w:cs="Tahoma"/>
          <w:sz w:val="20"/>
          <w:szCs w:val="20"/>
          <w:lang w:eastAsia="en-US"/>
        </w:rPr>
      </w:pPr>
    </w:p>
    <w:p w14:paraId="0FD26239" w14:textId="1A9ACE3D" w:rsidR="00141023" w:rsidRPr="00CA783B" w:rsidRDefault="00141023" w:rsidP="00CA783B">
      <w:pPr>
        <w:pStyle w:val="ListParagraph"/>
        <w:numPr>
          <w:ilvl w:val="0"/>
          <w:numId w:val="24"/>
        </w:numPr>
        <w:jc w:val="both"/>
        <w:rPr>
          <w:rFonts w:ascii="Tahoma" w:eastAsia="Calibri" w:hAnsi="Tahoma" w:cs="Tahoma"/>
          <w:sz w:val="20"/>
          <w:szCs w:val="20"/>
          <w:lang w:eastAsia="en-US"/>
        </w:rPr>
      </w:pPr>
      <w:r w:rsidRPr="00CA783B">
        <w:rPr>
          <w:rFonts w:ascii="Tahoma" w:eastAsia="Calibri" w:hAnsi="Tahoma" w:cs="Tahoma"/>
          <w:sz w:val="20"/>
          <w:szCs w:val="20"/>
          <w:lang w:eastAsia="en-US"/>
        </w:rPr>
        <w:t>Enhanced quality of the CC’s decisions; provision of support to upgrade the CC’s case-management system; strengthening and promotion of the role of the newly established Jurisconsult of the CC;</w:t>
      </w:r>
    </w:p>
    <w:p w14:paraId="150EF016" w14:textId="77777777" w:rsidR="00141023" w:rsidRPr="00210C01" w:rsidRDefault="00141023" w:rsidP="00141023">
      <w:pPr>
        <w:jc w:val="both"/>
        <w:rPr>
          <w:rFonts w:ascii="Tahoma" w:eastAsia="Calibri" w:hAnsi="Tahoma" w:cs="Tahoma"/>
          <w:sz w:val="20"/>
          <w:szCs w:val="20"/>
          <w:lang w:eastAsia="en-US"/>
        </w:rPr>
      </w:pPr>
    </w:p>
    <w:p w14:paraId="791D4B7D" w14:textId="6C1901ED" w:rsidR="00141023" w:rsidRPr="00CA783B" w:rsidRDefault="00EA06AE" w:rsidP="00CA783B">
      <w:pPr>
        <w:pStyle w:val="ListParagraph"/>
        <w:numPr>
          <w:ilvl w:val="0"/>
          <w:numId w:val="24"/>
        </w:numPr>
        <w:jc w:val="both"/>
        <w:rPr>
          <w:rFonts w:ascii="Tahoma" w:eastAsia="Calibri" w:hAnsi="Tahoma" w:cs="Tahoma"/>
          <w:sz w:val="20"/>
          <w:szCs w:val="20"/>
          <w:lang w:eastAsia="en-US"/>
        </w:rPr>
      </w:pPr>
      <w:r w:rsidRPr="00CA783B">
        <w:rPr>
          <w:rFonts w:ascii="Tahoma" w:eastAsia="Calibri" w:hAnsi="Tahoma" w:cs="Tahoma"/>
          <w:sz w:val="20"/>
          <w:szCs w:val="20"/>
          <w:lang w:eastAsia="en-US"/>
        </w:rPr>
        <w:t>I</w:t>
      </w:r>
      <w:r w:rsidR="00141023" w:rsidRPr="00CA783B">
        <w:rPr>
          <w:rFonts w:ascii="Tahoma" w:eastAsia="Calibri" w:hAnsi="Tahoma" w:cs="Tahoma"/>
          <w:sz w:val="20"/>
          <w:szCs w:val="20"/>
          <w:lang w:eastAsia="en-US"/>
        </w:rPr>
        <w:t>ncreased impact of the CC’s judgments on the legal order through the establishment of regular exchange and judicial dialogue between the CC and the ordinary courts towards coherent application of the ECHR and the ECtHR case-law;</w:t>
      </w:r>
    </w:p>
    <w:p w14:paraId="73E5EFE5" w14:textId="77777777" w:rsidR="00141023" w:rsidRPr="00210C01" w:rsidRDefault="00141023" w:rsidP="00141023">
      <w:pPr>
        <w:jc w:val="both"/>
        <w:rPr>
          <w:rFonts w:ascii="Tahoma" w:eastAsia="Calibri" w:hAnsi="Tahoma" w:cs="Tahoma"/>
          <w:sz w:val="20"/>
          <w:szCs w:val="20"/>
          <w:lang w:eastAsia="en-US"/>
        </w:rPr>
      </w:pPr>
    </w:p>
    <w:p w14:paraId="57311D33" w14:textId="11950228" w:rsidR="00141023" w:rsidRPr="00CA783B" w:rsidRDefault="00141023" w:rsidP="00CA783B">
      <w:pPr>
        <w:pStyle w:val="ListParagraph"/>
        <w:numPr>
          <w:ilvl w:val="0"/>
          <w:numId w:val="24"/>
        </w:numPr>
        <w:jc w:val="both"/>
        <w:rPr>
          <w:rFonts w:ascii="Tahoma" w:eastAsia="Calibri" w:hAnsi="Tahoma" w:cs="Tahoma"/>
          <w:sz w:val="20"/>
          <w:szCs w:val="20"/>
          <w:lang w:eastAsia="en-US"/>
        </w:rPr>
      </w:pPr>
      <w:r w:rsidRPr="00CA783B">
        <w:rPr>
          <w:rFonts w:ascii="Tahoma" w:eastAsia="Calibri" w:hAnsi="Tahoma" w:cs="Tahoma"/>
          <w:sz w:val="20"/>
          <w:szCs w:val="20"/>
          <w:lang w:eastAsia="en-US"/>
        </w:rPr>
        <w:t>Strengthened capacities of legal professionals to better claim rights and freedoms before the CC by supporting the awareness-raising of lawyers, law students and other legal professionals on the rights protected by the ECHR and the work and judgments of the CC, with an emphasis on the individual complaint mechanism.</w:t>
      </w:r>
    </w:p>
    <w:p w14:paraId="123A14DB" w14:textId="77777777" w:rsidR="00141023" w:rsidRPr="00210C01" w:rsidRDefault="00141023" w:rsidP="00141023">
      <w:pPr>
        <w:jc w:val="both"/>
        <w:rPr>
          <w:rFonts w:ascii="Tahoma" w:eastAsia="Calibri" w:hAnsi="Tahoma" w:cs="Tahoma"/>
          <w:sz w:val="20"/>
          <w:szCs w:val="20"/>
          <w:lang w:eastAsia="en-US"/>
        </w:rPr>
      </w:pPr>
    </w:p>
    <w:p w14:paraId="593EDB8A" w14:textId="77777777" w:rsidR="00141023" w:rsidRPr="00210C01" w:rsidRDefault="00141023" w:rsidP="00141023">
      <w:pPr>
        <w:jc w:val="both"/>
        <w:rPr>
          <w:rFonts w:ascii="Tahoma" w:eastAsia="Calibri" w:hAnsi="Tahoma" w:cs="Tahoma"/>
          <w:sz w:val="20"/>
          <w:szCs w:val="20"/>
          <w:lang w:eastAsia="en-US"/>
        </w:rPr>
      </w:pPr>
      <w:r w:rsidRPr="00210C01">
        <w:rPr>
          <w:rFonts w:ascii="Tahoma" w:eastAsia="Calibri" w:hAnsi="Tahoma" w:cs="Tahoma"/>
          <w:sz w:val="20"/>
          <w:szCs w:val="20"/>
          <w:lang w:eastAsia="en-US"/>
        </w:rPr>
        <w:t>The CC is entrusted with the final instance jurisdiction for the interpretation of the Constitution and the compliance of laws with the latter.</w:t>
      </w:r>
    </w:p>
    <w:p w14:paraId="5B792FFF" w14:textId="77777777" w:rsidR="00141023" w:rsidRPr="00210C01" w:rsidRDefault="00141023" w:rsidP="00141023">
      <w:pPr>
        <w:jc w:val="both"/>
        <w:rPr>
          <w:rFonts w:ascii="Tahoma" w:eastAsia="Calibri" w:hAnsi="Tahoma" w:cs="Tahoma"/>
          <w:sz w:val="20"/>
          <w:szCs w:val="20"/>
          <w:lang w:eastAsia="en-US"/>
        </w:rPr>
      </w:pPr>
    </w:p>
    <w:p w14:paraId="533334EF" w14:textId="1C66AA26" w:rsidR="00141023" w:rsidRPr="00453A9E" w:rsidRDefault="00141023" w:rsidP="001410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Pr="00210C01">
        <w:rPr>
          <w:rFonts w:ascii="Tahoma" w:eastAsia="Calibri" w:hAnsi="Tahoma" w:cs="Tahoma"/>
          <w:sz w:val="20"/>
          <w:szCs w:val="20"/>
          <w:lang w:eastAsia="en-US"/>
        </w:rPr>
        <w:t xml:space="preserve">a maximum </w:t>
      </w:r>
      <w:r w:rsidRPr="00933853">
        <w:rPr>
          <w:rFonts w:ascii="Tahoma" w:eastAsia="Calibri" w:hAnsi="Tahoma" w:cs="Tahoma"/>
          <w:sz w:val="20"/>
          <w:szCs w:val="20"/>
          <w:lang w:eastAsia="en-US"/>
        </w:rPr>
        <w:t xml:space="preserve">of </w:t>
      </w:r>
      <w:r w:rsidR="00DC3046" w:rsidRPr="00933853">
        <w:rPr>
          <w:rFonts w:ascii="Tahoma" w:eastAsia="Calibri" w:hAnsi="Tahoma" w:cs="Tahoma"/>
          <w:sz w:val="20"/>
          <w:szCs w:val="20"/>
          <w:lang w:eastAsia="en-US"/>
        </w:rPr>
        <w:t>2</w:t>
      </w:r>
      <w:r w:rsidR="00CA783B" w:rsidRPr="00933853">
        <w:rPr>
          <w:rFonts w:ascii="Tahoma" w:eastAsia="Calibri" w:hAnsi="Tahoma" w:cs="Tahoma"/>
          <w:sz w:val="20"/>
          <w:szCs w:val="20"/>
          <w:lang w:eastAsia="en-US"/>
        </w:rPr>
        <w:t>5</w:t>
      </w:r>
      <w:r w:rsidRPr="00933853">
        <w:rPr>
          <w:rFonts w:ascii="Tahoma" w:eastAsia="Calibri" w:hAnsi="Tahoma" w:cs="Tahoma"/>
          <w:sz w:val="20"/>
          <w:szCs w:val="20"/>
          <w:lang w:eastAsia="en-US"/>
        </w:rPr>
        <w:t xml:space="preserve"> Providers</w:t>
      </w:r>
      <w:r w:rsidRPr="00453A9E">
        <w:rPr>
          <w:rFonts w:ascii="Tahoma" w:eastAsia="Calibri" w:hAnsi="Tahoma" w:cs="Tahoma"/>
          <w:sz w:val="20"/>
          <w:szCs w:val="20"/>
          <w:lang w:eastAsia="en-US"/>
        </w:rPr>
        <w:t xml:space="preserve"> (provided enough tenders meet the criteria indicated below</w:t>
      </w:r>
      <w:r w:rsidRPr="00CA783B">
        <w:rPr>
          <w:rFonts w:ascii="Tahoma" w:eastAsia="Calibri" w:hAnsi="Tahoma" w:cs="Tahoma"/>
          <w:sz w:val="20"/>
          <w:szCs w:val="20"/>
          <w:lang w:eastAsia="en-US"/>
        </w:rPr>
        <w:t>), in</w:t>
      </w:r>
      <w:r w:rsidRPr="00453A9E">
        <w:rPr>
          <w:rFonts w:ascii="Tahoma" w:eastAsia="Calibri" w:hAnsi="Tahoma" w:cs="Tahoma"/>
          <w:sz w:val="20"/>
          <w:szCs w:val="20"/>
          <w:lang w:eastAsia="en-US"/>
        </w:rPr>
        <w:t xml:space="preserve"> order to support the implementation of the project with a particular expertise </w:t>
      </w:r>
      <w:r w:rsidR="00CA783B">
        <w:rPr>
          <w:rFonts w:ascii="Tahoma" w:eastAsia="Calibri" w:hAnsi="Tahoma" w:cs="Tahoma"/>
          <w:sz w:val="20"/>
          <w:szCs w:val="20"/>
          <w:lang w:eastAsia="en-US"/>
        </w:rPr>
        <w:t xml:space="preserve">in one of the following fields: </w:t>
      </w:r>
      <w:r w:rsidRPr="00210C01">
        <w:rPr>
          <w:rFonts w:ascii="Tahoma" w:eastAsia="Calibri" w:hAnsi="Tahoma" w:cs="Tahoma"/>
          <w:sz w:val="20"/>
          <w:szCs w:val="20"/>
          <w:lang w:eastAsia="en-US"/>
        </w:rPr>
        <w:t>European human rights law, constitutional justice, human rights training development and delivery, legal drafting/analyses, and communication/public relations.</w:t>
      </w:r>
    </w:p>
    <w:p w14:paraId="6E8292DB" w14:textId="77777777" w:rsidR="00141023" w:rsidRPr="00453A9E" w:rsidRDefault="00141023" w:rsidP="00141023">
      <w:pPr>
        <w:jc w:val="both"/>
        <w:rPr>
          <w:rFonts w:ascii="Tahoma" w:eastAsia="Calibri" w:hAnsi="Tahoma" w:cs="Tahoma"/>
          <w:sz w:val="20"/>
          <w:szCs w:val="20"/>
          <w:lang w:eastAsia="en-US"/>
        </w:rPr>
      </w:pPr>
    </w:p>
    <w:p w14:paraId="2248DA31" w14:textId="77777777" w:rsidR="00141023" w:rsidRPr="00453A9E" w:rsidRDefault="00141023" w:rsidP="001410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up to </w:t>
      </w:r>
      <w:r>
        <w:rPr>
          <w:rFonts w:ascii="Tahoma" w:eastAsia="Calibri" w:hAnsi="Tahoma" w:cs="Tahoma"/>
          <w:sz w:val="20"/>
          <w:szCs w:val="20"/>
          <w:lang w:eastAsia="en-US"/>
        </w:rPr>
        <w:t>50 activities</w:t>
      </w:r>
      <w:r w:rsidRPr="00453A9E">
        <w:rPr>
          <w:rFonts w:ascii="Tahoma" w:eastAsia="Calibri" w:hAnsi="Tahoma" w:cs="Tahoma"/>
          <w:sz w:val="20"/>
          <w:szCs w:val="20"/>
          <w:lang w:eastAsia="en-US"/>
        </w:rPr>
        <w:t xml:space="preserve">, to be held by </w:t>
      </w:r>
      <w:r>
        <w:rPr>
          <w:rFonts w:ascii="Tahoma" w:eastAsia="Calibri" w:hAnsi="Tahoma" w:cs="Tahoma"/>
          <w:sz w:val="20"/>
          <w:szCs w:val="20"/>
          <w:lang w:eastAsia="en-US"/>
        </w:rPr>
        <w:t>31 December 2023</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5FE73C60" w14:textId="77777777" w:rsidR="00141023" w:rsidRPr="00453A9E" w:rsidRDefault="00141023" w:rsidP="00141023">
      <w:pPr>
        <w:jc w:val="both"/>
        <w:rPr>
          <w:rFonts w:ascii="Tahoma" w:eastAsia="Calibri" w:hAnsi="Tahoma" w:cs="Tahoma"/>
          <w:sz w:val="20"/>
          <w:szCs w:val="20"/>
          <w:lang w:eastAsia="en-US"/>
        </w:rPr>
      </w:pPr>
    </w:p>
    <w:p w14:paraId="45042004" w14:textId="77777777" w:rsidR="00141023" w:rsidRPr="00453A9E" w:rsidRDefault="00141023" w:rsidP="00141023">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Pr>
          <w:rFonts w:ascii="Tahoma" w:eastAsiaTheme="minorHAnsi" w:hAnsi="Tahoma" w:cs="Tahoma"/>
          <w:sz w:val="20"/>
          <w:szCs w:val="20"/>
          <w:lang w:eastAsia="en-US"/>
        </w:rPr>
        <w:t xml:space="preserve">750,000 </w:t>
      </w:r>
      <w:r w:rsidRPr="00453A9E">
        <w:rPr>
          <w:rFonts w:ascii="Tahoma" w:eastAsiaTheme="minorHAnsi" w:hAnsi="Tahoma" w:cs="Tahoma"/>
          <w:sz w:val="20"/>
          <w:szCs w:val="20"/>
          <w:lang w:eastAsia="en-US"/>
        </w:rPr>
        <w:t xml:space="preserve">Euros and the total amount of the object of present tender </w:t>
      </w:r>
      <w:r w:rsidRPr="00453A9E">
        <w:rPr>
          <w:rFonts w:ascii="Tahoma" w:eastAsiaTheme="minorHAnsi" w:hAnsi="Tahoma" w:cs="Tahoma"/>
          <w:b/>
          <w:sz w:val="20"/>
          <w:szCs w:val="20"/>
          <w:lang w:eastAsia="en-US"/>
        </w:rPr>
        <w:t xml:space="preserve">shall not exceed </w:t>
      </w:r>
      <w:r>
        <w:rPr>
          <w:rFonts w:ascii="Tahoma" w:eastAsiaTheme="minorHAnsi" w:hAnsi="Tahoma" w:cs="Tahoma"/>
          <w:b/>
          <w:sz w:val="20"/>
          <w:szCs w:val="20"/>
          <w:lang w:eastAsia="en-US"/>
        </w:rPr>
        <w:t>55</w:t>
      </w:r>
      <w:r w:rsidRPr="00453A9E">
        <w:rPr>
          <w:rFonts w:ascii="Tahoma" w:eastAsiaTheme="minorHAnsi" w:hAnsi="Tahoma" w:cs="Tahoma"/>
          <w:b/>
          <w:sz w:val="20"/>
          <w:szCs w:val="20"/>
          <w:lang w:eastAsia="en-US"/>
        </w:rPr>
        <w:t>,000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7FBDCCFE"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Lot 1:</w:t>
            </w:r>
            <w:r w:rsidR="00DC3046">
              <w:rPr>
                <w:rFonts w:ascii="Tahoma" w:hAnsi="Tahoma" w:cs="Tahoma"/>
                <w:color w:val="000000" w:themeColor="text1"/>
                <w:sz w:val="20"/>
                <w:szCs w:val="20"/>
              </w:rPr>
              <w:t xml:space="preserve"> </w:t>
            </w:r>
            <w:r w:rsidR="00DC3046" w:rsidRPr="00EA06AE">
              <w:rPr>
                <w:rFonts w:ascii="Tahoma" w:hAnsi="Tahoma" w:cs="Tahoma"/>
                <w:iCs/>
                <w:color w:val="000000" w:themeColor="text1"/>
                <w:sz w:val="20"/>
                <w:szCs w:val="20"/>
              </w:rPr>
              <w:t>Development and delivery of training m</w:t>
            </w:r>
            <w:r w:rsidR="00CA783B">
              <w:rPr>
                <w:rFonts w:ascii="Tahoma" w:hAnsi="Tahoma" w:cs="Tahoma"/>
                <w:iCs/>
                <w:color w:val="000000" w:themeColor="text1"/>
                <w:sz w:val="20"/>
                <w:szCs w:val="20"/>
              </w:rPr>
              <w:t>aterials</w:t>
            </w:r>
            <w:r w:rsidR="00DC3046">
              <w:rPr>
                <w:rFonts w:ascii="Tahoma" w:hAnsi="Tahoma" w:cs="Tahoma"/>
                <w:i/>
                <w:color w:val="000000" w:themeColor="text1"/>
                <w:sz w:val="20"/>
                <w:szCs w:val="20"/>
              </w:rPr>
              <w:t xml:space="preserve">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33836E0D" w:rsidR="008341B5" w:rsidRPr="00CA783B" w:rsidRDefault="00EA06AE" w:rsidP="008341B5">
            <w:pPr>
              <w:jc w:val="center"/>
              <w:rPr>
                <w:rFonts w:ascii="Tahoma" w:hAnsi="Tahoma" w:cs="Tahoma"/>
                <w:color w:val="000000" w:themeColor="text1"/>
                <w:sz w:val="20"/>
                <w:szCs w:val="20"/>
              </w:rPr>
            </w:pPr>
            <w:r w:rsidRPr="00CA783B">
              <w:rPr>
                <w:rFonts w:ascii="Tahoma" w:hAnsi="Tahoma" w:cs="Tahoma"/>
                <w:color w:val="000000" w:themeColor="text1"/>
                <w:sz w:val="20"/>
                <w:szCs w:val="20"/>
              </w:rPr>
              <w:t>10</w:t>
            </w:r>
          </w:p>
        </w:tc>
      </w:tr>
      <w:tr w:rsidR="008341B5" w:rsidRPr="00E25560" w14:paraId="0F5644C2" w14:textId="77777777" w:rsidTr="00DC3046">
        <w:trPr>
          <w:trHeight w:val="417"/>
        </w:trPr>
        <w:tc>
          <w:tcPr>
            <w:tcW w:w="6912" w:type="dxa"/>
            <w:vAlign w:val="center"/>
          </w:tcPr>
          <w:p w14:paraId="5782BAA6" w14:textId="6F8BFC16"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DC3046" w:rsidRPr="00210C01">
              <w:rPr>
                <w:rFonts w:ascii="Tahoma" w:eastAsiaTheme="minorHAnsi" w:hAnsi="Tahoma" w:cs="Tahoma"/>
                <w:noProof/>
                <w:sz w:val="20"/>
                <w:szCs w:val="20"/>
                <w:lang w:eastAsia="en-US"/>
              </w:rPr>
              <w:t>Development of relevant resource materials and publications</w:t>
            </w:r>
            <w:r w:rsidR="00CA783B">
              <w:rPr>
                <w:rFonts w:ascii="Tahoma" w:eastAsiaTheme="minorHAnsi" w:hAnsi="Tahoma" w:cs="Tahoma"/>
                <w:noProof/>
                <w:sz w:val="20"/>
                <w:szCs w:val="20"/>
                <w:lang w:eastAsia="en-US"/>
              </w:rPr>
              <w:t>, monitoring, evaluation and other reports</w:t>
            </w:r>
          </w:p>
        </w:tc>
        <w:tc>
          <w:tcPr>
            <w:tcW w:w="2410" w:type="dxa"/>
            <w:vAlign w:val="center"/>
          </w:tcPr>
          <w:p w14:paraId="4D3F4566" w14:textId="2E90BBB8" w:rsidR="008341B5" w:rsidRPr="00CA783B" w:rsidRDefault="00EA06AE" w:rsidP="008341B5">
            <w:pPr>
              <w:jc w:val="center"/>
              <w:rPr>
                <w:rFonts w:ascii="Tahoma" w:hAnsi="Tahoma" w:cs="Tahoma"/>
                <w:color w:val="000000" w:themeColor="text1"/>
                <w:sz w:val="20"/>
                <w:szCs w:val="20"/>
              </w:rPr>
            </w:pPr>
            <w:r w:rsidRPr="00CA783B">
              <w:rPr>
                <w:rFonts w:ascii="Tahoma" w:hAnsi="Tahoma" w:cs="Tahoma"/>
                <w:color w:val="000000" w:themeColor="text1"/>
                <w:sz w:val="20"/>
                <w:szCs w:val="20"/>
              </w:rPr>
              <w:t>1</w:t>
            </w:r>
            <w:r w:rsidR="00DC3046" w:rsidRPr="00CA783B">
              <w:rPr>
                <w:rFonts w:ascii="Tahoma" w:hAnsi="Tahoma" w:cs="Tahoma"/>
                <w:color w:val="000000" w:themeColor="text1"/>
                <w:sz w:val="20"/>
                <w:szCs w:val="20"/>
              </w:rPr>
              <w:t>0</w:t>
            </w:r>
          </w:p>
        </w:tc>
      </w:tr>
      <w:tr w:rsidR="00DC3046" w:rsidRPr="00E25560" w14:paraId="687421B1" w14:textId="77777777" w:rsidTr="00AA2D37">
        <w:trPr>
          <w:trHeight w:val="417"/>
        </w:trPr>
        <w:tc>
          <w:tcPr>
            <w:tcW w:w="6912" w:type="dxa"/>
            <w:tcBorders>
              <w:bottom w:val="single" w:sz="2" w:space="0" w:color="808080" w:themeColor="background1" w:themeShade="80"/>
            </w:tcBorders>
            <w:vAlign w:val="center"/>
          </w:tcPr>
          <w:p w14:paraId="518F988A" w14:textId="11A4DEBE" w:rsidR="00DC3046" w:rsidRPr="00E25560" w:rsidRDefault="00DC3046" w:rsidP="00DC3046">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E25560">
              <w:rPr>
                <w:rFonts w:ascii="Tahoma" w:hAnsi="Tahoma" w:cs="Tahoma"/>
                <w:color w:val="000000" w:themeColor="text1"/>
                <w:sz w:val="20"/>
                <w:szCs w:val="20"/>
              </w:rPr>
              <w:t>:</w:t>
            </w:r>
            <w:r w:rsidR="00CA783B">
              <w:rPr>
                <w:rFonts w:ascii="Tahoma" w:hAnsi="Tahoma" w:cs="Tahoma"/>
                <w:color w:val="000000" w:themeColor="text1"/>
                <w:sz w:val="20"/>
                <w:szCs w:val="20"/>
              </w:rPr>
              <w:t xml:space="preserve"> O</w:t>
            </w:r>
            <w:r>
              <w:rPr>
                <w:rFonts w:ascii="Tahoma" w:eastAsiaTheme="minorHAnsi" w:hAnsi="Tahoma" w:cs="Tahoma"/>
                <w:noProof/>
                <w:sz w:val="20"/>
                <w:szCs w:val="20"/>
                <w:lang w:eastAsia="en-US"/>
              </w:rPr>
              <w:t>utreach</w:t>
            </w:r>
            <w:r w:rsidR="00CA783B">
              <w:rPr>
                <w:rFonts w:ascii="Tahoma" w:eastAsiaTheme="minorHAnsi" w:hAnsi="Tahoma" w:cs="Tahoma"/>
                <w:noProof/>
                <w:sz w:val="20"/>
                <w:szCs w:val="20"/>
                <w:lang w:eastAsia="en-US"/>
              </w:rPr>
              <w:t xml:space="preserve"> and events facilitation/keynote presentation</w:t>
            </w:r>
          </w:p>
        </w:tc>
        <w:tc>
          <w:tcPr>
            <w:tcW w:w="2410" w:type="dxa"/>
            <w:tcBorders>
              <w:bottom w:val="single" w:sz="2" w:space="0" w:color="808080" w:themeColor="background1" w:themeShade="80"/>
            </w:tcBorders>
            <w:vAlign w:val="center"/>
          </w:tcPr>
          <w:p w14:paraId="0CDBD481" w14:textId="59E7D970" w:rsidR="00DC3046" w:rsidRPr="00CA783B" w:rsidRDefault="00EA06AE" w:rsidP="00DC3046">
            <w:pPr>
              <w:jc w:val="center"/>
              <w:rPr>
                <w:rFonts w:ascii="Tahoma" w:hAnsi="Tahoma" w:cs="Tahoma"/>
                <w:color w:val="000000" w:themeColor="text1"/>
                <w:sz w:val="20"/>
                <w:szCs w:val="20"/>
              </w:rPr>
            </w:pPr>
            <w:r w:rsidRPr="00CA783B">
              <w:rPr>
                <w:rFonts w:ascii="Tahoma" w:hAnsi="Tahoma" w:cs="Tahoma"/>
                <w:color w:val="000000" w:themeColor="text1"/>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61DBE41E" w:rsidR="00AA2D37" w:rsidRDefault="00A47902" w:rsidP="00CA783B">
      <w:pPr>
        <w:jc w:val="both"/>
        <w:rPr>
          <w:rFonts w:ascii="Tahoma" w:eastAsiaTheme="minorHAnsi" w:hAnsi="Tahoma" w:cs="Tahoma"/>
          <w:color w:val="000000" w:themeColor="text1"/>
          <w:sz w:val="20"/>
          <w:szCs w:val="20"/>
          <w:lang w:eastAsia="en-US"/>
        </w:rPr>
      </w:pPr>
      <w:r w:rsidRPr="000E2947">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bookmarkStart w:id="3" w:name="_Hlk95121458"/>
      <w:bookmarkStart w:id="4" w:name="_Hlk95386419"/>
      <w:r w:rsidR="00CA783B" w:rsidRPr="00CA783B">
        <w:rPr>
          <w:rFonts w:ascii="Tahoma" w:eastAsiaTheme="minorHAnsi" w:hAnsi="Tahoma" w:cs="Tahoma"/>
          <w:sz w:val="20"/>
          <w:szCs w:val="20"/>
          <w:lang w:eastAsia="en-US"/>
        </w:rPr>
        <w:t xml:space="preserve">intellectual consultancy services related </w:t>
      </w:r>
      <w:bookmarkEnd w:id="3"/>
      <w:r w:rsidR="00CA783B" w:rsidRPr="00CA783B">
        <w:rPr>
          <w:rFonts w:ascii="Tahoma" w:eastAsiaTheme="minorHAnsi" w:hAnsi="Tahoma" w:cs="Tahoma"/>
          <w:sz w:val="20"/>
          <w:szCs w:val="20"/>
          <w:lang w:eastAsia="en-US"/>
        </w:rPr>
        <w:t xml:space="preserve">to </w:t>
      </w:r>
      <w:bookmarkEnd w:id="4"/>
      <w:r w:rsidR="00CA783B" w:rsidRPr="00CA783B">
        <w:rPr>
          <w:rFonts w:ascii="Tahoma" w:eastAsiaTheme="minorHAnsi" w:hAnsi="Tahoma" w:cs="Tahoma"/>
          <w:sz w:val="20"/>
          <w:szCs w:val="20"/>
          <w:lang w:eastAsia="en-US"/>
        </w:rPr>
        <w:t>training of legal professionals, such as: draft of training materials, delivery of trainings, facilitation of workshops, round tables, webinars and conferences, and other relevant activities</w:t>
      </w:r>
      <w:r w:rsidR="00CA783B" w:rsidRPr="00CA783B">
        <w:rPr>
          <w:rFonts w:ascii="Tahoma" w:eastAsiaTheme="minorHAnsi" w:hAnsi="Tahoma" w:cs="Tahoma"/>
          <w:color w:val="000000" w:themeColor="text1"/>
          <w:sz w:val="20"/>
          <w:szCs w:val="20"/>
          <w:lang w:eastAsia="en-US"/>
        </w:rPr>
        <w:t>.</w:t>
      </w:r>
    </w:p>
    <w:p w14:paraId="4BCB3A73" w14:textId="77777777" w:rsidR="00CA783B" w:rsidRPr="00CA783B" w:rsidRDefault="00CA783B" w:rsidP="00CA783B">
      <w:pPr>
        <w:jc w:val="both"/>
        <w:rPr>
          <w:rFonts w:ascii="Tahoma" w:eastAsiaTheme="minorHAnsi" w:hAnsi="Tahoma" w:cs="Tahoma"/>
          <w:color w:val="000000" w:themeColor="text1"/>
          <w:sz w:val="20"/>
          <w:szCs w:val="20"/>
          <w:lang w:eastAsia="en-US"/>
        </w:rPr>
      </w:pPr>
    </w:p>
    <w:p w14:paraId="2E5EEE92" w14:textId="63DEFFDB" w:rsidR="00DC3046" w:rsidRDefault="00A47902" w:rsidP="00CA783B">
      <w:pPr>
        <w:jc w:val="both"/>
        <w:rPr>
          <w:rFonts w:ascii="Tahoma" w:eastAsiaTheme="minorHAnsi" w:hAnsi="Tahoma" w:cs="Tahoma"/>
          <w:noProof/>
          <w:sz w:val="20"/>
          <w:szCs w:val="20"/>
          <w:lang w:eastAsia="en-US"/>
        </w:rPr>
      </w:pPr>
      <w:r w:rsidRPr="000E2947">
        <w:rPr>
          <w:rFonts w:ascii="Tahoma" w:hAnsi="Tahoma" w:cs="Tahoma"/>
          <w:b/>
          <w:bCs/>
          <w:color w:val="000000" w:themeColor="text1"/>
          <w:sz w:val="20"/>
          <w:szCs w:val="20"/>
        </w:rPr>
        <w:lastRenderedPageBreak/>
        <w:t>Lot 2</w:t>
      </w:r>
      <w:r w:rsidRPr="00E25560">
        <w:rPr>
          <w:rFonts w:ascii="Tahoma" w:hAnsi="Tahoma" w:cs="Tahoma"/>
          <w:color w:val="000000" w:themeColor="text1"/>
          <w:sz w:val="20"/>
          <w:szCs w:val="20"/>
        </w:rPr>
        <w:t xml:space="preserve">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CA783B" w:rsidRPr="00CA783B">
        <w:rPr>
          <w:rFonts w:ascii="Tahoma" w:eastAsiaTheme="minorHAnsi" w:hAnsi="Tahoma" w:cs="Tahoma"/>
          <w:sz w:val="20"/>
          <w:szCs w:val="20"/>
          <w:lang w:eastAsia="en-US"/>
        </w:rPr>
        <w:t>intellectual consultancy services related to</w:t>
      </w:r>
      <w:r w:rsidR="00CA783B">
        <w:rPr>
          <w:rFonts w:ascii="Tahoma" w:hAnsi="Tahoma" w:cs="Tahoma"/>
          <w:color w:val="000000" w:themeColor="text1"/>
          <w:sz w:val="20"/>
          <w:szCs w:val="20"/>
        </w:rPr>
        <w:t xml:space="preserve"> d</w:t>
      </w:r>
      <w:r w:rsidR="00DC3046">
        <w:rPr>
          <w:rFonts w:ascii="Tahoma" w:eastAsiaTheme="minorHAnsi" w:hAnsi="Tahoma" w:cs="Tahoma"/>
          <w:noProof/>
          <w:sz w:val="20"/>
          <w:szCs w:val="20"/>
          <w:lang w:eastAsia="en-US"/>
        </w:rPr>
        <w:t xml:space="preserve">evelopment of relevant resource materials and publications </w:t>
      </w:r>
      <w:r w:rsidR="00CA783B">
        <w:rPr>
          <w:rFonts w:ascii="Tahoma" w:eastAsiaTheme="minorHAnsi" w:hAnsi="Tahoma" w:cs="Tahoma"/>
          <w:noProof/>
          <w:sz w:val="20"/>
          <w:szCs w:val="20"/>
          <w:lang w:eastAsia="en-US"/>
        </w:rPr>
        <w:t>on</w:t>
      </w:r>
      <w:r w:rsidR="00DC3046">
        <w:rPr>
          <w:rFonts w:ascii="Tahoma" w:eastAsiaTheme="minorHAnsi" w:hAnsi="Tahoma" w:cs="Tahoma"/>
          <w:noProof/>
          <w:sz w:val="20"/>
          <w:szCs w:val="20"/>
          <w:lang w:eastAsia="en-US"/>
        </w:rPr>
        <w:t xml:space="preserve"> human rights standard</w:t>
      </w:r>
      <w:r w:rsidR="00CA783B">
        <w:rPr>
          <w:rFonts w:ascii="Tahoma" w:eastAsiaTheme="minorHAnsi" w:hAnsi="Tahoma" w:cs="Tahoma"/>
          <w:noProof/>
          <w:sz w:val="20"/>
          <w:szCs w:val="20"/>
          <w:lang w:eastAsia="en-US"/>
        </w:rPr>
        <w:t>s and d</w:t>
      </w:r>
      <w:r w:rsidR="00DC3046">
        <w:rPr>
          <w:rFonts w:ascii="Tahoma" w:eastAsiaTheme="minorHAnsi" w:hAnsi="Tahoma" w:cs="Tahoma"/>
          <w:noProof/>
          <w:sz w:val="20"/>
          <w:szCs w:val="20"/>
          <w:lang w:eastAsia="en-US"/>
        </w:rPr>
        <w:t>rafting</w:t>
      </w:r>
      <w:r w:rsidR="00EA06AE">
        <w:rPr>
          <w:rFonts w:ascii="Tahoma" w:eastAsiaTheme="minorHAnsi" w:hAnsi="Tahoma" w:cs="Tahoma"/>
          <w:noProof/>
          <w:sz w:val="20"/>
          <w:szCs w:val="20"/>
          <w:lang w:eastAsia="en-US"/>
        </w:rPr>
        <w:t xml:space="preserve"> </w:t>
      </w:r>
      <w:r w:rsidR="00DC3046">
        <w:rPr>
          <w:rFonts w:ascii="Tahoma" w:eastAsiaTheme="minorHAnsi" w:hAnsi="Tahoma" w:cs="Tahoma"/>
          <w:noProof/>
          <w:sz w:val="20"/>
          <w:szCs w:val="20"/>
          <w:lang w:eastAsia="en-US"/>
        </w:rPr>
        <w:t>monitoring, evaluation and other reports</w:t>
      </w:r>
    </w:p>
    <w:p w14:paraId="7D0A52F7" w14:textId="77777777" w:rsidR="00CA783B" w:rsidRPr="00CA783B" w:rsidRDefault="00CA783B" w:rsidP="00CA783B">
      <w:pPr>
        <w:jc w:val="both"/>
        <w:rPr>
          <w:rFonts w:ascii="Tahoma" w:hAnsi="Tahoma" w:cs="Tahoma"/>
          <w:color w:val="000000" w:themeColor="text1"/>
          <w:sz w:val="20"/>
          <w:szCs w:val="20"/>
        </w:rPr>
      </w:pPr>
    </w:p>
    <w:p w14:paraId="47B8F239" w14:textId="4D7FA9CE" w:rsidR="00DC3046" w:rsidRPr="00CA783B" w:rsidRDefault="00DC3046" w:rsidP="00933853">
      <w:pPr>
        <w:jc w:val="both"/>
        <w:rPr>
          <w:rFonts w:ascii="Tahoma" w:hAnsi="Tahoma" w:cs="Tahoma"/>
          <w:color w:val="000000" w:themeColor="text1"/>
          <w:sz w:val="20"/>
          <w:szCs w:val="20"/>
        </w:rPr>
      </w:pPr>
      <w:r w:rsidRPr="000E2947">
        <w:rPr>
          <w:rFonts w:ascii="Tahoma" w:hAnsi="Tahoma" w:cs="Tahoma"/>
          <w:b/>
          <w:bCs/>
          <w:color w:val="000000" w:themeColor="text1"/>
          <w:sz w:val="20"/>
          <w:szCs w:val="20"/>
        </w:rPr>
        <w:t>Lot 3</w:t>
      </w:r>
      <w:r w:rsidRPr="00E25560">
        <w:rPr>
          <w:rFonts w:ascii="Tahoma" w:hAnsi="Tahoma" w:cs="Tahoma"/>
          <w:color w:val="000000" w:themeColor="text1"/>
          <w:sz w:val="20"/>
          <w:szCs w:val="20"/>
        </w:rPr>
        <w:t xml:space="preserve"> concerns </w:t>
      </w:r>
      <w:r w:rsidR="00CA783B" w:rsidRPr="00CA783B">
        <w:rPr>
          <w:rFonts w:ascii="Tahoma" w:eastAsiaTheme="minorHAnsi" w:hAnsi="Tahoma" w:cs="Tahoma"/>
          <w:sz w:val="20"/>
          <w:szCs w:val="20"/>
          <w:lang w:eastAsia="en-US"/>
        </w:rPr>
        <w:t xml:space="preserve">intellectual consultancy services </w:t>
      </w:r>
      <w:r w:rsidR="00CA783B">
        <w:rPr>
          <w:rFonts w:ascii="Tahoma" w:eastAsiaTheme="minorHAnsi" w:hAnsi="Tahoma" w:cs="Tahoma"/>
          <w:sz w:val="20"/>
          <w:szCs w:val="20"/>
          <w:lang w:eastAsia="en-US"/>
        </w:rPr>
        <w:t>related to d</w:t>
      </w:r>
      <w:r>
        <w:rPr>
          <w:rFonts w:ascii="Tahoma" w:eastAsiaTheme="minorHAnsi" w:hAnsi="Tahoma" w:cs="Tahoma"/>
          <w:noProof/>
          <w:sz w:val="20"/>
          <w:szCs w:val="20"/>
          <w:lang w:eastAsia="en-US"/>
        </w:rPr>
        <w:t xml:space="preserve">esign and implementation of the </w:t>
      </w:r>
      <w:r w:rsidR="00CA783B">
        <w:rPr>
          <w:rFonts w:ascii="Tahoma" w:eastAsiaTheme="minorHAnsi" w:hAnsi="Tahoma" w:cs="Tahoma"/>
          <w:noProof/>
          <w:sz w:val="20"/>
          <w:szCs w:val="20"/>
          <w:lang w:eastAsia="en-US"/>
        </w:rPr>
        <w:t>p</w:t>
      </w:r>
      <w:r>
        <w:rPr>
          <w:rFonts w:ascii="Tahoma" w:eastAsiaTheme="minorHAnsi" w:hAnsi="Tahoma" w:cs="Tahoma"/>
          <w:noProof/>
          <w:sz w:val="20"/>
          <w:szCs w:val="20"/>
          <w:lang w:eastAsia="en-US"/>
        </w:rPr>
        <w:t>ublic outreach</w:t>
      </w:r>
      <w:r w:rsidR="00CA783B">
        <w:rPr>
          <w:rFonts w:ascii="Tahoma" w:eastAsiaTheme="minorHAnsi" w:hAnsi="Tahoma" w:cs="Tahoma"/>
          <w:noProof/>
          <w:sz w:val="20"/>
          <w:szCs w:val="20"/>
          <w:lang w:eastAsia="en-US"/>
        </w:rPr>
        <w:t xml:space="preserve"> campaign and f</w:t>
      </w:r>
      <w:r>
        <w:rPr>
          <w:rFonts w:ascii="Tahoma" w:eastAsiaTheme="minorHAnsi" w:hAnsi="Tahoma" w:cs="Tahoma"/>
          <w:noProof/>
          <w:sz w:val="20"/>
          <w:szCs w:val="20"/>
          <w:lang w:eastAsia="en-US"/>
        </w:rPr>
        <w:t>acilitation and keynote presentations on European human rights standards in various events</w:t>
      </w:r>
    </w:p>
    <w:p w14:paraId="1951C711" w14:textId="77777777" w:rsidR="00933853" w:rsidRDefault="00933853" w:rsidP="00DE22F4">
      <w:pPr>
        <w:shd w:val="clear" w:color="auto" w:fill="FFFFFF" w:themeFill="background1"/>
        <w:spacing w:after="120"/>
        <w:jc w:val="both"/>
        <w:rPr>
          <w:rFonts w:ascii="Tahoma" w:hAnsi="Tahoma" w:cs="Tahoma"/>
          <w:color w:val="000000" w:themeColor="text1"/>
          <w:sz w:val="20"/>
          <w:szCs w:val="20"/>
        </w:rPr>
      </w:pPr>
    </w:p>
    <w:p w14:paraId="61175B38" w14:textId="00C4CF4F"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033611"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033611">
        <w:rPr>
          <w:rFonts w:ascii="Tahoma" w:hAnsi="Tahoma" w:cs="Tahoma"/>
          <w:noProof/>
          <w:sz w:val="20"/>
          <w:szCs w:val="20"/>
          <w:lang w:eastAsia="fr-FR"/>
        </w:rPr>
        <w:t>Throughout the duration of the Framework Contract, pre-selected Providers may be asked to:</w:t>
      </w:r>
    </w:p>
    <w:p w14:paraId="518A5A62" w14:textId="77777777" w:rsidR="00CA783B" w:rsidRPr="00933853" w:rsidRDefault="00CA783B" w:rsidP="00933853">
      <w:pPr>
        <w:shd w:val="clear" w:color="auto" w:fill="FFFFFF" w:themeFill="background1"/>
        <w:autoSpaceDE w:val="0"/>
        <w:autoSpaceDN w:val="0"/>
        <w:adjustRightInd w:val="0"/>
        <w:jc w:val="both"/>
        <w:rPr>
          <w:rFonts w:ascii="Tahoma" w:hAnsi="Tahoma" w:cs="Tahoma"/>
          <w:noProof/>
          <w:sz w:val="20"/>
          <w:szCs w:val="20"/>
          <w:lang w:eastAsia="fr-FR"/>
        </w:rPr>
      </w:pPr>
    </w:p>
    <w:p w14:paraId="20A095DB" w14:textId="3D0A5C79" w:rsidR="008742C4" w:rsidRPr="000E2947" w:rsidRDefault="008742C4" w:rsidP="00DE22F4">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0E2947">
        <w:rPr>
          <w:rFonts w:ascii="Tahoma" w:hAnsi="Tahoma" w:cs="Tahoma"/>
          <w:b/>
          <w:bCs/>
          <w:noProof/>
          <w:sz w:val="20"/>
          <w:szCs w:val="20"/>
          <w:lang w:eastAsia="fr-FR"/>
        </w:rPr>
        <w:t>Under Lot 1:</w:t>
      </w:r>
    </w:p>
    <w:p w14:paraId="676DFD9A" w14:textId="5D13F6AD" w:rsidR="00B660CA" w:rsidRPr="00B660CA" w:rsidRDefault="008742C4" w:rsidP="00933853">
      <w:pPr>
        <w:shd w:val="clear" w:color="auto" w:fill="FFFFFF" w:themeFill="background1"/>
        <w:autoSpaceDE w:val="0"/>
        <w:autoSpaceDN w:val="0"/>
        <w:adjustRightInd w:val="0"/>
        <w:ind w:left="567"/>
        <w:contextualSpacing/>
        <w:jc w:val="both"/>
        <w:rPr>
          <w:rFonts w:ascii="Tahoma" w:hAnsi="Tahoma" w:cs="Tahoma"/>
          <w:noProof/>
          <w:sz w:val="20"/>
          <w:szCs w:val="20"/>
          <w:highlight w:val="yellow"/>
          <w:lang w:eastAsia="fr-FR"/>
        </w:rPr>
      </w:pPr>
      <w:r w:rsidRPr="00B660CA">
        <w:rPr>
          <w:rFonts w:ascii="Tahoma" w:hAnsi="Tahoma" w:cs="Tahoma"/>
          <w:noProof/>
          <w:sz w:val="20"/>
          <w:szCs w:val="20"/>
          <w:highlight w:val="yellow"/>
          <w:lang w:eastAsia="fr-FR"/>
        </w:rPr>
        <w:t xml:space="preserve"> </w:t>
      </w:r>
    </w:p>
    <w:p w14:paraId="6C9E9C0B" w14:textId="1FB45F7A" w:rsidR="00CA783B" w:rsidRDefault="00CA783B" w:rsidP="00CA783B">
      <w:pPr>
        <w:pStyle w:val="ListParagraph"/>
        <w:numPr>
          <w:ilvl w:val="0"/>
          <w:numId w:val="21"/>
        </w:numPr>
        <w:tabs>
          <w:tab w:val="left" w:pos="720"/>
          <w:tab w:val="left" w:pos="3828"/>
        </w:tabs>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Devel</w:t>
      </w:r>
      <w:r w:rsidR="00933853">
        <w:rPr>
          <w:rFonts w:ascii="Tahoma" w:eastAsiaTheme="minorHAnsi" w:hAnsi="Tahoma" w:cs="Tahoma"/>
          <w:noProof/>
          <w:sz w:val="20"/>
          <w:szCs w:val="20"/>
          <w:lang w:eastAsia="en-US"/>
        </w:rPr>
        <w:t xml:space="preserve">op </w:t>
      </w:r>
      <w:r>
        <w:rPr>
          <w:rFonts w:ascii="Tahoma" w:eastAsiaTheme="minorHAnsi" w:hAnsi="Tahoma" w:cs="Tahoma"/>
          <w:noProof/>
          <w:sz w:val="20"/>
          <w:szCs w:val="20"/>
          <w:lang w:eastAsia="en-US"/>
        </w:rPr>
        <w:t>training module for judges and staff of the Constitutional Court on legal reasoning and ECtHR standards</w:t>
      </w:r>
    </w:p>
    <w:p w14:paraId="1BD5361A" w14:textId="53A5390E" w:rsidR="00CA783B" w:rsidRDefault="00933853" w:rsidP="00CA783B">
      <w:pPr>
        <w:numPr>
          <w:ilvl w:val="0"/>
          <w:numId w:val="21"/>
        </w:numPr>
        <w:tabs>
          <w:tab w:val="left" w:pos="720"/>
          <w:tab w:val="left" w:pos="3828"/>
        </w:tabs>
        <w:spacing w:after="200" w:line="276" w:lineRule="auto"/>
        <w:contextualSpacing/>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Deliver t</w:t>
      </w:r>
      <w:r w:rsidR="00CA783B">
        <w:rPr>
          <w:rFonts w:ascii="Tahoma" w:eastAsiaTheme="minorHAnsi" w:hAnsi="Tahoma" w:cs="Tahoma"/>
          <w:noProof/>
          <w:sz w:val="20"/>
          <w:szCs w:val="20"/>
          <w:lang w:eastAsia="en-US"/>
        </w:rPr>
        <w:t>raining sessions for judges and legal advisors of the Constitutional Court on the ECtHR standards and legal reasoning</w:t>
      </w:r>
    </w:p>
    <w:p w14:paraId="5D8950B2" w14:textId="53D6567F" w:rsidR="00CA783B" w:rsidRDefault="00CA783B" w:rsidP="00CA783B">
      <w:pPr>
        <w:numPr>
          <w:ilvl w:val="0"/>
          <w:numId w:val="21"/>
        </w:numPr>
        <w:tabs>
          <w:tab w:val="left" w:pos="720"/>
          <w:tab w:val="left" w:pos="3828"/>
        </w:tabs>
        <w:spacing w:line="276" w:lineRule="auto"/>
        <w:contextualSpacing/>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Develop</w:t>
      </w:r>
      <w:r w:rsidR="00933853">
        <w:rPr>
          <w:rFonts w:ascii="Tahoma" w:eastAsiaTheme="minorHAnsi" w:hAnsi="Tahoma" w:cs="Tahoma"/>
          <w:noProof/>
          <w:sz w:val="20"/>
          <w:szCs w:val="20"/>
          <w:lang w:eastAsia="en-US"/>
        </w:rPr>
        <w:t xml:space="preserve"> </w:t>
      </w:r>
      <w:r>
        <w:rPr>
          <w:rFonts w:ascii="Tahoma" w:eastAsiaTheme="minorHAnsi" w:hAnsi="Tahoma" w:cs="Tahoma"/>
          <w:noProof/>
          <w:sz w:val="20"/>
          <w:szCs w:val="20"/>
          <w:lang w:eastAsia="en-US"/>
        </w:rPr>
        <w:t>training course on admissibility criteria for the constitutional complaint and other human rights issues</w:t>
      </w:r>
    </w:p>
    <w:p w14:paraId="77E9A0EA" w14:textId="4FCF4B7F" w:rsidR="00CA783B" w:rsidRDefault="00CA783B" w:rsidP="00CA783B">
      <w:pPr>
        <w:numPr>
          <w:ilvl w:val="0"/>
          <w:numId w:val="21"/>
        </w:numPr>
        <w:tabs>
          <w:tab w:val="left" w:pos="720"/>
          <w:tab w:val="left" w:pos="3828"/>
        </w:tabs>
        <w:spacing w:line="276" w:lineRule="auto"/>
        <w:contextualSpacing/>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Deliver of Training of Trainers of Bar Association</w:t>
      </w:r>
    </w:p>
    <w:p w14:paraId="58CF328F" w14:textId="5E9039A0" w:rsidR="00CA783B" w:rsidRDefault="00CA783B" w:rsidP="00CA783B">
      <w:pPr>
        <w:numPr>
          <w:ilvl w:val="0"/>
          <w:numId w:val="21"/>
        </w:numPr>
        <w:tabs>
          <w:tab w:val="left" w:pos="720"/>
          <w:tab w:val="left" w:pos="3828"/>
        </w:tabs>
        <w:spacing w:line="276" w:lineRule="auto"/>
        <w:contextualSpacing/>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 xml:space="preserve">Deliver of </w:t>
      </w:r>
      <w:r w:rsidR="00933853">
        <w:rPr>
          <w:rFonts w:ascii="Tahoma" w:eastAsiaTheme="minorHAnsi" w:hAnsi="Tahoma" w:cs="Tahoma"/>
          <w:noProof/>
          <w:sz w:val="20"/>
          <w:szCs w:val="20"/>
          <w:lang w:eastAsia="en-US"/>
        </w:rPr>
        <w:t xml:space="preserve">cascade </w:t>
      </w:r>
      <w:r>
        <w:rPr>
          <w:rFonts w:ascii="Tahoma" w:eastAsiaTheme="minorHAnsi" w:hAnsi="Tahoma" w:cs="Tahoma"/>
          <w:noProof/>
          <w:sz w:val="20"/>
          <w:szCs w:val="20"/>
          <w:lang w:eastAsia="en-US"/>
        </w:rPr>
        <w:t>trainings of lawyers on Admissibility Criteria to Constitutional Court</w:t>
      </w:r>
    </w:p>
    <w:p w14:paraId="5C199D9E" w14:textId="043AD877" w:rsidR="00CA783B" w:rsidRPr="00933853" w:rsidRDefault="00CA783B" w:rsidP="00933853">
      <w:pPr>
        <w:numPr>
          <w:ilvl w:val="0"/>
          <w:numId w:val="21"/>
        </w:numPr>
        <w:tabs>
          <w:tab w:val="left" w:pos="720"/>
          <w:tab w:val="left" w:pos="3828"/>
        </w:tabs>
        <w:spacing w:line="276" w:lineRule="auto"/>
        <w:contextualSpacing/>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Facilitat</w:t>
      </w:r>
      <w:r w:rsidR="00933853">
        <w:rPr>
          <w:rFonts w:ascii="Tahoma" w:eastAsiaTheme="minorHAnsi" w:hAnsi="Tahoma" w:cs="Tahoma"/>
          <w:noProof/>
          <w:sz w:val="20"/>
          <w:szCs w:val="20"/>
          <w:lang w:eastAsia="en-US"/>
        </w:rPr>
        <w:t>e</w:t>
      </w:r>
      <w:r>
        <w:rPr>
          <w:rFonts w:ascii="Tahoma" w:eastAsiaTheme="minorHAnsi" w:hAnsi="Tahoma" w:cs="Tahoma"/>
          <w:noProof/>
          <w:sz w:val="20"/>
          <w:szCs w:val="20"/>
          <w:lang w:eastAsia="en-US"/>
        </w:rPr>
        <w:t xml:space="preserve"> and </w:t>
      </w:r>
      <w:r w:rsidR="00933853">
        <w:rPr>
          <w:rFonts w:ascii="Tahoma" w:eastAsiaTheme="minorHAnsi" w:hAnsi="Tahoma" w:cs="Tahoma"/>
          <w:noProof/>
          <w:sz w:val="20"/>
          <w:szCs w:val="20"/>
          <w:lang w:eastAsia="en-US"/>
        </w:rPr>
        <w:t xml:space="preserve">deklver </w:t>
      </w:r>
      <w:r>
        <w:rPr>
          <w:rFonts w:ascii="Tahoma" w:eastAsiaTheme="minorHAnsi" w:hAnsi="Tahoma" w:cs="Tahoma"/>
          <w:noProof/>
          <w:sz w:val="20"/>
          <w:szCs w:val="20"/>
          <w:lang w:eastAsia="en-US"/>
        </w:rPr>
        <w:t>keynote presentations on European human rights standards in various events</w:t>
      </w:r>
    </w:p>
    <w:p w14:paraId="04268F86" w14:textId="77777777" w:rsidR="00CA783B" w:rsidRDefault="00CA783B" w:rsidP="00933853">
      <w:pPr>
        <w:shd w:val="clear" w:color="auto" w:fill="FFFFFF" w:themeFill="background1"/>
        <w:autoSpaceDE w:val="0"/>
        <w:autoSpaceDN w:val="0"/>
        <w:adjustRightInd w:val="0"/>
        <w:jc w:val="both"/>
        <w:rPr>
          <w:rFonts w:ascii="Tahoma" w:hAnsi="Tahoma" w:cs="Tahoma"/>
          <w:noProof/>
          <w:sz w:val="20"/>
          <w:szCs w:val="20"/>
          <w:highlight w:val="yellow"/>
          <w:lang w:eastAsia="fr-FR"/>
        </w:rPr>
      </w:pPr>
    </w:p>
    <w:p w14:paraId="5417DF10" w14:textId="37DF149D" w:rsidR="008742C4" w:rsidRPr="000E2947" w:rsidRDefault="008742C4" w:rsidP="00DE22F4">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0E2947">
        <w:rPr>
          <w:rFonts w:ascii="Tahoma" w:hAnsi="Tahoma" w:cs="Tahoma"/>
          <w:b/>
          <w:bCs/>
          <w:noProof/>
          <w:sz w:val="20"/>
          <w:szCs w:val="20"/>
          <w:lang w:eastAsia="fr-FR"/>
        </w:rPr>
        <w:t>Under Lot 2:</w:t>
      </w:r>
    </w:p>
    <w:p w14:paraId="35BA945A" w14:textId="77777777" w:rsidR="00CA783B" w:rsidRPr="00933853" w:rsidRDefault="00B660CA" w:rsidP="00933853">
      <w:pPr>
        <w:pStyle w:val="ListParagraph"/>
        <w:numPr>
          <w:ilvl w:val="0"/>
          <w:numId w:val="25"/>
        </w:numPr>
        <w:tabs>
          <w:tab w:val="left" w:pos="567"/>
          <w:tab w:val="left" w:pos="3828"/>
        </w:tabs>
        <w:spacing w:line="276" w:lineRule="auto"/>
        <w:contextualSpacing/>
        <w:jc w:val="both"/>
        <w:rPr>
          <w:rFonts w:ascii="Tahoma" w:eastAsiaTheme="minorHAnsi" w:hAnsi="Tahoma" w:cs="Tahoma"/>
          <w:noProof/>
          <w:sz w:val="20"/>
          <w:szCs w:val="20"/>
          <w:lang w:eastAsia="en-US"/>
        </w:rPr>
      </w:pPr>
      <w:r w:rsidRPr="00933853">
        <w:rPr>
          <w:rFonts w:ascii="Tahoma" w:eastAsiaTheme="minorHAnsi" w:hAnsi="Tahoma" w:cs="Tahoma"/>
          <w:noProof/>
          <w:sz w:val="20"/>
          <w:szCs w:val="20"/>
          <w:lang w:eastAsia="en-US"/>
        </w:rPr>
        <w:t xml:space="preserve">Develop relevant resource materials and publications related to human rights standards </w:t>
      </w:r>
    </w:p>
    <w:p w14:paraId="03534F91" w14:textId="13C11A43" w:rsidR="00B660CA" w:rsidRPr="00933853" w:rsidRDefault="00CA783B" w:rsidP="00933853">
      <w:pPr>
        <w:pStyle w:val="ListParagraph"/>
        <w:numPr>
          <w:ilvl w:val="0"/>
          <w:numId w:val="25"/>
        </w:numPr>
        <w:tabs>
          <w:tab w:val="left" w:pos="567"/>
          <w:tab w:val="left" w:pos="3828"/>
        </w:tabs>
        <w:spacing w:line="276" w:lineRule="auto"/>
        <w:contextualSpacing/>
        <w:jc w:val="both"/>
        <w:rPr>
          <w:rFonts w:ascii="Tahoma" w:eastAsiaTheme="minorHAnsi" w:hAnsi="Tahoma" w:cs="Tahoma"/>
          <w:noProof/>
          <w:sz w:val="20"/>
          <w:szCs w:val="20"/>
          <w:lang w:eastAsia="en-US"/>
        </w:rPr>
      </w:pPr>
      <w:r w:rsidRPr="00933853">
        <w:rPr>
          <w:rFonts w:ascii="Tahoma" w:eastAsiaTheme="minorHAnsi" w:hAnsi="Tahoma" w:cs="Tahoma"/>
          <w:noProof/>
          <w:sz w:val="20"/>
          <w:szCs w:val="20"/>
          <w:lang w:eastAsia="en-US"/>
        </w:rPr>
        <w:t xml:space="preserve">Draft </w:t>
      </w:r>
      <w:r w:rsidR="00B660CA" w:rsidRPr="00933853">
        <w:rPr>
          <w:rFonts w:ascii="Tahoma" w:eastAsiaTheme="minorHAnsi" w:hAnsi="Tahoma" w:cs="Tahoma"/>
          <w:noProof/>
          <w:sz w:val="20"/>
          <w:szCs w:val="20"/>
          <w:lang w:eastAsia="en-US"/>
        </w:rPr>
        <w:t>monitoring, evaluation and other reports</w:t>
      </w:r>
    </w:p>
    <w:p w14:paraId="78B23C96" w14:textId="68CB4A4A" w:rsidR="00DC3046" w:rsidRPr="00B660CA" w:rsidRDefault="00DC3046" w:rsidP="00DE22F4">
      <w:pPr>
        <w:shd w:val="clear" w:color="auto" w:fill="FFFFFF" w:themeFill="background1"/>
        <w:autoSpaceDE w:val="0"/>
        <w:autoSpaceDN w:val="0"/>
        <w:adjustRightInd w:val="0"/>
        <w:ind w:left="567"/>
        <w:contextualSpacing/>
        <w:jc w:val="both"/>
        <w:rPr>
          <w:rFonts w:ascii="Tahoma" w:hAnsi="Tahoma" w:cs="Tahoma"/>
          <w:noProof/>
          <w:sz w:val="20"/>
          <w:szCs w:val="20"/>
          <w:highlight w:val="yellow"/>
          <w:lang w:eastAsia="fr-FR"/>
        </w:rPr>
      </w:pPr>
    </w:p>
    <w:p w14:paraId="3107D3DD" w14:textId="53DD1C46" w:rsidR="00DC3046" w:rsidRPr="000E2947" w:rsidRDefault="00DC3046" w:rsidP="00DC3046">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0E2947">
        <w:rPr>
          <w:rFonts w:ascii="Tahoma" w:hAnsi="Tahoma" w:cs="Tahoma"/>
          <w:b/>
          <w:bCs/>
          <w:noProof/>
          <w:sz w:val="20"/>
          <w:szCs w:val="20"/>
          <w:lang w:eastAsia="fr-FR"/>
        </w:rPr>
        <w:t>Under Lot 3:</w:t>
      </w:r>
    </w:p>
    <w:p w14:paraId="53C9FBFF" w14:textId="6ED41D9D" w:rsidR="00933853" w:rsidRPr="00933853" w:rsidRDefault="00B660CA" w:rsidP="00933853">
      <w:pPr>
        <w:pStyle w:val="ListParagraph"/>
        <w:numPr>
          <w:ilvl w:val="0"/>
          <w:numId w:val="26"/>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33853">
        <w:rPr>
          <w:rFonts w:ascii="Tahoma" w:hAnsi="Tahoma" w:cs="Tahoma"/>
          <w:noProof/>
          <w:sz w:val="20"/>
          <w:szCs w:val="20"/>
          <w:lang w:eastAsia="fr-FR"/>
        </w:rPr>
        <w:t>Design</w:t>
      </w:r>
      <w:r w:rsidR="00CA783B" w:rsidRPr="00933853">
        <w:rPr>
          <w:rFonts w:ascii="Tahoma" w:hAnsi="Tahoma" w:cs="Tahoma"/>
          <w:noProof/>
          <w:sz w:val="20"/>
          <w:szCs w:val="20"/>
          <w:lang w:eastAsia="fr-FR"/>
        </w:rPr>
        <w:t xml:space="preserve"> and implement </w:t>
      </w:r>
      <w:r w:rsidRPr="00933853">
        <w:rPr>
          <w:rFonts w:ascii="Tahoma" w:hAnsi="Tahoma" w:cs="Tahoma"/>
          <w:noProof/>
          <w:sz w:val="20"/>
          <w:szCs w:val="20"/>
          <w:lang w:eastAsia="fr-FR"/>
        </w:rPr>
        <w:t xml:space="preserve">public outreach campain </w:t>
      </w:r>
    </w:p>
    <w:p w14:paraId="637B5C7B" w14:textId="5E605A85" w:rsidR="00B660CA" w:rsidRPr="00933853" w:rsidRDefault="00B660CA" w:rsidP="00933853">
      <w:pPr>
        <w:pStyle w:val="ListParagraph"/>
        <w:numPr>
          <w:ilvl w:val="0"/>
          <w:numId w:val="26"/>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33853">
        <w:rPr>
          <w:rFonts w:ascii="Tahoma" w:hAnsi="Tahoma" w:cs="Tahoma"/>
          <w:noProof/>
          <w:sz w:val="20"/>
          <w:szCs w:val="20"/>
          <w:lang w:eastAsia="fr-FR"/>
        </w:rPr>
        <w:t>Facilitat</w:t>
      </w:r>
      <w:r w:rsidR="00CA783B" w:rsidRPr="00933853">
        <w:rPr>
          <w:rFonts w:ascii="Tahoma" w:hAnsi="Tahoma" w:cs="Tahoma"/>
          <w:noProof/>
          <w:sz w:val="20"/>
          <w:szCs w:val="20"/>
          <w:lang w:eastAsia="fr-FR"/>
        </w:rPr>
        <w:t>it</w:t>
      </w:r>
      <w:r w:rsidR="001727D7">
        <w:rPr>
          <w:rFonts w:ascii="Tahoma" w:hAnsi="Tahoma" w:cs="Tahoma"/>
          <w:noProof/>
          <w:sz w:val="20"/>
          <w:szCs w:val="20"/>
          <w:lang w:eastAsia="fr-FR"/>
        </w:rPr>
        <w:t>e</w:t>
      </w:r>
      <w:r w:rsidRPr="00933853">
        <w:rPr>
          <w:rFonts w:ascii="Tahoma" w:hAnsi="Tahoma" w:cs="Tahoma"/>
          <w:noProof/>
          <w:sz w:val="20"/>
          <w:szCs w:val="20"/>
          <w:lang w:eastAsia="fr-FR"/>
        </w:rPr>
        <w:t xml:space="preserve"> </w:t>
      </w:r>
      <w:r w:rsidR="00CA783B" w:rsidRPr="00933853">
        <w:rPr>
          <w:rFonts w:ascii="Tahoma" w:hAnsi="Tahoma" w:cs="Tahoma"/>
          <w:noProof/>
          <w:sz w:val="20"/>
          <w:szCs w:val="20"/>
          <w:lang w:eastAsia="fr-FR"/>
        </w:rPr>
        <w:t>and deliver</w:t>
      </w:r>
      <w:r w:rsidR="001727D7">
        <w:rPr>
          <w:rFonts w:ascii="Tahoma" w:hAnsi="Tahoma" w:cs="Tahoma"/>
          <w:noProof/>
          <w:sz w:val="20"/>
          <w:szCs w:val="20"/>
          <w:lang w:eastAsia="fr-FR"/>
        </w:rPr>
        <w:t xml:space="preserve"> </w:t>
      </w:r>
      <w:r w:rsidR="00CA783B" w:rsidRPr="00933853">
        <w:rPr>
          <w:rFonts w:ascii="Tahoma" w:hAnsi="Tahoma" w:cs="Tahoma"/>
          <w:noProof/>
          <w:sz w:val="20"/>
          <w:szCs w:val="20"/>
          <w:lang w:eastAsia="fr-FR"/>
        </w:rPr>
        <w:t>keynote presentation</w:t>
      </w:r>
      <w:r w:rsidR="007B6E66">
        <w:rPr>
          <w:rFonts w:ascii="Tahoma" w:hAnsi="Tahoma" w:cs="Tahoma"/>
          <w:noProof/>
          <w:sz w:val="20"/>
          <w:szCs w:val="20"/>
          <w:lang w:eastAsia="fr-FR"/>
        </w:rPr>
        <w:t>s</w:t>
      </w:r>
      <w:r w:rsidR="00CA783B" w:rsidRPr="00933853">
        <w:rPr>
          <w:rFonts w:ascii="Tahoma" w:hAnsi="Tahoma" w:cs="Tahoma"/>
          <w:noProof/>
          <w:sz w:val="20"/>
          <w:szCs w:val="20"/>
          <w:lang w:eastAsia="fr-FR"/>
        </w:rPr>
        <w:t xml:space="preserve"> in </w:t>
      </w:r>
      <w:r w:rsidR="00933853">
        <w:rPr>
          <w:rFonts w:ascii="Tahoma" w:hAnsi="Tahoma" w:cs="Tahoma"/>
          <w:noProof/>
          <w:sz w:val="20"/>
          <w:szCs w:val="20"/>
          <w:lang w:eastAsia="fr-FR"/>
        </w:rPr>
        <w:t>project</w:t>
      </w:r>
      <w:r w:rsidRPr="00933853">
        <w:rPr>
          <w:rFonts w:ascii="Tahoma" w:hAnsi="Tahoma" w:cs="Tahoma"/>
          <w:noProof/>
          <w:sz w:val="20"/>
          <w:szCs w:val="20"/>
          <w:lang w:eastAsia="fr-FR"/>
        </w:rPr>
        <w:t xml:space="preserve"> events</w:t>
      </w:r>
    </w:p>
    <w:p w14:paraId="3CAF7837" w14:textId="77777777" w:rsidR="008742C4" w:rsidRPr="00B660CA"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yellow"/>
          <w:lang w:eastAsia="fr-FR"/>
        </w:rPr>
      </w:pPr>
    </w:p>
    <w:p w14:paraId="0556996B" w14:textId="7029ED66" w:rsidR="008742C4" w:rsidRPr="00033611" w:rsidRDefault="008742C4" w:rsidP="008742C4">
      <w:pPr>
        <w:tabs>
          <w:tab w:val="left" w:pos="720"/>
          <w:tab w:val="left" w:pos="3828"/>
        </w:tabs>
        <w:jc w:val="both"/>
        <w:rPr>
          <w:rFonts w:ascii="Tahoma" w:eastAsiaTheme="minorHAnsi" w:hAnsi="Tahoma" w:cs="Tahoma"/>
          <w:noProof/>
          <w:sz w:val="20"/>
          <w:szCs w:val="20"/>
          <w:lang w:eastAsia="en-US"/>
        </w:rPr>
      </w:pPr>
      <w:r w:rsidRPr="00033611">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033611">
        <w:rPr>
          <w:rFonts w:ascii="Tahoma" w:eastAsiaTheme="minorHAnsi" w:hAnsi="Tahoma" w:cs="Tahoma"/>
          <w:noProof/>
          <w:sz w:val="20"/>
          <w:szCs w:val="20"/>
          <w:lang w:eastAsia="en-US"/>
        </w:rPr>
        <w:t xml:space="preserve"> for the lot concerned</w:t>
      </w:r>
      <w:r w:rsidRPr="00033611">
        <w:rPr>
          <w:rFonts w:ascii="Tahoma" w:eastAsiaTheme="minorHAnsi" w:hAnsi="Tahoma" w:cs="Tahoma"/>
          <w:noProof/>
          <w:sz w:val="20"/>
          <w:szCs w:val="20"/>
          <w:lang w:eastAsia="en-US"/>
        </w:rPr>
        <w:t>.</w:t>
      </w:r>
    </w:p>
    <w:p w14:paraId="664849C7" w14:textId="77777777" w:rsidR="008742C4" w:rsidRPr="00033611" w:rsidRDefault="008742C4" w:rsidP="008742C4">
      <w:pPr>
        <w:jc w:val="both"/>
        <w:rPr>
          <w:rFonts w:ascii="Tahoma" w:hAnsi="Tahoma" w:cs="Tahoma"/>
          <w:noProof/>
          <w:sz w:val="20"/>
          <w:szCs w:val="20"/>
        </w:rPr>
      </w:pPr>
    </w:p>
    <w:p w14:paraId="754A59CB" w14:textId="77777777" w:rsidR="008742C4" w:rsidRPr="00033611" w:rsidRDefault="008742C4" w:rsidP="008742C4">
      <w:pPr>
        <w:jc w:val="both"/>
        <w:rPr>
          <w:rFonts w:ascii="Tahoma" w:hAnsi="Tahoma" w:cs="Tahoma"/>
          <w:color w:val="000000" w:themeColor="text1"/>
          <w:spacing w:val="-4"/>
          <w:sz w:val="20"/>
          <w:szCs w:val="20"/>
          <w:lang w:eastAsia="en-US"/>
        </w:rPr>
      </w:pPr>
      <w:r w:rsidRPr="00033611">
        <w:rPr>
          <w:rFonts w:ascii="Tahoma" w:hAnsi="Tahoma" w:cs="Tahoma"/>
          <w:color w:val="000000" w:themeColor="text1"/>
          <w:spacing w:val="-4"/>
          <w:sz w:val="20"/>
          <w:szCs w:val="20"/>
          <w:lang w:eastAsia="en-US"/>
        </w:rPr>
        <w:t xml:space="preserve">In terms of </w:t>
      </w:r>
      <w:r w:rsidRPr="00033611">
        <w:rPr>
          <w:rFonts w:ascii="Tahoma" w:hAnsi="Tahoma" w:cs="Tahoma"/>
          <w:b/>
          <w:color w:val="000000" w:themeColor="text1"/>
          <w:spacing w:val="-4"/>
          <w:sz w:val="20"/>
          <w:szCs w:val="20"/>
          <w:lang w:eastAsia="en-US"/>
        </w:rPr>
        <w:t>quality requirements</w:t>
      </w:r>
      <w:r w:rsidRPr="00033611">
        <w:rPr>
          <w:rFonts w:ascii="Tahoma" w:hAnsi="Tahoma" w:cs="Tahoma"/>
          <w:color w:val="000000" w:themeColor="text1"/>
          <w:spacing w:val="-4"/>
          <w:sz w:val="20"/>
          <w:szCs w:val="20"/>
          <w:lang w:eastAsia="en-US"/>
        </w:rPr>
        <w:t>, the pre-selected Service Providers must ensure</w:t>
      </w:r>
      <w:r w:rsidRPr="00033611">
        <w:rPr>
          <w:rFonts w:ascii="Tahoma" w:hAnsi="Tahoma" w:cs="Tahoma"/>
          <w:i/>
          <w:color w:val="000000" w:themeColor="text1"/>
          <w:spacing w:val="-4"/>
          <w:sz w:val="20"/>
          <w:szCs w:val="20"/>
          <w:lang w:eastAsia="en-US"/>
        </w:rPr>
        <w:t>, inter alia</w:t>
      </w:r>
      <w:r w:rsidRPr="00033611">
        <w:rPr>
          <w:rFonts w:ascii="Tahoma" w:hAnsi="Tahoma" w:cs="Tahoma"/>
          <w:color w:val="000000" w:themeColor="text1"/>
          <w:spacing w:val="-4"/>
          <w:sz w:val="20"/>
          <w:szCs w:val="20"/>
          <w:lang w:eastAsia="en-US"/>
        </w:rPr>
        <w:t>, that:</w:t>
      </w:r>
    </w:p>
    <w:p w14:paraId="4063B5DC" w14:textId="77777777" w:rsidR="008742C4" w:rsidRPr="00033611"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033611">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033611"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033611">
        <w:rPr>
          <w:rFonts w:ascii="Tahoma" w:hAnsi="Tahoma" w:cs="Tahoma"/>
          <w:color w:val="000000" w:themeColor="text1"/>
          <w:spacing w:val="-4"/>
          <w:sz w:val="20"/>
          <w:szCs w:val="20"/>
          <w:lang w:eastAsia="en-US"/>
        </w:rPr>
        <w:t>Any specific instructions given by the Council – whenever this is the case – are followed.</w:t>
      </w:r>
    </w:p>
    <w:p w14:paraId="1B7E5926" w14:textId="0315A6A6" w:rsidR="00A94332" w:rsidRPr="00933853" w:rsidRDefault="00B660CA" w:rsidP="00A94332">
      <w:pPr>
        <w:keepLines/>
        <w:autoSpaceDE w:val="0"/>
        <w:autoSpaceDN w:val="0"/>
        <w:adjustRightInd w:val="0"/>
        <w:contextualSpacing/>
        <w:rPr>
          <w:rFonts w:ascii="Tahoma" w:hAnsi="Tahoma" w:cs="Tahoma"/>
          <w:color w:val="000000" w:themeColor="text1"/>
          <w:sz w:val="20"/>
          <w:szCs w:val="20"/>
        </w:rPr>
      </w:pPr>
      <w:r w:rsidRPr="00933853">
        <w:rPr>
          <w:rFonts w:ascii="Tahoma" w:hAnsi="Tahoma" w:cs="Tahoma"/>
          <w:color w:val="000000" w:themeColor="text1"/>
          <w:sz w:val="20"/>
          <w:szCs w:val="20"/>
        </w:rPr>
        <w:t>I</w:t>
      </w:r>
      <w:r w:rsidR="00A94332" w:rsidRPr="00933853">
        <w:rPr>
          <w:rFonts w:ascii="Tahoma" w:hAnsi="Tahoma" w:cs="Tahoma"/>
          <w:color w:val="000000" w:themeColor="text1"/>
          <w:sz w:val="20"/>
          <w:szCs w:val="20"/>
        </w:rPr>
        <w:t>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033611" w:rsidRDefault="00A94332" w:rsidP="00A94332">
      <w:pPr>
        <w:keepLines/>
        <w:autoSpaceDE w:val="0"/>
        <w:autoSpaceDN w:val="0"/>
        <w:adjustRightInd w:val="0"/>
        <w:contextualSpacing/>
        <w:rPr>
          <w:rFonts w:ascii="Tahoma" w:hAnsi="Tahoma" w:cs="Tahoma"/>
        </w:rPr>
      </w:pPr>
    </w:p>
    <w:p w14:paraId="7D351AB7" w14:textId="77777777" w:rsidR="008742C4" w:rsidRPr="00033611"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33611">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033611">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033611">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033611"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033611"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33611">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462417BC" w14:textId="77777777" w:rsidR="00B660CA"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70DDA57F" w14:textId="77777777" w:rsidR="00B660CA" w:rsidRDefault="00B660CA" w:rsidP="007309EA">
      <w:pPr>
        <w:keepLines/>
        <w:autoSpaceDE w:val="0"/>
        <w:autoSpaceDN w:val="0"/>
        <w:adjustRightInd w:val="0"/>
        <w:contextualSpacing/>
        <w:jc w:val="both"/>
        <w:rPr>
          <w:rFonts w:ascii="Tahoma" w:hAnsi="Tahoma" w:cs="Tahoma"/>
          <w:color w:val="000000" w:themeColor="text1"/>
          <w:sz w:val="20"/>
          <w:szCs w:val="20"/>
        </w:rPr>
      </w:pPr>
    </w:p>
    <w:p w14:paraId="7B03F957" w14:textId="2A45F507" w:rsidR="00A47902" w:rsidRPr="00033611" w:rsidRDefault="00EF2465" w:rsidP="007309EA">
      <w:pPr>
        <w:keepLines/>
        <w:autoSpaceDE w:val="0"/>
        <w:autoSpaceDN w:val="0"/>
        <w:adjustRightInd w:val="0"/>
        <w:contextualSpacing/>
        <w:jc w:val="both"/>
        <w:rPr>
          <w:rFonts w:ascii="Tahoma" w:hAnsi="Tahoma" w:cs="Tahoma"/>
          <w:sz w:val="20"/>
          <w:szCs w:val="20"/>
          <w:lang w:val="en-US"/>
        </w:rPr>
      </w:pPr>
      <w:r w:rsidRPr="00033611">
        <w:rPr>
          <w:rFonts w:ascii="Tahoma" w:hAnsi="Tahoma" w:cs="Tahoma"/>
          <w:sz w:val="20"/>
          <w:szCs w:val="20"/>
          <w:lang w:val="en-US"/>
        </w:rPr>
        <w:t xml:space="preserve">Tenders proposing </w:t>
      </w:r>
      <w:r w:rsidR="007309EA" w:rsidRPr="00033611">
        <w:rPr>
          <w:rFonts w:ascii="Tahoma" w:hAnsi="Tahoma" w:cs="Tahoma"/>
          <w:sz w:val="20"/>
          <w:szCs w:val="20"/>
          <w:lang w:val="en-US"/>
        </w:rPr>
        <w:t>fee</w:t>
      </w:r>
      <w:r w:rsidRPr="00033611">
        <w:rPr>
          <w:rFonts w:ascii="Tahoma" w:hAnsi="Tahoma" w:cs="Tahoma"/>
          <w:sz w:val="20"/>
          <w:szCs w:val="20"/>
          <w:lang w:val="en-US"/>
        </w:rPr>
        <w:t>s</w:t>
      </w:r>
      <w:r w:rsidR="007309EA" w:rsidRPr="00033611">
        <w:rPr>
          <w:rFonts w:ascii="Tahoma" w:hAnsi="Tahoma" w:cs="Tahoma"/>
          <w:sz w:val="20"/>
          <w:szCs w:val="20"/>
          <w:lang w:val="en-US"/>
        </w:rPr>
        <w:t xml:space="preserve"> above the exclusion level indicated in the Table of fees will be </w:t>
      </w:r>
      <w:r w:rsidR="007309EA" w:rsidRPr="00033611">
        <w:rPr>
          <w:rFonts w:ascii="Tahoma" w:hAnsi="Tahoma" w:cs="Tahoma"/>
          <w:b/>
          <w:sz w:val="20"/>
          <w:szCs w:val="20"/>
          <w:u w:val="single"/>
          <w:lang w:val="en-US"/>
        </w:rPr>
        <w:t>entirely and automatically</w:t>
      </w:r>
      <w:r w:rsidR="007309EA" w:rsidRPr="00033611">
        <w:rPr>
          <w:rFonts w:ascii="Tahoma" w:hAnsi="Tahoma" w:cs="Tahoma"/>
          <w:sz w:val="20"/>
          <w:szCs w:val="20"/>
          <w:lang w:val="en-US"/>
        </w:rPr>
        <w:t xml:space="preserve"> exc</w:t>
      </w:r>
      <w:r w:rsidR="00A47902" w:rsidRPr="00033611">
        <w:rPr>
          <w:rFonts w:ascii="Tahoma" w:hAnsi="Tahoma" w:cs="Tahoma"/>
          <w:sz w:val="20"/>
          <w:szCs w:val="20"/>
          <w:lang w:val="en-US"/>
        </w:rPr>
        <w:t>luded from the tender procedure</w:t>
      </w:r>
      <w:r w:rsidR="00AA28D3" w:rsidRPr="00033611">
        <w:rPr>
          <w:rFonts w:ascii="Tahoma" w:hAnsi="Tahoma" w:cs="Tahoma"/>
          <w:sz w:val="20"/>
          <w:szCs w:val="20"/>
          <w:lang w:val="en-US"/>
        </w:rPr>
        <w:t>.</w:t>
      </w:r>
    </w:p>
    <w:p w14:paraId="1D3DF920" w14:textId="77777777" w:rsidR="00A47902" w:rsidRPr="00033611" w:rsidRDefault="00A47902" w:rsidP="007309EA">
      <w:pPr>
        <w:keepLines/>
        <w:autoSpaceDE w:val="0"/>
        <w:autoSpaceDN w:val="0"/>
        <w:adjustRightInd w:val="0"/>
        <w:contextualSpacing/>
        <w:jc w:val="both"/>
        <w:rPr>
          <w:rFonts w:ascii="Tahoma" w:hAnsi="Tahoma" w:cs="Tahoma"/>
          <w:sz w:val="20"/>
          <w:szCs w:val="20"/>
          <w:lang w:val="en-US"/>
        </w:rPr>
      </w:pPr>
    </w:p>
    <w:p w14:paraId="09BC29A3" w14:textId="1BDBF471" w:rsidR="00DB6765" w:rsidRPr="00E25560" w:rsidRDefault="00B74E23" w:rsidP="007309EA">
      <w:pPr>
        <w:keepLines/>
        <w:autoSpaceDE w:val="0"/>
        <w:autoSpaceDN w:val="0"/>
        <w:adjustRightInd w:val="0"/>
        <w:contextualSpacing/>
        <w:jc w:val="both"/>
        <w:rPr>
          <w:rFonts w:ascii="Tahoma" w:hAnsi="Tahoma" w:cs="Tahoma"/>
          <w:sz w:val="20"/>
          <w:szCs w:val="20"/>
        </w:rPr>
      </w:pPr>
      <w:r w:rsidRPr="00033611">
        <w:rPr>
          <w:rFonts w:ascii="Tahoma" w:hAnsi="Tahoma" w:cs="Tahoma"/>
          <w:color w:val="000000" w:themeColor="text1"/>
          <w:sz w:val="20"/>
          <w:szCs w:val="20"/>
        </w:rPr>
        <w:t>The Council will indicate on each Order Form (see Section</w:t>
      </w:r>
      <w:r w:rsidR="00ED5526" w:rsidRPr="00033611">
        <w:rPr>
          <w:rFonts w:ascii="Tahoma" w:hAnsi="Tahoma" w:cs="Tahoma"/>
          <w:color w:val="000000" w:themeColor="text1"/>
          <w:sz w:val="20"/>
          <w:szCs w:val="20"/>
        </w:rPr>
        <w:t xml:space="preserve"> </w:t>
      </w:r>
      <w:r w:rsidR="00ED5526" w:rsidRPr="00033611">
        <w:rPr>
          <w:rFonts w:ascii="Tahoma" w:hAnsi="Tahoma" w:cs="Tahoma"/>
          <w:color w:val="000000" w:themeColor="text1"/>
          <w:sz w:val="20"/>
          <w:szCs w:val="20"/>
        </w:rPr>
        <w:fldChar w:fldCharType="begin"/>
      </w:r>
      <w:r w:rsidR="00ED5526" w:rsidRPr="00033611">
        <w:rPr>
          <w:rFonts w:ascii="Tahoma" w:hAnsi="Tahoma" w:cs="Tahoma"/>
          <w:color w:val="000000" w:themeColor="text1"/>
          <w:sz w:val="20"/>
          <w:szCs w:val="20"/>
        </w:rPr>
        <w:instrText xml:space="preserve"> REF _Ref482368674 \r \h </w:instrText>
      </w:r>
      <w:r w:rsidR="00E25560" w:rsidRPr="00033611">
        <w:rPr>
          <w:rFonts w:ascii="Tahoma" w:hAnsi="Tahoma" w:cs="Tahoma"/>
          <w:color w:val="000000" w:themeColor="text1"/>
          <w:sz w:val="20"/>
          <w:szCs w:val="20"/>
        </w:rPr>
        <w:instrText xml:space="preserve"> \* MERGEFORMAT </w:instrText>
      </w:r>
      <w:r w:rsidR="00ED5526" w:rsidRPr="00033611">
        <w:rPr>
          <w:rFonts w:ascii="Tahoma" w:hAnsi="Tahoma" w:cs="Tahoma"/>
          <w:color w:val="000000" w:themeColor="text1"/>
          <w:sz w:val="20"/>
          <w:szCs w:val="20"/>
        </w:rPr>
      </w:r>
      <w:r w:rsidR="00ED5526" w:rsidRPr="00033611">
        <w:rPr>
          <w:rFonts w:ascii="Tahoma" w:hAnsi="Tahoma" w:cs="Tahoma"/>
          <w:color w:val="000000" w:themeColor="text1"/>
          <w:sz w:val="20"/>
          <w:szCs w:val="20"/>
        </w:rPr>
        <w:fldChar w:fldCharType="separate"/>
      </w:r>
      <w:r w:rsidR="00ED5526" w:rsidRPr="00033611">
        <w:rPr>
          <w:rFonts w:ascii="Tahoma" w:hAnsi="Tahoma" w:cs="Tahoma"/>
          <w:color w:val="000000" w:themeColor="text1"/>
          <w:sz w:val="20"/>
          <w:szCs w:val="20"/>
        </w:rPr>
        <w:t>D</w:t>
      </w:r>
      <w:r w:rsidR="00ED5526" w:rsidRPr="00033611">
        <w:rPr>
          <w:rFonts w:ascii="Tahoma" w:hAnsi="Tahoma" w:cs="Tahoma"/>
          <w:color w:val="000000" w:themeColor="text1"/>
          <w:sz w:val="20"/>
          <w:szCs w:val="20"/>
        </w:rPr>
        <w:fldChar w:fldCharType="end"/>
      </w:r>
      <w:r w:rsidRPr="00033611">
        <w:rPr>
          <w:rFonts w:ascii="Tahoma" w:hAnsi="Tahoma" w:cs="Tahoma"/>
          <w:color w:val="000000" w:themeColor="text1"/>
          <w:sz w:val="20"/>
          <w:szCs w:val="20"/>
        </w:rPr>
        <w:t xml:space="preserve"> below) the global fee corresponding to each deliverable, calculated on the basis of the </w:t>
      </w:r>
      <w:r w:rsidR="00EF2465" w:rsidRPr="00033611">
        <w:rPr>
          <w:rFonts w:ascii="Tahoma" w:hAnsi="Tahoma" w:cs="Tahoma"/>
          <w:color w:val="000000" w:themeColor="text1"/>
          <w:sz w:val="20"/>
          <w:szCs w:val="20"/>
        </w:rPr>
        <w:t xml:space="preserve">unit </w:t>
      </w:r>
      <w:r w:rsidRPr="00033611">
        <w:rPr>
          <w:rFonts w:ascii="Tahoma" w:hAnsi="Tahoma" w:cs="Tahoma"/>
          <w:color w:val="000000" w:themeColor="text1"/>
          <w:sz w:val="20"/>
          <w:szCs w:val="20"/>
        </w:rPr>
        <w:t>fee</w:t>
      </w:r>
      <w:r w:rsidR="000461DD" w:rsidRPr="00033611">
        <w:rPr>
          <w:rFonts w:ascii="Tahoma" w:hAnsi="Tahoma" w:cs="Tahoma"/>
          <w:color w:val="000000" w:themeColor="text1"/>
          <w:sz w:val="20"/>
          <w:szCs w:val="20"/>
        </w:rPr>
        <w:t>s</w:t>
      </w:r>
      <w:r w:rsidRPr="00033611">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5"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5"/>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76827572" w14:textId="77777777" w:rsidR="00B660CA" w:rsidRDefault="00B660CA" w:rsidP="00C55FC9">
      <w:pPr>
        <w:jc w:val="both"/>
        <w:rPr>
          <w:rFonts w:ascii="Tahoma" w:hAnsi="Tahoma" w:cs="Tahoma"/>
          <w:sz w:val="20"/>
          <w:szCs w:val="20"/>
          <w:highlight w:val="cyan"/>
        </w:rPr>
      </w:pPr>
    </w:p>
    <w:p w14:paraId="4E695CAF" w14:textId="4D815ABA" w:rsidR="001614FA" w:rsidRPr="00033611" w:rsidRDefault="001614FA" w:rsidP="00C55FC9">
      <w:pPr>
        <w:jc w:val="both"/>
        <w:rPr>
          <w:rFonts w:ascii="Tahoma" w:hAnsi="Tahoma" w:cs="Tahoma"/>
          <w:b/>
          <w:sz w:val="20"/>
          <w:szCs w:val="20"/>
          <w:lang w:val="en-US"/>
        </w:rPr>
      </w:pPr>
      <w:r w:rsidRPr="00033611">
        <w:rPr>
          <w:rFonts w:ascii="Tahoma" w:hAnsi="Tahoma" w:cs="Tahoma"/>
          <w:b/>
          <w:sz w:val="20"/>
          <w:szCs w:val="20"/>
          <w:lang w:val="en-US"/>
        </w:rPr>
        <w:t>Pooling</w:t>
      </w:r>
    </w:p>
    <w:p w14:paraId="1D38A21F" w14:textId="03D646DE" w:rsidR="00232D58" w:rsidRPr="00033611" w:rsidRDefault="00232D58" w:rsidP="00C55FC9">
      <w:pPr>
        <w:jc w:val="both"/>
        <w:rPr>
          <w:rFonts w:ascii="Tahoma" w:hAnsi="Tahoma" w:cs="Tahoma"/>
          <w:sz w:val="20"/>
          <w:szCs w:val="20"/>
        </w:rPr>
      </w:pPr>
      <w:r w:rsidRPr="00033611">
        <w:rPr>
          <w:rFonts w:ascii="Tahoma" w:hAnsi="Tahoma" w:cs="Tahoma"/>
          <w:sz w:val="20"/>
          <w:szCs w:val="20"/>
        </w:rPr>
        <w:t xml:space="preserve">For each Order, the Council will choose from the pool of pre-selected tenderers </w:t>
      </w:r>
      <w:r w:rsidR="00177E61" w:rsidRPr="00033611">
        <w:rPr>
          <w:rFonts w:ascii="Tahoma" w:hAnsi="Tahoma" w:cs="Tahoma"/>
          <w:sz w:val="20"/>
          <w:szCs w:val="20"/>
        </w:rPr>
        <w:t xml:space="preserve">for the relevant lot </w:t>
      </w:r>
      <w:r w:rsidRPr="00033611">
        <w:rPr>
          <w:rFonts w:ascii="Tahoma" w:hAnsi="Tahoma" w:cs="Tahoma"/>
          <w:sz w:val="20"/>
          <w:szCs w:val="20"/>
        </w:rPr>
        <w:t xml:space="preserve">the Provider who demonstrably offers best value for money for its requirement when assessed </w:t>
      </w:r>
      <w:r w:rsidR="00EF2465" w:rsidRPr="00033611">
        <w:rPr>
          <w:rFonts w:ascii="Tahoma" w:hAnsi="Tahoma" w:cs="Tahoma"/>
          <w:sz w:val="20"/>
          <w:szCs w:val="20"/>
        </w:rPr>
        <w:t xml:space="preserve">– for the Order concerned – </w:t>
      </w:r>
      <w:r w:rsidRPr="00033611">
        <w:rPr>
          <w:rFonts w:ascii="Tahoma" w:hAnsi="Tahoma" w:cs="Tahoma"/>
          <w:sz w:val="20"/>
          <w:szCs w:val="20"/>
        </w:rPr>
        <w:t xml:space="preserve">against the criteria of:  </w:t>
      </w:r>
    </w:p>
    <w:p w14:paraId="570CCF13" w14:textId="4A706A62" w:rsidR="00C55FC9" w:rsidRPr="00033611" w:rsidRDefault="00C55FC9" w:rsidP="00C55FC9">
      <w:pPr>
        <w:pStyle w:val="Default"/>
        <w:numPr>
          <w:ilvl w:val="0"/>
          <w:numId w:val="12"/>
        </w:numPr>
        <w:rPr>
          <w:rFonts w:ascii="Tahoma" w:hAnsi="Tahoma" w:cs="Tahoma"/>
          <w:sz w:val="20"/>
          <w:szCs w:val="20"/>
        </w:rPr>
      </w:pPr>
      <w:r w:rsidRPr="00033611">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033611" w:rsidRDefault="00232D58" w:rsidP="00232D58">
      <w:pPr>
        <w:pStyle w:val="Default"/>
        <w:numPr>
          <w:ilvl w:val="0"/>
          <w:numId w:val="12"/>
        </w:numPr>
        <w:rPr>
          <w:rFonts w:ascii="Tahoma" w:hAnsi="Tahoma" w:cs="Tahoma"/>
          <w:sz w:val="20"/>
          <w:szCs w:val="20"/>
        </w:rPr>
      </w:pPr>
      <w:r w:rsidRPr="00033611">
        <w:rPr>
          <w:rFonts w:ascii="Tahoma" w:hAnsi="Tahoma" w:cs="Tahoma"/>
          <w:sz w:val="20"/>
          <w:szCs w:val="20"/>
        </w:rPr>
        <w:t>availab</w:t>
      </w:r>
      <w:r w:rsidR="00C55FC9" w:rsidRPr="00033611">
        <w:rPr>
          <w:rFonts w:ascii="Tahoma" w:hAnsi="Tahoma" w:cs="Tahoma"/>
          <w:sz w:val="20"/>
          <w:szCs w:val="20"/>
        </w:rPr>
        <w:t>i</w:t>
      </w:r>
      <w:r w:rsidRPr="00033611">
        <w:rPr>
          <w:rFonts w:ascii="Tahoma" w:hAnsi="Tahoma" w:cs="Tahoma"/>
          <w:sz w:val="20"/>
          <w:szCs w:val="20"/>
        </w:rPr>
        <w:t>l</w:t>
      </w:r>
      <w:r w:rsidR="00C55FC9" w:rsidRPr="00033611">
        <w:rPr>
          <w:rFonts w:ascii="Tahoma" w:hAnsi="Tahoma" w:cs="Tahoma"/>
          <w:sz w:val="20"/>
          <w:szCs w:val="20"/>
        </w:rPr>
        <w:t>ity</w:t>
      </w:r>
      <w:r w:rsidRPr="00033611">
        <w:rPr>
          <w:rFonts w:ascii="Tahoma" w:hAnsi="Tahoma" w:cs="Tahoma"/>
          <w:sz w:val="20"/>
          <w:szCs w:val="20"/>
        </w:rPr>
        <w:t xml:space="preserve"> (including, without limitation, capacity to meet required deadlines and, where relevant, geographical location); </w:t>
      </w:r>
      <w:r w:rsidR="00C55FC9" w:rsidRPr="00033611">
        <w:rPr>
          <w:rFonts w:ascii="Tahoma" w:hAnsi="Tahoma" w:cs="Tahoma"/>
          <w:sz w:val="20"/>
          <w:szCs w:val="20"/>
        </w:rPr>
        <w:t>and</w:t>
      </w:r>
    </w:p>
    <w:p w14:paraId="42B4BFFF" w14:textId="77777777" w:rsidR="00232D58" w:rsidRPr="00033611" w:rsidRDefault="00232D58" w:rsidP="00232D58">
      <w:pPr>
        <w:pStyle w:val="Default"/>
        <w:numPr>
          <w:ilvl w:val="0"/>
          <w:numId w:val="12"/>
        </w:numPr>
        <w:rPr>
          <w:rFonts w:ascii="Tahoma" w:hAnsi="Tahoma" w:cs="Tahoma"/>
          <w:sz w:val="20"/>
          <w:szCs w:val="20"/>
        </w:rPr>
      </w:pPr>
      <w:r w:rsidRPr="00033611">
        <w:rPr>
          <w:rFonts w:ascii="Tahoma" w:hAnsi="Tahoma" w:cs="Tahoma"/>
          <w:sz w:val="20"/>
          <w:szCs w:val="20"/>
        </w:rPr>
        <w:t>price.</w:t>
      </w:r>
    </w:p>
    <w:p w14:paraId="187A346A" w14:textId="77777777" w:rsidR="00232D58" w:rsidRPr="00033611" w:rsidRDefault="00232D58" w:rsidP="00232D58">
      <w:pPr>
        <w:pStyle w:val="Default"/>
        <w:ind w:left="720"/>
        <w:rPr>
          <w:rFonts w:ascii="Tahoma" w:hAnsi="Tahoma" w:cs="Tahoma"/>
          <w:sz w:val="20"/>
          <w:szCs w:val="20"/>
        </w:rPr>
      </w:pPr>
    </w:p>
    <w:p w14:paraId="68538636" w14:textId="603D49D2" w:rsidR="00232D58" w:rsidRPr="00033611" w:rsidRDefault="00232D58" w:rsidP="00C55FC9">
      <w:pPr>
        <w:pStyle w:val="Default"/>
        <w:jc w:val="both"/>
        <w:rPr>
          <w:rFonts w:ascii="Tahoma" w:hAnsi="Tahoma" w:cs="Tahoma"/>
        </w:rPr>
      </w:pPr>
      <w:r w:rsidRPr="00033611">
        <w:rPr>
          <w:rFonts w:ascii="Tahoma" w:hAnsi="Tahoma" w:cs="Tahoma"/>
          <w:sz w:val="20"/>
          <w:szCs w:val="20"/>
        </w:rPr>
        <w:t xml:space="preserve">Each time an Order Form is sent, the selected Provider undertakes to take all the necessary measures to send it </w:t>
      </w:r>
      <w:r w:rsidRPr="00033611">
        <w:rPr>
          <w:rFonts w:ascii="Tahoma" w:hAnsi="Tahoma" w:cs="Tahoma"/>
          <w:b/>
          <w:sz w:val="20"/>
          <w:szCs w:val="20"/>
        </w:rPr>
        <w:t>signed</w:t>
      </w:r>
      <w:r w:rsidRPr="00033611">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48F6AE6D" w14:textId="138558F8" w:rsidR="003A4A6D" w:rsidRPr="00E25560" w:rsidRDefault="003A4A6D" w:rsidP="00B660CA">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F98F0EC"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lastRenderedPageBreak/>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432E0249" w:rsidR="00703E4B"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703E4B" w:rsidRPr="00464D7C">
        <w:rPr>
          <w:rFonts w:ascii="Tahoma" w:hAnsi="Tahoma" w:cs="Tahoma"/>
          <w:sz w:val="20"/>
          <w:szCs w:val="18"/>
          <w:lang w:val="en-US"/>
        </w:rPr>
        <w:t>.</w:t>
      </w:r>
    </w:p>
    <w:p w14:paraId="09BC29C8" w14:textId="32006B77" w:rsidR="00D22682" w:rsidRPr="00E25560" w:rsidRDefault="00D22682" w:rsidP="00703E4B">
      <w:pPr>
        <w:ind w:left="720"/>
        <w:jc w:val="both"/>
        <w:rPr>
          <w:rFonts w:ascii="Tahoma" w:hAnsi="Tahoma" w:cs="Tahoma"/>
          <w:sz w:val="20"/>
          <w:szCs w:val="20"/>
        </w:rPr>
      </w:pPr>
    </w:p>
    <w:p w14:paraId="09BC29C9" w14:textId="532EFD81" w:rsidR="000747C3"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CC02F3B" w14:textId="7F834EDF" w:rsidR="00933853" w:rsidRPr="00933853" w:rsidRDefault="00933853" w:rsidP="0073327A">
      <w:pPr>
        <w:spacing w:after="120"/>
        <w:rPr>
          <w:rFonts w:ascii="Tahoma" w:hAnsi="Tahoma" w:cs="Tahoma"/>
          <w:iCs/>
          <w:sz w:val="20"/>
          <w:szCs w:val="20"/>
        </w:rPr>
      </w:pPr>
      <w:r w:rsidRPr="00933853">
        <w:rPr>
          <w:rFonts w:ascii="Tahoma" w:hAnsi="Tahoma" w:cs="Tahoma"/>
          <w:iCs/>
          <w:sz w:val="20"/>
          <w:szCs w:val="20"/>
        </w:rPr>
        <w:t xml:space="preserve">Lot1 </w:t>
      </w:r>
      <w:r>
        <w:rPr>
          <w:rFonts w:ascii="Tahoma" w:hAnsi="Tahoma" w:cs="Tahoma"/>
          <w:iCs/>
          <w:sz w:val="20"/>
          <w:szCs w:val="20"/>
        </w:rPr>
        <w:t>and Lot 2</w:t>
      </w:r>
    </w:p>
    <w:p w14:paraId="4E589AD2" w14:textId="75D22931" w:rsidR="00033611" w:rsidRDefault="00033611" w:rsidP="00033611">
      <w:pPr>
        <w:numPr>
          <w:ilvl w:val="0"/>
          <w:numId w:val="22"/>
        </w:numPr>
        <w:rPr>
          <w:rFonts w:ascii="Tahoma" w:hAnsi="Tahoma" w:cs="Tahoma"/>
          <w:sz w:val="20"/>
          <w:szCs w:val="20"/>
        </w:rPr>
      </w:pPr>
      <w:bookmarkStart w:id="6" w:name="_Hlk95386951"/>
      <w:r>
        <w:rPr>
          <w:rFonts w:ascii="Tahoma" w:hAnsi="Tahoma" w:cs="Tahoma"/>
          <w:sz w:val="20"/>
          <w:szCs w:val="20"/>
        </w:rPr>
        <w:t xml:space="preserve">A master’s degree in </w:t>
      </w:r>
      <w:r w:rsidR="00EA06AE">
        <w:rPr>
          <w:rFonts w:ascii="Tahoma" w:hAnsi="Tahoma" w:cs="Tahoma"/>
          <w:sz w:val="20"/>
          <w:szCs w:val="20"/>
        </w:rPr>
        <w:t>one of the following fields:</w:t>
      </w:r>
      <w:r>
        <w:rPr>
          <w:rFonts w:ascii="Tahoma" w:hAnsi="Tahoma" w:cs="Tahoma"/>
          <w:sz w:val="20"/>
          <w:szCs w:val="20"/>
        </w:rPr>
        <w:t xml:space="preserve"> constitutional law, human rights law, legal research, judicial training, human security, political science, sociology;</w:t>
      </w:r>
    </w:p>
    <w:p w14:paraId="38384ADF" w14:textId="77777777" w:rsidR="00033611" w:rsidRDefault="00033611" w:rsidP="00033611">
      <w:pPr>
        <w:numPr>
          <w:ilvl w:val="0"/>
          <w:numId w:val="22"/>
        </w:numPr>
        <w:rPr>
          <w:rFonts w:ascii="Tahoma" w:hAnsi="Tahoma" w:cs="Tahoma"/>
          <w:sz w:val="20"/>
          <w:szCs w:val="20"/>
        </w:rPr>
      </w:pPr>
      <w:r>
        <w:rPr>
          <w:rFonts w:ascii="Tahoma" w:hAnsi="Tahoma" w:cs="Tahoma"/>
          <w:sz w:val="20"/>
          <w:szCs w:val="20"/>
        </w:rPr>
        <w:t>Minimum 3 years of experience in the work of the European Court of Human Rights in Strasbourg (ECtHR), national constitutional courts, national human rights institutions or distinguished international human rights organizations and NGOs, in development and delivery of training in the human rights sector, communications and public relations, implementation of ECHR in national contexts, constitutional law or with national justice academies.</w:t>
      </w:r>
    </w:p>
    <w:bookmarkEnd w:id="6"/>
    <w:p w14:paraId="629D2C05" w14:textId="65E760E6" w:rsidR="00033611" w:rsidRPr="00EA06AE" w:rsidRDefault="00033611" w:rsidP="00EA06AE">
      <w:pPr>
        <w:numPr>
          <w:ilvl w:val="0"/>
          <w:numId w:val="22"/>
        </w:numPr>
        <w:rPr>
          <w:rFonts w:ascii="Tahoma" w:hAnsi="Tahoma" w:cs="Tahoma"/>
          <w:sz w:val="20"/>
          <w:szCs w:val="20"/>
        </w:rPr>
      </w:pPr>
      <w:r w:rsidRPr="00EA06AE">
        <w:rPr>
          <w:rFonts w:ascii="Tahoma" w:hAnsi="Tahoma" w:cs="Tahoma"/>
          <w:sz w:val="20"/>
          <w:szCs w:val="20"/>
        </w:rPr>
        <w:t>Demonstrated knowledge of the specific topic of admissibility criteria for the constitutional compliant and other human rights issues</w:t>
      </w:r>
    </w:p>
    <w:p w14:paraId="42AEA1F2" w14:textId="77777777" w:rsidR="00033611" w:rsidRDefault="00033611" w:rsidP="00033611">
      <w:pPr>
        <w:numPr>
          <w:ilvl w:val="0"/>
          <w:numId w:val="22"/>
        </w:numPr>
        <w:rPr>
          <w:rFonts w:ascii="Tahoma" w:hAnsi="Tahoma" w:cs="Tahoma"/>
          <w:sz w:val="20"/>
          <w:szCs w:val="20"/>
        </w:rPr>
      </w:pPr>
      <w:r>
        <w:rPr>
          <w:rFonts w:ascii="Tahoma" w:hAnsi="Tahoma" w:cs="Tahoma"/>
          <w:sz w:val="20"/>
          <w:szCs w:val="20"/>
        </w:rPr>
        <w:t>Excellent drafting and interactive presentation skills in English</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1FBE89F0" w14:textId="08C40504" w:rsidR="00933853" w:rsidRPr="00933853" w:rsidRDefault="00933853" w:rsidP="0073327A">
      <w:pPr>
        <w:spacing w:after="120"/>
        <w:rPr>
          <w:rFonts w:ascii="Tahoma" w:hAnsi="Tahoma" w:cs="Tahoma"/>
          <w:iCs/>
          <w:sz w:val="20"/>
          <w:szCs w:val="20"/>
        </w:rPr>
      </w:pPr>
      <w:r w:rsidRPr="00933853">
        <w:rPr>
          <w:rFonts w:ascii="Tahoma" w:hAnsi="Tahoma" w:cs="Tahoma"/>
          <w:iCs/>
          <w:sz w:val="20"/>
          <w:szCs w:val="20"/>
        </w:rPr>
        <w:t>Lot 3</w:t>
      </w:r>
    </w:p>
    <w:p w14:paraId="35652B3F" w14:textId="16458D59" w:rsidR="00933853" w:rsidRDefault="00933853" w:rsidP="00933853">
      <w:pPr>
        <w:numPr>
          <w:ilvl w:val="0"/>
          <w:numId w:val="22"/>
        </w:numPr>
        <w:rPr>
          <w:rFonts w:ascii="Tahoma" w:hAnsi="Tahoma" w:cs="Tahoma"/>
          <w:sz w:val="20"/>
          <w:szCs w:val="20"/>
        </w:rPr>
      </w:pPr>
      <w:r>
        <w:rPr>
          <w:rFonts w:ascii="Tahoma" w:hAnsi="Tahoma" w:cs="Tahoma"/>
          <w:sz w:val="20"/>
          <w:szCs w:val="20"/>
        </w:rPr>
        <w:t>A master’s degree in one of the following fields: media, public relations, journalism, communications, marketing</w:t>
      </w:r>
      <w:r w:rsidR="007B6E66">
        <w:rPr>
          <w:rFonts w:ascii="Tahoma" w:hAnsi="Tahoma" w:cs="Tahoma"/>
          <w:sz w:val="20"/>
          <w:szCs w:val="20"/>
        </w:rPr>
        <w:t xml:space="preserve"> and other relevant </w:t>
      </w:r>
      <w:r w:rsidR="00DF6E3C">
        <w:rPr>
          <w:rFonts w:ascii="Tahoma" w:hAnsi="Tahoma" w:cs="Tahoma"/>
          <w:sz w:val="20"/>
          <w:szCs w:val="20"/>
        </w:rPr>
        <w:t>fields</w:t>
      </w:r>
      <w:r>
        <w:rPr>
          <w:rFonts w:ascii="Tahoma" w:hAnsi="Tahoma" w:cs="Tahoma"/>
          <w:sz w:val="20"/>
          <w:szCs w:val="20"/>
        </w:rPr>
        <w:t xml:space="preserve"> </w:t>
      </w:r>
    </w:p>
    <w:p w14:paraId="0538D2E0" w14:textId="2BF9FFAA" w:rsidR="00933853" w:rsidRDefault="00933853" w:rsidP="00933853">
      <w:pPr>
        <w:numPr>
          <w:ilvl w:val="0"/>
          <w:numId w:val="22"/>
        </w:numPr>
        <w:rPr>
          <w:rFonts w:ascii="Tahoma" w:hAnsi="Tahoma" w:cs="Tahoma"/>
          <w:sz w:val="20"/>
          <w:szCs w:val="20"/>
        </w:rPr>
      </w:pPr>
      <w:r>
        <w:rPr>
          <w:rFonts w:ascii="Tahoma" w:hAnsi="Tahoma" w:cs="Tahoma"/>
          <w:sz w:val="20"/>
          <w:szCs w:val="20"/>
        </w:rPr>
        <w:t>Minimum 3 years of experience in communications</w:t>
      </w:r>
      <w:r w:rsidR="001727D7">
        <w:rPr>
          <w:rFonts w:ascii="Tahoma" w:hAnsi="Tahoma" w:cs="Tahoma"/>
          <w:sz w:val="20"/>
          <w:szCs w:val="20"/>
        </w:rPr>
        <w:t>,</w:t>
      </w:r>
      <w:r>
        <w:rPr>
          <w:rFonts w:ascii="Tahoma" w:hAnsi="Tahoma" w:cs="Tahoma"/>
          <w:sz w:val="20"/>
          <w:szCs w:val="20"/>
        </w:rPr>
        <w:t xml:space="preserve"> public relations</w:t>
      </w:r>
      <w:r w:rsidR="001727D7">
        <w:rPr>
          <w:rFonts w:ascii="Tahoma" w:hAnsi="Tahoma" w:cs="Tahoma"/>
          <w:sz w:val="20"/>
          <w:szCs w:val="20"/>
        </w:rPr>
        <w:t>, advertising, or other relevant outreach activities</w:t>
      </w:r>
    </w:p>
    <w:p w14:paraId="05BB72A2" w14:textId="77777777" w:rsidR="00933853" w:rsidRDefault="00933853" w:rsidP="0073327A">
      <w:pPr>
        <w:spacing w:after="120"/>
        <w:rPr>
          <w:rFonts w:ascii="Tahoma" w:hAnsi="Tahoma" w:cs="Tahoma"/>
          <w:i/>
          <w:sz w:val="20"/>
          <w:szCs w:val="20"/>
        </w:rPr>
      </w:pPr>
    </w:p>
    <w:p w14:paraId="09BC29D0" w14:textId="53D74D40"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7DB9ACAC" w14:textId="77777777" w:rsidR="00033611" w:rsidRPr="00210C01" w:rsidRDefault="00033611" w:rsidP="00033611">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Pr>
          <w:rFonts w:ascii="Tahoma" w:hAnsi="Tahoma" w:cs="Tahoma"/>
          <w:color w:val="000000" w:themeColor="text1"/>
          <w:sz w:val="20"/>
          <w:szCs w:val="20"/>
        </w:rPr>
        <w:t>80</w:t>
      </w:r>
      <w:r w:rsidRPr="00453A9E">
        <w:rPr>
          <w:rFonts w:ascii="Tahoma" w:hAnsi="Tahoma" w:cs="Tahoma"/>
          <w:color w:val="000000" w:themeColor="text1"/>
          <w:sz w:val="20"/>
          <w:szCs w:val="20"/>
        </w:rPr>
        <w:t>%), including:</w:t>
      </w:r>
    </w:p>
    <w:p w14:paraId="57224B9A" w14:textId="77777777" w:rsidR="00033611" w:rsidRPr="00210C01" w:rsidRDefault="00033611" w:rsidP="00033611">
      <w:pPr>
        <w:numPr>
          <w:ilvl w:val="1"/>
          <w:numId w:val="9"/>
        </w:numPr>
        <w:rPr>
          <w:rFonts w:ascii="Tahoma" w:hAnsi="Tahoma" w:cs="Tahoma"/>
          <w:color w:val="000000"/>
          <w:sz w:val="20"/>
          <w:szCs w:val="20"/>
        </w:rPr>
      </w:pPr>
      <w:r w:rsidRPr="00210C01">
        <w:rPr>
          <w:rFonts w:ascii="Tahoma" w:hAnsi="Tahoma" w:cs="Tahoma"/>
          <w:color w:val="000000"/>
          <w:sz w:val="20"/>
          <w:szCs w:val="20"/>
        </w:rPr>
        <w:t>Expertise and knowledge in the relevant areas covered by this call/respective Lot (60%);</w:t>
      </w:r>
    </w:p>
    <w:p w14:paraId="59BB3C5E" w14:textId="77777777" w:rsidR="00033611" w:rsidRPr="00210C01" w:rsidRDefault="00033611" w:rsidP="00033611">
      <w:pPr>
        <w:numPr>
          <w:ilvl w:val="1"/>
          <w:numId w:val="9"/>
        </w:numPr>
        <w:rPr>
          <w:rFonts w:ascii="Tahoma" w:hAnsi="Tahoma" w:cs="Tahoma"/>
          <w:color w:val="000000"/>
          <w:sz w:val="20"/>
          <w:szCs w:val="20"/>
        </w:rPr>
      </w:pPr>
      <w:r w:rsidRPr="00210C01">
        <w:rPr>
          <w:rFonts w:ascii="Tahoma" w:hAnsi="Tahoma" w:cs="Tahoma"/>
          <w:color w:val="000000"/>
          <w:sz w:val="20"/>
          <w:szCs w:val="20"/>
        </w:rPr>
        <w:t>Proposed methods for undertaking work (10%).</w:t>
      </w:r>
    </w:p>
    <w:p w14:paraId="7F07D1CA" w14:textId="77777777" w:rsidR="00033611" w:rsidRPr="00210C01" w:rsidRDefault="00033611" w:rsidP="00033611">
      <w:pPr>
        <w:numPr>
          <w:ilvl w:val="1"/>
          <w:numId w:val="9"/>
        </w:numPr>
        <w:rPr>
          <w:rFonts w:ascii="Tahoma" w:hAnsi="Tahoma" w:cs="Tahoma"/>
          <w:color w:val="000000"/>
          <w:sz w:val="20"/>
          <w:szCs w:val="20"/>
        </w:rPr>
      </w:pPr>
      <w:r w:rsidRPr="00210C01">
        <w:rPr>
          <w:rFonts w:ascii="Tahoma" w:hAnsi="Tahoma" w:cs="Tahoma"/>
          <w:color w:val="000000"/>
          <w:sz w:val="20"/>
          <w:szCs w:val="20"/>
        </w:rPr>
        <w:t>Capacity to adapt to the context (10%)</w:t>
      </w:r>
    </w:p>
    <w:p w14:paraId="6A0824F2" w14:textId="77777777" w:rsidR="00033611" w:rsidRPr="00453A9E" w:rsidRDefault="00033611" w:rsidP="00033611">
      <w:pPr>
        <w:ind w:left="1440"/>
        <w:rPr>
          <w:rFonts w:ascii="Tahoma" w:hAnsi="Tahoma" w:cs="Tahoma"/>
          <w:color w:val="808080"/>
          <w:sz w:val="20"/>
          <w:szCs w:val="20"/>
        </w:rPr>
      </w:pPr>
    </w:p>
    <w:p w14:paraId="557E4DC6" w14:textId="7B4A8BDC" w:rsidR="00033611" w:rsidRDefault="00033611" w:rsidP="00033611">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Pr>
          <w:rFonts w:ascii="Tahoma" w:hAnsi="Tahoma" w:cs="Tahoma"/>
          <w:color w:val="000000" w:themeColor="text1"/>
          <w:sz w:val="20"/>
          <w:szCs w:val="20"/>
        </w:rPr>
        <w:t>20</w:t>
      </w:r>
      <w:r w:rsidRPr="00453A9E">
        <w:rPr>
          <w:rFonts w:ascii="Tahoma" w:hAnsi="Tahoma" w:cs="Tahoma"/>
          <w:color w:val="000000" w:themeColor="text1"/>
          <w:sz w:val="20"/>
          <w:szCs w:val="20"/>
        </w:rPr>
        <w:t>%).</w:t>
      </w:r>
    </w:p>
    <w:p w14:paraId="75E462F7" w14:textId="77777777" w:rsidR="00033611" w:rsidRPr="00453A9E" w:rsidRDefault="00033611" w:rsidP="00033611">
      <w:pPr>
        <w:ind w:left="720"/>
        <w:rPr>
          <w:rFonts w:ascii="Tahoma" w:hAnsi="Tahoma" w:cs="Tahoma"/>
          <w:color w:val="000000" w:themeColor="text1"/>
          <w:sz w:val="20"/>
          <w:szCs w:val="20"/>
        </w:rPr>
      </w:pPr>
    </w:p>
    <w:p w14:paraId="697A9A6A" w14:textId="77777777" w:rsidR="00033611" w:rsidRPr="00453A9E" w:rsidRDefault="00033611" w:rsidP="00033611">
      <w:pPr>
        <w:keepLines/>
        <w:autoSpaceDE w:val="0"/>
        <w:autoSpaceDN w:val="0"/>
        <w:adjustRightInd w:val="0"/>
        <w:contextualSpacing/>
        <w:jc w:val="both"/>
        <w:rPr>
          <w:rFonts w:ascii="Tahoma" w:hAnsi="Tahoma" w:cs="Tahoma"/>
          <w:sz w:val="20"/>
          <w:szCs w:val="20"/>
        </w:rPr>
      </w:pPr>
      <w:r w:rsidRPr="00210C01">
        <w:rPr>
          <w:rFonts w:ascii="Tahoma" w:hAnsi="Tahoma" w:cs="Tahoma"/>
          <w:color w:val="000000" w:themeColor="text1"/>
          <w:sz w:val="20"/>
          <w:szCs w:val="20"/>
        </w:rPr>
        <w:t>The Council reserves the right to hold interviews with eligible tenderers.</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7"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7"/>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4BDFE2D7" w14:textId="47FCC676" w:rsidR="00033611" w:rsidRPr="00033611" w:rsidRDefault="00033611" w:rsidP="00033611">
      <w:pPr>
        <w:pStyle w:val="ListParagraph"/>
        <w:numPr>
          <w:ilvl w:val="0"/>
          <w:numId w:val="23"/>
        </w:numPr>
        <w:rPr>
          <w:rFonts w:ascii="Tahoma" w:hAnsi="Tahoma" w:cs="Tahoma"/>
          <w:sz w:val="20"/>
          <w:szCs w:val="20"/>
        </w:rPr>
      </w:pPr>
      <w:r w:rsidRPr="00033611">
        <w:rPr>
          <w:rFonts w:ascii="Tahoma" w:hAnsi="Tahoma" w:cs="Tahoma"/>
          <w:sz w:val="20"/>
          <w:szCs w:val="20"/>
        </w:rPr>
        <w:t>A completed and signed copy of the Act of Engagement (See attached);</w:t>
      </w:r>
    </w:p>
    <w:p w14:paraId="670E40B3" w14:textId="77777777" w:rsidR="00033611" w:rsidRPr="00033611" w:rsidRDefault="00033611" w:rsidP="00033611">
      <w:pPr>
        <w:pStyle w:val="ListParagraph"/>
        <w:numPr>
          <w:ilvl w:val="0"/>
          <w:numId w:val="23"/>
        </w:numPr>
        <w:rPr>
          <w:rFonts w:ascii="Tahoma" w:hAnsi="Tahoma" w:cs="Tahoma"/>
          <w:sz w:val="20"/>
          <w:szCs w:val="20"/>
        </w:rPr>
      </w:pPr>
      <w:r w:rsidRPr="00033611">
        <w:rPr>
          <w:rFonts w:ascii="Tahoma" w:hAnsi="Tahoma" w:cs="Tahoma"/>
          <w:sz w:val="20"/>
          <w:szCs w:val="20"/>
        </w:rPr>
        <w:t>A detailed CV, preferably in Europass Format, demonstrating clearly that the tenderer fulfils the eligibility criteria;</w:t>
      </w:r>
    </w:p>
    <w:p w14:paraId="0C254B99" w14:textId="6C1DA155" w:rsidR="00033611" w:rsidRPr="00B950A2" w:rsidRDefault="00033611" w:rsidP="00B950A2">
      <w:pPr>
        <w:pStyle w:val="ListParagraph"/>
        <w:numPr>
          <w:ilvl w:val="0"/>
          <w:numId w:val="23"/>
        </w:numPr>
        <w:rPr>
          <w:rFonts w:ascii="Tahoma" w:hAnsi="Tahoma" w:cs="Tahoma"/>
          <w:sz w:val="20"/>
          <w:szCs w:val="20"/>
        </w:rPr>
      </w:pPr>
      <w:r w:rsidRPr="00033611">
        <w:rPr>
          <w:rFonts w:ascii="Tahoma" w:hAnsi="Tahoma" w:cs="Tahoma"/>
          <w:sz w:val="20"/>
          <w:szCs w:val="20"/>
        </w:rPr>
        <w:t>Registration documents, for legal persons only;</w:t>
      </w:r>
    </w:p>
    <w:p w14:paraId="0DD1EF7F" w14:textId="2F7C20A2" w:rsidR="00033611" w:rsidRPr="00033611" w:rsidRDefault="00033611" w:rsidP="00033611">
      <w:pPr>
        <w:pStyle w:val="ListParagraph"/>
        <w:numPr>
          <w:ilvl w:val="0"/>
          <w:numId w:val="23"/>
        </w:numPr>
        <w:rPr>
          <w:rFonts w:ascii="Tahoma" w:hAnsi="Tahoma" w:cs="Tahoma"/>
          <w:sz w:val="20"/>
          <w:szCs w:val="20"/>
        </w:rPr>
      </w:pPr>
      <w:r w:rsidRPr="00033611">
        <w:rPr>
          <w:rFonts w:ascii="Tahoma" w:hAnsi="Tahoma" w:cs="Tahoma"/>
          <w:sz w:val="20"/>
          <w:szCs w:val="20"/>
        </w:rPr>
        <w:t xml:space="preserve">One or more samples of previous </w:t>
      </w:r>
      <w:r w:rsidR="001727D7">
        <w:rPr>
          <w:rFonts w:ascii="Tahoma" w:hAnsi="Tahoma" w:cs="Tahoma"/>
          <w:sz w:val="20"/>
          <w:szCs w:val="20"/>
        </w:rPr>
        <w:t xml:space="preserve">relevant </w:t>
      </w:r>
      <w:r w:rsidRPr="00033611">
        <w:rPr>
          <w:rFonts w:ascii="Tahoma" w:hAnsi="Tahoma" w:cs="Tahoma"/>
          <w:sz w:val="20"/>
          <w:szCs w:val="20"/>
        </w:rPr>
        <w:t xml:space="preserve">work </w:t>
      </w:r>
    </w:p>
    <w:p w14:paraId="49DD967B" w14:textId="77777777" w:rsidR="00033611" w:rsidRPr="00033611" w:rsidRDefault="00033611" w:rsidP="00033611">
      <w:pPr>
        <w:pStyle w:val="ListParagraph"/>
        <w:numPr>
          <w:ilvl w:val="0"/>
          <w:numId w:val="23"/>
        </w:numPr>
        <w:rPr>
          <w:rFonts w:ascii="Tahoma" w:hAnsi="Tahoma" w:cs="Tahoma"/>
          <w:sz w:val="20"/>
          <w:szCs w:val="20"/>
        </w:rPr>
      </w:pPr>
      <w:r w:rsidRPr="00033611">
        <w:rPr>
          <w:rFonts w:ascii="Tahoma" w:hAnsi="Tahoma" w:cs="Tahoma"/>
          <w:sz w:val="20"/>
          <w:szCs w:val="20"/>
        </w:rPr>
        <w:t xml:space="preserve">3 (three) referees' contact details </w:t>
      </w:r>
    </w:p>
    <w:p w14:paraId="54E2C120" w14:textId="77777777" w:rsidR="00033611" w:rsidRPr="00033611" w:rsidRDefault="00033611" w:rsidP="00033611">
      <w:pPr>
        <w:ind w:left="714"/>
        <w:rPr>
          <w:rFonts w:ascii="Tahoma" w:hAnsi="Tahoma" w:cs="Tahoma"/>
          <w:sz w:val="20"/>
          <w:szCs w:val="20"/>
        </w:rPr>
      </w:pPr>
    </w:p>
    <w:p w14:paraId="26D5E23D" w14:textId="77777777" w:rsidR="0073327A" w:rsidRPr="00E25560" w:rsidRDefault="0073327A" w:rsidP="0073327A">
      <w:pPr>
        <w:ind w:left="714"/>
        <w:rPr>
          <w:rFonts w:ascii="Tahoma" w:hAnsi="Tahoma" w:cs="Tahoma"/>
          <w:b/>
          <w:sz w:val="20"/>
          <w:szCs w:val="20"/>
        </w:rPr>
      </w:pPr>
    </w:p>
    <w:p w14:paraId="7AFCE112" w14:textId="59C75E6D"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033611">
        <w:rPr>
          <w:rFonts w:ascii="Tahoma" w:hAnsi="Tahoma" w:cs="Tahoma"/>
          <w:b/>
          <w:color w:val="000000" w:themeColor="text1"/>
          <w:sz w:val="20"/>
        </w:rPr>
        <w:t>in English, failure to do</w:t>
      </w:r>
      <w:r w:rsidRPr="00E25560">
        <w:rPr>
          <w:rFonts w:ascii="Tahoma" w:hAnsi="Tahoma" w:cs="Tahoma"/>
          <w:b/>
          <w:color w:val="000000" w:themeColor="text1"/>
          <w:sz w:val="20"/>
        </w:rPr>
        <w:t xml:space="preserve"> so will result in the exclusion of the tender. </w:t>
      </w:r>
    </w:p>
    <w:p w14:paraId="1C359D9E" w14:textId="77777777" w:rsidR="001727D7" w:rsidRDefault="001727D7" w:rsidP="00DF63F8">
      <w:pPr>
        <w:shd w:val="clear" w:color="auto" w:fill="FFFFFF" w:themeFill="background1"/>
        <w:rPr>
          <w:rFonts w:ascii="Tahoma" w:hAnsi="Tahoma" w:cs="Tahoma"/>
          <w:b/>
          <w:color w:val="000000"/>
          <w:sz w:val="20"/>
        </w:rPr>
      </w:pPr>
    </w:p>
    <w:p w14:paraId="525366E6" w14:textId="507E66AB"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174E" w14:textId="77777777" w:rsidR="0084027E" w:rsidRDefault="0084027E" w:rsidP="00D50F13">
      <w:r>
        <w:separator/>
      </w:r>
    </w:p>
  </w:endnote>
  <w:endnote w:type="continuationSeparator" w:id="0">
    <w:p w14:paraId="62D899A5" w14:textId="77777777" w:rsidR="0084027E" w:rsidRDefault="0084027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1374" w14:textId="77777777" w:rsidR="0084027E" w:rsidRDefault="0084027E" w:rsidP="00D50F13">
      <w:r>
        <w:separator/>
      </w:r>
    </w:p>
  </w:footnote>
  <w:footnote w:type="continuationSeparator" w:id="0">
    <w:p w14:paraId="151CFBE9" w14:textId="77777777" w:rsidR="0084027E" w:rsidRDefault="0084027E"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D5604"/>
    <w:multiLevelType w:val="hybridMultilevel"/>
    <w:tmpl w:val="00DEA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812CD"/>
    <w:multiLevelType w:val="hybridMultilevel"/>
    <w:tmpl w:val="440865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829F0"/>
    <w:multiLevelType w:val="hybridMultilevel"/>
    <w:tmpl w:val="DA6E3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70EC5"/>
    <w:multiLevelType w:val="hybridMultilevel"/>
    <w:tmpl w:val="A9022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02078"/>
    <w:multiLevelType w:val="hybridMultilevel"/>
    <w:tmpl w:val="9878A290"/>
    <w:lvl w:ilvl="0" w:tplc="0C000001">
      <w:start w:val="1"/>
      <w:numFmt w:val="bullet"/>
      <w:lvlText w:val=""/>
      <w:lvlJc w:val="left"/>
      <w:pPr>
        <w:ind w:left="1434" w:hanging="360"/>
      </w:pPr>
      <w:rPr>
        <w:rFonts w:ascii="Symbol" w:hAnsi="Symbol" w:hint="default"/>
      </w:rPr>
    </w:lvl>
    <w:lvl w:ilvl="1" w:tplc="0C000003" w:tentative="1">
      <w:start w:val="1"/>
      <w:numFmt w:val="bullet"/>
      <w:lvlText w:val="o"/>
      <w:lvlJc w:val="left"/>
      <w:pPr>
        <w:ind w:left="2154" w:hanging="360"/>
      </w:pPr>
      <w:rPr>
        <w:rFonts w:ascii="Courier New" w:hAnsi="Courier New" w:cs="Courier New" w:hint="default"/>
      </w:rPr>
    </w:lvl>
    <w:lvl w:ilvl="2" w:tplc="0C000005" w:tentative="1">
      <w:start w:val="1"/>
      <w:numFmt w:val="bullet"/>
      <w:lvlText w:val=""/>
      <w:lvlJc w:val="left"/>
      <w:pPr>
        <w:ind w:left="2874" w:hanging="360"/>
      </w:pPr>
      <w:rPr>
        <w:rFonts w:ascii="Wingdings" w:hAnsi="Wingdings" w:hint="default"/>
      </w:rPr>
    </w:lvl>
    <w:lvl w:ilvl="3" w:tplc="0C000001" w:tentative="1">
      <w:start w:val="1"/>
      <w:numFmt w:val="bullet"/>
      <w:lvlText w:val=""/>
      <w:lvlJc w:val="left"/>
      <w:pPr>
        <w:ind w:left="3594" w:hanging="360"/>
      </w:pPr>
      <w:rPr>
        <w:rFonts w:ascii="Symbol" w:hAnsi="Symbol" w:hint="default"/>
      </w:rPr>
    </w:lvl>
    <w:lvl w:ilvl="4" w:tplc="0C000003" w:tentative="1">
      <w:start w:val="1"/>
      <w:numFmt w:val="bullet"/>
      <w:lvlText w:val="o"/>
      <w:lvlJc w:val="left"/>
      <w:pPr>
        <w:ind w:left="4314" w:hanging="360"/>
      </w:pPr>
      <w:rPr>
        <w:rFonts w:ascii="Courier New" w:hAnsi="Courier New" w:cs="Courier New" w:hint="default"/>
      </w:rPr>
    </w:lvl>
    <w:lvl w:ilvl="5" w:tplc="0C000005" w:tentative="1">
      <w:start w:val="1"/>
      <w:numFmt w:val="bullet"/>
      <w:lvlText w:val=""/>
      <w:lvlJc w:val="left"/>
      <w:pPr>
        <w:ind w:left="5034" w:hanging="360"/>
      </w:pPr>
      <w:rPr>
        <w:rFonts w:ascii="Wingdings" w:hAnsi="Wingdings" w:hint="default"/>
      </w:rPr>
    </w:lvl>
    <w:lvl w:ilvl="6" w:tplc="0C000001" w:tentative="1">
      <w:start w:val="1"/>
      <w:numFmt w:val="bullet"/>
      <w:lvlText w:val=""/>
      <w:lvlJc w:val="left"/>
      <w:pPr>
        <w:ind w:left="5754" w:hanging="360"/>
      </w:pPr>
      <w:rPr>
        <w:rFonts w:ascii="Symbol" w:hAnsi="Symbol" w:hint="default"/>
      </w:rPr>
    </w:lvl>
    <w:lvl w:ilvl="7" w:tplc="0C000003" w:tentative="1">
      <w:start w:val="1"/>
      <w:numFmt w:val="bullet"/>
      <w:lvlText w:val="o"/>
      <w:lvlJc w:val="left"/>
      <w:pPr>
        <w:ind w:left="6474" w:hanging="360"/>
      </w:pPr>
      <w:rPr>
        <w:rFonts w:ascii="Courier New" w:hAnsi="Courier New" w:cs="Courier New" w:hint="default"/>
      </w:rPr>
    </w:lvl>
    <w:lvl w:ilvl="8" w:tplc="0C000005" w:tentative="1">
      <w:start w:val="1"/>
      <w:numFmt w:val="bullet"/>
      <w:lvlText w:val=""/>
      <w:lvlJc w:val="left"/>
      <w:pPr>
        <w:ind w:left="7194"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0"/>
  </w:num>
  <w:num w:numId="4">
    <w:abstractNumId w:val="20"/>
  </w:num>
  <w:num w:numId="5">
    <w:abstractNumId w:val="14"/>
  </w:num>
  <w:num w:numId="6">
    <w:abstractNumId w:val="17"/>
  </w:num>
  <w:num w:numId="7">
    <w:abstractNumId w:val="22"/>
  </w:num>
  <w:num w:numId="8">
    <w:abstractNumId w:val="8"/>
  </w:num>
  <w:num w:numId="9">
    <w:abstractNumId w:val="24"/>
  </w:num>
  <w:num w:numId="10">
    <w:abstractNumId w:val="9"/>
  </w:num>
  <w:num w:numId="11">
    <w:abstractNumId w:val="11"/>
  </w:num>
  <w:num w:numId="12">
    <w:abstractNumId w:val="2"/>
  </w:num>
  <w:num w:numId="13">
    <w:abstractNumId w:val="16"/>
  </w:num>
  <w:num w:numId="14">
    <w:abstractNumId w:val="7"/>
  </w:num>
  <w:num w:numId="15">
    <w:abstractNumId w:val="5"/>
  </w:num>
  <w:num w:numId="16">
    <w:abstractNumId w:val="13"/>
  </w:num>
  <w:num w:numId="17">
    <w:abstractNumId w:val="19"/>
  </w:num>
  <w:num w:numId="18">
    <w:abstractNumId w:val="1"/>
  </w:num>
  <w:num w:numId="19">
    <w:abstractNumId w:val="15"/>
  </w:num>
  <w:num w:numId="20">
    <w:abstractNumId w:val="6"/>
  </w:num>
  <w:num w:numId="21">
    <w:abstractNumId w:val="10"/>
  </w:num>
  <w:num w:numId="22">
    <w:abstractNumId w:val="17"/>
  </w:num>
  <w:num w:numId="23">
    <w:abstractNumId w:val="23"/>
  </w:num>
  <w:num w:numId="24">
    <w:abstractNumId w:val="12"/>
  </w:num>
  <w:num w:numId="25">
    <w:abstractNumId w:val="4"/>
  </w:num>
  <w:num w:numId="2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3611"/>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E0285"/>
    <w:rsid w:val="000E2947"/>
    <w:rsid w:val="000E59DC"/>
    <w:rsid w:val="000E5DF5"/>
    <w:rsid w:val="000E60C6"/>
    <w:rsid w:val="000E65D3"/>
    <w:rsid w:val="000F17F2"/>
    <w:rsid w:val="000F18A2"/>
    <w:rsid w:val="000F1D2F"/>
    <w:rsid w:val="000F3067"/>
    <w:rsid w:val="000F3CB2"/>
    <w:rsid w:val="000F6BD3"/>
    <w:rsid w:val="001018E8"/>
    <w:rsid w:val="001041C4"/>
    <w:rsid w:val="001048B1"/>
    <w:rsid w:val="001063F1"/>
    <w:rsid w:val="0011556A"/>
    <w:rsid w:val="00121A41"/>
    <w:rsid w:val="001262C9"/>
    <w:rsid w:val="00127AB4"/>
    <w:rsid w:val="00140E99"/>
    <w:rsid w:val="00141023"/>
    <w:rsid w:val="00143659"/>
    <w:rsid w:val="00160002"/>
    <w:rsid w:val="001602AD"/>
    <w:rsid w:val="001614FA"/>
    <w:rsid w:val="00171C1F"/>
    <w:rsid w:val="001727D7"/>
    <w:rsid w:val="00177E61"/>
    <w:rsid w:val="001832A2"/>
    <w:rsid w:val="00183C11"/>
    <w:rsid w:val="00183E4D"/>
    <w:rsid w:val="00184909"/>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129C9"/>
    <w:rsid w:val="00314848"/>
    <w:rsid w:val="00320711"/>
    <w:rsid w:val="00332AF4"/>
    <w:rsid w:val="003363E8"/>
    <w:rsid w:val="003465FD"/>
    <w:rsid w:val="00357E5A"/>
    <w:rsid w:val="003670B2"/>
    <w:rsid w:val="00371164"/>
    <w:rsid w:val="003712F2"/>
    <w:rsid w:val="00386026"/>
    <w:rsid w:val="0039258A"/>
    <w:rsid w:val="003945B5"/>
    <w:rsid w:val="003A4A6D"/>
    <w:rsid w:val="003B1C2E"/>
    <w:rsid w:val="003B2E7E"/>
    <w:rsid w:val="003E3863"/>
    <w:rsid w:val="003F7D5B"/>
    <w:rsid w:val="00415E8B"/>
    <w:rsid w:val="00420E9A"/>
    <w:rsid w:val="00441672"/>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796F"/>
    <w:rsid w:val="004E7A45"/>
    <w:rsid w:val="004E7D01"/>
    <w:rsid w:val="004F71A4"/>
    <w:rsid w:val="005034A5"/>
    <w:rsid w:val="00505408"/>
    <w:rsid w:val="00512D89"/>
    <w:rsid w:val="00516616"/>
    <w:rsid w:val="005279AD"/>
    <w:rsid w:val="00532234"/>
    <w:rsid w:val="00552F0E"/>
    <w:rsid w:val="00563B1B"/>
    <w:rsid w:val="00567F3E"/>
    <w:rsid w:val="00575177"/>
    <w:rsid w:val="00581679"/>
    <w:rsid w:val="005845C2"/>
    <w:rsid w:val="0058750C"/>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4341"/>
    <w:rsid w:val="0067529C"/>
    <w:rsid w:val="00677EFB"/>
    <w:rsid w:val="00680325"/>
    <w:rsid w:val="006804BC"/>
    <w:rsid w:val="00685694"/>
    <w:rsid w:val="006912CB"/>
    <w:rsid w:val="006A3EC9"/>
    <w:rsid w:val="006B14ED"/>
    <w:rsid w:val="006B2D7D"/>
    <w:rsid w:val="006C0B9C"/>
    <w:rsid w:val="006C5CBB"/>
    <w:rsid w:val="006D4A4D"/>
    <w:rsid w:val="006E5C58"/>
    <w:rsid w:val="006F5EED"/>
    <w:rsid w:val="00703E4B"/>
    <w:rsid w:val="00706A5D"/>
    <w:rsid w:val="00710617"/>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6E66"/>
    <w:rsid w:val="007C267B"/>
    <w:rsid w:val="007C29B5"/>
    <w:rsid w:val="007D1F5B"/>
    <w:rsid w:val="007D6C68"/>
    <w:rsid w:val="007E449F"/>
    <w:rsid w:val="007E78C4"/>
    <w:rsid w:val="0080160D"/>
    <w:rsid w:val="008166AD"/>
    <w:rsid w:val="0082549E"/>
    <w:rsid w:val="0083377F"/>
    <w:rsid w:val="008341B5"/>
    <w:rsid w:val="00834E5C"/>
    <w:rsid w:val="0084027E"/>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F0BF0"/>
    <w:rsid w:val="008F103F"/>
    <w:rsid w:val="008F2DBD"/>
    <w:rsid w:val="00904764"/>
    <w:rsid w:val="00904B93"/>
    <w:rsid w:val="009058FD"/>
    <w:rsid w:val="00917A32"/>
    <w:rsid w:val="00933853"/>
    <w:rsid w:val="00941247"/>
    <w:rsid w:val="0095095F"/>
    <w:rsid w:val="00986790"/>
    <w:rsid w:val="00990987"/>
    <w:rsid w:val="009A0D0F"/>
    <w:rsid w:val="009A20EC"/>
    <w:rsid w:val="009A5D89"/>
    <w:rsid w:val="009B1E00"/>
    <w:rsid w:val="009D294B"/>
    <w:rsid w:val="009E1B52"/>
    <w:rsid w:val="009E4346"/>
    <w:rsid w:val="009E55DF"/>
    <w:rsid w:val="009F19CC"/>
    <w:rsid w:val="009F1A62"/>
    <w:rsid w:val="00A041D4"/>
    <w:rsid w:val="00A12241"/>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660CA"/>
    <w:rsid w:val="00B74DC5"/>
    <w:rsid w:val="00B74E23"/>
    <w:rsid w:val="00B948EE"/>
    <w:rsid w:val="00B950A2"/>
    <w:rsid w:val="00B96606"/>
    <w:rsid w:val="00BA535D"/>
    <w:rsid w:val="00BA7B96"/>
    <w:rsid w:val="00BB0487"/>
    <w:rsid w:val="00BB3FCE"/>
    <w:rsid w:val="00BB54A4"/>
    <w:rsid w:val="00BB5732"/>
    <w:rsid w:val="00BB6239"/>
    <w:rsid w:val="00BB66CF"/>
    <w:rsid w:val="00BC5229"/>
    <w:rsid w:val="00BD09D0"/>
    <w:rsid w:val="00BD2F62"/>
    <w:rsid w:val="00BD3425"/>
    <w:rsid w:val="00BD637E"/>
    <w:rsid w:val="00BE33D8"/>
    <w:rsid w:val="00BF4897"/>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A783B"/>
    <w:rsid w:val="00CB3508"/>
    <w:rsid w:val="00CD061B"/>
    <w:rsid w:val="00CE1A8A"/>
    <w:rsid w:val="00CE7D0D"/>
    <w:rsid w:val="00CF2477"/>
    <w:rsid w:val="00D04381"/>
    <w:rsid w:val="00D070EB"/>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C3046"/>
    <w:rsid w:val="00DC45E9"/>
    <w:rsid w:val="00DC6283"/>
    <w:rsid w:val="00DC74DC"/>
    <w:rsid w:val="00DE0239"/>
    <w:rsid w:val="00DE22F4"/>
    <w:rsid w:val="00DF39B0"/>
    <w:rsid w:val="00DF63F8"/>
    <w:rsid w:val="00DF6E3C"/>
    <w:rsid w:val="00E00310"/>
    <w:rsid w:val="00E02D10"/>
    <w:rsid w:val="00E05158"/>
    <w:rsid w:val="00E11E01"/>
    <w:rsid w:val="00E160F4"/>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91339"/>
    <w:rsid w:val="00E9201C"/>
    <w:rsid w:val="00EA0241"/>
    <w:rsid w:val="00EA06AE"/>
    <w:rsid w:val="00EB1DB3"/>
    <w:rsid w:val="00EB550D"/>
    <w:rsid w:val="00EB640E"/>
    <w:rsid w:val="00EC4B0F"/>
    <w:rsid w:val="00EC6F24"/>
    <w:rsid w:val="00ED1A6A"/>
    <w:rsid w:val="00ED5526"/>
    <w:rsid w:val="00EE0FD3"/>
    <w:rsid w:val="00EE1D09"/>
    <w:rsid w:val="00EE7240"/>
    <w:rsid w:val="00EF2465"/>
    <w:rsid w:val="00EF66B8"/>
    <w:rsid w:val="00F12108"/>
    <w:rsid w:val="00F130D7"/>
    <w:rsid w:val="00F2003B"/>
    <w:rsid w:val="00F20B24"/>
    <w:rsid w:val="00F21315"/>
    <w:rsid w:val="00F37F04"/>
    <w:rsid w:val="00F420A3"/>
    <w:rsid w:val="00F56682"/>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46"/>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4440">
      <w:bodyDiv w:val="1"/>
      <w:marLeft w:val="0"/>
      <w:marRight w:val="0"/>
      <w:marTop w:val="0"/>
      <w:marBottom w:val="0"/>
      <w:divBdr>
        <w:top w:val="none" w:sz="0" w:space="0" w:color="auto"/>
        <w:left w:val="none" w:sz="0" w:space="0" w:color="auto"/>
        <w:bottom w:val="none" w:sz="0" w:space="0" w:color="auto"/>
        <w:right w:val="none" w:sz="0" w:space="0" w:color="auto"/>
      </w:divBdr>
    </w:div>
    <w:div w:id="452557694">
      <w:bodyDiv w:val="1"/>
      <w:marLeft w:val="0"/>
      <w:marRight w:val="0"/>
      <w:marTop w:val="0"/>
      <w:marBottom w:val="0"/>
      <w:divBdr>
        <w:top w:val="none" w:sz="0" w:space="0" w:color="auto"/>
        <w:left w:val="none" w:sz="0" w:space="0" w:color="auto"/>
        <w:bottom w:val="none" w:sz="0" w:space="0" w:color="auto"/>
        <w:right w:val="none" w:sz="0" w:space="0" w:color="auto"/>
      </w:divBdr>
    </w:div>
    <w:div w:id="791631551">
      <w:bodyDiv w:val="1"/>
      <w:marLeft w:val="0"/>
      <w:marRight w:val="0"/>
      <w:marTop w:val="0"/>
      <w:marBottom w:val="0"/>
      <w:divBdr>
        <w:top w:val="none" w:sz="0" w:space="0" w:color="auto"/>
        <w:left w:val="none" w:sz="0" w:space="0" w:color="auto"/>
        <w:bottom w:val="none" w:sz="0" w:space="0" w:color="auto"/>
        <w:right w:val="none" w:sz="0" w:space="0" w:color="auto"/>
      </w:divBdr>
    </w:div>
    <w:div w:id="880442305">
      <w:bodyDiv w:val="1"/>
      <w:marLeft w:val="0"/>
      <w:marRight w:val="0"/>
      <w:marTop w:val="0"/>
      <w:marBottom w:val="0"/>
      <w:divBdr>
        <w:top w:val="none" w:sz="0" w:space="0" w:color="auto"/>
        <w:left w:val="none" w:sz="0" w:space="0" w:color="auto"/>
        <w:bottom w:val="none" w:sz="0" w:space="0" w:color="auto"/>
        <w:right w:val="none" w:sz="0" w:space="0" w:color="auto"/>
      </w:divBdr>
    </w:div>
    <w:div w:id="1060251589">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578201789">
      <w:bodyDiv w:val="1"/>
      <w:marLeft w:val="0"/>
      <w:marRight w:val="0"/>
      <w:marTop w:val="0"/>
      <w:marBottom w:val="0"/>
      <w:divBdr>
        <w:top w:val="none" w:sz="0" w:space="0" w:color="auto"/>
        <w:left w:val="none" w:sz="0" w:space="0" w:color="auto"/>
        <w:bottom w:val="none" w:sz="0" w:space="0" w:color="auto"/>
        <w:right w:val="none" w:sz="0" w:space="0" w:color="auto"/>
      </w:divBdr>
    </w:div>
    <w:div w:id="1717660884">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
      <w:docPartPr>
        <w:name w:val="5D4F3ECDFD60464891CB4BFF1CA660C8"/>
        <w:category>
          <w:name w:val="General"/>
          <w:gallery w:val="placeholder"/>
        </w:category>
        <w:types>
          <w:type w:val="bbPlcHdr"/>
        </w:types>
        <w:behaviors>
          <w:behavior w:val="content"/>
        </w:behaviors>
        <w:guid w:val="{3729D4F9-7092-4BCA-836D-20CDCB0A0EBB}"/>
      </w:docPartPr>
      <w:docPartBody>
        <w:p w:rsidR="00F155D8" w:rsidRDefault="0039467F" w:rsidP="0039467F">
          <w:pPr>
            <w:pStyle w:val="5D4F3ECDFD60464891CB4BFF1CA660C8"/>
          </w:pPr>
          <w:r w:rsidRPr="00453A9E">
            <w:rPr>
              <w:rFonts w:ascii="Tahoma" w:hAnsi="Tahoma" w:cs="Tahoma"/>
              <w:color w:val="808080"/>
              <w:sz w:val="20"/>
              <w:szCs w:val="20"/>
            </w:rPr>
            <w:t>Click here to enter email</w:t>
          </w:r>
        </w:p>
      </w:docPartBody>
    </w:docPart>
    <w:docPart>
      <w:docPartPr>
        <w:name w:val="90124FC89C474C6CA09C252EBF108636"/>
        <w:category>
          <w:name w:val="General"/>
          <w:gallery w:val="placeholder"/>
        </w:category>
        <w:types>
          <w:type w:val="bbPlcHdr"/>
        </w:types>
        <w:behaviors>
          <w:behavior w:val="content"/>
        </w:behaviors>
        <w:guid w:val="{A202D11B-BC7B-4270-A666-B86F48A32161}"/>
      </w:docPartPr>
      <w:docPartBody>
        <w:p w:rsidR="00F155D8" w:rsidRDefault="0039467F" w:rsidP="0039467F">
          <w:pPr>
            <w:pStyle w:val="90124FC89C474C6CA09C252EBF108636"/>
          </w:pPr>
          <w:r w:rsidRPr="00453A9E">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E6163"/>
    <w:rsid w:val="001055D4"/>
    <w:rsid w:val="001A7B9B"/>
    <w:rsid w:val="00356C99"/>
    <w:rsid w:val="0039467F"/>
    <w:rsid w:val="00452619"/>
    <w:rsid w:val="005A012A"/>
    <w:rsid w:val="00646ADE"/>
    <w:rsid w:val="00654938"/>
    <w:rsid w:val="007673CC"/>
    <w:rsid w:val="008871DF"/>
    <w:rsid w:val="009170FF"/>
    <w:rsid w:val="009216B9"/>
    <w:rsid w:val="009574C2"/>
    <w:rsid w:val="009963A2"/>
    <w:rsid w:val="009A524C"/>
    <w:rsid w:val="009D0F9E"/>
    <w:rsid w:val="00A12344"/>
    <w:rsid w:val="00A26CAD"/>
    <w:rsid w:val="00AE2877"/>
    <w:rsid w:val="00AF106A"/>
    <w:rsid w:val="00B05E45"/>
    <w:rsid w:val="00C27B37"/>
    <w:rsid w:val="00C67F51"/>
    <w:rsid w:val="00D30CA9"/>
    <w:rsid w:val="00D626CA"/>
    <w:rsid w:val="00DE526F"/>
    <w:rsid w:val="00EF0E7B"/>
    <w:rsid w:val="00F155D8"/>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5D4F3ECDFD60464891CB4BFF1CA660C8">
    <w:name w:val="5D4F3ECDFD60464891CB4BFF1CA660C8"/>
    <w:rsid w:val="0039467F"/>
    <w:pPr>
      <w:spacing w:after="160" w:line="259" w:lineRule="auto"/>
    </w:pPr>
  </w:style>
  <w:style w:type="paragraph" w:customStyle="1" w:styleId="90124FC89C474C6CA09C252EBF108636">
    <w:name w:val="90124FC89C474C6CA09C252EBF108636"/>
    <w:rsid w:val="0039467F"/>
    <w:pPr>
      <w:spacing w:after="160" w:line="259" w:lineRule="auto"/>
    </w:p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TF.FC.RC.AllServicesandGoods (with lots) for BO or VC</vt:lpstr>
    </vt:vector>
  </TitlesOfParts>
  <Company>Council of Europe</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ZEKA Edita</cp:lastModifiedBy>
  <cp:revision>2</cp:revision>
  <cp:lastPrinted>2016-10-07T09:25:00Z</cp:lastPrinted>
  <dcterms:created xsi:type="dcterms:W3CDTF">2022-02-15T14:32:00Z</dcterms:created>
  <dcterms:modified xsi:type="dcterms:W3CDTF">2022-02-15T14:32:00Z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