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6666D" w14:textId="688DA569" w:rsidR="001D0E74" w:rsidRDefault="00124AFA" w:rsidP="004249AB">
      <w:pPr>
        <w:rPr>
          <w:lang w:val="tr-TR"/>
        </w:rPr>
      </w:pPr>
      <w:bookmarkStart w:id="0" w:name="_GoBack"/>
      <w:bookmarkEnd w:id="0"/>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sidRPr="00124AFA">
        <w:rPr>
          <w:noProof/>
          <w:sz w:val="16"/>
          <w:szCs w:val="16"/>
          <w:lang w:val="tr-TR"/>
        </w:rPr>
        <w:drawing>
          <wp:inline distT="0" distB="0" distL="0" distR="0" wp14:anchorId="4387A016" wp14:editId="147506AC">
            <wp:extent cx="13716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33450"/>
                    </a:xfrm>
                    <a:prstGeom prst="rect">
                      <a:avLst/>
                    </a:prstGeom>
                    <a:noFill/>
                    <a:ln>
                      <a:noFill/>
                    </a:ln>
                  </pic:spPr>
                </pic:pic>
              </a:graphicData>
            </a:graphic>
          </wp:inline>
        </w:drawing>
      </w:r>
    </w:p>
    <w:p w14:paraId="22BE5ED8" w14:textId="7C4942BB" w:rsidR="00124AFA" w:rsidRDefault="00124AFA" w:rsidP="004249AB">
      <w:pPr>
        <w:rPr>
          <w:lang w:val="tr-TR"/>
        </w:rPr>
      </w:pPr>
    </w:p>
    <w:p w14:paraId="2191FDF7" w14:textId="08039343" w:rsidR="00124AFA" w:rsidRPr="00040962" w:rsidRDefault="00124AFA" w:rsidP="004249AB">
      <w:pPr>
        <w:rPr>
          <w:lang w:val="tr-TR"/>
        </w:rPr>
      </w:pPr>
      <w:r w:rsidRPr="00040962">
        <w:rPr>
          <w:lang w:val="tr-TR"/>
        </w:rPr>
        <w:t>20 Nisan 2020, Stra</w:t>
      </w:r>
      <w:r w:rsidR="00CE0CC5">
        <w:rPr>
          <w:lang w:val="tr-TR"/>
        </w:rPr>
        <w:t>z</w:t>
      </w:r>
      <w:r w:rsidRPr="00040962">
        <w:rPr>
          <w:lang w:val="tr-TR"/>
        </w:rPr>
        <w:t>burg</w:t>
      </w:r>
    </w:p>
    <w:p w14:paraId="14742B15" w14:textId="77777777" w:rsidR="00EC42AE" w:rsidRPr="00040962" w:rsidRDefault="00EC42AE" w:rsidP="004249AB">
      <w:pPr>
        <w:rPr>
          <w:lang w:val="tr-TR"/>
        </w:rPr>
      </w:pPr>
    </w:p>
    <w:p w14:paraId="47A5830B" w14:textId="3E40A794" w:rsidR="00EC42AE" w:rsidRPr="00040962" w:rsidRDefault="00EC42AE" w:rsidP="00DD72A3">
      <w:pPr>
        <w:jc w:val="center"/>
        <w:rPr>
          <w:b/>
          <w:bCs/>
          <w:sz w:val="28"/>
          <w:szCs w:val="28"/>
          <w:lang w:val="tr-TR"/>
        </w:rPr>
      </w:pPr>
      <w:r w:rsidRPr="00040962">
        <w:rPr>
          <w:b/>
          <w:bCs/>
          <w:sz w:val="28"/>
          <w:szCs w:val="28"/>
          <w:lang w:val="tr-TR"/>
        </w:rPr>
        <w:t>Kadın</w:t>
      </w:r>
      <w:r w:rsidR="004C65F4" w:rsidRPr="00040962">
        <w:rPr>
          <w:b/>
          <w:bCs/>
          <w:sz w:val="28"/>
          <w:szCs w:val="28"/>
          <w:lang w:val="tr-TR"/>
        </w:rPr>
        <w:t>lara</w:t>
      </w:r>
      <w:r w:rsidRPr="00040962">
        <w:rPr>
          <w:b/>
          <w:bCs/>
          <w:sz w:val="28"/>
          <w:szCs w:val="28"/>
          <w:lang w:val="tr-TR"/>
        </w:rPr>
        <w:t xml:space="preserve"> Yönelik Şiddet ve </w:t>
      </w:r>
      <w:r w:rsidR="00545FE7" w:rsidRPr="00040962">
        <w:rPr>
          <w:b/>
          <w:bCs/>
          <w:sz w:val="28"/>
          <w:szCs w:val="28"/>
          <w:lang w:val="tr-TR"/>
        </w:rPr>
        <w:t>Ev</w:t>
      </w:r>
      <w:r w:rsidR="009F4D9D" w:rsidRPr="00040962">
        <w:rPr>
          <w:b/>
          <w:bCs/>
          <w:sz w:val="28"/>
          <w:szCs w:val="28"/>
          <w:lang w:val="tr-TR"/>
        </w:rPr>
        <w:t>-i</w:t>
      </w:r>
      <w:r w:rsidRPr="00040962">
        <w:rPr>
          <w:b/>
          <w:bCs/>
          <w:sz w:val="28"/>
          <w:szCs w:val="28"/>
          <w:lang w:val="tr-TR"/>
        </w:rPr>
        <w:t xml:space="preserve">çi Şiddetin Önlenmesi ve Bunlarla Mücadeleye </w:t>
      </w:r>
      <w:r w:rsidR="00545FE7" w:rsidRPr="00040962">
        <w:rPr>
          <w:b/>
          <w:bCs/>
          <w:sz w:val="28"/>
          <w:szCs w:val="28"/>
          <w:lang w:val="tr-TR"/>
        </w:rPr>
        <w:t>İlişkin</w:t>
      </w:r>
      <w:r w:rsidRPr="00040962">
        <w:rPr>
          <w:b/>
          <w:bCs/>
          <w:sz w:val="28"/>
          <w:szCs w:val="28"/>
          <w:lang w:val="tr-TR"/>
        </w:rPr>
        <w:t xml:space="preserve"> Avrupa Konseyi Sözleşmesin</w:t>
      </w:r>
      <w:r w:rsidR="00545FE7" w:rsidRPr="00040962">
        <w:rPr>
          <w:b/>
          <w:bCs/>
          <w:sz w:val="28"/>
          <w:szCs w:val="28"/>
          <w:lang w:val="tr-TR"/>
        </w:rPr>
        <w:t xml:space="preserve">e (İstanbul Sözleşmesi) </w:t>
      </w:r>
      <w:r w:rsidR="002A4645" w:rsidRPr="00040962">
        <w:rPr>
          <w:b/>
          <w:bCs/>
          <w:sz w:val="28"/>
          <w:szCs w:val="28"/>
          <w:lang w:val="tr-TR"/>
        </w:rPr>
        <w:t xml:space="preserve">Taraf </w:t>
      </w:r>
      <w:r w:rsidR="00545FE7" w:rsidRPr="00040962">
        <w:rPr>
          <w:b/>
          <w:bCs/>
          <w:sz w:val="28"/>
          <w:szCs w:val="28"/>
          <w:lang w:val="tr-TR"/>
        </w:rPr>
        <w:t>Devletler Komitesinin</w:t>
      </w:r>
      <w:r w:rsidRPr="00040962">
        <w:rPr>
          <w:b/>
          <w:bCs/>
          <w:sz w:val="28"/>
          <w:szCs w:val="28"/>
          <w:lang w:val="tr-TR"/>
        </w:rPr>
        <w:t xml:space="preserve">, COVID-19 Pandemisi Esnasında </w:t>
      </w:r>
      <w:r w:rsidR="00545FE7" w:rsidRPr="00040962">
        <w:rPr>
          <w:b/>
          <w:bCs/>
          <w:sz w:val="28"/>
          <w:szCs w:val="28"/>
          <w:lang w:val="tr-TR"/>
        </w:rPr>
        <w:t xml:space="preserve">Sözleşmenin </w:t>
      </w:r>
      <w:r w:rsidRPr="00040962">
        <w:rPr>
          <w:b/>
          <w:bCs/>
          <w:sz w:val="28"/>
          <w:szCs w:val="28"/>
          <w:lang w:val="tr-TR"/>
        </w:rPr>
        <w:t>Uygulanmasına İlişkin Açıklaması</w:t>
      </w:r>
      <w:r w:rsidR="00214B6D">
        <w:rPr>
          <w:rStyle w:val="FootnoteReference"/>
          <w:b/>
          <w:bCs/>
          <w:sz w:val="28"/>
          <w:szCs w:val="28"/>
          <w:lang w:val="tr-TR"/>
        </w:rPr>
        <w:footnoteReference w:id="1"/>
      </w:r>
    </w:p>
    <w:p w14:paraId="33A1229A" w14:textId="77777777" w:rsidR="001A58AF" w:rsidRPr="00040962" w:rsidRDefault="001A58AF" w:rsidP="004249AB">
      <w:pPr>
        <w:rPr>
          <w:lang w:val="tr-TR"/>
        </w:rPr>
      </w:pPr>
    </w:p>
    <w:p w14:paraId="47B92D1C" w14:textId="77777777" w:rsidR="001A58AF" w:rsidRPr="00040962" w:rsidRDefault="001A58AF" w:rsidP="00DD72A3">
      <w:pPr>
        <w:jc w:val="both"/>
        <w:rPr>
          <w:lang w:val="tr-TR"/>
        </w:rPr>
      </w:pPr>
      <w:r w:rsidRPr="00040962">
        <w:rPr>
          <w:lang w:val="tr-TR"/>
        </w:rPr>
        <w:t xml:space="preserve">İstanbul </w:t>
      </w:r>
      <w:r w:rsidR="00580323" w:rsidRPr="00040962">
        <w:rPr>
          <w:lang w:val="tr-TR"/>
        </w:rPr>
        <w:t>Sözleşmesi’ne</w:t>
      </w:r>
      <w:r w:rsidRPr="00040962">
        <w:rPr>
          <w:lang w:val="tr-TR"/>
        </w:rPr>
        <w:t xml:space="preserve"> </w:t>
      </w:r>
      <w:r w:rsidR="002A4645" w:rsidRPr="00040962">
        <w:rPr>
          <w:lang w:val="tr-TR"/>
        </w:rPr>
        <w:t xml:space="preserve">Taraf </w:t>
      </w:r>
      <w:r w:rsidRPr="00040962">
        <w:rPr>
          <w:lang w:val="tr-TR"/>
        </w:rPr>
        <w:t>Devletler K</w:t>
      </w:r>
      <w:r w:rsidR="00545FE7" w:rsidRPr="00040962">
        <w:rPr>
          <w:lang w:val="tr-TR"/>
        </w:rPr>
        <w:t>omitesi</w:t>
      </w:r>
      <w:r w:rsidRPr="00040962">
        <w:rPr>
          <w:lang w:val="tr-TR"/>
        </w:rPr>
        <w:t>,</w:t>
      </w:r>
    </w:p>
    <w:p w14:paraId="260469BC" w14:textId="77777777" w:rsidR="00BE044B" w:rsidRPr="00040962" w:rsidRDefault="00BE044B" w:rsidP="00DD72A3">
      <w:pPr>
        <w:jc w:val="both"/>
        <w:rPr>
          <w:lang w:val="tr-TR"/>
        </w:rPr>
      </w:pPr>
    </w:p>
    <w:p w14:paraId="12590D9E" w14:textId="6E4FDC2F" w:rsidR="001A58AF" w:rsidRPr="00040962" w:rsidRDefault="001A58AF" w:rsidP="00DD72A3">
      <w:pPr>
        <w:jc w:val="both"/>
        <w:rPr>
          <w:lang w:val="tr-TR"/>
        </w:rPr>
      </w:pPr>
      <w:r w:rsidRPr="00040962">
        <w:rPr>
          <w:lang w:val="tr-TR"/>
        </w:rPr>
        <w:t xml:space="preserve">Avrupa Konseyi üyesi </w:t>
      </w:r>
      <w:r w:rsidR="00B3794A">
        <w:rPr>
          <w:lang w:val="tr-TR"/>
        </w:rPr>
        <w:t xml:space="preserve">olan </w:t>
      </w:r>
      <w:r w:rsidRPr="00040962">
        <w:rPr>
          <w:lang w:val="tr-TR"/>
        </w:rPr>
        <w:t>ülkelerin</w:t>
      </w:r>
      <w:r w:rsidR="00B3794A">
        <w:rPr>
          <w:lang w:val="tr-TR"/>
        </w:rPr>
        <w:t>,</w:t>
      </w:r>
      <w:r w:rsidRPr="00040962">
        <w:rPr>
          <w:lang w:val="tr-TR"/>
        </w:rPr>
        <w:t xml:space="preserve"> nüfuslarını COVİD-19 pandemisi tehdidinden korumak için karşılaştıkları zorlukların farkında olarak</w:t>
      </w:r>
      <w:r w:rsidR="00545FE7" w:rsidRPr="00040962">
        <w:rPr>
          <w:lang w:val="tr-TR"/>
        </w:rPr>
        <w:t>,</w:t>
      </w:r>
    </w:p>
    <w:p w14:paraId="7D6C2256" w14:textId="77777777" w:rsidR="00EC42AE" w:rsidRPr="00040962" w:rsidRDefault="00EC42AE" w:rsidP="00DD72A3">
      <w:pPr>
        <w:jc w:val="both"/>
        <w:rPr>
          <w:lang w:val="tr-TR"/>
        </w:rPr>
      </w:pPr>
    </w:p>
    <w:p w14:paraId="386E496F" w14:textId="77777777" w:rsidR="00545FE7" w:rsidRPr="00040962" w:rsidRDefault="001A58AF" w:rsidP="00DD72A3">
      <w:pPr>
        <w:jc w:val="both"/>
        <w:rPr>
          <w:lang w:val="tr-TR"/>
        </w:rPr>
      </w:pPr>
      <w:r w:rsidRPr="00040962">
        <w:rPr>
          <w:lang w:val="tr-TR"/>
        </w:rPr>
        <w:t>K</w:t>
      </w:r>
      <w:r w:rsidR="00E9159B" w:rsidRPr="00040962">
        <w:rPr>
          <w:lang w:val="tr-TR"/>
        </w:rPr>
        <w:t xml:space="preserve">adınlara ve kız çocuklarına </w:t>
      </w:r>
      <w:r w:rsidR="00545FE7" w:rsidRPr="00040962">
        <w:rPr>
          <w:lang w:val="tr-TR"/>
        </w:rPr>
        <w:t>yönelik</w:t>
      </w:r>
      <w:r w:rsidR="00E9159B" w:rsidRPr="00040962">
        <w:rPr>
          <w:lang w:val="tr-TR"/>
        </w:rPr>
        <w:t xml:space="preserve"> şiddetin ve ev-içi şiddetin</w:t>
      </w:r>
      <w:r w:rsidR="00545FE7" w:rsidRPr="00040962">
        <w:rPr>
          <w:lang w:val="tr-TR"/>
        </w:rPr>
        <w:t>,</w:t>
      </w:r>
      <w:r w:rsidR="00E9159B" w:rsidRPr="00040962">
        <w:rPr>
          <w:lang w:val="tr-TR"/>
        </w:rPr>
        <w:t xml:space="preserve"> kriz zamanlarında yüksel</w:t>
      </w:r>
      <w:r w:rsidRPr="00040962">
        <w:rPr>
          <w:lang w:val="tr-TR"/>
        </w:rPr>
        <w:t xml:space="preserve">me eğilimi </w:t>
      </w:r>
      <w:r w:rsidR="00545FE7" w:rsidRPr="00040962">
        <w:rPr>
          <w:lang w:val="tr-TR"/>
        </w:rPr>
        <w:t xml:space="preserve">gösterdiğini ve ortaya çıkmakta olan son verilere göre gerek dünya genelinde, gerekse Avrupa Konseyine üye </w:t>
      </w:r>
      <w:r w:rsidR="00545FE7" w:rsidRPr="00040962">
        <w:rPr>
          <w:rStyle w:val="tlid-translation"/>
          <w:rFonts w:ascii="Calibri" w:hAnsi="Calibri" w:cs="Calibri"/>
          <w:lang w:val="tr-TR"/>
        </w:rPr>
        <w:t xml:space="preserve">çok sayıda </w:t>
      </w:r>
      <w:r w:rsidR="00545FE7" w:rsidRPr="00040962">
        <w:rPr>
          <w:lang w:val="tr-TR"/>
        </w:rPr>
        <w:t>ülkede şiddetin bazı türlerinde rapor edilen vaka sayısın</w:t>
      </w:r>
      <w:r w:rsidR="004249AB" w:rsidRPr="00040962">
        <w:rPr>
          <w:lang w:val="tr-TR"/>
        </w:rPr>
        <w:t>da</w:t>
      </w:r>
      <w:r w:rsidR="00545FE7" w:rsidRPr="00040962">
        <w:rPr>
          <w:lang w:val="tr-TR"/>
        </w:rPr>
        <w:t xml:space="preserve"> </w:t>
      </w:r>
      <w:r w:rsidR="00390740" w:rsidRPr="00040962">
        <w:rPr>
          <w:lang w:val="tr-TR"/>
        </w:rPr>
        <w:t xml:space="preserve">endişe verici </w:t>
      </w:r>
      <w:r w:rsidR="00545FE7" w:rsidRPr="00040962">
        <w:rPr>
          <w:lang w:val="tr-TR"/>
        </w:rPr>
        <w:t>bir artış gö</w:t>
      </w:r>
      <w:r w:rsidR="002A4645" w:rsidRPr="00040962">
        <w:rPr>
          <w:lang w:val="tr-TR"/>
        </w:rPr>
        <w:t>zlendiğini</w:t>
      </w:r>
      <w:r w:rsidR="00545FE7" w:rsidRPr="00040962">
        <w:rPr>
          <w:lang w:val="tr-TR"/>
        </w:rPr>
        <w:t xml:space="preserve"> dikkate alarak,</w:t>
      </w:r>
    </w:p>
    <w:p w14:paraId="7A03FB77" w14:textId="77777777" w:rsidR="00EC42AE" w:rsidRPr="00040962" w:rsidRDefault="00EC42AE" w:rsidP="00DD72A3">
      <w:pPr>
        <w:jc w:val="both"/>
        <w:rPr>
          <w:lang w:val="tr-TR"/>
        </w:rPr>
      </w:pPr>
    </w:p>
    <w:p w14:paraId="05D303C3" w14:textId="320A9F7F" w:rsidR="00E9159B" w:rsidRPr="00040962" w:rsidRDefault="00545FE7" w:rsidP="00DD72A3">
      <w:pPr>
        <w:jc w:val="both"/>
        <w:rPr>
          <w:lang w:val="tr-TR"/>
        </w:rPr>
      </w:pPr>
      <w:r w:rsidRPr="00040962">
        <w:rPr>
          <w:lang w:val="tr-TR"/>
        </w:rPr>
        <w:t xml:space="preserve">Mevcut krize yanıt olarak alınan </w:t>
      </w:r>
      <w:r w:rsidR="001A58AF" w:rsidRPr="00040962">
        <w:rPr>
          <w:lang w:val="tr-TR"/>
        </w:rPr>
        <w:t xml:space="preserve">önlemlerin, özellikle de </w:t>
      </w:r>
      <w:r w:rsidRPr="00040962">
        <w:rPr>
          <w:lang w:val="tr-TR"/>
        </w:rPr>
        <w:t xml:space="preserve">tecrit </w:t>
      </w:r>
      <w:r w:rsidR="00E9159B" w:rsidRPr="00040962">
        <w:rPr>
          <w:lang w:val="tr-TR"/>
        </w:rPr>
        <w:t xml:space="preserve">ve </w:t>
      </w:r>
      <w:r w:rsidR="006E0A8E" w:rsidRPr="00040962">
        <w:rPr>
          <w:lang w:val="tr-TR"/>
        </w:rPr>
        <w:t>eve kapanma</w:t>
      </w:r>
      <w:r w:rsidR="00E9159B" w:rsidRPr="00040962">
        <w:rPr>
          <w:lang w:val="tr-TR"/>
        </w:rPr>
        <w:t xml:space="preserve"> politikalarının</w:t>
      </w:r>
      <w:r w:rsidR="001A58AF" w:rsidRPr="00040962">
        <w:rPr>
          <w:lang w:val="tr-TR"/>
        </w:rPr>
        <w:t>,</w:t>
      </w:r>
      <w:r w:rsidR="00E9159B" w:rsidRPr="00040962">
        <w:rPr>
          <w:lang w:val="tr-TR"/>
        </w:rPr>
        <w:t xml:space="preserve"> kadın</w:t>
      </w:r>
      <w:r w:rsidR="006E0A8E" w:rsidRPr="00040962">
        <w:rPr>
          <w:lang w:val="tr-TR"/>
        </w:rPr>
        <w:t>ların</w:t>
      </w:r>
      <w:r w:rsidR="00E9159B" w:rsidRPr="00040962">
        <w:rPr>
          <w:lang w:val="tr-TR"/>
        </w:rPr>
        <w:t xml:space="preserve"> ve kız çocuklarının</w:t>
      </w:r>
      <w:r w:rsidR="006E0A8E" w:rsidRPr="00040962">
        <w:rPr>
          <w:lang w:val="tr-TR"/>
        </w:rPr>
        <w:t>, cinsel, ev-içi ve sözde namus</w:t>
      </w:r>
      <w:r w:rsidR="00E25447" w:rsidRPr="00040962">
        <w:rPr>
          <w:lang w:val="tr-TR"/>
        </w:rPr>
        <w:t xml:space="preserve"> adına </w:t>
      </w:r>
      <w:r w:rsidR="00B122B8">
        <w:rPr>
          <w:lang w:val="tr-TR"/>
        </w:rPr>
        <w:t>uygulanan</w:t>
      </w:r>
      <w:r w:rsidR="00B122B8" w:rsidRPr="00040962">
        <w:rPr>
          <w:lang w:val="tr-TR"/>
        </w:rPr>
        <w:t xml:space="preserve"> </w:t>
      </w:r>
      <w:r w:rsidR="006E0A8E" w:rsidRPr="00040962">
        <w:rPr>
          <w:lang w:val="tr-TR"/>
        </w:rPr>
        <w:t xml:space="preserve">şiddet de dahil olmak üzere toplumsal cinsiyet temelli </w:t>
      </w:r>
      <w:r w:rsidR="00E9159B" w:rsidRPr="00040962">
        <w:rPr>
          <w:lang w:val="tr-TR"/>
        </w:rPr>
        <w:t xml:space="preserve">her türlü şiddete maruz kalma </w:t>
      </w:r>
      <w:r w:rsidR="006E0A8E" w:rsidRPr="00040962">
        <w:rPr>
          <w:lang w:val="tr-TR"/>
        </w:rPr>
        <w:t xml:space="preserve">riskini potansiyel olarak artırmış olduğunun </w:t>
      </w:r>
      <w:r w:rsidR="001A58AF" w:rsidRPr="00040962">
        <w:rPr>
          <w:lang w:val="tr-TR"/>
        </w:rPr>
        <w:t>farkındalığıyla</w:t>
      </w:r>
      <w:r w:rsidR="006E0A8E" w:rsidRPr="00040962">
        <w:rPr>
          <w:lang w:val="tr-TR"/>
        </w:rPr>
        <w:t>,</w:t>
      </w:r>
    </w:p>
    <w:p w14:paraId="0B440950" w14:textId="77777777" w:rsidR="00C770B2" w:rsidRPr="00040962" w:rsidRDefault="00C770B2" w:rsidP="00DD72A3">
      <w:pPr>
        <w:jc w:val="both"/>
        <w:rPr>
          <w:lang w:val="tr-TR"/>
        </w:rPr>
      </w:pPr>
    </w:p>
    <w:p w14:paraId="4C2601C0" w14:textId="77777777" w:rsidR="00E9159B" w:rsidRPr="00040962" w:rsidRDefault="00163683" w:rsidP="00DD72A3">
      <w:pPr>
        <w:jc w:val="both"/>
        <w:rPr>
          <w:lang w:val="tr-TR"/>
        </w:rPr>
      </w:pPr>
      <w:r w:rsidRPr="00040962">
        <w:rPr>
          <w:lang w:val="tr-TR"/>
        </w:rPr>
        <w:t xml:space="preserve">Dezavantajlı </w:t>
      </w:r>
      <w:r w:rsidR="001A58AF" w:rsidRPr="00040962">
        <w:rPr>
          <w:lang w:val="tr-TR"/>
        </w:rPr>
        <w:t>gruplar</w:t>
      </w:r>
      <w:r w:rsidR="00E25447" w:rsidRPr="00040962">
        <w:rPr>
          <w:lang w:val="tr-TR"/>
        </w:rPr>
        <w:t>dan olan</w:t>
      </w:r>
      <w:r w:rsidR="00E9159B" w:rsidRPr="00040962">
        <w:rPr>
          <w:lang w:val="tr-TR"/>
        </w:rPr>
        <w:t xml:space="preserve"> </w:t>
      </w:r>
      <w:r w:rsidR="005328E8" w:rsidRPr="00040962">
        <w:rPr>
          <w:lang w:val="tr-TR"/>
        </w:rPr>
        <w:t>ve/veya</w:t>
      </w:r>
      <w:r w:rsidR="00E9159B" w:rsidRPr="00040962">
        <w:rPr>
          <w:lang w:val="tr-TR"/>
        </w:rPr>
        <w:t xml:space="preserve"> </w:t>
      </w:r>
      <w:r w:rsidR="00E25447" w:rsidRPr="00040962">
        <w:rPr>
          <w:lang w:val="tr-TR"/>
        </w:rPr>
        <w:t xml:space="preserve">mensup oldukları </w:t>
      </w:r>
      <w:r w:rsidR="005328E8" w:rsidRPr="00040962">
        <w:rPr>
          <w:lang w:val="tr-TR"/>
        </w:rPr>
        <w:t>sosyal veya etnik</w:t>
      </w:r>
      <w:r w:rsidR="00E25447" w:rsidRPr="00040962">
        <w:rPr>
          <w:lang w:val="tr-TR"/>
        </w:rPr>
        <w:t>/milli</w:t>
      </w:r>
      <w:r w:rsidR="005328E8" w:rsidRPr="00040962">
        <w:rPr>
          <w:lang w:val="tr-TR"/>
        </w:rPr>
        <w:t xml:space="preserve"> köken</w:t>
      </w:r>
      <w:r w:rsidR="00E25447" w:rsidRPr="00040962">
        <w:rPr>
          <w:lang w:val="tr-TR"/>
        </w:rPr>
        <w:t xml:space="preserve">lerinden dolayı </w:t>
      </w:r>
      <w:r w:rsidR="005328E8" w:rsidRPr="00040962">
        <w:rPr>
          <w:lang w:val="tr-TR"/>
        </w:rPr>
        <w:t>çok</w:t>
      </w:r>
      <w:r w:rsidR="00E25447" w:rsidRPr="00040962">
        <w:rPr>
          <w:lang w:val="tr-TR"/>
        </w:rPr>
        <w:t>lu</w:t>
      </w:r>
      <w:r w:rsidR="00E9159B" w:rsidRPr="00040962">
        <w:rPr>
          <w:lang w:val="tr-TR"/>
        </w:rPr>
        <w:t xml:space="preserve"> ayrımcıl</w:t>
      </w:r>
      <w:r w:rsidR="00E25447" w:rsidRPr="00040962">
        <w:rPr>
          <w:lang w:val="tr-TR"/>
        </w:rPr>
        <w:t xml:space="preserve">ığa uğrama </w:t>
      </w:r>
      <w:r w:rsidRPr="00040962">
        <w:rPr>
          <w:lang w:val="tr-TR"/>
        </w:rPr>
        <w:t>riski</w:t>
      </w:r>
      <w:r w:rsidR="00E25447" w:rsidRPr="00040962">
        <w:rPr>
          <w:lang w:val="tr-TR"/>
        </w:rPr>
        <w:t xml:space="preserve"> bulunan, engelli kadınlar, fuhuş</w:t>
      </w:r>
      <w:r w:rsidRPr="00040962">
        <w:rPr>
          <w:lang w:val="tr-TR"/>
        </w:rPr>
        <w:t xml:space="preserve"> yapan kadınlar, yaşlı kadınlar</w:t>
      </w:r>
      <w:r w:rsidR="00664C43" w:rsidRPr="00040962">
        <w:rPr>
          <w:lang w:val="tr-TR"/>
        </w:rPr>
        <w:t>,</w:t>
      </w:r>
      <w:r w:rsidRPr="00040962">
        <w:rPr>
          <w:lang w:val="tr-TR"/>
        </w:rPr>
        <w:t xml:space="preserve"> göçmen ve sığınmacı kadınlar gibi</w:t>
      </w:r>
      <w:r w:rsidR="00E25447" w:rsidRPr="00040962">
        <w:rPr>
          <w:lang w:val="tr-TR"/>
        </w:rPr>
        <w:t xml:space="preserve"> </w:t>
      </w:r>
      <w:r w:rsidR="00E9159B" w:rsidRPr="00040962">
        <w:rPr>
          <w:lang w:val="tr-TR"/>
        </w:rPr>
        <w:t>kadın ve kız</w:t>
      </w:r>
      <w:r w:rsidRPr="00040962">
        <w:rPr>
          <w:lang w:val="tr-TR"/>
        </w:rPr>
        <w:t xml:space="preserve"> çocukları için bu riskin</w:t>
      </w:r>
      <w:r w:rsidR="00E9159B" w:rsidRPr="00040962">
        <w:rPr>
          <w:lang w:val="tr-TR"/>
        </w:rPr>
        <w:t xml:space="preserve"> </w:t>
      </w:r>
      <w:r w:rsidRPr="00040962">
        <w:rPr>
          <w:lang w:val="tr-TR"/>
        </w:rPr>
        <w:t xml:space="preserve">özellikle yüksek olduğunun idrakıyla, </w:t>
      </w:r>
    </w:p>
    <w:p w14:paraId="691E0BB9" w14:textId="77777777" w:rsidR="006E0A8E" w:rsidRPr="00040962" w:rsidRDefault="006E0A8E" w:rsidP="00DD72A3">
      <w:pPr>
        <w:jc w:val="both"/>
        <w:rPr>
          <w:lang w:val="tr-TR"/>
        </w:rPr>
      </w:pPr>
    </w:p>
    <w:p w14:paraId="40B4A467" w14:textId="77777777" w:rsidR="00C210DB" w:rsidRPr="00040962" w:rsidRDefault="00C210DB" w:rsidP="00DD72A3">
      <w:pPr>
        <w:jc w:val="both"/>
        <w:rPr>
          <w:lang w:val="tr-TR"/>
        </w:rPr>
      </w:pPr>
      <w:r w:rsidRPr="00040962">
        <w:rPr>
          <w:lang w:val="tr-TR"/>
        </w:rPr>
        <w:t>Avrupa Konseyi</w:t>
      </w:r>
      <w:r w:rsidR="002A4645" w:rsidRPr="00040962">
        <w:rPr>
          <w:lang w:val="tr-TR"/>
        </w:rPr>
        <w:t>’</w:t>
      </w:r>
      <w:r w:rsidRPr="00040962">
        <w:rPr>
          <w:lang w:val="tr-TR"/>
        </w:rPr>
        <w:t>nin</w:t>
      </w:r>
      <w:r w:rsidR="002A4645" w:rsidRPr="00040962">
        <w:rPr>
          <w:lang w:val="tr-TR"/>
        </w:rPr>
        <w:t>,</w:t>
      </w:r>
      <w:r w:rsidRPr="00040962">
        <w:rPr>
          <w:lang w:val="tr-TR"/>
        </w:rPr>
        <w:t xml:space="preserve"> </w:t>
      </w:r>
      <w:r w:rsidR="005048C8" w:rsidRPr="00040962">
        <w:rPr>
          <w:lang w:val="tr-TR"/>
        </w:rPr>
        <w:t xml:space="preserve">hukukun üstünlüğüne, demokrasi ve insan hakları standartlarına saygıya dayalı </w:t>
      </w:r>
      <w:r w:rsidRPr="00040962">
        <w:rPr>
          <w:lang w:val="tr-TR"/>
        </w:rPr>
        <w:t>değerleri</w:t>
      </w:r>
      <w:r w:rsidR="005048C8" w:rsidRPr="00040962">
        <w:rPr>
          <w:lang w:val="tr-TR"/>
        </w:rPr>
        <w:t>ne</w:t>
      </w:r>
      <w:r w:rsidRPr="00040962">
        <w:rPr>
          <w:lang w:val="tr-TR"/>
        </w:rPr>
        <w:t xml:space="preserve"> ve standartlarına uygun, </w:t>
      </w:r>
      <w:r w:rsidR="005048C8" w:rsidRPr="00040962">
        <w:rPr>
          <w:lang w:val="tr-TR"/>
        </w:rPr>
        <w:t xml:space="preserve">eşgüdümlü </w:t>
      </w:r>
      <w:r w:rsidRPr="00040962">
        <w:rPr>
          <w:lang w:val="tr-TR"/>
        </w:rPr>
        <w:t xml:space="preserve">ve bütüncül </w:t>
      </w:r>
      <w:r w:rsidR="00BA427A" w:rsidRPr="00040962">
        <w:rPr>
          <w:lang w:val="tr-TR"/>
        </w:rPr>
        <w:t xml:space="preserve">önlemlerin teşvik edilmesinin önemini hatırlatarak, </w:t>
      </w:r>
    </w:p>
    <w:p w14:paraId="6D13E858" w14:textId="77777777" w:rsidR="00973536" w:rsidRPr="00040962" w:rsidRDefault="00973536" w:rsidP="00DD72A3">
      <w:pPr>
        <w:jc w:val="both"/>
        <w:rPr>
          <w:lang w:val="tr-TR"/>
        </w:rPr>
      </w:pPr>
    </w:p>
    <w:p w14:paraId="2FC56B82" w14:textId="77777777" w:rsidR="00973536" w:rsidRPr="00040962" w:rsidRDefault="004A3F5B" w:rsidP="00DD72A3">
      <w:pPr>
        <w:jc w:val="both"/>
        <w:rPr>
          <w:lang w:val="tr-TR"/>
        </w:rPr>
      </w:pPr>
      <w:r w:rsidRPr="00040962">
        <w:rPr>
          <w:lang w:val="tr-TR"/>
        </w:rPr>
        <w:lastRenderedPageBreak/>
        <w:t>Bu zor şartlar altında, k</w:t>
      </w:r>
      <w:r w:rsidR="00C210DB" w:rsidRPr="00040962">
        <w:rPr>
          <w:lang w:val="tr-TR"/>
        </w:rPr>
        <w:t>adına yönelik şiddeti ve ev</w:t>
      </w:r>
      <w:r w:rsidR="00664C43" w:rsidRPr="00040962">
        <w:rPr>
          <w:lang w:val="tr-TR"/>
        </w:rPr>
        <w:t>-</w:t>
      </w:r>
      <w:r w:rsidR="00C210DB" w:rsidRPr="00040962">
        <w:rPr>
          <w:lang w:val="tr-TR"/>
        </w:rPr>
        <w:t xml:space="preserve">içi şiddeti </w:t>
      </w:r>
      <w:r w:rsidRPr="00040962">
        <w:rPr>
          <w:lang w:val="tr-TR"/>
        </w:rPr>
        <w:t>önleme ve mücadele etme çabasını sürdüren taraf devletler</w:t>
      </w:r>
      <w:r w:rsidR="00973536" w:rsidRPr="00040962">
        <w:rPr>
          <w:lang w:val="tr-TR"/>
        </w:rPr>
        <w:t xml:space="preserve"> ve diğer</w:t>
      </w:r>
      <w:r w:rsidR="00C210DB" w:rsidRPr="00040962">
        <w:rPr>
          <w:lang w:val="tr-TR"/>
        </w:rPr>
        <w:t xml:space="preserve"> </w:t>
      </w:r>
      <w:r w:rsidRPr="00040962">
        <w:rPr>
          <w:lang w:val="tr-TR"/>
        </w:rPr>
        <w:t xml:space="preserve">devletlerin çabalarını desteklemek ve </w:t>
      </w:r>
      <w:r w:rsidR="00C210DB" w:rsidRPr="00040962">
        <w:rPr>
          <w:lang w:val="tr-TR"/>
        </w:rPr>
        <w:t>kılavuzluk etme</w:t>
      </w:r>
      <w:r w:rsidRPr="00040962">
        <w:rPr>
          <w:lang w:val="tr-TR"/>
        </w:rPr>
        <w:t>yi</w:t>
      </w:r>
      <w:r w:rsidR="00CD1B0F" w:rsidRPr="00040962">
        <w:rPr>
          <w:lang w:val="tr-TR"/>
        </w:rPr>
        <w:t xml:space="preserve"> dileyerek</w:t>
      </w:r>
      <w:r w:rsidR="00973536" w:rsidRPr="00040962">
        <w:rPr>
          <w:lang w:val="tr-TR"/>
        </w:rPr>
        <w:t>;</w:t>
      </w:r>
    </w:p>
    <w:p w14:paraId="43BA37AA" w14:textId="77777777" w:rsidR="00CD1B0F" w:rsidRPr="00040962" w:rsidRDefault="00C210DB" w:rsidP="00DD72A3">
      <w:pPr>
        <w:jc w:val="both"/>
        <w:rPr>
          <w:lang w:val="tr-TR"/>
        </w:rPr>
      </w:pPr>
      <w:r w:rsidRPr="00040962">
        <w:rPr>
          <w:lang w:val="tr-TR"/>
        </w:rPr>
        <w:t xml:space="preserve"> </w:t>
      </w:r>
    </w:p>
    <w:p w14:paraId="59F63BA4" w14:textId="77777777" w:rsidR="007E5852" w:rsidRPr="00040962" w:rsidRDefault="007E5852" w:rsidP="00DD72A3">
      <w:pPr>
        <w:jc w:val="both"/>
        <w:rPr>
          <w:rStyle w:val="tlid-translation"/>
          <w:rFonts w:ascii="Calibri" w:hAnsi="Calibri" w:cs="Calibri"/>
          <w:lang w:val="tr-TR"/>
        </w:rPr>
      </w:pPr>
      <w:r w:rsidRPr="00040962">
        <w:rPr>
          <w:rStyle w:val="tlid-translation"/>
          <w:rFonts w:ascii="Calibri" w:hAnsi="Calibri" w:cs="Calibri"/>
          <w:lang w:val="tr-TR"/>
        </w:rPr>
        <w:t>Kadın</w:t>
      </w:r>
      <w:r w:rsidR="004C65F4" w:rsidRPr="00040962">
        <w:rPr>
          <w:rStyle w:val="tlid-translation"/>
          <w:rFonts w:ascii="Calibri" w:hAnsi="Calibri" w:cs="Calibri"/>
          <w:lang w:val="tr-TR"/>
        </w:rPr>
        <w:t>lara</w:t>
      </w:r>
      <w:r w:rsidRPr="00040962">
        <w:rPr>
          <w:rStyle w:val="tlid-translation"/>
          <w:rFonts w:ascii="Calibri" w:hAnsi="Calibri" w:cs="Calibri"/>
          <w:lang w:val="tr-TR"/>
        </w:rPr>
        <w:t xml:space="preserve"> Yönelik Şiddet ve Ev-içi Şiddete Karşı Eylem Uzman Grubuna (GREVIO) danışmış ve </w:t>
      </w:r>
      <w:r w:rsidR="00B122B8">
        <w:rPr>
          <w:rStyle w:val="tlid-translation"/>
          <w:rFonts w:ascii="Calibri" w:hAnsi="Calibri" w:cs="Calibri"/>
          <w:lang w:val="tr-TR"/>
        </w:rPr>
        <w:t xml:space="preserve">bu grubun </w:t>
      </w:r>
      <w:r w:rsidRPr="00040962">
        <w:rPr>
          <w:rStyle w:val="tlid-translation"/>
          <w:rFonts w:ascii="Calibri" w:hAnsi="Calibri" w:cs="Calibri"/>
          <w:lang w:val="tr-TR"/>
        </w:rPr>
        <w:t>uzmanlığın</w:t>
      </w:r>
      <w:r w:rsidR="00390740" w:rsidRPr="00040962">
        <w:rPr>
          <w:rStyle w:val="tlid-translation"/>
          <w:rFonts w:ascii="Calibri" w:hAnsi="Calibri" w:cs="Calibri"/>
          <w:lang w:val="tr-TR"/>
        </w:rPr>
        <w:t xml:space="preserve">dan yararlanmış </w:t>
      </w:r>
      <w:r w:rsidRPr="00040962">
        <w:rPr>
          <w:rStyle w:val="tlid-translation"/>
          <w:rFonts w:ascii="Calibri" w:hAnsi="Calibri" w:cs="Calibri"/>
          <w:lang w:val="tr-TR"/>
        </w:rPr>
        <w:t>olarak:</w:t>
      </w:r>
    </w:p>
    <w:p w14:paraId="565AD5F9" w14:textId="77777777" w:rsidR="00CD1B0F" w:rsidRPr="00040962" w:rsidRDefault="00CD1B0F" w:rsidP="00DD72A3">
      <w:pPr>
        <w:jc w:val="both"/>
        <w:rPr>
          <w:lang w:val="tr-TR"/>
        </w:rPr>
      </w:pPr>
    </w:p>
    <w:p w14:paraId="75CF91A9" w14:textId="77777777" w:rsidR="00580323" w:rsidRPr="00040962" w:rsidRDefault="00790618" w:rsidP="00040962">
      <w:pPr>
        <w:pStyle w:val="ListParagraph"/>
        <w:numPr>
          <w:ilvl w:val="0"/>
          <w:numId w:val="14"/>
        </w:numPr>
        <w:jc w:val="both"/>
        <w:rPr>
          <w:lang w:val="tr-TR"/>
        </w:rPr>
      </w:pPr>
      <w:r w:rsidRPr="00040962">
        <w:rPr>
          <w:lang w:val="tr-TR"/>
        </w:rPr>
        <w:t>İstanbul Sözleşmesi'nin ilke ve yükümlülüklerinin, kadın</w:t>
      </w:r>
      <w:r w:rsidR="002A4645" w:rsidRPr="00040962">
        <w:rPr>
          <w:lang w:val="tr-TR"/>
        </w:rPr>
        <w:t>lar</w:t>
      </w:r>
      <w:r w:rsidRPr="00040962">
        <w:rPr>
          <w:lang w:val="tr-TR"/>
        </w:rPr>
        <w:t xml:space="preserve"> ve erkek</w:t>
      </w:r>
      <w:r w:rsidR="002A4645" w:rsidRPr="00040962">
        <w:rPr>
          <w:lang w:val="tr-TR"/>
        </w:rPr>
        <w:t>ler</w:t>
      </w:r>
      <w:r w:rsidRPr="00040962">
        <w:rPr>
          <w:lang w:val="tr-TR"/>
        </w:rPr>
        <w:t xml:space="preserve"> arasında</w:t>
      </w:r>
      <w:r w:rsidR="002A4645" w:rsidRPr="00040962">
        <w:rPr>
          <w:lang w:val="tr-TR"/>
        </w:rPr>
        <w:t>ki</w:t>
      </w:r>
      <w:r w:rsidRPr="00040962">
        <w:rPr>
          <w:lang w:val="tr-TR"/>
        </w:rPr>
        <w:t xml:space="preserve"> eşitliği </w:t>
      </w:r>
      <w:r w:rsidR="00390740" w:rsidRPr="00040962">
        <w:rPr>
          <w:lang w:val="tr-TR"/>
        </w:rPr>
        <w:t xml:space="preserve">sağlamak, </w:t>
      </w:r>
      <w:r w:rsidRPr="00040962">
        <w:rPr>
          <w:lang w:val="tr-TR"/>
        </w:rPr>
        <w:t xml:space="preserve">kadınlara yönelik şiddete ve ev-içi şiddete karşı, her zaman geçerli olan ancak COVID-19 </w:t>
      </w:r>
      <w:r w:rsidR="00040962" w:rsidRPr="00040962">
        <w:rPr>
          <w:lang w:val="tr-TR"/>
        </w:rPr>
        <w:t>pandemisinin</w:t>
      </w:r>
      <w:r w:rsidRPr="00040962">
        <w:rPr>
          <w:lang w:val="tr-TR"/>
        </w:rPr>
        <w:t xml:space="preserve"> yol açtığı kamusal aciliyet durumunda daha fazla önem kazanan önlemlerin alınması ve uygulanması için bir çerçeve sunduğunu hatırlatır,</w:t>
      </w:r>
    </w:p>
    <w:p w14:paraId="3714094A" w14:textId="77777777" w:rsidR="00790618" w:rsidRPr="00040962" w:rsidRDefault="00790618" w:rsidP="00DD72A3">
      <w:pPr>
        <w:jc w:val="both"/>
        <w:rPr>
          <w:lang w:val="tr-TR"/>
        </w:rPr>
      </w:pPr>
    </w:p>
    <w:p w14:paraId="16B53054" w14:textId="77777777" w:rsidR="00E47DC2" w:rsidRPr="00040962" w:rsidRDefault="0045654E" w:rsidP="00040962">
      <w:pPr>
        <w:pStyle w:val="ListParagraph"/>
        <w:numPr>
          <w:ilvl w:val="0"/>
          <w:numId w:val="14"/>
        </w:numPr>
        <w:jc w:val="both"/>
        <w:rPr>
          <w:lang w:val="tr-TR"/>
        </w:rPr>
      </w:pPr>
      <w:r w:rsidRPr="00040962">
        <w:rPr>
          <w:lang w:val="tr-TR"/>
        </w:rPr>
        <w:t xml:space="preserve">İstanbul Sözleşmesine </w:t>
      </w:r>
      <w:r w:rsidR="002A4645" w:rsidRPr="00040962">
        <w:rPr>
          <w:lang w:val="tr-TR"/>
        </w:rPr>
        <w:t>taraf devletlerin, Avrupa İnsan Hakları Sözleşmesi kapsamındaki yükümlülüklerle uyumlu bir şekilde, Sözleşmede sözü edilen şiddet eylemlerini önlemek, soruşturmak, cezalandırmak ve tazminini sağlamak için gereken özeni gösterme yükümlülüğünün altını çizer,</w:t>
      </w:r>
    </w:p>
    <w:p w14:paraId="400BD531" w14:textId="77777777" w:rsidR="002A4645" w:rsidRPr="00040962" w:rsidRDefault="002A4645" w:rsidP="00DD72A3">
      <w:pPr>
        <w:jc w:val="both"/>
        <w:rPr>
          <w:lang w:val="tr-TR"/>
        </w:rPr>
      </w:pPr>
    </w:p>
    <w:p w14:paraId="20FE8801" w14:textId="77777777" w:rsidR="00E47DC2" w:rsidRPr="00040962" w:rsidRDefault="00596F35" w:rsidP="00040962">
      <w:pPr>
        <w:pStyle w:val="ListParagraph"/>
        <w:numPr>
          <w:ilvl w:val="0"/>
          <w:numId w:val="14"/>
        </w:numPr>
        <w:jc w:val="both"/>
        <w:rPr>
          <w:lang w:val="tr-TR"/>
        </w:rPr>
      </w:pPr>
      <w:r w:rsidRPr="00040962">
        <w:rPr>
          <w:lang w:val="tr-TR"/>
        </w:rPr>
        <w:t>İçinde bulunulan şartlarda şiddete karşı kurumsal yanıtlarını yaratıcı şekillerde verme arayışındaki devletlerin çabalarını memnuniyetle karşılarken, taraf devletleri, İstanbul Sözleşmesi kapsamındaki yükümlülüklerini yerine getirmeye, bu amaçla aldıkları önlemleri güçlendirmeye davet eder,</w:t>
      </w:r>
    </w:p>
    <w:p w14:paraId="5FB4419D" w14:textId="77777777" w:rsidR="00596F35" w:rsidRPr="00040962" w:rsidRDefault="00596F35" w:rsidP="00DD72A3">
      <w:pPr>
        <w:jc w:val="both"/>
        <w:rPr>
          <w:lang w:val="tr-TR"/>
        </w:rPr>
      </w:pPr>
    </w:p>
    <w:p w14:paraId="2146072B" w14:textId="77777777" w:rsidR="00E9159B" w:rsidRPr="00040962" w:rsidRDefault="006F3267" w:rsidP="00040962">
      <w:pPr>
        <w:pStyle w:val="ListParagraph"/>
        <w:numPr>
          <w:ilvl w:val="0"/>
          <w:numId w:val="14"/>
        </w:numPr>
        <w:jc w:val="both"/>
        <w:rPr>
          <w:lang w:val="tr-TR"/>
        </w:rPr>
      </w:pPr>
      <w:r w:rsidRPr="00040962">
        <w:rPr>
          <w:lang w:val="tr-TR"/>
        </w:rPr>
        <w:t>B</w:t>
      </w:r>
      <w:r w:rsidR="00596F35" w:rsidRPr="00040962">
        <w:rPr>
          <w:lang w:val="tr-TR"/>
        </w:rPr>
        <w:t>u açıklamanın ekindeki, p</w:t>
      </w:r>
      <w:r w:rsidR="004453EB" w:rsidRPr="00040962">
        <w:rPr>
          <w:lang w:val="tr-TR"/>
        </w:rPr>
        <w:t xml:space="preserve">andemiyle </w:t>
      </w:r>
      <w:r w:rsidR="00596F35" w:rsidRPr="00040962">
        <w:rPr>
          <w:lang w:val="tr-TR"/>
        </w:rPr>
        <w:t xml:space="preserve">mücadeleye dair olası eylem ve önlem örneklerini sunan İstanbul Sözleşmesi’nin seçili hükümlerine </w:t>
      </w:r>
      <w:r w:rsidRPr="00040962">
        <w:rPr>
          <w:lang w:val="tr-TR"/>
        </w:rPr>
        <w:t xml:space="preserve">taraf devletlerin </w:t>
      </w:r>
      <w:r w:rsidR="00596F35" w:rsidRPr="00040962">
        <w:rPr>
          <w:lang w:val="tr-TR"/>
        </w:rPr>
        <w:t xml:space="preserve">dikkatini çeker, </w:t>
      </w:r>
    </w:p>
    <w:p w14:paraId="168DBC03" w14:textId="77777777" w:rsidR="004453EB" w:rsidRPr="00040962" w:rsidRDefault="004453EB" w:rsidP="00DD72A3">
      <w:pPr>
        <w:jc w:val="both"/>
        <w:rPr>
          <w:lang w:val="tr-TR"/>
        </w:rPr>
      </w:pPr>
    </w:p>
    <w:p w14:paraId="56728C31" w14:textId="315E286C" w:rsidR="00057654" w:rsidRPr="00040962" w:rsidRDefault="00171B65" w:rsidP="00040962">
      <w:pPr>
        <w:pStyle w:val="ListParagraph"/>
        <w:numPr>
          <w:ilvl w:val="0"/>
          <w:numId w:val="14"/>
        </w:numPr>
        <w:jc w:val="both"/>
        <w:rPr>
          <w:lang w:val="tr-TR"/>
        </w:rPr>
      </w:pPr>
      <w:r w:rsidRPr="00040962">
        <w:rPr>
          <w:lang w:val="tr-TR"/>
        </w:rPr>
        <w:t xml:space="preserve">İstanbul Sözleşmesi’nin ilkelerine ve yükümlülüklerine tam olarak uyumun sağlanması ve </w:t>
      </w:r>
      <w:r w:rsidR="00A907F0" w:rsidRPr="00040962">
        <w:rPr>
          <w:lang w:val="tr-TR"/>
        </w:rPr>
        <w:t xml:space="preserve">söz konusu şiddete karşı </w:t>
      </w:r>
      <w:r w:rsidRPr="00040962">
        <w:rPr>
          <w:lang w:val="tr-TR"/>
        </w:rPr>
        <w:t xml:space="preserve">mağdur-odaklı ve insan hakları-temelli </w:t>
      </w:r>
      <w:r w:rsidR="00A907F0" w:rsidRPr="00040962">
        <w:rPr>
          <w:lang w:val="tr-TR"/>
        </w:rPr>
        <w:t>yaklaşımın garanti altına alınması ile birlikte, s</w:t>
      </w:r>
      <w:r w:rsidR="00057654" w:rsidRPr="00040962">
        <w:rPr>
          <w:lang w:val="tr-TR"/>
        </w:rPr>
        <w:t>üregelmekte olan krizin</w:t>
      </w:r>
      <w:r w:rsidR="00A907F0" w:rsidRPr="00040962">
        <w:rPr>
          <w:lang w:val="tr-TR"/>
        </w:rPr>
        <w:t>,</w:t>
      </w:r>
      <w:r w:rsidR="00057654" w:rsidRPr="00040962">
        <w:rPr>
          <w:lang w:val="tr-TR"/>
        </w:rPr>
        <w:t xml:space="preserve"> </w:t>
      </w:r>
      <w:r w:rsidR="006E6913" w:rsidRPr="00040962">
        <w:rPr>
          <w:lang w:val="tr-TR"/>
        </w:rPr>
        <w:t>kadın</w:t>
      </w:r>
      <w:r w:rsidRPr="00040962">
        <w:rPr>
          <w:lang w:val="tr-TR"/>
        </w:rPr>
        <w:t>lara</w:t>
      </w:r>
      <w:r w:rsidR="006E6913" w:rsidRPr="00040962">
        <w:rPr>
          <w:lang w:val="tr-TR"/>
        </w:rPr>
        <w:t xml:space="preserve"> yönelik şiddetin ve ev</w:t>
      </w:r>
      <w:r w:rsidRPr="00040962">
        <w:rPr>
          <w:lang w:val="tr-TR"/>
        </w:rPr>
        <w:t>-</w:t>
      </w:r>
      <w:r w:rsidR="006E6913" w:rsidRPr="00040962">
        <w:rPr>
          <w:lang w:val="tr-TR"/>
        </w:rPr>
        <w:t xml:space="preserve">içi şiddetin </w:t>
      </w:r>
      <w:r w:rsidR="00057654" w:rsidRPr="00040962">
        <w:rPr>
          <w:lang w:val="tr-TR"/>
        </w:rPr>
        <w:t>mağdur</w:t>
      </w:r>
      <w:r w:rsidR="006E6913" w:rsidRPr="00040962">
        <w:rPr>
          <w:lang w:val="tr-TR"/>
        </w:rPr>
        <w:t>u olan kadınlar</w:t>
      </w:r>
      <w:r w:rsidR="00057654" w:rsidRPr="00040962">
        <w:rPr>
          <w:lang w:val="tr-TR"/>
        </w:rPr>
        <w:t xml:space="preserve"> üzerindeki uzun</w:t>
      </w:r>
      <w:r w:rsidR="006E6913" w:rsidRPr="00040962">
        <w:rPr>
          <w:lang w:val="tr-TR"/>
        </w:rPr>
        <w:t xml:space="preserve"> vadeli</w:t>
      </w:r>
      <w:r w:rsidR="00057654" w:rsidRPr="00040962">
        <w:rPr>
          <w:lang w:val="tr-TR"/>
        </w:rPr>
        <w:t xml:space="preserve"> etki</w:t>
      </w:r>
      <w:r w:rsidR="006E6913" w:rsidRPr="00040962">
        <w:rPr>
          <w:lang w:val="tr-TR"/>
        </w:rPr>
        <w:t>ler</w:t>
      </w:r>
      <w:r w:rsidR="00057654" w:rsidRPr="00040962">
        <w:rPr>
          <w:lang w:val="tr-TR"/>
        </w:rPr>
        <w:t>i</w:t>
      </w:r>
      <w:r w:rsidR="006E6913" w:rsidRPr="00040962">
        <w:rPr>
          <w:lang w:val="tr-TR"/>
        </w:rPr>
        <w:t xml:space="preserve"> konusunda</w:t>
      </w:r>
      <w:r w:rsidR="001030B4" w:rsidRPr="00040962">
        <w:rPr>
          <w:lang w:val="tr-TR"/>
        </w:rPr>
        <w:t xml:space="preserve"> </w:t>
      </w:r>
      <w:r w:rsidR="00A907F0" w:rsidRPr="00040962">
        <w:rPr>
          <w:lang w:val="tr-TR"/>
        </w:rPr>
        <w:t xml:space="preserve">Komite </w:t>
      </w:r>
      <w:r w:rsidR="001030B4" w:rsidRPr="00040962">
        <w:rPr>
          <w:lang w:val="tr-TR"/>
        </w:rPr>
        <w:t>üye</w:t>
      </w:r>
      <w:r w:rsidR="00A907F0" w:rsidRPr="00040962">
        <w:rPr>
          <w:lang w:val="tr-TR"/>
        </w:rPr>
        <w:t>leri</w:t>
      </w:r>
      <w:r w:rsidR="001030B4" w:rsidRPr="00040962">
        <w:rPr>
          <w:lang w:val="tr-TR"/>
        </w:rPr>
        <w:t xml:space="preserve"> ve gözlemci</w:t>
      </w:r>
      <w:r w:rsidR="00A907F0" w:rsidRPr="00040962">
        <w:rPr>
          <w:lang w:val="tr-TR"/>
        </w:rPr>
        <w:t>leri</w:t>
      </w:r>
      <w:r w:rsidR="001030B4" w:rsidRPr="00040962">
        <w:rPr>
          <w:lang w:val="tr-TR"/>
        </w:rPr>
        <w:t xml:space="preserve"> arasında </w:t>
      </w:r>
      <w:r w:rsidR="007A08FD" w:rsidRPr="00040962">
        <w:rPr>
          <w:lang w:val="tr-TR"/>
        </w:rPr>
        <w:t>bilgi paylaşımı</w:t>
      </w:r>
      <w:r w:rsidRPr="00040962">
        <w:rPr>
          <w:lang w:val="tr-TR"/>
        </w:rPr>
        <w:t xml:space="preserve"> ve </w:t>
      </w:r>
      <w:r w:rsidR="001030B4" w:rsidRPr="00040962">
        <w:rPr>
          <w:lang w:val="tr-TR"/>
        </w:rPr>
        <w:t>işbirliğin</w:t>
      </w:r>
      <w:r w:rsidR="00A907F0" w:rsidRPr="00040962">
        <w:rPr>
          <w:lang w:val="tr-TR"/>
        </w:rPr>
        <w:t xml:space="preserve">e olan ihtiyacı kabul eder. </w:t>
      </w:r>
      <w:r w:rsidR="001030B4" w:rsidRPr="00040962">
        <w:rPr>
          <w:lang w:val="tr-TR"/>
        </w:rPr>
        <w:t xml:space="preserve"> </w:t>
      </w:r>
    </w:p>
    <w:p w14:paraId="03790A1F" w14:textId="77777777" w:rsidR="001030B4" w:rsidRPr="00040962" w:rsidRDefault="001030B4" w:rsidP="004249AB">
      <w:pPr>
        <w:rPr>
          <w:lang w:val="tr-TR"/>
        </w:rPr>
      </w:pPr>
    </w:p>
    <w:p w14:paraId="55860454" w14:textId="77777777" w:rsidR="001030B4" w:rsidRPr="007C7175" w:rsidRDefault="001030B4" w:rsidP="009340B8">
      <w:pPr>
        <w:jc w:val="center"/>
        <w:rPr>
          <w:b/>
          <w:bCs/>
          <w:sz w:val="26"/>
          <w:szCs w:val="26"/>
          <w:lang w:val="tr-TR"/>
        </w:rPr>
      </w:pPr>
      <w:r w:rsidRPr="007C7175">
        <w:rPr>
          <w:b/>
          <w:bCs/>
          <w:sz w:val="26"/>
          <w:szCs w:val="26"/>
          <w:lang w:val="tr-TR"/>
        </w:rPr>
        <w:t>EK</w:t>
      </w:r>
    </w:p>
    <w:p w14:paraId="1160E5C8" w14:textId="77777777" w:rsidR="009340B8" w:rsidRPr="007C7175" w:rsidRDefault="001030B4" w:rsidP="009340B8">
      <w:pPr>
        <w:jc w:val="center"/>
        <w:rPr>
          <w:b/>
          <w:bCs/>
          <w:sz w:val="26"/>
          <w:szCs w:val="26"/>
          <w:lang w:val="tr-TR"/>
        </w:rPr>
      </w:pPr>
      <w:r w:rsidRPr="007C7175">
        <w:rPr>
          <w:b/>
          <w:bCs/>
          <w:sz w:val="26"/>
          <w:szCs w:val="26"/>
          <w:lang w:val="tr-TR"/>
        </w:rPr>
        <w:t>COVİD-19 Pandemisi Esnasında İstanbul Sözleşmesi</w:t>
      </w:r>
      <w:r w:rsidR="00A907F0" w:rsidRPr="007C7175">
        <w:rPr>
          <w:b/>
          <w:bCs/>
          <w:sz w:val="26"/>
          <w:szCs w:val="26"/>
          <w:lang w:val="tr-TR"/>
        </w:rPr>
        <w:t>’</w:t>
      </w:r>
      <w:r w:rsidRPr="007C7175">
        <w:rPr>
          <w:b/>
          <w:bCs/>
          <w:sz w:val="26"/>
          <w:szCs w:val="26"/>
          <w:lang w:val="tr-TR"/>
        </w:rPr>
        <w:t xml:space="preserve">nin Seçili </w:t>
      </w:r>
      <w:r w:rsidR="00A907F0" w:rsidRPr="007C7175">
        <w:rPr>
          <w:b/>
          <w:bCs/>
          <w:sz w:val="26"/>
          <w:szCs w:val="26"/>
          <w:lang w:val="tr-TR"/>
        </w:rPr>
        <w:t>Hükümleri Kapsamında</w:t>
      </w:r>
      <w:r w:rsidRPr="007C7175">
        <w:rPr>
          <w:b/>
          <w:bCs/>
          <w:sz w:val="26"/>
          <w:szCs w:val="26"/>
          <w:lang w:val="tr-TR"/>
        </w:rPr>
        <w:t xml:space="preserve"> </w:t>
      </w:r>
    </w:p>
    <w:p w14:paraId="4D5BE646" w14:textId="77777777" w:rsidR="001030B4" w:rsidRPr="00040962" w:rsidRDefault="001030B4" w:rsidP="009340B8">
      <w:pPr>
        <w:jc w:val="center"/>
        <w:rPr>
          <w:b/>
          <w:bCs/>
          <w:lang w:val="tr-TR"/>
        </w:rPr>
      </w:pPr>
      <w:r w:rsidRPr="007C7175">
        <w:rPr>
          <w:b/>
          <w:bCs/>
          <w:sz w:val="26"/>
          <w:szCs w:val="26"/>
          <w:lang w:val="tr-TR"/>
        </w:rPr>
        <w:t>Alına</w:t>
      </w:r>
      <w:r w:rsidR="00A907F0" w:rsidRPr="007C7175">
        <w:rPr>
          <w:b/>
          <w:bCs/>
          <w:sz w:val="26"/>
          <w:szCs w:val="26"/>
          <w:lang w:val="tr-TR"/>
        </w:rPr>
        <w:t>cak Olası</w:t>
      </w:r>
      <w:r w:rsidRPr="007C7175">
        <w:rPr>
          <w:b/>
          <w:bCs/>
          <w:sz w:val="26"/>
          <w:szCs w:val="26"/>
          <w:lang w:val="tr-TR"/>
        </w:rPr>
        <w:t xml:space="preserve"> Eylem ve Önlemler</w:t>
      </w:r>
    </w:p>
    <w:p w14:paraId="599DE33F" w14:textId="77777777" w:rsidR="001030B4" w:rsidRPr="00040962" w:rsidRDefault="001030B4" w:rsidP="004249AB">
      <w:pPr>
        <w:rPr>
          <w:b/>
          <w:bCs/>
          <w:lang w:val="tr-TR"/>
        </w:rPr>
      </w:pPr>
    </w:p>
    <w:p w14:paraId="1923BD3C" w14:textId="77777777" w:rsidR="00B6589C" w:rsidRPr="00040962" w:rsidRDefault="00B6589C" w:rsidP="009340B8">
      <w:pPr>
        <w:jc w:val="center"/>
        <w:rPr>
          <w:b/>
          <w:bCs/>
          <w:lang w:val="tr-TR"/>
        </w:rPr>
      </w:pPr>
      <w:r w:rsidRPr="00040962">
        <w:rPr>
          <w:b/>
          <w:bCs/>
          <w:lang w:val="tr-TR"/>
        </w:rPr>
        <w:t>BÜTÜNCÜL POLİTİKALAR</w:t>
      </w:r>
    </w:p>
    <w:p w14:paraId="0B1F5601" w14:textId="77777777" w:rsidR="00B6589C" w:rsidRPr="00040962" w:rsidRDefault="00B6589C" w:rsidP="004249AB">
      <w:pPr>
        <w:rPr>
          <w:b/>
          <w:bCs/>
          <w:lang w:val="tr-TR"/>
        </w:rPr>
      </w:pPr>
    </w:p>
    <w:p w14:paraId="4C332879" w14:textId="786B515A" w:rsidR="004C3EBB" w:rsidRPr="00040962" w:rsidRDefault="00B6589C" w:rsidP="00DD72A3">
      <w:pPr>
        <w:jc w:val="both"/>
        <w:rPr>
          <w:lang w:val="tr-TR"/>
        </w:rPr>
      </w:pPr>
      <w:r w:rsidRPr="00040962">
        <w:rPr>
          <w:b/>
          <w:bCs/>
          <w:lang w:val="tr-TR"/>
        </w:rPr>
        <w:t>MADDE 6</w:t>
      </w:r>
      <w:r w:rsidR="00B95FCE" w:rsidRPr="00040962">
        <w:rPr>
          <w:b/>
          <w:bCs/>
          <w:lang w:val="tr-TR"/>
        </w:rPr>
        <w:t xml:space="preserve"> (To</w:t>
      </w:r>
      <w:r w:rsidR="002C766C" w:rsidRPr="00040962">
        <w:rPr>
          <w:b/>
          <w:bCs/>
          <w:lang w:val="tr-TR"/>
        </w:rPr>
        <w:t>p</w:t>
      </w:r>
      <w:r w:rsidR="00B95FCE" w:rsidRPr="00040962">
        <w:rPr>
          <w:b/>
          <w:bCs/>
          <w:lang w:val="tr-TR"/>
        </w:rPr>
        <w:t>lumsal cinsiyete duyarlı politikalar)</w:t>
      </w:r>
      <w:r w:rsidR="00B35A98">
        <w:rPr>
          <w:rStyle w:val="EndnoteReference"/>
          <w:b/>
          <w:bCs/>
          <w:lang w:val="tr-TR"/>
        </w:rPr>
        <w:endnoteReference w:id="1"/>
      </w:r>
      <w:r w:rsidR="00F93178" w:rsidRPr="00B35A98">
        <w:rPr>
          <w:b/>
          <w:bCs/>
          <w:lang w:val="tr-TR"/>
        </w:rPr>
        <w:t>:</w:t>
      </w:r>
      <w:r w:rsidR="00F93178" w:rsidRPr="00040962">
        <w:rPr>
          <w:b/>
          <w:bCs/>
          <w:color w:val="FF0000"/>
          <w:lang w:val="tr-TR"/>
        </w:rPr>
        <w:t xml:space="preserve"> </w:t>
      </w:r>
      <w:r w:rsidR="00A405BB" w:rsidRPr="00040962">
        <w:rPr>
          <w:lang w:val="tr-TR"/>
        </w:rPr>
        <w:t xml:space="preserve">Taraf devletler, </w:t>
      </w:r>
      <w:r w:rsidR="00B95FCE" w:rsidRPr="00040962">
        <w:rPr>
          <w:lang w:val="tr-TR"/>
        </w:rPr>
        <w:t xml:space="preserve">COVİD-19 pandemisi ile mücadele etmeye yönelik </w:t>
      </w:r>
      <w:r w:rsidR="00A405BB" w:rsidRPr="00040962">
        <w:rPr>
          <w:lang w:val="tr-TR"/>
        </w:rPr>
        <w:t>geliştirecekleri ve uygulayacakları stratejilere toplumsal cinsiyet bakış açısı</w:t>
      </w:r>
      <w:r w:rsidR="00CD7701">
        <w:rPr>
          <w:lang w:val="tr-TR"/>
        </w:rPr>
        <w:t>nı</w:t>
      </w:r>
      <w:r w:rsidR="00A405BB" w:rsidRPr="00040962">
        <w:rPr>
          <w:lang w:val="tr-TR"/>
        </w:rPr>
        <w:t xml:space="preserve"> dahil etmeye çaba sarfetmelidirler. Bu, </w:t>
      </w:r>
      <w:r w:rsidR="0064444E" w:rsidRPr="00040962">
        <w:rPr>
          <w:lang w:val="tr-TR"/>
        </w:rPr>
        <w:t>alınan önlemlerin kadınlar ve kız çocukları üzerindeki olası etkilerin</w:t>
      </w:r>
      <w:r w:rsidR="0079118F" w:rsidRPr="00040962">
        <w:rPr>
          <w:lang w:val="tr-TR"/>
        </w:rPr>
        <w:t>in</w:t>
      </w:r>
      <w:r w:rsidR="0064444E" w:rsidRPr="00040962">
        <w:rPr>
          <w:lang w:val="tr-TR"/>
        </w:rPr>
        <w:t xml:space="preserve"> ve onların</w:t>
      </w:r>
      <w:r w:rsidR="0079118F" w:rsidRPr="00040962">
        <w:rPr>
          <w:lang w:val="tr-TR"/>
        </w:rPr>
        <w:t>,</w:t>
      </w:r>
      <w:r w:rsidR="0064444E" w:rsidRPr="00040962">
        <w:rPr>
          <w:lang w:val="tr-TR"/>
        </w:rPr>
        <w:t xml:space="preserve"> </w:t>
      </w:r>
      <w:r w:rsidR="0079118F" w:rsidRPr="00040962">
        <w:rPr>
          <w:lang w:val="tr-TR"/>
        </w:rPr>
        <w:t xml:space="preserve">teknoloji-yoluyla gerçekleşen şiddet de dahil olmak üzere, </w:t>
      </w:r>
      <w:r w:rsidR="0064444E" w:rsidRPr="00040962">
        <w:rPr>
          <w:lang w:val="tr-TR"/>
        </w:rPr>
        <w:t>yakın ilişki yaşadıkları kişilerden</w:t>
      </w:r>
      <w:r w:rsidR="0079118F" w:rsidRPr="00040962">
        <w:rPr>
          <w:lang w:val="tr-TR"/>
        </w:rPr>
        <w:t xml:space="preserve"> görecekleri şiddet, ev-içi şiddet, ısrarlı takip, cinsel taciz, zorla </w:t>
      </w:r>
      <w:r w:rsidR="0079118F" w:rsidRPr="00040962">
        <w:rPr>
          <w:lang w:val="tr-TR"/>
        </w:rPr>
        <w:lastRenderedPageBreak/>
        <w:t>evlendirme ve cinsel şiddet benzeri şiddetin çeşitli türlerine maruz kalmaları risklerinin</w:t>
      </w:r>
      <w:r w:rsidR="00792605" w:rsidRPr="00040962">
        <w:rPr>
          <w:lang w:val="tr-TR"/>
        </w:rPr>
        <w:t xml:space="preserve"> yanı sıra, </w:t>
      </w:r>
      <w:r w:rsidR="0079118F" w:rsidRPr="00040962">
        <w:rPr>
          <w:lang w:val="tr-TR"/>
        </w:rPr>
        <w:t xml:space="preserve">bu şiddete tanık olan çocuklar üzerindeki olası etkilerin </w:t>
      </w:r>
      <w:r w:rsidR="00792605" w:rsidRPr="00040962">
        <w:rPr>
          <w:lang w:val="tr-TR"/>
        </w:rPr>
        <w:t xml:space="preserve">de </w:t>
      </w:r>
      <w:r w:rsidR="0079118F" w:rsidRPr="00040962">
        <w:rPr>
          <w:lang w:val="tr-TR"/>
        </w:rPr>
        <w:t xml:space="preserve">değerlendirilmesi anlamına gelir.  </w:t>
      </w:r>
    </w:p>
    <w:p w14:paraId="61A48811" w14:textId="77777777" w:rsidR="002C766C" w:rsidRPr="00040962" w:rsidRDefault="002C766C" w:rsidP="00DD72A3">
      <w:pPr>
        <w:jc w:val="both"/>
        <w:rPr>
          <w:lang w:val="tr-TR"/>
        </w:rPr>
      </w:pPr>
    </w:p>
    <w:p w14:paraId="0004D36A" w14:textId="0441865D" w:rsidR="004C3EBB" w:rsidRPr="00040962" w:rsidRDefault="00F93178" w:rsidP="00DD72A3">
      <w:pPr>
        <w:jc w:val="both"/>
        <w:rPr>
          <w:lang w:val="tr-TR"/>
        </w:rPr>
      </w:pPr>
      <w:r w:rsidRPr="00040962">
        <w:rPr>
          <w:b/>
          <w:bCs/>
          <w:lang w:val="tr-TR"/>
        </w:rPr>
        <w:t>M</w:t>
      </w:r>
      <w:r w:rsidR="002C766C" w:rsidRPr="00040962">
        <w:rPr>
          <w:b/>
          <w:bCs/>
          <w:lang w:val="tr-TR"/>
        </w:rPr>
        <w:t>ADDE 7</w:t>
      </w:r>
      <w:r w:rsidR="004C3EBB" w:rsidRPr="00040962">
        <w:rPr>
          <w:lang w:val="tr-TR"/>
        </w:rPr>
        <w:t xml:space="preserve"> </w:t>
      </w:r>
      <w:r w:rsidR="00794D9E" w:rsidRPr="00040962">
        <w:rPr>
          <w:lang w:val="tr-TR"/>
        </w:rPr>
        <w:t>(</w:t>
      </w:r>
      <w:r w:rsidR="002C766C" w:rsidRPr="00040962">
        <w:rPr>
          <w:b/>
          <w:bCs/>
          <w:lang w:val="tr-TR"/>
        </w:rPr>
        <w:t>Kapsamlı ve koordineli politikalar</w:t>
      </w:r>
      <w:r w:rsidR="00794D9E" w:rsidRPr="00040962">
        <w:rPr>
          <w:b/>
          <w:bCs/>
          <w:lang w:val="tr-TR"/>
        </w:rPr>
        <w:t>)</w:t>
      </w:r>
      <w:r w:rsidRPr="00040962">
        <w:rPr>
          <w:b/>
          <w:bCs/>
          <w:lang w:val="tr-TR"/>
        </w:rPr>
        <w:t xml:space="preserve">: </w:t>
      </w:r>
      <w:r w:rsidR="004B7B9D" w:rsidRPr="00040962">
        <w:rPr>
          <w:lang w:val="tr-TR"/>
        </w:rPr>
        <w:t>Taraf devletlerin, pandemi sırasında kadın</w:t>
      </w:r>
      <w:r w:rsidR="009617F6" w:rsidRPr="00040962">
        <w:rPr>
          <w:lang w:val="tr-TR"/>
        </w:rPr>
        <w:t>lara</w:t>
      </w:r>
      <w:r w:rsidR="004B7B9D" w:rsidRPr="00040962">
        <w:rPr>
          <w:lang w:val="tr-TR"/>
        </w:rPr>
        <w:t xml:space="preserve"> yönelik şiddeti durdurmaya yönelik politikaların geliştirilmesinde ve uygulanmasında kurumlar arası koordinasyon mekanizmalarını mümkün olduğunca </w:t>
      </w:r>
      <w:r w:rsidR="009617F6" w:rsidRPr="00040962">
        <w:rPr>
          <w:lang w:val="tr-TR"/>
        </w:rPr>
        <w:t>korumaları</w:t>
      </w:r>
      <w:r w:rsidR="004B7B9D" w:rsidRPr="00040962">
        <w:rPr>
          <w:lang w:val="tr-TR"/>
        </w:rPr>
        <w:t xml:space="preserve"> ve güçlendirmeleri gerekir. </w:t>
      </w:r>
      <w:r w:rsidR="00DD637B" w:rsidRPr="00040962">
        <w:rPr>
          <w:lang w:val="tr-TR"/>
        </w:rPr>
        <w:t>Sivil toplum kuruluşları ve kadın hakları örgütleri de dahil olmak üzere tüm ilgili aktörleri içeren çok paydaşlı süreçler, ulusal, bölgesel ve yerel yetkililerin, mağdurların yaşadığı gerçekleri ve ihtiyaçları değerlendirmesine yardımcı olabilir</w:t>
      </w:r>
      <w:r w:rsidR="00447339" w:rsidRPr="00040962">
        <w:rPr>
          <w:lang w:val="tr-TR"/>
        </w:rPr>
        <w:t>;</w:t>
      </w:r>
      <w:r w:rsidR="00DD637B" w:rsidRPr="00040962">
        <w:rPr>
          <w:lang w:val="tr-TR"/>
        </w:rPr>
        <w:t xml:space="preserve"> ve hatta hizmet sunanların kapasite seviyelerini ölçme ve sağlanan hizmetler için ilave araçlar gerekip gerekmediğini belirleme</w:t>
      </w:r>
      <w:r w:rsidR="00865B28" w:rsidRPr="00040962">
        <w:rPr>
          <w:lang w:val="tr-TR"/>
        </w:rPr>
        <w:t xml:space="preserve"> olanağını da sağlar. </w:t>
      </w:r>
      <w:r w:rsidR="006C5652" w:rsidRPr="00040962">
        <w:rPr>
          <w:lang w:val="tr-TR"/>
        </w:rPr>
        <w:t>Örne</w:t>
      </w:r>
      <w:r w:rsidR="00061B9D" w:rsidRPr="00040962">
        <w:rPr>
          <w:lang w:val="tr-TR"/>
        </w:rPr>
        <w:t xml:space="preserve">ğin, </w:t>
      </w:r>
      <w:r w:rsidR="006C5652" w:rsidRPr="00040962">
        <w:rPr>
          <w:lang w:val="tr-TR"/>
        </w:rPr>
        <w:t xml:space="preserve">bir yandan </w:t>
      </w:r>
      <w:r w:rsidR="00061B9D" w:rsidRPr="00040962">
        <w:rPr>
          <w:lang w:val="tr-TR"/>
        </w:rPr>
        <w:t xml:space="preserve">fiziksel </w:t>
      </w:r>
      <w:r w:rsidR="006C5652" w:rsidRPr="00040962">
        <w:rPr>
          <w:lang w:val="tr-TR"/>
        </w:rPr>
        <w:t>mesafelenme uygula</w:t>
      </w:r>
      <w:r w:rsidR="00061B9D" w:rsidRPr="00040962">
        <w:rPr>
          <w:lang w:val="tr-TR"/>
        </w:rPr>
        <w:t>rken, bir yandan da enfekte olmuş mağdurlar için karantina koşulu sağlıyor ol</w:t>
      </w:r>
      <w:r w:rsidR="00BC5018" w:rsidRPr="00040962">
        <w:rPr>
          <w:lang w:val="tr-TR"/>
        </w:rPr>
        <w:t>malarından dolayı</w:t>
      </w:r>
      <w:r w:rsidR="00061B9D" w:rsidRPr="00040962">
        <w:rPr>
          <w:lang w:val="tr-TR"/>
        </w:rPr>
        <w:t xml:space="preserve">, sığınakların </w:t>
      </w:r>
      <w:r w:rsidR="00BC5018" w:rsidRPr="00040962">
        <w:rPr>
          <w:lang w:val="tr-TR"/>
        </w:rPr>
        <w:t xml:space="preserve">yer açısından </w:t>
      </w:r>
      <w:r w:rsidR="00035EA6" w:rsidRPr="00040962">
        <w:rPr>
          <w:lang w:val="tr-TR"/>
        </w:rPr>
        <w:t>yetersiz kalması</w:t>
      </w:r>
      <w:r w:rsidR="00BC5018" w:rsidRPr="00040962">
        <w:rPr>
          <w:lang w:val="tr-TR"/>
        </w:rPr>
        <w:t xml:space="preserve"> olasıdır. </w:t>
      </w:r>
    </w:p>
    <w:p w14:paraId="542F37D0" w14:textId="77777777" w:rsidR="00035EA6" w:rsidRPr="00040962" w:rsidRDefault="00035EA6" w:rsidP="00DD72A3">
      <w:pPr>
        <w:jc w:val="both"/>
        <w:rPr>
          <w:lang w:val="tr-TR"/>
        </w:rPr>
      </w:pPr>
    </w:p>
    <w:p w14:paraId="327D0A25" w14:textId="54B2F012" w:rsidR="009D2BFE" w:rsidRPr="00040962" w:rsidRDefault="00CE6734" w:rsidP="00DD72A3">
      <w:pPr>
        <w:jc w:val="both"/>
        <w:rPr>
          <w:lang w:val="tr-TR"/>
        </w:rPr>
      </w:pPr>
      <w:r w:rsidRPr="00040962">
        <w:rPr>
          <w:b/>
          <w:bCs/>
          <w:lang w:val="tr-TR"/>
        </w:rPr>
        <w:t>MADDE</w:t>
      </w:r>
      <w:r w:rsidR="006C5652" w:rsidRPr="00040962">
        <w:rPr>
          <w:b/>
          <w:bCs/>
          <w:lang w:val="tr-TR"/>
        </w:rPr>
        <w:t xml:space="preserve"> </w:t>
      </w:r>
      <w:r w:rsidRPr="00040962">
        <w:rPr>
          <w:b/>
          <w:bCs/>
          <w:lang w:val="tr-TR"/>
        </w:rPr>
        <w:t xml:space="preserve">8 </w:t>
      </w:r>
      <w:r w:rsidR="00794D9E" w:rsidRPr="00040962">
        <w:rPr>
          <w:b/>
          <w:bCs/>
          <w:lang w:val="tr-TR"/>
        </w:rPr>
        <w:t>(</w:t>
      </w:r>
      <w:r w:rsidRPr="00040962">
        <w:rPr>
          <w:b/>
          <w:bCs/>
          <w:lang w:val="tr-TR"/>
        </w:rPr>
        <w:t>F</w:t>
      </w:r>
      <w:r w:rsidR="006C5652" w:rsidRPr="00040962">
        <w:rPr>
          <w:b/>
          <w:bCs/>
          <w:lang w:val="tr-TR"/>
        </w:rPr>
        <w:t>inansal kaynaklar</w:t>
      </w:r>
      <w:r w:rsidR="00794D9E" w:rsidRPr="00040962">
        <w:rPr>
          <w:b/>
          <w:bCs/>
          <w:lang w:val="tr-TR"/>
        </w:rPr>
        <w:t>)</w:t>
      </w:r>
      <w:r w:rsidR="00390740" w:rsidRPr="00040962">
        <w:rPr>
          <w:b/>
          <w:bCs/>
          <w:lang w:val="tr-TR"/>
        </w:rPr>
        <w:t xml:space="preserve"> ve </w:t>
      </w:r>
      <w:r w:rsidRPr="00040962">
        <w:rPr>
          <w:b/>
          <w:bCs/>
          <w:lang w:val="tr-TR"/>
        </w:rPr>
        <w:t>MADDE 9</w:t>
      </w:r>
      <w:r w:rsidR="006C5652" w:rsidRPr="00040962">
        <w:rPr>
          <w:b/>
          <w:bCs/>
          <w:lang w:val="tr-TR"/>
        </w:rPr>
        <w:t xml:space="preserve"> </w:t>
      </w:r>
      <w:r w:rsidR="00794D9E" w:rsidRPr="00040962">
        <w:rPr>
          <w:b/>
          <w:bCs/>
          <w:lang w:val="tr-TR"/>
        </w:rPr>
        <w:t>(S</w:t>
      </w:r>
      <w:r w:rsidR="006C5652" w:rsidRPr="00040962">
        <w:rPr>
          <w:b/>
          <w:bCs/>
          <w:lang w:val="tr-TR"/>
        </w:rPr>
        <w:t>ivil toplum kuruluşları</w:t>
      </w:r>
      <w:r w:rsidR="00794D9E" w:rsidRPr="00040962">
        <w:rPr>
          <w:b/>
          <w:bCs/>
          <w:lang w:val="tr-TR"/>
        </w:rPr>
        <w:t xml:space="preserve"> ve sivil toplum):</w:t>
      </w:r>
      <w:r w:rsidR="006C5652" w:rsidRPr="00040962">
        <w:rPr>
          <w:lang w:val="tr-TR"/>
        </w:rPr>
        <w:t xml:space="preserve"> </w:t>
      </w:r>
      <w:r w:rsidR="009A4707" w:rsidRPr="00040962">
        <w:rPr>
          <w:lang w:val="tr-TR"/>
        </w:rPr>
        <w:t xml:space="preserve">Yukarıda belirtilen koşullar ışığında, taraf devletlerin, STK'ların sağladığı hizmetler de dahil olmak üzere, hizmet sunumuna ayrılan mali ve insan kaynaklarının, mevcut duruma cevap verebilmek için yeterli olup olmadığını veya  güçlendirilmesi gerekip gerekmediğini </w:t>
      </w:r>
      <w:r w:rsidR="00EC785D" w:rsidRPr="00040962">
        <w:rPr>
          <w:lang w:val="tr-TR"/>
        </w:rPr>
        <w:t>değerlendirme</w:t>
      </w:r>
      <w:r w:rsidR="00E57E65">
        <w:rPr>
          <w:lang w:val="tr-TR"/>
        </w:rPr>
        <w:t>leri</w:t>
      </w:r>
      <w:r w:rsidR="009A4707" w:rsidRPr="00040962">
        <w:rPr>
          <w:lang w:val="tr-TR"/>
        </w:rPr>
        <w:t xml:space="preserve"> gerekebilir.</w:t>
      </w:r>
    </w:p>
    <w:p w14:paraId="01FAFE25" w14:textId="77777777" w:rsidR="009A4707" w:rsidRPr="00040962" w:rsidRDefault="009A4707" w:rsidP="00DD72A3">
      <w:pPr>
        <w:jc w:val="both"/>
        <w:rPr>
          <w:b/>
          <w:bCs/>
          <w:lang w:val="tr-TR"/>
        </w:rPr>
      </w:pPr>
    </w:p>
    <w:p w14:paraId="14F4769C" w14:textId="77777777" w:rsidR="003A3866" w:rsidRPr="00040962" w:rsidRDefault="009D2BFE" w:rsidP="00DD72A3">
      <w:pPr>
        <w:jc w:val="both"/>
        <w:rPr>
          <w:lang w:val="tr-TR"/>
        </w:rPr>
      </w:pPr>
      <w:r w:rsidRPr="00040962">
        <w:rPr>
          <w:b/>
          <w:bCs/>
          <w:lang w:val="tr-TR"/>
        </w:rPr>
        <w:t xml:space="preserve">MADDE 11 </w:t>
      </w:r>
      <w:r w:rsidR="00F93178" w:rsidRPr="00040962">
        <w:rPr>
          <w:b/>
          <w:bCs/>
          <w:lang w:val="tr-TR"/>
        </w:rPr>
        <w:t>(</w:t>
      </w:r>
      <w:r w:rsidRPr="00040962">
        <w:rPr>
          <w:b/>
          <w:bCs/>
          <w:lang w:val="tr-TR"/>
        </w:rPr>
        <w:t>V</w:t>
      </w:r>
      <w:r w:rsidR="006C5652" w:rsidRPr="00040962">
        <w:rPr>
          <w:b/>
          <w:bCs/>
          <w:lang w:val="tr-TR"/>
        </w:rPr>
        <w:t>er</w:t>
      </w:r>
      <w:r w:rsidR="005207F9" w:rsidRPr="00040962">
        <w:rPr>
          <w:b/>
          <w:bCs/>
          <w:lang w:val="tr-TR"/>
        </w:rPr>
        <w:t>i</w:t>
      </w:r>
      <w:r w:rsidR="006C5652" w:rsidRPr="00040962">
        <w:rPr>
          <w:b/>
          <w:bCs/>
          <w:lang w:val="tr-TR"/>
        </w:rPr>
        <w:t xml:space="preserve"> toplama ve araştırma</w:t>
      </w:r>
      <w:r w:rsidR="00F93178" w:rsidRPr="00040962">
        <w:rPr>
          <w:b/>
          <w:bCs/>
          <w:lang w:val="tr-TR"/>
        </w:rPr>
        <w:t xml:space="preserve">): </w:t>
      </w:r>
      <w:r w:rsidR="00B4130A" w:rsidRPr="00040962">
        <w:rPr>
          <w:lang w:val="tr-TR"/>
        </w:rPr>
        <w:t xml:space="preserve">İdari veriler ve yardım hatları gibi uzman destek hizmetleri tarafından kaydedilen veriler de dahil olmak üzere veri toplama, mağdurların yardım taleplerindeki eğilimleri ve olası dalgalanmaları izlemeye yarayabilir. </w:t>
      </w:r>
      <w:r w:rsidR="00222277" w:rsidRPr="00040962">
        <w:rPr>
          <w:lang w:val="tr-TR"/>
        </w:rPr>
        <w:t>Veriler, kadına yönelik şiddeti önlemek ve mücadele etmek için gerekli önlemleri almak ve pandemi sırasında gelişen ihtiyaçlarla uyumlu, gelecek için dersler çıkarmaya yarayacak temel olgusal bilgi</w:t>
      </w:r>
      <w:r w:rsidR="00CD7701">
        <w:rPr>
          <w:lang w:val="tr-TR"/>
        </w:rPr>
        <w:t>ler</w:t>
      </w:r>
      <w:r w:rsidR="00222277" w:rsidRPr="00040962">
        <w:rPr>
          <w:lang w:val="tr-TR"/>
        </w:rPr>
        <w:t xml:space="preserve"> sunmaya devam eder. </w:t>
      </w:r>
    </w:p>
    <w:p w14:paraId="0176F5C0" w14:textId="77777777" w:rsidR="009340B8" w:rsidRPr="00040962" w:rsidRDefault="009340B8" w:rsidP="004249AB">
      <w:pPr>
        <w:rPr>
          <w:b/>
          <w:bCs/>
          <w:lang w:val="tr-TR"/>
        </w:rPr>
      </w:pPr>
    </w:p>
    <w:p w14:paraId="4BBE7E45" w14:textId="77777777" w:rsidR="003A3866" w:rsidRPr="00040962" w:rsidRDefault="003A3866" w:rsidP="009340B8">
      <w:pPr>
        <w:jc w:val="center"/>
        <w:rPr>
          <w:lang w:val="tr-TR"/>
        </w:rPr>
      </w:pPr>
      <w:r w:rsidRPr="00040962">
        <w:rPr>
          <w:b/>
          <w:bCs/>
          <w:lang w:val="tr-TR"/>
        </w:rPr>
        <w:t>ÖNLEME</w:t>
      </w:r>
    </w:p>
    <w:p w14:paraId="65FF0DC2" w14:textId="77777777" w:rsidR="009340B8" w:rsidRPr="00040962" w:rsidRDefault="009340B8" w:rsidP="004249AB">
      <w:pPr>
        <w:rPr>
          <w:b/>
          <w:bCs/>
          <w:lang w:val="tr-TR"/>
        </w:rPr>
      </w:pPr>
    </w:p>
    <w:p w14:paraId="04BFB7FA" w14:textId="77777777" w:rsidR="003A3866" w:rsidRPr="00040962" w:rsidRDefault="00483A24" w:rsidP="00DD72A3">
      <w:pPr>
        <w:jc w:val="both"/>
        <w:rPr>
          <w:lang w:val="tr-TR"/>
        </w:rPr>
      </w:pPr>
      <w:r w:rsidRPr="00040962">
        <w:rPr>
          <w:b/>
          <w:bCs/>
          <w:lang w:val="tr-TR"/>
        </w:rPr>
        <w:t>MADDE 12</w:t>
      </w:r>
      <w:r w:rsidR="003A3866" w:rsidRPr="00040962">
        <w:rPr>
          <w:b/>
          <w:bCs/>
          <w:lang w:val="tr-TR"/>
        </w:rPr>
        <w:t xml:space="preserve"> </w:t>
      </w:r>
      <w:r w:rsidRPr="00040962">
        <w:rPr>
          <w:b/>
          <w:bCs/>
          <w:lang w:val="tr-TR"/>
        </w:rPr>
        <w:t>(</w:t>
      </w:r>
      <w:r w:rsidR="003A3866" w:rsidRPr="00040962">
        <w:rPr>
          <w:b/>
          <w:bCs/>
          <w:lang w:val="tr-TR"/>
        </w:rPr>
        <w:t>Genel yükümlülükler</w:t>
      </w:r>
      <w:r w:rsidRPr="00040962">
        <w:rPr>
          <w:b/>
          <w:bCs/>
          <w:lang w:val="tr-TR"/>
        </w:rPr>
        <w:t>)</w:t>
      </w:r>
      <w:r w:rsidR="003A3866" w:rsidRPr="00040962">
        <w:rPr>
          <w:b/>
          <w:bCs/>
          <w:lang w:val="tr-TR"/>
        </w:rPr>
        <w:t xml:space="preserve"> ve </w:t>
      </w:r>
      <w:r w:rsidRPr="00040962">
        <w:rPr>
          <w:b/>
          <w:bCs/>
          <w:lang w:val="tr-TR"/>
        </w:rPr>
        <w:t>MADDE 13</w:t>
      </w:r>
      <w:r w:rsidR="003A3866" w:rsidRPr="00040962">
        <w:rPr>
          <w:b/>
          <w:bCs/>
          <w:lang w:val="tr-TR"/>
        </w:rPr>
        <w:t xml:space="preserve"> </w:t>
      </w:r>
      <w:r w:rsidRPr="00040962">
        <w:rPr>
          <w:b/>
          <w:bCs/>
          <w:lang w:val="tr-TR"/>
        </w:rPr>
        <w:t>(</w:t>
      </w:r>
      <w:r w:rsidR="003A3866" w:rsidRPr="00040962">
        <w:rPr>
          <w:b/>
          <w:bCs/>
          <w:lang w:val="tr-TR"/>
        </w:rPr>
        <w:t>Farkındalı</w:t>
      </w:r>
      <w:r w:rsidR="000F6EFC" w:rsidRPr="00040962">
        <w:rPr>
          <w:b/>
          <w:bCs/>
          <w:lang w:val="tr-TR"/>
        </w:rPr>
        <w:t>ğın artırılması</w:t>
      </w:r>
      <w:r w:rsidRPr="00040962">
        <w:rPr>
          <w:b/>
          <w:bCs/>
          <w:lang w:val="tr-TR"/>
        </w:rPr>
        <w:t>):</w:t>
      </w:r>
      <w:r w:rsidR="003A3866" w:rsidRPr="00040962">
        <w:rPr>
          <w:lang w:val="tr-TR"/>
        </w:rPr>
        <w:t xml:space="preserve"> </w:t>
      </w:r>
      <w:r w:rsidR="004D78EC" w:rsidRPr="00040962">
        <w:rPr>
          <w:lang w:val="tr-TR"/>
        </w:rPr>
        <w:t>Taraf devletler, halkı, pandemi sırasında kadınlara ve kız çocuklarına yönelik artan şiddet riski konusunda bilgilendirmeyi amaçlayan basın açıklamaları, televizyon, radyo veya sosyal medya kampanyaları</w:t>
      </w:r>
      <w:r w:rsidR="000E143A" w:rsidRPr="00040962">
        <w:rPr>
          <w:lang w:val="tr-TR"/>
        </w:rPr>
        <w:t xml:space="preserve"> gibi tedbirler almayı düşünmeli ve </w:t>
      </w:r>
      <w:r w:rsidR="004D78EC" w:rsidRPr="00040962">
        <w:rPr>
          <w:lang w:val="tr-TR"/>
        </w:rPr>
        <w:t xml:space="preserve">mağdurların yardım alabileceği olası </w:t>
      </w:r>
      <w:r w:rsidR="002434FA" w:rsidRPr="00040962">
        <w:rPr>
          <w:lang w:val="tr-TR"/>
        </w:rPr>
        <w:t xml:space="preserve">yollara dair </w:t>
      </w:r>
      <w:r w:rsidR="004D78EC" w:rsidRPr="00040962">
        <w:rPr>
          <w:lang w:val="tr-TR"/>
        </w:rPr>
        <w:t xml:space="preserve">mümkün olduğunca geniş çapta bilgilendirme </w:t>
      </w:r>
      <w:r w:rsidR="000E143A" w:rsidRPr="00040962">
        <w:rPr>
          <w:lang w:val="tr-TR"/>
        </w:rPr>
        <w:t xml:space="preserve">yapmalıdır. </w:t>
      </w:r>
      <w:r w:rsidR="00577751" w:rsidRPr="00040962">
        <w:rPr>
          <w:lang w:val="tr-TR"/>
        </w:rPr>
        <w:t>Bu yönde çabalar, halihazırda varolan</w:t>
      </w:r>
      <w:r w:rsidR="00002105" w:rsidRPr="00040962">
        <w:rPr>
          <w:lang w:val="tr-TR"/>
        </w:rPr>
        <w:t xml:space="preserve"> broşürler ve </w:t>
      </w:r>
      <w:r w:rsidR="00664C43" w:rsidRPr="00040962">
        <w:rPr>
          <w:lang w:val="tr-TR"/>
        </w:rPr>
        <w:t>e</w:t>
      </w:r>
      <w:r w:rsidR="00002105" w:rsidRPr="00040962">
        <w:rPr>
          <w:lang w:val="tr-TR"/>
        </w:rPr>
        <w:t>l ilanları gibi</w:t>
      </w:r>
      <w:r w:rsidR="00577751" w:rsidRPr="00040962">
        <w:rPr>
          <w:lang w:val="tr-TR"/>
        </w:rPr>
        <w:t xml:space="preserve"> bilgi veren </w:t>
      </w:r>
      <w:r w:rsidR="00002105" w:rsidRPr="00040962">
        <w:rPr>
          <w:lang w:val="tr-TR"/>
        </w:rPr>
        <w:t xml:space="preserve">materyallerin, mevcut </w:t>
      </w:r>
      <w:r w:rsidR="00577751" w:rsidRPr="00040962">
        <w:rPr>
          <w:lang w:val="tr-TR"/>
        </w:rPr>
        <w:t>kısıtlamalardan etkilenmeyen market, süpermarket ve eczanelerde</w:t>
      </w:r>
      <w:r w:rsidR="00002105" w:rsidRPr="00040962">
        <w:rPr>
          <w:lang w:val="tr-TR"/>
        </w:rPr>
        <w:t xml:space="preserve"> dağıtımını da içerebilir. </w:t>
      </w:r>
      <w:r w:rsidR="008B548D" w:rsidRPr="00040962">
        <w:rPr>
          <w:lang w:val="tr-TR"/>
        </w:rPr>
        <w:t xml:space="preserve">Bilgilerin farklı dillerde sunulması, </w:t>
      </w:r>
      <w:r w:rsidR="00577751" w:rsidRPr="00040962">
        <w:rPr>
          <w:lang w:val="tr-TR"/>
        </w:rPr>
        <w:t xml:space="preserve">özellikle kırılgan gruplardan gelen kadınlara ulaşmak </w:t>
      </w:r>
      <w:r w:rsidR="008B548D" w:rsidRPr="00040962">
        <w:rPr>
          <w:lang w:val="tr-TR"/>
        </w:rPr>
        <w:t xml:space="preserve">için yararlı olabilir. </w:t>
      </w:r>
      <w:r w:rsidR="00577751" w:rsidRPr="00040962">
        <w:rPr>
          <w:lang w:val="tr-TR"/>
        </w:rPr>
        <w:t xml:space="preserve"> </w:t>
      </w:r>
    </w:p>
    <w:p w14:paraId="4A01A5E5" w14:textId="77777777" w:rsidR="00577751" w:rsidRPr="00040962" w:rsidRDefault="00577751" w:rsidP="00DD72A3">
      <w:pPr>
        <w:jc w:val="both"/>
        <w:rPr>
          <w:lang w:val="tr-TR"/>
        </w:rPr>
      </w:pPr>
    </w:p>
    <w:p w14:paraId="3C46253F" w14:textId="76118C54" w:rsidR="00CD2731" w:rsidRPr="00040962" w:rsidRDefault="00577751" w:rsidP="00DD72A3">
      <w:pPr>
        <w:jc w:val="both"/>
        <w:rPr>
          <w:lang w:val="tr-TR"/>
        </w:rPr>
      </w:pPr>
      <w:r w:rsidRPr="00040962">
        <w:rPr>
          <w:b/>
          <w:bCs/>
          <w:lang w:val="tr-TR"/>
        </w:rPr>
        <w:t xml:space="preserve">MADDE 15 </w:t>
      </w:r>
      <w:r w:rsidR="00663C95" w:rsidRPr="00040962">
        <w:rPr>
          <w:b/>
          <w:bCs/>
          <w:lang w:val="tr-TR"/>
        </w:rPr>
        <w:t>(</w:t>
      </w:r>
      <w:r w:rsidRPr="00040962">
        <w:rPr>
          <w:b/>
          <w:bCs/>
          <w:lang w:val="tr-TR"/>
        </w:rPr>
        <w:t>Profesyonel kadroların eğitilmesi</w:t>
      </w:r>
      <w:r w:rsidR="00663C95" w:rsidRPr="00040962">
        <w:rPr>
          <w:b/>
          <w:bCs/>
          <w:lang w:val="tr-TR"/>
        </w:rPr>
        <w:t xml:space="preserve">): </w:t>
      </w:r>
      <w:r w:rsidR="00CA5045" w:rsidRPr="00040962">
        <w:rPr>
          <w:lang w:val="tr-TR"/>
        </w:rPr>
        <w:t xml:space="preserve">Taraf devletler, kritik sektörlerde faaliyet gösteren devlet ve kamu görevlilerinin (örneğin sağlık, adalet, kolluk kuvvetleri), sosyal mesafelenme, </w:t>
      </w:r>
      <w:r w:rsidR="000832E3" w:rsidRPr="00040962">
        <w:rPr>
          <w:lang w:val="tr-TR"/>
        </w:rPr>
        <w:t>tecrit</w:t>
      </w:r>
      <w:r w:rsidR="00CA5045" w:rsidRPr="00040962">
        <w:rPr>
          <w:lang w:val="tr-TR"/>
        </w:rPr>
        <w:t xml:space="preserve"> veya sokağa çıkma yasağının ve daha genel olarak da krizin, şiddet içeren bir ilişki ve/veya ev ortamında yaşayan kadınlar ve çocuklar üzerindeki ekonomik ve sosyal etkilerine dair farkındalıklarının artması için tedbirler düşünmelidirler. </w:t>
      </w:r>
      <w:r w:rsidR="000832E3" w:rsidRPr="00040962">
        <w:rPr>
          <w:lang w:val="tr-TR"/>
        </w:rPr>
        <w:t xml:space="preserve">Yetkililer, ayrıca, avukatlar ve mağdurlara destek hizmetleri sunan personel gibi profesyonellerin, hem ulusal hem de uluslararası düzeyde geliştirilmiş olan </w:t>
      </w:r>
      <w:r w:rsidR="0033603B" w:rsidRPr="00040962">
        <w:rPr>
          <w:lang w:val="tr-TR"/>
        </w:rPr>
        <w:t xml:space="preserve">(örneğin Avrupa Konseyi tarafından geliştirilen, kadına </w:t>
      </w:r>
      <w:r w:rsidR="0033603B" w:rsidRPr="00040962">
        <w:rPr>
          <w:lang w:val="tr-TR"/>
        </w:rPr>
        <w:lastRenderedPageBreak/>
        <w:t>yönelik şiddet ve ev-içi şiddet konulu çevrimiçi Hukukçular için İnsan Hakları Eğitimi (HELP) kursu gibi</w:t>
      </w:r>
      <w:r w:rsidR="00A30CD1">
        <w:rPr>
          <w:rStyle w:val="FootnoteReference"/>
          <w:lang w:val="tr-TR"/>
        </w:rPr>
        <w:footnoteReference w:id="2"/>
      </w:r>
      <w:r w:rsidR="0033603B" w:rsidRPr="00040962">
        <w:rPr>
          <w:lang w:val="tr-TR"/>
        </w:rPr>
        <w:t xml:space="preserve">) </w:t>
      </w:r>
      <w:r w:rsidR="000832E3" w:rsidRPr="00040962">
        <w:rPr>
          <w:lang w:val="tr-TR"/>
        </w:rPr>
        <w:t>halihazırdaki eğitim kaynaklarına (örneğin çevrimiçi ders programları, web seminerleri ve eğitim modülleri) dayanarak, eğitimini teşvik edebilir, bu yönde girişimlerde bulunabilirler.</w:t>
      </w:r>
    </w:p>
    <w:p w14:paraId="6A0FC0AB" w14:textId="77777777" w:rsidR="000832E3" w:rsidRPr="00040962" w:rsidRDefault="000832E3" w:rsidP="00DD72A3">
      <w:pPr>
        <w:jc w:val="both"/>
        <w:rPr>
          <w:b/>
          <w:bCs/>
          <w:lang w:val="tr-TR"/>
        </w:rPr>
      </w:pPr>
    </w:p>
    <w:p w14:paraId="795F57B4" w14:textId="77777777" w:rsidR="00CD2731" w:rsidRPr="00040962" w:rsidRDefault="00CD2731" w:rsidP="00DD72A3">
      <w:pPr>
        <w:jc w:val="both"/>
        <w:rPr>
          <w:lang w:val="tr-TR"/>
        </w:rPr>
      </w:pPr>
      <w:r w:rsidRPr="00040962">
        <w:rPr>
          <w:b/>
          <w:bCs/>
          <w:lang w:val="tr-TR"/>
        </w:rPr>
        <w:t xml:space="preserve">MADDE 16 </w:t>
      </w:r>
      <w:r w:rsidR="007671AF" w:rsidRPr="00040962">
        <w:rPr>
          <w:b/>
          <w:bCs/>
          <w:lang w:val="tr-TR"/>
        </w:rPr>
        <w:t>(</w:t>
      </w:r>
      <w:r w:rsidR="00B32935" w:rsidRPr="00040962">
        <w:rPr>
          <w:b/>
          <w:bCs/>
          <w:lang w:val="tr-TR"/>
        </w:rPr>
        <w:t xml:space="preserve">Önleyici </w:t>
      </w:r>
      <w:r w:rsidR="00664C43" w:rsidRPr="00040962">
        <w:rPr>
          <w:b/>
          <w:bCs/>
          <w:lang w:val="tr-TR"/>
        </w:rPr>
        <w:t>m</w:t>
      </w:r>
      <w:r w:rsidR="00B32935" w:rsidRPr="00040962">
        <w:rPr>
          <w:b/>
          <w:bCs/>
          <w:lang w:val="tr-TR"/>
        </w:rPr>
        <w:t>üdahale ve tedavi programları</w:t>
      </w:r>
      <w:r w:rsidR="007671AF" w:rsidRPr="00040962">
        <w:rPr>
          <w:b/>
          <w:bCs/>
          <w:lang w:val="tr-TR"/>
        </w:rPr>
        <w:t xml:space="preserve">): </w:t>
      </w:r>
      <w:r w:rsidR="007671AF" w:rsidRPr="00040962">
        <w:rPr>
          <w:lang w:val="tr-TR"/>
        </w:rPr>
        <w:t xml:space="preserve">Hükümetler ayrıca, şiddet uygulayan erkeklerin yardım alabilecekleri halihazırda var olan fail programlarının reklamı konusunu da dikkate almalıdır. Çevrimiçi ve/veya telefon yardım hatları aracılığıyla erişilebilen bu programlar, </w:t>
      </w:r>
      <w:r w:rsidR="0077524A" w:rsidRPr="00040962">
        <w:rPr>
          <w:lang w:val="tr-TR"/>
        </w:rPr>
        <w:t xml:space="preserve">mevcut resmi </w:t>
      </w:r>
      <w:r w:rsidR="007671AF" w:rsidRPr="00040962">
        <w:rPr>
          <w:lang w:val="tr-TR"/>
        </w:rPr>
        <w:t xml:space="preserve">sosyal mesafelenme </w:t>
      </w:r>
      <w:r w:rsidR="0077524A" w:rsidRPr="00040962">
        <w:rPr>
          <w:lang w:val="tr-TR"/>
        </w:rPr>
        <w:t xml:space="preserve">tedbirleri durumlarında </w:t>
      </w:r>
      <w:r w:rsidR="007671AF" w:rsidRPr="00040962">
        <w:rPr>
          <w:lang w:val="tr-TR"/>
        </w:rPr>
        <w:t xml:space="preserve">özellikle elverişli </w:t>
      </w:r>
      <w:r w:rsidR="0077524A" w:rsidRPr="00040962">
        <w:rPr>
          <w:lang w:val="tr-TR"/>
        </w:rPr>
        <w:t xml:space="preserve">olabilir. </w:t>
      </w:r>
    </w:p>
    <w:p w14:paraId="59B490B2" w14:textId="77777777" w:rsidR="008C24E1" w:rsidRPr="00040962" w:rsidRDefault="008C24E1" w:rsidP="00DD72A3">
      <w:pPr>
        <w:jc w:val="both"/>
        <w:rPr>
          <w:lang w:val="tr-TR"/>
        </w:rPr>
      </w:pPr>
    </w:p>
    <w:p w14:paraId="4E31178C" w14:textId="60CC4A11" w:rsidR="008C24E1" w:rsidRPr="00040962" w:rsidRDefault="006521FD" w:rsidP="00DD72A3">
      <w:pPr>
        <w:jc w:val="both"/>
        <w:rPr>
          <w:lang w:val="tr-TR"/>
        </w:rPr>
      </w:pPr>
      <w:r w:rsidRPr="00040962">
        <w:rPr>
          <w:b/>
          <w:bCs/>
          <w:lang w:val="tr-TR"/>
        </w:rPr>
        <w:t xml:space="preserve">MADDE 17 </w:t>
      </w:r>
      <w:r w:rsidR="00B35701" w:rsidRPr="00040962">
        <w:rPr>
          <w:b/>
          <w:bCs/>
          <w:lang w:val="tr-TR"/>
        </w:rPr>
        <w:t>(</w:t>
      </w:r>
      <w:r w:rsidRPr="00040962">
        <w:rPr>
          <w:b/>
          <w:bCs/>
          <w:lang w:val="tr-TR"/>
        </w:rPr>
        <w:t>Özel sektör ve medyanın katılımı</w:t>
      </w:r>
      <w:r w:rsidR="00B35701" w:rsidRPr="00040962">
        <w:rPr>
          <w:b/>
          <w:bCs/>
          <w:lang w:val="tr-TR"/>
        </w:rPr>
        <w:t xml:space="preserve">): </w:t>
      </w:r>
      <w:r w:rsidRPr="00040962">
        <w:rPr>
          <w:lang w:val="tr-TR"/>
        </w:rPr>
        <w:t>Medya k</w:t>
      </w:r>
      <w:r w:rsidR="00D34C3C" w:rsidRPr="00040962">
        <w:rPr>
          <w:lang w:val="tr-TR"/>
        </w:rPr>
        <w:t>uruluşları</w:t>
      </w:r>
      <w:r w:rsidRPr="00040962">
        <w:rPr>
          <w:lang w:val="tr-TR"/>
        </w:rPr>
        <w:t xml:space="preserve"> gerek </w:t>
      </w:r>
      <w:r w:rsidR="00D34C3C" w:rsidRPr="00040962">
        <w:rPr>
          <w:lang w:val="tr-TR"/>
        </w:rPr>
        <w:t xml:space="preserve">ulusal gerekse yerel </w:t>
      </w:r>
      <w:r w:rsidRPr="00040962">
        <w:rPr>
          <w:lang w:val="tr-TR"/>
        </w:rPr>
        <w:t>otoritelerle işbirliği yap</w:t>
      </w:r>
      <w:r w:rsidR="001755DF" w:rsidRPr="00040962">
        <w:rPr>
          <w:lang w:val="tr-TR"/>
        </w:rPr>
        <w:t>arak</w:t>
      </w:r>
      <w:r w:rsidR="00D34C3C" w:rsidRPr="00040962">
        <w:rPr>
          <w:lang w:val="tr-TR"/>
        </w:rPr>
        <w:t>, pandem</w:t>
      </w:r>
      <w:r w:rsidR="005202FC" w:rsidRPr="00040962">
        <w:rPr>
          <w:lang w:val="tr-TR"/>
        </w:rPr>
        <w:t>inin</w:t>
      </w:r>
      <w:r w:rsidR="005075FB">
        <w:rPr>
          <w:lang w:val="tr-TR"/>
        </w:rPr>
        <w:t>,</w:t>
      </w:r>
      <w:r w:rsidR="005202FC" w:rsidRPr="00040962">
        <w:rPr>
          <w:lang w:val="tr-TR"/>
        </w:rPr>
        <w:t xml:space="preserve"> kadın</w:t>
      </w:r>
      <w:r w:rsidR="001755DF" w:rsidRPr="00040962">
        <w:rPr>
          <w:lang w:val="tr-TR"/>
        </w:rPr>
        <w:t>lara</w:t>
      </w:r>
      <w:r w:rsidR="005202FC" w:rsidRPr="00040962">
        <w:rPr>
          <w:lang w:val="tr-TR"/>
        </w:rPr>
        <w:t xml:space="preserve"> ve kız</w:t>
      </w:r>
      <w:r w:rsidR="001755DF" w:rsidRPr="00040962">
        <w:rPr>
          <w:lang w:val="tr-TR"/>
        </w:rPr>
        <w:t xml:space="preserve"> çocuklarına</w:t>
      </w:r>
      <w:r w:rsidR="005202FC" w:rsidRPr="00040962">
        <w:rPr>
          <w:lang w:val="tr-TR"/>
        </w:rPr>
        <w:t xml:space="preserve"> yönelik şiddet riskini </w:t>
      </w:r>
      <w:r w:rsidR="001755DF" w:rsidRPr="00040962">
        <w:rPr>
          <w:lang w:val="tr-TR"/>
        </w:rPr>
        <w:t xml:space="preserve">nasıl </w:t>
      </w:r>
      <w:r w:rsidR="005202FC" w:rsidRPr="00040962">
        <w:rPr>
          <w:lang w:val="tr-TR"/>
        </w:rPr>
        <w:t>art</w:t>
      </w:r>
      <w:r w:rsidR="001755DF" w:rsidRPr="00040962">
        <w:rPr>
          <w:lang w:val="tr-TR"/>
        </w:rPr>
        <w:t xml:space="preserve">ırdığına </w:t>
      </w:r>
      <w:r w:rsidR="005202FC" w:rsidRPr="00040962">
        <w:rPr>
          <w:lang w:val="tr-TR"/>
        </w:rPr>
        <w:t>ve nereden</w:t>
      </w:r>
      <w:r w:rsidR="001755DF" w:rsidRPr="00040962">
        <w:rPr>
          <w:lang w:val="tr-TR"/>
        </w:rPr>
        <w:t>/</w:t>
      </w:r>
      <w:r w:rsidR="008C24E1" w:rsidRPr="00040962">
        <w:rPr>
          <w:lang w:val="tr-TR"/>
        </w:rPr>
        <w:t xml:space="preserve">nasıl </w:t>
      </w:r>
      <w:r w:rsidR="005202FC" w:rsidRPr="00040962">
        <w:rPr>
          <w:lang w:val="tr-TR"/>
        </w:rPr>
        <w:t xml:space="preserve">yardım </w:t>
      </w:r>
      <w:r w:rsidR="008C24E1" w:rsidRPr="00040962">
        <w:rPr>
          <w:lang w:val="tr-TR"/>
        </w:rPr>
        <w:t>alınacağına dair haber</w:t>
      </w:r>
      <w:r w:rsidR="001755DF" w:rsidRPr="00040962">
        <w:rPr>
          <w:lang w:val="tr-TR"/>
        </w:rPr>
        <w:t xml:space="preserve">leri yoğunlaştırmaya teşvik edilebilir. </w:t>
      </w:r>
    </w:p>
    <w:p w14:paraId="146A2CAF" w14:textId="77777777" w:rsidR="00BC54ED" w:rsidRDefault="00BC54ED" w:rsidP="009340B8">
      <w:pPr>
        <w:jc w:val="center"/>
        <w:rPr>
          <w:b/>
          <w:bCs/>
          <w:lang w:val="tr-TR"/>
        </w:rPr>
      </w:pPr>
    </w:p>
    <w:p w14:paraId="5CC294C4" w14:textId="621D2D92" w:rsidR="009D0B13" w:rsidRPr="00040962" w:rsidRDefault="009D0B13" w:rsidP="009340B8">
      <w:pPr>
        <w:jc w:val="center"/>
        <w:rPr>
          <w:b/>
          <w:bCs/>
          <w:lang w:val="tr-TR"/>
        </w:rPr>
      </w:pPr>
      <w:r w:rsidRPr="00040962">
        <w:rPr>
          <w:b/>
          <w:bCs/>
          <w:lang w:val="tr-TR"/>
        </w:rPr>
        <w:t>KORUMA</w:t>
      </w:r>
    </w:p>
    <w:p w14:paraId="2FD1FD45" w14:textId="77777777" w:rsidR="009340B8" w:rsidRPr="00040962" w:rsidRDefault="009340B8" w:rsidP="004249AB">
      <w:pPr>
        <w:rPr>
          <w:b/>
          <w:bCs/>
          <w:lang w:val="tr-TR"/>
        </w:rPr>
      </w:pPr>
    </w:p>
    <w:p w14:paraId="25EE0048" w14:textId="77777777" w:rsidR="009D0B13" w:rsidRPr="00040962" w:rsidRDefault="00BF05C3" w:rsidP="00DD72A3">
      <w:pPr>
        <w:jc w:val="both"/>
        <w:rPr>
          <w:lang w:val="tr-TR"/>
        </w:rPr>
      </w:pPr>
      <w:r w:rsidRPr="00040962">
        <w:rPr>
          <w:b/>
          <w:bCs/>
          <w:lang w:val="tr-TR"/>
        </w:rPr>
        <w:t>MADDE 19</w:t>
      </w:r>
      <w:r w:rsidR="009D0B13" w:rsidRPr="00040962">
        <w:rPr>
          <w:b/>
          <w:bCs/>
          <w:lang w:val="tr-TR"/>
        </w:rPr>
        <w:t xml:space="preserve"> </w:t>
      </w:r>
      <w:r w:rsidR="005D5F66" w:rsidRPr="00040962">
        <w:rPr>
          <w:b/>
          <w:bCs/>
          <w:lang w:val="tr-TR"/>
        </w:rPr>
        <w:t>(</w:t>
      </w:r>
      <w:r w:rsidR="009D0B13" w:rsidRPr="00040962">
        <w:rPr>
          <w:b/>
          <w:bCs/>
          <w:lang w:val="tr-TR"/>
        </w:rPr>
        <w:t>Bilgi</w:t>
      </w:r>
      <w:r w:rsidR="005D5F66" w:rsidRPr="00040962">
        <w:rPr>
          <w:b/>
          <w:bCs/>
          <w:lang w:val="tr-TR"/>
        </w:rPr>
        <w:t>)</w:t>
      </w:r>
      <w:r w:rsidR="009D0B13" w:rsidRPr="00040962">
        <w:rPr>
          <w:b/>
          <w:bCs/>
          <w:lang w:val="tr-TR"/>
        </w:rPr>
        <w:t>:</w:t>
      </w:r>
      <w:r w:rsidR="009D0B13" w:rsidRPr="00040962">
        <w:rPr>
          <w:lang w:val="tr-TR"/>
        </w:rPr>
        <w:t xml:space="preserve"> </w:t>
      </w:r>
      <w:r w:rsidR="005D5F66" w:rsidRPr="00040962">
        <w:rPr>
          <w:lang w:val="tr-TR"/>
        </w:rPr>
        <w:t>Tek başına tecrit halinde veya istismarcı partnerleriyle/aile üyeleriyle birlikte yaşayan şiddet mağdurlarının, mevcut destek hizmetleri ve yasal tedbirler hakkındaki bilgilere erişiminde sorun olması olasıdır. Mağdurların bilgiye erişim hakkını korumak için, taraf devletler hedef-odaklı bilgilendirme kampanyaları geliştirmelidir.</w:t>
      </w:r>
    </w:p>
    <w:p w14:paraId="368D972F" w14:textId="77777777" w:rsidR="009D0B13" w:rsidRPr="00040962" w:rsidRDefault="009D0B13" w:rsidP="00DD72A3">
      <w:pPr>
        <w:jc w:val="both"/>
        <w:rPr>
          <w:lang w:val="tr-TR"/>
        </w:rPr>
      </w:pPr>
    </w:p>
    <w:p w14:paraId="70EDB56C" w14:textId="6FC8061D" w:rsidR="009D0B13" w:rsidRPr="00040962" w:rsidRDefault="00BF05C3" w:rsidP="00DD72A3">
      <w:pPr>
        <w:jc w:val="both"/>
        <w:rPr>
          <w:lang w:val="tr-TR"/>
        </w:rPr>
      </w:pPr>
      <w:r w:rsidRPr="00040962">
        <w:rPr>
          <w:b/>
          <w:bCs/>
          <w:lang w:val="tr-TR"/>
        </w:rPr>
        <w:t>MADDE 20</w:t>
      </w:r>
      <w:r w:rsidR="009D0B13" w:rsidRPr="00040962">
        <w:rPr>
          <w:b/>
          <w:bCs/>
          <w:lang w:val="tr-TR"/>
        </w:rPr>
        <w:t xml:space="preserve"> (Genel destek hizmet</w:t>
      </w:r>
      <w:r w:rsidRPr="00040962">
        <w:rPr>
          <w:b/>
          <w:bCs/>
          <w:lang w:val="tr-TR"/>
        </w:rPr>
        <w:t>leri</w:t>
      </w:r>
      <w:r w:rsidR="009D0B13" w:rsidRPr="00040962">
        <w:rPr>
          <w:b/>
          <w:bCs/>
          <w:lang w:val="tr-TR"/>
        </w:rPr>
        <w:t>)</w:t>
      </w:r>
      <w:r w:rsidRPr="00040962">
        <w:rPr>
          <w:b/>
          <w:bCs/>
          <w:lang w:val="tr-TR"/>
        </w:rPr>
        <w:t>, MADDE 22</w:t>
      </w:r>
      <w:r w:rsidR="009D0B13" w:rsidRPr="00040962">
        <w:rPr>
          <w:b/>
          <w:bCs/>
          <w:lang w:val="tr-TR"/>
        </w:rPr>
        <w:t xml:space="preserve"> </w:t>
      </w:r>
      <w:r w:rsidRPr="00040962">
        <w:rPr>
          <w:b/>
          <w:bCs/>
          <w:lang w:val="tr-TR"/>
        </w:rPr>
        <w:t>(Uzman destek hizmetleri)</w:t>
      </w:r>
      <w:r w:rsidR="009D0B13" w:rsidRPr="00040962">
        <w:rPr>
          <w:b/>
          <w:bCs/>
          <w:lang w:val="tr-TR"/>
        </w:rPr>
        <w:t xml:space="preserve">, </w:t>
      </w:r>
      <w:r w:rsidRPr="00040962">
        <w:rPr>
          <w:b/>
          <w:bCs/>
          <w:lang w:val="tr-TR"/>
        </w:rPr>
        <w:t>Madde 23 (</w:t>
      </w:r>
      <w:r w:rsidR="009D0B13" w:rsidRPr="00040962">
        <w:rPr>
          <w:b/>
          <w:bCs/>
          <w:lang w:val="tr-TR"/>
        </w:rPr>
        <w:t>Sığınaklar</w:t>
      </w:r>
      <w:r w:rsidR="009A7D2F">
        <w:rPr>
          <w:rStyle w:val="EndnoteReference"/>
          <w:b/>
          <w:bCs/>
          <w:lang w:val="tr-TR"/>
        </w:rPr>
        <w:endnoteReference w:id="2"/>
      </w:r>
      <w:r w:rsidRPr="00040962">
        <w:rPr>
          <w:b/>
          <w:bCs/>
          <w:lang w:val="tr-TR"/>
        </w:rPr>
        <w:t>)</w:t>
      </w:r>
      <w:r w:rsidR="009D0B13" w:rsidRPr="00040962">
        <w:rPr>
          <w:b/>
          <w:bCs/>
          <w:lang w:val="tr-TR"/>
        </w:rPr>
        <w:t xml:space="preserve"> ve </w:t>
      </w:r>
      <w:r w:rsidRPr="00040962">
        <w:rPr>
          <w:b/>
          <w:bCs/>
          <w:lang w:val="tr-TR"/>
        </w:rPr>
        <w:t>MADDE 24 (</w:t>
      </w:r>
      <w:r w:rsidR="009D0B13" w:rsidRPr="00040962">
        <w:rPr>
          <w:b/>
          <w:bCs/>
          <w:lang w:val="tr-TR"/>
        </w:rPr>
        <w:t xml:space="preserve">Telefon </w:t>
      </w:r>
      <w:r w:rsidRPr="00040962">
        <w:rPr>
          <w:b/>
          <w:bCs/>
          <w:lang w:val="tr-TR"/>
        </w:rPr>
        <w:t>yardım</w:t>
      </w:r>
      <w:r w:rsidR="009D0B13" w:rsidRPr="00040962">
        <w:rPr>
          <w:b/>
          <w:bCs/>
          <w:lang w:val="tr-TR"/>
        </w:rPr>
        <w:t xml:space="preserve"> hatları</w:t>
      </w:r>
      <w:r w:rsidRPr="00040962">
        <w:rPr>
          <w:b/>
          <w:bCs/>
          <w:lang w:val="tr-TR"/>
        </w:rPr>
        <w:t>):</w:t>
      </w:r>
      <w:r w:rsidR="005D5F66" w:rsidRPr="00040962">
        <w:rPr>
          <w:b/>
          <w:bCs/>
          <w:lang w:val="tr-TR"/>
        </w:rPr>
        <w:t xml:space="preserve"> </w:t>
      </w:r>
      <w:r w:rsidR="005D5F66" w:rsidRPr="00040962">
        <w:rPr>
          <w:lang w:val="tr-TR"/>
        </w:rPr>
        <w:t>Taraf devletler,</w:t>
      </w:r>
      <w:r w:rsidR="005D5F66" w:rsidRPr="00040962">
        <w:rPr>
          <w:b/>
          <w:bCs/>
          <w:lang w:val="tr-TR"/>
        </w:rPr>
        <w:t xml:space="preserve"> </w:t>
      </w:r>
      <w:r w:rsidR="00E7513A" w:rsidRPr="00040962">
        <w:rPr>
          <w:lang w:val="tr-TR"/>
        </w:rPr>
        <w:t xml:space="preserve">Sözleşme </w:t>
      </w:r>
      <w:r w:rsidR="00E83102" w:rsidRPr="00040962">
        <w:rPr>
          <w:lang w:val="tr-TR"/>
        </w:rPr>
        <w:t xml:space="preserve">kapsamındaki </w:t>
      </w:r>
      <w:r w:rsidR="00E7513A" w:rsidRPr="00040962">
        <w:rPr>
          <w:lang w:val="tr-TR"/>
        </w:rPr>
        <w:t>her türlü şiddet</w:t>
      </w:r>
      <w:r w:rsidR="00E83102" w:rsidRPr="00040962">
        <w:rPr>
          <w:lang w:val="tr-TR"/>
        </w:rPr>
        <w:t>in mağdurlarına yönelik genel uzman destek hizmetleriyle birlikte şiddetin tanığı olan çocuklar için destek hizmetlerini “asli” hizmet sayma</w:t>
      </w:r>
      <w:r w:rsidR="001A06C6">
        <w:rPr>
          <w:lang w:val="tr-TR"/>
        </w:rPr>
        <w:t xml:space="preserve">yı düşünmeli </w:t>
      </w:r>
      <w:r w:rsidR="00E83102" w:rsidRPr="00040962">
        <w:rPr>
          <w:lang w:val="tr-TR"/>
        </w:rPr>
        <w:t>ve/veya sürekliliğini garanti altına alma</w:t>
      </w:r>
      <w:r w:rsidR="006E0741">
        <w:rPr>
          <w:lang w:val="tr-TR"/>
        </w:rPr>
        <w:t>lı</w:t>
      </w:r>
      <w:r w:rsidR="00E83102" w:rsidRPr="00040962">
        <w:rPr>
          <w:lang w:val="tr-TR"/>
        </w:rPr>
        <w:t xml:space="preserve"> ve </w:t>
      </w:r>
      <w:r w:rsidR="006E0741">
        <w:rPr>
          <w:lang w:val="tr-TR"/>
        </w:rPr>
        <w:t xml:space="preserve">bu </w:t>
      </w:r>
      <w:r w:rsidR="00E83102" w:rsidRPr="00040962">
        <w:rPr>
          <w:lang w:val="tr-TR"/>
        </w:rPr>
        <w:t xml:space="preserve">hizmetlerin geçerli güvenlik esaslarıyla uyumlu olmasını sağlamalıdırlar. </w:t>
      </w:r>
      <w:r w:rsidR="00012DDA" w:rsidRPr="00040962">
        <w:rPr>
          <w:lang w:val="tr-TR"/>
        </w:rPr>
        <w:t>Bu, sığınaklar ve telefon hatları da dahil olmak üzere mevcut destek yapılarının kapasitesini</w:t>
      </w:r>
      <w:r w:rsidR="00664C43" w:rsidRPr="00040962">
        <w:rPr>
          <w:lang w:val="tr-TR"/>
        </w:rPr>
        <w:t>,</w:t>
      </w:r>
      <w:r w:rsidR="00012DDA" w:rsidRPr="00040962">
        <w:rPr>
          <w:lang w:val="tr-TR"/>
        </w:rPr>
        <w:t xml:space="preserve"> ortaya çıkan yeni ihtiyaçlara göre adapte etmeye ek olarak, mağdurlara çevrimiçi ve teknolojik araçlarla sosyal ve psikolojik destek sağlamak amacıyla, yardım hatların</w:t>
      </w:r>
      <w:r w:rsidR="00664C43" w:rsidRPr="00040962">
        <w:rPr>
          <w:lang w:val="tr-TR"/>
        </w:rPr>
        <w:t>a</w:t>
      </w:r>
      <w:r w:rsidR="00012DDA" w:rsidRPr="00040962">
        <w:rPr>
          <w:lang w:val="tr-TR"/>
        </w:rPr>
        <w:t xml:space="preserve"> sohbet sistemi ve danışma platformları eklemek gibi alternatif hizmet yöntemleri geliştir</w:t>
      </w:r>
      <w:r w:rsidR="00664C43" w:rsidRPr="00040962">
        <w:rPr>
          <w:lang w:val="tr-TR"/>
        </w:rPr>
        <w:t>il</w:t>
      </w:r>
      <w:r w:rsidR="00012DDA" w:rsidRPr="00040962">
        <w:rPr>
          <w:lang w:val="tr-TR"/>
        </w:rPr>
        <w:t xml:space="preserve">mesini de içerebilir. </w:t>
      </w:r>
      <w:r w:rsidR="005B11C4" w:rsidRPr="00040962">
        <w:rPr>
          <w:lang w:val="tr-TR"/>
        </w:rPr>
        <w:t>Şiddet mağduru pek çok kadının bir sığınağa yerleştikten sonra ihtiyaç duyduğu mali destek de dikkate alınmalıdır.</w:t>
      </w:r>
      <w:r w:rsidR="00664C43" w:rsidRPr="00040962">
        <w:rPr>
          <w:lang w:val="tr-TR"/>
        </w:rPr>
        <w:t xml:space="preserve"> </w:t>
      </w:r>
      <w:r w:rsidR="00DE01D2" w:rsidRPr="00040962">
        <w:rPr>
          <w:lang w:val="tr-TR"/>
        </w:rPr>
        <w:t xml:space="preserve">Sığınmacı ve mülteci kadınlar gibi özellikle kırılgan gruplara mensup kadınların, bilgiye ve kabul merkezlerindeki herhangi bir şiddet deneyimine yönelik destek hizmetlerine erişimlerinin sağlanması için özel çaba gösterilmelidir. </w:t>
      </w:r>
    </w:p>
    <w:p w14:paraId="6A55D7C8" w14:textId="77777777" w:rsidR="00DE01D2" w:rsidRPr="00040962" w:rsidRDefault="00DE01D2" w:rsidP="004249AB">
      <w:pPr>
        <w:rPr>
          <w:lang w:val="tr-TR"/>
        </w:rPr>
      </w:pPr>
    </w:p>
    <w:p w14:paraId="7A44150E" w14:textId="77777777" w:rsidR="00865F8B" w:rsidRPr="00040962" w:rsidRDefault="000C6EE6" w:rsidP="009340B8">
      <w:pPr>
        <w:jc w:val="center"/>
        <w:rPr>
          <w:b/>
          <w:bCs/>
          <w:lang w:val="tr-TR"/>
        </w:rPr>
      </w:pPr>
      <w:r w:rsidRPr="00040962">
        <w:rPr>
          <w:b/>
          <w:bCs/>
          <w:lang w:val="tr-TR"/>
        </w:rPr>
        <w:t>SORUŞTURMA, KOVUŞTURMA</w:t>
      </w:r>
    </w:p>
    <w:p w14:paraId="20E8AE87" w14:textId="77777777" w:rsidR="00DE01D2" w:rsidRPr="00040962" w:rsidRDefault="00DE01D2" w:rsidP="004249AB">
      <w:pPr>
        <w:rPr>
          <w:b/>
          <w:bCs/>
          <w:lang w:val="tr-TR"/>
        </w:rPr>
      </w:pPr>
    </w:p>
    <w:p w14:paraId="197C2F03" w14:textId="1842556E" w:rsidR="00C86157" w:rsidRPr="00040962" w:rsidRDefault="000C6EE6" w:rsidP="00DD72A3">
      <w:pPr>
        <w:jc w:val="both"/>
        <w:rPr>
          <w:lang w:val="tr-TR"/>
        </w:rPr>
      </w:pPr>
      <w:r w:rsidRPr="00040962">
        <w:rPr>
          <w:b/>
          <w:bCs/>
          <w:lang w:val="tr-TR"/>
        </w:rPr>
        <w:t>MADDE 49</w:t>
      </w:r>
      <w:r w:rsidR="004F107A" w:rsidRPr="00040962">
        <w:rPr>
          <w:b/>
          <w:bCs/>
          <w:lang w:val="tr-TR"/>
        </w:rPr>
        <w:t xml:space="preserve"> </w:t>
      </w:r>
      <w:r w:rsidRPr="00040962">
        <w:rPr>
          <w:b/>
          <w:bCs/>
          <w:lang w:val="tr-TR"/>
        </w:rPr>
        <w:t>(</w:t>
      </w:r>
      <w:r w:rsidR="004F107A" w:rsidRPr="00040962">
        <w:rPr>
          <w:b/>
          <w:bCs/>
          <w:lang w:val="tr-TR"/>
        </w:rPr>
        <w:t xml:space="preserve">Genel </w:t>
      </w:r>
      <w:r w:rsidR="00664C43" w:rsidRPr="00040962">
        <w:rPr>
          <w:b/>
          <w:bCs/>
          <w:lang w:val="tr-TR"/>
        </w:rPr>
        <w:t>y</w:t>
      </w:r>
      <w:r w:rsidR="004F107A" w:rsidRPr="00040962">
        <w:rPr>
          <w:b/>
          <w:bCs/>
          <w:lang w:val="tr-TR"/>
        </w:rPr>
        <w:t>ükümlülükler</w:t>
      </w:r>
      <w:r w:rsidRPr="00040962">
        <w:rPr>
          <w:b/>
          <w:bCs/>
          <w:lang w:val="tr-TR"/>
        </w:rPr>
        <w:t>):</w:t>
      </w:r>
      <w:r w:rsidR="004F107A" w:rsidRPr="00040962">
        <w:rPr>
          <w:lang w:val="tr-TR"/>
        </w:rPr>
        <w:t xml:space="preserve"> </w:t>
      </w:r>
      <w:r w:rsidR="00834A13" w:rsidRPr="00040962">
        <w:rPr>
          <w:lang w:val="tr-TR"/>
        </w:rPr>
        <w:t xml:space="preserve">Kadınlara karşı şiddet </w:t>
      </w:r>
      <w:r w:rsidR="00B676F5" w:rsidRPr="00040962">
        <w:rPr>
          <w:lang w:val="tr-TR"/>
        </w:rPr>
        <w:t>mağdur</w:t>
      </w:r>
      <w:r w:rsidR="00834A13" w:rsidRPr="00040962">
        <w:rPr>
          <w:lang w:val="tr-TR"/>
        </w:rPr>
        <w:t>larının şikayette bulun</w:t>
      </w:r>
      <w:r w:rsidR="007A08FD" w:rsidRPr="00040962">
        <w:rPr>
          <w:lang w:val="tr-TR"/>
        </w:rPr>
        <w:t xml:space="preserve">abilmeleri </w:t>
      </w:r>
      <w:r w:rsidR="00834A13" w:rsidRPr="00040962">
        <w:rPr>
          <w:lang w:val="tr-TR"/>
        </w:rPr>
        <w:t>için suç ihbarların</w:t>
      </w:r>
      <w:r w:rsidR="007A08FD" w:rsidRPr="00040962">
        <w:rPr>
          <w:lang w:val="tr-TR"/>
        </w:rPr>
        <w:t xml:space="preserve">ın yapılabiliyor olması sağlanmalıdır. </w:t>
      </w:r>
      <w:r w:rsidR="004F107A" w:rsidRPr="00040962">
        <w:rPr>
          <w:lang w:val="tr-TR"/>
        </w:rPr>
        <w:t>Tecavüz gibi suçlar</w:t>
      </w:r>
      <w:r w:rsidR="00592B46" w:rsidRPr="00040962">
        <w:rPr>
          <w:lang w:val="tr-TR"/>
        </w:rPr>
        <w:t xml:space="preserve">ın ihbarı için halihazırda çevrimiçi çözüm örnekleri mevcuttur ve daha da geliştirilebilir. </w:t>
      </w:r>
      <w:r w:rsidR="0091413A" w:rsidRPr="00040962">
        <w:rPr>
          <w:lang w:val="tr-TR"/>
        </w:rPr>
        <w:t xml:space="preserve">Kadınların şiddet suçunu ihbar edebilecekleri yeni kanallar da oluşturulmalıdır. </w:t>
      </w:r>
      <w:r w:rsidR="0001530E" w:rsidRPr="00040962">
        <w:rPr>
          <w:lang w:val="tr-TR"/>
        </w:rPr>
        <w:t xml:space="preserve">Mağdurların, tecrit sırasında yaşadıkları yakın partner şiddetini ve/veya ev-içi şiddeti, eczanelerde şifreli sözcüklerle bildirmeye teşvik edilmeleri bu tür bir girişimdir. </w:t>
      </w:r>
      <w:r w:rsidR="00C86157" w:rsidRPr="00040962">
        <w:rPr>
          <w:lang w:val="tr-TR"/>
        </w:rPr>
        <w:t xml:space="preserve">Bu hedef için devletler, farklı kadın gruplarının, </w:t>
      </w:r>
      <w:r w:rsidR="00C86157" w:rsidRPr="00040962">
        <w:rPr>
          <w:lang w:val="tr-TR"/>
        </w:rPr>
        <w:lastRenderedPageBreak/>
        <w:t xml:space="preserve">özellikle de en kırılgan ve ulaşılması zor mağdurların özel ihtiyaç durumunu dikkate almalı, bilgiyi bu kadınların anlayacağı biçimde ve dilde sunmak gerektiğini akılda tutmalıdır. </w:t>
      </w:r>
    </w:p>
    <w:p w14:paraId="4C2441E2" w14:textId="77777777" w:rsidR="005D5F2F" w:rsidRPr="00040962" w:rsidRDefault="005D5F2F" w:rsidP="00DD72A3">
      <w:pPr>
        <w:jc w:val="both"/>
        <w:rPr>
          <w:lang w:val="tr-TR"/>
        </w:rPr>
      </w:pPr>
    </w:p>
    <w:p w14:paraId="260052FF" w14:textId="005B8678" w:rsidR="004F107A" w:rsidRPr="00040962" w:rsidRDefault="005D5F2F" w:rsidP="00DD72A3">
      <w:pPr>
        <w:jc w:val="both"/>
        <w:rPr>
          <w:lang w:val="tr-TR"/>
        </w:rPr>
      </w:pPr>
      <w:r w:rsidRPr="00040962">
        <w:rPr>
          <w:b/>
          <w:bCs/>
          <w:lang w:val="tr-TR"/>
        </w:rPr>
        <w:t>MADDE 50</w:t>
      </w:r>
      <w:r w:rsidR="009E504C" w:rsidRPr="00040962">
        <w:rPr>
          <w:b/>
          <w:bCs/>
          <w:lang w:val="tr-TR"/>
        </w:rPr>
        <w:t xml:space="preserve"> </w:t>
      </w:r>
      <w:r w:rsidRPr="00040962">
        <w:rPr>
          <w:b/>
          <w:bCs/>
          <w:lang w:val="tr-TR"/>
        </w:rPr>
        <w:t>(Ani mukabele, önleme ve koruma)</w:t>
      </w:r>
      <w:r w:rsidR="000B6BB1" w:rsidRPr="00040962">
        <w:rPr>
          <w:b/>
          <w:bCs/>
          <w:lang w:val="tr-TR"/>
        </w:rPr>
        <w:t xml:space="preserve">: </w:t>
      </w:r>
      <w:r w:rsidR="008B4B11" w:rsidRPr="00040962">
        <w:rPr>
          <w:lang w:val="tr-TR"/>
        </w:rPr>
        <w:t>A</w:t>
      </w:r>
      <w:r w:rsidR="009E504C" w:rsidRPr="00040962">
        <w:rPr>
          <w:lang w:val="tr-TR"/>
        </w:rPr>
        <w:t>cil durum</w:t>
      </w:r>
      <w:r w:rsidR="008B4B11" w:rsidRPr="00040962">
        <w:rPr>
          <w:lang w:val="tr-TR"/>
        </w:rPr>
        <w:t>, pek çok ülkede</w:t>
      </w:r>
      <w:r w:rsidR="009E504C" w:rsidRPr="00040962">
        <w:rPr>
          <w:lang w:val="tr-TR"/>
        </w:rPr>
        <w:t xml:space="preserve"> mahkemelerin faaliyetlerinin yavaşlamasına </w:t>
      </w:r>
      <w:r w:rsidRPr="00040962">
        <w:rPr>
          <w:lang w:val="tr-TR"/>
        </w:rPr>
        <w:t xml:space="preserve">ve </w:t>
      </w:r>
      <w:r w:rsidR="009E504C" w:rsidRPr="00040962">
        <w:rPr>
          <w:lang w:val="tr-TR"/>
        </w:rPr>
        <w:t xml:space="preserve">acil olmayan </w:t>
      </w:r>
      <w:r w:rsidR="00693E70" w:rsidRPr="00040962">
        <w:rPr>
          <w:lang w:val="tr-TR"/>
        </w:rPr>
        <w:t>duruşmaların</w:t>
      </w:r>
      <w:r w:rsidR="009E504C" w:rsidRPr="00040962">
        <w:rPr>
          <w:lang w:val="tr-TR"/>
        </w:rPr>
        <w:t xml:space="preserve"> ertelenmesine sebep ol</w:t>
      </w:r>
      <w:r w:rsidRPr="00040962">
        <w:rPr>
          <w:lang w:val="tr-TR"/>
        </w:rPr>
        <w:t>sa da</w:t>
      </w:r>
      <w:r w:rsidR="009E504C" w:rsidRPr="00040962">
        <w:rPr>
          <w:lang w:val="tr-TR"/>
        </w:rPr>
        <w:t xml:space="preserve"> yargı mensupları ve kolluk kuvvetleri</w:t>
      </w:r>
      <w:r w:rsidR="008B4B11" w:rsidRPr="00040962">
        <w:rPr>
          <w:lang w:val="tr-TR"/>
        </w:rPr>
        <w:t>, mağdurun ve çocuklarının güvenliğin</w:t>
      </w:r>
      <w:r w:rsidR="006E0741">
        <w:rPr>
          <w:lang w:val="tr-TR"/>
        </w:rPr>
        <w:t>e</w:t>
      </w:r>
      <w:r w:rsidR="009E504C" w:rsidRPr="00040962">
        <w:rPr>
          <w:lang w:val="tr-TR"/>
        </w:rPr>
        <w:t xml:space="preserve"> öncelik </w:t>
      </w:r>
      <w:r w:rsidR="006E0741">
        <w:rPr>
          <w:lang w:val="tr-TR"/>
        </w:rPr>
        <w:t>vermeyi</w:t>
      </w:r>
      <w:r w:rsidRPr="00040962">
        <w:rPr>
          <w:lang w:val="tr-TR"/>
        </w:rPr>
        <w:t xml:space="preserve"> sürdürmelidir</w:t>
      </w:r>
      <w:r w:rsidR="009E504C" w:rsidRPr="00040962">
        <w:rPr>
          <w:lang w:val="tr-TR"/>
        </w:rPr>
        <w:t xml:space="preserve">. </w:t>
      </w:r>
      <w:r w:rsidR="002D6C89" w:rsidRPr="00040962">
        <w:rPr>
          <w:lang w:val="tr-TR"/>
        </w:rPr>
        <w:t>Böylece, taraf d</w:t>
      </w:r>
      <w:r w:rsidR="009E504C" w:rsidRPr="00040962">
        <w:rPr>
          <w:lang w:val="tr-TR"/>
        </w:rPr>
        <w:t>evletler mağdurlar</w:t>
      </w:r>
      <w:r w:rsidR="002D6C89" w:rsidRPr="00040962">
        <w:rPr>
          <w:lang w:val="tr-TR"/>
        </w:rPr>
        <w:t xml:space="preserve">ın zarar görme riskine karşı acil ve yeterli koruma </w:t>
      </w:r>
      <w:r w:rsidR="00D607C1" w:rsidRPr="00040962">
        <w:rPr>
          <w:lang w:val="tr-TR"/>
        </w:rPr>
        <w:t xml:space="preserve">sunma </w:t>
      </w:r>
      <w:r w:rsidR="002D6C89" w:rsidRPr="00040962">
        <w:rPr>
          <w:lang w:val="tr-TR"/>
        </w:rPr>
        <w:t xml:space="preserve">görevlerine </w:t>
      </w:r>
      <w:r w:rsidR="000744E3" w:rsidRPr="00040962">
        <w:rPr>
          <w:lang w:val="tr-TR"/>
        </w:rPr>
        <w:t>bağlı kalmış olurlar</w:t>
      </w:r>
      <w:r w:rsidR="009E504C" w:rsidRPr="00040962">
        <w:rPr>
          <w:lang w:val="tr-TR"/>
        </w:rPr>
        <w:t xml:space="preserve">. </w:t>
      </w:r>
    </w:p>
    <w:p w14:paraId="757CB695" w14:textId="77777777" w:rsidR="005D5F2F" w:rsidRPr="00040962" w:rsidRDefault="005D5F2F" w:rsidP="00DD72A3">
      <w:pPr>
        <w:jc w:val="both"/>
        <w:rPr>
          <w:lang w:val="tr-TR"/>
        </w:rPr>
      </w:pPr>
    </w:p>
    <w:p w14:paraId="4C7569F0" w14:textId="77777777" w:rsidR="00E11799" w:rsidRPr="00040962" w:rsidRDefault="005D5F2F" w:rsidP="00DD72A3">
      <w:pPr>
        <w:jc w:val="both"/>
        <w:rPr>
          <w:lang w:val="tr-TR"/>
        </w:rPr>
      </w:pPr>
      <w:r w:rsidRPr="00040962">
        <w:rPr>
          <w:b/>
          <w:bCs/>
          <w:lang w:val="tr-TR"/>
        </w:rPr>
        <w:t>MADDE 51</w:t>
      </w:r>
      <w:r w:rsidR="009E504C" w:rsidRPr="00040962">
        <w:rPr>
          <w:b/>
          <w:bCs/>
          <w:lang w:val="tr-TR"/>
        </w:rPr>
        <w:t xml:space="preserve"> </w:t>
      </w:r>
      <w:r w:rsidRPr="00040962">
        <w:rPr>
          <w:b/>
          <w:bCs/>
          <w:lang w:val="tr-TR"/>
        </w:rPr>
        <w:t>(</w:t>
      </w:r>
      <w:r w:rsidR="009E504C" w:rsidRPr="00040962">
        <w:rPr>
          <w:b/>
          <w:bCs/>
          <w:lang w:val="tr-TR"/>
        </w:rPr>
        <w:t xml:space="preserve">Risk </w:t>
      </w:r>
      <w:r w:rsidR="00941AE0" w:rsidRPr="00040962">
        <w:rPr>
          <w:b/>
          <w:bCs/>
          <w:lang w:val="tr-TR"/>
        </w:rPr>
        <w:t>d</w:t>
      </w:r>
      <w:r w:rsidRPr="00040962">
        <w:rPr>
          <w:b/>
          <w:bCs/>
          <w:lang w:val="tr-TR"/>
        </w:rPr>
        <w:t>eğerlendirmesi</w:t>
      </w:r>
      <w:r w:rsidR="009E504C" w:rsidRPr="00040962">
        <w:rPr>
          <w:b/>
          <w:bCs/>
          <w:lang w:val="tr-TR"/>
        </w:rPr>
        <w:t xml:space="preserve"> ve risk yönetimi</w:t>
      </w:r>
      <w:r w:rsidRPr="00040962">
        <w:rPr>
          <w:b/>
          <w:bCs/>
          <w:lang w:val="tr-TR"/>
        </w:rPr>
        <w:t>)</w:t>
      </w:r>
      <w:r w:rsidR="009E504C" w:rsidRPr="00040962">
        <w:rPr>
          <w:b/>
          <w:bCs/>
          <w:lang w:val="tr-TR"/>
        </w:rPr>
        <w:t xml:space="preserve">: </w:t>
      </w:r>
      <w:r w:rsidR="009E504C" w:rsidRPr="00040962">
        <w:rPr>
          <w:lang w:val="tr-TR"/>
        </w:rPr>
        <w:t xml:space="preserve">Pandemi </w:t>
      </w:r>
      <w:r w:rsidR="008B4B11" w:rsidRPr="00040962">
        <w:rPr>
          <w:lang w:val="tr-TR"/>
        </w:rPr>
        <w:t>sırasında</w:t>
      </w:r>
      <w:r w:rsidR="009E504C" w:rsidRPr="00040962">
        <w:rPr>
          <w:lang w:val="tr-TR"/>
        </w:rPr>
        <w:t>, mağdurların durumlarının ciddiyetini ve şiddet</w:t>
      </w:r>
      <w:r w:rsidR="006C3EEF" w:rsidRPr="00040962">
        <w:rPr>
          <w:lang w:val="tr-TR"/>
        </w:rPr>
        <w:t xml:space="preserve"> eyleminin </w:t>
      </w:r>
      <w:r w:rsidR="009E504C" w:rsidRPr="00040962">
        <w:rPr>
          <w:lang w:val="tr-TR"/>
        </w:rPr>
        <w:t>tekrarlanma</w:t>
      </w:r>
      <w:r w:rsidR="006C3EEF" w:rsidRPr="00040962">
        <w:rPr>
          <w:lang w:val="tr-TR"/>
        </w:rPr>
        <w:t>sı</w:t>
      </w:r>
      <w:r w:rsidR="009E504C" w:rsidRPr="00040962">
        <w:rPr>
          <w:lang w:val="tr-TR"/>
        </w:rPr>
        <w:t xml:space="preserve"> </w:t>
      </w:r>
      <w:r w:rsidR="00080FDD" w:rsidRPr="00040962">
        <w:rPr>
          <w:lang w:val="tr-TR"/>
        </w:rPr>
        <w:t>riskini</w:t>
      </w:r>
      <w:r w:rsidR="009E504C" w:rsidRPr="00040962">
        <w:rPr>
          <w:lang w:val="tr-TR"/>
        </w:rPr>
        <w:t xml:space="preserve"> </w:t>
      </w:r>
      <w:r w:rsidR="00080FDD" w:rsidRPr="00040962">
        <w:rPr>
          <w:lang w:val="tr-TR"/>
        </w:rPr>
        <w:t xml:space="preserve">değerlendirmeye devam etmek kritik önem taşımaktadır. </w:t>
      </w:r>
      <w:r w:rsidR="00E11799" w:rsidRPr="00040962">
        <w:rPr>
          <w:lang w:val="tr-TR"/>
        </w:rPr>
        <w:t>Mümkün olduğunca ve salgından korunma önlemleri</w:t>
      </w:r>
      <w:r w:rsidR="008B4B11" w:rsidRPr="00040962">
        <w:rPr>
          <w:lang w:val="tr-TR"/>
        </w:rPr>
        <w:t xml:space="preserve">nin </w:t>
      </w:r>
      <w:r w:rsidR="00E11799" w:rsidRPr="00040962">
        <w:rPr>
          <w:lang w:val="tr-TR"/>
        </w:rPr>
        <w:t xml:space="preserve">sağlanması </w:t>
      </w:r>
      <w:r w:rsidR="008B4B11" w:rsidRPr="00040962">
        <w:rPr>
          <w:lang w:val="tr-TR"/>
        </w:rPr>
        <w:t>koşuluyla</w:t>
      </w:r>
      <w:r w:rsidR="00E11799" w:rsidRPr="00040962">
        <w:rPr>
          <w:lang w:val="tr-TR"/>
        </w:rPr>
        <w:t>, yüksek risk içeren vakalarda tercih edilece</w:t>
      </w:r>
      <w:r w:rsidR="004249AB" w:rsidRPr="00040962">
        <w:rPr>
          <w:lang w:val="tr-TR"/>
        </w:rPr>
        <w:t>k</w:t>
      </w:r>
      <w:r w:rsidR="00E11799" w:rsidRPr="00040962">
        <w:rPr>
          <w:lang w:val="tr-TR"/>
        </w:rPr>
        <w:t xml:space="preserve"> seçenek</w:t>
      </w:r>
      <w:r w:rsidR="008B4B11" w:rsidRPr="00040962">
        <w:rPr>
          <w:lang w:val="tr-TR"/>
        </w:rPr>
        <w:t>,</w:t>
      </w:r>
      <w:r w:rsidR="00E11799" w:rsidRPr="00040962">
        <w:rPr>
          <w:lang w:val="tr-TR"/>
        </w:rPr>
        <w:t xml:space="preserve"> yargılama öncesi tutukluluk olmalıdır. </w:t>
      </w:r>
      <w:r w:rsidR="001375EB" w:rsidRPr="00040962">
        <w:rPr>
          <w:lang w:val="tr-TR"/>
        </w:rPr>
        <w:t xml:space="preserve">Pandemi </w:t>
      </w:r>
      <w:r w:rsidR="008B4B11" w:rsidRPr="00040962">
        <w:rPr>
          <w:lang w:val="tr-TR"/>
        </w:rPr>
        <w:t>nedeniyle</w:t>
      </w:r>
      <w:r w:rsidR="001375EB" w:rsidRPr="00040962">
        <w:rPr>
          <w:lang w:val="tr-TR"/>
        </w:rPr>
        <w:t>, faili özgürlüğünden yoksun bırakma ve yargılama öncesi tutuklulu</w:t>
      </w:r>
      <w:r w:rsidR="00A852FF" w:rsidRPr="00040962">
        <w:rPr>
          <w:lang w:val="tr-TR"/>
        </w:rPr>
        <w:t xml:space="preserve">k yerine, başka </w:t>
      </w:r>
      <w:r w:rsidR="001375EB" w:rsidRPr="00040962">
        <w:rPr>
          <w:lang w:val="tr-TR"/>
        </w:rPr>
        <w:t>alternatif yollar</w:t>
      </w:r>
      <w:r w:rsidR="007563C4" w:rsidRPr="00040962">
        <w:rPr>
          <w:lang w:val="tr-TR"/>
        </w:rPr>
        <w:t xml:space="preserve">a başvurulması gerekirse, </w:t>
      </w:r>
      <w:r w:rsidR="001375EB" w:rsidRPr="00040962">
        <w:rPr>
          <w:lang w:val="tr-TR"/>
        </w:rPr>
        <w:t>mağdur bilgilendirilmeden ve mağdurun güvenl</w:t>
      </w:r>
      <w:r w:rsidR="00113CBF">
        <w:rPr>
          <w:lang w:val="tr-TR"/>
        </w:rPr>
        <w:t>i</w:t>
      </w:r>
      <w:r w:rsidR="001375EB" w:rsidRPr="00040962">
        <w:rPr>
          <w:lang w:val="tr-TR"/>
        </w:rPr>
        <w:t>ğine ilişkin sonuçları değerlendirilmeden karar verilmemelidir.</w:t>
      </w:r>
    </w:p>
    <w:p w14:paraId="4F6E071C" w14:textId="77777777" w:rsidR="00793C3D" w:rsidRPr="00040962" w:rsidRDefault="00793C3D" w:rsidP="00DD72A3">
      <w:pPr>
        <w:jc w:val="both"/>
        <w:rPr>
          <w:lang w:val="tr-TR"/>
        </w:rPr>
      </w:pPr>
    </w:p>
    <w:p w14:paraId="3DF410BB" w14:textId="1D0F9E70" w:rsidR="000845DB" w:rsidRPr="00124AFA" w:rsidRDefault="00793C3D" w:rsidP="00124AFA">
      <w:pPr>
        <w:jc w:val="both"/>
        <w:rPr>
          <w:lang w:val="tr-TR"/>
        </w:rPr>
      </w:pPr>
      <w:r w:rsidRPr="00040962">
        <w:rPr>
          <w:b/>
          <w:bCs/>
          <w:lang w:val="tr-TR"/>
        </w:rPr>
        <w:t xml:space="preserve">MADDE 52 (Acil durumlarda uzaklaştırma emirleri) </w:t>
      </w:r>
      <w:r w:rsidR="00F56A1B" w:rsidRPr="00040962">
        <w:rPr>
          <w:b/>
          <w:bCs/>
          <w:lang w:val="tr-TR"/>
        </w:rPr>
        <w:t xml:space="preserve">ve </w:t>
      </w:r>
      <w:r w:rsidRPr="00040962">
        <w:rPr>
          <w:b/>
          <w:bCs/>
          <w:lang w:val="tr-TR"/>
        </w:rPr>
        <w:t>MADDE 53</w:t>
      </w:r>
      <w:r w:rsidR="00F56A1B" w:rsidRPr="00040962">
        <w:rPr>
          <w:b/>
          <w:bCs/>
          <w:lang w:val="tr-TR"/>
        </w:rPr>
        <w:t xml:space="preserve"> </w:t>
      </w:r>
      <w:r w:rsidRPr="00040962">
        <w:rPr>
          <w:b/>
          <w:bCs/>
          <w:lang w:val="tr-TR"/>
        </w:rPr>
        <w:t xml:space="preserve">(Engelleme veya koruma emirleri): </w:t>
      </w:r>
      <w:r w:rsidR="000E1A5E" w:rsidRPr="00040962">
        <w:rPr>
          <w:lang w:val="tr-TR"/>
        </w:rPr>
        <w:t>Taraf devletler, mağdurların acil uzaklaştırma, engelleme ve koruma emirlerine erişimini sağlamaya, uygun risk yönetimini sunma çabalarının bir parçası olarak devam etmelidirler.</w:t>
      </w:r>
    </w:p>
    <w:p w14:paraId="5732BA7C" w14:textId="77777777" w:rsidR="000845DB" w:rsidRPr="00040962" w:rsidRDefault="000845DB" w:rsidP="004249AB">
      <w:pPr>
        <w:rPr>
          <w:i/>
          <w:iCs/>
          <w:lang w:val="tr-TR"/>
        </w:rPr>
      </w:pPr>
    </w:p>
    <w:p w14:paraId="50291E1B" w14:textId="77777777" w:rsidR="000845DB" w:rsidRPr="00040962" w:rsidRDefault="000845DB" w:rsidP="004249AB">
      <w:pPr>
        <w:rPr>
          <w:i/>
          <w:iCs/>
          <w:lang w:val="tr-TR"/>
        </w:rPr>
      </w:pPr>
    </w:p>
    <w:p w14:paraId="23502777" w14:textId="0B3EA676" w:rsidR="000845DB" w:rsidRDefault="000845DB" w:rsidP="004249AB">
      <w:pPr>
        <w:rPr>
          <w:i/>
          <w:iCs/>
          <w:lang w:val="tr-TR"/>
        </w:rPr>
      </w:pPr>
    </w:p>
    <w:p w14:paraId="7D84A720" w14:textId="650C788A" w:rsidR="00B35A98" w:rsidRDefault="00B35A98" w:rsidP="004249AB">
      <w:pPr>
        <w:rPr>
          <w:i/>
          <w:iCs/>
          <w:lang w:val="tr-TR"/>
        </w:rPr>
      </w:pPr>
    </w:p>
    <w:p w14:paraId="2A7935DA" w14:textId="0713BF5F" w:rsidR="00B35A98" w:rsidRDefault="00B35A98" w:rsidP="004249AB">
      <w:pPr>
        <w:rPr>
          <w:i/>
          <w:iCs/>
          <w:lang w:val="tr-TR"/>
        </w:rPr>
      </w:pPr>
    </w:p>
    <w:p w14:paraId="1BA14474" w14:textId="14CBDEAD" w:rsidR="00B35A98" w:rsidRDefault="00B35A98" w:rsidP="004249AB">
      <w:pPr>
        <w:rPr>
          <w:i/>
          <w:iCs/>
          <w:lang w:val="tr-TR"/>
        </w:rPr>
      </w:pPr>
    </w:p>
    <w:p w14:paraId="6C2A3FBA" w14:textId="2BDBBB35" w:rsidR="00B35A98" w:rsidRDefault="00B35A98" w:rsidP="004249AB">
      <w:pPr>
        <w:rPr>
          <w:i/>
          <w:iCs/>
          <w:lang w:val="tr-TR"/>
        </w:rPr>
      </w:pPr>
    </w:p>
    <w:p w14:paraId="27A9A4D1" w14:textId="3224A11F" w:rsidR="00B35A98" w:rsidRDefault="00B35A98" w:rsidP="004249AB">
      <w:pPr>
        <w:rPr>
          <w:i/>
          <w:iCs/>
          <w:lang w:val="tr-TR"/>
        </w:rPr>
      </w:pPr>
    </w:p>
    <w:p w14:paraId="4245E8C5" w14:textId="0EFFA47D" w:rsidR="00B35A98" w:rsidRDefault="00B35A98" w:rsidP="004249AB">
      <w:pPr>
        <w:rPr>
          <w:i/>
          <w:iCs/>
          <w:lang w:val="tr-TR"/>
        </w:rPr>
      </w:pPr>
    </w:p>
    <w:p w14:paraId="0055F780" w14:textId="7D04A3CA" w:rsidR="00B35A98" w:rsidRDefault="00B35A98" w:rsidP="004249AB">
      <w:pPr>
        <w:rPr>
          <w:i/>
          <w:iCs/>
          <w:lang w:val="tr-TR"/>
        </w:rPr>
      </w:pPr>
    </w:p>
    <w:p w14:paraId="360C88BA" w14:textId="19E611AD" w:rsidR="00B35A98" w:rsidRDefault="00B35A98" w:rsidP="004249AB">
      <w:pPr>
        <w:rPr>
          <w:i/>
          <w:iCs/>
          <w:lang w:val="tr-TR"/>
        </w:rPr>
      </w:pPr>
    </w:p>
    <w:p w14:paraId="2A40E5FA" w14:textId="2601F525" w:rsidR="00B35A98" w:rsidRDefault="00B35A98" w:rsidP="004249AB">
      <w:pPr>
        <w:rPr>
          <w:i/>
          <w:iCs/>
          <w:lang w:val="tr-TR"/>
        </w:rPr>
      </w:pPr>
    </w:p>
    <w:p w14:paraId="34264803" w14:textId="3BA55E14" w:rsidR="00C2595E" w:rsidRDefault="00C2595E" w:rsidP="004249AB">
      <w:pPr>
        <w:rPr>
          <w:i/>
          <w:iCs/>
          <w:lang w:val="tr-TR"/>
        </w:rPr>
      </w:pPr>
    </w:p>
    <w:p w14:paraId="5216E794" w14:textId="53BEE916" w:rsidR="00C2595E" w:rsidRDefault="00C2595E" w:rsidP="004249AB">
      <w:pPr>
        <w:rPr>
          <w:i/>
          <w:iCs/>
          <w:lang w:val="tr-TR"/>
        </w:rPr>
      </w:pPr>
    </w:p>
    <w:p w14:paraId="5E00E667" w14:textId="6393EF75" w:rsidR="00C2595E" w:rsidRDefault="00C2595E" w:rsidP="004249AB">
      <w:pPr>
        <w:rPr>
          <w:i/>
          <w:iCs/>
          <w:lang w:val="tr-TR"/>
        </w:rPr>
      </w:pPr>
    </w:p>
    <w:p w14:paraId="3D5646E0" w14:textId="31E9E461" w:rsidR="00C2595E" w:rsidRDefault="00C2595E" w:rsidP="004249AB">
      <w:pPr>
        <w:rPr>
          <w:i/>
          <w:iCs/>
          <w:lang w:val="tr-TR"/>
        </w:rPr>
      </w:pPr>
    </w:p>
    <w:p w14:paraId="74EB3161" w14:textId="7DD255C3" w:rsidR="00C2595E" w:rsidRDefault="00C2595E" w:rsidP="004249AB">
      <w:pPr>
        <w:rPr>
          <w:i/>
          <w:iCs/>
          <w:lang w:val="tr-TR"/>
        </w:rPr>
      </w:pPr>
    </w:p>
    <w:p w14:paraId="62B72011" w14:textId="77777777" w:rsidR="00B35A98" w:rsidRPr="00040962" w:rsidRDefault="00B35A98" w:rsidP="004249AB">
      <w:pPr>
        <w:rPr>
          <w:i/>
          <w:iCs/>
          <w:lang w:val="tr-TR"/>
        </w:rPr>
      </w:pPr>
    </w:p>
    <w:sectPr w:rsidR="00B35A98" w:rsidRPr="00040962" w:rsidSect="00E76C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2014B" w14:textId="77777777" w:rsidR="00343287" w:rsidRDefault="00343287" w:rsidP="00B35A98">
      <w:r>
        <w:separator/>
      </w:r>
    </w:p>
  </w:endnote>
  <w:endnote w:type="continuationSeparator" w:id="0">
    <w:p w14:paraId="2C1E3B67" w14:textId="77777777" w:rsidR="00343287" w:rsidRDefault="00343287" w:rsidP="00B35A98">
      <w:r>
        <w:continuationSeparator/>
      </w:r>
    </w:p>
  </w:endnote>
  <w:endnote w:id="1">
    <w:p w14:paraId="481CD046" w14:textId="4F938A58" w:rsidR="00B35A98" w:rsidRPr="007F2809" w:rsidRDefault="00B35A98" w:rsidP="007F2809">
      <w:pPr>
        <w:pStyle w:val="EndnoteText"/>
        <w:jc w:val="both"/>
        <w:rPr>
          <w:lang w:val="tr-TR"/>
        </w:rPr>
      </w:pPr>
      <w:r w:rsidRPr="007F2809">
        <w:rPr>
          <w:rStyle w:val="EndnoteReference"/>
          <w:lang w:val="tr-TR"/>
        </w:rPr>
        <w:endnoteRef/>
      </w:r>
      <w:r w:rsidRPr="007F2809">
        <w:rPr>
          <w:lang w:val="tr-TR"/>
        </w:rPr>
        <w:t xml:space="preserve"> Sözleşme</w:t>
      </w:r>
      <w:r w:rsidR="008D7A83" w:rsidRPr="007F2809">
        <w:rPr>
          <w:lang w:val="tr-TR"/>
        </w:rPr>
        <w:t xml:space="preserve">de bu maddenin </w:t>
      </w:r>
      <w:r w:rsidR="00C0748E" w:rsidRPr="007F2809">
        <w:rPr>
          <w:lang w:val="tr-TR"/>
        </w:rPr>
        <w:t>İ</w:t>
      </w:r>
      <w:r w:rsidR="008D7A83" w:rsidRPr="007F2809">
        <w:rPr>
          <w:lang w:val="tr-TR"/>
        </w:rPr>
        <w:t xml:space="preserve">ngilizcesi “Gender-sensitive policies” olarak geçmektedir. </w:t>
      </w:r>
      <w:r w:rsidR="001375EF">
        <w:rPr>
          <w:lang w:val="tr-TR"/>
        </w:rPr>
        <w:t xml:space="preserve">Avrupa </w:t>
      </w:r>
      <w:r w:rsidR="00E17D9C" w:rsidRPr="007F2809">
        <w:rPr>
          <w:lang w:val="tr-TR"/>
        </w:rPr>
        <w:t>Konsey</w:t>
      </w:r>
      <w:r w:rsidR="001375EF">
        <w:rPr>
          <w:lang w:val="tr-TR"/>
        </w:rPr>
        <w:t>i</w:t>
      </w:r>
      <w:r w:rsidR="00E17D9C" w:rsidRPr="007F2809">
        <w:rPr>
          <w:lang w:val="tr-TR"/>
        </w:rPr>
        <w:t>’</w:t>
      </w:r>
      <w:r w:rsidR="001375EF">
        <w:rPr>
          <w:lang w:val="tr-TR"/>
        </w:rPr>
        <w:t>n</w:t>
      </w:r>
      <w:r w:rsidR="00E17D9C" w:rsidRPr="007F2809">
        <w:rPr>
          <w:lang w:val="tr-TR"/>
        </w:rPr>
        <w:t>in sayfasında bulunan r</w:t>
      </w:r>
      <w:r w:rsidRPr="007F2809">
        <w:rPr>
          <w:lang w:val="tr-TR"/>
        </w:rPr>
        <w:t xml:space="preserve">esmi Türkçe </w:t>
      </w:r>
      <w:r w:rsidR="00471EF0" w:rsidRPr="007F2809">
        <w:rPr>
          <w:lang w:val="tr-TR"/>
        </w:rPr>
        <w:t>tercümesinde</w:t>
      </w:r>
      <w:r w:rsidRPr="007F2809">
        <w:rPr>
          <w:lang w:val="tr-TR"/>
        </w:rPr>
        <w:t xml:space="preserve"> “Toplumsal cinsiyet konusunda hassasiyet gerektiren politikalar” </w:t>
      </w:r>
      <w:r w:rsidR="00471EF0" w:rsidRPr="007F2809">
        <w:rPr>
          <w:lang w:val="tr-TR"/>
        </w:rPr>
        <w:t xml:space="preserve">ifadesi kullanılmıştır. </w:t>
      </w:r>
    </w:p>
  </w:endnote>
  <w:endnote w:id="2">
    <w:p w14:paraId="5C9FC4AE" w14:textId="7C186C26" w:rsidR="009A7D2F" w:rsidRPr="00FC4D6A" w:rsidRDefault="009A7D2F" w:rsidP="007F2809">
      <w:pPr>
        <w:pStyle w:val="EndnoteText"/>
        <w:jc w:val="both"/>
        <w:rPr>
          <w:lang w:val="tr-TR"/>
        </w:rPr>
      </w:pPr>
      <w:r w:rsidRPr="007F2809">
        <w:rPr>
          <w:rStyle w:val="EndnoteReference"/>
          <w:lang w:val="tr-TR"/>
        </w:rPr>
        <w:endnoteRef/>
      </w:r>
      <w:r w:rsidRPr="007F2809">
        <w:rPr>
          <w:lang w:val="tr-TR"/>
        </w:rPr>
        <w:t xml:space="preserve"> </w:t>
      </w:r>
      <w:r w:rsidR="00C0748E" w:rsidRPr="007F2809">
        <w:rPr>
          <w:lang w:val="tr-TR"/>
        </w:rPr>
        <w:t xml:space="preserve">Sözleşmede bu maddenin İngilizcesi “Shelters” olarak geçmektedir. </w:t>
      </w:r>
      <w:r w:rsidR="001375EF">
        <w:rPr>
          <w:lang w:val="tr-TR"/>
        </w:rPr>
        <w:t xml:space="preserve">Avrupa </w:t>
      </w:r>
      <w:r w:rsidR="00C0748E" w:rsidRPr="007F2809">
        <w:rPr>
          <w:lang w:val="tr-TR"/>
        </w:rPr>
        <w:t>Konsey</w:t>
      </w:r>
      <w:r w:rsidR="001375EF">
        <w:rPr>
          <w:lang w:val="tr-TR"/>
        </w:rPr>
        <w:t>i</w:t>
      </w:r>
      <w:r w:rsidR="00C0748E" w:rsidRPr="007F2809">
        <w:rPr>
          <w:lang w:val="tr-TR"/>
        </w:rPr>
        <w:t>’</w:t>
      </w:r>
      <w:r w:rsidR="001375EF">
        <w:rPr>
          <w:lang w:val="tr-TR"/>
        </w:rPr>
        <w:t>n</w:t>
      </w:r>
      <w:r w:rsidR="00C0748E" w:rsidRPr="007F2809">
        <w:rPr>
          <w:lang w:val="tr-TR"/>
        </w:rPr>
        <w:t xml:space="preserve">in sayfasında bulunan resmi Türkçe tercümesinde </w:t>
      </w:r>
      <w:r w:rsidRPr="007F2809">
        <w:rPr>
          <w:lang w:val="tr-TR"/>
        </w:rPr>
        <w:t xml:space="preserve">“Barınaklar” </w:t>
      </w:r>
      <w:r w:rsidR="00C0748E" w:rsidRPr="007F2809">
        <w:rPr>
          <w:lang w:val="tr-TR"/>
        </w:rPr>
        <w:t>ifadesi kullanılmıştır.</w:t>
      </w:r>
      <w:r w:rsidR="00C0748E" w:rsidRPr="00FC4D6A">
        <w:rPr>
          <w:lang w:val="tr-TR"/>
        </w:rPr>
        <w:t xml:space="preserve"> </w:t>
      </w:r>
      <w:r w:rsidRPr="00FC4D6A">
        <w:rPr>
          <w:lang w:val="tr-T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2FE0" w14:textId="77777777" w:rsidR="00343287" w:rsidRDefault="00343287" w:rsidP="00B35A98">
      <w:r>
        <w:separator/>
      </w:r>
    </w:p>
  </w:footnote>
  <w:footnote w:type="continuationSeparator" w:id="0">
    <w:p w14:paraId="49605A40" w14:textId="77777777" w:rsidR="00343287" w:rsidRDefault="00343287" w:rsidP="00B35A98">
      <w:r>
        <w:continuationSeparator/>
      </w:r>
    </w:p>
  </w:footnote>
  <w:footnote w:id="1">
    <w:p w14:paraId="0E41CE28" w14:textId="5B484574" w:rsidR="00214B6D" w:rsidRPr="00FC4D6A" w:rsidRDefault="00214B6D" w:rsidP="00FC4D6A">
      <w:pPr>
        <w:rPr>
          <w:color w:val="000000"/>
          <w:lang w:val="fr-FR"/>
        </w:rPr>
      </w:pPr>
      <w:r w:rsidRPr="00F16710">
        <w:rPr>
          <w:rStyle w:val="FootnoteReference"/>
          <w:lang w:val="tr-TR"/>
        </w:rPr>
        <w:footnoteRef/>
      </w:r>
      <w:r w:rsidRPr="00F16710">
        <w:rPr>
          <w:lang w:val="tr-TR"/>
        </w:rPr>
        <w:t xml:space="preserve"> </w:t>
      </w:r>
      <w:r w:rsidR="00084A59" w:rsidRPr="00F16710">
        <w:rPr>
          <w:color w:val="000000"/>
          <w:lang w:val="fr-FR"/>
        </w:rPr>
        <w:t xml:space="preserve">Metnin orjinali Ingilizcedir, </w:t>
      </w:r>
      <w:r w:rsidR="00FC4D6A" w:rsidRPr="00F16710">
        <w:rPr>
          <w:color w:val="000000"/>
          <w:lang w:val="fr-FR"/>
        </w:rPr>
        <w:t>Avrupa Konseyi</w:t>
      </w:r>
      <w:r w:rsidR="006A6702" w:rsidRPr="00F16710">
        <w:rPr>
          <w:color w:val="000000"/>
          <w:lang w:val="fr-FR"/>
        </w:rPr>
        <w:t xml:space="preserve">, </w:t>
      </w:r>
      <w:r w:rsidR="00FC4D6A" w:rsidRPr="00F16710">
        <w:rPr>
          <w:color w:val="000000"/>
          <w:lang w:val="fr-FR"/>
        </w:rPr>
        <w:t xml:space="preserve">20 Nisan 2020. Resmi olmayan </w:t>
      </w:r>
      <w:r w:rsidR="00284602" w:rsidRPr="00F16710">
        <w:rPr>
          <w:lang w:val="tr-TR"/>
        </w:rPr>
        <w:t>Türkçe tercümesi</w:t>
      </w:r>
      <w:r w:rsidR="00FB69B7" w:rsidRPr="00F16710">
        <w:rPr>
          <w:lang w:val="tr-TR"/>
        </w:rPr>
        <w:t xml:space="preserve"> </w:t>
      </w:r>
      <w:r w:rsidRPr="00F16710">
        <w:rPr>
          <w:lang w:val="tr-TR"/>
        </w:rPr>
        <w:t>EŞİTİZ – Eşitlik İzleme Kadın Grubu</w:t>
      </w:r>
      <w:r w:rsidR="00FB69B7" w:rsidRPr="00F16710">
        <w:rPr>
          <w:lang w:val="tr-TR"/>
        </w:rPr>
        <w:t xml:space="preserve"> tarafından </w:t>
      </w:r>
      <w:r w:rsidR="00284602" w:rsidRPr="00F16710">
        <w:rPr>
          <w:lang w:val="tr-TR"/>
        </w:rPr>
        <w:t>yapılmıştır.</w:t>
      </w:r>
      <w:r w:rsidR="00284602" w:rsidRPr="00F0557C">
        <w:rPr>
          <w:lang w:val="tr-TR"/>
        </w:rPr>
        <w:t xml:space="preserve"> </w:t>
      </w:r>
      <w:r w:rsidR="00FB69B7" w:rsidRPr="00F0557C">
        <w:rPr>
          <w:lang w:val="tr-TR"/>
        </w:rPr>
        <w:t xml:space="preserve"> </w:t>
      </w:r>
    </w:p>
    <w:p w14:paraId="5169BAD9" w14:textId="0D8E9712" w:rsidR="00214B6D" w:rsidRPr="00FC4D6A" w:rsidRDefault="00214B6D">
      <w:pPr>
        <w:pStyle w:val="FootnoteText"/>
        <w:rPr>
          <w:lang w:val="fr-FR"/>
        </w:rPr>
      </w:pPr>
    </w:p>
  </w:footnote>
  <w:footnote w:id="2">
    <w:p w14:paraId="1A417006" w14:textId="74999057" w:rsidR="00A30CD1" w:rsidRPr="00D51EF5" w:rsidRDefault="00A30CD1">
      <w:pPr>
        <w:pStyle w:val="FootnoteText"/>
        <w:rPr>
          <w:lang w:val="fr-FR"/>
        </w:rPr>
      </w:pPr>
      <w:r>
        <w:rPr>
          <w:rStyle w:val="FootnoteReference"/>
        </w:rPr>
        <w:footnoteRef/>
      </w:r>
      <w:r w:rsidRPr="00D51EF5">
        <w:rPr>
          <w:lang w:val="fr-FR"/>
        </w:rPr>
        <w:t xml:space="preserve"> </w:t>
      </w:r>
      <w:r w:rsidRPr="00040962">
        <w:rPr>
          <w:lang w:val="tr-TR"/>
        </w:rPr>
        <w:t xml:space="preserve"> </w:t>
      </w:r>
      <w:hyperlink r:id="rId1" w:history="1">
        <w:r w:rsidRPr="00040962">
          <w:rPr>
            <w:rStyle w:val="Hyperlink"/>
            <w:lang w:val="tr-TR"/>
          </w:rPr>
          <w:t>https://rm.coe.int/help-course-in-brief/168076c9b5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5A2175"/>
    <w:multiLevelType w:val="hybridMultilevel"/>
    <w:tmpl w:val="3022C3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B4A482"/>
    <w:multiLevelType w:val="hybridMultilevel"/>
    <w:tmpl w:val="706FF5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9303A"/>
    <w:multiLevelType w:val="hybridMultilevel"/>
    <w:tmpl w:val="DE9E0D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63DDBE"/>
    <w:multiLevelType w:val="hybridMultilevel"/>
    <w:tmpl w:val="DB2896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0B4C64"/>
    <w:multiLevelType w:val="hybridMultilevel"/>
    <w:tmpl w:val="CD02539A"/>
    <w:lvl w:ilvl="0" w:tplc="18D87652">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EB00075"/>
    <w:multiLevelType w:val="hybridMultilevel"/>
    <w:tmpl w:val="16062306"/>
    <w:lvl w:ilvl="0" w:tplc="B2669240">
      <w:start w:val="2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C72D105"/>
    <w:multiLevelType w:val="hybridMultilevel"/>
    <w:tmpl w:val="D5CD5B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81DBC18"/>
    <w:multiLevelType w:val="hybridMultilevel"/>
    <w:tmpl w:val="27423F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23B5986"/>
    <w:multiLevelType w:val="hybridMultilevel"/>
    <w:tmpl w:val="8852272A"/>
    <w:lvl w:ilvl="0" w:tplc="65388A78">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9CD7160"/>
    <w:multiLevelType w:val="hybridMultilevel"/>
    <w:tmpl w:val="9981F6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C49761C"/>
    <w:multiLevelType w:val="hybridMultilevel"/>
    <w:tmpl w:val="CFE2C3B6"/>
    <w:lvl w:ilvl="0" w:tplc="9C90E038">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36EF43"/>
    <w:multiLevelType w:val="hybridMultilevel"/>
    <w:tmpl w:val="B272C6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48D2AE9"/>
    <w:multiLevelType w:val="hybridMultilevel"/>
    <w:tmpl w:val="C34813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5CB7F91"/>
    <w:multiLevelType w:val="hybridMultilevel"/>
    <w:tmpl w:val="8DA9DE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
  </w:num>
  <w:num w:numId="3">
    <w:abstractNumId w:val="12"/>
  </w:num>
  <w:num w:numId="4">
    <w:abstractNumId w:val="1"/>
  </w:num>
  <w:num w:numId="5">
    <w:abstractNumId w:val="9"/>
  </w:num>
  <w:num w:numId="6">
    <w:abstractNumId w:val="7"/>
  </w:num>
  <w:num w:numId="7">
    <w:abstractNumId w:val="11"/>
  </w:num>
  <w:num w:numId="8">
    <w:abstractNumId w:val="0"/>
  </w:num>
  <w:num w:numId="9">
    <w:abstractNumId w:val="2"/>
  </w:num>
  <w:num w:numId="10">
    <w:abstractNumId w:val="6"/>
  </w:num>
  <w:num w:numId="11">
    <w:abstractNumId w:val="8"/>
  </w:num>
  <w:num w:numId="12">
    <w:abstractNumId w:val="4"/>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9B"/>
    <w:rsid w:val="00002105"/>
    <w:rsid w:val="00012DDA"/>
    <w:rsid w:val="00013719"/>
    <w:rsid w:val="0001530E"/>
    <w:rsid w:val="00035EA6"/>
    <w:rsid w:val="0003665F"/>
    <w:rsid w:val="00040962"/>
    <w:rsid w:val="00057654"/>
    <w:rsid w:val="00061B9D"/>
    <w:rsid w:val="000744E3"/>
    <w:rsid w:val="00080FDD"/>
    <w:rsid w:val="0008189D"/>
    <w:rsid w:val="000832E3"/>
    <w:rsid w:val="000845DB"/>
    <w:rsid w:val="00084A59"/>
    <w:rsid w:val="000A50B4"/>
    <w:rsid w:val="000B6BB1"/>
    <w:rsid w:val="000C6EE6"/>
    <w:rsid w:val="000E143A"/>
    <w:rsid w:val="000E18F9"/>
    <w:rsid w:val="000E1A5E"/>
    <w:rsid w:val="000F351C"/>
    <w:rsid w:val="000F6EFC"/>
    <w:rsid w:val="000F7902"/>
    <w:rsid w:val="001030B4"/>
    <w:rsid w:val="00113CBF"/>
    <w:rsid w:val="00124AFA"/>
    <w:rsid w:val="00134162"/>
    <w:rsid w:val="001375EB"/>
    <w:rsid w:val="001375EF"/>
    <w:rsid w:val="00163683"/>
    <w:rsid w:val="00171B65"/>
    <w:rsid w:val="001755DF"/>
    <w:rsid w:val="00191CF8"/>
    <w:rsid w:val="001A06C6"/>
    <w:rsid w:val="001A58AF"/>
    <w:rsid w:val="001D0E74"/>
    <w:rsid w:val="00214B6D"/>
    <w:rsid w:val="00222277"/>
    <w:rsid w:val="002322E8"/>
    <w:rsid w:val="002434FA"/>
    <w:rsid w:val="002525A2"/>
    <w:rsid w:val="00284602"/>
    <w:rsid w:val="002A4645"/>
    <w:rsid w:val="002C766C"/>
    <w:rsid w:val="002D5CEE"/>
    <w:rsid w:val="002D6C89"/>
    <w:rsid w:val="002E7873"/>
    <w:rsid w:val="0033603B"/>
    <w:rsid w:val="00340EA1"/>
    <w:rsid w:val="00343287"/>
    <w:rsid w:val="003555B5"/>
    <w:rsid w:val="00390740"/>
    <w:rsid w:val="003A11CE"/>
    <w:rsid w:val="003A3180"/>
    <w:rsid w:val="003A3866"/>
    <w:rsid w:val="0041712B"/>
    <w:rsid w:val="004249AB"/>
    <w:rsid w:val="004453EB"/>
    <w:rsid w:val="00447339"/>
    <w:rsid w:val="0045654E"/>
    <w:rsid w:val="00471EF0"/>
    <w:rsid w:val="00472902"/>
    <w:rsid w:val="00483979"/>
    <w:rsid w:val="00483A24"/>
    <w:rsid w:val="00494D44"/>
    <w:rsid w:val="004A3F5B"/>
    <w:rsid w:val="004B7B9D"/>
    <w:rsid w:val="004C3EBB"/>
    <w:rsid w:val="004C65F4"/>
    <w:rsid w:val="004D176F"/>
    <w:rsid w:val="004D78EC"/>
    <w:rsid w:val="004F107A"/>
    <w:rsid w:val="005048C8"/>
    <w:rsid w:val="005075FB"/>
    <w:rsid w:val="005202FC"/>
    <w:rsid w:val="005207F9"/>
    <w:rsid w:val="005328E8"/>
    <w:rsid w:val="00545FE7"/>
    <w:rsid w:val="00546EA3"/>
    <w:rsid w:val="00553768"/>
    <w:rsid w:val="005747A6"/>
    <w:rsid w:val="00574CEE"/>
    <w:rsid w:val="00577751"/>
    <w:rsid w:val="00580323"/>
    <w:rsid w:val="00584D54"/>
    <w:rsid w:val="00592B46"/>
    <w:rsid w:val="00596F35"/>
    <w:rsid w:val="005A1762"/>
    <w:rsid w:val="005B11C4"/>
    <w:rsid w:val="005D5F2F"/>
    <w:rsid w:val="005D5F66"/>
    <w:rsid w:val="005E0FA7"/>
    <w:rsid w:val="0063453C"/>
    <w:rsid w:val="0064444E"/>
    <w:rsid w:val="006521FD"/>
    <w:rsid w:val="00657D70"/>
    <w:rsid w:val="00663C95"/>
    <w:rsid w:val="00664C43"/>
    <w:rsid w:val="00667A1B"/>
    <w:rsid w:val="00693E70"/>
    <w:rsid w:val="006A6702"/>
    <w:rsid w:val="006B28B3"/>
    <w:rsid w:val="006C3EEF"/>
    <w:rsid w:val="006C5652"/>
    <w:rsid w:val="006E0741"/>
    <w:rsid w:val="006E0A8E"/>
    <w:rsid w:val="006E6913"/>
    <w:rsid w:val="006F0625"/>
    <w:rsid w:val="006F3267"/>
    <w:rsid w:val="00727A83"/>
    <w:rsid w:val="007563C4"/>
    <w:rsid w:val="00760BD0"/>
    <w:rsid w:val="007671AF"/>
    <w:rsid w:val="0077114B"/>
    <w:rsid w:val="0077524A"/>
    <w:rsid w:val="00775A94"/>
    <w:rsid w:val="00790618"/>
    <w:rsid w:val="0079118F"/>
    <w:rsid w:val="00792605"/>
    <w:rsid w:val="00793C3D"/>
    <w:rsid w:val="00794D9E"/>
    <w:rsid w:val="007A08FD"/>
    <w:rsid w:val="007C7175"/>
    <w:rsid w:val="007D0B32"/>
    <w:rsid w:val="007E5852"/>
    <w:rsid w:val="007F2809"/>
    <w:rsid w:val="007F662E"/>
    <w:rsid w:val="00834A13"/>
    <w:rsid w:val="00865B28"/>
    <w:rsid w:val="00865F8B"/>
    <w:rsid w:val="008B4B11"/>
    <w:rsid w:val="008B548D"/>
    <w:rsid w:val="008C24E1"/>
    <w:rsid w:val="008D7A83"/>
    <w:rsid w:val="008E0AAF"/>
    <w:rsid w:val="008F489F"/>
    <w:rsid w:val="009064ED"/>
    <w:rsid w:val="0091413A"/>
    <w:rsid w:val="009340B8"/>
    <w:rsid w:val="00941AE0"/>
    <w:rsid w:val="009617F6"/>
    <w:rsid w:val="00973536"/>
    <w:rsid w:val="009A3F75"/>
    <w:rsid w:val="009A4707"/>
    <w:rsid w:val="009A7D2F"/>
    <w:rsid w:val="009D0B13"/>
    <w:rsid w:val="009D2BFE"/>
    <w:rsid w:val="009D555B"/>
    <w:rsid w:val="009E504C"/>
    <w:rsid w:val="009F4D9D"/>
    <w:rsid w:val="00A007DA"/>
    <w:rsid w:val="00A064F6"/>
    <w:rsid w:val="00A30CD1"/>
    <w:rsid w:val="00A34638"/>
    <w:rsid w:val="00A405BB"/>
    <w:rsid w:val="00A4435F"/>
    <w:rsid w:val="00A852FF"/>
    <w:rsid w:val="00A907F0"/>
    <w:rsid w:val="00B122B8"/>
    <w:rsid w:val="00B148F2"/>
    <w:rsid w:val="00B20704"/>
    <w:rsid w:val="00B238B4"/>
    <w:rsid w:val="00B32935"/>
    <w:rsid w:val="00B35701"/>
    <w:rsid w:val="00B35A98"/>
    <w:rsid w:val="00B3794A"/>
    <w:rsid w:val="00B4130A"/>
    <w:rsid w:val="00B55DF9"/>
    <w:rsid w:val="00B6589C"/>
    <w:rsid w:val="00B676F5"/>
    <w:rsid w:val="00B95FCE"/>
    <w:rsid w:val="00BA427A"/>
    <w:rsid w:val="00BC5018"/>
    <w:rsid w:val="00BC54ED"/>
    <w:rsid w:val="00BE044B"/>
    <w:rsid w:val="00BE5262"/>
    <w:rsid w:val="00BF05C3"/>
    <w:rsid w:val="00C0748E"/>
    <w:rsid w:val="00C210DB"/>
    <w:rsid w:val="00C2595E"/>
    <w:rsid w:val="00C40E3F"/>
    <w:rsid w:val="00C770B2"/>
    <w:rsid w:val="00C852B6"/>
    <w:rsid w:val="00C86157"/>
    <w:rsid w:val="00CA5045"/>
    <w:rsid w:val="00CB2D24"/>
    <w:rsid w:val="00CC0826"/>
    <w:rsid w:val="00CD1B0F"/>
    <w:rsid w:val="00CD2731"/>
    <w:rsid w:val="00CD7701"/>
    <w:rsid w:val="00CE0CC5"/>
    <w:rsid w:val="00CE0E5F"/>
    <w:rsid w:val="00CE6734"/>
    <w:rsid w:val="00D34C3C"/>
    <w:rsid w:val="00D37798"/>
    <w:rsid w:val="00D51EF5"/>
    <w:rsid w:val="00D52591"/>
    <w:rsid w:val="00D607C1"/>
    <w:rsid w:val="00DD637B"/>
    <w:rsid w:val="00DD72A3"/>
    <w:rsid w:val="00DE01D2"/>
    <w:rsid w:val="00E11799"/>
    <w:rsid w:val="00E17D9C"/>
    <w:rsid w:val="00E25447"/>
    <w:rsid w:val="00E31676"/>
    <w:rsid w:val="00E456C3"/>
    <w:rsid w:val="00E47DC2"/>
    <w:rsid w:val="00E57E65"/>
    <w:rsid w:val="00E7513A"/>
    <w:rsid w:val="00E76C15"/>
    <w:rsid w:val="00E83102"/>
    <w:rsid w:val="00E9159B"/>
    <w:rsid w:val="00EC42AE"/>
    <w:rsid w:val="00EC785D"/>
    <w:rsid w:val="00F0557C"/>
    <w:rsid w:val="00F0640D"/>
    <w:rsid w:val="00F10F34"/>
    <w:rsid w:val="00F16710"/>
    <w:rsid w:val="00F56A1B"/>
    <w:rsid w:val="00F656E5"/>
    <w:rsid w:val="00F93178"/>
    <w:rsid w:val="00FB69B7"/>
    <w:rsid w:val="00FC4D6A"/>
    <w:rsid w:val="00FF68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76EF"/>
  <w15:docId w15:val="{58BB76FB-D2CC-4B87-A67E-32C953F5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1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3866"/>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8C24E1"/>
    <w:rPr>
      <w:color w:val="0563C1" w:themeColor="hyperlink"/>
      <w:u w:val="single"/>
    </w:rPr>
  </w:style>
  <w:style w:type="character" w:customStyle="1" w:styleId="UnresolvedMention1">
    <w:name w:val="Unresolved Mention1"/>
    <w:basedOn w:val="DefaultParagraphFont"/>
    <w:uiPriority w:val="99"/>
    <w:semiHidden/>
    <w:unhideWhenUsed/>
    <w:rsid w:val="008C24E1"/>
    <w:rPr>
      <w:color w:val="605E5C"/>
      <w:shd w:val="clear" w:color="auto" w:fill="E1DFDD"/>
    </w:rPr>
  </w:style>
  <w:style w:type="character" w:customStyle="1" w:styleId="tlid-translation">
    <w:name w:val="tlid-translation"/>
    <w:basedOn w:val="DefaultParagraphFont"/>
    <w:rsid w:val="00545FE7"/>
  </w:style>
  <w:style w:type="paragraph" w:styleId="ListParagraph">
    <w:name w:val="List Paragraph"/>
    <w:basedOn w:val="Normal"/>
    <w:uiPriority w:val="34"/>
    <w:qFormat/>
    <w:rsid w:val="00790618"/>
    <w:pPr>
      <w:ind w:left="720"/>
      <w:contextualSpacing/>
    </w:pPr>
  </w:style>
  <w:style w:type="paragraph" w:styleId="BalloonText">
    <w:name w:val="Balloon Text"/>
    <w:basedOn w:val="Normal"/>
    <w:link w:val="BalloonTextChar"/>
    <w:uiPriority w:val="99"/>
    <w:semiHidden/>
    <w:unhideWhenUsed/>
    <w:rsid w:val="00336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3B"/>
    <w:rPr>
      <w:rFonts w:ascii="Segoe UI" w:hAnsi="Segoe UI" w:cs="Segoe UI"/>
      <w:sz w:val="18"/>
      <w:szCs w:val="18"/>
    </w:rPr>
  </w:style>
  <w:style w:type="character" w:styleId="CommentReference">
    <w:name w:val="annotation reference"/>
    <w:basedOn w:val="DefaultParagraphFont"/>
    <w:uiPriority w:val="99"/>
    <w:semiHidden/>
    <w:unhideWhenUsed/>
    <w:rsid w:val="006E0741"/>
    <w:rPr>
      <w:sz w:val="16"/>
      <w:szCs w:val="16"/>
    </w:rPr>
  </w:style>
  <w:style w:type="paragraph" w:styleId="CommentText">
    <w:name w:val="annotation text"/>
    <w:basedOn w:val="Normal"/>
    <w:link w:val="CommentTextChar"/>
    <w:uiPriority w:val="99"/>
    <w:semiHidden/>
    <w:unhideWhenUsed/>
    <w:rsid w:val="006E0741"/>
    <w:rPr>
      <w:sz w:val="20"/>
      <w:szCs w:val="20"/>
    </w:rPr>
  </w:style>
  <w:style w:type="character" w:customStyle="1" w:styleId="CommentTextChar">
    <w:name w:val="Comment Text Char"/>
    <w:basedOn w:val="DefaultParagraphFont"/>
    <w:link w:val="CommentText"/>
    <w:uiPriority w:val="99"/>
    <w:semiHidden/>
    <w:rsid w:val="006E0741"/>
    <w:rPr>
      <w:sz w:val="20"/>
      <w:szCs w:val="20"/>
    </w:rPr>
  </w:style>
  <w:style w:type="paragraph" w:styleId="EndnoteText">
    <w:name w:val="endnote text"/>
    <w:basedOn w:val="Normal"/>
    <w:link w:val="EndnoteTextChar"/>
    <w:uiPriority w:val="99"/>
    <w:semiHidden/>
    <w:unhideWhenUsed/>
    <w:rsid w:val="00B35A98"/>
    <w:rPr>
      <w:sz w:val="20"/>
      <w:szCs w:val="20"/>
    </w:rPr>
  </w:style>
  <w:style w:type="character" w:customStyle="1" w:styleId="EndnoteTextChar">
    <w:name w:val="Endnote Text Char"/>
    <w:basedOn w:val="DefaultParagraphFont"/>
    <w:link w:val="EndnoteText"/>
    <w:uiPriority w:val="99"/>
    <w:semiHidden/>
    <w:rsid w:val="00B35A98"/>
    <w:rPr>
      <w:sz w:val="20"/>
      <w:szCs w:val="20"/>
    </w:rPr>
  </w:style>
  <w:style w:type="character" w:styleId="EndnoteReference">
    <w:name w:val="endnote reference"/>
    <w:basedOn w:val="DefaultParagraphFont"/>
    <w:uiPriority w:val="99"/>
    <w:semiHidden/>
    <w:unhideWhenUsed/>
    <w:rsid w:val="00B35A98"/>
    <w:rPr>
      <w:vertAlign w:val="superscript"/>
    </w:rPr>
  </w:style>
  <w:style w:type="paragraph" w:styleId="FootnoteText">
    <w:name w:val="footnote text"/>
    <w:basedOn w:val="Normal"/>
    <w:link w:val="FootnoteTextChar"/>
    <w:uiPriority w:val="99"/>
    <w:semiHidden/>
    <w:unhideWhenUsed/>
    <w:rsid w:val="00A30CD1"/>
    <w:rPr>
      <w:sz w:val="20"/>
      <w:szCs w:val="20"/>
    </w:rPr>
  </w:style>
  <w:style w:type="character" w:customStyle="1" w:styleId="FootnoteTextChar">
    <w:name w:val="Footnote Text Char"/>
    <w:basedOn w:val="DefaultParagraphFont"/>
    <w:link w:val="FootnoteText"/>
    <w:uiPriority w:val="99"/>
    <w:semiHidden/>
    <w:rsid w:val="00A30CD1"/>
    <w:rPr>
      <w:sz w:val="20"/>
      <w:szCs w:val="20"/>
    </w:rPr>
  </w:style>
  <w:style w:type="character" w:styleId="FootnoteReference">
    <w:name w:val="footnote reference"/>
    <w:basedOn w:val="DefaultParagraphFont"/>
    <w:uiPriority w:val="99"/>
    <w:semiHidden/>
    <w:unhideWhenUsed/>
    <w:rsid w:val="00A30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25162">
      <w:bodyDiv w:val="1"/>
      <w:marLeft w:val="0"/>
      <w:marRight w:val="0"/>
      <w:marTop w:val="0"/>
      <w:marBottom w:val="0"/>
      <w:divBdr>
        <w:top w:val="none" w:sz="0" w:space="0" w:color="auto"/>
        <w:left w:val="none" w:sz="0" w:space="0" w:color="auto"/>
        <w:bottom w:val="none" w:sz="0" w:space="0" w:color="auto"/>
        <w:right w:val="none" w:sz="0" w:space="0" w:color="auto"/>
      </w:divBdr>
    </w:div>
    <w:div w:id="404109945">
      <w:bodyDiv w:val="1"/>
      <w:marLeft w:val="0"/>
      <w:marRight w:val="0"/>
      <w:marTop w:val="0"/>
      <w:marBottom w:val="0"/>
      <w:divBdr>
        <w:top w:val="none" w:sz="0" w:space="0" w:color="auto"/>
        <w:left w:val="none" w:sz="0" w:space="0" w:color="auto"/>
        <w:bottom w:val="none" w:sz="0" w:space="0" w:color="auto"/>
        <w:right w:val="none" w:sz="0" w:space="0" w:color="auto"/>
      </w:divBdr>
    </w:div>
    <w:div w:id="833644179">
      <w:bodyDiv w:val="1"/>
      <w:marLeft w:val="0"/>
      <w:marRight w:val="0"/>
      <w:marTop w:val="0"/>
      <w:marBottom w:val="0"/>
      <w:divBdr>
        <w:top w:val="none" w:sz="0" w:space="0" w:color="auto"/>
        <w:left w:val="none" w:sz="0" w:space="0" w:color="auto"/>
        <w:bottom w:val="none" w:sz="0" w:space="0" w:color="auto"/>
        <w:right w:val="none" w:sz="0" w:space="0" w:color="auto"/>
      </w:divBdr>
    </w:div>
    <w:div w:id="949048776">
      <w:bodyDiv w:val="1"/>
      <w:marLeft w:val="0"/>
      <w:marRight w:val="0"/>
      <w:marTop w:val="0"/>
      <w:marBottom w:val="0"/>
      <w:divBdr>
        <w:top w:val="none" w:sz="0" w:space="0" w:color="auto"/>
        <w:left w:val="none" w:sz="0" w:space="0" w:color="auto"/>
        <w:bottom w:val="none" w:sz="0" w:space="0" w:color="auto"/>
        <w:right w:val="none" w:sz="0" w:space="0" w:color="auto"/>
      </w:divBdr>
    </w:div>
    <w:div w:id="1138568701">
      <w:bodyDiv w:val="1"/>
      <w:marLeft w:val="0"/>
      <w:marRight w:val="0"/>
      <w:marTop w:val="0"/>
      <w:marBottom w:val="0"/>
      <w:divBdr>
        <w:top w:val="none" w:sz="0" w:space="0" w:color="auto"/>
        <w:left w:val="none" w:sz="0" w:space="0" w:color="auto"/>
        <w:bottom w:val="none" w:sz="0" w:space="0" w:color="auto"/>
        <w:right w:val="none" w:sz="0" w:space="0" w:color="auto"/>
      </w:divBdr>
    </w:div>
    <w:div w:id="1280645165">
      <w:bodyDiv w:val="1"/>
      <w:marLeft w:val="0"/>
      <w:marRight w:val="0"/>
      <w:marTop w:val="0"/>
      <w:marBottom w:val="0"/>
      <w:divBdr>
        <w:top w:val="none" w:sz="0" w:space="0" w:color="auto"/>
        <w:left w:val="none" w:sz="0" w:space="0" w:color="auto"/>
        <w:bottom w:val="none" w:sz="0" w:space="0" w:color="auto"/>
        <w:right w:val="none" w:sz="0" w:space="0" w:color="auto"/>
      </w:divBdr>
    </w:div>
    <w:div w:id="1434587580">
      <w:bodyDiv w:val="1"/>
      <w:marLeft w:val="0"/>
      <w:marRight w:val="0"/>
      <w:marTop w:val="0"/>
      <w:marBottom w:val="0"/>
      <w:divBdr>
        <w:top w:val="none" w:sz="0" w:space="0" w:color="auto"/>
        <w:left w:val="none" w:sz="0" w:space="0" w:color="auto"/>
        <w:bottom w:val="none" w:sz="0" w:space="0" w:color="auto"/>
        <w:right w:val="none" w:sz="0" w:space="0" w:color="auto"/>
      </w:divBdr>
    </w:div>
    <w:div w:id="1437484629">
      <w:bodyDiv w:val="1"/>
      <w:marLeft w:val="0"/>
      <w:marRight w:val="0"/>
      <w:marTop w:val="0"/>
      <w:marBottom w:val="0"/>
      <w:divBdr>
        <w:top w:val="none" w:sz="0" w:space="0" w:color="auto"/>
        <w:left w:val="none" w:sz="0" w:space="0" w:color="auto"/>
        <w:bottom w:val="none" w:sz="0" w:space="0" w:color="auto"/>
        <w:right w:val="none" w:sz="0" w:space="0" w:color="auto"/>
      </w:divBdr>
    </w:div>
    <w:div w:id="1654338103">
      <w:bodyDiv w:val="1"/>
      <w:marLeft w:val="0"/>
      <w:marRight w:val="0"/>
      <w:marTop w:val="0"/>
      <w:marBottom w:val="0"/>
      <w:divBdr>
        <w:top w:val="none" w:sz="0" w:space="0" w:color="auto"/>
        <w:left w:val="none" w:sz="0" w:space="0" w:color="auto"/>
        <w:bottom w:val="none" w:sz="0" w:space="0" w:color="auto"/>
        <w:right w:val="none" w:sz="0" w:space="0" w:color="auto"/>
      </w:divBdr>
    </w:div>
    <w:div w:id="1773865370">
      <w:bodyDiv w:val="1"/>
      <w:marLeft w:val="0"/>
      <w:marRight w:val="0"/>
      <w:marTop w:val="0"/>
      <w:marBottom w:val="0"/>
      <w:divBdr>
        <w:top w:val="none" w:sz="0" w:space="0" w:color="auto"/>
        <w:left w:val="none" w:sz="0" w:space="0" w:color="auto"/>
        <w:bottom w:val="none" w:sz="0" w:space="0" w:color="auto"/>
        <w:right w:val="none" w:sz="0" w:space="0" w:color="auto"/>
      </w:divBdr>
    </w:div>
    <w:div w:id="20438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help-course-in-brief/168076c9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D551E-6DBD-4231-B9B2-B80C13F4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 candas</dc:creator>
  <cp:keywords/>
  <dc:description/>
  <cp:lastModifiedBy>PAPILA Serkan</cp:lastModifiedBy>
  <cp:revision>2</cp:revision>
  <cp:lastPrinted>2020-05-08T12:52:00Z</cp:lastPrinted>
  <dcterms:created xsi:type="dcterms:W3CDTF">2020-06-02T13:20:00Z</dcterms:created>
  <dcterms:modified xsi:type="dcterms:W3CDTF">2020-06-02T13:20:00Z</dcterms:modified>
</cp:coreProperties>
</file>