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C263D" w14:textId="44369729" w:rsidR="00323465" w:rsidRDefault="0033055F" w:rsidP="00206C8E">
      <w:pPr>
        <w:ind w:left="720" w:hanging="720"/>
        <w:rPr>
          <w:rFonts w:cs="Arial"/>
          <w:b/>
          <w:bCs/>
          <w:color w:val="2F618F"/>
          <w:sz w:val="24"/>
        </w:rPr>
      </w:pPr>
      <w:r w:rsidRPr="00EA2FEC">
        <w:rPr>
          <w:rFonts w:cs="Arial"/>
          <w:b/>
          <w:bCs/>
          <w:noProof/>
          <w:sz w:val="22"/>
          <w:lang w:val="en-US"/>
        </w:rPr>
        <w:drawing>
          <wp:anchor distT="0" distB="0" distL="114300" distR="114300" simplePos="0" relativeHeight="251659264" behindDoc="1" locked="0" layoutInCell="1" allowOverlap="1" wp14:anchorId="3BE36DFF" wp14:editId="4774747D">
            <wp:simplePos x="0" y="0"/>
            <wp:positionH relativeFrom="column">
              <wp:posOffset>4410075</wp:posOffset>
            </wp:positionH>
            <wp:positionV relativeFrom="paragraph">
              <wp:posOffset>-442595</wp:posOffset>
            </wp:positionV>
            <wp:extent cx="1331595" cy="1064260"/>
            <wp:effectExtent l="0" t="0" r="0" b="0"/>
            <wp:wrapThrough wrapText="bothSides">
              <wp:wrapPolygon edited="0">
                <wp:start x="1545" y="1160"/>
                <wp:lineTo x="1545" y="20105"/>
                <wp:lineTo x="20086" y="20105"/>
                <wp:lineTo x="20086" y="1160"/>
                <wp:lineTo x="1545" y="1160"/>
              </wp:wrapPolygon>
            </wp:wrapThrough>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1595" cy="1064260"/>
                    </a:xfrm>
                    <a:prstGeom prst="rect">
                      <a:avLst/>
                    </a:prstGeom>
                  </pic:spPr>
                </pic:pic>
              </a:graphicData>
            </a:graphic>
            <wp14:sizeRelH relativeFrom="page">
              <wp14:pctWidth>0</wp14:pctWidth>
            </wp14:sizeRelH>
            <wp14:sizeRelV relativeFrom="page">
              <wp14:pctHeight>0</wp14:pctHeight>
            </wp14:sizeRelV>
          </wp:anchor>
        </w:drawing>
      </w:r>
    </w:p>
    <w:p w14:paraId="69BEB8CB" w14:textId="77777777" w:rsidR="00323465" w:rsidRDefault="00323465" w:rsidP="00206C8E">
      <w:pPr>
        <w:ind w:left="720" w:hanging="720"/>
        <w:rPr>
          <w:rFonts w:cs="Arial"/>
          <w:b/>
          <w:bCs/>
          <w:color w:val="2F618F"/>
          <w:sz w:val="24"/>
        </w:rPr>
      </w:pPr>
    </w:p>
    <w:p w14:paraId="21DB340D" w14:textId="5F3334AE" w:rsidR="00206C8E" w:rsidRPr="00323465" w:rsidRDefault="00323465" w:rsidP="00206C8E">
      <w:pPr>
        <w:ind w:left="720" w:hanging="720"/>
        <w:rPr>
          <w:rFonts w:cs="Arial"/>
          <w:b/>
          <w:bCs/>
          <w:color w:val="2F618F"/>
          <w:sz w:val="24"/>
        </w:rPr>
      </w:pPr>
      <w:r w:rsidRPr="00323465">
        <w:rPr>
          <w:rFonts w:cs="Arial"/>
          <w:b/>
          <w:bCs/>
          <w:color w:val="2F618F"/>
          <w:sz w:val="24"/>
        </w:rPr>
        <w:t>www.coe.int/cybercrime</w:t>
      </w:r>
    </w:p>
    <w:p w14:paraId="78F18445" w14:textId="77777777" w:rsidR="00206C8E" w:rsidRDefault="00206C8E" w:rsidP="00206C8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27"/>
        <w:gridCol w:w="4527"/>
      </w:tblGrid>
      <w:tr w:rsidR="00F644A3" w:rsidRPr="00021BE2" w14:paraId="3F469E75" w14:textId="77777777" w:rsidTr="00F644A3">
        <w:tc>
          <w:tcPr>
            <w:tcW w:w="4527" w:type="dxa"/>
          </w:tcPr>
          <w:p w14:paraId="18A87451" w14:textId="480716BC" w:rsidR="00F644A3" w:rsidRPr="00021BE2" w:rsidRDefault="00F644A3" w:rsidP="00385EB1">
            <w:pPr>
              <w:rPr>
                <w:lang w:val="fr-FR"/>
              </w:rPr>
            </w:pPr>
            <w:r w:rsidRPr="00021BE2">
              <w:rPr>
                <w:lang w:val="fr-FR"/>
              </w:rPr>
              <w:t xml:space="preserve">Strasbourg, </w:t>
            </w:r>
            <w:r w:rsidR="00F9093C" w:rsidRPr="00021BE2">
              <w:rPr>
                <w:lang w:val="fr-FR"/>
              </w:rPr>
              <w:t>15</w:t>
            </w:r>
            <w:r w:rsidR="00AD30C9" w:rsidRPr="00021BE2">
              <w:rPr>
                <w:lang w:val="fr-FR"/>
              </w:rPr>
              <w:t xml:space="preserve"> s</w:t>
            </w:r>
            <w:r w:rsidR="00F752F7" w:rsidRPr="00021BE2">
              <w:rPr>
                <w:lang w:val="fr-FR"/>
              </w:rPr>
              <w:t>eptemb</w:t>
            </w:r>
            <w:r w:rsidR="00AD30C9" w:rsidRPr="00021BE2">
              <w:rPr>
                <w:lang w:val="fr-FR"/>
              </w:rPr>
              <w:t xml:space="preserve">re </w:t>
            </w:r>
            <w:r w:rsidR="00F752F7" w:rsidRPr="00021BE2">
              <w:rPr>
                <w:lang w:val="fr-FR"/>
              </w:rPr>
              <w:t>2016</w:t>
            </w:r>
          </w:p>
          <w:p w14:paraId="646C53CF" w14:textId="2BB4EF59" w:rsidR="00A1244E" w:rsidRPr="00021BE2" w:rsidRDefault="00A1244E" w:rsidP="00385EB1">
            <w:pPr>
              <w:rPr>
                <w:lang w:val="fr-FR"/>
              </w:rPr>
            </w:pPr>
          </w:p>
        </w:tc>
        <w:tc>
          <w:tcPr>
            <w:tcW w:w="4527" w:type="dxa"/>
          </w:tcPr>
          <w:p w14:paraId="2AD81912" w14:textId="2DBAF98D" w:rsidR="00F644A3" w:rsidRPr="00021BE2" w:rsidRDefault="00F644A3" w:rsidP="00021BE2">
            <w:pPr>
              <w:jc w:val="right"/>
              <w:rPr>
                <w:lang w:val="fr-FR"/>
              </w:rPr>
            </w:pPr>
            <w:r w:rsidRPr="00021BE2">
              <w:rPr>
                <w:lang w:val="fr-FR"/>
              </w:rPr>
              <w:t>T-CY (201</w:t>
            </w:r>
            <w:r w:rsidR="00F752F7" w:rsidRPr="00021BE2">
              <w:rPr>
                <w:lang w:val="fr-FR"/>
              </w:rPr>
              <w:t>6</w:t>
            </w:r>
            <w:r w:rsidRPr="00021BE2">
              <w:rPr>
                <w:lang w:val="fr-FR"/>
              </w:rPr>
              <w:t>)</w:t>
            </w:r>
            <w:r w:rsidR="00F752F7" w:rsidRPr="00021BE2">
              <w:rPr>
                <w:lang w:val="fr-FR"/>
              </w:rPr>
              <w:t>27</w:t>
            </w:r>
            <w:r w:rsidR="00021BE2">
              <w:rPr>
                <w:lang w:val="fr-FR"/>
              </w:rPr>
              <w:t>F</w:t>
            </w:r>
            <w:r w:rsidR="00E80A91" w:rsidRPr="00021BE2">
              <w:rPr>
                <w:lang w:val="fr-FR"/>
              </w:rPr>
              <w:t xml:space="preserve"> </w:t>
            </w:r>
          </w:p>
        </w:tc>
      </w:tr>
    </w:tbl>
    <w:p w14:paraId="1339BCF5" w14:textId="6ADF6541" w:rsidR="00206C8E" w:rsidRPr="00021BE2" w:rsidRDefault="00206C8E" w:rsidP="00517E26">
      <w:pPr>
        <w:tabs>
          <w:tab w:val="left" w:pos="6120"/>
        </w:tabs>
        <w:rPr>
          <w:b/>
          <w:sz w:val="22"/>
          <w:szCs w:val="22"/>
          <w:lang w:val="fr-FR"/>
        </w:rPr>
      </w:pPr>
      <w:r w:rsidRPr="00021BE2">
        <w:rPr>
          <w:lang w:val="fr-FR"/>
        </w:rPr>
        <w:tab/>
      </w:r>
    </w:p>
    <w:p w14:paraId="2912BD4D" w14:textId="77777777" w:rsidR="00206C8E" w:rsidRPr="00021BE2" w:rsidRDefault="00206C8E" w:rsidP="00BA3544">
      <w:pPr>
        <w:spacing w:line="360" w:lineRule="auto"/>
        <w:jc w:val="center"/>
        <w:outlineLvl w:val="0"/>
        <w:rPr>
          <w:b/>
          <w:color w:val="595959" w:themeColor="text1" w:themeTint="A6"/>
          <w:sz w:val="22"/>
          <w:szCs w:val="22"/>
          <w:lang w:val="fr-FR"/>
        </w:rPr>
      </w:pPr>
      <w:r w:rsidRPr="00021BE2">
        <w:rPr>
          <w:b/>
          <w:color w:val="595959" w:themeColor="text1" w:themeTint="A6"/>
          <w:sz w:val="22"/>
          <w:szCs w:val="22"/>
          <w:lang w:val="fr-FR"/>
        </w:rPr>
        <w:t xml:space="preserve">Cybercrime Convention </w:t>
      </w:r>
      <w:proofErr w:type="spellStart"/>
      <w:r w:rsidRPr="00021BE2">
        <w:rPr>
          <w:b/>
          <w:color w:val="595959" w:themeColor="text1" w:themeTint="A6"/>
          <w:sz w:val="22"/>
          <w:szCs w:val="22"/>
          <w:lang w:val="fr-FR"/>
        </w:rPr>
        <w:t>Committee</w:t>
      </w:r>
      <w:proofErr w:type="spellEnd"/>
      <w:r w:rsidRPr="00021BE2">
        <w:rPr>
          <w:b/>
          <w:color w:val="595959" w:themeColor="text1" w:themeTint="A6"/>
          <w:sz w:val="22"/>
          <w:szCs w:val="22"/>
          <w:lang w:val="fr-FR"/>
        </w:rPr>
        <w:t xml:space="preserve"> (T-CY)</w:t>
      </w:r>
    </w:p>
    <w:p w14:paraId="5D8B9926" w14:textId="77777777" w:rsidR="00BA3544" w:rsidRPr="00021BE2" w:rsidRDefault="00BA3544" w:rsidP="00BA3544">
      <w:pPr>
        <w:spacing w:line="360" w:lineRule="auto"/>
        <w:jc w:val="center"/>
        <w:rPr>
          <w:b/>
          <w:szCs w:val="18"/>
          <w:lang w:val="fr-FR"/>
        </w:rPr>
      </w:pPr>
    </w:p>
    <w:p w14:paraId="260B4680" w14:textId="694A8B8A" w:rsidR="00206C8E" w:rsidRPr="00426585" w:rsidRDefault="00AD30C9" w:rsidP="00BA3544">
      <w:pPr>
        <w:spacing w:line="360" w:lineRule="auto"/>
        <w:jc w:val="center"/>
        <w:rPr>
          <w:b/>
          <w:sz w:val="17"/>
          <w:szCs w:val="17"/>
          <w:lang w:val="fr-FR"/>
        </w:rPr>
      </w:pPr>
      <w:r w:rsidRPr="00426585">
        <w:rPr>
          <w:b/>
          <w:sz w:val="17"/>
          <w:szCs w:val="17"/>
          <w:lang w:val="fr-FR"/>
        </w:rPr>
        <w:t xml:space="preserve">Evaluation des dispositions </w:t>
      </w:r>
      <w:r w:rsidR="00021BE2" w:rsidRPr="00426585">
        <w:rPr>
          <w:b/>
          <w:sz w:val="17"/>
          <w:szCs w:val="17"/>
          <w:lang w:val="fr-FR"/>
        </w:rPr>
        <w:t>relatives à</w:t>
      </w:r>
      <w:r w:rsidRPr="00426585">
        <w:rPr>
          <w:b/>
          <w:sz w:val="17"/>
          <w:szCs w:val="17"/>
          <w:lang w:val="fr-FR"/>
        </w:rPr>
        <w:t xml:space="preserve"> l’entraide judiciaire de la Convention de Budapest </w:t>
      </w:r>
    </w:p>
    <w:p w14:paraId="4F7F33F9" w14:textId="77777777" w:rsidR="00BA3544" w:rsidRPr="00021BE2" w:rsidRDefault="00BA3544" w:rsidP="00BA3544">
      <w:pPr>
        <w:spacing w:line="360" w:lineRule="auto"/>
        <w:jc w:val="center"/>
        <w:rPr>
          <w:b/>
          <w:szCs w:val="18"/>
          <w:lang w:val="fr-FR"/>
        </w:rPr>
      </w:pPr>
    </w:p>
    <w:p w14:paraId="7699A24E" w14:textId="5835E23F" w:rsidR="008D28F3" w:rsidRPr="00426585" w:rsidRDefault="00BA3544" w:rsidP="00BA3544">
      <w:pPr>
        <w:spacing w:line="360" w:lineRule="auto"/>
        <w:jc w:val="center"/>
        <w:rPr>
          <w:b/>
          <w:sz w:val="20"/>
          <w:szCs w:val="20"/>
          <w:lang w:val="fr-FR"/>
        </w:rPr>
      </w:pPr>
      <w:r w:rsidRPr="00426585">
        <w:rPr>
          <w:b/>
          <w:sz w:val="20"/>
          <w:szCs w:val="20"/>
          <w:lang w:val="fr-FR"/>
        </w:rPr>
        <w:t>Questionnaire</w:t>
      </w:r>
      <w:r w:rsidR="00AD30C9" w:rsidRPr="00426585">
        <w:rPr>
          <w:b/>
          <w:sz w:val="20"/>
          <w:szCs w:val="20"/>
          <w:lang w:val="fr-FR"/>
        </w:rPr>
        <w:t xml:space="preserve"> sur le suivi donné par les Parties sur les recommandations relatives à l’entraide judiciaire, adoptées en décembre 2014</w:t>
      </w:r>
    </w:p>
    <w:p w14:paraId="2E4805DE" w14:textId="77777777" w:rsidR="0033055F" w:rsidRPr="00021BE2" w:rsidRDefault="0033055F">
      <w:pPr>
        <w:rPr>
          <w:lang w:val="fr-FR"/>
        </w:rPr>
      </w:pPr>
    </w:p>
    <w:p w14:paraId="1C15F1BD" w14:textId="1D6551FB" w:rsidR="00CC2131" w:rsidRPr="00021BE2" w:rsidRDefault="00AD30C9" w:rsidP="004437F1">
      <w:pPr>
        <w:pBdr>
          <w:top w:val="single" w:sz="4" w:space="1" w:color="auto"/>
          <w:left w:val="single" w:sz="4" w:space="4" w:color="auto"/>
          <w:bottom w:val="single" w:sz="4" w:space="1" w:color="auto"/>
          <w:right w:val="single" w:sz="4" w:space="4" w:color="auto"/>
        </w:pBdr>
        <w:rPr>
          <w:sz w:val="17"/>
          <w:szCs w:val="17"/>
          <w:u w:val="single"/>
          <w:lang w:val="fr-FR"/>
        </w:rPr>
      </w:pPr>
      <w:r w:rsidRPr="00021BE2">
        <w:rPr>
          <w:b/>
          <w:sz w:val="17"/>
          <w:szCs w:val="17"/>
          <w:lang w:val="fr-FR"/>
        </w:rPr>
        <w:t>Contexte</w:t>
      </w:r>
      <w:r w:rsidR="0098786F" w:rsidRPr="00021BE2">
        <w:rPr>
          <w:sz w:val="17"/>
          <w:szCs w:val="17"/>
          <w:lang w:val="fr-FR"/>
        </w:rPr>
        <w:t>:</w:t>
      </w:r>
    </w:p>
    <w:p w14:paraId="10E79C35" w14:textId="77777777" w:rsidR="0098786F" w:rsidRPr="00021BE2" w:rsidRDefault="0098786F" w:rsidP="004437F1">
      <w:pPr>
        <w:pBdr>
          <w:top w:val="single" w:sz="4" w:space="1" w:color="auto"/>
          <w:left w:val="single" w:sz="4" w:space="4" w:color="auto"/>
          <w:bottom w:val="single" w:sz="4" w:space="1" w:color="auto"/>
          <w:right w:val="single" w:sz="4" w:space="4" w:color="auto"/>
        </w:pBdr>
        <w:rPr>
          <w:sz w:val="17"/>
          <w:szCs w:val="17"/>
          <w:lang w:val="fr-FR"/>
        </w:rPr>
      </w:pPr>
    </w:p>
    <w:p w14:paraId="4BB20803" w14:textId="6D5BB6FD" w:rsidR="0004448A" w:rsidRPr="00021BE2" w:rsidRDefault="00AD30C9" w:rsidP="004437F1">
      <w:pPr>
        <w:pBdr>
          <w:top w:val="single" w:sz="4" w:space="1" w:color="auto"/>
          <w:left w:val="single" w:sz="4" w:space="4" w:color="auto"/>
          <w:bottom w:val="single" w:sz="4" w:space="1" w:color="auto"/>
          <w:right w:val="single" w:sz="4" w:space="4" w:color="auto"/>
        </w:pBdr>
        <w:rPr>
          <w:sz w:val="17"/>
          <w:szCs w:val="17"/>
          <w:lang w:val="fr-FR"/>
        </w:rPr>
      </w:pPr>
      <w:r w:rsidRPr="00021BE2">
        <w:rPr>
          <w:sz w:val="17"/>
          <w:szCs w:val="17"/>
          <w:lang w:val="fr-FR"/>
        </w:rPr>
        <w:t xml:space="preserve">L’objet de ce questionnaire est de permettre à la plénière du T-CY d’examiner le suivi donné par les Parties à la Convention de Budapest sur les </w:t>
      </w:r>
      <w:hyperlink r:id="rId10" w:history="1">
        <w:r w:rsidRPr="00021BE2">
          <w:rPr>
            <w:rStyle w:val="Hyperlink"/>
            <w:sz w:val="17"/>
            <w:szCs w:val="17"/>
            <w:lang w:val="fr-FR"/>
          </w:rPr>
          <w:t>recommandations relatives à l’entraide judiciaire</w:t>
        </w:r>
      </w:hyperlink>
      <w:r w:rsidRPr="00021BE2">
        <w:rPr>
          <w:sz w:val="17"/>
          <w:szCs w:val="17"/>
          <w:lang w:val="fr-FR"/>
        </w:rPr>
        <w:t xml:space="preserve"> adoptées par le T-CY en décembre 2014. </w:t>
      </w:r>
      <w:r w:rsidR="0004448A" w:rsidRPr="00021BE2">
        <w:rPr>
          <w:sz w:val="17"/>
          <w:szCs w:val="17"/>
          <w:lang w:val="fr-FR"/>
        </w:rPr>
        <w:t xml:space="preserve">The T-CY </w:t>
      </w:r>
      <w:r w:rsidR="003A00F1" w:rsidRPr="00021BE2">
        <w:rPr>
          <w:sz w:val="17"/>
          <w:szCs w:val="17"/>
          <w:lang w:val="fr-FR"/>
        </w:rPr>
        <w:t>avait conclu</w:t>
      </w:r>
      <w:r w:rsidR="0004448A" w:rsidRPr="00021BE2">
        <w:rPr>
          <w:sz w:val="17"/>
          <w:szCs w:val="17"/>
          <w:lang w:val="fr-FR"/>
        </w:rPr>
        <w:t>:</w:t>
      </w:r>
    </w:p>
    <w:p w14:paraId="07EA4977" w14:textId="77777777" w:rsidR="0004448A" w:rsidRPr="00021BE2" w:rsidRDefault="0004448A" w:rsidP="004437F1">
      <w:pPr>
        <w:pBdr>
          <w:top w:val="single" w:sz="4" w:space="1" w:color="auto"/>
          <w:left w:val="single" w:sz="4" w:space="4" w:color="auto"/>
          <w:bottom w:val="single" w:sz="4" w:space="1" w:color="auto"/>
          <w:right w:val="single" w:sz="4" w:space="4" w:color="auto"/>
        </w:pBdr>
        <w:rPr>
          <w:sz w:val="17"/>
          <w:szCs w:val="17"/>
          <w:lang w:val="fr-FR"/>
        </w:rPr>
      </w:pPr>
    </w:p>
    <w:p w14:paraId="30524BC8" w14:textId="522B9799" w:rsidR="0004448A" w:rsidRPr="00021BE2" w:rsidRDefault="00817F16" w:rsidP="0004448A">
      <w:pPr>
        <w:pBdr>
          <w:top w:val="single" w:sz="4" w:space="1" w:color="auto"/>
          <w:left w:val="single" w:sz="4" w:space="4" w:color="auto"/>
          <w:bottom w:val="single" w:sz="4" w:space="1" w:color="auto"/>
          <w:right w:val="single" w:sz="4" w:space="4" w:color="auto"/>
        </w:pBdr>
        <w:rPr>
          <w:sz w:val="17"/>
          <w:szCs w:val="17"/>
          <w:lang w:val="fr-FR"/>
        </w:rPr>
      </w:pPr>
      <w:r w:rsidRPr="00021BE2">
        <w:rPr>
          <w:sz w:val="17"/>
          <w:szCs w:val="17"/>
          <w:lang w:val="fr-FR"/>
        </w:rPr>
        <w:t xml:space="preserve">“Les Parties sont invitées à donner suite aux recommandations relevant de la responsabilité des autorités nationales et à rendre compte au T-CY dans les 18 mois suivant l’adoption du </w:t>
      </w:r>
      <w:r w:rsidR="00E61510" w:rsidRPr="00021BE2">
        <w:rPr>
          <w:sz w:val="17"/>
          <w:szCs w:val="17"/>
          <w:lang w:val="fr-FR"/>
        </w:rPr>
        <w:t>présent</w:t>
      </w:r>
      <w:r w:rsidRPr="00021BE2">
        <w:rPr>
          <w:sz w:val="17"/>
          <w:szCs w:val="17"/>
          <w:lang w:val="fr-FR"/>
        </w:rPr>
        <w:t xml:space="preserve"> rapport sur les mesures prises, afin de permettre aux règles de procédure (article 2.1.g), d’examiner les progrès accomplis. »</w:t>
      </w:r>
    </w:p>
    <w:p w14:paraId="6031F938" w14:textId="77777777" w:rsidR="0004448A" w:rsidRPr="00021BE2" w:rsidRDefault="0004448A" w:rsidP="0004448A">
      <w:pPr>
        <w:pBdr>
          <w:top w:val="single" w:sz="4" w:space="1" w:color="auto"/>
          <w:left w:val="single" w:sz="4" w:space="4" w:color="auto"/>
          <w:bottom w:val="single" w:sz="4" w:space="1" w:color="auto"/>
          <w:right w:val="single" w:sz="4" w:space="4" w:color="auto"/>
        </w:pBdr>
        <w:rPr>
          <w:sz w:val="17"/>
          <w:szCs w:val="17"/>
          <w:lang w:val="fr-FR"/>
        </w:rPr>
      </w:pPr>
    </w:p>
    <w:p w14:paraId="331F8293" w14:textId="6D63B646" w:rsidR="00D41104" w:rsidRPr="00021BE2" w:rsidRDefault="00817F16" w:rsidP="00D41104">
      <w:pPr>
        <w:pBdr>
          <w:top w:val="single" w:sz="4" w:space="1" w:color="auto"/>
          <w:left w:val="single" w:sz="4" w:space="4" w:color="auto"/>
          <w:bottom w:val="single" w:sz="4" w:space="1" w:color="auto"/>
          <w:right w:val="single" w:sz="4" w:space="4" w:color="auto"/>
        </w:pBdr>
        <w:rPr>
          <w:sz w:val="17"/>
          <w:szCs w:val="17"/>
          <w:lang w:val="fr-FR"/>
        </w:rPr>
      </w:pPr>
      <w:r w:rsidRPr="00021BE2">
        <w:rPr>
          <w:sz w:val="17"/>
          <w:szCs w:val="17"/>
          <w:lang w:val="fr-FR"/>
        </w:rPr>
        <w:t>Les recommandations 1 à 15 sont considérées comme « relevant de la responsabilité des autorités nationales »</w:t>
      </w:r>
      <w:r w:rsidR="00090928" w:rsidRPr="00021BE2">
        <w:rPr>
          <w:sz w:val="17"/>
          <w:szCs w:val="17"/>
          <w:lang w:val="fr-FR"/>
        </w:rPr>
        <w:t xml:space="preserve">. Il est </w:t>
      </w:r>
      <w:r w:rsidR="00D536F6" w:rsidRPr="00021BE2">
        <w:rPr>
          <w:sz w:val="17"/>
          <w:szCs w:val="17"/>
          <w:lang w:val="fr-FR"/>
        </w:rPr>
        <w:t>rappelé</w:t>
      </w:r>
      <w:r w:rsidR="00090928" w:rsidRPr="00021BE2">
        <w:rPr>
          <w:sz w:val="17"/>
          <w:szCs w:val="17"/>
          <w:lang w:val="fr-FR"/>
        </w:rPr>
        <w:t xml:space="preserve"> que concernant la recommandation 8 (sur les procédures d’urgences), le T-CY a documenté les pratiques des Parties et fournisseurs en Mai 2016 </w:t>
      </w:r>
      <w:r w:rsidR="00E61510" w:rsidRPr="00021BE2">
        <w:rPr>
          <w:sz w:val="17"/>
          <w:szCs w:val="17"/>
          <w:lang w:val="fr-FR"/>
        </w:rPr>
        <w:t>(</w:t>
      </w:r>
      <w:r w:rsidR="00D41104" w:rsidRPr="00021BE2">
        <w:rPr>
          <w:sz w:val="17"/>
          <w:szCs w:val="17"/>
          <w:lang w:val="fr-FR"/>
        </w:rPr>
        <w:t xml:space="preserve">document </w:t>
      </w:r>
      <w:hyperlink r:id="rId11" w:history="1">
        <w:r w:rsidR="00D41104" w:rsidRPr="00021BE2">
          <w:rPr>
            <w:rStyle w:val="Hyperlink"/>
            <w:sz w:val="17"/>
            <w:szCs w:val="17"/>
            <w:lang w:val="fr-FR"/>
          </w:rPr>
          <w:t>T-CY(2016)13</w:t>
        </w:r>
      </w:hyperlink>
      <w:r w:rsidR="00D41104" w:rsidRPr="00021BE2">
        <w:rPr>
          <w:sz w:val="17"/>
          <w:szCs w:val="17"/>
          <w:lang w:val="fr-FR"/>
        </w:rPr>
        <w:t>).</w:t>
      </w:r>
    </w:p>
    <w:p w14:paraId="0E915BD2" w14:textId="48FC691F" w:rsidR="0098786F" w:rsidRPr="00021BE2" w:rsidRDefault="0098786F" w:rsidP="00BA3544">
      <w:pPr>
        <w:pBdr>
          <w:top w:val="single" w:sz="4" w:space="1" w:color="auto"/>
          <w:left w:val="single" w:sz="4" w:space="4" w:color="auto"/>
          <w:bottom w:val="single" w:sz="4" w:space="1" w:color="auto"/>
          <w:right w:val="single" w:sz="4" w:space="4" w:color="auto"/>
        </w:pBdr>
        <w:rPr>
          <w:sz w:val="17"/>
          <w:szCs w:val="17"/>
          <w:lang w:val="fr-FR"/>
        </w:rPr>
      </w:pPr>
    </w:p>
    <w:p w14:paraId="1F61EDC5" w14:textId="58F04156" w:rsidR="00D41104" w:rsidRPr="00021BE2" w:rsidRDefault="00426585" w:rsidP="00BA3544">
      <w:pPr>
        <w:pBdr>
          <w:top w:val="single" w:sz="4" w:space="1" w:color="auto"/>
          <w:left w:val="single" w:sz="4" w:space="4" w:color="auto"/>
          <w:bottom w:val="single" w:sz="4" w:space="1" w:color="auto"/>
          <w:right w:val="single" w:sz="4" w:space="4" w:color="auto"/>
        </w:pBdr>
        <w:rPr>
          <w:sz w:val="17"/>
          <w:szCs w:val="17"/>
          <w:lang w:val="fr-FR"/>
        </w:rPr>
      </w:pPr>
      <w:hyperlink r:id="rId12" w:history="1">
        <w:r w:rsidR="00D41104" w:rsidRPr="00021BE2">
          <w:rPr>
            <w:rStyle w:val="Hyperlink"/>
            <w:sz w:val="17"/>
            <w:szCs w:val="17"/>
            <w:lang w:val="fr-FR"/>
          </w:rPr>
          <w:t>T-CY 15 (Ma</w:t>
        </w:r>
        <w:r w:rsidR="00D536F6" w:rsidRPr="00021BE2">
          <w:rPr>
            <w:rStyle w:val="Hyperlink"/>
            <w:sz w:val="17"/>
            <w:szCs w:val="17"/>
            <w:lang w:val="fr-FR"/>
          </w:rPr>
          <w:t>i</w:t>
        </w:r>
        <w:r w:rsidR="00D41104" w:rsidRPr="00021BE2">
          <w:rPr>
            <w:rStyle w:val="Hyperlink"/>
            <w:sz w:val="17"/>
            <w:szCs w:val="17"/>
            <w:lang w:val="fr-FR"/>
          </w:rPr>
          <w:t xml:space="preserve"> 2016) </w:t>
        </w:r>
        <w:r w:rsidR="00D536F6" w:rsidRPr="00021BE2">
          <w:rPr>
            <w:rStyle w:val="Hyperlink"/>
            <w:sz w:val="17"/>
            <w:szCs w:val="17"/>
            <w:lang w:val="fr-FR"/>
          </w:rPr>
          <w:t>a  décidé</w:t>
        </w:r>
        <w:r w:rsidR="00D41104" w:rsidRPr="00021BE2">
          <w:rPr>
            <w:rStyle w:val="Hyperlink"/>
            <w:sz w:val="17"/>
            <w:szCs w:val="17"/>
            <w:lang w:val="fr-FR"/>
          </w:rPr>
          <w:t>:</w:t>
        </w:r>
      </w:hyperlink>
      <w:r w:rsidR="00D41104" w:rsidRPr="00021BE2">
        <w:rPr>
          <w:sz w:val="17"/>
          <w:szCs w:val="17"/>
          <w:lang w:val="fr-FR"/>
        </w:rPr>
        <w:t xml:space="preserve"> </w:t>
      </w:r>
    </w:p>
    <w:p w14:paraId="0AEB64A1" w14:textId="41D43BAF" w:rsidR="00D41104" w:rsidRPr="00021BE2" w:rsidRDefault="00D41104" w:rsidP="00961B63">
      <w:pPr>
        <w:pBdr>
          <w:top w:val="single" w:sz="4" w:space="1" w:color="auto"/>
          <w:left w:val="single" w:sz="4" w:space="4" w:color="auto"/>
          <w:bottom w:val="single" w:sz="4" w:space="1" w:color="auto"/>
          <w:right w:val="single" w:sz="4" w:space="4" w:color="auto"/>
        </w:pBdr>
        <w:rPr>
          <w:sz w:val="17"/>
          <w:szCs w:val="17"/>
          <w:lang w:val="fr-FR"/>
        </w:rPr>
      </w:pPr>
      <w:r w:rsidRPr="00021BE2">
        <w:rPr>
          <w:sz w:val="17"/>
          <w:szCs w:val="17"/>
          <w:lang w:val="fr-FR"/>
        </w:rPr>
        <w:t>“</w:t>
      </w:r>
      <w:r w:rsidR="00961B63" w:rsidRPr="00021BE2">
        <w:rPr>
          <w:sz w:val="17"/>
          <w:szCs w:val="17"/>
          <w:lang w:val="fr-FR"/>
        </w:rPr>
        <w:t>d’inviter le Bureau à élaborer et le Secrétariat à diffuser une demande d’informations sur le suivi donné aux Recommandations 1-7 et 9-15 du rapport d’évaluation en matière d’entraide judiciaire, ainsi qu’à la Recommandation 16 sur les délais de conservation des données informatiques ;</w:t>
      </w:r>
      <w:r w:rsidRPr="00021BE2">
        <w:rPr>
          <w:sz w:val="17"/>
          <w:szCs w:val="17"/>
          <w:lang w:val="fr-FR"/>
        </w:rPr>
        <w:t>.”</w:t>
      </w:r>
    </w:p>
    <w:p w14:paraId="797C4EEB" w14:textId="77777777" w:rsidR="0098786F" w:rsidRPr="00021BE2" w:rsidRDefault="0098786F" w:rsidP="004437F1">
      <w:pPr>
        <w:pBdr>
          <w:top w:val="single" w:sz="4" w:space="1" w:color="auto"/>
          <w:left w:val="single" w:sz="4" w:space="4" w:color="auto"/>
          <w:bottom w:val="single" w:sz="4" w:space="1" w:color="auto"/>
          <w:right w:val="single" w:sz="4" w:space="4" w:color="auto"/>
        </w:pBdr>
        <w:rPr>
          <w:sz w:val="17"/>
          <w:szCs w:val="17"/>
          <w:lang w:val="fr-FR"/>
        </w:rPr>
      </w:pPr>
    </w:p>
    <w:p w14:paraId="30EC8016" w14:textId="6C24B36B" w:rsidR="0098786F" w:rsidRPr="00021BE2" w:rsidRDefault="00961B63" w:rsidP="004437F1">
      <w:pPr>
        <w:pBdr>
          <w:top w:val="single" w:sz="4" w:space="1" w:color="auto"/>
          <w:left w:val="single" w:sz="4" w:space="4" w:color="auto"/>
          <w:bottom w:val="single" w:sz="4" w:space="1" w:color="auto"/>
          <w:right w:val="single" w:sz="4" w:space="4" w:color="auto"/>
        </w:pBdr>
        <w:rPr>
          <w:sz w:val="17"/>
          <w:szCs w:val="17"/>
          <w:u w:val="single"/>
          <w:lang w:val="fr-FR"/>
        </w:rPr>
      </w:pPr>
      <w:r w:rsidRPr="00021BE2">
        <w:rPr>
          <w:b/>
          <w:sz w:val="17"/>
          <w:szCs w:val="17"/>
          <w:lang w:val="fr-FR"/>
        </w:rPr>
        <w:t xml:space="preserve">Mise en </w:t>
      </w:r>
      <w:r w:rsidR="00E61510" w:rsidRPr="00021BE2">
        <w:rPr>
          <w:b/>
          <w:sz w:val="17"/>
          <w:szCs w:val="17"/>
          <w:lang w:val="fr-FR"/>
        </w:rPr>
        <w:t>œuvre</w:t>
      </w:r>
      <w:r w:rsidR="0098786F" w:rsidRPr="00021BE2">
        <w:rPr>
          <w:b/>
          <w:sz w:val="17"/>
          <w:szCs w:val="17"/>
          <w:lang w:val="fr-FR"/>
        </w:rPr>
        <w:t>:</w:t>
      </w:r>
    </w:p>
    <w:p w14:paraId="7BFAA96D" w14:textId="77777777" w:rsidR="0098786F" w:rsidRPr="00021BE2" w:rsidRDefault="0098786F" w:rsidP="004437F1">
      <w:pPr>
        <w:pBdr>
          <w:top w:val="single" w:sz="4" w:space="1" w:color="auto"/>
          <w:left w:val="single" w:sz="4" w:space="4" w:color="auto"/>
          <w:bottom w:val="single" w:sz="4" w:space="1" w:color="auto"/>
          <w:right w:val="single" w:sz="4" w:space="4" w:color="auto"/>
        </w:pBdr>
        <w:rPr>
          <w:sz w:val="17"/>
          <w:szCs w:val="17"/>
          <w:lang w:val="fr-FR"/>
        </w:rPr>
      </w:pPr>
    </w:p>
    <w:p w14:paraId="5A42A7D8" w14:textId="3BB0082E" w:rsidR="0098786F" w:rsidRPr="00021BE2" w:rsidRDefault="00961B63" w:rsidP="004437F1">
      <w:pPr>
        <w:pBdr>
          <w:top w:val="single" w:sz="4" w:space="1" w:color="auto"/>
          <w:left w:val="single" w:sz="4" w:space="4" w:color="auto"/>
          <w:bottom w:val="single" w:sz="4" w:space="1" w:color="auto"/>
          <w:right w:val="single" w:sz="4" w:space="4" w:color="auto"/>
        </w:pBdr>
        <w:rPr>
          <w:sz w:val="17"/>
          <w:szCs w:val="17"/>
          <w:lang w:val="fr-FR"/>
        </w:rPr>
      </w:pPr>
      <w:r w:rsidRPr="00021BE2">
        <w:rPr>
          <w:sz w:val="17"/>
          <w:szCs w:val="17"/>
          <w:u w:val="single"/>
          <w:lang w:val="fr-FR"/>
        </w:rPr>
        <w:t xml:space="preserve">Les représentants du </w:t>
      </w:r>
      <w:r w:rsidR="0098786F" w:rsidRPr="00021BE2">
        <w:rPr>
          <w:sz w:val="17"/>
          <w:szCs w:val="17"/>
          <w:u w:val="single"/>
          <w:lang w:val="fr-FR"/>
        </w:rPr>
        <w:t>T-CY</w:t>
      </w:r>
      <w:r w:rsidR="0098786F" w:rsidRPr="00021BE2">
        <w:rPr>
          <w:sz w:val="17"/>
          <w:szCs w:val="17"/>
          <w:lang w:val="fr-FR"/>
        </w:rPr>
        <w:t xml:space="preserve"> </w:t>
      </w:r>
      <w:r w:rsidR="00D8037D" w:rsidRPr="00021BE2">
        <w:rPr>
          <w:sz w:val="17"/>
          <w:szCs w:val="17"/>
          <w:lang w:val="fr-FR"/>
        </w:rPr>
        <w:t xml:space="preserve"> sont invités à préparer/ compiler une synthèse des réponses à ce questionnaire  provenant de leurs pays respectifs</w:t>
      </w:r>
      <w:r w:rsidR="0098786F" w:rsidRPr="00021BE2">
        <w:rPr>
          <w:sz w:val="17"/>
          <w:szCs w:val="17"/>
          <w:lang w:val="fr-FR"/>
        </w:rPr>
        <w:t>.</w:t>
      </w:r>
    </w:p>
    <w:p w14:paraId="4A2DDD03" w14:textId="77777777" w:rsidR="0098786F" w:rsidRPr="00021BE2" w:rsidRDefault="0098786F" w:rsidP="004437F1">
      <w:pPr>
        <w:pBdr>
          <w:top w:val="single" w:sz="4" w:space="1" w:color="auto"/>
          <w:left w:val="single" w:sz="4" w:space="4" w:color="auto"/>
          <w:bottom w:val="single" w:sz="4" w:space="1" w:color="auto"/>
          <w:right w:val="single" w:sz="4" w:space="4" w:color="auto"/>
        </w:pBdr>
        <w:rPr>
          <w:sz w:val="17"/>
          <w:szCs w:val="17"/>
          <w:lang w:val="fr-FR"/>
        </w:rPr>
      </w:pPr>
    </w:p>
    <w:p w14:paraId="5C84AA3C" w14:textId="3617CA84" w:rsidR="00344323" w:rsidRPr="00021BE2" w:rsidRDefault="00D8037D" w:rsidP="004437F1">
      <w:pPr>
        <w:pBdr>
          <w:top w:val="single" w:sz="4" w:space="1" w:color="auto"/>
          <w:left w:val="single" w:sz="4" w:space="4" w:color="auto"/>
          <w:bottom w:val="single" w:sz="4" w:space="1" w:color="auto"/>
          <w:right w:val="single" w:sz="4" w:space="4" w:color="auto"/>
        </w:pBdr>
        <w:rPr>
          <w:sz w:val="17"/>
          <w:szCs w:val="17"/>
          <w:lang w:val="fr-FR"/>
        </w:rPr>
      </w:pPr>
      <w:r w:rsidRPr="00021BE2">
        <w:rPr>
          <w:sz w:val="17"/>
          <w:szCs w:val="17"/>
          <w:lang w:val="fr-FR"/>
        </w:rPr>
        <w:t xml:space="preserve">Les réponses devraient être soumises </w:t>
      </w:r>
      <w:r w:rsidR="00E61510" w:rsidRPr="00021BE2">
        <w:rPr>
          <w:sz w:val="17"/>
          <w:szCs w:val="17"/>
          <w:lang w:val="fr-FR"/>
        </w:rPr>
        <w:t>au plus tard</w:t>
      </w:r>
      <w:r w:rsidRPr="00021BE2">
        <w:rPr>
          <w:sz w:val="17"/>
          <w:szCs w:val="17"/>
          <w:lang w:val="fr-FR"/>
        </w:rPr>
        <w:t xml:space="preserve"> </w:t>
      </w:r>
      <w:r w:rsidRPr="00021BE2">
        <w:rPr>
          <w:b/>
          <w:sz w:val="17"/>
          <w:szCs w:val="17"/>
          <w:u w:val="single"/>
          <w:lang w:val="fr-FR"/>
        </w:rPr>
        <w:t>le 21 octobre 2016</w:t>
      </w:r>
      <w:r w:rsidRPr="00021BE2">
        <w:rPr>
          <w:sz w:val="17"/>
          <w:szCs w:val="17"/>
          <w:lang w:val="fr-FR"/>
        </w:rPr>
        <w:t xml:space="preserve"> en format électronique en anglais ou en français: </w:t>
      </w:r>
    </w:p>
    <w:p w14:paraId="68839A15" w14:textId="77777777" w:rsidR="00344323" w:rsidRPr="00021BE2" w:rsidRDefault="00344323" w:rsidP="004437F1">
      <w:pPr>
        <w:pBdr>
          <w:top w:val="single" w:sz="4" w:space="1" w:color="auto"/>
          <w:left w:val="single" w:sz="4" w:space="4" w:color="auto"/>
          <w:bottom w:val="single" w:sz="4" w:space="1" w:color="auto"/>
          <w:right w:val="single" w:sz="4" w:space="4" w:color="auto"/>
        </w:pBdr>
        <w:rPr>
          <w:sz w:val="17"/>
          <w:szCs w:val="17"/>
          <w:lang w:val="fr-FR"/>
        </w:rPr>
      </w:pPr>
    </w:p>
    <w:p w14:paraId="1BBB131D" w14:textId="160C082C" w:rsidR="00344323" w:rsidRPr="00021BE2" w:rsidRDefault="00344323" w:rsidP="00224F27">
      <w:pPr>
        <w:pBdr>
          <w:top w:val="single" w:sz="4" w:space="1" w:color="auto"/>
          <w:left w:val="single" w:sz="4" w:space="4" w:color="auto"/>
          <w:bottom w:val="single" w:sz="4" w:space="1" w:color="auto"/>
          <w:right w:val="single" w:sz="4" w:space="4" w:color="auto"/>
        </w:pBdr>
        <w:rPr>
          <w:sz w:val="17"/>
          <w:szCs w:val="17"/>
          <w:lang w:val="fr-FR"/>
        </w:rPr>
      </w:pPr>
      <w:r w:rsidRPr="00021BE2">
        <w:rPr>
          <w:sz w:val="17"/>
          <w:szCs w:val="17"/>
          <w:lang w:val="fr-FR"/>
        </w:rPr>
        <w:t xml:space="preserve">Alexander Seger, </w:t>
      </w:r>
      <w:r w:rsidR="00D8037D" w:rsidRPr="00021BE2">
        <w:rPr>
          <w:sz w:val="17"/>
          <w:szCs w:val="17"/>
          <w:lang w:val="fr-FR"/>
        </w:rPr>
        <w:t>Secrétaire exécutif du Comité de la Convention sur la cybercriminalité du Conseil de l’Europe</w:t>
      </w:r>
      <w:r w:rsidRPr="00021BE2">
        <w:rPr>
          <w:sz w:val="17"/>
          <w:szCs w:val="17"/>
          <w:lang w:val="fr-FR"/>
        </w:rPr>
        <w:t xml:space="preserve"> Email: </w:t>
      </w:r>
      <w:r w:rsidRPr="00021BE2">
        <w:rPr>
          <w:sz w:val="17"/>
          <w:szCs w:val="17"/>
          <w:lang w:val="fr-FR"/>
        </w:rPr>
        <w:tab/>
      </w:r>
      <w:hyperlink r:id="rId13" w:history="1">
        <w:r w:rsidRPr="00021BE2">
          <w:rPr>
            <w:rStyle w:val="Hyperlink"/>
            <w:b/>
            <w:sz w:val="17"/>
            <w:szCs w:val="17"/>
            <w:lang w:val="fr-FR"/>
          </w:rPr>
          <w:t>alexander.seger@coe.int</w:t>
        </w:r>
      </w:hyperlink>
    </w:p>
    <w:p w14:paraId="72D90032" w14:textId="77777777" w:rsidR="00344323" w:rsidRPr="00021BE2" w:rsidRDefault="00344323" w:rsidP="004437F1">
      <w:pPr>
        <w:pBdr>
          <w:top w:val="single" w:sz="4" w:space="1" w:color="auto"/>
          <w:left w:val="single" w:sz="4" w:space="4" w:color="auto"/>
          <w:bottom w:val="single" w:sz="4" w:space="1" w:color="auto"/>
          <w:right w:val="single" w:sz="4" w:space="4" w:color="auto"/>
        </w:pBdr>
        <w:rPr>
          <w:sz w:val="17"/>
          <w:szCs w:val="17"/>
          <w:lang w:val="fr-FR"/>
        </w:rPr>
      </w:pPr>
    </w:p>
    <w:p w14:paraId="4239CDDF" w14:textId="6BD8235E" w:rsidR="00D00EC6" w:rsidRPr="00021BE2" w:rsidRDefault="00E61510" w:rsidP="00E61510">
      <w:pPr>
        <w:pBdr>
          <w:top w:val="single" w:sz="4" w:space="1" w:color="auto"/>
          <w:left w:val="single" w:sz="4" w:space="4" w:color="auto"/>
          <w:bottom w:val="single" w:sz="4" w:space="1" w:color="auto"/>
          <w:right w:val="single" w:sz="4" w:space="4" w:color="auto"/>
        </w:pBdr>
        <w:tabs>
          <w:tab w:val="left" w:pos="2127"/>
        </w:tabs>
        <w:rPr>
          <w:rFonts w:cs="Arial"/>
          <w:b/>
          <w:bCs/>
          <w:kern w:val="32"/>
          <w:sz w:val="22"/>
          <w:szCs w:val="32"/>
          <w:lang w:val="fr-FR"/>
        </w:rPr>
      </w:pPr>
      <w:r w:rsidRPr="00021BE2">
        <w:rPr>
          <w:sz w:val="17"/>
          <w:szCs w:val="17"/>
          <w:lang w:val="fr-FR"/>
        </w:rPr>
        <w:t>Le Bureau fournira un aperçu initial lors de la 16</w:t>
      </w:r>
      <w:r w:rsidRPr="00021BE2">
        <w:rPr>
          <w:sz w:val="17"/>
          <w:szCs w:val="17"/>
          <w:vertAlign w:val="superscript"/>
          <w:lang w:val="fr-FR"/>
        </w:rPr>
        <w:t>ème</w:t>
      </w:r>
      <w:r w:rsidRPr="00021BE2">
        <w:rPr>
          <w:sz w:val="17"/>
          <w:szCs w:val="17"/>
          <w:lang w:val="fr-FR"/>
        </w:rPr>
        <w:t xml:space="preserve"> Plénière du T-CY (novembre 2016</w:t>
      </w:r>
      <w:r w:rsidR="00D00EC6" w:rsidRPr="00021BE2">
        <w:rPr>
          <w:sz w:val="17"/>
          <w:szCs w:val="17"/>
          <w:lang w:val="fr-FR"/>
        </w:rPr>
        <w:t xml:space="preserve">), </w:t>
      </w:r>
      <w:r w:rsidR="00CD23AB" w:rsidRPr="00021BE2">
        <w:rPr>
          <w:sz w:val="17"/>
          <w:szCs w:val="17"/>
          <w:lang w:val="fr-FR"/>
        </w:rPr>
        <w:t>ainsi qu’</w:t>
      </w:r>
      <w:r w:rsidRPr="00021BE2">
        <w:rPr>
          <w:sz w:val="17"/>
          <w:szCs w:val="17"/>
          <w:lang w:val="fr-FR"/>
        </w:rPr>
        <w:t xml:space="preserve">un rapport provisoire complet pour </w:t>
      </w:r>
      <w:r w:rsidR="00021BE2">
        <w:rPr>
          <w:sz w:val="17"/>
          <w:szCs w:val="17"/>
          <w:lang w:val="fr-FR"/>
        </w:rPr>
        <w:t xml:space="preserve">le </w:t>
      </w:r>
      <w:r w:rsidRPr="00021BE2">
        <w:rPr>
          <w:sz w:val="17"/>
          <w:szCs w:val="17"/>
          <w:lang w:val="fr-FR"/>
        </w:rPr>
        <w:t>printemps 2017 pour examen par la 17</w:t>
      </w:r>
      <w:r w:rsidRPr="00021BE2">
        <w:rPr>
          <w:sz w:val="17"/>
          <w:szCs w:val="17"/>
          <w:vertAlign w:val="superscript"/>
          <w:lang w:val="fr-FR"/>
        </w:rPr>
        <w:t>ème</w:t>
      </w:r>
      <w:r w:rsidR="00CD23AB" w:rsidRPr="00021BE2">
        <w:rPr>
          <w:sz w:val="17"/>
          <w:szCs w:val="17"/>
          <w:lang w:val="fr-FR"/>
        </w:rPr>
        <w:t xml:space="preserve"> Plénière du T-CY (mi</w:t>
      </w:r>
      <w:r w:rsidRPr="00021BE2">
        <w:rPr>
          <w:sz w:val="17"/>
          <w:szCs w:val="17"/>
          <w:lang w:val="fr-FR"/>
        </w:rPr>
        <w:t>-2017).</w:t>
      </w:r>
      <w:r w:rsidRPr="00021BE2">
        <w:rPr>
          <w:lang w:val="fr-FR"/>
        </w:rPr>
        <w:t xml:space="preserve"> </w:t>
      </w:r>
      <w:r w:rsidR="00D00EC6" w:rsidRPr="00021BE2">
        <w:rPr>
          <w:lang w:val="fr-FR"/>
        </w:rPr>
        <w:br w:type="page"/>
      </w:r>
      <w:bookmarkStart w:id="0" w:name="_GoBack"/>
      <w:bookmarkEnd w:id="0"/>
    </w:p>
    <w:p w14:paraId="3E9BC2B9" w14:textId="40FE824F" w:rsidR="00EE55FB" w:rsidRPr="00021BE2" w:rsidRDefault="004B418C" w:rsidP="00BA3544">
      <w:pPr>
        <w:rPr>
          <w:b/>
          <w:lang w:val="fr-FR"/>
        </w:rPr>
      </w:pPr>
      <w:r w:rsidRPr="00021BE2">
        <w:rPr>
          <w:b/>
          <w:lang w:val="fr-FR"/>
        </w:rPr>
        <w:lastRenderedPageBreak/>
        <w:t xml:space="preserve">Question 1: </w:t>
      </w:r>
      <w:r w:rsidR="00CD23AB" w:rsidRPr="00021BE2">
        <w:rPr>
          <w:b/>
          <w:lang w:val="fr-FR"/>
        </w:rPr>
        <w:t>Veuillez fournir des informations concernant les mesures prises ou concernant les développements pertinents relatifs au suivi des recommandations. Veuillez ajouter toutes informations supplémentaires que vous jugerez utiles.</w:t>
      </w:r>
    </w:p>
    <w:p w14:paraId="7889FD75" w14:textId="77777777" w:rsidR="00345494" w:rsidRPr="00021BE2" w:rsidRDefault="00345494">
      <w:pPr>
        <w:rPr>
          <w:lang w:val="fr-FR"/>
        </w:rPr>
      </w:pPr>
    </w:p>
    <w:tbl>
      <w:tblPr>
        <w:tblStyle w:val="TableGrid"/>
        <w:tblW w:w="8926" w:type="dxa"/>
        <w:tblLayout w:type="fixed"/>
        <w:tblLook w:val="04A0" w:firstRow="1" w:lastRow="0" w:firstColumn="1" w:lastColumn="0" w:noHBand="0" w:noVBand="1"/>
      </w:tblPr>
      <w:tblGrid>
        <w:gridCol w:w="8926"/>
      </w:tblGrid>
      <w:tr w:rsidR="001708CB" w:rsidRPr="00426585" w14:paraId="65C2DAB2" w14:textId="77777777" w:rsidTr="0043060A">
        <w:tc>
          <w:tcPr>
            <w:tcW w:w="8926" w:type="dxa"/>
            <w:shd w:val="clear" w:color="auto" w:fill="D9D9D9" w:themeFill="background1" w:themeFillShade="D9"/>
          </w:tcPr>
          <w:p w14:paraId="09CD0FC4" w14:textId="13B600A0" w:rsidR="00B1149E" w:rsidRPr="00021BE2" w:rsidRDefault="00B1149E" w:rsidP="00B1149E">
            <w:pPr>
              <w:pStyle w:val="Reclist"/>
              <w:rPr>
                <w:lang w:val="fr-FR"/>
              </w:rPr>
            </w:pPr>
            <w:r w:rsidRPr="00021BE2">
              <w:rPr>
                <w:rFonts w:cs="Verdana"/>
                <w:lang w:val="fr-FR"/>
              </w:rPr>
              <w:t>Les Parties devraient pleinement mett</w:t>
            </w:r>
            <w:r w:rsidRPr="00021BE2">
              <w:rPr>
                <w:lang w:val="fr-FR"/>
              </w:rPr>
              <w:t>re et appliquer les dispositions de la Convention</w:t>
            </w:r>
          </w:p>
          <w:p w14:paraId="7DB00BD5" w14:textId="11D0AF7C" w:rsidR="001708CB" w:rsidRPr="00021BE2" w:rsidRDefault="00B1149E" w:rsidP="00D33E85">
            <w:pPr>
              <w:pStyle w:val="Reclist"/>
              <w:numPr>
                <w:ilvl w:val="0"/>
                <w:numId w:val="0"/>
              </w:numPr>
              <w:ind w:left="851"/>
              <w:rPr>
                <w:lang w:val="fr-FR"/>
              </w:rPr>
            </w:pPr>
            <w:r w:rsidRPr="00021BE2">
              <w:rPr>
                <w:lang w:val="fr-FR"/>
              </w:rPr>
              <w:t>de Budapest sur la cybercriminalité, y compris les pouvoirs en matière de conservation (suite au</w:t>
            </w:r>
            <w:r w:rsidR="00D33E85" w:rsidRPr="00021BE2">
              <w:rPr>
                <w:lang w:val="fr-FR"/>
              </w:rPr>
              <w:t xml:space="preserve"> rapport d’évaluation de 2012 du T</w:t>
            </w:r>
            <w:r w:rsidRPr="00021BE2">
              <w:rPr>
                <w:lang w:val="fr-FR"/>
              </w:rPr>
              <w:t xml:space="preserve">-CY). </w:t>
            </w:r>
          </w:p>
        </w:tc>
      </w:tr>
      <w:tr w:rsidR="001708CB" w:rsidRPr="00021BE2" w14:paraId="59B384DE" w14:textId="77777777" w:rsidTr="008A1AD8">
        <w:tc>
          <w:tcPr>
            <w:tcW w:w="8926" w:type="dxa"/>
          </w:tcPr>
          <w:p w14:paraId="6FA7CB93" w14:textId="5198638F" w:rsidR="001708CB" w:rsidRPr="00021BE2" w:rsidRDefault="00B1149E" w:rsidP="001708CB">
            <w:pPr>
              <w:rPr>
                <w:lang w:val="fr-FR"/>
              </w:rPr>
            </w:pPr>
            <w:r w:rsidRPr="00021BE2">
              <w:rPr>
                <w:lang w:val="fr-FR"/>
              </w:rPr>
              <w:t>Mesures prises</w:t>
            </w:r>
            <w:r w:rsidR="0043060A" w:rsidRPr="00021BE2">
              <w:rPr>
                <w:lang w:val="fr-FR"/>
              </w:rPr>
              <w:t>/</w:t>
            </w:r>
            <w:r w:rsidRPr="00021BE2">
              <w:rPr>
                <w:lang w:val="fr-FR"/>
              </w:rPr>
              <w:t xml:space="preserve"> développements pertinents</w:t>
            </w:r>
            <w:r w:rsidR="0043060A" w:rsidRPr="00021BE2">
              <w:rPr>
                <w:lang w:val="fr-FR"/>
              </w:rPr>
              <w:t>:</w:t>
            </w:r>
          </w:p>
          <w:p w14:paraId="54AB799B" w14:textId="77777777" w:rsidR="0043060A" w:rsidRPr="00021BE2" w:rsidRDefault="0043060A" w:rsidP="001708CB">
            <w:pPr>
              <w:rPr>
                <w:lang w:val="fr-FR"/>
              </w:rPr>
            </w:pPr>
          </w:p>
          <w:p w14:paraId="3D4D4DEE" w14:textId="1F252922" w:rsidR="00323465" w:rsidRPr="00021BE2" w:rsidRDefault="00323465" w:rsidP="001708CB">
            <w:pPr>
              <w:rPr>
                <w:lang w:val="fr-FR"/>
              </w:rPr>
            </w:pPr>
          </w:p>
        </w:tc>
      </w:tr>
      <w:tr w:rsidR="001708CB" w:rsidRPr="00426585" w14:paraId="2223376B" w14:textId="77777777" w:rsidTr="0043060A">
        <w:tc>
          <w:tcPr>
            <w:tcW w:w="8926" w:type="dxa"/>
            <w:shd w:val="clear" w:color="auto" w:fill="D9D9D9" w:themeFill="background1" w:themeFillShade="D9"/>
          </w:tcPr>
          <w:p w14:paraId="3EECEBEA" w14:textId="529DA003" w:rsidR="001708CB" w:rsidRPr="00021BE2" w:rsidRDefault="00D33E85" w:rsidP="00D33E85">
            <w:pPr>
              <w:pStyle w:val="Reclist"/>
              <w:rPr>
                <w:lang w:val="fr-FR"/>
              </w:rPr>
            </w:pPr>
            <w:r w:rsidRPr="00021BE2">
              <w:rPr>
                <w:rFonts w:cs="Verdana"/>
                <w:lang w:val="fr-FR"/>
              </w:rPr>
              <w:t>Les Parties devraient envisage</w:t>
            </w:r>
            <w:r w:rsidR="00021BE2">
              <w:rPr>
                <w:rFonts w:cs="Verdana"/>
                <w:lang w:val="fr-FR"/>
              </w:rPr>
              <w:t>r</w:t>
            </w:r>
            <w:r w:rsidRPr="00021BE2">
              <w:rPr>
                <w:rFonts w:cs="Verdana"/>
                <w:lang w:val="fr-FR"/>
              </w:rPr>
              <w:t xml:space="preserve"> de tenir des statistiques ou d’établir d’autres mécanismes pour suivre l’efficience du processus d’entraide en ce qui concerne la cybercriminalité et </w:t>
            </w:r>
            <w:r w:rsidR="00021BE2">
              <w:rPr>
                <w:rFonts w:cs="Verdana"/>
                <w:lang w:val="fr-FR"/>
              </w:rPr>
              <w:t>l</w:t>
            </w:r>
            <w:r w:rsidRPr="00021BE2">
              <w:rPr>
                <w:rFonts w:cs="Verdana"/>
                <w:lang w:val="fr-FR"/>
              </w:rPr>
              <w:t>es preuves électroniques</w:t>
            </w:r>
          </w:p>
        </w:tc>
      </w:tr>
      <w:tr w:rsidR="0043060A" w:rsidRPr="00021BE2" w14:paraId="233A288E" w14:textId="77777777" w:rsidTr="008A1AD8">
        <w:tc>
          <w:tcPr>
            <w:tcW w:w="8926" w:type="dxa"/>
          </w:tcPr>
          <w:p w14:paraId="638CADD1" w14:textId="130DB8BC" w:rsidR="0043060A" w:rsidRPr="00021BE2" w:rsidRDefault="00B1149E" w:rsidP="008A1AD8">
            <w:pPr>
              <w:rPr>
                <w:lang w:val="fr-FR"/>
              </w:rPr>
            </w:pPr>
            <w:r w:rsidRPr="00021BE2">
              <w:rPr>
                <w:lang w:val="fr-FR"/>
              </w:rPr>
              <w:t>Mesures prises/ développements pertinents:</w:t>
            </w:r>
          </w:p>
          <w:p w14:paraId="51651DFA" w14:textId="77777777" w:rsidR="0043060A" w:rsidRPr="00021BE2" w:rsidRDefault="0043060A" w:rsidP="008A1AD8">
            <w:pPr>
              <w:rPr>
                <w:lang w:val="fr-FR"/>
              </w:rPr>
            </w:pPr>
          </w:p>
          <w:p w14:paraId="26F5152D" w14:textId="77777777" w:rsidR="00323465" w:rsidRPr="00021BE2" w:rsidRDefault="00323465" w:rsidP="008A1AD8">
            <w:pPr>
              <w:rPr>
                <w:lang w:val="fr-FR"/>
              </w:rPr>
            </w:pPr>
          </w:p>
        </w:tc>
      </w:tr>
      <w:tr w:rsidR="001708CB" w:rsidRPr="00426585" w14:paraId="711522F5" w14:textId="77777777" w:rsidTr="0043060A">
        <w:tc>
          <w:tcPr>
            <w:tcW w:w="8926" w:type="dxa"/>
            <w:shd w:val="clear" w:color="auto" w:fill="D9D9D9" w:themeFill="background1" w:themeFillShade="D9"/>
          </w:tcPr>
          <w:p w14:paraId="6832B40F" w14:textId="04108330" w:rsidR="00D33E85" w:rsidRPr="00021BE2" w:rsidRDefault="00D33E85" w:rsidP="00D33E85">
            <w:pPr>
              <w:pStyle w:val="Reclist"/>
              <w:rPr>
                <w:lang w:val="fr-FR"/>
              </w:rPr>
            </w:pPr>
            <w:r w:rsidRPr="00021BE2">
              <w:rPr>
                <w:rFonts w:cs="Verdana"/>
                <w:lang w:val="fr-FR"/>
              </w:rPr>
              <w:t>Les Parties devraient envisage</w:t>
            </w:r>
            <w:r w:rsidR="00021BE2">
              <w:rPr>
                <w:rFonts w:cs="Verdana"/>
                <w:lang w:val="fr-FR"/>
              </w:rPr>
              <w:t>r</w:t>
            </w:r>
            <w:r w:rsidRPr="00021BE2">
              <w:rPr>
                <w:rFonts w:cs="Verdana"/>
                <w:lang w:val="fr-FR"/>
              </w:rPr>
              <w:t>, pour l’entraide, d’affecter davantage de personnel et du personnel plus formé aux technologies, non seulement au niveau central mais au niveau des institutions responsables de l’exécution des demandes (par exemple les Bureaux locaux des procureurs).</w:t>
            </w:r>
          </w:p>
          <w:p w14:paraId="0F4BFC27" w14:textId="5AA1F9AB" w:rsidR="001708CB" w:rsidRPr="00021BE2" w:rsidRDefault="001708CB" w:rsidP="00D33E85">
            <w:pPr>
              <w:pStyle w:val="Reclist"/>
              <w:numPr>
                <w:ilvl w:val="0"/>
                <w:numId w:val="0"/>
              </w:numPr>
              <w:ind w:left="851"/>
              <w:rPr>
                <w:lang w:val="fr-FR"/>
              </w:rPr>
            </w:pPr>
          </w:p>
        </w:tc>
      </w:tr>
      <w:tr w:rsidR="0043060A" w:rsidRPr="00021BE2" w14:paraId="09604C87" w14:textId="77777777" w:rsidTr="008A1AD8">
        <w:tc>
          <w:tcPr>
            <w:tcW w:w="8926" w:type="dxa"/>
          </w:tcPr>
          <w:p w14:paraId="2F3BE486" w14:textId="2BF5F3E3" w:rsidR="0043060A" w:rsidRPr="00021BE2" w:rsidRDefault="00B1149E" w:rsidP="008A1AD8">
            <w:pPr>
              <w:rPr>
                <w:lang w:val="fr-FR"/>
              </w:rPr>
            </w:pPr>
            <w:r w:rsidRPr="00021BE2">
              <w:rPr>
                <w:lang w:val="fr-FR"/>
              </w:rPr>
              <w:t>Mesures prises/ développements pertinents:</w:t>
            </w:r>
          </w:p>
          <w:p w14:paraId="74840FD5" w14:textId="77777777" w:rsidR="00323465" w:rsidRPr="00021BE2" w:rsidRDefault="00323465" w:rsidP="008A1AD8">
            <w:pPr>
              <w:rPr>
                <w:lang w:val="fr-FR"/>
              </w:rPr>
            </w:pPr>
          </w:p>
        </w:tc>
      </w:tr>
      <w:tr w:rsidR="001708CB" w:rsidRPr="00426585" w14:paraId="3114C850" w14:textId="77777777" w:rsidTr="0043060A">
        <w:tc>
          <w:tcPr>
            <w:tcW w:w="8926" w:type="dxa"/>
            <w:shd w:val="clear" w:color="auto" w:fill="D9D9D9" w:themeFill="background1" w:themeFillShade="D9"/>
          </w:tcPr>
          <w:p w14:paraId="679C3CA3" w14:textId="0268A346" w:rsidR="00D33E85" w:rsidRPr="00021BE2" w:rsidRDefault="00D33E85" w:rsidP="00D33E85">
            <w:pPr>
              <w:pStyle w:val="Reclist"/>
              <w:rPr>
                <w:lang w:val="fr-FR"/>
              </w:rPr>
            </w:pPr>
            <w:r w:rsidRPr="00021BE2">
              <w:rPr>
                <w:rFonts w:cs="Verdana"/>
                <w:lang w:val="fr-FR"/>
              </w:rPr>
              <w:t>Les Parties devraient envisage</w:t>
            </w:r>
            <w:r w:rsidR="00021BE2">
              <w:rPr>
                <w:rFonts w:cs="Verdana"/>
                <w:lang w:val="fr-FR"/>
              </w:rPr>
              <w:t>r</w:t>
            </w:r>
            <w:r w:rsidRPr="00021BE2">
              <w:rPr>
                <w:rFonts w:cs="Verdana"/>
                <w:lang w:val="fr-FR"/>
              </w:rPr>
              <w:t xml:space="preserve"> de dispenser une meilleure formation pour renforcer l’entraide, la coopération policière et d’autres formes de coopération international</w:t>
            </w:r>
            <w:r w:rsidR="00021BE2">
              <w:rPr>
                <w:rFonts w:cs="Verdana"/>
                <w:lang w:val="fr-FR"/>
              </w:rPr>
              <w:t>e</w:t>
            </w:r>
            <w:r w:rsidRPr="00021BE2">
              <w:rPr>
                <w:rFonts w:cs="Verdana"/>
                <w:lang w:val="fr-FR"/>
              </w:rPr>
              <w:t xml:space="preserve"> en matière de cybercriminalité et de preuves électroniques. La formation et l’échange d’expériences devraient en particulier viser les procureurs et les juges et encourager une coopération directe entre autorités judiciaires. Une telle formation devrait être soutenue par les programmes de consolidation de capacités du Conseil de l’Europe et d’autres organisations.</w:t>
            </w:r>
          </w:p>
          <w:p w14:paraId="1A7C63FE" w14:textId="551DEE69" w:rsidR="001708CB" w:rsidRPr="00021BE2" w:rsidRDefault="001708CB" w:rsidP="00A30858">
            <w:pPr>
              <w:pStyle w:val="Reclist"/>
              <w:numPr>
                <w:ilvl w:val="0"/>
                <w:numId w:val="0"/>
              </w:numPr>
              <w:ind w:left="851"/>
              <w:rPr>
                <w:lang w:val="fr-FR"/>
              </w:rPr>
            </w:pPr>
          </w:p>
        </w:tc>
      </w:tr>
      <w:tr w:rsidR="0043060A" w:rsidRPr="00021BE2" w14:paraId="24EAFBA5" w14:textId="77777777" w:rsidTr="008A1AD8">
        <w:tc>
          <w:tcPr>
            <w:tcW w:w="8926" w:type="dxa"/>
          </w:tcPr>
          <w:p w14:paraId="27BAC751" w14:textId="5AE8FC56" w:rsidR="0043060A" w:rsidRPr="00021BE2" w:rsidRDefault="00B1149E" w:rsidP="008A1AD8">
            <w:pPr>
              <w:rPr>
                <w:lang w:val="fr-FR"/>
              </w:rPr>
            </w:pPr>
            <w:r w:rsidRPr="00021BE2">
              <w:rPr>
                <w:lang w:val="fr-FR"/>
              </w:rPr>
              <w:t>Mesures prises/ développements pertinents:</w:t>
            </w:r>
          </w:p>
          <w:p w14:paraId="02342137" w14:textId="77777777" w:rsidR="00323465" w:rsidRPr="00021BE2" w:rsidRDefault="00323465" w:rsidP="008A1AD8">
            <w:pPr>
              <w:rPr>
                <w:lang w:val="fr-FR"/>
              </w:rPr>
            </w:pPr>
          </w:p>
        </w:tc>
      </w:tr>
      <w:tr w:rsidR="001708CB" w:rsidRPr="00426585" w14:paraId="0B59C8F1" w14:textId="77777777" w:rsidTr="00A30858">
        <w:trPr>
          <w:trHeight w:val="4790"/>
        </w:trPr>
        <w:tc>
          <w:tcPr>
            <w:tcW w:w="8926" w:type="dxa"/>
            <w:shd w:val="clear" w:color="auto" w:fill="D9D9D9" w:themeFill="background1" w:themeFillShade="D9"/>
          </w:tcPr>
          <w:p w14:paraId="357FC2D2" w14:textId="77777777" w:rsidR="00A30858" w:rsidRPr="00021BE2" w:rsidRDefault="00A30858" w:rsidP="00A30858">
            <w:pPr>
              <w:pStyle w:val="Reclist"/>
              <w:rPr>
                <w:rFonts w:cs="Verdana"/>
                <w:lang w:val="fr-FR" w:eastAsia="ja-JP"/>
              </w:rPr>
            </w:pPr>
            <w:r w:rsidRPr="00021BE2">
              <w:rPr>
                <w:rFonts w:cs="Verdana"/>
                <w:lang w:val="fr-FR" w:eastAsia="ja-JP"/>
              </w:rPr>
              <w:t>Renforcer le rôle des points of contact 24/7 conformément à l’Article 35 Convention de Budapest, notamment :</w:t>
            </w:r>
          </w:p>
          <w:p w14:paraId="0161B474" w14:textId="77777777" w:rsidR="00A30858" w:rsidRPr="00021BE2" w:rsidRDefault="00A30858" w:rsidP="00A30858">
            <w:pPr>
              <w:pStyle w:val="Reclist"/>
              <w:numPr>
                <w:ilvl w:val="0"/>
                <w:numId w:val="0"/>
              </w:numPr>
              <w:ind w:left="851"/>
              <w:rPr>
                <w:rFonts w:cs="Verdana"/>
                <w:lang w:val="fr-FR" w:eastAsia="ja-JP"/>
              </w:rPr>
            </w:pPr>
          </w:p>
          <w:p w14:paraId="1C548888" w14:textId="77777777" w:rsidR="00A30858" w:rsidRPr="00021BE2" w:rsidRDefault="00A30858" w:rsidP="00A30858">
            <w:pPr>
              <w:pStyle w:val="Reclist"/>
              <w:numPr>
                <w:ilvl w:val="0"/>
                <w:numId w:val="40"/>
              </w:numPr>
              <w:ind w:left="1418" w:hanging="567"/>
              <w:rPr>
                <w:rFonts w:cs="Verdana"/>
                <w:lang w:val="fr-FR" w:eastAsia="ja-JP"/>
              </w:rPr>
            </w:pPr>
            <w:r w:rsidRPr="00021BE2">
              <w:rPr>
                <w:rFonts w:cs="Verdana"/>
                <w:lang w:val="fr-FR" w:eastAsia="ja-JP"/>
              </w:rPr>
              <w:t>veiller, conformément à l’article 35.3 Convention de Budapest, à disposer de personnel formé et équipé pour faciliter le travail opérationnel et conduire ou soutenir des activités liées à l’entraide ;</w:t>
            </w:r>
          </w:p>
          <w:p w14:paraId="72067A55" w14:textId="77777777" w:rsidR="00A30858" w:rsidRPr="00021BE2" w:rsidRDefault="00A30858" w:rsidP="00A30858">
            <w:pPr>
              <w:pStyle w:val="Reclist"/>
              <w:numPr>
                <w:ilvl w:val="0"/>
                <w:numId w:val="40"/>
              </w:numPr>
              <w:ind w:left="1418" w:hanging="567"/>
              <w:rPr>
                <w:rFonts w:cs="Verdana"/>
                <w:lang w:val="fr-FR" w:eastAsia="ja-JP"/>
              </w:rPr>
            </w:pPr>
            <w:r w:rsidRPr="00021BE2">
              <w:rPr>
                <w:rFonts w:cs="Verdana"/>
                <w:lang w:val="fr-FR" w:eastAsia="ja-JP"/>
              </w:rPr>
              <w:t>veiller à ce que les points de contact promeuvent activement leur rôle de faire les autorités nationales et de leurs homologues étrangères ;</w:t>
            </w:r>
          </w:p>
          <w:p w14:paraId="7D900BAB" w14:textId="77777777" w:rsidR="00A30858" w:rsidRPr="00021BE2" w:rsidRDefault="00A30858" w:rsidP="00A30858">
            <w:pPr>
              <w:pStyle w:val="Reclist"/>
              <w:numPr>
                <w:ilvl w:val="0"/>
                <w:numId w:val="40"/>
              </w:numPr>
              <w:ind w:left="1418" w:hanging="567"/>
              <w:rPr>
                <w:rFonts w:cs="Verdana"/>
                <w:lang w:val="fr-FR" w:eastAsia="ja-JP"/>
              </w:rPr>
            </w:pPr>
            <w:r w:rsidRPr="00021BE2">
              <w:rPr>
                <w:rFonts w:cs="Verdana"/>
                <w:lang w:val="fr-FR" w:eastAsia="ja-JP"/>
              </w:rPr>
              <w:t>assurer des réunions régulières et la formation du réseau 24/7 ;</w:t>
            </w:r>
          </w:p>
          <w:p w14:paraId="1A1CA03A" w14:textId="77777777" w:rsidR="00A30858" w:rsidRPr="00021BE2" w:rsidRDefault="00A30858" w:rsidP="00A30858">
            <w:pPr>
              <w:pStyle w:val="Reclist"/>
              <w:numPr>
                <w:ilvl w:val="0"/>
                <w:numId w:val="40"/>
              </w:numPr>
              <w:ind w:left="1418" w:hanging="567"/>
              <w:rPr>
                <w:rFonts w:cs="Verdana"/>
                <w:lang w:val="fr-FR" w:eastAsia="ja-JP"/>
              </w:rPr>
            </w:pPr>
            <w:r w:rsidRPr="00021BE2">
              <w:rPr>
                <w:rFonts w:cs="Verdana"/>
                <w:lang w:val="fr-FR" w:eastAsia="ja-JP"/>
              </w:rPr>
              <w:t>les autorités compétentes et les points de contact 24/7 devraient envisager des procédures de suivi pour superviser le traitement des demandes basées sur l’article 31 et faire un retour d’information à l’Etat requérant</w:t>
            </w:r>
          </w:p>
          <w:p w14:paraId="573B8359" w14:textId="77777777" w:rsidR="00A30858" w:rsidRPr="00021BE2" w:rsidRDefault="00A30858" w:rsidP="00A30858">
            <w:pPr>
              <w:pStyle w:val="Reclist"/>
              <w:numPr>
                <w:ilvl w:val="0"/>
                <w:numId w:val="40"/>
              </w:numPr>
              <w:ind w:left="1418" w:hanging="567"/>
              <w:rPr>
                <w:rFonts w:cs="Verdana"/>
                <w:lang w:val="fr-FR" w:eastAsia="ja-JP"/>
              </w:rPr>
            </w:pPr>
            <w:r w:rsidRPr="00021BE2">
              <w:rPr>
                <w:rFonts w:cs="Verdana"/>
                <w:lang w:val="fr-FR" w:eastAsia="ja-JP"/>
              </w:rPr>
              <w:t>établir, dans la mesure du possible, des points de contact (supplémentaires) dans les services de poursuite pour permettre un rôle plus direct en matière d’entraide et une réponse plus rapide aux demandes ;</w:t>
            </w:r>
          </w:p>
          <w:p w14:paraId="212AC29A" w14:textId="77777777" w:rsidR="00A30858" w:rsidRPr="00021BE2" w:rsidRDefault="00A30858" w:rsidP="00A30858">
            <w:pPr>
              <w:pStyle w:val="Reclist"/>
              <w:numPr>
                <w:ilvl w:val="0"/>
                <w:numId w:val="40"/>
              </w:numPr>
              <w:ind w:left="1418" w:hanging="567"/>
              <w:rPr>
                <w:rFonts w:cs="Verdana"/>
                <w:lang w:val="fr-FR" w:eastAsia="ja-JP"/>
              </w:rPr>
            </w:pPr>
            <w:r w:rsidRPr="00021BE2">
              <w:rPr>
                <w:rFonts w:cs="Verdana"/>
                <w:lang w:val="fr-FR" w:eastAsia="ja-JP"/>
              </w:rPr>
              <w:t xml:space="preserve">les points de contact 24/7 devraient jouer au moins un rôle de soutien pour les demandes “Article 31” </w:t>
            </w:r>
          </w:p>
          <w:p w14:paraId="281366C1" w14:textId="77777777" w:rsidR="001708CB" w:rsidRPr="00021BE2" w:rsidRDefault="001708CB" w:rsidP="008A1AD8">
            <w:pPr>
              <w:pStyle w:val="comment"/>
              <w:rPr>
                <w:lang w:val="fr-FR"/>
              </w:rPr>
            </w:pPr>
          </w:p>
        </w:tc>
      </w:tr>
      <w:tr w:rsidR="0043060A" w:rsidRPr="00021BE2" w14:paraId="6767E7DE" w14:textId="77777777" w:rsidTr="008A1AD8">
        <w:tc>
          <w:tcPr>
            <w:tcW w:w="8926" w:type="dxa"/>
          </w:tcPr>
          <w:p w14:paraId="437D31B6" w14:textId="45B494C0" w:rsidR="0043060A" w:rsidRPr="00021BE2" w:rsidRDefault="00B1149E" w:rsidP="008A1AD8">
            <w:pPr>
              <w:rPr>
                <w:lang w:val="fr-FR"/>
              </w:rPr>
            </w:pPr>
            <w:r w:rsidRPr="00021BE2">
              <w:rPr>
                <w:lang w:val="fr-FR"/>
              </w:rPr>
              <w:lastRenderedPageBreak/>
              <w:t>Mesures prises/ développements pertinents:</w:t>
            </w:r>
          </w:p>
          <w:p w14:paraId="470A0B7F" w14:textId="77777777" w:rsidR="00323465" w:rsidRPr="00021BE2" w:rsidRDefault="00323465" w:rsidP="008A1AD8">
            <w:pPr>
              <w:rPr>
                <w:lang w:val="fr-FR"/>
              </w:rPr>
            </w:pPr>
          </w:p>
        </w:tc>
      </w:tr>
      <w:tr w:rsidR="001708CB" w:rsidRPr="00426585" w14:paraId="79CEF18E" w14:textId="77777777" w:rsidTr="0043060A">
        <w:tc>
          <w:tcPr>
            <w:tcW w:w="8926" w:type="dxa"/>
            <w:shd w:val="clear" w:color="auto" w:fill="D9D9D9" w:themeFill="background1" w:themeFillShade="D9"/>
          </w:tcPr>
          <w:p w14:paraId="264B00DC" w14:textId="29E9172F" w:rsidR="000415CD" w:rsidRPr="00021BE2" w:rsidRDefault="000415CD" w:rsidP="000415CD">
            <w:pPr>
              <w:pStyle w:val="Reclist"/>
              <w:rPr>
                <w:lang w:val="fr-FR"/>
              </w:rPr>
            </w:pPr>
            <w:r w:rsidRPr="00021BE2">
              <w:rPr>
                <w:lang w:val="fr-FR"/>
              </w:rPr>
              <w:t>Les Parties devraient rationaliser les procédures et réduire le nombre d’étapes exigées pour les demandes d’entraide au niveau national. Les Parties devraient partager les bonnes pratiques cet égard avec le T-CY.</w:t>
            </w:r>
          </w:p>
          <w:p w14:paraId="25744D87" w14:textId="77777777" w:rsidR="001708CB" w:rsidRPr="00021BE2" w:rsidRDefault="001708CB" w:rsidP="008A1AD8">
            <w:pPr>
              <w:pStyle w:val="comment"/>
              <w:rPr>
                <w:lang w:val="fr-FR"/>
              </w:rPr>
            </w:pPr>
          </w:p>
        </w:tc>
      </w:tr>
      <w:tr w:rsidR="0043060A" w:rsidRPr="00021BE2" w14:paraId="5872C323" w14:textId="77777777" w:rsidTr="008A1AD8">
        <w:tc>
          <w:tcPr>
            <w:tcW w:w="8926" w:type="dxa"/>
          </w:tcPr>
          <w:p w14:paraId="34E8F14E" w14:textId="3E3CB775" w:rsidR="0043060A" w:rsidRPr="00021BE2" w:rsidRDefault="00B1149E" w:rsidP="008A1AD8">
            <w:pPr>
              <w:rPr>
                <w:lang w:val="fr-FR"/>
              </w:rPr>
            </w:pPr>
            <w:r w:rsidRPr="00021BE2">
              <w:rPr>
                <w:lang w:val="fr-FR"/>
              </w:rPr>
              <w:t>Mesures prises/ développements pertinents:</w:t>
            </w:r>
          </w:p>
          <w:p w14:paraId="1550D11B" w14:textId="77777777" w:rsidR="00323465" w:rsidRPr="00021BE2" w:rsidRDefault="00323465" w:rsidP="008A1AD8">
            <w:pPr>
              <w:rPr>
                <w:lang w:val="fr-FR"/>
              </w:rPr>
            </w:pPr>
          </w:p>
        </w:tc>
      </w:tr>
      <w:tr w:rsidR="001708CB" w:rsidRPr="00426585" w14:paraId="24A8A45F" w14:textId="77777777" w:rsidTr="0043060A">
        <w:tc>
          <w:tcPr>
            <w:tcW w:w="8926" w:type="dxa"/>
            <w:shd w:val="clear" w:color="auto" w:fill="D9D9D9" w:themeFill="background1" w:themeFillShade="D9"/>
          </w:tcPr>
          <w:p w14:paraId="1315D9A9" w14:textId="61D85359" w:rsidR="001708CB" w:rsidRPr="00021BE2" w:rsidRDefault="000415CD" w:rsidP="000415CD">
            <w:pPr>
              <w:pStyle w:val="Reclist"/>
              <w:rPr>
                <w:lang w:val="fr-FR"/>
              </w:rPr>
            </w:pPr>
            <w:r w:rsidRPr="00021BE2">
              <w:rPr>
                <w:lang w:val="fr-FR"/>
              </w:rPr>
              <w:t>Les Parties devraient utiliser tous les canaux disponibles pour la coopération internationale. Cela peut inclure l’entraide judiciaire, la coopération police à police ou autres</w:t>
            </w:r>
            <w:r w:rsidR="001708CB" w:rsidRPr="00021BE2">
              <w:rPr>
                <w:lang w:val="fr-FR"/>
              </w:rPr>
              <w:t>.</w:t>
            </w:r>
          </w:p>
          <w:p w14:paraId="484BF2A6" w14:textId="77777777" w:rsidR="001708CB" w:rsidRPr="00021BE2" w:rsidRDefault="001708CB" w:rsidP="008A1AD8">
            <w:pPr>
              <w:pStyle w:val="comment"/>
              <w:rPr>
                <w:lang w:val="fr-FR"/>
              </w:rPr>
            </w:pPr>
          </w:p>
        </w:tc>
      </w:tr>
      <w:tr w:rsidR="0043060A" w:rsidRPr="00021BE2" w14:paraId="011A2EE0" w14:textId="77777777" w:rsidTr="008A1AD8">
        <w:tc>
          <w:tcPr>
            <w:tcW w:w="8926" w:type="dxa"/>
          </w:tcPr>
          <w:p w14:paraId="677DFD2C" w14:textId="575E6464" w:rsidR="0043060A" w:rsidRPr="00021BE2" w:rsidRDefault="00B1149E" w:rsidP="008A1AD8">
            <w:pPr>
              <w:rPr>
                <w:lang w:val="fr-FR"/>
              </w:rPr>
            </w:pPr>
            <w:r w:rsidRPr="00021BE2">
              <w:rPr>
                <w:lang w:val="fr-FR"/>
              </w:rPr>
              <w:t>Mesures prises/ développements pertinents:</w:t>
            </w:r>
          </w:p>
          <w:p w14:paraId="4A6ADFD8" w14:textId="77777777" w:rsidR="00323465" w:rsidRPr="00021BE2" w:rsidRDefault="00323465" w:rsidP="008A1AD8">
            <w:pPr>
              <w:rPr>
                <w:lang w:val="fr-FR"/>
              </w:rPr>
            </w:pPr>
          </w:p>
        </w:tc>
      </w:tr>
      <w:tr w:rsidR="001708CB" w:rsidRPr="00021BE2" w14:paraId="5E1948EE" w14:textId="77777777" w:rsidTr="0043060A">
        <w:tc>
          <w:tcPr>
            <w:tcW w:w="8926" w:type="dxa"/>
            <w:shd w:val="clear" w:color="auto" w:fill="D9D9D9" w:themeFill="background1" w:themeFillShade="D9"/>
          </w:tcPr>
          <w:p w14:paraId="284805DD" w14:textId="5E14DB5B" w:rsidR="000415CD" w:rsidRPr="00021BE2" w:rsidRDefault="000415CD" w:rsidP="000415CD">
            <w:pPr>
              <w:pStyle w:val="Reclist"/>
              <w:rPr>
                <w:lang w:val="fr-FR"/>
              </w:rPr>
            </w:pPr>
            <w:r w:rsidRPr="00021BE2">
              <w:rPr>
                <w:lang w:val="fr-FR"/>
              </w:rPr>
              <w:t>Les Parties sont encouragées à établir des procédures d’urgence pour des demandes lorsqu’il y a risque pour la vie ou dans d’autres circonstances extrêmes similaires. Le T-CY devrait documenter la pratique des pays.</w:t>
            </w:r>
          </w:p>
          <w:p w14:paraId="1ADAFC99" w14:textId="77777777" w:rsidR="001708CB" w:rsidRPr="00021BE2" w:rsidRDefault="001708CB" w:rsidP="008A1AD8">
            <w:pPr>
              <w:pStyle w:val="comment"/>
              <w:rPr>
                <w:lang w:val="fr-FR"/>
              </w:rPr>
            </w:pPr>
          </w:p>
        </w:tc>
      </w:tr>
      <w:tr w:rsidR="0043060A" w:rsidRPr="00021BE2" w14:paraId="4CA725F3" w14:textId="77777777" w:rsidTr="008A1AD8">
        <w:tc>
          <w:tcPr>
            <w:tcW w:w="8926" w:type="dxa"/>
          </w:tcPr>
          <w:p w14:paraId="6484ECD6" w14:textId="2FE22AF1" w:rsidR="0043060A" w:rsidRPr="00021BE2" w:rsidRDefault="00B1149E" w:rsidP="008A1AD8">
            <w:pPr>
              <w:rPr>
                <w:lang w:val="fr-FR"/>
              </w:rPr>
            </w:pPr>
            <w:r w:rsidRPr="00021BE2">
              <w:rPr>
                <w:lang w:val="fr-FR"/>
              </w:rPr>
              <w:t>Mesures prises/ développements pertinents</w:t>
            </w:r>
            <w:r w:rsidR="00226207" w:rsidRPr="00021BE2">
              <w:rPr>
                <w:lang w:val="fr-FR"/>
              </w:rPr>
              <w:t>:</w:t>
            </w:r>
            <w:r w:rsidR="00226207" w:rsidRPr="00021BE2">
              <w:rPr>
                <w:rStyle w:val="FootnoteReference"/>
                <w:lang w:val="fr-FR"/>
              </w:rPr>
              <w:footnoteReference w:id="1"/>
            </w:r>
          </w:p>
          <w:p w14:paraId="676677E5" w14:textId="77777777" w:rsidR="0043060A" w:rsidRPr="00021BE2" w:rsidRDefault="0043060A" w:rsidP="008A1AD8">
            <w:pPr>
              <w:rPr>
                <w:lang w:val="fr-FR"/>
              </w:rPr>
            </w:pPr>
          </w:p>
          <w:p w14:paraId="5A7EC70D" w14:textId="77777777" w:rsidR="00323465" w:rsidRPr="00021BE2" w:rsidRDefault="00323465" w:rsidP="008A1AD8">
            <w:pPr>
              <w:rPr>
                <w:lang w:val="fr-FR"/>
              </w:rPr>
            </w:pPr>
          </w:p>
        </w:tc>
      </w:tr>
      <w:tr w:rsidR="001708CB" w:rsidRPr="00426585" w14:paraId="7A206052" w14:textId="77777777" w:rsidTr="0043060A">
        <w:tc>
          <w:tcPr>
            <w:tcW w:w="8926" w:type="dxa"/>
            <w:shd w:val="clear" w:color="auto" w:fill="D9D9D9" w:themeFill="background1" w:themeFillShade="D9"/>
          </w:tcPr>
          <w:p w14:paraId="400E5EE1" w14:textId="046A2507" w:rsidR="000415CD" w:rsidRPr="00021BE2" w:rsidRDefault="000415CD" w:rsidP="000415CD">
            <w:pPr>
              <w:pStyle w:val="Reclist"/>
              <w:rPr>
                <w:lang w:val="fr-FR"/>
              </w:rPr>
            </w:pPr>
            <w:r w:rsidRPr="00021BE2">
              <w:rPr>
                <w:lang w:val="fr-FR"/>
              </w:rPr>
              <w:t>Les Parties devraient confirmer la réception des demandes systématiquement et notifier les actions prises.</w:t>
            </w:r>
          </w:p>
          <w:p w14:paraId="755FDFFA" w14:textId="77777777" w:rsidR="001708CB" w:rsidRPr="00021BE2" w:rsidRDefault="001708CB" w:rsidP="008A1AD8">
            <w:pPr>
              <w:pStyle w:val="comment"/>
              <w:rPr>
                <w:lang w:val="fr-FR"/>
              </w:rPr>
            </w:pPr>
          </w:p>
        </w:tc>
      </w:tr>
      <w:tr w:rsidR="0043060A" w:rsidRPr="00021BE2" w14:paraId="04C55859" w14:textId="77777777" w:rsidTr="008A1AD8">
        <w:tc>
          <w:tcPr>
            <w:tcW w:w="8926" w:type="dxa"/>
          </w:tcPr>
          <w:p w14:paraId="4367A827" w14:textId="7D2000B8" w:rsidR="0043060A" w:rsidRPr="00021BE2" w:rsidRDefault="00B1149E" w:rsidP="008A1AD8">
            <w:pPr>
              <w:rPr>
                <w:lang w:val="fr-FR"/>
              </w:rPr>
            </w:pPr>
            <w:r w:rsidRPr="00021BE2">
              <w:rPr>
                <w:lang w:val="fr-FR"/>
              </w:rPr>
              <w:t>Mesures prises/ développements pertinents:</w:t>
            </w:r>
          </w:p>
          <w:p w14:paraId="61127025" w14:textId="77777777" w:rsidR="0043060A" w:rsidRPr="00021BE2" w:rsidRDefault="0043060A" w:rsidP="008A1AD8">
            <w:pPr>
              <w:rPr>
                <w:lang w:val="fr-FR"/>
              </w:rPr>
            </w:pPr>
          </w:p>
          <w:p w14:paraId="7AAAC7F1" w14:textId="77777777" w:rsidR="00323465" w:rsidRPr="00021BE2" w:rsidRDefault="00323465" w:rsidP="008A1AD8">
            <w:pPr>
              <w:rPr>
                <w:lang w:val="fr-FR"/>
              </w:rPr>
            </w:pPr>
          </w:p>
        </w:tc>
      </w:tr>
      <w:tr w:rsidR="001708CB" w:rsidRPr="00426585" w14:paraId="07D9B80B" w14:textId="77777777" w:rsidTr="0043060A">
        <w:tc>
          <w:tcPr>
            <w:tcW w:w="8926" w:type="dxa"/>
            <w:shd w:val="clear" w:color="auto" w:fill="D9D9D9" w:themeFill="background1" w:themeFillShade="D9"/>
          </w:tcPr>
          <w:p w14:paraId="40EC6553" w14:textId="34B4BCE3" w:rsidR="000415CD" w:rsidRPr="00021BE2" w:rsidRDefault="000415CD" w:rsidP="000415CD">
            <w:pPr>
              <w:pStyle w:val="Reclist"/>
              <w:rPr>
                <w:lang w:val="fr-FR"/>
              </w:rPr>
            </w:pPr>
            <w:r w:rsidRPr="00021BE2">
              <w:rPr>
                <w:lang w:val="fr-FR"/>
              </w:rPr>
              <w:t>Les Parties devraient envisager l’ouverture d’une enquête nationale sur demande étrangère ou information spontanée pour faciliter le partage d’informations ou accélérer l’entraide.</w:t>
            </w:r>
          </w:p>
          <w:p w14:paraId="1B8CE92A" w14:textId="77777777" w:rsidR="001708CB" w:rsidRPr="00021BE2" w:rsidRDefault="001708CB" w:rsidP="000415CD">
            <w:pPr>
              <w:pStyle w:val="Reclist"/>
              <w:numPr>
                <w:ilvl w:val="0"/>
                <w:numId w:val="0"/>
              </w:numPr>
              <w:ind w:left="851"/>
              <w:rPr>
                <w:lang w:val="fr-FR"/>
              </w:rPr>
            </w:pPr>
          </w:p>
        </w:tc>
      </w:tr>
      <w:tr w:rsidR="0043060A" w:rsidRPr="00021BE2" w14:paraId="38A972F7" w14:textId="77777777" w:rsidTr="008A1AD8">
        <w:tc>
          <w:tcPr>
            <w:tcW w:w="8926" w:type="dxa"/>
          </w:tcPr>
          <w:p w14:paraId="1B65211F" w14:textId="06F3753C" w:rsidR="0043060A" w:rsidRPr="00021BE2" w:rsidRDefault="00B1149E" w:rsidP="008A1AD8">
            <w:pPr>
              <w:rPr>
                <w:lang w:val="fr-FR"/>
              </w:rPr>
            </w:pPr>
            <w:r w:rsidRPr="00021BE2">
              <w:rPr>
                <w:lang w:val="fr-FR"/>
              </w:rPr>
              <w:t>Mesures prises/ développements pertinents:</w:t>
            </w:r>
          </w:p>
          <w:p w14:paraId="69ECB35A" w14:textId="77777777" w:rsidR="00323465" w:rsidRPr="00021BE2" w:rsidRDefault="00323465" w:rsidP="008A1AD8">
            <w:pPr>
              <w:rPr>
                <w:lang w:val="fr-FR"/>
              </w:rPr>
            </w:pPr>
          </w:p>
        </w:tc>
      </w:tr>
      <w:tr w:rsidR="001708CB" w:rsidRPr="00426585" w14:paraId="47153539" w14:textId="77777777" w:rsidTr="0043060A">
        <w:tc>
          <w:tcPr>
            <w:tcW w:w="8926" w:type="dxa"/>
            <w:shd w:val="clear" w:color="auto" w:fill="D9D9D9" w:themeFill="background1" w:themeFillShade="D9"/>
          </w:tcPr>
          <w:p w14:paraId="3F65FFDA" w14:textId="0CAA1201" w:rsidR="001708CB" w:rsidRPr="00021BE2" w:rsidRDefault="00EA546B" w:rsidP="00EA546B">
            <w:pPr>
              <w:pStyle w:val="Reclist"/>
              <w:rPr>
                <w:lang w:val="fr-FR"/>
              </w:rPr>
            </w:pPr>
            <w:r w:rsidRPr="00021BE2">
              <w:rPr>
                <w:lang w:val="fr-FR"/>
              </w:rPr>
              <w:t xml:space="preserve">Les Parties devraient utiliser la transmission électronique des demandes, conformément à l’article 25.3 Convention de Budapest </w:t>
            </w:r>
          </w:p>
        </w:tc>
      </w:tr>
      <w:tr w:rsidR="0043060A" w:rsidRPr="00021BE2" w14:paraId="75BBB144" w14:textId="77777777" w:rsidTr="008A1AD8">
        <w:tc>
          <w:tcPr>
            <w:tcW w:w="8926" w:type="dxa"/>
          </w:tcPr>
          <w:p w14:paraId="11B46866" w14:textId="7BA4A413" w:rsidR="0043060A" w:rsidRPr="00021BE2" w:rsidRDefault="00B1149E" w:rsidP="008A1AD8">
            <w:pPr>
              <w:rPr>
                <w:lang w:val="fr-FR"/>
              </w:rPr>
            </w:pPr>
            <w:r w:rsidRPr="00021BE2">
              <w:rPr>
                <w:lang w:val="fr-FR"/>
              </w:rPr>
              <w:t>Mesures prises/ développements pertinents:</w:t>
            </w:r>
          </w:p>
          <w:p w14:paraId="05BE6F2C" w14:textId="77777777" w:rsidR="00323465" w:rsidRPr="00021BE2" w:rsidRDefault="00323465" w:rsidP="008A1AD8">
            <w:pPr>
              <w:rPr>
                <w:lang w:val="fr-FR"/>
              </w:rPr>
            </w:pPr>
          </w:p>
        </w:tc>
      </w:tr>
      <w:tr w:rsidR="001708CB" w:rsidRPr="00426585" w14:paraId="70C02F76" w14:textId="77777777" w:rsidTr="00B1149E">
        <w:trPr>
          <w:trHeight w:val="1007"/>
        </w:trPr>
        <w:tc>
          <w:tcPr>
            <w:tcW w:w="8926" w:type="dxa"/>
            <w:shd w:val="clear" w:color="auto" w:fill="D9D9D9" w:themeFill="background1" w:themeFillShade="D9"/>
          </w:tcPr>
          <w:p w14:paraId="36BA36D9" w14:textId="123728F8" w:rsidR="00EA546B" w:rsidRPr="00021BE2" w:rsidRDefault="00EA546B" w:rsidP="00EA546B">
            <w:pPr>
              <w:pStyle w:val="Reclist"/>
              <w:rPr>
                <w:lang w:val="fr-FR"/>
              </w:rPr>
            </w:pPr>
            <w:r w:rsidRPr="00021BE2">
              <w:rPr>
                <w:lang w:val="fr-FR"/>
              </w:rPr>
              <w:t>Les Parties devraient veiller à ce que les demandes soient spécifiques et contiennent toutes les informations nécessaires.</w:t>
            </w:r>
          </w:p>
          <w:p w14:paraId="201F6DB3" w14:textId="77777777" w:rsidR="001708CB" w:rsidRPr="00021BE2" w:rsidRDefault="001708CB" w:rsidP="008A1AD8">
            <w:pPr>
              <w:pStyle w:val="comment"/>
              <w:rPr>
                <w:lang w:val="fr-FR"/>
              </w:rPr>
            </w:pPr>
          </w:p>
        </w:tc>
      </w:tr>
      <w:tr w:rsidR="0043060A" w:rsidRPr="00021BE2" w14:paraId="15BB06AC" w14:textId="77777777" w:rsidTr="008A1AD8">
        <w:tc>
          <w:tcPr>
            <w:tcW w:w="8926" w:type="dxa"/>
          </w:tcPr>
          <w:p w14:paraId="5115C521" w14:textId="64DCAFB1" w:rsidR="0043060A" w:rsidRPr="00021BE2" w:rsidRDefault="00B1149E" w:rsidP="008A1AD8">
            <w:pPr>
              <w:rPr>
                <w:lang w:val="fr-FR"/>
              </w:rPr>
            </w:pPr>
            <w:r w:rsidRPr="00021BE2">
              <w:rPr>
                <w:lang w:val="fr-FR"/>
              </w:rPr>
              <w:t>Mesures prises/ développements pertinents:</w:t>
            </w:r>
          </w:p>
          <w:p w14:paraId="7134E827" w14:textId="77777777" w:rsidR="00323465" w:rsidRPr="00021BE2" w:rsidRDefault="00323465" w:rsidP="008A1AD8">
            <w:pPr>
              <w:rPr>
                <w:lang w:val="fr-FR"/>
              </w:rPr>
            </w:pPr>
          </w:p>
        </w:tc>
      </w:tr>
      <w:tr w:rsidR="001708CB" w:rsidRPr="00426585" w14:paraId="645F3C2D" w14:textId="77777777" w:rsidTr="0043060A">
        <w:tc>
          <w:tcPr>
            <w:tcW w:w="8926" w:type="dxa"/>
            <w:shd w:val="clear" w:color="auto" w:fill="D9D9D9" w:themeFill="background1" w:themeFillShade="D9"/>
          </w:tcPr>
          <w:p w14:paraId="7AC4A0F1" w14:textId="3EC24C92" w:rsidR="001708CB" w:rsidRPr="00021BE2" w:rsidRDefault="00EA546B" w:rsidP="00EA546B">
            <w:pPr>
              <w:pStyle w:val="Reclist"/>
              <w:rPr>
                <w:lang w:val="fr-FR"/>
              </w:rPr>
            </w:pPr>
            <w:r w:rsidRPr="00021BE2">
              <w:rPr>
                <w:lang w:val="fr-FR"/>
              </w:rPr>
              <w:t>Conformément à l’article 25.5 Convention de Budapest et au Paragraphe 259 du Rapport explicatif, les Parties sont encouragées à faire preuve de flexibilité lorsqu’elles appliquent la double incrimination, qui faciliterait l’octroi de l’aide</w:t>
            </w:r>
          </w:p>
        </w:tc>
      </w:tr>
      <w:tr w:rsidR="0043060A" w:rsidRPr="00021BE2" w14:paraId="2B2C9FE9" w14:textId="77777777" w:rsidTr="008A1AD8">
        <w:tc>
          <w:tcPr>
            <w:tcW w:w="8926" w:type="dxa"/>
          </w:tcPr>
          <w:p w14:paraId="4B38660B" w14:textId="3477E5D6" w:rsidR="0043060A" w:rsidRPr="00021BE2" w:rsidRDefault="00B1149E" w:rsidP="008A1AD8">
            <w:pPr>
              <w:rPr>
                <w:lang w:val="fr-FR"/>
              </w:rPr>
            </w:pPr>
            <w:r w:rsidRPr="00021BE2">
              <w:rPr>
                <w:lang w:val="fr-FR"/>
              </w:rPr>
              <w:t>Mesures prises/ développements pertinents:</w:t>
            </w:r>
          </w:p>
          <w:p w14:paraId="4E3039F7" w14:textId="77777777" w:rsidR="00323465" w:rsidRPr="00021BE2" w:rsidRDefault="00323465" w:rsidP="008A1AD8">
            <w:pPr>
              <w:rPr>
                <w:lang w:val="fr-FR"/>
              </w:rPr>
            </w:pPr>
          </w:p>
        </w:tc>
      </w:tr>
      <w:tr w:rsidR="001708CB" w:rsidRPr="00426585" w14:paraId="6118A41C" w14:textId="77777777" w:rsidTr="0043060A">
        <w:tc>
          <w:tcPr>
            <w:tcW w:w="8926" w:type="dxa"/>
            <w:shd w:val="clear" w:color="auto" w:fill="D9D9D9" w:themeFill="background1" w:themeFillShade="D9"/>
          </w:tcPr>
          <w:p w14:paraId="34948981" w14:textId="0BD360F1" w:rsidR="001708CB" w:rsidRPr="00021BE2" w:rsidRDefault="00EA546B" w:rsidP="00EA546B">
            <w:pPr>
              <w:pStyle w:val="Reclist"/>
              <w:rPr>
                <w:rFonts w:eastAsia="MS Gothic"/>
                <w:bCs/>
                <w:lang w:val="fr-FR" w:eastAsia="ja-JP"/>
              </w:rPr>
            </w:pPr>
            <w:r w:rsidRPr="00021BE2">
              <w:rPr>
                <w:lang w:val="fr-FR"/>
              </w:rPr>
              <w:lastRenderedPageBreak/>
              <w:t>Les Parties sont encouragées à se consulter avec les autorités de la Partie requise avant d’envoyer les demandes</w:t>
            </w:r>
            <w:r w:rsidR="001708CB" w:rsidRPr="00021BE2">
              <w:rPr>
                <w:lang w:val="fr-FR"/>
              </w:rPr>
              <w:t>.</w:t>
            </w:r>
          </w:p>
          <w:p w14:paraId="416BD6B5" w14:textId="77777777" w:rsidR="001708CB" w:rsidRPr="00021BE2" w:rsidRDefault="001708CB" w:rsidP="008A1AD8">
            <w:pPr>
              <w:pStyle w:val="comment"/>
              <w:rPr>
                <w:lang w:val="fr-FR"/>
              </w:rPr>
            </w:pPr>
          </w:p>
        </w:tc>
      </w:tr>
      <w:tr w:rsidR="0043060A" w:rsidRPr="00021BE2" w14:paraId="71F3EC8B" w14:textId="77777777" w:rsidTr="008A1AD8">
        <w:tc>
          <w:tcPr>
            <w:tcW w:w="8926" w:type="dxa"/>
          </w:tcPr>
          <w:p w14:paraId="4DAF92C8" w14:textId="30CEC450" w:rsidR="0043060A" w:rsidRPr="00021BE2" w:rsidRDefault="00B1149E" w:rsidP="008A1AD8">
            <w:pPr>
              <w:rPr>
                <w:lang w:val="fr-FR"/>
              </w:rPr>
            </w:pPr>
            <w:r w:rsidRPr="00021BE2">
              <w:rPr>
                <w:lang w:val="fr-FR"/>
              </w:rPr>
              <w:t>Mesures prises/ développements pertinents:</w:t>
            </w:r>
          </w:p>
          <w:p w14:paraId="05ED0C0C" w14:textId="77777777" w:rsidR="00323465" w:rsidRPr="00021BE2" w:rsidRDefault="00323465" w:rsidP="008A1AD8">
            <w:pPr>
              <w:rPr>
                <w:lang w:val="fr-FR"/>
              </w:rPr>
            </w:pPr>
          </w:p>
        </w:tc>
      </w:tr>
      <w:tr w:rsidR="001708CB" w:rsidRPr="00426585" w14:paraId="23DE1CDA" w14:textId="77777777" w:rsidTr="0043060A">
        <w:tc>
          <w:tcPr>
            <w:tcW w:w="8926" w:type="dxa"/>
            <w:shd w:val="clear" w:color="auto" w:fill="D9D9D9" w:themeFill="background1" w:themeFillShade="D9"/>
          </w:tcPr>
          <w:p w14:paraId="7F018802" w14:textId="5EFD3252" w:rsidR="00C15488" w:rsidRPr="00021BE2" w:rsidRDefault="00C15488" w:rsidP="00C15488">
            <w:pPr>
              <w:pStyle w:val="Reclist"/>
              <w:rPr>
                <w:lang w:val="fr-FR"/>
              </w:rPr>
            </w:pPr>
            <w:r w:rsidRPr="00021BE2">
              <w:rPr>
                <w:lang w:val="fr-FR"/>
              </w:rPr>
              <w:t>Les Parties devraient assurer la transparence en ce qui concerne les conditions applicables en matière de demandes d’entraide, notamment pour les seuils concernant les affaires vénielles, sur les sites Web des autorités centrales.</w:t>
            </w:r>
          </w:p>
          <w:p w14:paraId="44AC5FA5" w14:textId="77777777" w:rsidR="001708CB" w:rsidRPr="00021BE2" w:rsidRDefault="001708CB" w:rsidP="008A1AD8">
            <w:pPr>
              <w:pStyle w:val="comment"/>
              <w:rPr>
                <w:lang w:val="fr-FR"/>
              </w:rPr>
            </w:pPr>
          </w:p>
        </w:tc>
      </w:tr>
      <w:tr w:rsidR="0043060A" w:rsidRPr="00021BE2" w14:paraId="2C8E73DE" w14:textId="77777777" w:rsidTr="0043060A">
        <w:tc>
          <w:tcPr>
            <w:tcW w:w="8926" w:type="dxa"/>
            <w:shd w:val="clear" w:color="auto" w:fill="auto"/>
          </w:tcPr>
          <w:p w14:paraId="5CEFD204" w14:textId="57E91E3E" w:rsidR="00791E55" w:rsidRPr="00021BE2" w:rsidRDefault="00B1149E" w:rsidP="00791E55">
            <w:pPr>
              <w:rPr>
                <w:lang w:val="fr-FR"/>
              </w:rPr>
            </w:pPr>
            <w:r w:rsidRPr="00021BE2">
              <w:rPr>
                <w:lang w:val="fr-FR"/>
              </w:rPr>
              <w:t>Mesures prises/ développements pertinents:</w:t>
            </w:r>
          </w:p>
          <w:p w14:paraId="639ED3E0" w14:textId="77777777" w:rsidR="0043060A" w:rsidRPr="00021BE2" w:rsidRDefault="0043060A" w:rsidP="00323465">
            <w:pPr>
              <w:rPr>
                <w:lang w:val="fr-FR"/>
              </w:rPr>
            </w:pPr>
          </w:p>
          <w:p w14:paraId="19996398" w14:textId="77777777" w:rsidR="00323465" w:rsidRPr="00021BE2" w:rsidRDefault="00323465" w:rsidP="00323465">
            <w:pPr>
              <w:rPr>
                <w:lang w:val="fr-FR"/>
              </w:rPr>
            </w:pPr>
          </w:p>
        </w:tc>
      </w:tr>
    </w:tbl>
    <w:p w14:paraId="1B059DDB" w14:textId="77777777" w:rsidR="001708CB" w:rsidRPr="00021BE2" w:rsidRDefault="001708CB" w:rsidP="001708CB">
      <w:pPr>
        <w:rPr>
          <w:lang w:val="fr-FR"/>
        </w:rPr>
      </w:pPr>
    </w:p>
    <w:p w14:paraId="1F9B5C56" w14:textId="2DC2E1B5" w:rsidR="004B418C" w:rsidRPr="00021BE2" w:rsidRDefault="004B418C" w:rsidP="004B418C">
      <w:pPr>
        <w:rPr>
          <w:b/>
          <w:lang w:val="fr-FR"/>
        </w:rPr>
      </w:pPr>
      <w:r w:rsidRPr="00021BE2">
        <w:rPr>
          <w:b/>
          <w:lang w:val="fr-FR"/>
        </w:rPr>
        <w:t>Question 2</w:t>
      </w:r>
      <w:r w:rsidR="00B1149E" w:rsidRPr="00021BE2">
        <w:rPr>
          <w:b/>
          <w:lang w:val="fr-FR"/>
        </w:rPr>
        <w:t>: Veuillez informer sur les périodes de temps pour les demandes préservation dans le cadre de l’article 29 de la Convention de Budapest dans votre pays</w:t>
      </w:r>
      <w:r w:rsidRPr="00021BE2">
        <w:rPr>
          <w:b/>
          <w:lang w:val="fr-FR"/>
        </w:rPr>
        <w:t>.</w:t>
      </w:r>
      <w:r w:rsidR="001D2B0F" w:rsidRPr="00021BE2">
        <w:rPr>
          <w:rStyle w:val="FootnoteReference"/>
          <w:b/>
          <w:lang w:val="fr-FR"/>
        </w:rPr>
        <w:t xml:space="preserve"> </w:t>
      </w:r>
      <w:r w:rsidR="001D2B0F" w:rsidRPr="00021BE2">
        <w:rPr>
          <w:rStyle w:val="FootnoteReference"/>
          <w:b/>
          <w:lang w:val="fr-FR"/>
        </w:rPr>
        <w:footnoteReference w:id="2"/>
      </w:r>
    </w:p>
    <w:p w14:paraId="609B4AF2" w14:textId="77777777" w:rsidR="001708CB" w:rsidRPr="00021BE2" w:rsidRDefault="001708CB">
      <w:pPr>
        <w:rPr>
          <w:lang w:val="fr-FR"/>
        </w:rPr>
      </w:pPr>
    </w:p>
    <w:tbl>
      <w:tblPr>
        <w:tblStyle w:val="TableGrid"/>
        <w:tblW w:w="8926" w:type="dxa"/>
        <w:tblLayout w:type="fixed"/>
        <w:tblLook w:val="04A0" w:firstRow="1" w:lastRow="0" w:firstColumn="1" w:lastColumn="0" w:noHBand="0" w:noVBand="1"/>
      </w:tblPr>
      <w:tblGrid>
        <w:gridCol w:w="8926"/>
      </w:tblGrid>
      <w:tr w:rsidR="00F77EF2" w:rsidRPr="00021BE2" w14:paraId="64DC8290" w14:textId="77777777" w:rsidTr="008A1AD8">
        <w:tc>
          <w:tcPr>
            <w:tcW w:w="8926" w:type="dxa"/>
            <w:shd w:val="clear" w:color="auto" w:fill="D9D9D9" w:themeFill="background1" w:themeFillShade="D9"/>
          </w:tcPr>
          <w:p w14:paraId="5F6BD18F" w14:textId="41EC3084" w:rsidR="00C15488" w:rsidRPr="00021BE2" w:rsidRDefault="00C15488" w:rsidP="00C15488">
            <w:pPr>
              <w:pStyle w:val="Reclist"/>
              <w:rPr>
                <w:lang w:val="fr-FR"/>
              </w:rPr>
            </w:pPr>
            <w:r w:rsidRPr="00021BE2">
              <w:rPr>
                <w:lang w:val="fr-FR"/>
              </w:rPr>
              <w:t xml:space="preserve">Le  T-CY devrait faciliter une plus grande transparence </w:t>
            </w:r>
            <w:r w:rsidR="00D40709" w:rsidRPr="00021BE2">
              <w:rPr>
                <w:lang w:val="fr-FR"/>
              </w:rPr>
              <w:t>vis-à-vis</w:t>
            </w:r>
            <w:r w:rsidRPr="00021BE2">
              <w:rPr>
                <w:lang w:val="fr-FR"/>
              </w:rPr>
              <w:t xml:space="preserve"> la période de conservation des données </w:t>
            </w:r>
            <w:r w:rsidR="00D40709" w:rsidRPr="00021BE2">
              <w:rPr>
                <w:lang w:val="fr-FR"/>
              </w:rPr>
              <w:t>suite à</w:t>
            </w:r>
            <w:r w:rsidRPr="00021BE2">
              <w:rPr>
                <w:lang w:val="fr-FR"/>
              </w:rPr>
              <w:t xml:space="preserve"> une demande de conservation</w:t>
            </w:r>
            <w:r w:rsidR="00D40709" w:rsidRPr="00021BE2">
              <w:rPr>
                <w:lang w:val="fr-FR"/>
              </w:rPr>
              <w:t xml:space="preserve"> conformément  l’article 29 de la Convention de Budapest. Le T-CY devrait documenter les périodes de conservation :</w:t>
            </w:r>
          </w:p>
          <w:p w14:paraId="2EFAC175" w14:textId="36F6DD98" w:rsidR="00F77EF2" w:rsidRPr="00021BE2" w:rsidRDefault="00F77EF2" w:rsidP="00F77EF2">
            <w:pPr>
              <w:rPr>
                <w:lang w:val="fr-FR"/>
              </w:rPr>
            </w:pPr>
          </w:p>
        </w:tc>
      </w:tr>
      <w:tr w:rsidR="00F77EF2" w:rsidRPr="00426585" w14:paraId="2398DA69" w14:textId="77777777" w:rsidTr="008A1AD8">
        <w:tc>
          <w:tcPr>
            <w:tcW w:w="8926" w:type="dxa"/>
            <w:shd w:val="clear" w:color="auto" w:fill="auto"/>
          </w:tcPr>
          <w:p w14:paraId="7A89BF14" w14:textId="3539C9CB" w:rsidR="00F77EF2" w:rsidRPr="00021BE2" w:rsidRDefault="00D40709" w:rsidP="008A1AD8">
            <w:pPr>
              <w:rPr>
                <w:lang w:val="fr-FR"/>
              </w:rPr>
            </w:pPr>
            <w:r w:rsidRPr="00021BE2">
              <w:rPr>
                <w:lang w:val="fr-FR"/>
              </w:rPr>
              <w:t>Période de conservation pour la préservation des données suite à une demande étrangère:</w:t>
            </w:r>
            <w:r w:rsidR="001D2B0F" w:rsidRPr="00021BE2">
              <w:rPr>
                <w:rStyle w:val="FootnoteReference"/>
                <w:b/>
                <w:lang w:val="fr-FR"/>
              </w:rPr>
              <w:t xml:space="preserve"> </w:t>
            </w:r>
          </w:p>
          <w:p w14:paraId="11744A45" w14:textId="77777777" w:rsidR="00F77EF2" w:rsidRPr="00021BE2" w:rsidRDefault="00F77EF2" w:rsidP="008A1AD8">
            <w:pPr>
              <w:rPr>
                <w:lang w:val="fr-FR"/>
              </w:rPr>
            </w:pPr>
          </w:p>
          <w:p w14:paraId="3551F10A" w14:textId="77777777" w:rsidR="00F77EF2" w:rsidRPr="00021BE2" w:rsidRDefault="00F77EF2" w:rsidP="008A1AD8">
            <w:pPr>
              <w:rPr>
                <w:lang w:val="fr-FR"/>
              </w:rPr>
            </w:pPr>
          </w:p>
        </w:tc>
      </w:tr>
      <w:tr w:rsidR="00165499" w:rsidRPr="00426585" w14:paraId="6AEC6BC9" w14:textId="77777777" w:rsidTr="008A1AD8">
        <w:tc>
          <w:tcPr>
            <w:tcW w:w="8926" w:type="dxa"/>
            <w:shd w:val="clear" w:color="auto" w:fill="auto"/>
          </w:tcPr>
          <w:p w14:paraId="1AD8C6AE" w14:textId="1AE00A65" w:rsidR="00165499" w:rsidRPr="00021BE2" w:rsidRDefault="00D40709" w:rsidP="00165499">
            <w:pPr>
              <w:rPr>
                <w:lang w:val="fr-FR"/>
              </w:rPr>
            </w:pPr>
            <w:r w:rsidRPr="00021BE2">
              <w:rPr>
                <w:lang w:val="fr-FR"/>
              </w:rPr>
              <w:t>Les conditions et périodes de conservation afin de prolonger ou renouveler la conservation de données spécifiques :</w:t>
            </w:r>
          </w:p>
          <w:p w14:paraId="094AD44F" w14:textId="77777777" w:rsidR="00226207" w:rsidRPr="00021BE2" w:rsidRDefault="00226207" w:rsidP="00165499">
            <w:pPr>
              <w:rPr>
                <w:lang w:val="fr-FR"/>
              </w:rPr>
            </w:pPr>
          </w:p>
          <w:p w14:paraId="0723291A" w14:textId="469B5627" w:rsidR="00226207" w:rsidRPr="00021BE2" w:rsidRDefault="00226207" w:rsidP="00165499">
            <w:pPr>
              <w:rPr>
                <w:lang w:val="fr-FR"/>
              </w:rPr>
            </w:pPr>
          </w:p>
        </w:tc>
      </w:tr>
    </w:tbl>
    <w:p w14:paraId="5BDBD7D8" w14:textId="77777777" w:rsidR="00F77EF2" w:rsidRPr="00021BE2" w:rsidRDefault="00F77EF2">
      <w:pPr>
        <w:rPr>
          <w:lang w:val="fr-FR"/>
        </w:rPr>
      </w:pPr>
    </w:p>
    <w:p w14:paraId="1BF45BA1" w14:textId="77777777" w:rsidR="00F77EF2" w:rsidRPr="00021BE2" w:rsidRDefault="00F77EF2">
      <w:pPr>
        <w:rPr>
          <w:lang w:val="fr-FR"/>
        </w:rPr>
      </w:pPr>
    </w:p>
    <w:p w14:paraId="4F300C12" w14:textId="77777777" w:rsidR="00F77EF2" w:rsidRPr="00021BE2" w:rsidRDefault="00F77EF2">
      <w:pPr>
        <w:rPr>
          <w:lang w:val="fr-FR"/>
        </w:rPr>
      </w:pPr>
    </w:p>
    <w:sectPr w:rsidR="00F77EF2" w:rsidRPr="00021BE2" w:rsidSect="00426585">
      <w:footerReference w:type="even" r:id="rId14"/>
      <w:footerReference w:type="default" r:id="rId15"/>
      <w:pgSz w:w="12240" w:h="15840"/>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501198" w14:textId="77777777" w:rsidR="00980466" w:rsidRDefault="00980466">
      <w:r>
        <w:separator/>
      </w:r>
    </w:p>
  </w:endnote>
  <w:endnote w:type="continuationSeparator" w:id="0">
    <w:p w14:paraId="62E07525" w14:textId="77777777" w:rsidR="00980466" w:rsidRDefault="00980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xed Miriam Transparent">
    <w:panose1 w:val="020B0509050101010101"/>
    <w:charset w:val="B1"/>
    <w:family w:val="modern"/>
    <w:pitch w:val="fixed"/>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F4889" w14:textId="77777777" w:rsidR="002B29CD" w:rsidRDefault="002B29CD" w:rsidP="002C35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7E8304" w14:textId="77777777" w:rsidR="002B29CD" w:rsidRDefault="002B29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65DFA" w14:textId="77777777" w:rsidR="002B29CD" w:rsidRDefault="002B29CD" w:rsidP="002C35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6585">
      <w:rPr>
        <w:rStyle w:val="PageNumber"/>
        <w:noProof/>
      </w:rPr>
      <w:t>2</w:t>
    </w:r>
    <w:r>
      <w:rPr>
        <w:rStyle w:val="PageNumber"/>
      </w:rPr>
      <w:fldChar w:fldCharType="end"/>
    </w:r>
  </w:p>
  <w:p w14:paraId="1F8039CE" w14:textId="77777777" w:rsidR="002B29CD" w:rsidRDefault="002B29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03EB46" w14:textId="77777777" w:rsidR="00980466" w:rsidRDefault="00980466">
      <w:r>
        <w:separator/>
      </w:r>
    </w:p>
  </w:footnote>
  <w:footnote w:type="continuationSeparator" w:id="0">
    <w:p w14:paraId="2DBFD0C2" w14:textId="77777777" w:rsidR="00980466" w:rsidRDefault="00980466">
      <w:r>
        <w:continuationSeparator/>
      </w:r>
    </w:p>
  </w:footnote>
  <w:footnote w:id="1">
    <w:p w14:paraId="58E6339B" w14:textId="0CC1B2D3" w:rsidR="00226207" w:rsidRPr="00021BE2" w:rsidRDefault="00226207">
      <w:pPr>
        <w:pStyle w:val="FootnoteText"/>
        <w:rPr>
          <w:sz w:val="16"/>
          <w:szCs w:val="16"/>
          <w:lang w:val="fr-FR"/>
        </w:rPr>
      </w:pPr>
      <w:r w:rsidRPr="00226207">
        <w:rPr>
          <w:rStyle w:val="FootnoteReference"/>
          <w:sz w:val="16"/>
          <w:szCs w:val="16"/>
        </w:rPr>
        <w:footnoteRef/>
      </w:r>
      <w:r w:rsidRPr="00021BE2">
        <w:rPr>
          <w:sz w:val="16"/>
          <w:szCs w:val="16"/>
          <w:lang w:val="fr-FR"/>
        </w:rPr>
        <w:t xml:space="preserve"> </w:t>
      </w:r>
      <w:r w:rsidR="00D40709" w:rsidRPr="00021BE2">
        <w:rPr>
          <w:sz w:val="16"/>
          <w:szCs w:val="16"/>
          <w:lang w:val="fr-FR"/>
        </w:rPr>
        <w:t xml:space="preserve">Il est demandé de remplir cette zone </w:t>
      </w:r>
      <w:r w:rsidR="00021BE2" w:rsidRPr="00021BE2">
        <w:rPr>
          <w:sz w:val="16"/>
          <w:szCs w:val="16"/>
          <w:lang w:val="fr-FR"/>
        </w:rPr>
        <w:t>seulement si l’information demandée n’a pas déjà été fournies au T-CY précédemment</w:t>
      </w:r>
      <w:r w:rsidRPr="00021BE2">
        <w:rPr>
          <w:sz w:val="16"/>
          <w:szCs w:val="16"/>
          <w:lang w:val="fr-FR"/>
        </w:rPr>
        <w:t xml:space="preserve"> (</w:t>
      </w:r>
      <w:r w:rsidR="00021BE2">
        <w:rPr>
          <w:sz w:val="16"/>
          <w:szCs w:val="16"/>
          <w:lang w:val="fr-FR"/>
        </w:rPr>
        <w:t xml:space="preserve">voir </w:t>
      </w:r>
      <w:r w:rsidRPr="00021BE2">
        <w:rPr>
          <w:sz w:val="16"/>
          <w:szCs w:val="16"/>
          <w:lang w:val="fr-FR"/>
        </w:rPr>
        <w:t xml:space="preserve">document </w:t>
      </w:r>
      <w:hyperlink r:id="rId1" w:history="1">
        <w:r w:rsidRPr="00021BE2">
          <w:rPr>
            <w:rStyle w:val="Hyperlink"/>
            <w:sz w:val="16"/>
            <w:szCs w:val="16"/>
            <w:lang w:val="fr-FR"/>
          </w:rPr>
          <w:t>T-CY(2016)13</w:t>
        </w:r>
      </w:hyperlink>
      <w:r w:rsidRPr="00021BE2">
        <w:rPr>
          <w:sz w:val="16"/>
          <w:szCs w:val="16"/>
          <w:lang w:val="fr-FR"/>
        </w:rPr>
        <w:t>).</w:t>
      </w:r>
    </w:p>
  </w:footnote>
  <w:footnote w:id="2">
    <w:p w14:paraId="212093CB" w14:textId="77777777" w:rsidR="001D2B0F" w:rsidRDefault="001D2B0F" w:rsidP="001D2B0F">
      <w:r>
        <w:rPr>
          <w:rStyle w:val="FootnoteReference"/>
        </w:rPr>
        <w:footnoteRef/>
      </w:r>
      <w:r>
        <w:t xml:space="preserve"> </w:t>
      </w:r>
      <w:r w:rsidRPr="004B418C">
        <w:rPr>
          <w:sz w:val="16"/>
          <w:szCs w:val="16"/>
        </w:rPr>
        <w:t>Article 29.7 Budapest Convention foresees that</w:t>
      </w:r>
      <w:r>
        <w:rPr>
          <w:sz w:val="16"/>
          <w:szCs w:val="16"/>
        </w:rPr>
        <w:t>:</w:t>
      </w:r>
    </w:p>
    <w:p w14:paraId="1C460C73" w14:textId="2772A509" w:rsidR="001D2B0F" w:rsidRPr="00D40709" w:rsidRDefault="001D2B0F" w:rsidP="00D40709">
      <w:pPr>
        <w:ind w:left="720"/>
        <w:rPr>
          <w:lang w:val="fr-FR"/>
        </w:rPr>
      </w:pPr>
      <w:r w:rsidRPr="00D40709">
        <w:rPr>
          <w:rStyle w:val="normal10"/>
          <w:sz w:val="16"/>
          <w:szCs w:val="16"/>
          <w:lang w:val="fr-FR"/>
        </w:rPr>
        <w:t>“</w:t>
      </w:r>
      <w:r w:rsidR="00D40709" w:rsidRPr="00D40709">
        <w:rPr>
          <w:rStyle w:val="normal10"/>
          <w:sz w:val="16"/>
          <w:szCs w:val="16"/>
          <w:lang w:val="fr-FR"/>
        </w:rPr>
        <w:t>Toute conservation effectuée en réponse à une demande visée au</w:t>
      </w:r>
      <w:r w:rsidR="00D40709">
        <w:rPr>
          <w:rStyle w:val="normal10"/>
          <w:sz w:val="16"/>
          <w:szCs w:val="16"/>
          <w:lang w:val="fr-FR"/>
        </w:rPr>
        <w:t xml:space="preserve"> paragraphe 1 sera valable pour </w:t>
      </w:r>
      <w:r w:rsidR="00D40709" w:rsidRPr="00D40709">
        <w:rPr>
          <w:rStyle w:val="normal10"/>
          <w:sz w:val="16"/>
          <w:szCs w:val="16"/>
          <w:lang w:val="fr-FR"/>
        </w:rPr>
        <w:t>une période d'au moins soixante jours afin de permettre à la Partie requérante de soumettre une demande en vue de la perquisition ou de l’accès par un moyen similaire, de la saisie ou de l’obtention par un moyen similaire, ou de la divulgation des données. Après la réception d’une telle demande, les données doivent continuer à être conservées en attendant l’adoption d'une décision concernant la demande.</w:t>
      </w:r>
      <w:r w:rsidR="00D40709">
        <w:rPr>
          <w:rStyle w:val="normal10"/>
          <w:sz w:val="16"/>
          <w:szCs w:val="16"/>
          <w:lang w:val="fr-FR"/>
        </w:rPr>
        <w: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081B"/>
    <w:multiLevelType w:val="hybridMultilevel"/>
    <w:tmpl w:val="AA8060C4"/>
    <w:lvl w:ilvl="0" w:tplc="D0F83486">
      <w:start w:val="1"/>
      <w:numFmt w:val="decimal"/>
      <w:pStyle w:val="Reclist"/>
      <w:lvlText w:val="Rec %1"/>
      <w:lvlJc w:val="left"/>
      <w:pPr>
        <w:ind w:left="928" w:hanging="360"/>
      </w:pPr>
      <w:rPr>
        <w:rFonts w:ascii="Verdana" w:hAnsi="Verdana" w:cs="Times New Roman" w:hint="default"/>
        <w:caps w:val="0"/>
        <w:strike w:val="0"/>
        <w:dstrike w:val="0"/>
        <w:vanish w:val="0"/>
        <w:sz w:val="16"/>
        <w:vertAlign w:val="baseline"/>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nsid w:val="03766E1B"/>
    <w:multiLevelType w:val="hybridMultilevel"/>
    <w:tmpl w:val="AD06456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3980627"/>
    <w:multiLevelType w:val="hybridMultilevel"/>
    <w:tmpl w:val="63C614E6"/>
    <w:lvl w:ilvl="0" w:tplc="EDA80B36">
      <w:start w:val="1"/>
      <w:numFmt w:val="bullet"/>
      <w:pStyle w:val="answer"/>
      <w:lvlText w:val="►"/>
      <w:lvlJc w:val="left"/>
      <w:pPr>
        <w:tabs>
          <w:tab w:val="num" w:pos="284"/>
        </w:tabs>
        <w:ind w:left="284" w:hanging="284"/>
      </w:pPr>
      <w:rPr>
        <w:rFonts w:ascii="Arial Narrow" w:hAnsi="Arial Narro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244871"/>
    <w:multiLevelType w:val="hybridMultilevel"/>
    <w:tmpl w:val="A7447584"/>
    <w:lvl w:ilvl="0" w:tplc="C84C9EA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267082F"/>
    <w:multiLevelType w:val="hybridMultilevel"/>
    <w:tmpl w:val="2EB2DF8C"/>
    <w:lvl w:ilvl="0" w:tplc="4490A82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307D67F5"/>
    <w:multiLevelType w:val="multilevel"/>
    <w:tmpl w:val="3A624A3E"/>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Q %1.%2.%3"/>
      <w:lvlJc w:val="left"/>
      <w:pPr>
        <w:tabs>
          <w:tab w:val="num" w:pos="851"/>
        </w:tabs>
        <w:ind w:left="851" w:hanging="851"/>
      </w:pPr>
      <w:rPr>
        <w:rFonts w:ascii="Verdana" w:hAnsi="Verdana" w:hint="default"/>
      </w:rPr>
    </w:lvl>
    <w:lvl w:ilvl="3">
      <w:start w:val="1"/>
      <w:numFmt w:val="decimal"/>
      <w:pStyle w:val="Heading4"/>
      <w:lvlText w:val="%1.%2.%3.%4"/>
      <w:lvlJc w:val="left"/>
      <w:pPr>
        <w:tabs>
          <w:tab w:val="num" w:pos="0"/>
        </w:tabs>
        <w:ind w:left="864" w:hanging="864"/>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6">
    <w:nsid w:val="391C35BD"/>
    <w:multiLevelType w:val="multilevel"/>
    <w:tmpl w:val="63C614E6"/>
    <w:lvl w:ilvl="0">
      <w:start w:val="1"/>
      <w:numFmt w:val="bullet"/>
      <w:lvlText w:val="►"/>
      <w:lvlJc w:val="left"/>
      <w:pPr>
        <w:tabs>
          <w:tab w:val="num" w:pos="284"/>
        </w:tabs>
        <w:ind w:left="284" w:hanging="284"/>
      </w:pPr>
      <w:rPr>
        <w:rFonts w:ascii="Arial Narrow" w:hAnsi="Arial Narro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4F245792"/>
    <w:multiLevelType w:val="multilevel"/>
    <w:tmpl w:val="F12A8B6C"/>
    <w:lvl w:ilvl="0">
      <w:start w:val="1"/>
      <w:numFmt w:val="decimal"/>
      <w:lvlText w:val="%1"/>
      <w:lvlJc w:val="left"/>
      <w:pPr>
        <w:tabs>
          <w:tab w:val="num" w:pos="851"/>
        </w:tabs>
        <w:ind w:left="851" w:hanging="851"/>
      </w:pPr>
      <w:rPr>
        <w:rFonts w:hint="default"/>
      </w:rPr>
    </w:lvl>
    <w:lvl w:ilvl="1">
      <w:start w:val="1"/>
      <w:numFmt w:val="decimal"/>
      <w:lvlText w:val="Q %1.%2"/>
      <w:lvlJc w:val="left"/>
      <w:pPr>
        <w:tabs>
          <w:tab w:val="num" w:pos="851"/>
        </w:tabs>
        <w:ind w:left="851" w:hanging="851"/>
      </w:pPr>
      <w:rPr>
        <w:rFonts w:hint="default"/>
      </w:rPr>
    </w:lvl>
    <w:lvl w:ilvl="2">
      <w:start w:val="1"/>
      <w:numFmt w:val="decimal"/>
      <w:lvlText w:val="Q %1.%2.%3"/>
      <w:lvlJc w:val="left"/>
      <w:pPr>
        <w:tabs>
          <w:tab w:val="num" w:pos="851"/>
        </w:tabs>
        <w:ind w:left="851" w:hanging="851"/>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8">
    <w:nsid w:val="4FA47D6F"/>
    <w:multiLevelType w:val="hybridMultilevel"/>
    <w:tmpl w:val="E23E168A"/>
    <w:lvl w:ilvl="0" w:tplc="04090019">
      <w:start w:val="1"/>
      <w:numFmt w:val="lowerLetter"/>
      <w:lvlText w:val="%1."/>
      <w:lvlJc w:val="left"/>
      <w:pPr>
        <w:ind w:left="928" w:hanging="360"/>
      </w:pPr>
      <w:rPr>
        <w:rFonts w:hint="default"/>
        <w:caps w:val="0"/>
        <w:strike w:val="0"/>
        <w:dstrike w:val="0"/>
        <w:vanish w:val="0"/>
        <w:sz w:val="16"/>
        <w:vertAlign w:val="baseline"/>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9">
    <w:nsid w:val="50824E35"/>
    <w:multiLevelType w:val="hybridMultilevel"/>
    <w:tmpl w:val="11B2533E"/>
    <w:lvl w:ilvl="0" w:tplc="36D876CC">
      <w:start w:val="5"/>
      <w:numFmt w:val="bullet"/>
      <w:pStyle w:val="bul2"/>
      <w:lvlText w:val=""/>
      <w:lvlJc w:val="left"/>
      <w:pPr>
        <w:tabs>
          <w:tab w:val="num" w:pos="567"/>
        </w:tabs>
        <w:ind w:left="567" w:hanging="567"/>
      </w:pPr>
      <w:rPr>
        <w:rFonts w:ascii="Wingdings" w:eastAsia="Fixed Miriam Transparent"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5"/>
  </w:num>
  <w:num w:numId="3">
    <w:abstractNumId w:val="5"/>
  </w:num>
  <w:num w:numId="4">
    <w:abstractNumId w:val="7"/>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2"/>
  </w:num>
  <w:num w:numId="26">
    <w:abstractNumId w:val="5"/>
  </w:num>
  <w:num w:numId="27">
    <w:abstractNumId w:val="5"/>
  </w:num>
  <w:num w:numId="28">
    <w:abstractNumId w:val="5"/>
  </w:num>
  <w:num w:numId="29">
    <w:abstractNumId w:val="5"/>
  </w:num>
  <w:num w:numId="30">
    <w:abstractNumId w:val="6"/>
  </w:num>
  <w:num w:numId="31">
    <w:abstractNumId w:val="9"/>
  </w:num>
  <w:num w:numId="32">
    <w:abstractNumId w:val="2"/>
  </w:num>
  <w:num w:numId="33">
    <w:abstractNumId w:val="2"/>
  </w:num>
  <w:num w:numId="34">
    <w:abstractNumId w:val="4"/>
  </w:num>
  <w:num w:numId="35">
    <w:abstractNumId w:val="1"/>
  </w:num>
  <w:num w:numId="36">
    <w:abstractNumId w:val="5"/>
  </w:num>
  <w:num w:numId="37">
    <w:abstractNumId w:val="5"/>
  </w:num>
  <w:num w:numId="38">
    <w:abstractNumId w:val="0"/>
  </w:num>
  <w:num w:numId="39">
    <w:abstractNumId w:val="3"/>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C3A"/>
    <w:rsid w:val="00021BE2"/>
    <w:rsid w:val="000333A4"/>
    <w:rsid w:val="00034BE4"/>
    <w:rsid w:val="00036018"/>
    <w:rsid w:val="000415CD"/>
    <w:rsid w:val="0004448A"/>
    <w:rsid w:val="00051FCB"/>
    <w:rsid w:val="00063807"/>
    <w:rsid w:val="00087C65"/>
    <w:rsid w:val="00090759"/>
    <w:rsid w:val="00090928"/>
    <w:rsid w:val="000A2E70"/>
    <w:rsid w:val="000F43BA"/>
    <w:rsid w:val="00122D4E"/>
    <w:rsid w:val="001541A7"/>
    <w:rsid w:val="00157B46"/>
    <w:rsid w:val="00161AE8"/>
    <w:rsid w:val="00163D15"/>
    <w:rsid w:val="00164E17"/>
    <w:rsid w:val="00165499"/>
    <w:rsid w:val="001666F0"/>
    <w:rsid w:val="00166D63"/>
    <w:rsid w:val="001708CB"/>
    <w:rsid w:val="001720BD"/>
    <w:rsid w:val="00192903"/>
    <w:rsid w:val="00192BFE"/>
    <w:rsid w:val="001A78EC"/>
    <w:rsid w:val="001B14B3"/>
    <w:rsid w:val="001B1E44"/>
    <w:rsid w:val="001C7541"/>
    <w:rsid w:val="001D1E1C"/>
    <w:rsid w:val="001D2B0F"/>
    <w:rsid w:val="001D2EB4"/>
    <w:rsid w:val="001D48C3"/>
    <w:rsid w:val="001D490B"/>
    <w:rsid w:val="001F20D9"/>
    <w:rsid w:val="00206C8E"/>
    <w:rsid w:val="00221016"/>
    <w:rsid w:val="00224F27"/>
    <w:rsid w:val="00226207"/>
    <w:rsid w:val="002333BC"/>
    <w:rsid w:val="00242B37"/>
    <w:rsid w:val="0025001D"/>
    <w:rsid w:val="00277259"/>
    <w:rsid w:val="00290057"/>
    <w:rsid w:val="002952C1"/>
    <w:rsid w:val="0029553A"/>
    <w:rsid w:val="002B29CD"/>
    <w:rsid w:val="002C1BC6"/>
    <w:rsid w:val="002C35EB"/>
    <w:rsid w:val="002D2CC3"/>
    <w:rsid w:val="002D4354"/>
    <w:rsid w:val="002E6921"/>
    <w:rsid w:val="003023CA"/>
    <w:rsid w:val="00303DC5"/>
    <w:rsid w:val="00312026"/>
    <w:rsid w:val="00315823"/>
    <w:rsid w:val="00322555"/>
    <w:rsid w:val="00323465"/>
    <w:rsid w:val="0032458F"/>
    <w:rsid w:val="0033055F"/>
    <w:rsid w:val="00344323"/>
    <w:rsid w:val="00345494"/>
    <w:rsid w:val="00364D7C"/>
    <w:rsid w:val="00371C03"/>
    <w:rsid w:val="0038097C"/>
    <w:rsid w:val="00385EB1"/>
    <w:rsid w:val="0039141A"/>
    <w:rsid w:val="00397F71"/>
    <w:rsid w:val="003A00F1"/>
    <w:rsid w:val="003A761E"/>
    <w:rsid w:val="003A7FE3"/>
    <w:rsid w:val="003B1571"/>
    <w:rsid w:val="003D0245"/>
    <w:rsid w:val="003D2932"/>
    <w:rsid w:val="003E5C9F"/>
    <w:rsid w:val="003F5502"/>
    <w:rsid w:val="0041776C"/>
    <w:rsid w:val="00426585"/>
    <w:rsid w:val="0043060A"/>
    <w:rsid w:val="00440130"/>
    <w:rsid w:val="004437F1"/>
    <w:rsid w:val="00443F18"/>
    <w:rsid w:val="00451731"/>
    <w:rsid w:val="0046027B"/>
    <w:rsid w:val="00483123"/>
    <w:rsid w:val="0049143E"/>
    <w:rsid w:val="004A1C26"/>
    <w:rsid w:val="004B418C"/>
    <w:rsid w:val="004C2417"/>
    <w:rsid w:val="004D60A5"/>
    <w:rsid w:val="004D6E6F"/>
    <w:rsid w:val="004F3ABD"/>
    <w:rsid w:val="00517E26"/>
    <w:rsid w:val="00544B6D"/>
    <w:rsid w:val="00550F99"/>
    <w:rsid w:val="005B0D44"/>
    <w:rsid w:val="005B6893"/>
    <w:rsid w:val="005E03F8"/>
    <w:rsid w:val="00602DA3"/>
    <w:rsid w:val="00633225"/>
    <w:rsid w:val="00635FF6"/>
    <w:rsid w:val="00661D81"/>
    <w:rsid w:val="0067293D"/>
    <w:rsid w:val="00675C79"/>
    <w:rsid w:val="006B0114"/>
    <w:rsid w:val="006B4392"/>
    <w:rsid w:val="006C74C0"/>
    <w:rsid w:val="006D74AD"/>
    <w:rsid w:val="006E6190"/>
    <w:rsid w:val="006F79E5"/>
    <w:rsid w:val="0075269A"/>
    <w:rsid w:val="00764749"/>
    <w:rsid w:val="00770AB5"/>
    <w:rsid w:val="00791126"/>
    <w:rsid w:val="00791E55"/>
    <w:rsid w:val="007B3A87"/>
    <w:rsid w:val="007B4845"/>
    <w:rsid w:val="007C354E"/>
    <w:rsid w:val="007C3693"/>
    <w:rsid w:val="007E07D7"/>
    <w:rsid w:val="007E59A2"/>
    <w:rsid w:val="00807422"/>
    <w:rsid w:val="008126CF"/>
    <w:rsid w:val="00817F16"/>
    <w:rsid w:val="00830777"/>
    <w:rsid w:val="0083099A"/>
    <w:rsid w:val="008438B7"/>
    <w:rsid w:val="00843C93"/>
    <w:rsid w:val="008464C2"/>
    <w:rsid w:val="0086664F"/>
    <w:rsid w:val="00873F13"/>
    <w:rsid w:val="008850AA"/>
    <w:rsid w:val="008B3F01"/>
    <w:rsid w:val="008B7CCF"/>
    <w:rsid w:val="008D223F"/>
    <w:rsid w:val="008D28F3"/>
    <w:rsid w:val="008E5763"/>
    <w:rsid w:val="008F16E9"/>
    <w:rsid w:val="008F6C3A"/>
    <w:rsid w:val="00906033"/>
    <w:rsid w:val="00934676"/>
    <w:rsid w:val="00951EFC"/>
    <w:rsid w:val="00961B63"/>
    <w:rsid w:val="00980466"/>
    <w:rsid w:val="0098786F"/>
    <w:rsid w:val="00993969"/>
    <w:rsid w:val="009A6C99"/>
    <w:rsid w:val="009B2CB1"/>
    <w:rsid w:val="009E4436"/>
    <w:rsid w:val="00A05052"/>
    <w:rsid w:val="00A1244E"/>
    <w:rsid w:val="00A30858"/>
    <w:rsid w:val="00A41DAC"/>
    <w:rsid w:val="00A566D2"/>
    <w:rsid w:val="00A65AA0"/>
    <w:rsid w:val="00A72027"/>
    <w:rsid w:val="00A772E9"/>
    <w:rsid w:val="00A774ED"/>
    <w:rsid w:val="00A903F8"/>
    <w:rsid w:val="00AA0314"/>
    <w:rsid w:val="00AA65BB"/>
    <w:rsid w:val="00AB54C6"/>
    <w:rsid w:val="00AC0550"/>
    <w:rsid w:val="00AD30C9"/>
    <w:rsid w:val="00AD5C4A"/>
    <w:rsid w:val="00AE1683"/>
    <w:rsid w:val="00B01ABB"/>
    <w:rsid w:val="00B0263F"/>
    <w:rsid w:val="00B106FD"/>
    <w:rsid w:val="00B1149E"/>
    <w:rsid w:val="00B22164"/>
    <w:rsid w:val="00B553DA"/>
    <w:rsid w:val="00B73DE7"/>
    <w:rsid w:val="00B8182F"/>
    <w:rsid w:val="00B930DC"/>
    <w:rsid w:val="00B93D43"/>
    <w:rsid w:val="00BA3544"/>
    <w:rsid w:val="00BB0891"/>
    <w:rsid w:val="00BC7F6F"/>
    <w:rsid w:val="00BD2DCB"/>
    <w:rsid w:val="00BD6557"/>
    <w:rsid w:val="00C04EA9"/>
    <w:rsid w:val="00C12A9C"/>
    <w:rsid w:val="00C15488"/>
    <w:rsid w:val="00C37C4D"/>
    <w:rsid w:val="00C76026"/>
    <w:rsid w:val="00CA34B3"/>
    <w:rsid w:val="00CC159E"/>
    <w:rsid w:val="00CC2131"/>
    <w:rsid w:val="00CC314D"/>
    <w:rsid w:val="00CC4645"/>
    <w:rsid w:val="00CC5547"/>
    <w:rsid w:val="00CD23AB"/>
    <w:rsid w:val="00D00EC6"/>
    <w:rsid w:val="00D031CA"/>
    <w:rsid w:val="00D100E5"/>
    <w:rsid w:val="00D30091"/>
    <w:rsid w:val="00D317CC"/>
    <w:rsid w:val="00D32E5B"/>
    <w:rsid w:val="00D33E85"/>
    <w:rsid w:val="00D40709"/>
    <w:rsid w:val="00D41104"/>
    <w:rsid w:val="00D4785A"/>
    <w:rsid w:val="00D51031"/>
    <w:rsid w:val="00D511B2"/>
    <w:rsid w:val="00D536F6"/>
    <w:rsid w:val="00D53AFC"/>
    <w:rsid w:val="00D733F8"/>
    <w:rsid w:val="00D8037D"/>
    <w:rsid w:val="00D8165D"/>
    <w:rsid w:val="00D9121E"/>
    <w:rsid w:val="00D93C31"/>
    <w:rsid w:val="00D97C42"/>
    <w:rsid w:val="00DA4A23"/>
    <w:rsid w:val="00DB34D6"/>
    <w:rsid w:val="00DB6042"/>
    <w:rsid w:val="00DC00B9"/>
    <w:rsid w:val="00DD5C41"/>
    <w:rsid w:val="00DE3705"/>
    <w:rsid w:val="00E0455E"/>
    <w:rsid w:val="00E2789D"/>
    <w:rsid w:val="00E30394"/>
    <w:rsid w:val="00E44F70"/>
    <w:rsid w:val="00E547FD"/>
    <w:rsid w:val="00E54F3E"/>
    <w:rsid w:val="00E61510"/>
    <w:rsid w:val="00E80A91"/>
    <w:rsid w:val="00EA1D42"/>
    <w:rsid w:val="00EA546B"/>
    <w:rsid w:val="00EB13A8"/>
    <w:rsid w:val="00EE55FB"/>
    <w:rsid w:val="00EF384B"/>
    <w:rsid w:val="00F00308"/>
    <w:rsid w:val="00F07B77"/>
    <w:rsid w:val="00F10E3F"/>
    <w:rsid w:val="00F35FD2"/>
    <w:rsid w:val="00F441A3"/>
    <w:rsid w:val="00F57AAC"/>
    <w:rsid w:val="00F57C21"/>
    <w:rsid w:val="00F644A3"/>
    <w:rsid w:val="00F6731F"/>
    <w:rsid w:val="00F752F7"/>
    <w:rsid w:val="00F77EF2"/>
    <w:rsid w:val="00F824AF"/>
    <w:rsid w:val="00F9093C"/>
    <w:rsid w:val="00FB31D8"/>
    <w:rsid w:val="00FB60AA"/>
    <w:rsid w:val="00FF3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52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130"/>
    <w:pPr>
      <w:spacing w:line="260" w:lineRule="atLeast"/>
      <w:jc w:val="both"/>
    </w:pPr>
    <w:rPr>
      <w:rFonts w:ascii="Verdana" w:hAnsi="Verdana"/>
      <w:sz w:val="18"/>
      <w:szCs w:val="24"/>
      <w:lang w:val="en-GB"/>
    </w:rPr>
  </w:style>
  <w:style w:type="paragraph" w:styleId="Heading1">
    <w:name w:val="heading 1"/>
    <w:basedOn w:val="Normal"/>
    <w:next w:val="Normal"/>
    <w:qFormat/>
    <w:rsid w:val="00B93D43"/>
    <w:pPr>
      <w:keepNext/>
      <w:numPr>
        <w:numId w:val="1"/>
      </w:numPr>
      <w:outlineLvl w:val="0"/>
    </w:pPr>
    <w:rPr>
      <w:rFonts w:cs="Arial"/>
      <w:b/>
      <w:bCs/>
      <w:kern w:val="32"/>
      <w:sz w:val="22"/>
      <w:szCs w:val="32"/>
    </w:rPr>
  </w:style>
  <w:style w:type="paragraph" w:styleId="Heading2">
    <w:name w:val="heading 2"/>
    <w:basedOn w:val="Normal"/>
    <w:next w:val="Normal"/>
    <w:qFormat/>
    <w:rsid w:val="00B93D43"/>
    <w:pPr>
      <w:keepNext/>
      <w:numPr>
        <w:ilvl w:val="1"/>
        <w:numId w:val="1"/>
      </w:numPr>
      <w:outlineLvl w:val="1"/>
    </w:pPr>
    <w:rPr>
      <w:rFonts w:cs="Arial"/>
      <w:b/>
      <w:bCs/>
      <w:iCs/>
      <w:sz w:val="20"/>
      <w:szCs w:val="28"/>
    </w:rPr>
  </w:style>
  <w:style w:type="paragraph" w:styleId="Heading3">
    <w:name w:val="heading 3"/>
    <w:basedOn w:val="Normal"/>
    <w:next w:val="Normal"/>
    <w:qFormat/>
    <w:rsid w:val="00B93D43"/>
    <w:pPr>
      <w:keepNext/>
      <w:numPr>
        <w:ilvl w:val="2"/>
        <w:numId w:val="1"/>
      </w:numPr>
      <w:outlineLvl w:val="2"/>
    </w:pPr>
    <w:rPr>
      <w:rFonts w:cs="Arial"/>
      <w:bCs/>
      <w:szCs w:val="26"/>
    </w:rPr>
  </w:style>
  <w:style w:type="paragraph" w:styleId="Heading4">
    <w:name w:val="heading 4"/>
    <w:basedOn w:val="Normal"/>
    <w:next w:val="Normal"/>
    <w:qFormat/>
    <w:rsid w:val="00B93D43"/>
    <w:pPr>
      <w:keepNext/>
      <w:numPr>
        <w:ilvl w:val="3"/>
        <w:numId w:val="1"/>
      </w:numPr>
      <w:jc w:val="center"/>
      <w:outlineLvl w:val="3"/>
    </w:pPr>
    <w:rPr>
      <w:sz w:val="36"/>
      <w:szCs w:val="20"/>
      <w:lang w:val="it-IT"/>
    </w:rPr>
  </w:style>
  <w:style w:type="paragraph" w:styleId="Heading5">
    <w:name w:val="heading 5"/>
    <w:basedOn w:val="Normal"/>
    <w:next w:val="Normal"/>
    <w:qFormat/>
    <w:rsid w:val="00B93D43"/>
    <w:pPr>
      <w:numPr>
        <w:ilvl w:val="4"/>
        <w:numId w:val="1"/>
      </w:numPr>
      <w:spacing w:before="240" w:after="60"/>
      <w:outlineLvl w:val="4"/>
    </w:pPr>
    <w:rPr>
      <w:b/>
      <w:bCs/>
      <w:i/>
      <w:iCs/>
      <w:sz w:val="26"/>
      <w:szCs w:val="26"/>
    </w:rPr>
  </w:style>
  <w:style w:type="paragraph" w:styleId="Heading6">
    <w:name w:val="heading 6"/>
    <w:basedOn w:val="Normal"/>
    <w:next w:val="Normal"/>
    <w:qFormat/>
    <w:rsid w:val="00B93D43"/>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rsid w:val="00B93D43"/>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B93D43"/>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B93D4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EBullet">
    <w:name w:val="COE_Bullet"/>
    <w:basedOn w:val="Normal"/>
    <w:next w:val="Normal"/>
    <w:rsid w:val="00BC7F6F"/>
    <w:pPr>
      <w:keepNext/>
      <w:widowControl w:val="0"/>
    </w:pPr>
    <w:rPr>
      <w:sz w:val="20"/>
      <w:szCs w:val="20"/>
      <w:lang w:eastAsia="fr-FR"/>
    </w:rPr>
  </w:style>
  <w:style w:type="paragraph" w:customStyle="1" w:styleId="COECote">
    <w:name w:val="COE_Cote"/>
    <w:rsid w:val="00BC7F6F"/>
    <w:rPr>
      <w:bCs/>
      <w:iCs/>
      <w:sz w:val="24"/>
      <w:lang w:val="en-GB"/>
    </w:rPr>
  </w:style>
  <w:style w:type="paragraph" w:customStyle="1" w:styleId="COEDirectory">
    <w:name w:val="COE_Directory"/>
    <w:basedOn w:val="Normal"/>
    <w:next w:val="COECote"/>
    <w:rsid w:val="00BC7F6F"/>
    <w:rPr>
      <w:color w:val="808080"/>
      <w:lang w:val="fr-FR" w:eastAsia="fr-FR"/>
    </w:rPr>
  </w:style>
  <w:style w:type="paragraph" w:customStyle="1" w:styleId="COEHeading2">
    <w:name w:val="COE_Heading2"/>
    <w:rsid w:val="00BC7F6F"/>
    <w:rPr>
      <w:b/>
      <w:sz w:val="26"/>
      <w:lang w:val="en-GB"/>
    </w:rPr>
  </w:style>
  <w:style w:type="paragraph" w:customStyle="1" w:styleId="COEHeading3">
    <w:name w:val="COE_Heading3"/>
    <w:basedOn w:val="Normal"/>
    <w:rsid w:val="00BC7F6F"/>
    <w:rPr>
      <w:b/>
      <w:kern w:val="36"/>
      <w:lang w:val="fr-FR" w:eastAsia="fr-FR"/>
    </w:rPr>
  </w:style>
  <w:style w:type="paragraph" w:customStyle="1" w:styleId="COEIntro">
    <w:name w:val="COE_Intro"/>
    <w:basedOn w:val="Normal"/>
    <w:rsid w:val="00BC7F6F"/>
    <w:rPr>
      <w:lang w:val="fr-FR" w:eastAsia="fr-FR"/>
    </w:rPr>
  </w:style>
  <w:style w:type="paragraph" w:customStyle="1" w:styleId="COEList">
    <w:name w:val="COE_List"/>
    <w:basedOn w:val="Normal"/>
    <w:rsid w:val="00BC7F6F"/>
    <w:rPr>
      <w:lang w:val="fr-FR" w:eastAsia="fr-FR"/>
    </w:rPr>
  </w:style>
  <w:style w:type="paragraph" w:customStyle="1" w:styleId="COENoLignes">
    <w:name w:val="COE_NoLignes"/>
    <w:rsid w:val="00BC7F6F"/>
    <w:rPr>
      <w:sz w:val="24"/>
    </w:rPr>
  </w:style>
  <w:style w:type="paragraph" w:customStyle="1" w:styleId="COESummary">
    <w:name w:val="COE_Summary"/>
    <w:basedOn w:val="Normal"/>
    <w:rsid w:val="00BC7F6F"/>
    <w:rPr>
      <w:lang w:val="fr-FR" w:eastAsia="fr-FR"/>
    </w:rPr>
  </w:style>
  <w:style w:type="paragraph" w:customStyle="1" w:styleId="COETitleSytem">
    <w:name w:val="COE_Title(Sytem)"/>
    <w:basedOn w:val="Normal"/>
    <w:next w:val="Normal"/>
    <w:rsid w:val="00BC7F6F"/>
    <w:rPr>
      <w:color w:val="808080"/>
      <w:sz w:val="28"/>
      <w:lang w:val="fr-FR" w:eastAsia="fr-FR"/>
    </w:rPr>
  </w:style>
  <w:style w:type="paragraph" w:customStyle="1" w:styleId="COEType">
    <w:name w:val="COE_Type"/>
    <w:basedOn w:val="Normal"/>
    <w:rsid w:val="00BC7F6F"/>
    <w:rPr>
      <w:b/>
      <w:sz w:val="20"/>
      <w:lang w:val="fr-FR" w:eastAsia="fr-FR"/>
    </w:rPr>
  </w:style>
  <w:style w:type="character" w:customStyle="1" w:styleId="footnoteref">
    <w:name w:val="footnote ref"/>
    <w:rsid w:val="00C76026"/>
    <w:rPr>
      <w:rFonts w:ascii="Times New Roman" w:hAnsi="Times New Roman"/>
      <w:sz w:val="24"/>
    </w:rPr>
  </w:style>
  <w:style w:type="character" w:styleId="Hyperlink">
    <w:name w:val="Hyperlink"/>
    <w:basedOn w:val="DefaultParagraphFont"/>
    <w:rsid w:val="00206C8E"/>
    <w:rPr>
      <w:color w:val="0000FF"/>
      <w:u w:val="single"/>
    </w:rPr>
  </w:style>
  <w:style w:type="paragraph" w:styleId="Footer">
    <w:name w:val="footer"/>
    <w:basedOn w:val="Normal"/>
    <w:rsid w:val="00206C8E"/>
    <w:pPr>
      <w:tabs>
        <w:tab w:val="center" w:pos="4819"/>
        <w:tab w:val="right" w:pos="9638"/>
      </w:tabs>
    </w:pPr>
    <w:rPr>
      <w:sz w:val="19"/>
      <w:szCs w:val="20"/>
      <w:lang w:val="it-IT"/>
    </w:rPr>
  </w:style>
  <w:style w:type="character" w:styleId="PageNumber">
    <w:name w:val="page number"/>
    <w:basedOn w:val="DefaultParagraphFont"/>
    <w:rsid w:val="00206C8E"/>
  </w:style>
  <w:style w:type="paragraph" w:customStyle="1" w:styleId="StyleHeading2">
    <w:name w:val="Style Heading 2"/>
    <w:basedOn w:val="Heading2"/>
    <w:rsid w:val="00661D81"/>
    <w:rPr>
      <w:i/>
      <w:iCs w:val="0"/>
      <w:sz w:val="18"/>
    </w:rPr>
  </w:style>
  <w:style w:type="paragraph" w:customStyle="1" w:styleId="answer">
    <w:name w:val="answer"/>
    <w:basedOn w:val="Normal"/>
    <w:rsid w:val="00A566D2"/>
    <w:pPr>
      <w:numPr>
        <w:numId w:val="25"/>
      </w:numPr>
    </w:pPr>
  </w:style>
  <w:style w:type="paragraph" w:styleId="FootnoteText">
    <w:name w:val="footnote text"/>
    <w:basedOn w:val="Normal"/>
    <w:semiHidden/>
    <w:rsid w:val="0067293D"/>
    <w:rPr>
      <w:sz w:val="20"/>
      <w:szCs w:val="20"/>
    </w:rPr>
  </w:style>
  <w:style w:type="character" w:styleId="FootnoteReference">
    <w:name w:val="footnote reference"/>
    <w:basedOn w:val="DefaultParagraphFont"/>
    <w:semiHidden/>
    <w:rsid w:val="0067293D"/>
    <w:rPr>
      <w:vertAlign w:val="superscript"/>
    </w:rPr>
  </w:style>
  <w:style w:type="paragraph" w:customStyle="1" w:styleId="bul2">
    <w:name w:val="bul2"/>
    <w:basedOn w:val="Normal"/>
    <w:rsid w:val="00BD6557"/>
    <w:pPr>
      <w:numPr>
        <w:numId w:val="31"/>
      </w:numPr>
    </w:pPr>
  </w:style>
  <w:style w:type="table" w:styleId="TableGrid">
    <w:name w:val="Table Grid"/>
    <w:basedOn w:val="TableNormal"/>
    <w:rsid w:val="00F644A3"/>
    <w:pPr>
      <w:spacing w:line="2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titreb">
    <w:name w:val="bttitreb"/>
    <w:basedOn w:val="Normal"/>
    <w:rsid w:val="00EF384B"/>
    <w:pPr>
      <w:spacing w:before="100" w:beforeAutospacing="1" w:after="100" w:afterAutospacing="1" w:line="240" w:lineRule="auto"/>
      <w:jc w:val="left"/>
    </w:pPr>
    <w:rPr>
      <w:rFonts w:ascii="Times New Roman" w:hAnsi="Times New Roman"/>
      <w:b/>
      <w:bCs/>
      <w:sz w:val="24"/>
      <w:lang w:val="en-US"/>
    </w:rPr>
  </w:style>
  <w:style w:type="paragraph" w:styleId="NormalWeb">
    <w:name w:val="Normal (Web)"/>
    <w:basedOn w:val="Normal"/>
    <w:uiPriority w:val="99"/>
    <w:unhideWhenUsed/>
    <w:rsid w:val="00EF384B"/>
    <w:pPr>
      <w:spacing w:before="100" w:beforeAutospacing="1" w:after="100" w:afterAutospacing="1" w:line="240" w:lineRule="auto"/>
      <w:jc w:val="left"/>
    </w:pPr>
    <w:rPr>
      <w:rFonts w:ascii="Times New Roman" w:hAnsi="Times New Roman"/>
      <w:sz w:val="24"/>
      <w:lang w:val="en-US"/>
    </w:rPr>
  </w:style>
  <w:style w:type="paragraph" w:styleId="ListParagraph">
    <w:name w:val="List Paragraph"/>
    <w:basedOn w:val="Normal"/>
    <w:link w:val="ListParagraphChar"/>
    <w:uiPriority w:val="34"/>
    <w:qFormat/>
    <w:rsid w:val="00C12A9C"/>
    <w:pPr>
      <w:spacing w:after="200" w:line="276" w:lineRule="auto"/>
      <w:ind w:left="720"/>
      <w:contextualSpacing/>
      <w:jc w:val="left"/>
    </w:pPr>
    <w:rPr>
      <w:rFonts w:asciiTheme="minorHAnsi" w:eastAsiaTheme="minorHAnsi" w:hAnsiTheme="minorHAnsi" w:cstheme="minorBidi"/>
      <w:sz w:val="22"/>
      <w:szCs w:val="22"/>
      <w:lang w:val="nl-NL"/>
    </w:rPr>
  </w:style>
  <w:style w:type="paragraph" w:styleId="BalloonText">
    <w:name w:val="Balloon Text"/>
    <w:basedOn w:val="Normal"/>
    <w:link w:val="BalloonTextChar"/>
    <w:semiHidden/>
    <w:unhideWhenUsed/>
    <w:rsid w:val="00C37C4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C37C4D"/>
    <w:rPr>
      <w:rFonts w:ascii="Tahoma" w:hAnsi="Tahoma" w:cs="Tahoma"/>
      <w:sz w:val="16"/>
      <w:szCs w:val="16"/>
      <w:lang w:val="en-GB"/>
    </w:rPr>
  </w:style>
  <w:style w:type="character" w:styleId="CommentReference">
    <w:name w:val="annotation reference"/>
    <w:basedOn w:val="DefaultParagraphFont"/>
    <w:semiHidden/>
    <w:unhideWhenUsed/>
    <w:rsid w:val="004C2417"/>
    <w:rPr>
      <w:sz w:val="16"/>
      <w:szCs w:val="16"/>
    </w:rPr>
  </w:style>
  <w:style w:type="paragraph" w:styleId="CommentText">
    <w:name w:val="annotation text"/>
    <w:basedOn w:val="Normal"/>
    <w:link w:val="CommentTextChar"/>
    <w:semiHidden/>
    <w:unhideWhenUsed/>
    <w:rsid w:val="004C2417"/>
    <w:pPr>
      <w:spacing w:line="240" w:lineRule="auto"/>
    </w:pPr>
    <w:rPr>
      <w:sz w:val="20"/>
      <w:szCs w:val="20"/>
    </w:rPr>
  </w:style>
  <w:style w:type="character" w:customStyle="1" w:styleId="CommentTextChar">
    <w:name w:val="Comment Text Char"/>
    <w:basedOn w:val="DefaultParagraphFont"/>
    <w:link w:val="CommentText"/>
    <w:semiHidden/>
    <w:rsid w:val="004C2417"/>
    <w:rPr>
      <w:rFonts w:ascii="Verdana" w:hAnsi="Verdana"/>
      <w:lang w:val="en-GB"/>
    </w:rPr>
  </w:style>
  <w:style w:type="paragraph" w:styleId="CommentSubject">
    <w:name w:val="annotation subject"/>
    <w:basedOn w:val="CommentText"/>
    <w:next w:val="CommentText"/>
    <w:link w:val="CommentSubjectChar"/>
    <w:semiHidden/>
    <w:unhideWhenUsed/>
    <w:rsid w:val="004C2417"/>
    <w:rPr>
      <w:b/>
      <w:bCs/>
    </w:rPr>
  </w:style>
  <w:style w:type="character" w:customStyle="1" w:styleId="CommentSubjectChar">
    <w:name w:val="Comment Subject Char"/>
    <w:basedOn w:val="CommentTextChar"/>
    <w:link w:val="CommentSubject"/>
    <w:semiHidden/>
    <w:rsid w:val="004C2417"/>
    <w:rPr>
      <w:rFonts w:ascii="Verdana" w:hAnsi="Verdana"/>
      <w:b/>
      <w:bCs/>
      <w:lang w:val="en-GB"/>
    </w:rPr>
  </w:style>
  <w:style w:type="paragraph" w:styleId="Revision">
    <w:name w:val="Revision"/>
    <w:hidden/>
    <w:uiPriority w:val="99"/>
    <w:semiHidden/>
    <w:rsid w:val="0086664F"/>
    <w:rPr>
      <w:rFonts w:ascii="Verdana" w:hAnsi="Verdana"/>
      <w:sz w:val="18"/>
      <w:szCs w:val="24"/>
      <w:lang w:val="en-GB"/>
    </w:rPr>
  </w:style>
  <w:style w:type="character" w:customStyle="1" w:styleId="ListParagraphChar">
    <w:name w:val="List Paragraph Char"/>
    <w:basedOn w:val="DefaultParagraphFont"/>
    <w:link w:val="ListParagraph"/>
    <w:uiPriority w:val="34"/>
    <w:rsid w:val="001708CB"/>
    <w:rPr>
      <w:rFonts w:asciiTheme="minorHAnsi" w:eastAsiaTheme="minorHAnsi" w:hAnsiTheme="minorHAnsi" w:cstheme="minorBidi"/>
      <w:sz w:val="22"/>
      <w:szCs w:val="22"/>
      <w:lang w:val="nl-NL"/>
    </w:rPr>
  </w:style>
  <w:style w:type="paragraph" w:customStyle="1" w:styleId="comment">
    <w:name w:val="comment"/>
    <w:basedOn w:val="Normal"/>
    <w:link w:val="commentChar"/>
    <w:qFormat/>
    <w:rsid w:val="001708CB"/>
    <w:rPr>
      <w:rFonts w:ascii="Calibri" w:hAnsi="Calibri" w:cs="Calibri"/>
      <w:b/>
      <w:color w:val="1F497D" w:themeColor="text2"/>
      <w:sz w:val="19"/>
      <w:szCs w:val="19"/>
    </w:rPr>
  </w:style>
  <w:style w:type="character" w:customStyle="1" w:styleId="commentChar">
    <w:name w:val="comment Char"/>
    <w:basedOn w:val="DefaultParagraphFont"/>
    <w:link w:val="comment"/>
    <w:rsid w:val="001708CB"/>
    <w:rPr>
      <w:rFonts w:ascii="Calibri" w:hAnsi="Calibri" w:cs="Calibri"/>
      <w:b/>
      <w:color w:val="1F497D" w:themeColor="text2"/>
      <w:sz w:val="19"/>
      <w:szCs w:val="19"/>
      <w:lang w:val="en-GB"/>
    </w:rPr>
  </w:style>
  <w:style w:type="paragraph" w:customStyle="1" w:styleId="Reclist">
    <w:name w:val="Rec_list"/>
    <w:basedOn w:val="ListParagraph"/>
    <w:link w:val="ReclistChar"/>
    <w:qFormat/>
    <w:rsid w:val="001708CB"/>
    <w:pPr>
      <w:numPr>
        <w:numId w:val="38"/>
      </w:numPr>
      <w:spacing w:after="0" w:line="260" w:lineRule="atLeast"/>
      <w:ind w:left="851" w:hanging="851"/>
      <w:jc w:val="both"/>
    </w:pPr>
    <w:rPr>
      <w:rFonts w:ascii="Verdana" w:hAnsi="Verdana"/>
      <w:sz w:val="18"/>
      <w:szCs w:val="24"/>
      <w:lang w:val="en-GB"/>
    </w:rPr>
  </w:style>
  <w:style w:type="character" w:customStyle="1" w:styleId="ReclistChar">
    <w:name w:val="Rec_list Char"/>
    <w:basedOn w:val="ListParagraphChar"/>
    <w:link w:val="Reclist"/>
    <w:rsid w:val="001708CB"/>
    <w:rPr>
      <w:rFonts w:ascii="Verdana" w:eastAsiaTheme="minorHAnsi" w:hAnsi="Verdana" w:cstheme="minorBidi"/>
      <w:sz w:val="18"/>
      <w:szCs w:val="24"/>
      <w:lang w:val="en-GB"/>
    </w:rPr>
  </w:style>
  <w:style w:type="character" w:customStyle="1" w:styleId="normal10">
    <w:name w:val="normal10"/>
    <w:basedOn w:val="DefaultParagraphFont"/>
    <w:rsid w:val="004B418C"/>
  </w:style>
  <w:style w:type="character" w:styleId="FollowedHyperlink">
    <w:name w:val="FollowedHyperlink"/>
    <w:basedOn w:val="DefaultParagraphFont"/>
    <w:semiHidden/>
    <w:unhideWhenUsed/>
    <w:rsid w:val="0009092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130"/>
    <w:pPr>
      <w:spacing w:line="260" w:lineRule="atLeast"/>
      <w:jc w:val="both"/>
    </w:pPr>
    <w:rPr>
      <w:rFonts w:ascii="Verdana" w:hAnsi="Verdana"/>
      <w:sz w:val="18"/>
      <w:szCs w:val="24"/>
      <w:lang w:val="en-GB"/>
    </w:rPr>
  </w:style>
  <w:style w:type="paragraph" w:styleId="Heading1">
    <w:name w:val="heading 1"/>
    <w:basedOn w:val="Normal"/>
    <w:next w:val="Normal"/>
    <w:qFormat/>
    <w:rsid w:val="00B93D43"/>
    <w:pPr>
      <w:keepNext/>
      <w:numPr>
        <w:numId w:val="1"/>
      </w:numPr>
      <w:outlineLvl w:val="0"/>
    </w:pPr>
    <w:rPr>
      <w:rFonts w:cs="Arial"/>
      <w:b/>
      <w:bCs/>
      <w:kern w:val="32"/>
      <w:sz w:val="22"/>
      <w:szCs w:val="32"/>
    </w:rPr>
  </w:style>
  <w:style w:type="paragraph" w:styleId="Heading2">
    <w:name w:val="heading 2"/>
    <w:basedOn w:val="Normal"/>
    <w:next w:val="Normal"/>
    <w:qFormat/>
    <w:rsid w:val="00B93D43"/>
    <w:pPr>
      <w:keepNext/>
      <w:numPr>
        <w:ilvl w:val="1"/>
        <w:numId w:val="1"/>
      </w:numPr>
      <w:outlineLvl w:val="1"/>
    </w:pPr>
    <w:rPr>
      <w:rFonts w:cs="Arial"/>
      <w:b/>
      <w:bCs/>
      <w:iCs/>
      <w:sz w:val="20"/>
      <w:szCs w:val="28"/>
    </w:rPr>
  </w:style>
  <w:style w:type="paragraph" w:styleId="Heading3">
    <w:name w:val="heading 3"/>
    <w:basedOn w:val="Normal"/>
    <w:next w:val="Normal"/>
    <w:qFormat/>
    <w:rsid w:val="00B93D43"/>
    <w:pPr>
      <w:keepNext/>
      <w:numPr>
        <w:ilvl w:val="2"/>
        <w:numId w:val="1"/>
      </w:numPr>
      <w:outlineLvl w:val="2"/>
    </w:pPr>
    <w:rPr>
      <w:rFonts w:cs="Arial"/>
      <w:bCs/>
      <w:szCs w:val="26"/>
    </w:rPr>
  </w:style>
  <w:style w:type="paragraph" w:styleId="Heading4">
    <w:name w:val="heading 4"/>
    <w:basedOn w:val="Normal"/>
    <w:next w:val="Normal"/>
    <w:qFormat/>
    <w:rsid w:val="00B93D43"/>
    <w:pPr>
      <w:keepNext/>
      <w:numPr>
        <w:ilvl w:val="3"/>
        <w:numId w:val="1"/>
      </w:numPr>
      <w:jc w:val="center"/>
      <w:outlineLvl w:val="3"/>
    </w:pPr>
    <w:rPr>
      <w:sz w:val="36"/>
      <w:szCs w:val="20"/>
      <w:lang w:val="it-IT"/>
    </w:rPr>
  </w:style>
  <w:style w:type="paragraph" w:styleId="Heading5">
    <w:name w:val="heading 5"/>
    <w:basedOn w:val="Normal"/>
    <w:next w:val="Normal"/>
    <w:qFormat/>
    <w:rsid w:val="00B93D43"/>
    <w:pPr>
      <w:numPr>
        <w:ilvl w:val="4"/>
        <w:numId w:val="1"/>
      </w:numPr>
      <w:spacing w:before="240" w:after="60"/>
      <w:outlineLvl w:val="4"/>
    </w:pPr>
    <w:rPr>
      <w:b/>
      <w:bCs/>
      <w:i/>
      <w:iCs/>
      <w:sz w:val="26"/>
      <w:szCs w:val="26"/>
    </w:rPr>
  </w:style>
  <w:style w:type="paragraph" w:styleId="Heading6">
    <w:name w:val="heading 6"/>
    <w:basedOn w:val="Normal"/>
    <w:next w:val="Normal"/>
    <w:qFormat/>
    <w:rsid w:val="00B93D43"/>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rsid w:val="00B93D43"/>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B93D43"/>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B93D4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EBullet">
    <w:name w:val="COE_Bullet"/>
    <w:basedOn w:val="Normal"/>
    <w:next w:val="Normal"/>
    <w:rsid w:val="00BC7F6F"/>
    <w:pPr>
      <w:keepNext/>
      <w:widowControl w:val="0"/>
    </w:pPr>
    <w:rPr>
      <w:sz w:val="20"/>
      <w:szCs w:val="20"/>
      <w:lang w:eastAsia="fr-FR"/>
    </w:rPr>
  </w:style>
  <w:style w:type="paragraph" w:customStyle="1" w:styleId="COECote">
    <w:name w:val="COE_Cote"/>
    <w:rsid w:val="00BC7F6F"/>
    <w:rPr>
      <w:bCs/>
      <w:iCs/>
      <w:sz w:val="24"/>
      <w:lang w:val="en-GB"/>
    </w:rPr>
  </w:style>
  <w:style w:type="paragraph" w:customStyle="1" w:styleId="COEDirectory">
    <w:name w:val="COE_Directory"/>
    <w:basedOn w:val="Normal"/>
    <w:next w:val="COECote"/>
    <w:rsid w:val="00BC7F6F"/>
    <w:rPr>
      <w:color w:val="808080"/>
      <w:lang w:val="fr-FR" w:eastAsia="fr-FR"/>
    </w:rPr>
  </w:style>
  <w:style w:type="paragraph" w:customStyle="1" w:styleId="COEHeading2">
    <w:name w:val="COE_Heading2"/>
    <w:rsid w:val="00BC7F6F"/>
    <w:rPr>
      <w:b/>
      <w:sz w:val="26"/>
      <w:lang w:val="en-GB"/>
    </w:rPr>
  </w:style>
  <w:style w:type="paragraph" w:customStyle="1" w:styleId="COEHeading3">
    <w:name w:val="COE_Heading3"/>
    <w:basedOn w:val="Normal"/>
    <w:rsid w:val="00BC7F6F"/>
    <w:rPr>
      <w:b/>
      <w:kern w:val="36"/>
      <w:lang w:val="fr-FR" w:eastAsia="fr-FR"/>
    </w:rPr>
  </w:style>
  <w:style w:type="paragraph" w:customStyle="1" w:styleId="COEIntro">
    <w:name w:val="COE_Intro"/>
    <w:basedOn w:val="Normal"/>
    <w:rsid w:val="00BC7F6F"/>
    <w:rPr>
      <w:lang w:val="fr-FR" w:eastAsia="fr-FR"/>
    </w:rPr>
  </w:style>
  <w:style w:type="paragraph" w:customStyle="1" w:styleId="COEList">
    <w:name w:val="COE_List"/>
    <w:basedOn w:val="Normal"/>
    <w:rsid w:val="00BC7F6F"/>
    <w:rPr>
      <w:lang w:val="fr-FR" w:eastAsia="fr-FR"/>
    </w:rPr>
  </w:style>
  <w:style w:type="paragraph" w:customStyle="1" w:styleId="COENoLignes">
    <w:name w:val="COE_NoLignes"/>
    <w:rsid w:val="00BC7F6F"/>
    <w:rPr>
      <w:sz w:val="24"/>
    </w:rPr>
  </w:style>
  <w:style w:type="paragraph" w:customStyle="1" w:styleId="COESummary">
    <w:name w:val="COE_Summary"/>
    <w:basedOn w:val="Normal"/>
    <w:rsid w:val="00BC7F6F"/>
    <w:rPr>
      <w:lang w:val="fr-FR" w:eastAsia="fr-FR"/>
    </w:rPr>
  </w:style>
  <w:style w:type="paragraph" w:customStyle="1" w:styleId="COETitleSytem">
    <w:name w:val="COE_Title(Sytem)"/>
    <w:basedOn w:val="Normal"/>
    <w:next w:val="Normal"/>
    <w:rsid w:val="00BC7F6F"/>
    <w:rPr>
      <w:color w:val="808080"/>
      <w:sz w:val="28"/>
      <w:lang w:val="fr-FR" w:eastAsia="fr-FR"/>
    </w:rPr>
  </w:style>
  <w:style w:type="paragraph" w:customStyle="1" w:styleId="COEType">
    <w:name w:val="COE_Type"/>
    <w:basedOn w:val="Normal"/>
    <w:rsid w:val="00BC7F6F"/>
    <w:rPr>
      <w:b/>
      <w:sz w:val="20"/>
      <w:lang w:val="fr-FR" w:eastAsia="fr-FR"/>
    </w:rPr>
  </w:style>
  <w:style w:type="character" w:customStyle="1" w:styleId="footnoteref">
    <w:name w:val="footnote ref"/>
    <w:rsid w:val="00C76026"/>
    <w:rPr>
      <w:rFonts w:ascii="Times New Roman" w:hAnsi="Times New Roman"/>
      <w:sz w:val="24"/>
    </w:rPr>
  </w:style>
  <w:style w:type="character" w:styleId="Hyperlink">
    <w:name w:val="Hyperlink"/>
    <w:basedOn w:val="DefaultParagraphFont"/>
    <w:rsid w:val="00206C8E"/>
    <w:rPr>
      <w:color w:val="0000FF"/>
      <w:u w:val="single"/>
    </w:rPr>
  </w:style>
  <w:style w:type="paragraph" w:styleId="Footer">
    <w:name w:val="footer"/>
    <w:basedOn w:val="Normal"/>
    <w:rsid w:val="00206C8E"/>
    <w:pPr>
      <w:tabs>
        <w:tab w:val="center" w:pos="4819"/>
        <w:tab w:val="right" w:pos="9638"/>
      </w:tabs>
    </w:pPr>
    <w:rPr>
      <w:sz w:val="19"/>
      <w:szCs w:val="20"/>
      <w:lang w:val="it-IT"/>
    </w:rPr>
  </w:style>
  <w:style w:type="character" w:styleId="PageNumber">
    <w:name w:val="page number"/>
    <w:basedOn w:val="DefaultParagraphFont"/>
    <w:rsid w:val="00206C8E"/>
  </w:style>
  <w:style w:type="paragraph" w:customStyle="1" w:styleId="StyleHeading2">
    <w:name w:val="Style Heading 2"/>
    <w:basedOn w:val="Heading2"/>
    <w:rsid w:val="00661D81"/>
    <w:rPr>
      <w:i/>
      <w:iCs w:val="0"/>
      <w:sz w:val="18"/>
    </w:rPr>
  </w:style>
  <w:style w:type="paragraph" w:customStyle="1" w:styleId="answer">
    <w:name w:val="answer"/>
    <w:basedOn w:val="Normal"/>
    <w:rsid w:val="00A566D2"/>
    <w:pPr>
      <w:numPr>
        <w:numId w:val="25"/>
      </w:numPr>
    </w:pPr>
  </w:style>
  <w:style w:type="paragraph" w:styleId="FootnoteText">
    <w:name w:val="footnote text"/>
    <w:basedOn w:val="Normal"/>
    <w:semiHidden/>
    <w:rsid w:val="0067293D"/>
    <w:rPr>
      <w:sz w:val="20"/>
      <w:szCs w:val="20"/>
    </w:rPr>
  </w:style>
  <w:style w:type="character" w:styleId="FootnoteReference">
    <w:name w:val="footnote reference"/>
    <w:basedOn w:val="DefaultParagraphFont"/>
    <w:semiHidden/>
    <w:rsid w:val="0067293D"/>
    <w:rPr>
      <w:vertAlign w:val="superscript"/>
    </w:rPr>
  </w:style>
  <w:style w:type="paragraph" w:customStyle="1" w:styleId="bul2">
    <w:name w:val="bul2"/>
    <w:basedOn w:val="Normal"/>
    <w:rsid w:val="00BD6557"/>
    <w:pPr>
      <w:numPr>
        <w:numId w:val="31"/>
      </w:numPr>
    </w:pPr>
  </w:style>
  <w:style w:type="table" w:styleId="TableGrid">
    <w:name w:val="Table Grid"/>
    <w:basedOn w:val="TableNormal"/>
    <w:rsid w:val="00F644A3"/>
    <w:pPr>
      <w:spacing w:line="2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titreb">
    <w:name w:val="bttitreb"/>
    <w:basedOn w:val="Normal"/>
    <w:rsid w:val="00EF384B"/>
    <w:pPr>
      <w:spacing w:before="100" w:beforeAutospacing="1" w:after="100" w:afterAutospacing="1" w:line="240" w:lineRule="auto"/>
      <w:jc w:val="left"/>
    </w:pPr>
    <w:rPr>
      <w:rFonts w:ascii="Times New Roman" w:hAnsi="Times New Roman"/>
      <w:b/>
      <w:bCs/>
      <w:sz w:val="24"/>
      <w:lang w:val="en-US"/>
    </w:rPr>
  </w:style>
  <w:style w:type="paragraph" w:styleId="NormalWeb">
    <w:name w:val="Normal (Web)"/>
    <w:basedOn w:val="Normal"/>
    <w:uiPriority w:val="99"/>
    <w:unhideWhenUsed/>
    <w:rsid w:val="00EF384B"/>
    <w:pPr>
      <w:spacing w:before="100" w:beforeAutospacing="1" w:after="100" w:afterAutospacing="1" w:line="240" w:lineRule="auto"/>
      <w:jc w:val="left"/>
    </w:pPr>
    <w:rPr>
      <w:rFonts w:ascii="Times New Roman" w:hAnsi="Times New Roman"/>
      <w:sz w:val="24"/>
      <w:lang w:val="en-US"/>
    </w:rPr>
  </w:style>
  <w:style w:type="paragraph" w:styleId="ListParagraph">
    <w:name w:val="List Paragraph"/>
    <w:basedOn w:val="Normal"/>
    <w:link w:val="ListParagraphChar"/>
    <w:uiPriority w:val="34"/>
    <w:qFormat/>
    <w:rsid w:val="00C12A9C"/>
    <w:pPr>
      <w:spacing w:after="200" w:line="276" w:lineRule="auto"/>
      <w:ind w:left="720"/>
      <w:contextualSpacing/>
      <w:jc w:val="left"/>
    </w:pPr>
    <w:rPr>
      <w:rFonts w:asciiTheme="minorHAnsi" w:eastAsiaTheme="minorHAnsi" w:hAnsiTheme="minorHAnsi" w:cstheme="minorBidi"/>
      <w:sz w:val="22"/>
      <w:szCs w:val="22"/>
      <w:lang w:val="nl-NL"/>
    </w:rPr>
  </w:style>
  <w:style w:type="paragraph" w:styleId="BalloonText">
    <w:name w:val="Balloon Text"/>
    <w:basedOn w:val="Normal"/>
    <w:link w:val="BalloonTextChar"/>
    <w:semiHidden/>
    <w:unhideWhenUsed/>
    <w:rsid w:val="00C37C4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C37C4D"/>
    <w:rPr>
      <w:rFonts w:ascii="Tahoma" w:hAnsi="Tahoma" w:cs="Tahoma"/>
      <w:sz w:val="16"/>
      <w:szCs w:val="16"/>
      <w:lang w:val="en-GB"/>
    </w:rPr>
  </w:style>
  <w:style w:type="character" w:styleId="CommentReference">
    <w:name w:val="annotation reference"/>
    <w:basedOn w:val="DefaultParagraphFont"/>
    <w:semiHidden/>
    <w:unhideWhenUsed/>
    <w:rsid w:val="004C2417"/>
    <w:rPr>
      <w:sz w:val="16"/>
      <w:szCs w:val="16"/>
    </w:rPr>
  </w:style>
  <w:style w:type="paragraph" w:styleId="CommentText">
    <w:name w:val="annotation text"/>
    <w:basedOn w:val="Normal"/>
    <w:link w:val="CommentTextChar"/>
    <w:semiHidden/>
    <w:unhideWhenUsed/>
    <w:rsid w:val="004C2417"/>
    <w:pPr>
      <w:spacing w:line="240" w:lineRule="auto"/>
    </w:pPr>
    <w:rPr>
      <w:sz w:val="20"/>
      <w:szCs w:val="20"/>
    </w:rPr>
  </w:style>
  <w:style w:type="character" w:customStyle="1" w:styleId="CommentTextChar">
    <w:name w:val="Comment Text Char"/>
    <w:basedOn w:val="DefaultParagraphFont"/>
    <w:link w:val="CommentText"/>
    <w:semiHidden/>
    <w:rsid w:val="004C2417"/>
    <w:rPr>
      <w:rFonts w:ascii="Verdana" w:hAnsi="Verdana"/>
      <w:lang w:val="en-GB"/>
    </w:rPr>
  </w:style>
  <w:style w:type="paragraph" w:styleId="CommentSubject">
    <w:name w:val="annotation subject"/>
    <w:basedOn w:val="CommentText"/>
    <w:next w:val="CommentText"/>
    <w:link w:val="CommentSubjectChar"/>
    <w:semiHidden/>
    <w:unhideWhenUsed/>
    <w:rsid w:val="004C2417"/>
    <w:rPr>
      <w:b/>
      <w:bCs/>
    </w:rPr>
  </w:style>
  <w:style w:type="character" w:customStyle="1" w:styleId="CommentSubjectChar">
    <w:name w:val="Comment Subject Char"/>
    <w:basedOn w:val="CommentTextChar"/>
    <w:link w:val="CommentSubject"/>
    <w:semiHidden/>
    <w:rsid w:val="004C2417"/>
    <w:rPr>
      <w:rFonts w:ascii="Verdana" w:hAnsi="Verdana"/>
      <w:b/>
      <w:bCs/>
      <w:lang w:val="en-GB"/>
    </w:rPr>
  </w:style>
  <w:style w:type="paragraph" w:styleId="Revision">
    <w:name w:val="Revision"/>
    <w:hidden/>
    <w:uiPriority w:val="99"/>
    <w:semiHidden/>
    <w:rsid w:val="0086664F"/>
    <w:rPr>
      <w:rFonts w:ascii="Verdana" w:hAnsi="Verdana"/>
      <w:sz w:val="18"/>
      <w:szCs w:val="24"/>
      <w:lang w:val="en-GB"/>
    </w:rPr>
  </w:style>
  <w:style w:type="character" w:customStyle="1" w:styleId="ListParagraphChar">
    <w:name w:val="List Paragraph Char"/>
    <w:basedOn w:val="DefaultParagraphFont"/>
    <w:link w:val="ListParagraph"/>
    <w:uiPriority w:val="34"/>
    <w:rsid w:val="001708CB"/>
    <w:rPr>
      <w:rFonts w:asciiTheme="minorHAnsi" w:eastAsiaTheme="minorHAnsi" w:hAnsiTheme="minorHAnsi" w:cstheme="minorBidi"/>
      <w:sz w:val="22"/>
      <w:szCs w:val="22"/>
      <w:lang w:val="nl-NL"/>
    </w:rPr>
  </w:style>
  <w:style w:type="paragraph" w:customStyle="1" w:styleId="comment">
    <w:name w:val="comment"/>
    <w:basedOn w:val="Normal"/>
    <w:link w:val="commentChar"/>
    <w:qFormat/>
    <w:rsid w:val="001708CB"/>
    <w:rPr>
      <w:rFonts w:ascii="Calibri" w:hAnsi="Calibri" w:cs="Calibri"/>
      <w:b/>
      <w:color w:val="1F497D" w:themeColor="text2"/>
      <w:sz w:val="19"/>
      <w:szCs w:val="19"/>
    </w:rPr>
  </w:style>
  <w:style w:type="character" w:customStyle="1" w:styleId="commentChar">
    <w:name w:val="comment Char"/>
    <w:basedOn w:val="DefaultParagraphFont"/>
    <w:link w:val="comment"/>
    <w:rsid w:val="001708CB"/>
    <w:rPr>
      <w:rFonts w:ascii="Calibri" w:hAnsi="Calibri" w:cs="Calibri"/>
      <w:b/>
      <w:color w:val="1F497D" w:themeColor="text2"/>
      <w:sz w:val="19"/>
      <w:szCs w:val="19"/>
      <w:lang w:val="en-GB"/>
    </w:rPr>
  </w:style>
  <w:style w:type="paragraph" w:customStyle="1" w:styleId="Reclist">
    <w:name w:val="Rec_list"/>
    <w:basedOn w:val="ListParagraph"/>
    <w:link w:val="ReclistChar"/>
    <w:qFormat/>
    <w:rsid w:val="001708CB"/>
    <w:pPr>
      <w:numPr>
        <w:numId w:val="38"/>
      </w:numPr>
      <w:spacing w:after="0" w:line="260" w:lineRule="atLeast"/>
      <w:ind w:left="851" w:hanging="851"/>
      <w:jc w:val="both"/>
    </w:pPr>
    <w:rPr>
      <w:rFonts w:ascii="Verdana" w:hAnsi="Verdana"/>
      <w:sz w:val="18"/>
      <w:szCs w:val="24"/>
      <w:lang w:val="en-GB"/>
    </w:rPr>
  </w:style>
  <w:style w:type="character" w:customStyle="1" w:styleId="ReclistChar">
    <w:name w:val="Rec_list Char"/>
    <w:basedOn w:val="ListParagraphChar"/>
    <w:link w:val="Reclist"/>
    <w:rsid w:val="001708CB"/>
    <w:rPr>
      <w:rFonts w:ascii="Verdana" w:eastAsiaTheme="minorHAnsi" w:hAnsi="Verdana" w:cstheme="minorBidi"/>
      <w:sz w:val="18"/>
      <w:szCs w:val="24"/>
      <w:lang w:val="en-GB"/>
    </w:rPr>
  </w:style>
  <w:style w:type="character" w:customStyle="1" w:styleId="normal10">
    <w:name w:val="normal10"/>
    <w:basedOn w:val="DefaultParagraphFont"/>
    <w:rsid w:val="004B418C"/>
  </w:style>
  <w:style w:type="character" w:styleId="FollowedHyperlink">
    <w:name w:val="FollowedHyperlink"/>
    <w:basedOn w:val="DefaultParagraphFont"/>
    <w:semiHidden/>
    <w:unhideWhenUsed/>
    <w:rsid w:val="000909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213924">
      <w:bodyDiv w:val="1"/>
      <w:marLeft w:val="0"/>
      <w:marRight w:val="0"/>
      <w:marTop w:val="270"/>
      <w:marBottom w:val="0"/>
      <w:divBdr>
        <w:top w:val="none" w:sz="0" w:space="0" w:color="auto"/>
        <w:left w:val="none" w:sz="0" w:space="0" w:color="auto"/>
        <w:bottom w:val="none" w:sz="0" w:space="0" w:color="auto"/>
        <w:right w:val="none" w:sz="0" w:space="0" w:color="auto"/>
      </w:divBdr>
      <w:divsChild>
        <w:div w:id="828012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lexander.seger@coe.in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m.coe.int/CoERMPublicCommonSearchServices/DisplayDCTMContent?documentId=090000168066619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m.coe.int/CoERMPublicCommonSearchServices/DisplayDCTMContent?documentId=0900001680651a6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rm.coe.int/CoERMPublicCommonSearchServices/DisplayDCTMContent?documentId=09000016802e726d"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CoERMPublicCommonSearchServices/DisplayDCTMContent?documentId=0900001680651a6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66A92-EB8B-4BBF-91B3-2D36BA35C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1121</Words>
  <Characters>7058</Characters>
  <Application>Microsoft Office Word</Application>
  <DocSecurity>0</DocSecurity>
  <Lines>58</Lines>
  <Paragraphs>16</Paragraphs>
  <ScaleCrop>false</ScaleCrop>
  <HeadingPairs>
    <vt:vector size="6" baseType="variant">
      <vt:variant>
        <vt:lpstr>Title</vt:lpstr>
      </vt:variant>
      <vt:variant>
        <vt:i4>1</vt:i4>
      </vt:variant>
      <vt:variant>
        <vt:lpstr>Título</vt:lpstr>
      </vt:variant>
      <vt:variant>
        <vt:i4>1</vt:i4>
      </vt:variant>
      <vt:variant>
        <vt:lpstr>Pealkiri</vt:lpstr>
      </vt:variant>
      <vt:variant>
        <vt:i4>1</vt:i4>
      </vt:variant>
    </vt:vector>
  </HeadingPairs>
  <TitlesOfParts>
    <vt:vector size="3" baseType="lpstr">
      <vt:lpstr>Appendix:</vt:lpstr>
      <vt:lpstr>Appendix:</vt:lpstr>
      <vt:lpstr>Appendix:</vt:lpstr>
    </vt:vector>
  </TitlesOfParts>
  <Company>Council of Europe</Company>
  <LinksUpToDate>false</LinksUpToDate>
  <CharactersWithSpaces>8163</CharactersWithSpaces>
  <SharedDoc>false</SharedDoc>
  <HLinks>
    <vt:vector size="12" baseType="variant">
      <vt:variant>
        <vt:i4>7077908</vt:i4>
      </vt:variant>
      <vt:variant>
        <vt:i4>3</vt:i4>
      </vt:variant>
      <vt:variant>
        <vt:i4>0</vt:i4>
      </vt:variant>
      <vt:variant>
        <vt:i4>5</vt:i4>
      </vt:variant>
      <vt:variant>
        <vt:lpwstr>mailto:alexander.seger@coe.int</vt:lpwstr>
      </vt:variant>
      <vt:variant>
        <vt:lpwstr/>
      </vt:variant>
      <vt:variant>
        <vt:i4>3997747</vt:i4>
      </vt:variant>
      <vt:variant>
        <vt:i4>0</vt:i4>
      </vt:variant>
      <vt:variant>
        <vt:i4>0</vt:i4>
      </vt:variant>
      <vt:variant>
        <vt:i4>5</vt:i4>
      </vt:variant>
      <vt:variant>
        <vt:lpwstr>http://www.coe.int/TCY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dc:title>
  <dc:creator>alexander seger</dc:creator>
  <cp:lastModifiedBy>a</cp:lastModifiedBy>
  <cp:revision>6</cp:revision>
  <dcterms:created xsi:type="dcterms:W3CDTF">2016-09-15T15:30:00Z</dcterms:created>
  <dcterms:modified xsi:type="dcterms:W3CDTF">2016-09-16T08:40:00Z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