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3A1C3B" w14:paraId="68E104CC" w14:textId="77777777" w:rsidTr="00E54322">
        <w:trPr>
          <w:trHeight w:val="737"/>
        </w:trPr>
        <w:tc>
          <w:tcPr>
            <w:tcW w:w="1250" w:type="pct"/>
            <w:shd w:val="clear" w:color="auto" w:fill="auto"/>
            <w:vAlign w:val="center"/>
          </w:tcPr>
          <w:p w14:paraId="7BBB4536" w14:textId="77777777" w:rsidR="002D11B8" w:rsidRPr="003A1C3B" w:rsidRDefault="003D6AC2" w:rsidP="00E54322">
            <w:pPr>
              <w:widowControl w:val="0"/>
              <w:autoSpaceDE w:val="0"/>
              <w:autoSpaceDN w:val="0"/>
              <w:adjustRightInd w:val="0"/>
              <w:rPr>
                <w:rFonts w:ascii="Arial Narrow" w:hAnsi="Arial Narrow" w:cs="Calibri"/>
                <w:szCs w:val="20"/>
              </w:rPr>
            </w:pPr>
            <w:r w:rsidRPr="003A1C3B">
              <w:rPr>
                <w:rFonts w:ascii="Arial Narrow" w:hAnsi="Arial Narrow" w:cs="Calibri"/>
                <w:b/>
                <w:bCs/>
                <w:szCs w:val="20"/>
              </w:rPr>
              <w:t>MINISTERS’ DEPUTIES</w:t>
            </w:r>
          </w:p>
        </w:tc>
        <w:tc>
          <w:tcPr>
            <w:tcW w:w="1250" w:type="pct"/>
            <w:shd w:val="clear" w:color="auto" w:fill="auto"/>
            <w:vAlign w:val="center"/>
          </w:tcPr>
          <w:p w14:paraId="5A5B1E2E" w14:textId="3B49DE99" w:rsidR="002D11B8" w:rsidRPr="003A1C3B" w:rsidRDefault="00CF5AF3" w:rsidP="00E54322">
            <w:pPr>
              <w:ind w:left="-108"/>
              <w:jc w:val="center"/>
              <w:rPr>
                <w:rFonts w:ascii="Arial Narrow" w:hAnsi="Arial Narrow" w:cs="Arial"/>
                <w:szCs w:val="20"/>
              </w:rPr>
            </w:pPr>
            <w:r w:rsidRPr="003A1C3B">
              <w:rPr>
                <w:rFonts w:ascii="Arial Narrow" w:hAnsi="Arial Narrow" w:cs="Calibri"/>
                <w:szCs w:val="20"/>
              </w:rPr>
              <w:t>Information documents</w:t>
            </w:r>
          </w:p>
        </w:tc>
        <w:tc>
          <w:tcPr>
            <w:tcW w:w="1250" w:type="pct"/>
            <w:shd w:val="clear" w:color="auto" w:fill="auto"/>
            <w:vAlign w:val="center"/>
          </w:tcPr>
          <w:p w14:paraId="74A1A466" w14:textId="14A30572" w:rsidR="002D11B8" w:rsidRPr="003A1C3B" w:rsidRDefault="003D6AC2" w:rsidP="00FE16E3">
            <w:pPr>
              <w:ind w:left="-40"/>
              <w:jc w:val="center"/>
              <w:rPr>
                <w:rFonts w:ascii="Arial Narrow" w:hAnsi="Arial Narrow" w:cs="Arial"/>
                <w:b/>
                <w:sz w:val="24"/>
                <w:szCs w:val="24"/>
              </w:rPr>
            </w:pPr>
            <w:r w:rsidRPr="003A1C3B">
              <w:rPr>
                <w:rFonts w:ascii="Arial Narrow" w:hAnsi="Arial Narrow" w:cs="Calibri"/>
                <w:b/>
                <w:sz w:val="24"/>
                <w:szCs w:val="24"/>
              </w:rPr>
              <w:t>CM</w:t>
            </w:r>
            <w:r w:rsidR="003C45C2" w:rsidRPr="003A1C3B">
              <w:rPr>
                <w:rFonts w:ascii="Arial Narrow" w:hAnsi="Arial Narrow" w:cs="Calibri"/>
                <w:b/>
                <w:sz w:val="24"/>
                <w:szCs w:val="24"/>
              </w:rPr>
              <w:t>/Inf</w:t>
            </w:r>
            <w:r w:rsidR="003A1C3B" w:rsidRPr="003A1C3B">
              <w:rPr>
                <w:rFonts w:ascii="Arial Narrow" w:hAnsi="Arial Narrow" w:cs="Calibri"/>
                <w:b/>
                <w:sz w:val="24"/>
                <w:szCs w:val="24"/>
              </w:rPr>
              <w:t>/</w:t>
            </w:r>
            <w:proofErr w:type="gramStart"/>
            <w:r w:rsidR="003A1C3B" w:rsidRPr="003A1C3B">
              <w:rPr>
                <w:rFonts w:ascii="Arial Narrow" w:hAnsi="Arial Narrow" w:cs="Calibri"/>
                <w:b/>
                <w:sz w:val="24"/>
                <w:szCs w:val="24"/>
              </w:rPr>
              <w:t>DH</w:t>
            </w:r>
            <w:r w:rsidR="00E475F9" w:rsidRPr="003A1C3B">
              <w:rPr>
                <w:rFonts w:ascii="Arial Narrow" w:hAnsi="Arial Narrow" w:cs="Calibri"/>
                <w:b/>
                <w:sz w:val="24"/>
                <w:szCs w:val="24"/>
              </w:rPr>
              <w:t>(</w:t>
            </w:r>
            <w:proofErr w:type="gramEnd"/>
            <w:r w:rsidR="006D745B" w:rsidRPr="003A1C3B">
              <w:rPr>
                <w:rFonts w:ascii="Arial Narrow" w:hAnsi="Arial Narrow" w:cs="Calibri"/>
                <w:b/>
                <w:sz w:val="24"/>
                <w:szCs w:val="24"/>
              </w:rPr>
              <w:t>2022</w:t>
            </w:r>
            <w:r w:rsidR="00E475F9" w:rsidRPr="003A1C3B">
              <w:rPr>
                <w:rFonts w:ascii="Arial Narrow" w:hAnsi="Arial Narrow" w:cs="Calibri"/>
                <w:b/>
                <w:sz w:val="24"/>
                <w:szCs w:val="24"/>
              </w:rPr>
              <w:t>)</w:t>
            </w:r>
            <w:r w:rsidR="003A1C3B" w:rsidRPr="003A1C3B">
              <w:rPr>
                <w:rFonts w:ascii="Arial Narrow" w:hAnsi="Arial Narrow" w:cs="Calibri"/>
                <w:b/>
                <w:sz w:val="24"/>
                <w:szCs w:val="24"/>
              </w:rPr>
              <w:t>9</w:t>
            </w:r>
          </w:p>
        </w:tc>
        <w:tc>
          <w:tcPr>
            <w:tcW w:w="1250" w:type="pct"/>
            <w:shd w:val="clear" w:color="auto" w:fill="auto"/>
            <w:vAlign w:val="center"/>
          </w:tcPr>
          <w:p w14:paraId="782CC726" w14:textId="0B02D011" w:rsidR="002D11B8" w:rsidRPr="003A1C3B" w:rsidRDefault="006774CB" w:rsidP="00FE16E3">
            <w:pPr>
              <w:jc w:val="right"/>
              <w:rPr>
                <w:rFonts w:ascii="Arial Narrow" w:hAnsi="Arial Narrow" w:cs="Arial"/>
                <w:sz w:val="16"/>
                <w:szCs w:val="16"/>
              </w:rPr>
            </w:pPr>
            <w:r>
              <w:rPr>
                <w:rFonts w:ascii="Arial Narrow" w:hAnsi="Arial Narrow" w:cs="Calibri"/>
                <w:sz w:val="16"/>
                <w:szCs w:val="16"/>
              </w:rPr>
              <w:t xml:space="preserve">4 </w:t>
            </w:r>
            <w:r w:rsidR="00330400" w:rsidRPr="003A1C3B">
              <w:rPr>
                <w:rFonts w:ascii="Arial Narrow" w:hAnsi="Arial Narrow" w:cs="Calibri"/>
                <w:sz w:val="16"/>
                <w:szCs w:val="16"/>
              </w:rPr>
              <w:t>March</w:t>
            </w:r>
            <w:r w:rsidR="002D11B8" w:rsidRPr="003A1C3B">
              <w:rPr>
                <w:rFonts w:ascii="Arial Narrow" w:hAnsi="Arial Narrow" w:cs="Calibri"/>
                <w:sz w:val="16"/>
                <w:szCs w:val="16"/>
              </w:rPr>
              <w:t xml:space="preserve"> </w:t>
            </w:r>
            <w:r w:rsidR="006D745B" w:rsidRPr="003A1C3B">
              <w:rPr>
                <w:rFonts w:ascii="Arial Narrow" w:hAnsi="Arial Narrow" w:cs="Calibri"/>
                <w:sz w:val="16"/>
                <w:szCs w:val="16"/>
              </w:rPr>
              <w:t>2022</w:t>
            </w:r>
            <w:r w:rsidR="00853C90" w:rsidRPr="003A1C3B">
              <w:rPr>
                <w:rStyle w:val="FootnoteReference"/>
                <w:rFonts w:ascii="Arial Narrow" w:hAnsi="Arial Narrow" w:cs="Calibri"/>
                <w:sz w:val="16"/>
                <w:szCs w:val="16"/>
              </w:rPr>
              <w:footnoteReference w:id="1"/>
            </w:r>
          </w:p>
        </w:tc>
      </w:tr>
    </w:tbl>
    <w:p w14:paraId="1B81FA07" w14:textId="77777777" w:rsidR="00D554E6" w:rsidRPr="003A1C3B"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3A1C3B" w14:paraId="367105E5" w14:textId="77777777" w:rsidTr="00E54322">
        <w:tc>
          <w:tcPr>
            <w:tcW w:w="9399" w:type="dxa"/>
            <w:shd w:val="clear" w:color="auto" w:fill="auto"/>
            <w:tcMar>
              <w:top w:w="227" w:type="dxa"/>
              <w:bottom w:w="227" w:type="dxa"/>
            </w:tcMar>
            <w:vAlign w:val="center"/>
          </w:tcPr>
          <w:p w14:paraId="07761AC2" w14:textId="77777777" w:rsidR="003A1C3B" w:rsidRPr="003A1C3B" w:rsidRDefault="003A1C3B" w:rsidP="00E54322">
            <w:pPr>
              <w:rPr>
                <w:rFonts w:ascii="Arial Narrow" w:hAnsi="Arial Narrow" w:cs="Calibri"/>
                <w:b/>
                <w:sz w:val="28"/>
                <w:szCs w:val="28"/>
              </w:rPr>
            </w:pPr>
            <w:r w:rsidRPr="003A1C3B">
              <w:rPr>
                <w:rFonts w:ascii="Arial Narrow" w:hAnsi="Arial Narrow" w:cs="Calibri"/>
                <w:b/>
                <w:sz w:val="28"/>
                <w:szCs w:val="28"/>
              </w:rPr>
              <w:t xml:space="preserve">Supervisory role of the Committee of Ministers under Article 46 of the European Convention on Human Rights in respect of developments </w:t>
            </w:r>
            <w:proofErr w:type="gramStart"/>
            <w:r w:rsidRPr="003A1C3B">
              <w:rPr>
                <w:rFonts w:ascii="Arial Narrow" w:hAnsi="Arial Narrow" w:cs="Calibri"/>
                <w:b/>
                <w:sz w:val="28"/>
                <w:szCs w:val="28"/>
              </w:rPr>
              <w:t>subsequent to</w:t>
            </w:r>
            <w:proofErr w:type="gramEnd"/>
            <w:r w:rsidRPr="003A1C3B">
              <w:rPr>
                <w:rFonts w:ascii="Arial Narrow" w:hAnsi="Arial Narrow" w:cs="Calibri"/>
                <w:b/>
                <w:sz w:val="28"/>
                <w:szCs w:val="28"/>
              </w:rPr>
              <w:t xml:space="preserve"> a judgment of the European Court of Human Rights</w:t>
            </w:r>
          </w:p>
          <w:p w14:paraId="2EEB8CBA" w14:textId="77777777" w:rsidR="000A307B" w:rsidRPr="003A1C3B" w:rsidRDefault="000A307B" w:rsidP="00E54322">
            <w:pPr>
              <w:rPr>
                <w:rFonts w:ascii="Arial Narrow" w:hAnsi="Arial Narrow" w:cs="Calibri"/>
                <w:sz w:val="22"/>
              </w:rPr>
            </w:pPr>
          </w:p>
          <w:p w14:paraId="1D829A95" w14:textId="04B66867" w:rsidR="00E457C3" w:rsidRPr="003A1C3B" w:rsidRDefault="003A1C3B" w:rsidP="00FE16E3">
            <w:pPr>
              <w:rPr>
                <w:rFonts w:ascii="Arial Narrow" w:hAnsi="Arial Narrow" w:cs="Calibri"/>
                <w:b/>
                <w:szCs w:val="20"/>
              </w:rPr>
            </w:pPr>
            <w:r w:rsidRPr="003A1C3B">
              <w:rPr>
                <w:rFonts w:ascii="Arial Narrow" w:hAnsi="Arial Narrow" w:cs="Calibri"/>
                <w:b/>
                <w:szCs w:val="20"/>
              </w:rPr>
              <w:t>Document prepared by the Department for the Execution of Judgments of the European Court of Human Rights</w:t>
            </w:r>
          </w:p>
        </w:tc>
      </w:tr>
    </w:tbl>
    <w:p w14:paraId="28FBEBC6" w14:textId="48D92AEC" w:rsidR="00E54322" w:rsidRPr="003A1C3B" w:rsidRDefault="00E54322" w:rsidP="0037200F">
      <w:pPr>
        <w:rPr>
          <w:rFonts w:eastAsia="Times New Roman"/>
          <w:szCs w:val="24"/>
        </w:rPr>
      </w:pPr>
    </w:p>
    <w:p w14:paraId="265A4077" w14:textId="6BC2FD98" w:rsidR="003A1C3B" w:rsidRPr="003A1C3B" w:rsidRDefault="003A1C3B" w:rsidP="003A1C3B">
      <w:pPr>
        <w:jc w:val="both"/>
        <w:rPr>
          <w:rStyle w:val="sfbbfee58"/>
          <w:rFonts w:cs="Arial"/>
          <w:b/>
          <w:bCs/>
          <w:color w:val="000000"/>
          <w:szCs w:val="20"/>
          <w:shd w:val="clear" w:color="auto" w:fill="FFFFFF"/>
        </w:rPr>
      </w:pPr>
      <w:r w:rsidRPr="003A1C3B">
        <w:rPr>
          <w:rStyle w:val="sfbbfee58"/>
          <w:rFonts w:cs="Arial"/>
          <w:b/>
          <w:bCs/>
          <w:color w:val="000000"/>
          <w:szCs w:val="20"/>
          <w:shd w:val="clear" w:color="auto" w:fill="FFFFFF"/>
        </w:rPr>
        <w:t>I.</w:t>
      </w:r>
      <w:r w:rsidRPr="003A1C3B">
        <w:rPr>
          <w:rStyle w:val="sfbbfee58"/>
          <w:rFonts w:cs="Arial"/>
          <w:b/>
          <w:bCs/>
          <w:color w:val="000000"/>
          <w:szCs w:val="20"/>
          <w:shd w:val="clear" w:color="auto" w:fill="FFFFFF"/>
        </w:rPr>
        <w:tab/>
        <w:t>Introduction</w:t>
      </w:r>
    </w:p>
    <w:p w14:paraId="3287AF39" w14:textId="77777777" w:rsidR="003A1C3B" w:rsidRPr="003A1C3B" w:rsidRDefault="003A1C3B" w:rsidP="003A1C3B">
      <w:pPr>
        <w:jc w:val="both"/>
        <w:rPr>
          <w:rStyle w:val="sfbbfee58"/>
          <w:rFonts w:cs="Arial"/>
          <w:b/>
          <w:bCs/>
          <w:color w:val="000000"/>
          <w:szCs w:val="20"/>
          <w:shd w:val="clear" w:color="auto" w:fill="FFFFFF"/>
        </w:rPr>
      </w:pPr>
    </w:p>
    <w:p w14:paraId="3A26E42E" w14:textId="3F7C0EE6" w:rsidR="003A1C3B" w:rsidRPr="003A1C3B" w:rsidRDefault="003A1C3B" w:rsidP="003A1C3B">
      <w:pPr>
        <w:rPr>
          <w:rFonts w:cs="Arial"/>
          <w:bCs/>
          <w:color w:val="000000"/>
          <w:szCs w:val="20"/>
          <w:shd w:val="clear" w:color="auto" w:fill="FFFFFF"/>
        </w:rPr>
      </w:pPr>
      <w:r w:rsidRPr="003A1C3B">
        <w:rPr>
          <w:rStyle w:val="sfbbfee58"/>
          <w:rFonts w:cs="Arial"/>
          <w:color w:val="000000"/>
          <w:szCs w:val="20"/>
          <w:shd w:val="clear" w:color="auto" w:fill="FFFFFF"/>
        </w:rPr>
        <w:t xml:space="preserve">The case law of the European Court (“Court”) and the well-established practice of the Committee of Ministers (“Committee”), clearly indicate that, within the institutional balance between these bodies under the </w:t>
      </w:r>
      <w:r w:rsidRPr="003A1C3B">
        <w:rPr>
          <w:rFonts w:cs="Arial"/>
          <w:color w:val="000000"/>
          <w:szCs w:val="20"/>
          <w:shd w:val="clear" w:color="auto" w:fill="FFFFFF"/>
        </w:rPr>
        <w:t>European Convention on Human Rights (“Convention”)</w:t>
      </w:r>
      <w:r w:rsidRPr="003A1C3B">
        <w:rPr>
          <w:rStyle w:val="sfbbfee58"/>
          <w:rFonts w:cs="Arial"/>
          <w:color w:val="000000"/>
          <w:szCs w:val="20"/>
          <w:shd w:val="clear" w:color="auto" w:fill="FFFFFF"/>
        </w:rPr>
        <w:t xml:space="preserve">, </w:t>
      </w:r>
      <w:r w:rsidRPr="003A1C3B">
        <w:rPr>
          <w:rFonts w:cs="Arial"/>
          <w:bCs/>
          <w:color w:val="000000"/>
          <w:szCs w:val="20"/>
          <w:shd w:val="clear" w:color="auto" w:fill="FFFFFF"/>
        </w:rPr>
        <w:t>it is the Committee’s role to assess whether the measures taken by Member States in response to the Court’s judgments are sufficient to put an end to the breach of the Convention and prevent similar violations from occurring in the future.</w:t>
      </w:r>
      <w:r w:rsidRPr="003A1C3B">
        <w:rPr>
          <w:rFonts w:cs="Arial"/>
          <w:bCs/>
          <w:color w:val="000000"/>
          <w:szCs w:val="20"/>
          <w:shd w:val="clear" w:color="auto" w:fill="FFFFFF"/>
          <w:vertAlign w:val="superscript"/>
        </w:rPr>
        <w:footnoteReference w:id="2"/>
      </w:r>
      <w:r w:rsidRPr="003A1C3B">
        <w:rPr>
          <w:rFonts w:cs="Arial"/>
          <w:bCs/>
          <w:color w:val="000000"/>
          <w:szCs w:val="20"/>
          <w:shd w:val="clear" w:color="auto" w:fill="FFFFFF"/>
        </w:rPr>
        <w:t xml:space="preserve"> </w:t>
      </w:r>
    </w:p>
    <w:p w14:paraId="010C7EFF" w14:textId="77777777" w:rsidR="003A1C3B" w:rsidRPr="003A1C3B" w:rsidRDefault="003A1C3B" w:rsidP="003A1C3B">
      <w:pPr>
        <w:rPr>
          <w:rFonts w:cs="Arial"/>
          <w:bCs/>
          <w:color w:val="000000"/>
          <w:szCs w:val="20"/>
          <w:shd w:val="clear" w:color="auto" w:fill="FFFFFF"/>
        </w:rPr>
      </w:pPr>
    </w:p>
    <w:p w14:paraId="5770BEA6" w14:textId="77777777" w:rsidR="003A1C3B" w:rsidRPr="003A1C3B" w:rsidRDefault="003A1C3B" w:rsidP="003A1C3B">
      <w:pPr>
        <w:rPr>
          <w:rFonts w:cs="Arial"/>
          <w:bCs/>
          <w:szCs w:val="20"/>
          <w:shd w:val="clear" w:color="auto" w:fill="FFFFFF"/>
        </w:rPr>
      </w:pPr>
      <w:r w:rsidRPr="003A1C3B">
        <w:rPr>
          <w:rStyle w:val="sfbbfee58"/>
          <w:rFonts w:cs="Arial"/>
          <w:color w:val="000000"/>
          <w:szCs w:val="20"/>
          <w:shd w:val="clear" w:color="auto" w:fill="FFFFFF"/>
        </w:rPr>
        <w:t xml:space="preserve">The Committee has the competence and the duty to </w:t>
      </w:r>
      <w:r w:rsidRPr="003A1C3B">
        <w:rPr>
          <w:rFonts w:cs="Arial"/>
          <w:bCs/>
          <w:color w:val="000000"/>
          <w:szCs w:val="20"/>
          <w:shd w:val="clear" w:color="auto" w:fill="FFFFFF"/>
        </w:rPr>
        <w:t>supervise the adoption of the necessary measures, based on the information provided by the respondent State and with due regard to the applicant’s evolving situation.</w:t>
      </w:r>
      <w:r w:rsidRPr="003A1C3B">
        <w:rPr>
          <w:rFonts w:cs="Arial"/>
          <w:bCs/>
          <w:color w:val="000000"/>
          <w:szCs w:val="20"/>
          <w:shd w:val="clear" w:color="auto" w:fill="FFFFFF"/>
          <w:vertAlign w:val="superscript"/>
        </w:rPr>
        <w:footnoteReference w:id="3"/>
      </w:r>
      <w:r w:rsidRPr="003A1C3B">
        <w:rPr>
          <w:rFonts w:cs="Arial"/>
          <w:bCs/>
          <w:color w:val="000000"/>
          <w:szCs w:val="20"/>
          <w:shd w:val="clear" w:color="auto" w:fill="FFFFFF"/>
        </w:rPr>
        <w:t xml:space="preserve"> It </w:t>
      </w:r>
      <w:r w:rsidRPr="003A1C3B">
        <w:rPr>
          <w:rFonts w:cs="Arial"/>
          <w:bCs/>
          <w:szCs w:val="20"/>
          <w:shd w:val="clear" w:color="auto" w:fill="FFFFFF"/>
        </w:rPr>
        <w:t xml:space="preserve">may review all elements relevant to execution, for example, where objective factors which came to light after the Court’s judgment was delivered must be </w:t>
      </w:r>
      <w:proofErr w:type="gramStart"/>
      <w:r w:rsidRPr="003A1C3B">
        <w:rPr>
          <w:rFonts w:cs="Arial"/>
          <w:bCs/>
          <w:szCs w:val="20"/>
          <w:shd w:val="clear" w:color="auto" w:fill="FFFFFF"/>
        </w:rPr>
        <w:t>taken into account</w:t>
      </w:r>
      <w:proofErr w:type="gramEnd"/>
      <w:r w:rsidRPr="003A1C3B">
        <w:rPr>
          <w:rFonts w:cs="Arial"/>
          <w:bCs/>
          <w:szCs w:val="20"/>
          <w:shd w:val="clear" w:color="auto" w:fill="FFFFFF"/>
        </w:rPr>
        <w:t xml:space="preserve"> in the supervision process.</w:t>
      </w:r>
      <w:r w:rsidRPr="003A1C3B">
        <w:rPr>
          <w:rFonts w:cs="Arial"/>
          <w:bCs/>
          <w:szCs w:val="20"/>
          <w:shd w:val="clear" w:color="auto" w:fill="FFFFFF"/>
          <w:vertAlign w:val="superscript"/>
        </w:rPr>
        <w:footnoteReference w:id="4"/>
      </w:r>
    </w:p>
    <w:p w14:paraId="1B4EC11F" w14:textId="77777777" w:rsidR="003A1C3B" w:rsidRPr="003A1C3B" w:rsidRDefault="003A1C3B" w:rsidP="003A1C3B">
      <w:pPr>
        <w:pStyle w:val="ListParagraph"/>
        <w:ind w:left="0"/>
        <w:rPr>
          <w:rFonts w:cs="Arial"/>
          <w:bCs/>
          <w:szCs w:val="20"/>
          <w:shd w:val="clear" w:color="auto" w:fill="FFFFFF"/>
          <w:lang w:eastAsia="fr-FR"/>
        </w:rPr>
      </w:pPr>
    </w:p>
    <w:p w14:paraId="375386E6" w14:textId="77777777" w:rsidR="003A1C3B" w:rsidRPr="003A1C3B" w:rsidRDefault="003A1C3B" w:rsidP="003A1C3B">
      <w:pPr>
        <w:rPr>
          <w:rFonts w:cs="Arial"/>
          <w:bCs/>
          <w:szCs w:val="20"/>
        </w:rPr>
      </w:pPr>
      <w:r w:rsidRPr="003A1C3B">
        <w:rPr>
          <w:rFonts w:cs="Arial"/>
          <w:color w:val="000000"/>
          <w:szCs w:val="20"/>
          <w:shd w:val="clear" w:color="auto" w:fill="FFFFFF"/>
        </w:rPr>
        <w:t xml:space="preserve">These may include developments in domestic judicial proceedings. The </w:t>
      </w:r>
      <w:r w:rsidRPr="003A1C3B">
        <w:rPr>
          <w:rFonts w:cs="Arial"/>
          <w:szCs w:val="20"/>
        </w:rPr>
        <w:t>Committee has highlighted that re-examination of a case by the national judicial authorities, including the reopening of proceedings, is an important aspect of the execution process, and in some cases the only means to achieve </w:t>
      </w:r>
      <w:r w:rsidRPr="003A1C3B">
        <w:rPr>
          <w:rFonts w:cs="Arial"/>
          <w:i/>
          <w:iCs/>
          <w:szCs w:val="20"/>
        </w:rPr>
        <w:t>restitutio in integrum</w:t>
      </w:r>
      <w:r w:rsidRPr="003A1C3B">
        <w:rPr>
          <w:rFonts w:cs="Arial"/>
          <w:szCs w:val="20"/>
        </w:rPr>
        <w:t>.</w:t>
      </w:r>
      <w:r w:rsidRPr="003A1C3B">
        <w:rPr>
          <w:rStyle w:val="FootnoteReference"/>
          <w:rFonts w:cs="Arial"/>
          <w:szCs w:val="20"/>
        </w:rPr>
        <w:footnoteReference w:id="5"/>
      </w:r>
      <w:r w:rsidRPr="003A1C3B">
        <w:rPr>
          <w:rFonts w:cs="Arial"/>
          <w:szCs w:val="20"/>
        </w:rPr>
        <w:t xml:space="preserve"> Similarly, the </w:t>
      </w:r>
      <w:r w:rsidRPr="003A1C3B">
        <w:rPr>
          <w:rFonts w:cs="Arial"/>
          <w:bCs/>
          <w:szCs w:val="20"/>
        </w:rPr>
        <w:t>Court has underlined the importance of ensuring that domestic procedures are in place to allow a case to be re-examined in the light of a finding of a violation of the Convention and underlined that such proceedings can be considered an important aspect of the execution of its judgments.</w:t>
      </w:r>
      <w:r w:rsidRPr="003A1C3B">
        <w:rPr>
          <w:rFonts w:cs="Arial"/>
          <w:bCs/>
          <w:szCs w:val="20"/>
          <w:vertAlign w:val="superscript"/>
        </w:rPr>
        <w:footnoteReference w:id="6"/>
      </w:r>
      <w:r w:rsidRPr="003A1C3B">
        <w:rPr>
          <w:rFonts w:cs="Arial"/>
          <w:bCs/>
          <w:szCs w:val="20"/>
        </w:rPr>
        <w:t xml:space="preserve"> </w:t>
      </w:r>
    </w:p>
    <w:p w14:paraId="1A6AE7B8" w14:textId="77777777" w:rsidR="003A1C3B" w:rsidRPr="003A1C3B" w:rsidRDefault="003A1C3B" w:rsidP="003A1C3B">
      <w:pPr>
        <w:rPr>
          <w:rFonts w:cs="Arial"/>
          <w:bCs/>
          <w:szCs w:val="20"/>
        </w:rPr>
      </w:pPr>
    </w:p>
    <w:p w14:paraId="1248403C" w14:textId="00D1BB4C" w:rsidR="003A1C3B" w:rsidRPr="003A1C3B" w:rsidRDefault="003A1C3B" w:rsidP="003A1C3B">
      <w:pPr>
        <w:rPr>
          <w:rFonts w:cs="Arial"/>
          <w:color w:val="000000"/>
          <w:szCs w:val="20"/>
          <w:shd w:val="clear" w:color="auto" w:fill="FFFFFF"/>
        </w:rPr>
      </w:pPr>
      <w:r w:rsidRPr="003A1C3B">
        <w:rPr>
          <w:rFonts w:cs="Arial"/>
          <w:szCs w:val="20"/>
        </w:rPr>
        <w:t xml:space="preserve">Administrative, </w:t>
      </w:r>
      <w:proofErr w:type="gramStart"/>
      <w:r w:rsidRPr="003A1C3B">
        <w:rPr>
          <w:rFonts w:cs="Arial"/>
          <w:szCs w:val="20"/>
        </w:rPr>
        <w:t>civil</w:t>
      </w:r>
      <w:proofErr w:type="gramEnd"/>
      <w:r w:rsidRPr="003A1C3B">
        <w:rPr>
          <w:rFonts w:cs="Arial"/>
          <w:szCs w:val="20"/>
        </w:rPr>
        <w:t xml:space="preserve"> or criminal proceedings - continuing, initiated or reopened in response to violations of the Convention established by Court’s judgments - can thus constitute key individual measures to provide adequate redress to the applicants. They form part of the </w:t>
      </w:r>
      <w:r w:rsidRPr="003A1C3B">
        <w:rPr>
          <w:rStyle w:val="sfbbfee58"/>
          <w:rFonts w:cs="Arial"/>
          <w:color w:val="000000"/>
          <w:szCs w:val="20"/>
          <w:shd w:val="clear" w:color="auto" w:fill="FFFFFF"/>
        </w:rPr>
        <w:t xml:space="preserve">evolving factual situation to be </w:t>
      </w:r>
      <w:r w:rsidRPr="003A1C3B">
        <w:rPr>
          <w:rFonts w:cs="Arial"/>
          <w:szCs w:val="20"/>
        </w:rPr>
        <w:t xml:space="preserve">assessed by the Committee to ensure that they put an end to the violation and remedy, as far as possible, its negative consequences. </w:t>
      </w:r>
    </w:p>
    <w:p w14:paraId="78D4EEB9" w14:textId="77777777" w:rsidR="003A1C3B" w:rsidRPr="003A1C3B" w:rsidRDefault="003A1C3B" w:rsidP="003A1C3B">
      <w:pPr>
        <w:rPr>
          <w:rFonts w:cs="Arial"/>
          <w:color w:val="000000"/>
          <w:szCs w:val="20"/>
          <w:shd w:val="clear" w:color="auto" w:fill="FFFFFF"/>
        </w:rPr>
      </w:pPr>
    </w:p>
    <w:p w14:paraId="037B6FD8" w14:textId="77777777" w:rsidR="005D6B50" w:rsidRDefault="003A1C3B" w:rsidP="003A1C3B">
      <w:pPr>
        <w:rPr>
          <w:rFonts w:cs="Arial"/>
          <w:color w:val="000000"/>
          <w:szCs w:val="20"/>
          <w:shd w:val="clear" w:color="auto" w:fill="FFFFFF"/>
        </w:rPr>
      </w:pPr>
      <w:r w:rsidRPr="003A1C3B">
        <w:rPr>
          <w:rFonts w:cs="Arial"/>
          <w:color w:val="000000"/>
          <w:szCs w:val="20"/>
          <w:shd w:val="clear" w:color="auto" w:fill="FFFFFF"/>
        </w:rPr>
        <w:t>At the same time, such proceedings can raise new issues under the Convention and form the basis of new applications to the Court. According to the Court’s case-law, the Committee’s role in this sphere does not mean that measures taken by a respondent State to remedy a violation cannot raise a new issue undecided by the judgment and, as such, form the subject of a new application that may be dealt with by the Court.</w:t>
      </w:r>
      <w:r w:rsidRPr="003A1C3B">
        <w:rPr>
          <w:rStyle w:val="FootnoteReference"/>
          <w:rFonts w:cs="Arial"/>
          <w:color w:val="000000"/>
          <w:szCs w:val="20"/>
          <w:shd w:val="clear" w:color="auto" w:fill="FFFFFF"/>
        </w:rPr>
        <w:footnoteReference w:id="7"/>
      </w:r>
      <w:r w:rsidRPr="003A1C3B">
        <w:rPr>
          <w:rFonts w:cs="Arial"/>
          <w:color w:val="000000"/>
          <w:szCs w:val="20"/>
          <w:shd w:val="clear" w:color="auto" w:fill="FFFFFF"/>
        </w:rPr>
        <w:t xml:space="preserve"> </w:t>
      </w:r>
    </w:p>
    <w:p w14:paraId="59E4DEB9" w14:textId="77777777" w:rsidR="005D6B50" w:rsidRDefault="005D6B50">
      <w:pPr>
        <w:rPr>
          <w:rFonts w:cs="Arial"/>
          <w:color w:val="000000"/>
          <w:szCs w:val="20"/>
          <w:shd w:val="clear" w:color="auto" w:fill="FFFFFF"/>
        </w:rPr>
      </w:pPr>
      <w:r>
        <w:rPr>
          <w:rFonts w:cs="Arial"/>
          <w:color w:val="000000"/>
          <w:szCs w:val="20"/>
          <w:shd w:val="clear" w:color="auto" w:fill="FFFFFF"/>
        </w:rPr>
        <w:br w:type="page"/>
      </w:r>
    </w:p>
    <w:p w14:paraId="1BD72080" w14:textId="3C4137B3" w:rsidR="003A1C3B" w:rsidRPr="003A1C3B" w:rsidRDefault="003A1C3B" w:rsidP="003A1C3B">
      <w:pPr>
        <w:rPr>
          <w:rFonts w:cs="Arial"/>
          <w:color w:val="000000"/>
          <w:szCs w:val="20"/>
          <w:shd w:val="clear" w:color="auto" w:fill="FFFFFF"/>
        </w:rPr>
      </w:pPr>
      <w:r w:rsidRPr="003A1C3B">
        <w:rPr>
          <w:rFonts w:cs="Arial"/>
          <w:color w:val="000000"/>
          <w:szCs w:val="20"/>
          <w:shd w:val="clear" w:color="auto" w:fill="FFFFFF"/>
        </w:rPr>
        <w:lastRenderedPageBreak/>
        <w:t>In some circumstances, the Court may decide that protection for human rights does not require it to carry out an examination, </w:t>
      </w:r>
      <w:proofErr w:type="gramStart"/>
      <w:r w:rsidRPr="003A1C3B">
        <w:rPr>
          <w:rFonts w:cs="Arial"/>
          <w:color w:val="000000"/>
          <w:szCs w:val="20"/>
          <w:shd w:val="clear" w:color="auto" w:fill="FFFFFF"/>
        </w:rPr>
        <w:t>in light of</w:t>
      </w:r>
      <w:proofErr w:type="gramEnd"/>
      <w:r w:rsidRPr="003A1C3B">
        <w:rPr>
          <w:rFonts w:cs="Arial"/>
          <w:color w:val="000000"/>
          <w:szCs w:val="20"/>
          <w:shd w:val="clear" w:color="auto" w:fill="FFFFFF"/>
        </w:rPr>
        <w:t xml:space="preserve"> the Committee’s supervision work.</w:t>
      </w:r>
      <w:r w:rsidRPr="003A1C3B">
        <w:rPr>
          <w:rStyle w:val="FootnoteReference"/>
          <w:rFonts w:cs="Arial"/>
          <w:color w:val="000000"/>
          <w:szCs w:val="20"/>
          <w:shd w:val="clear" w:color="auto" w:fill="FFFFFF"/>
        </w:rPr>
        <w:footnoteReference w:id="8"/>
      </w:r>
      <w:r w:rsidRPr="003A1C3B">
        <w:rPr>
          <w:rFonts w:cs="Arial"/>
          <w:color w:val="000000"/>
          <w:szCs w:val="20"/>
          <w:shd w:val="clear" w:color="auto" w:fill="FFFFFF"/>
        </w:rPr>
        <w:t xml:space="preserve"> In others it may go ahead with its assessment.</w:t>
      </w:r>
      <w:r w:rsidRPr="003A1C3B">
        <w:rPr>
          <w:rStyle w:val="FootnoteReference"/>
          <w:rFonts w:cs="Arial"/>
          <w:color w:val="000000"/>
          <w:szCs w:val="20"/>
          <w:shd w:val="clear" w:color="auto" w:fill="FFFFFF"/>
        </w:rPr>
        <w:footnoteReference w:id="9"/>
      </w:r>
      <w:r w:rsidRPr="003A1C3B">
        <w:rPr>
          <w:rFonts w:cs="Arial"/>
          <w:color w:val="000000"/>
          <w:szCs w:val="20"/>
          <w:shd w:val="clear" w:color="auto" w:fill="FFFFFF"/>
        </w:rPr>
        <w:t> Such situations are not uncommon</w:t>
      </w:r>
      <w:r w:rsidRPr="003A1C3B">
        <w:rPr>
          <w:rStyle w:val="FootnoteReference"/>
          <w:rFonts w:cs="Arial"/>
          <w:color w:val="000000"/>
          <w:szCs w:val="20"/>
          <w:shd w:val="clear" w:color="auto" w:fill="FFFFFF"/>
        </w:rPr>
        <w:footnoteReference w:id="10"/>
      </w:r>
      <w:r w:rsidRPr="003A1C3B">
        <w:rPr>
          <w:rFonts w:cs="Arial"/>
          <w:color w:val="000000"/>
          <w:szCs w:val="20"/>
          <w:shd w:val="clear" w:color="auto" w:fill="FFFFFF"/>
        </w:rPr>
        <w:t> and neither approach by the Court affects the continuing competence of the Committee to examine those same developments under Article 46 of the Convention.</w:t>
      </w:r>
      <w:r w:rsidRPr="003A1C3B">
        <w:rPr>
          <w:rFonts w:cs="Arial"/>
          <w:color w:val="000000"/>
          <w:szCs w:val="20"/>
          <w:shd w:val="clear" w:color="auto" w:fill="FFFFFF"/>
          <w:vertAlign w:val="superscript"/>
        </w:rPr>
        <w:footnoteReference w:id="11"/>
      </w:r>
    </w:p>
    <w:p w14:paraId="27069A8E" w14:textId="77777777" w:rsidR="003A1C3B" w:rsidRPr="003A1C3B" w:rsidRDefault="003A1C3B" w:rsidP="003A1C3B">
      <w:pPr>
        <w:rPr>
          <w:rFonts w:cs="Arial"/>
          <w:color w:val="000000"/>
          <w:szCs w:val="20"/>
          <w:shd w:val="clear" w:color="auto" w:fill="FFFFFF"/>
        </w:rPr>
      </w:pPr>
    </w:p>
    <w:p w14:paraId="4363FB13" w14:textId="77777777" w:rsidR="003A1C3B" w:rsidRPr="003A1C3B" w:rsidRDefault="003A1C3B" w:rsidP="003A1C3B">
      <w:pPr>
        <w:rPr>
          <w:rFonts w:cs="Arial"/>
          <w:color w:val="000000"/>
          <w:szCs w:val="20"/>
          <w:shd w:val="clear" w:color="auto" w:fill="FFFFFF"/>
        </w:rPr>
      </w:pPr>
      <w:r w:rsidRPr="003A1C3B">
        <w:rPr>
          <w:rFonts w:cs="Arial"/>
          <w:color w:val="000000"/>
          <w:szCs w:val="20"/>
          <w:shd w:val="clear" w:color="auto" w:fill="FFFFFF"/>
        </w:rPr>
        <w:t xml:space="preserve">It follows that the Court and the Committee, </w:t>
      </w:r>
      <w:r w:rsidRPr="003A1C3B">
        <w:rPr>
          <w:rStyle w:val="sfbbfee58"/>
          <w:rFonts w:cs="Arial"/>
          <w:color w:val="000000"/>
          <w:szCs w:val="20"/>
          <w:shd w:val="clear" w:color="auto" w:fill="FFFFFF"/>
        </w:rPr>
        <w:t xml:space="preserve">within the remit of their different mandates, can be called upon to examine, </w:t>
      </w:r>
      <w:r w:rsidRPr="003A1C3B">
        <w:rPr>
          <w:rFonts w:cs="Arial"/>
          <w:color w:val="000000"/>
          <w:szCs w:val="20"/>
          <w:shd w:val="clear" w:color="auto" w:fill="FFFFFF"/>
        </w:rPr>
        <w:t>even simultaneously,</w:t>
      </w:r>
      <w:r w:rsidRPr="003A1C3B">
        <w:rPr>
          <w:rStyle w:val="sfbbfee58"/>
          <w:rFonts w:cs="Arial"/>
          <w:color w:val="000000"/>
          <w:szCs w:val="20"/>
          <w:shd w:val="clear" w:color="auto" w:fill="FFFFFF"/>
        </w:rPr>
        <w:t xml:space="preserve"> the same domestic proceedings. In these circumstances, the Committee’s role is to assess whether such proceedings </w:t>
      </w:r>
      <w:r w:rsidRPr="003A1C3B">
        <w:rPr>
          <w:rFonts w:cs="Arial"/>
          <w:color w:val="000000"/>
          <w:szCs w:val="20"/>
          <w:shd w:val="clear" w:color="auto" w:fill="FFFFFF"/>
        </w:rPr>
        <w:t xml:space="preserve">provide adequate redress to the applicant in compliance with the conclusions and spirit of the Court’s judgment, whereas the Court’s perspective is to evaluate whether they raise a new issue which discloses a violation of the Convention. </w:t>
      </w:r>
    </w:p>
    <w:p w14:paraId="6DA3D84C" w14:textId="77777777" w:rsidR="003A1C3B" w:rsidRPr="003A1C3B" w:rsidRDefault="003A1C3B" w:rsidP="003A1C3B">
      <w:pPr>
        <w:pStyle w:val="ListParagraph"/>
        <w:rPr>
          <w:rFonts w:cs="Arial"/>
          <w:bCs/>
          <w:szCs w:val="20"/>
        </w:rPr>
      </w:pPr>
    </w:p>
    <w:p w14:paraId="41ADD7FE" w14:textId="39011DCC" w:rsidR="003A1C3B" w:rsidRPr="003A1C3B" w:rsidRDefault="003A1C3B" w:rsidP="003A1C3B">
      <w:pPr>
        <w:rPr>
          <w:rFonts w:cs="Arial"/>
          <w:b/>
          <w:szCs w:val="20"/>
        </w:rPr>
      </w:pPr>
      <w:r w:rsidRPr="003A1C3B">
        <w:rPr>
          <w:rFonts w:cs="Arial"/>
          <w:b/>
          <w:szCs w:val="20"/>
        </w:rPr>
        <w:t>II.</w:t>
      </w:r>
      <w:r w:rsidRPr="003A1C3B">
        <w:rPr>
          <w:rFonts w:cs="Arial"/>
          <w:b/>
          <w:szCs w:val="20"/>
        </w:rPr>
        <w:tab/>
        <w:t>Practice of the Committee of Ministers</w:t>
      </w:r>
    </w:p>
    <w:p w14:paraId="4543F2D4" w14:textId="77777777" w:rsidR="003A1C3B" w:rsidRPr="003A1C3B" w:rsidRDefault="003A1C3B" w:rsidP="003A1C3B">
      <w:pPr>
        <w:pStyle w:val="ListParagraph"/>
        <w:ind w:left="0"/>
        <w:rPr>
          <w:rFonts w:cs="Arial"/>
          <w:b/>
          <w:szCs w:val="20"/>
        </w:rPr>
      </w:pPr>
    </w:p>
    <w:p w14:paraId="5AC79AC3" w14:textId="77777777" w:rsidR="003A1C3B" w:rsidRPr="003A1C3B" w:rsidRDefault="003A1C3B" w:rsidP="003A1C3B">
      <w:pPr>
        <w:numPr>
          <w:ilvl w:val="0"/>
          <w:numId w:val="14"/>
        </w:numPr>
        <w:rPr>
          <w:rFonts w:cs="Arial"/>
          <w:i/>
          <w:iCs/>
          <w:szCs w:val="20"/>
        </w:rPr>
      </w:pPr>
      <w:r w:rsidRPr="003A1C3B">
        <w:rPr>
          <w:rFonts w:cs="Arial"/>
          <w:i/>
          <w:iCs/>
          <w:szCs w:val="20"/>
        </w:rPr>
        <w:t xml:space="preserve">Examination by the Committee of developments taking place following a judgment of the Court </w:t>
      </w:r>
    </w:p>
    <w:p w14:paraId="36890C53" w14:textId="77777777" w:rsidR="003A1C3B" w:rsidRPr="003A1C3B" w:rsidRDefault="003A1C3B" w:rsidP="003A1C3B">
      <w:pPr>
        <w:rPr>
          <w:rFonts w:cs="Arial"/>
          <w:szCs w:val="20"/>
        </w:rPr>
      </w:pPr>
    </w:p>
    <w:p w14:paraId="42AA8BB1" w14:textId="77777777" w:rsidR="003A1C3B" w:rsidRPr="003A1C3B" w:rsidRDefault="003A1C3B" w:rsidP="003A1C3B">
      <w:pPr>
        <w:rPr>
          <w:rFonts w:cs="Arial"/>
          <w:szCs w:val="20"/>
        </w:rPr>
      </w:pPr>
      <w:r w:rsidRPr="003A1C3B">
        <w:rPr>
          <w:rFonts w:cs="Arial"/>
          <w:szCs w:val="20"/>
        </w:rPr>
        <w:t xml:space="preserve">The Committee’s practice in supervising the execution of Court’s judgments is based on the monitoring and assessment of any post-judgment development relevant to the State’s obligation under Article 46 of the Convention. This is an evident and essential condition to guarantee the effectiveness of the execution process. </w:t>
      </w:r>
    </w:p>
    <w:p w14:paraId="23BDE057" w14:textId="77777777" w:rsidR="003A1C3B" w:rsidRPr="003A1C3B" w:rsidRDefault="003A1C3B" w:rsidP="003A1C3B">
      <w:pPr>
        <w:rPr>
          <w:rFonts w:cs="Arial"/>
          <w:szCs w:val="20"/>
        </w:rPr>
      </w:pPr>
    </w:p>
    <w:p w14:paraId="465437AE" w14:textId="77777777" w:rsidR="003A1C3B" w:rsidRPr="003A1C3B" w:rsidRDefault="003A1C3B" w:rsidP="003A1C3B">
      <w:pPr>
        <w:rPr>
          <w:rFonts w:cs="Arial"/>
          <w:szCs w:val="20"/>
        </w:rPr>
      </w:pPr>
      <w:r w:rsidRPr="003A1C3B">
        <w:rPr>
          <w:rFonts w:cs="Arial"/>
          <w:szCs w:val="20"/>
        </w:rPr>
        <w:t xml:space="preserve">Post-judgment developments may take the form of new judicial proceedings at domestic level to provide redress to the applicants in response to the Court’s judgment. While this is not a special occurrence under Article 46, it is more likely that, due to the nature of litigation and the Convention safeguards attached to it, it may also ultimately result in a further application to the Court. This circumstance however does not encroach on the Committee’s evaluation of this development in the framework of the execution process. </w:t>
      </w:r>
    </w:p>
    <w:p w14:paraId="27E8F264" w14:textId="77777777" w:rsidR="003A1C3B" w:rsidRPr="003A1C3B" w:rsidRDefault="003A1C3B" w:rsidP="003A1C3B">
      <w:pPr>
        <w:rPr>
          <w:rFonts w:cs="Arial"/>
          <w:szCs w:val="20"/>
        </w:rPr>
      </w:pPr>
    </w:p>
    <w:p w14:paraId="2EA7BA8D" w14:textId="77777777" w:rsidR="003A1C3B" w:rsidRPr="003A1C3B" w:rsidRDefault="003A1C3B" w:rsidP="003A1C3B">
      <w:pPr>
        <w:rPr>
          <w:rFonts w:cs="Arial"/>
          <w:szCs w:val="20"/>
        </w:rPr>
      </w:pPr>
      <w:r w:rsidRPr="003A1C3B">
        <w:rPr>
          <w:rFonts w:cs="Arial"/>
          <w:szCs w:val="20"/>
        </w:rPr>
        <w:t>The examples outlined below are representative of the well-established practice of the Committee reflecting its competence to assess evolving factual situations, including domestic proceedings initiated, continued, or reopened in response to Court’s judgments establishing violations of different provisions of the Convention.</w:t>
      </w:r>
    </w:p>
    <w:p w14:paraId="73AC6CFD" w14:textId="77777777" w:rsidR="003A1C3B" w:rsidRPr="003A1C3B" w:rsidRDefault="003A1C3B" w:rsidP="003A1C3B">
      <w:pPr>
        <w:rPr>
          <w:rFonts w:cs="Arial"/>
          <w:szCs w:val="20"/>
        </w:rPr>
      </w:pPr>
    </w:p>
    <w:p w14:paraId="38DE27D6" w14:textId="77777777" w:rsidR="003A1C3B" w:rsidRPr="003A1C3B" w:rsidRDefault="003A1C3B" w:rsidP="003A1C3B">
      <w:pPr>
        <w:rPr>
          <w:rFonts w:cs="Arial"/>
          <w:szCs w:val="20"/>
        </w:rPr>
      </w:pPr>
      <w:r w:rsidRPr="003A1C3B">
        <w:rPr>
          <w:rFonts w:cs="Arial"/>
          <w:szCs w:val="20"/>
        </w:rPr>
        <w:t xml:space="preserve">When monitoring the execution of judgments finding potential </w:t>
      </w:r>
      <w:r w:rsidRPr="003A1C3B">
        <w:rPr>
          <w:rFonts w:cs="Arial"/>
          <w:szCs w:val="20"/>
          <w:u w:val="single"/>
        </w:rPr>
        <w:t>violations of Article 2 and/or 3 of the Convention</w:t>
      </w:r>
      <w:r w:rsidRPr="003A1C3B">
        <w:rPr>
          <w:rFonts w:cs="Arial"/>
          <w:szCs w:val="20"/>
        </w:rPr>
        <w:t xml:space="preserve"> due to shortcomings in the process leading to the proposed expulsion of the applicants, the Committee has supervised the reassessment of the applicants’ situation by the domestic authorities to ensure that it complied with the strict requirements of the Convention. </w:t>
      </w:r>
    </w:p>
    <w:p w14:paraId="3DAB1562" w14:textId="77777777" w:rsidR="003A1C3B" w:rsidRPr="003A1C3B" w:rsidRDefault="003A1C3B" w:rsidP="003A1C3B">
      <w:pPr>
        <w:rPr>
          <w:rFonts w:cs="Arial"/>
          <w:szCs w:val="20"/>
        </w:rPr>
      </w:pPr>
    </w:p>
    <w:p w14:paraId="676025DE" w14:textId="77777777" w:rsidR="003A1C3B" w:rsidRPr="003A1C3B" w:rsidRDefault="003A1C3B" w:rsidP="003A1C3B">
      <w:pPr>
        <w:rPr>
          <w:rFonts w:cs="Arial"/>
          <w:szCs w:val="20"/>
        </w:rPr>
      </w:pPr>
      <w:r w:rsidRPr="003A1C3B">
        <w:rPr>
          <w:rFonts w:cs="Arial"/>
          <w:szCs w:val="20"/>
        </w:rPr>
        <w:t xml:space="preserve">In </w:t>
      </w:r>
      <w:r w:rsidRPr="003A1C3B">
        <w:rPr>
          <w:rFonts w:cs="Arial"/>
          <w:i/>
          <w:iCs/>
          <w:szCs w:val="20"/>
        </w:rPr>
        <w:t>F.G. v. Sweden</w:t>
      </w:r>
      <w:r w:rsidRPr="003A1C3B">
        <w:rPr>
          <w:rFonts w:cs="Arial"/>
          <w:szCs w:val="20"/>
        </w:rPr>
        <w:t xml:space="preserve">, the Committee followed the re-examination of the applicant’s proposed expulsion to Iran carried out </w:t>
      </w:r>
      <w:r w:rsidRPr="003A1C3B">
        <w:rPr>
          <w:rFonts w:cs="Arial"/>
          <w:i/>
          <w:iCs/>
          <w:szCs w:val="20"/>
        </w:rPr>
        <w:t>ex officio</w:t>
      </w:r>
      <w:r w:rsidRPr="003A1C3B">
        <w:rPr>
          <w:rFonts w:cs="Arial"/>
          <w:szCs w:val="20"/>
        </w:rPr>
        <w:t xml:space="preserve"> by the Swedish authorities. The Court had found that the implementation of this decision without adequate investigation of the reality and implications of the applicant’s conversion to Christianity after arrival in Europe, would be in breach of the Convention.</w:t>
      </w:r>
      <w:r w:rsidRPr="003A1C3B">
        <w:rPr>
          <w:rStyle w:val="FootnoteReference"/>
          <w:rFonts w:cs="Arial"/>
          <w:szCs w:val="20"/>
        </w:rPr>
        <w:footnoteReference w:id="12"/>
      </w:r>
      <w:r w:rsidRPr="003A1C3B">
        <w:rPr>
          <w:rFonts w:cs="Arial"/>
          <w:szCs w:val="20"/>
        </w:rPr>
        <w:t xml:space="preserve"> </w:t>
      </w:r>
    </w:p>
    <w:p w14:paraId="6E99AA9C" w14:textId="77777777" w:rsidR="003A1C3B" w:rsidRPr="003A1C3B" w:rsidRDefault="003A1C3B" w:rsidP="003A1C3B">
      <w:pPr>
        <w:rPr>
          <w:rFonts w:cs="Arial"/>
          <w:szCs w:val="20"/>
        </w:rPr>
      </w:pPr>
    </w:p>
    <w:p w14:paraId="18331145" w14:textId="77777777" w:rsidR="003A1C3B" w:rsidRPr="003A1C3B" w:rsidRDefault="003A1C3B" w:rsidP="003A1C3B">
      <w:pPr>
        <w:rPr>
          <w:rFonts w:cs="Arial"/>
          <w:color w:val="000000"/>
          <w:szCs w:val="20"/>
          <w:shd w:val="clear" w:color="auto" w:fill="FFFFFF"/>
        </w:rPr>
      </w:pPr>
      <w:r w:rsidRPr="003A1C3B">
        <w:rPr>
          <w:rFonts w:cs="Arial"/>
          <w:szCs w:val="20"/>
        </w:rPr>
        <w:t xml:space="preserve">In the execution of judgments finding a violation of </w:t>
      </w:r>
      <w:r w:rsidRPr="003A1C3B">
        <w:rPr>
          <w:rFonts w:cs="Arial"/>
          <w:szCs w:val="20"/>
          <w:u w:val="single"/>
        </w:rPr>
        <w:t>Article 6 of the Convention</w:t>
      </w:r>
      <w:r w:rsidRPr="003A1C3B">
        <w:rPr>
          <w:rFonts w:cs="Arial"/>
          <w:szCs w:val="20"/>
        </w:rPr>
        <w:t xml:space="preserve"> due to procedural shortcomings casting serious doubt as to the outcome of criminal proceedings against the applicants, the Committee monitored the criminal proceedings reopened at the request of the applicants to ensure that such deficiencies were adequately remedied. One such example can be observed in </w:t>
      </w:r>
      <w:proofErr w:type="spellStart"/>
      <w:r w:rsidRPr="003A1C3B">
        <w:rPr>
          <w:rFonts w:cs="Arial"/>
          <w:i/>
          <w:iCs/>
          <w:color w:val="000000"/>
          <w:szCs w:val="20"/>
          <w:shd w:val="clear" w:color="auto" w:fill="FFFFFF"/>
        </w:rPr>
        <w:t>Cafagna</w:t>
      </w:r>
      <w:proofErr w:type="spellEnd"/>
      <w:r w:rsidRPr="003A1C3B">
        <w:rPr>
          <w:rFonts w:cs="Arial"/>
          <w:i/>
          <w:iCs/>
          <w:color w:val="000000"/>
          <w:szCs w:val="20"/>
          <w:shd w:val="clear" w:color="auto" w:fill="FFFFFF"/>
        </w:rPr>
        <w:t xml:space="preserve"> v Italy</w:t>
      </w:r>
      <w:r w:rsidRPr="003A1C3B">
        <w:rPr>
          <w:rFonts w:cs="Arial"/>
          <w:color w:val="000000"/>
          <w:szCs w:val="20"/>
          <w:shd w:val="clear" w:color="auto" w:fill="FFFFFF"/>
        </w:rPr>
        <w:t>, in which the Court found a violation of the Convention due to the applicant’s conviction based on the statement of a witness not heard during trial. The Committee followed and assessed the domestic proceedings reopened in response to the Court’s judgment, in which domestic courts made efforts to ensure the hearing of the witness in question which proved impossible and led to the acquittal of the applicant.</w:t>
      </w:r>
      <w:r w:rsidRPr="003A1C3B">
        <w:rPr>
          <w:rStyle w:val="FootnoteReference"/>
          <w:rFonts w:cs="Arial"/>
          <w:color w:val="000000"/>
          <w:szCs w:val="20"/>
          <w:shd w:val="clear" w:color="auto" w:fill="FFFFFF"/>
        </w:rPr>
        <w:footnoteReference w:id="13"/>
      </w:r>
    </w:p>
    <w:p w14:paraId="7A2A3B6F" w14:textId="77777777" w:rsidR="003A1C3B" w:rsidRPr="003A1C3B" w:rsidRDefault="003A1C3B" w:rsidP="003A1C3B">
      <w:pPr>
        <w:rPr>
          <w:rFonts w:cs="Arial"/>
          <w:color w:val="000000"/>
          <w:szCs w:val="20"/>
          <w:shd w:val="clear" w:color="auto" w:fill="FFFFFF"/>
        </w:rPr>
      </w:pPr>
    </w:p>
    <w:p w14:paraId="41371A71" w14:textId="77777777" w:rsidR="003A1C3B" w:rsidRPr="003A1C3B" w:rsidRDefault="003A1C3B" w:rsidP="003A1C3B">
      <w:pPr>
        <w:rPr>
          <w:rFonts w:cs="Arial"/>
          <w:szCs w:val="20"/>
        </w:rPr>
      </w:pPr>
      <w:r w:rsidRPr="003A1C3B">
        <w:rPr>
          <w:rFonts w:cs="Arial"/>
          <w:szCs w:val="20"/>
        </w:rPr>
        <w:t>Similarly, in cases in which the Court found violations of the applicants’ right to family life due to shortcomings in the decision-making process leading to the adoption of the applicants’ children, the Committee closely follows the re-examination of these situations to guarantee their full c</w:t>
      </w:r>
      <w:r w:rsidRPr="003A1C3B">
        <w:rPr>
          <w:rFonts w:cs="Arial"/>
          <w:color w:val="000000"/>
          <w:szCs w:val="20"/>
          <w:shd w:val="clear" w:color="auto" w:fill="FFFFFF"/>
        </w:rPr>
        <w:t xml:space="preserve">ompliance with all the relevant requirements under </w:t>
      </w:r>
      <w:r w:rsidRPr="003A1C3B">
        <w:rPr>
          <w:rFonts w:cs="Arial"/>
          <w:color w:val="000000"/>
          <w:szCs w:val="20"/>
          <w:u w:val="single"/>
          <w:shd w:val="clear" w:color="auto" w:fill="FFFFFF"/>
        </w:rPr>
        <w:t>Article 8 of the Convention</w:t>
      </w:r>
      <w:r w:rsidRPr="003A1C3B">
        <w:rPr>
          <w:rFonts w:cs="Arial"/>
          <w:color w:val="000000"/>
          <w:szCs w:val="20"/>
          <w:shd w:val="clear" w:color="auto" w:fill="FFFFFF"/>
        </w:rPr>
        <w:t xml:space="preserve">. </w:t>
      </w:r>
    </w:p>
    <w:p w14:paraId="79FE4A79" w14:textId="77777777" w:rsidR="003A1C3B" w:rsidRPr="003A1C3B" w:rsidRDefault="003A1C3B" w:rsidP="003A1C3B">
      <w:pPr>
        <w:rPr>
          <w:rFonts w:cs="Arial"/>
          <w:szCs w:val="20"/>
        </w:rPr>
      </w:pPr>
    </w:p>
    <w:p w14:paraId="739E474D" w14:textId="77777777" w:rsidR="003A1C3B" w:rsidRPr="003A1C3B" w:rsidRDefault="003A1C3B">
      <w:pPr>
        <w:rPr>
          <w:rFonts w:cs="Arial"/>
          <w:szCs w:val="20"/>
        </w:rPr>
      </w:pPr>
      <w:r w:rsidRPr="003A1C3B">
        <w:rPr>
          <w:rFonts w:cs="Arial"/>
          <w:szCs w:val="20"/>
        </w:rPr>
        <w:br w:type="page"/>
      </w:r>
    </w:p>
    <w:p w14:paraId="2B7BF39A" w14:textId="28FFAD0B" w:rsidR="003A1C3B" w:rsidRPr="003A1C3B" w:rsidRDefault="003A1C3B" w:rsidP="003A1C3B">
      <w:pPr>
        <w:rPr>
          <w:rFonts w:cs="Arial"/>
          <w:szCs w:val="20"/>
        </w:rPr>
      </w:pPr>
      <w:r w:rsidRPr="003A1C3B">
        <w:rPr>
          <w:rFonts w:cs="Arial"/>
          <w:szCs w:val="20"/>
        </w:rPr>
        <w:lastRenderedPageBreak/>
        <w:t xml:space="preserve">In </w:t>
      </w:r>
      <w:r w:rsidRPr="003A1C3B">
        <w:rPr>
          <w:rFonts w:cs="Arial"/>
          <w:i/>
          <w:iCs/>
          <w:szCs w:val="20"/>
        </w:rPr>
        <w:t xml:space="preserve">Strand </w:t>
      </w:r>
      <w:proofErr w:type="spellStart"/>
      <w:r w:rsidRPr="003A1C3B">
        <w:rPr>
          <w:rFonts w:cs="Arial"/>
          <w:i/>
          <w:iCs/>
          <w:szCs w:val="20"/>
        </w:rPr>
        <w:t>Lobben</w:t>
      </w:r>
      <w:proofErr w:type="spellEnd"/>
      <w:r w:rsidRPr="003A1C3B">
        <w:rPr>
          <w:rFonts w:cs="Arial"/>
          <w:i/>
          <w:iCs/>
          <w:szCs w:val="20"/>
        </w:rPr>
        <w:t xml:space="preserve"> and Others v. Norway</w:t>
      </w:r>
      <w:r w:rsidRPr="003A1C3B">
        <w:rPr>
          <w:rFonts w:cs="Arial"/>
          <w:szCs w:val="20"/>
        </w:rPr>
        <w:t xml:space="preserve">, the Committee is monitoring adoption proceedings reopened at the request of the applicants following the Court’s judgment to ensure that they are dealt with swiftly, </w:t>
      </w:r>
      <w:r w:rsidRPr="003A1C3B">
        <w:rPr>
          <w:rFonts w:cs="Arial"/>
          <w:color w:val="000000"/>
          <w:szCs w:val="20"/>
          <w:shd w:val="clear" w:color="auto" w:fill="FFFFFF"/>
        </w:rPr>
        <w:t>considering the paramount importance of the best interests of the children and the Convention rights of all the parties involved.</w:t>
      </w:r>
      <w:r w:rsidRPr="003A1C3B">
        <w:rPr>
          <w:rStyle w:val="FootnoteReference"/>
          <w:rFonts w:cs="Arial"/>
          <w:color w:val="000000"/>
          <w:szCs w:val="20"/>
          <w:shd w:val="clear" w:color="auto" w:fill="FFFFFF"/>
        </w:rPr>
        <w:footnoteReference w:id="14"/>
      </w:r>
      <w:r w:rsidRPr="003A1C3B">
        <w:rPr>
          <w:rFonts w:cs="Arial"/>
          <w:color w:val="000000"/>
          <w:szCs w:val="20"/>
          <w:shd w:val="clear" w:color="auto" w:fill="FFFFFF"/>
        </w:rPr>
        <w:t> </w:t>
      </w:r>
      <w:r w:rsidRPr="003A1C3B">
        <w:rPr>
          <w:rFonts w:cs="Arial"/>
          <w:szCs w:val="20"/>
        </w:rPr>
        <w:t xml:space="preserve"> </w:t>
      </w:r>
    </w:p>
    <w:p w14:paraId="4D3D274C" w14:textId="77777777" w:rsidR="003A1C3B" w:rsidRPr="003A1C3B" w:rsidRDefault="003A1C3B" w:rsidP="003A1C3B">
      <w:pPr>
        <w:rPr>
          <w:rFonts w:cs="Arial"/>
          <w:szCs w:val="20"/>
        </w:rPr>
      </w:pPr>
    </w:p>
    <w:p w14:paraId="3E196BF8" w14:textId="77777777" w:rsidR="003A1C3B" w:rsidRPr="003A1C3B" w:rsidRDefault="003A1C3B" w:rsidP="003A1C3B">
      <w:pPr>
        <w:rPr>
          <w:rFonts w:cs="Arial"/>
          <w:szCs w:val="20"/>
        </w:rPr>
      </w:pPr>
      <w:r w:rsidRPr="003A1C3B">
        <w:rPr>
          <w:rFonts w:cs="Arial"/>
          <w:szCs w:val="20"/>
        </w:rPr>
        <w:t xml:space="preserve">This approach can also be observed in cases in which the Court found a violation of the applicants’ right to freedom of expression under </w:t>
      </w:r>
      <w:r w:rsidRPr="003A1C3B">
        <w:rPr>
          <w:rFonts w:cs="Arial"/>
          <w:szCs w:val="20"/>
          <w:u w:val="single"/>
        </w:rPr>
        <w:t>Article 10 of the Convention</w:t>
      </w:r>
      <w:r w:rsidRPr="003A1C3B">
        <w:rPr>
          <w:rFonts w:cs="Arial"/>
          <w:szCs w:val="20"/>
        </w:rPr>
        <w:t xml:space="preserve"> due to their criminal conviction. In these cases, the Committee ensured that when domestic proceedings were reopened at the request of the applicants their conviction and its consequences were erased.  </w:t>
      </w:r>
    </w:p>
    <w:p w14:paraId="704FEF5E" w14:textId="77777777" w:rsidR="003A1C3B" w:rsidRPr="003A1C3B" w:rsidRDefault="003A1C3B" w:rsidP="003A1C3B">
      <w:pPr>
        <w:rPr>
          <w:rFonts w:cs="Arial"/>
          <w:szCs w:val="20"/>
        </w:rPr>
      </w:pPr>
    </w:p>
    <w:p w14:paraId="459EE707" w14:textId="77777777" w:rsidR="003A1C3B" w:rsidRPr="003A1C3B" w:rsidRDefault="003A1C3B" w:rsidP="003A1C3B">
      <w:pPr>
        <w:rPr>
          <w:rFonts w:cs="Arial"/>
          <w:szCs w:val="20"/>
          <w:vertAlign w:val="superscript"/>
        </w:rPr>
      </w:pPr>
      <w:r w:rsidRPr="003A1C3B">
        <w:rPr>
          <w:rFonts w:cs="Arial"/>
          <w:szCs w:val="20"/>
        </w:rPr>
        <w:t xml:space="preserve">In </w:t>
      </w:r>
      <w:proofErr w:type="spellStart"/>
      <w:r w:rsidRPr="003A1C3B">
        <w:rPr>
          <w:rFonts w:cs="Arial"/>
          <w:i/>
          <w:iCs/>
          <w:szCs w:val="20"/>
        </w:rPr>
        <w:t>Morice</w:t>
      </w:r>
      <w:proofErr w:type="spellEnd"/>
      <w:r w:rsidRPr="003A1C3B">
        <w:rPr>
          <w:rFonts w:cs="Arial"/>
          <w:i/>
          <w:iCs/>
          <w:szCs w:val="20"/>
        </w:rPr>
        <w:t xml:space="preserve"> v. France</w:t>
      </w:r>
      <w:r w:rsidRPr="003A1C3B">
        <w:rPr>
          <w:rFonts w:cs="Arial"/>
          <w:szCs w:val="20"/>
        </w:rPr>
        <w:t>, for example, in which the applicant - a lawyer – was convicted for defamation of investigating judges, the Committee monitored the criminal proceedings reopened at domestic level in which the applicant’s criminal conviction was annulled and erased from his criminal records.</w:t>
      </w:r>
      <w:r w:rsidRPr="003A1C3B">
        <w:rPr>
          <w:rFonts w:cs="Arial"/>
          <w:szCs w:val="20"/>
          <w:vertAlign w:val="superscript"/>
        </w:rPr>
        <w:footnoteReference w:id="15"/>
      </w:r>
      <w:r w:rsidRPr="003A1C3B">
        <w:rPr>
          <w:rFonts w:cs="Arial"/>
          <w:szCs w:val="20"/>
          <w:vertAlign w:val="superscript"/>
        </w:rPr>
        <w:t xml:space="preserve">   </w:t>
      </w:r>
    </w:p>
    <w:p w14:paraId="7C11D75F" w14:textId="77777777" w:rsidR="003A1C3B" w:rsidRPr="003A1C3B" w:rsidRDefault="003A1C3B" w:rsidP="003A1C3B">
      <w:pPr>
        <w:rPr>
          <w:rFonts w:cs="Arial"/>
          <w:szCs w:val="20"/>
        </w:rPr>
      </w:pPr>
    </w:p>
    <w:p w14:paraId="538063ED" w14:textId="77777777" w:rsidR="003A1C3B" w:rsidRPr="003A1C3B" w:rsidRDefault="003A1C3B" w:rsidP="003A1C3B">
      <w:pPr>
        <w:rPr>
          <w:rFonts w:cs="Arial"/>
          <w:szCs w:val="20"/>
        </w:rPr>
      </w:pPr>
      <w:r w:rsidRPr="003A1C3B">
        <w:rPr>
          <w:rFonts w:cs="Arial"/>
          <w:szCs w:val="20"/>
        </w:rPr>
        <w:t xml:space="preserve">In cases where the Court has found violations of the right to freedom of association on account of dissolutions, or refusals of registration of organisations, political </w:t>
      </w:r>
      <w:proofErr w:type="gramStart"/>
      <w:r w:rsidRPr="003A1C3B">
        <w:rPr>
          <w:rFonts w:cs="Arial"/>
          <w:szCs w:val="20"/>
        </w:rPr>
        <w:t>parties</w:t>
      </w:r>
      <w:proofErr w:type="gramEnd"/>
      <w:r w:rsidRPr="003A1C3B">
        <w:rPr>
          <w:rFonts w:cs="Arial"/>
          <w:szCs w:val="20"/>
        </w:rPr>
        <w:t xml:space="preserve"> and churches (</w:t>
      </w:r>
      <w:r w:rsidRPr="003A1C3B">
        <w:rPr>
          <w:rFonts w:cs="Arial"/>
          <w:szCs w:val="20"/>
          <w:u w:val="single"/>
        </w:rPr>
        <w:t>Articles 9 and 11 of the Convention</w:t>
      </w:r>
      <w:r w:rsidRPr="003A1C3B">
        <w:rPr>
          <w:rFonts w:cs="Arial"/>
          <w:szCs w:val="20"/>
        </w:rPr>
        <w:t>), the Committee of Ministers supervised that the applicants were offered the possibility to have their entities registered anew in proceedings respecting the Convention.</w:t>
      </w:r>
    </w:p>
    <w:p w14:paraId="7F866438" w14:textId="77777777" w:rsidR="003A1C3B" w:rsidRPr="003A1C3B" w:rsidRDefault="003A1C3B" w:rsidP="003A1C3B">
      <w:pPr>
        <w:rPr>
          <w:rFonts w:cs="Arial"/>
          <w:szCs w:val="20"/>
        </w:rPr>
      </w:pPr>
    </w:p>
    <w:p w14:paraId="61BFB27A" w14:textId="2E0B807C" w:rsidR="003A1C3B" w:rsidRPr="003A1C3B" w:rsidRDefault="003A1C3B" w:rsidP="003A1C3B">
      <w:pPr>
        <w:rPr>
          <w:rFonts w:cs="Arial"/>
          <w:szCs w:val="20"/>
        </w:rPr>
      </w:pPr>
      <w:r w:rsidRPr="003A1C3B">
        <w:rPr>
          <w:rFonts w:cs="Arial"/>
          <w:szCs w:val="20"/>
        </w:rPr>
        <w:t xml:space="preserve">In the </w:t>
      </w:r>
      <w:r w:rsidRPr="003A1C3B">
        <w:rPr>
          <w:rFonts w:cs="Arial"/>
          <w:i/>
          <w:iCs/>
          <w:szCs w:val="20"/>
        </w:rPr>
        <w:t xml:space="preserve">Bekir </w:t>
      </w:r>
      <w:proofErr w:type="spellStart"/>
      <w:r w:rsidRPr="003A1C3B">
        <w:rPr>
          <w:rFonts w:cs="Arial"/>
          <w:i/>
          <w:iCs/>
          <w:szCs w:val="20"/>
        </w:rPr>
        <w:t>Ousta</w:t>
      </w:r>
      <w:proofErr w:type="spellEnd"/>
      <w:r w:rsidRPr="003A1C3B">
        <w:rPr>
          <w:rFonts w:cs="Arial"/>
          <w:i/>
          <w:iCs/>
          <w:szCs w:val="20"/>
        </w:rPr>
        <w:t xml:space="preserve"> v. Greece </w:t>
      </w:r>
      <w:r w:rsidRPr="003A1C3B">
        <w:rPr>
          <w:rFonts w:cs="Arial"/>
          <w:szCs w:val="20"/>
        </w:rPr>
        <w:t>group of cases,</w:t>
      </w:r>
      <w:r w:rsidRPr="003A1C3B">
        <w:rPr>
          <w:rStyle w:val="FootnoteReference"/>
          <w:rFonts w:cs="Arial"/>
          <w:i/>
          <w:iCs/>
          <w:szCs w:val="20"/>
        </w:rPr>
        <w:footnoteReference w:id="16"/>
      </w:r>
      <w:r w:rsidRPr="003A1C3B">
        <w:rPr>
          <w:rFonts w:cs="Arial"/>
          <w:szCs w:val="20"/>
        </w:rPr>
        <w:t xml:space="preserve"> the Committee assessed in detail the examination on the merits by the Court of Cassation of reopened proceedings in the case of </w:t>
      </w:r>
      <w:proofErr w:type="spellStart"/>
      <w:r w:rsidRPr="003A1C3B">
        <w:rPr>
          <w:rFonts w:cs="Arial"/>
          <w:i/>
          <w:iCs/>
          <w:szCs w:val="20"/>
        </w:rPr>
        <w:t>Tourkiki</w:t>
      </w:r>
      <w:proofErr w:type="spellEnd"/>
      <w:r w:rsidRPr="003A1C3B">
        <w:rPr>
          <w:rFonts w:cs="Arial"/>
          <w:i/>
          <w:iCs/>
          <w:szCs w:val="20"/>
        </w:rPr>
        <w:t xml:space="preserve"> </w:t>
      </w:r>
      <w:proofErr w:type="spellStart"/>
      <w:r w:rsidRPr="003A1C3B">
        <w:rPr>
          <w:rFonts w:cs="Arial"/>
          <w:i/>
          <w:iCs/>
          <w:szCs w:val="20"/>
        </w:rPr>
        <w:t>Enosi</w:t>
      </w:r>
      <w:proofErr w:type="spellEnd"/>
      <w:r w:rsidRPr="003A1C3B">
        <w:rPr>
          <w:rFonts w:cs="Arial"/>
          <w:i/>
          <w:iCs/>
          <w:szCs w:val="20"/>
        </w:rPr>
        <w:t xml:space="preserve"> </w:t>
      </w:r>
      <w:proofErr w:type="spellStart"/>
      <w:r w:rsidRPr="003A1C3B">
        <w:rPr>
          <w:rFonts w:cs="Arial"/>
          <w:i/>
          <w:iCs/>
          <w:szCs w:val="20"/>
        </w:rPr>
        <w:t>Xanthis</w:t>
      </w:r>
      <w:proofErr w:type="spellEnd"/>
      <w:r w:rsidRPr="003A1C3B">
        <w:rPr>
          <w:rFonts w:cs="Arial"/>
          <w:i/>
          <w:iCs/>
          <w:szCs w:val="20"/>
        </w:rPr>
        <w:t xml:space="preserve"> and </w:t>
      </w:r>
      <w:proofErr w:type="gramStart"/>
      <w:r w:rsidRPr="003A1C3B">
        <w:rPr>
          <w:rFonts w:cs="Arial"/>
          <w:i/>
          <w:iCs/>
          <w:szCs w:val="20"/>
        </w:rPr>
        <w:t xml:space="preserve">Others, </w:t>
      </w:r>
      <w:r w:rsidRPr="003A1C3B">
        <w:rPr>
          <w:rFonts w:cs="Arial"/>
          <w:szCs w:val="20"/>
        </w:rPr>
        <w:t>and</w:t>
      </w:r>
      <w:proofErr w:type="gramEnd"/>
      <w:r w:rsidRPr="003A1C3B">
        <w:rPr>
          <w:rFonts w:cs="Arial"/>
          <w:szCs w:val="20"/>
        </w:rPr>
        <w:t xml:space="preserve"> deplored that it had not led to the applicant association’s </w:t>
      </w:r>
      <w:r w:rsidRPr="003A1C3B">
        <w:rPr>
          <w:rFonts w:cs="Arial"/>
          <w:i/>
          <w:iCs/>
          <w:szCs w:val="20"/>
        </w:rPr>
        <w:t>restitutio in integrum</w:t>
      </w:r>
      <w:r w:rsidRPr="003A1C3B">
        <w:rPr>
          <w:rFonts w:cs="Arial"/>
          <w:szCs w:val="20"/>
        </w:rPr>
        <w:t xml:space="preserve">. </w:t>
      </w:r>
    </w:p>
    <w:p w14:paraId="122ECF29" w14:textId="77777777" w:rsidR="003A1C3B" w:rsidRPr="003A1C3B" w:rsidRDefault="003A1C3B" w:rsidP="003A1C3B">
      <w:pPr>
        <w:rPr>
          <w:rFonts w:cs="Arial"/>
          <w:szCs w:val="20"/>
        </w:rPr>
      </w:pPr>
    </w:p>
    <w:p w14:paraId="28CE0D65" w14:textId="77777777" w:rsidR="003A1C3B" w:rsidRPr="003A1C3B" w:rsidRDefault="003A1C3B" w:rsidP="003A1C3B">
      <w:pPr>
        <w:rPr>
          <w:rFonts w:cs="Arial"/>
          <w:szCs w:val="20"/>
        </w:rPr>
      </w:pPr>
      <w:r w:rsidRPr="003A1C3B">
        <w:rPr>
          <w:rFonts w:cs="Arial"/>
          <w:szCs w:val="20"/>
        </w:rPr>
        <w:t xml:space="preserve">In </w:t>
      </w:r>
      <w:proofErr w:type="spellStart"/>
      <w:r w:rsidRPr="003A1C3B">
        <w:rPr>
          <w:rFonts w:cs="Arial"/>
          <w:i/>
          <w:iCs/>
          <w:szCs w:val="20"/>
        </w:rPr>
        <w:t>Partidul</w:t>
      </w:r>
      <w:proofErr w:type="spellEnd"/>
      <w:r w:rsidRPr="003A1C3B">
        <w:rPr>
          <w:rFonts w:cs="Arial"/>
          <w:i/>
          <w:iCs/>
          <w:szCs w:val="20"/>
        </w:rPr>
        <w:t xml:space="preserve"> </w:t>
      </w:r>
      <w:proofErr w:type="spellStart"/>
      <w:r w:rsidRPr="003A1C3B">
        <w:rPr>
          <w:rFonts w:cs="Arial"/>
          <w:i/>
          <w:iCs/>
          <w:szCs w:val="20"/>
        </w:rPr>
        <w:t>Comunistilor</w:t>
      </w:r>
      <w:proofErr w:type="spellEnd"/>
      <w:r w:rsidRPr="003A1C3B">
        <w:rPr>
          <w:rFonts w:cs="Arial"/>
          <w:i/>
          <w:iCs/>
          <w:szCs w:val="20"/>
        </w:rPr>
        <w:t xml:space="preserve"> (</w:t>
      </w:r>
      <w:proofErr w:type="spellStart"/>
      <w:r w:rsidRPr="003A1C3B">
        <w:rPr>
          <w:rFonts w:cs="Arial"/>
          <w:i/>
          <w:iCs/>
          <w:szCs w:val="20"/>
        </w:rPr>
        <w:t>Nepeceristi</w:t>
      </w:r>
      <w:proofErr w:type="spellEnd"/>
      <w:r w:rsidRPr="003A1C3B">
        <w:rPr>
          <w:rFonts w:cs="Arial"/>
          <w:i/>
          <w:iCs/>
          <w:szCs w:val="20"/>
        </w:rPr>
        <w:t xml:space="preserve">) and Ungureanu v. Romania, </w:t>
      </w:r>
      <w:r w:rsidRPr="003A1C3B">
        <w:rPr>
          <w:rFonts w:cs="Arial"/>
          <w:szCs w:val="20"/>
        </w:rPr>
        <w:t>the Committee supervised the outcome of domestic proceedings seeking the registration of the applicant group as a political party.</w:t>
      </w:r>
      <w:r w:rsidRPr="003A1C3B">
        <w:rPr>
          <w:rFonts w:cs="Arial"/>
          <w:szCs w:val="20"/>
          <w:vertAlign w:val="superscript"/>
        </w:rPr>
        <w:footnoteReference w:id="17"/>
      </w:r>
      <w:r w:rsidRPr="003A1C3B">
        <w:rPr>
          <w:rFonts w:cs="Arial"/>
          <w:szCs w:val="20"/>
        </w:rPr>
        <w:t xml:space="preserve"> These proceedings were initiated following the Court’s judgment finding a breach of the Convention due to the unjustified refusal of the authorities to allow such registration. The applicant group’s request for revision was granted.</w:t>
      </w:r>
    </w:p>
    <w:p w14:paraId="03E4A9B2" w14:textId="77777777" w:rsidR="003A1C3B" w:rsidRPr="003A1C3B" w:rsidRDefault="003A1C3B" w:rsidP="003A1C3B">
      <w:pPr>
        <w:rPr>
          <w:rFonts w:cs="Arial"/>
          <w:szCs w:val="20"/>
        </w:rPr>
      </w:pPr>
    </w:p>
    <w:p w14:paraId="764EC882" w14:textId="77777777" w:rsidR="003A1C3B" w:rsidRPr="003A1C3B" w:rsidRDefault="003A1C3B" w:rsidP="003A1C3B">
      <w:pPr>
        <w:rPr>
          <w:rFonts w:cs="Arial"/>
          <w:szCs w:val="20"/>
        </w:rPr>
      </w:pPr>
      <w:r w:rsidRPr="003A1C3B">
        <w:rPr>
          <w:rFonts w:cs="Arial"/>
          <w:szCs w:val="20"/>
        </w:rPr>
        <w:t xml:space="preserve">In </w:t>
      </w:r>
      <w:r w:rsidRPr="003A1C3B">
        <w:rPr>
          <w:rFonts w:cs="Arial"/>
          <w:i/>
          <w:iCs/>
          <w:szCs w:val="20"/>
        </w:rPr>
        <w:t xml:space="preserve">United Communist Party of Turkey v. Turkey, </w:t>
      </w:r>
      <w:r w:rsidRPr="003A1C3B">
        <w:rPr>
          <w:rFonts w:cs="Arial"/>
          <w:szCs w:val="20"/>
        </w:rPr>
        <w:t>concerning the</w:t>
      </w:r>
      <w:r w:rsidRPr="003A1C3B">
        <w:rPr>
          <w:rFonts w:cs="Arial"/>
          <w:i/>
          <w:iCs/>
          <w:szCs w:val="20"/>
        </w:rPr>
        <w:t xml:space="preserve"> </w:t>
      </w:r>
      <w:r w:rsidRPr="003A1C3B">
        <w:rPr>
          <w:rFonts w:cs="Arial"/>
          <w:szCs w:val="20"/>
        </w:rPr>
        <w:t>unjustified dissolutions of the applicant political parties, the Committee ensured that the bans on political activities imposed on the officials of the parties concerned following their dissolution were lifted and that these persons had the possibility to re-register political parties if they so wished.</w:t>
      </w:r>
      <w:r w:rsidRPr="003A1C3B">
        <w:rPr>
          <w:rFonts w:cs="Arial"/>
          <w:szCs w:val="20"/>
          <w:vertAlign w:val="superscript"/>
        </w:rPr>
        <w:footnoteReference w:id="18"/>
      </w:r>
    </w:p>
    <w:p w14:paraId="476F21EE" w14:textId="77777777" w:rsidR="003A1C3B" w:rsidRPr="003A1C3B" w:rsidRDefault="003A1C3B" w:rsidP="003A1C3B">
      <w:pPr>
        <w:rPr>
          <w:rFonts w:cs="Arial"/>
          <w:szCs w:val="20"/>
        </w:rPr>
      </w:pPr>
    </w:p>
    <w:p w14:paraId="0D75874C" w14:textId="74AFAC80" w:rsidR="003A1C3B" w:rsidRPr="003A1C3B" w:rsidRDefault="003A1C3B" w:rsidP="003A1C3B">
      <w:pPr>
        <w:rPr>
          <w:rFonts w:cs="Arial"/>
          <w:szCs w:val="20"/>
        </w:rPr>
      </w:pPr>
      <w:r w:rsidRPr="003A1C3B">
        <w:rPr>
          <w:rFonts w:cs="Arial"/>
          <w:szCs w:val="20"/>
        </w:rPr>
        <w:t xml:space="preserve">Similarly, in </w:t>
      </w:r>
      <w:r w:rsidRPr="003A1C3B">
        <w:rPr>
          <w:rFonts w:cs="Arial"/>
          <w:i/>
          <w:iCs/>
          <w:szCs w:val="20"/>
        </w:rPr>
        <w:t xml:space="preserve">Metropolitan Church of Bessarabia and Others v. </w:t>
      </w:r>
      <w:r w:rsidR="005D6B50">
        <w:rPr>
          <w:rFonts w:cs="Arial"/>
          <w:i/>
          <w:iCs/>
          <w:szCs w:val="20"/>
        </w:rPr>
        <w:t xml:space="preserve">the Republic of </w:t>
      </w:r>
      <w:r w:rsidRPr="003A1C3B">
        <w:rPr>
          <w:rFonts w:cs="Arial"/>
          <w:i/>
          <w:iCs/>
          <w:szCs w:val="20"/>
        </w:rPr>
        <w:t xml:space="preserve">Moldova, </w:t>
      </w:r>
      <w:r w:rsidRPr="003A1C3B">
        <w:rPr>
          <w:rFonts w:cs="Arial"/>
          <w:szCs w:val="20"/>
        </w:rPr>
        <w:t>the Committee evaluated domestic proceedings initiated by applicants’ church to secure its official recognition previously refused by the authorities in breach of the Convention.</w:t>
      </w:r>
      <w:r w:rsidRPr="003A1C3B">
        <w:rPr>
          <w:rFonts w:cs="Arial"/>
          <w:szCs w:val="20"/>
          <w:vertAlign w:val="superscript"/>
        </w:rPr>
        <w:footnoteReference w:id="19"/>
      </w:r>
      <w:r w:rsidRPr="003A1C3B">
        <w:rPr>
          <w:rFonts w:cs="Arial"/>
          <w:szCs w:val="20"/>
        </w:rPr>
        <w:t xml:space="preserve"> </w:t>
      </w:r>
    </w:p>
    <w:p w14:paraId="70D42E4C" w14:textId="77777777" w:rsidR="003A1C3B" w:rsidRPr="003A1C3B" w:rsidRDefault="003A1C3B" w:rsidP="003A1C3B">
      <w:pPr>
        <w:rPr>
          <w:rFonts w:cs="Arial"/>
          <w:szCs w:val="20"/>
        </w:rPr>
      </w:pPr>
    </w:p>
    <w:p w14:paraId="17010296" w14:textId="77777777" w:rsidR="003A1C3B" w:rsidRPr="003A1C3B" w:rsidRDefault="003A1C3B" w:rsidP="003A1C3B">
      <w:pPr>
        <w:rPr>
          <w:rFonts w:cs="Arial"/>
          <w:szCs w:val="20"/>
        </w:rPr>
      </w:pPr>
      <w:r w:rsidRPr="003A1C3B">
        <w:rPr>
          <w:rFonts w:cs="Arial"/>
          <w:szCs w:val="20"/>
        </w:rPr>
        <w:t xml:space="preserve">It may finally be noted that the outcome of domestic proceedings can be pertinent also for the Committee’s assessment of the effectiveness of </w:t>
      </w:r>
      <w:r w:rsidRPr="003A1C3B">
        <w:rPr>
          <w:rFonts w:cs="Arial"/>
          <w:szCs w:val="20"/>
          <w:u w:val="single"/>
        </w:rPr>
        <w:t>general measures</w:t>
      </w:r>
      <w:r w:rsidRPr="003A1C3B">
        <w:rPr>
          <w:rFonts w:cs="Arial"/>
          <w:szCs w:val="20"/>
        </w:rPr>
        <w:t xml:space="preserve"> adopted by the State to avoid repetition of the violation.  </w:t>
      </w:r>
    </w:p>
    <w:p w14:paraId="1CCCFA67" w14:textId="77777777" w:rsidR="003A1C3B" w:rsidRPr="003A1C3B" w:rsidRDefault="003A1C3B" w:rsidP="003A1C3B">
      <w:pPr>
        <w:rPr>
          <w:rFonts w:cs="Arial"/>
          <w:szCs w:val="20"/>
        </w:rPr>
      </w:pPr>
    </w:p>
    <w:p w14:paraId="7EAF06F3" w14:textId="77777777" w:rsidR="003A1C3B" w:rsidRPr="003A1C3B" w:rsidRDefault="003A1C3B" w:rsidP="003A1C3B">
      <w:pPr>
        <w:rPr>
          <w:rFonts w:cs="Arial"/>
          <w:szCs w:val="20"/>
        </w:rPr>
      </w:pPr>
      <w:r w:rsidRPr="003A1C3B">
        <w:rPr>
          <w:rFonts w:cs="Arial"/>
          <w:szCs w:val="20"/>
        </w:rPr>
        <w:t xml:space="preserve">For example, </w:t>
      </w:r>
      <w:bookmarkStart w:id="0" w:name="_Hlk95384962"/>
      <w:r w:rsidRPr="003A1C3B">
        <w:rPr>
          <w:rFonts w:cs="Arial"/>
          <w:szCs w:val="20"/>
        </w:rPr>
        <w:t xml:space="preserve">in </w:t>
      </w:r>
      <w:proofErr w:type="spellStart"/>
      <w:r w:rsidRPr="003A1C3B">
        <w:rPr>
          <w:rFonts w:cs="Arial"/>
          <w:i/>
          <w:iCs/>
          <w:szCs w:val="20"/>
        </w:rPr>
        <w:t>Umo</w:t>
      </w:r>
      <w:proofErr w:type="spellEnd"/>
      <w:r w:rsidRPr="003A1C3B">
        <w:rPr>
          <w:rFonts w:cs="Arial"/>
          <w:i/>
          <w:iCs/>
          <w:szCs w:val="20"/>
        </w:rPr>
        <w:t xml:space="preserve"> </w:t>
      </w:r>
      <w:proofErr w:type="spellStart"/>
      <w:r w:rsidRPr="003A1C3B">
        <w:rPr>
          <w:rFonts w:cs="Arial"/>
          <w:i/>
          <w:iCs/>
          <w:szCs w:val="20"/>
        </w:rPr>
        <w:t>Ilinden</w:t>
      </w:r>
      <w:proofErr w:type="spellEnd"/>
      <w:r w:rsidRPr="003A1C3B">
        <w:rPr>
          <w:rFonts w:cs="Arial"/>
          <w:i/>
          <w:iCs/>
          <w:szCs w:val="20"/>
        </w:rPr>
        <w:t xml:space="preserve"> and Others v. Bulgaria,</w:t>
      </w:r>
      <w:r w:rsidRPr="003A1C3B">
        <w:rPr>
          <w:rFonts w:cs="Arial"/>
          <w:szCs w:val="20"/>
        </w:rPr>
        <w:t xml:space="preserve"> which concerns the persistent unjustified refusals of domestic courts to register the applicant association, </w:t>
      </w:r>
      <w:bookmarkEnd w:id="0"/>
      <w:r w:rsidRPr="003A1C3B">
        <w:rPr>
          <w:rFonts w:cs="Arial"/>
          <w:szCs w:val="20"/>
        </w:rPr>
        <w:t xml:space="preserve">the unsatisfactory outcome of multiple registration proceedings initiated by the applicant after the Court’s judgment was </w:t>
      </w:r>
      <w:proofErr w:type="gramStart"/>
      <w:r w:rsidRPr="003A1C3B">
        <w:rPr>
          <w:rFonts w:cs="Arial"/>
          <w:szCs w:val="20"/>
        </w:rPr>
        <w:t>taken into account</w:t>
      </w:r>
      <w:proofErr w:type="gramEnd"/>
      <w:r w:rsidRPr="003A1C3B">
        <w:rPr>
          <w:rFonts w:cs="Arial"/>
          <w:szCs w:val="20"/>
        </w:rPr>
        <w:t xml:space="preserve"> by the Committee in the context of its indications concerning also the general measures still required so that Bulgaria could comply with its obligation to prevent new, similar violations.</w:t>
      </w:r>
      <w:r w:rsidRPr="003A1C3B">
        <w:rPr>
          <w:rFonts w:cs="Arial"/>
          <w:szCs w:val="20"/>
          <w:vertAlign w:val="superscript"/>
        </w:rPr>
        <w:footnoteReference w:id="20"/>
      </w:r>
    </w:p>
    <w:p w14:paraId="1BAA87B3" w14:textId="0692D8AF" w:rsidR="005D6B50" w:rsidRDefault="005D6B50">
      <w:pPr>
        <w:rPr>
          <w:rFonts w:cs="Arial"/>
          <w:szCs w:val="20"/>
          <w:vertAlign w:val="superscript"/>
        </w:rPr>
      </w:pPr>
      <w:r>
        <w:rPr>
          <w:rFonts w:cs="Arial"/>
          <w:szCs w:val="20"/>
          <w:vertAlign w:val="superscript"/>
        </w:rPr>
        <w:br w:type="page"/>
      </w:r>
    </w:p>
    <w:p w14:paraId="4A8F5910" w14:textId="77777777" w:rsidR="003A1C3B" w:rsidRPr="003A1C3B" w:rsidRDefault="003A1C3B" w:rsidP="003A1C3B">
      <w:pPr>
        <w:rPr>
          <w:rFonts w:cs="Arial"/>
          <w:szCs w:val="20"/>
          <w:vertAlign w:val="superscript"/>
        </w:rPr>
      </w:pPr>
    </w:p>
    <w:p w14:paraId="78249565" w14:textId="77777777" w:rsidR="003A1C3B" w:rsidRPr="003A1C3B" w:rsidRDefault="003A1C3B" w:rsidP="003A1C3B">
      <w:pPr>
        <w:numPr>
          <w:ilvl w:val="0"/>
          <w:numId w:val="14"/>
        </w:numPr>
        <w:rPr>
          <w:rFonts w:cs="Arial"/>
          <w:i/>
          <w:iCs/>
          <w:szCs w:val="20"/>
        </w:rPr>
      </w:pPr>
      <w:r w:rsidRPr="003A1C3B">
        <w:rPr>
          <w:rFonts w:cs="Arial"/>
          <w:i/>
          <w:iCs/>
          <w:szCs w:val="20"/>
        </w:rPr>
        <w:t>Examination by the Committee and the Court of the same domestic proceedings taking place in response to a Court’s judgment</w:t>
      </w:r>
    </w:p>
    <w:p w14:paraId="2E844CD0" w14:textId="77777777" w:rsidR="003A1C3B" w:rsidRPr="003A1C3B" w:rsidRDefault="003A1C3B" w:rsidP="003A1C3B">
      <w:pPr>
        <w:rPr>
          <w:rFonts w:cs="Arial"/>
          <w:szCs w:val="20"/>
        </w:rPr>
      </w:pPr>
    </w:p>
    <w:p w14:paraId="24838AA0" w14:textId="77777777" w:rsidR="003A1C3B" w:rsidRPr="003A1C3B" w:rsidRDefault="003A1C3B" w:rsidP="003A1C3B">
      <w:pPr>
        <w:rPr>
          <w:rFonts w:cs="Arial"/>
          <w:szCs w:val="20"/>
        </w:rPr>
      </w:pPr>
      <w:r w:rsidRPr="003A1C3B">
        <w:rPr>
          <w:rFonts w:cs="Arial"/>
          <w:szCs w:val="20"/>
        </w:rPr>
        <w:t xml:space="preserve">The Committee has reaffirmed in several decisions its competence to evaluate domestic proceedings taking place in response to an established violation of the Convention even when such proceedings are, simultaneously albeit from a different perspective, under the scrutiny of the European Court. </w:t>
      </w:r>
    </w:p>
    <w:p w14:paraId="6569E567" w14:textId="77777777" w:rsidR="003A1C3B" w:rsidRPr="003A1C3B" w:rsidRDefault="003A1C3B" w:rsidP="003A1C3B">
      <w:pPr>
        <w:rPr>
          <w:rFonts w:cs="Arial"/>
          <w:szCs w:val="20"/>
        </w:rPr>
      </w:pPr>
    </w:p>
    <w:p w14:paraId="2A9292FC" w14:textId="77777777" w:rsidR="003A1C3B" w:rsidRPr="003A1C3B" w:rsidRDefault="003A1C3B" w:rsidP="003A1C3B">
      <w:pPr>
        <w:pStyle w:val="ListParagraph"/>
        <w:ind w:left="0"/>
        <w:rPr>
          <w:rFonts w:cs="Arial"/>
          <w:color w:val="000000"/>
          <w:szCs w:val="20"/>
          <w:shd w:val="clear" w:color="auto" w:fill="FFFFFF"/>
        </w:rPr>
      </w:pPr>
      <w:r w:rsidRPr="003A1C3B">
        <w:rPr>
          <w:rStyle w:val="sfbbfee58"/>
          <w:rFonts w:cs="Arial"/>
          <w:color w:val="000000"/>
          <w:szCs w:val="20"/>
          <w:shd w:val="clear" w:color="auto" w:fill="FFFFFF"/>
        </w:rPr>
        <w:t xml:space="preserve">In </w:t>
      </w:r>
      <w:r w:rsidRPr="003A1C3B">
        <w:rPr>
          <w:rFonts w:cs="Arial"/>
          <w:i/>
          <w:iCs/>
          <w:color w:val="000000"/>
          <w:szCs w:val="20"/>
          <w:shd w:val="clear" w:color="auto" w:fill="FFFFFF"/>
        </w:rPr>
        <w:t xml:space="preserve">Jehovah’s Witnesses of Moscow and Others v. Russia, </w:t>
      </w:r>
      <w:r w:rsidRPr="003A1C3B">
        <w:rPr>
          <w:rStyle w:val="sfbbfee58"/>
          <w:rFonts w:cs="Arial"/>
          <w:color w:val="000000"/>
          <w:szCs w:val="20"/>
          <w:shd w:val="clear" w:color="auto" w:fill="FFFFFF"/>
        </w:rPr>
        <w:t xml:space="preserve">the Committee </w:t>
      </w:r>
      <w:r w:rsidRPr="003A1C3B">
        <w:rPr>
          <w:rFonts w:cs="Arial"/>
          <w:color w:val="000000"/>
          <w:szCs w:val="20"/>
          <w:shd w:val="clear" w:color="auto" w:fill="FFFFFF"/>
        </w:rPr>
        <w:t>deeply regretted the continuing objection by the authorities to the Committee’s examination of a new restriction of the applicant’s freedom of association and its consequences since such development was being examined by the Court following a new application. The Committee also reiterated its competence under Article 46 of the Convention to examine whether the measures taken have put an end to the violations at issue and will prevent future violations. In this case the Deputies stressed the different missions of the Committee and the Court, and that the Committee’s supervision of execution of the Court’s judgments by the respondent States in no way prejudges the Court’s examination of possible complaints arising out of subsequent developments.</w:t>
      </w:r>
      <w:r w:rsidRPr="003A1C3B">
        <w:rPr>
          <w:rStyle w:val="FootnoteReference"/>
          <w:rFonts w:cs="Arial"/>
          <w:color w:val="000000"/>
          <w:szCs w:val="20"/>
          <w:shd w:val="clear" w:color="auto" w:fill="FFFFFF"/>
        </w:rPr>
        <w:footnoteReference w:id="21"/>
      </w:r>
    </w:p>
    <w:p w14:paraId="541D9CF8" w14:textId="77777777" w:rsidR="003A1C3B" w:rsidRPr="003A1C3B" w:rsidRDefault="003A1C3B" w:rsidP="003A1C3B">
      <w:pPr>
        <w:pStyle w:val="ListParagraph"/>
        <w:ind w:left="0"/>
        <w:rPr>
          <w:rFonts w:cs="Arial"/>
          <w:color w:val="000000"/>
          <w:szCs w:val="20"/>
          <w:shd w:val="clear" w:color="auto" w:fill="FFFFFF"/>
        </w:rPr>
      </w:pPr>
    </w:p>
    <w:p w14:paraId="0F1BC49E" w14:textId="77777777" w:rsidR="003A1C3B" w:rsidRPr="003A1C3B" w:rsidRDefault="003A1C3B" w:rsidP="003A1C3B">
      <w:pPr>
        <w:rPr>
          <w:rFonts w:cs="Arial"/>
          <w:szCs w:val="20"/>
        </w:rPr>
      </w:pPr>
      <w:r w:rsidRPr="003A1C3B">
        <w:rPr>
          <w:rFonts w:cs="Arial"/>
          <w:szCs w:val="20"/>
        </w:rPr>
        <w:t xml:space="preserve">In </w:t>
      </w:r>
      <w:r w:rsidRPr="003A1C3B">
        <w:rPr>
          <w:rFonts w:cs="Arial"/>
          <w:i/>
          <w:iCs/>
          <w:szCs w:val="20"/>
        </w:rPr>
        <w:t>Socialist Party and Others v Turkey</w:t>
      </w:r>
      <w:r w:rsidRPr="003A1C3B">
        <w:rPr>
          <w:rFonts w:cs="Arial"/>
          <w:szCs w:val="20"/>
        </w:rPr>
        <w:t>, shortly after the adoption of the judgment of the European Court finding the dissolution of the Socialist Party to be unjustified, the leader of this party was convicted based on the same facts which served as a basis for this unjustified dissolution (certain statements made during a political campaign). The Committee called on Turkey to erase the consequences of this last conviction, even though the case on this account was pending before the Court.</w:t>
      </w:r>
      <w:r w:rsidRPr="003A1C3B">
        <w:rPr>
          <w:rStyle w:val="FootnoteReference"/>
          <w:rFonts w:cs="Arial"/>
          <w:szCs w:val="20"/>
        </w:rPr>
        <w:footnoteReference w:id="22"/>
      </w:r>
      <w:r w:rsidRPr="003A1C3B">
        <w:rPr>
          <w:rFonts w:cs="Arial"/>
          <w:szCs w:val="20"/>
        </w:rPr>
        <w:t xml:space="preserve"> </w:t>
      </w:r>
    </w:p>
    <w:p w14:paraId="375291CE" w14:textId="77777777" w:rsidR="003A1C3B" w:rsidRPr="003A1C3B" w:rsidRDefault="003A1C3B" w:rsidP="003A1C3B">
      <w:pPr>
        <w:rPr>
          <w:rFonts w:cs="Arial"/>
          <w:szCs w:val="20"/>
        </w:rPr>
      </w:pPr>
    </w:p>
    <w:p w14:paraId="75B04C59" w14:textId="77777777" w:rsidR="003A1C3B" w:rsidRPr="003A1C3B" w:rsidRDefault="003A1C3B" w:rsidP="003A1C3B">
      <w:pPr>
        <w:pStyle w:val="ListParagraph"/>
        <w:ind w:left="0"/>
        <w:rPr>
          <w:rFonts w:cs="Arial"/>
          <w:bCs/>
          <w:szCs w:val="20"/>
        </w:rPr>
      </w:pPr>
      <w:r w:rsidRPr="003A1C3B">
        <w:rPr>
          <w:rFonts w:cs="Arial"/>
          <w:bCs/>
          <w:szCs w:val="20"/>
        </w:rPr>
        <w:t xml:space="preserve">In </w:t>
      </w:r>
      <w:proofErr w:type="spellStart"/>
      <w:r w:rsidRPr="003A1C3B">
        <w:rPr>
          <w:rFonts w:cs="Arial"/>
          <w:bCs/>
          <w:i/>
          <w:iCs/>
          <w:szCs w:val="20"/>
        </w:rPr>
        <w:t>Navalnyy</w:t>
      </w:r>
      <w:proofErr w:type="spellEnd"/>
      <w:r w:rsidRPr="003A1C3B">
        <w:rPr>
          <w:rFonts w:cs="Arial"/>
          <w:bCs/>
          <w:i/>
          <w:iCs/>
          <w:szCs w:val="20"/>
        </w:rPr>
        <w:t xml:space="preserve"> and </w:t>
      </w:r>
      <w:proofErr w:type="spellStart"/>
      <w:r w:rsidRPr="003A1C3B">
        <w:rPr>
          <w:rFonts w:cs="Arial"/>
          <w:bCs/>
          <w:i/>
          <w:iCs/>
          <w:szCs w:val="20"/>
        </w:rPr>
        <w:t>Ofitserov</w:t>
      </w:r>
      <w:proofErr w:type="spellEnd"/>
      <w:r w:rsidRPr="003A1C3B">
        <w:rPr>
          <w:rFonts w:cs="Arial"/>
          <w:bCs/>
          <w:i/>
          <w:iCs/>
          <w:szCs w:val="20"/>
        </w:rPr>
        <w:t xml:space="preserve"> v Russia</w:t>
      </w:r>
      <w:r w:rsidRPr="003A1C3B">
        <w:rPr>
          <w:rFonts w:cs="Arial"/>
          <w:bCs/>
          <w:szCs w:val="20"/>
        </w:rPr>
        <w:t>, the Committee noted that a new application was pending before the Court concerning the fresh criminal proceedings which took place after the case had been reopened in response to the Court’s judgment and affirmed its competence under Article 46 of the Convention to examine whether the violations established by the Court have been redressed in those fresh criminal proceedings.</w:t>
      </w:r>
      <w:r w:rsidRPr="003A1C3B">
        <w:rPr>
          <w:rFonts w:cs="Arial"/>
          <w:bCs/>
          <w:szCs w:val="20"/>
          <w:vertAlign w:val="superscript"/>
        </w:rPr>
        <w:footnoteReference w:id="23"/>
      </w:r>
      <w:r w:rsidRPr="003A1C3B">
        <w:rPr>
          <w:rFonts w:cs="Arial"/>
          <w:color w:val="000000"/>
          <w:szCs w:val="20"/>
          <w:shd w:val="clear" w:color="auto" w:fill="FFFFFF"/>
          <w:lang w:eastAsia="fr-FR"/>
        </w:rPr>
        <w:t xml:space="preserve"> </w:t>
      </w:r>
      <w:r w:rsidRPr="003A1C3B">
        <w:rPr>
          <w:rFonts w:cs="Arial"/>
          <w:bCs/>
          <w:szCs w:val="20"/>
        </w:rPr>
        <w:t>The authorities in this case had reiterated their argument that the Committee is not competent to examine final domestic judicial decisions which are the subject of an application pending before the Court.</w:t>
      </w:r>
      <w:r w:rsidRPr="003A1C3B">
        <w:rPr>
          <w:rStyle w:val="FootnoteReference"/>
          <w:rFonts w:cs="Arial"/>
          <w:bCs/>
          <w:szCs w:val="20"/>
        </w:rPr>
        <w:footnoteReference w:id="24"/>
      </w:r>
    </w:p>
    <w:p w14:paraId="076DDB3C" w14:textId="77777777" w:rsidR="003A1C3B" w:rsidRPr="003A1C3B" w:rsidRDefault="003A1C3B" w:rsidP="003A1C3B">
      <w:pPr>
        <w:pStyle w:val="ListParagraph"/>
        <w:ind w:left="0"/>
        <w:rPr>
          <w:rFonts w:cs="Arial"/>
          <w:bCs/>
          <w:szCs w:val="20"/>
        </w:rPr>
      </w:pPr>
    </w:p>
    <w:p w14:paraId="1C804BAA" w14:textId="77777777" w:rsidR="003A1C3B" w:rsidRPr="003A1C3B" w:rsidRDefault="003A1C3B" w:rsidP="003A1C3B">
      <w:pPr>
        <w:rPr>
          <w:rFonts w:cs="Arial"/>
          <w:szCs w:val="20"/>
        </w:rPr>
      </w:pPr>
      <w:r w:rsidRPr="003A1C3B">
        <w:rPr>
          <w:rFonts w:cs="Arial"/>
          <w:szCs w:val="20"/>
        </w:rPr>
        <w:t xml:space="preserve">In the </w:t>
      </w:r>
      <w:proofErr w:type="spellStart"/>
      <w:r w:rsidRPr="003A1C3B">
        <w:rPr>
          <w:rFonts w:cs="Arial"/>
          <w:i/>
          <w:iCs/>
          <w:szCs w:val="20"/>
        </w:rPr>
        <w:t>Bochan</w:t>
      </w:r>
      <w:proofErr w:type="spellEnd"/>
      <w:r w:rsidRPr="003A1C3B">
        <w:rPr>
          <w:rFonts w:cs="Arial"/>
          <w:i/>
          <w:iCs/>
          <w:szCs w:val="20"/>
        </w:rPr>
        <w:t xml:space="preserve"> v. Ukraine </w:t>
      </w:r>
      <w:r w:rsidRPr="003A1C3B">
        <w:rPr>
          <w:rFonts w:cs="Arial"/>
          <w:szCs w:val="20"/>
        </w:rPr>
        <w:t>cases,</w:t>
      </w:r>
      <w:r w:rsidRPr="003A1C3B">
        <w:rPr>
          <w:rStyle w:val="FootnoteReference"/>
          <w:rFonts w:cs="Arial"/>
          <w:szCs w:val="20"/>
        </w:rPr>
        <w:footnoteReference w:id="25"/>
      </w:r>
      <w:r w:rsidRPr="003A1C3B">
        <w:rPr>
          <w:rFonts w:cs="Arial"/>
          <w:szCs w:val="20"/>
        </w:rPr>
        <w:t xml:space="preserve"> the Committee continued its supervision of the execution of the first judgment while the Court had been </w:t>
      </w:r>
      <w:proofErr w:type="spellStart"/>
      <w:r w:rsidRPr="003A1C3B">
        <w:rPr>
          <w:rFonts w:cs="Arial"/>
          <w:szCs w:val="20"/>
        </w:rPr>
        <w:t>seised</w:t>
      </w:r>
      <w:proofErr w:type="spellEnd"/>
      <w:r w:rsidRPr="003A1C3B">
        <w:rPr>
          <w:rFonts w:cs="Arial"/>
          <w:szCs w:val="20"/>
        </w:rPr>
        <w:t xml:space="preserve"> with a new application from the same applicant.</w:t>
      </w:r>
      <w:r w:rsidRPr="003A1C3B">
        <w:rPr>
          <w:rStyle w:val="FootnoteReference"/>
          <w:rFonts w:cs="Arial"/>
          <w:szCs w:val="20"/>
        </w:rPr>
        <w:footnoteReference w:id="26"/>
      </w:r>
      <w:r w:rsidRPr="003A1C3B">
        <w:rPr>
          <w:rFonts w:cs="Arial"/>
          <w:szCs w:val="20"/>
        </w:rPr>
        <w:t xml:space="preserve"> The Committee assessed the domestic proceedings taking place in response to the two judgments and ultimately noted with satisfaction that in the proceedings reopened following the second Court’s judgment, the domestic courts considered, fully and adequately, the requirements of </w:t>
      </w:r>
      <w:r w:rsidRPr="003A1C3B">
        <w:rPr>
          <w:rFonts w:cs="Arial"/>
          <w:i/>
          <w:iCs/>
          <w:szCs w:val="20"/>
        </w:rPr>
        <w:t>restitutio in integrum</w:t>
      </w:r>
      <w:r w:rsidRPr="003A1C3B">
        <w:rPr>
          <w:rFonts w:cs="Arial"/>
          <w:szCs w:val="20"/>
        </w:rPr>
        <w:t> stemming from the European Court’s judgments.</w:t>
      </w:r>
      <w:r w:rsidRPr="003A1C3B">
        <w:rPr>
          <w:rStyle w:val="FootnoteReference"/>
          <w:rFonts w:cs="Arial"/>
          <w:szCs w:val="20"/>
        </w:rPr>
        <w:footnoteReference w:id="27"/>
      </w:r>
    </w:p>
    <w:p w14:paraId="00E37B73" w14:textId="77777777" w:rsidR="003A1C3B" w:rsidRPr="003A1C3B" w:rsidRDefault="003A1C3B" w:rsidP="003A1C3B">
      <w:pPr>
        <w:rPr>
          <w:rFonts w:cs="Arial"/>
          <w:szCs w:val="20"/>
        </w:rPr>
      </w:pPr>
    </w:p>
    <w:sectPr w:rsidR="003A1C3B" w:rsidRPr="003A1C3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F7DD" w14:textId="77777777" w:rsidR="005E1665" w:rsidRDefault="005E1665" w:rsidP="00FD6043">
      <w:r>
        <w:separator/>
      </w:r>
    </w:p>
  </w:endnote>
  <w:endnote w:type="continuationSeparator" w:id="0">
    <w:p w14:paraId="60011952" w14:textId="77777777" w:rsidR="005E1665" w:rsidRDefault="005E166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2FD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9642"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B5DB" w14:textId="77777777" w:rsidR="005E1665" w:rsidRDefault="005E1665" w:rsidP="00FD6043">
      <w:r>
        <w:separator/>
      </w:r>
    </w:p>
  </w:footnote>
  <w:footnote w:type="continuationSeparator" w:id="0">
    <w:p w14:paraId="0BF1E4CF" w14:textId="77777777" w:rsidR="005E1665" w:rsidRDefault="005E1665" w:rsidP="00FD6043">
      <w:r>
        <w:continuationSeparator/>
      </w:r>
    </w:p>
  </w:footnote>
  <w:footnote w:id="1">
    <w:p w14:paraId="68990373" w14:textId="20B18FD8" w:rsidR="003D6AC2" w:rsidRPr="00330400" w:rsidRDefault="00853C90" w:rsidP="003D6AC2">
      <w:pPr>
        <w:pStyle w:val="FootnoteText"/>
        <w:rPr>
          <w:szCs w:val="16"/>
        </w:rPr>
      </w:pPr>
      <w:r w:rsidRPr="00330400">
        <w:rPr>
          <w:rStyle w:val="FootnoteReference"/>
          <w:szCs w:val="16"/>
        </w:rPr>
        <w:footnoteRef/>
      </w:r>
      <w:r w:rsidRPr="00330400">
        <w:rPr>
          <w:szCs w:val="16"/>
        </w:rPr>
        <w:t xml:space="preserve"> </w:t>
      </w:r>
      <w:r w:rsidR="00330400" w:rsidRPr="00330400">
        <w:rPr>
          <w:rFonts w:cs="Arial"/>
          <w:szCs w:val="16"/>
        </w:rPr>
        <w:t>This document is issued for information. It will not be the subject of an item on the agenda unless a delegation so requests it.</w:t>
      </w:r>
    </w:p>
  </w:footnote>
  <w:footnote w:id="2">
    <w:p w14:paraId="4DE6CBCA" w14:textId="1A61FBC4" w:rsidR="003A1C3B" w:rsidRPr="004628B4" w:rsidRDefault="003A1C3B" w:rsidP="003A1C3B">
      <w:pPr>
        <w:pStyle w:val="FootnoteText"/>
        <w:jc w:val="both"/>
      </w:pPr>
      <w:r>
        <w:rPr>
          <w:rStyle w:val="FootnoteReference"/>
        </w:rPr>
        <w:footnoteRef/>
      </w:r>
      <w:r w:rsidRPr="004C57B6">
        <w:t xml:space="preserve"> </w:t>
      </w:r>
      <w:proofErr w:type="spellStart"/>
      <w:r w:rsidRPr="00466C17">
        <w:rPr>
          <w:i/>
          <w:iCs/>
          <w:lang w:val="es-ES"/>
        </w:rPr>
        <w:t>Ilgar</w:t>
      </w:r>
      <w:proofErr w:type="spellEnd"/>
      <w:r w:rsidRPr="00466C17">
        <w:rPr>
          <w:i/>
          <w:iCs/>
          <w:lang w:val="es-ES"/>
        </w:rPr>
        <w:t> </w:t>
      </w:r>
      <w:proofErr w:type="spellStart"/>
      <w:r w:rsidRPr="00466C17">
        <w:rPr>
          <w:i/>
          <w:iCs/>
          <w:lang w:val="es-ES"/>
        </w:rPr>
        <w:t>Mammadov</w:t>
      </w:r>
      <w:proofErr w:type="spellEnd"/>
      <w:r w:rsidRPr="00466C17">
        <w:rPr>
          <w:i/>
          <w:iCs/>
          <w:lang w:val="es-ES"/>
        </w:rPr>
        <w:t xml:space="preserve"> v. </w:t>
      </w:r>
      <w:proofErr w:type="spellStart"/>
      <w:r w:rsidRPr="00466C17">
        <w:rPr>
          <w:i/>
          <w:iCs/>
          <w:lang w:val="es-ES"/>
        </w:rPr>
        <w:t>Azerbaijan</w:t>
      </w:r>
      <w:proofErr w:type="spellEnd"/>
      <w:r w:rsidRPr="00466C17">
        <w:rPr>
          <w:i/>
          <w:iCs/>
          <w:lang w:val="es-ES"/>
        </w:rPr>
        <w:t> (</w:t>
      </w:r>
      <w:proofErr w:type="spellStart"/>
      <w:r w:rsidRPr="00466C17">
        <w:rPr>
          <w:i/>
          <w:iCs/>
          <w:lang w:val="es-ES"/>
        </w:rPr>
        <w:t>Article</w:t>
      </w:r>
      <w:proofErr w:type="spellEnd"/>
      <w:r w:rsidRPr="00466C17">
        <w:rPr>
          <w:i/>
          <w:iCs/>
          <w:lang w:val="es-ES"/>
        </w:rPr>
        <w:t xml:space="preserve"> 4</w:t>
      </w:r>
      <w:r>
        <w:rPr>
          <w:i/>
          <w:iCs/>
          <w:lang w:val="es-ES"/>
        </w:rPr>
        <w:t>6</w:t>
      </w:r>
      <w:r w:rsidRPr="00466C17">
        <w:rPr>
          <w:i/>
          <w:iCs/>
          <w:lang w:val="es-ES"/>
        </w:rPr>
        <w:t> § 4), No. </w:t>
      </w:r>
      <w:hyperlink r:id="rId1" w:anchor="{%22EXECDocumentTypeCollection%22:[%22CEC%22],%22EXECAppno%22:[%2215172/13%22]}" w:tgtFrame="_blank" w:history="1">
        <w:r w:rsidRPr="00466C17">
          <w:rPr>
            <w:rStyle w:val="Hyperlink"/>
            <w:i/>
            <w:iCs/>
          </w:rPr>
          <w:t>15172/13</w:t>
        </w:r>
      </w:hyperlink>
      <w:r w:rsidRPr="00466C17">
        <w:rPr>
          <w:i/>
          <w:iCs/>
        </w:rPr>
        <w:t>, judgment of 29</w:t>
      </w:r>
      <w:r>
        <w:rPr>
          <w:i/>
          <w:iCs/>
        </w:rPr>
        <w:t xml:space="preserve"> May 2019</w:t>
      </w:r>
      <w:r w:rsidRPr="00466C17">
        <w:rPr>
          <w:i/>
          <w:iCs/>
        </w:rPr>
        <w:t xml:space="preserve"> (GC)</w:t>
      </w:r>
      <w:r>
        <w:t xml:space="preserve"> </w:t>
      </w:r>
      <w:r w:rsidRPr="00F26149">
        <w:t xml:space="preserve">§§ </w:t>
      </w:r>
      <w:r w:rsidRPr="00FC092F">
        <w:t>147-155, 161-164</w:t>
      </w:r>
      <w:r w:rsidRPr="00F26149">
        <w:t>. See also </w:t>
      </w:r>
      <w:r w:rsidRPr="00466C17">
        <w:rPr>
          <w:i/>
          <w:iCs/>
          <w:lang w:val="es-ES"/>
        </w:rPr>
        <w:t>Moreira Ferreira v. Portugal (No. 2),</w:t>
      </w:r>
      <w:r w:rsidR="006774CB">
        <w:rPr>
          <w:i/>
          <w:iCs/>
          <w:lang w:val="es-ES"/>
        </w:rPr>
        <w:t xml:space="preserve"> </w:t>
      </w:r>
      <w:r w:rsidRPr="00466C17">
        <w:rPr>
          <w:i/>
          <w:iCs/>
          <w:lang w:val="es-ES"/>
        </w:rPr>
        <w:t>No. </w:t>
      </w:r>
      <w:hyperlink r:id="rId2" w:anchor="{%22EXECDocumentTypeCollection%22:[%22CEC%22],%22EXECAppno%22:[%2219867/12%22]}" w:tgtFrame="_blank" w:history="1">
        <w:r w:rsidRPr="00466C17">
          <w:rPr>
            <w:rStyle w:val="Hyperlink"/>
            <w:i/>
            <w:iCs/>
          </w:rPr>
          <w:t>19867/12</w:t>
        </w:r>
      </w:hyperlink>
      <w:r w:rsidRPr="00466C17">
        <w:rPr>
          <w:i/>
          <w:iCs/>
        </w:rPr>
        <w:t>, judgment of 11 July 2017, (GC), § 47</w:t>
      </w:r>
      <w:r w:rsidRPr="00F26149">
        <w:t>, and </w:t>
      </w:r>
      <w:proofErr w:type="spellStart"/>
      <w:r w:rsidRPr="00F26149">
        <w:rPr>
          <w:i/>
          <w:iCs/>
        </w:rPr>
        <w:t>Barabanov</w:t>
      </w:r>
      <w:proofErr w:type="spellEnd"/>
      <w:r w:rsidRPr="00F26149">
        <w:rPr>
          <w:i/>
          <w:iCs/>
        </w:rPr>
        <w:t> v. Russian Federation</w:t>
      </w:r>
      <w:r w:rsidRPr="00F26149">
        <w:t>, No. </w:t>
      </w:r>
      <w:hyperlink r:id="rId3" w:anchor="{%22EXECDocumentTypeCollection%22:[%22CEC%22],%22EXECAppno%22:[%224966/13%22]}" w:tgtFrame="_blank" w:history="1">
        <w:r w:rsidRPr="00F26149">
          <w:rPr>
            <w:rStyle w:val="Hyperlink"/>
          </w:rPr>
          <w:t>4966/13</w:t>
        </w:r>
      </w:hyperlink>
      <w:r w:rsidRPr="00F26149">
        <w:t xml:space="preserve">, </w:t>
      </w:r>
      <w:r>
        <w:t xml:space="preserve">final </w:t>
      </w:r>
      <w:r w:rsidRPr="00F26149">
        <w:t>judgment of 2 July 2018, § 88, with further reference.</w:t>
      </w:r>
    </w:p>
  </w:footnote>
  <w:footnote w:id="3">
    <w:p w14:paraId="2A24DD70" w14:textId="77777777" w:rsidR="003A1C3B" w:rsidRPr="00913F62" w:rsidRDefault="003A1C3B" w:rsidP="003A1C3B">
      <w:pPr>
        <w:pStyle w:val="FootnoteText"/>
        <w:jc w:val="both"/>
      </w:pPr>
      <w:r w:rsidRPr="00913F62">
        <w:rPr>
          <w:rStyle w:val="FootnoteReference"/>
        </w:rPr>
        <w:footnoteRef/>
      </w:r>
      <w:r w:rsidRPr="00913F62">
        <w:t xml:space="preserve"> </w:t>
      </w:r>
      <w:proofErr w:type="spellStart"/>
      <w:r w:rsidRPr="00362EE8">
        <w:rPr>
          <w:i/>
          <w:iCs/>
        </w:rPr>
        <w:t>Ilgar</w:t>
      </w:r>
      <w:proofErr w:type="spellEnd"/>
      <w:r w:rsidRPr="00362EE8">
        <w:rPr>
          <w:i/>
          <w:iCs/>
        </w:rPr>
        <w:t> Mammadov v. Azerbaijan (Article 46 § 4)</w:t>
      </w:r>
      <w:r>
        <w:rPr>
          <w:i/>
          <w:iCs/>
        </w:rPr>
        <w:t xml:space="preserve">, </w:t>
      </w:r>
      <w:r w:rsidRPr="00913F62">
        <w:t>§ 184.</w:t>
      </w:r>
    </w:p>
  </w:footnote>
  <w:footnote w:id="4">
    <w:p w14:paraId="634FD3C6" w14:textId="77777777" w:rsidR="003A1C3B" w:rsidRPr="00A11C0B" w:rsidRDefault="003A1C3B" w:rsidP="003A1C3B">
      <w:pPr>
        <w:pStyle w:val="FootnoteText"/>
        <w:jc w:val="both"/>
        <w:rPr>
          <w:lang w:val="es-ES"/>
        </w:rPr>
      </w:pPr>
      <w:r>
        <w:rPr>
          <w:rStyle w:val="FootnoteReference"/>
        </w:rPr>
        <w:footnoteRef/>
      </w:r>
      <w:r w:rsidRPr="00A11C0B">
        <w:rPr>
          <w:lang w:val="es-ES"/>
        </w:rPr>
        <w:t xml:space="preserve"> </w:t>
      </w:r>
      <w:proofErr w:type="spellStart"/>
      <w:r w:rsidRPr="00A11C0B">
        <w:rPr>
          <w:i/>
          <w:iCs/>
          <w:lang w:val="es-ES"/>
        </w:rPr>
        <w:t>Ilgar</w:t>
      </w:r>
      <w:proofErr w:type="spellEnd"/>
      <w:r w:rsidRPr="00A11C0B">
        <w:rPr>
          <w:i/>
          <w:iCs/>
          <w:lang w:val="es-ES"/>
        </w:rPr>
        <w:t> </w:t>
      </w:r>
      <w:proofErr w:type="spellStart"/>
      <w:r w:rsidRPr="00A11C0B">
        <w:rPr>
          <w:i/>
          <w:iCs/>
          <w:lang w:val="es-ES"/>
        </w:rPr>
        <w:t>Mammadov</w:t>
      </w:r>
      <w:proofErr w:type="spellEnd"/>
      <w:r w:rsidRPr="00A11C0B">
        <w:rPr>
          <w:i/>
          <w:iCs/>
          <w:lang w:val="es-ES"/>
        </w:rPr>
        <w:t xml:space="preserve"> v. </w:t>
      </w:r>
      <w:proofErr w:type="spellStart"/>
      <w:r w:rsidRPr="00A11C0B">
        <w:rPr>
          <w:i/>
          <w:iCs/>
          <w:lang w:val="es-ES"/>
        </w:rPr>
        <w:t>Azerbaijan</w:t>
      </w:r>
      <w:proofErr w:type="spellEnd"/>
      <w:r w:rsidRPr="00A11C0B">
        <w:rPr>
          <w:i/>
          <w:iCs/>
          <w:lang w:val="es-ES"/>
        </w:rPr>
        <w:t> (</w:t>
      </w:r>
      <w:proofErr w:type="spellStart"/>
      <w:r w:rsidRPr="00A11C0B">
        <w:rPr>
          <w:i/>
          <w:iCs/>
          <w:lang w:val="es-ES"/>
        </w:rPr>
        <w:t>Article</w:t>
      </w:r>
      <w:proofErr w:type="spellEnd"/>
      <w:r w:rsidRPr="00A11C0B">
        <w:rPr>
          <w:i/>
          <w:iCs/>
          <w:lang w:val="es-ES"/>
        </w:rPr>
        <w:t xml:space="preserve"> 46 § 4), </w:t>
      </w:r>
      <w:r w:rsidRPr="00A11C0B">
        <w:rPr>
          <w:lang w:val="es-ES"/>
        </w:rPr>
        <w:t>§ 183.</w:t>
      </w:r>
    </w:p>
  </w:footnote>
  <w:footnote w:id="5">
    <w:p w14:paraId="087C34B7" w14:textId="77777777" w:rsidR="003A1C3B" w:rsidRPr="0090014F" w:rsidRDefault="003A1C3B" w:rsidP="003A1C3B">
      <w:pPr>
        <w:pStyle w:val="FootnoteText"/>
      </w:pPr>
      <w:r>
        <w:rPr>
          <w:rStyle w:val="FootnoteReference"/>
        </w:rPr>
        <w:footnoteRef/>
      </w:r>
      <w:r w:rsidRPr="0090014F">
        <w:t xml:space="preserve"> </w:t>
      </w:r>
      <w:r w:rsidRPr="00275FCE">
        <w:t>See the Committee</w:t>
      </w:r>
      <w:r>
        <w:t xml:space="preserve"> of Ministers’</w:t>
      </w:r>
      <w:r w:rsidRPr="00275FCE">
        <w:t xml:space="preserve"> </w:t>
      </w:r>
      <w:r>
        <w:t>Re</w:t>
      </w:r>
      <w:r w:rsidRPr="00275FCE">
        <w:t xml:space="preserve">commendations to </w:t>
      </w:r>
      <w:r>
        <w:t>m</w:t>
      </w:r>
      <w:r w:rsidRPr="00275FCE">
        <w:t xml:space="preserve">ember </w:t>
      </w:r>
      <w:r>
        <w:t>s</w:t>
      </w:r>
      <w:r w:rsidRPr="00275FCE">
        <w:t>tates on the re-examination or reopening of certain cases at domestic level following judgments of the European Court of Human Rights (</w:t>
      </w:r>
      <w:hyperlink r:id="rId4" w:tgtFrame="_blank" w:tooltip="Rec(2000)2" w:history="1">
        <w:r w:rsidRPr="00275FCE">
          <w:rPr>
            <w:rStyle w:val="Hyperlink"/>
          </w:rPr>
          <w:t>Rec(2000)2</w:t>
        </w:r>
      </w:hyperlink>
      <w:r w:rsidRPr="00275FCE">
        <w:t>) and the improvement of domestic remedies (</w:t>
      </w:r>
      <w:hyperlink r:id="rId5" w:tgtFrame="_blank" w:tooltip="Rec(2004)6" w:history="1">
        <w:r w:rsidRPr="00275FCE">
          <w:rPr>
            <w:rStyle w:val="Hyperlink"/>
          </w:rPr>
          <w:t>Rec(2004)6</w:t>
        </w:r>
      </w:hyperlink>
      <w:r w:rsidRPr="00275FCE">
        <w:t>).</w:t>
      </w:r>
    </w:p>
  </w:footnote>
  <w:footnote w:id="6">
    <w:p w14:paraId="1FFF0588" w14:textId="77777777" w:rsidR="003A1C3B" w:rsidRPr="00EF4376" w:rsidRDefault="003A1C3B" w:rsidP="003A1C3B">
      <w:pPr>
        <w:pStyle w:val="FootnoteText"/>
      </w:pPr>
      <w:r>
        <w:rPr>
          <w:rStyle w:val="FootnoteReference"/>
        </w:rPr>
        <w:footnoteRef/>
      </w:r>
      <w:r w:rsidRPr="001F3924">
        <w:t xml:space="preserve"> </w:t>
      </w:r>
      <w:r w:rsidRPr="00EF4376">
        <w:rPr>
          <w:i/>
          <w:iCs/>
        </w:rPr>
        <w:t>Bekir-</w:t>
      </w:r>
      <w:proofErr w:type="spellStart"/>
      <w:r w:rsidRPr="00EF4376">
        <w:rPr>
          <w:i/>
          <w:iCs/>
        </w:rPr>
        <w:t>Ousta</w:t>
      </w:r>
      <w:proofErr w:type="spellEnd"/>
      <w:r w:rsidRPr="00EF4376">
        <w:rPr>
          <w:i/>
          <w:iCs/>
        </w:rPr>
        <w:t xml:space="preserve"> </w:t>
      </w:r>
      <w:r>
        <w:rPr>
          <w:i/>
          <w:iCs/>
        </w:rPr>
        <w:t>and Others v. Greece</w:t>
      </w:r>
      <w:r w:rsidRPr="00EF4376">
        <w:rPr>
          <w:i/>
          <w:iCs/>
        </w:rPr>
        <w:t xml:space="preserve">, </w:t>
      </w:r>
      <w:r w:rsidRPr="00EF4376">
        <w:t xml:space="preserve">No. 7050/14, </w:t>
      </w:r>
      <w:r>
        <w:t>(d</w:t>
      </w:r>
      <w:r w:rsidRPr="00EF4376">
        <w:t>ec.</w:t>
      </w:r>
      <w:r>
        <w:t>)</w:t>
      </w:r>
      <w:r w:rsidRPr="00EF4376">
        <w:t xml:space="preserve"> 13 December 2016, §</w:t>
      </w:r>
      <w:r>
        <w:t xml:space="preserve"> </w:t>
      </w:r>
      <w:r w:rsidRPr="00EF4376">
        <w:t>25</w:t>
      </w:r>
      <w:r>
        <w:t xml:space="preserve"> and </w:t>
      </w:r>
      <w:proofErr w:type="spellStart"/>
      <w:r w:rsidRPr="006D7BE3">
        <w:rPr>
          <w:i/>
          <w:iCs/>
        </w:rPr>
        <w:t>Xanti</w:t>
      </w:r>
      <w:proofErr w:type="spellEnd"/>
      <w:r w:rsidRPr="006D7BE3">
        <w:rPr>
          <w:i/>
          <w:iCs/>
        </w:rPr>
        <w:t xml:space="preserve"> Turkish Union</w:t>
      </w:r>
      <w:r>
        <w:rPr>
          <w:i/>
          <w:iCs/>
        </w:rPr>
        <w:t xml:space="preserve"> and Others </w:t>
      </w:r>
      <w:r w:rsidRPr="006D7BE3">
        <w:rPr>
          <w:i/>
          <w:iCs/>
        </w:rPr>
        <w:t>v. Greece</w:t>
      </w:r>
      <w:r>
        <w:t xml:space="preserve">, </w:t>
      </w:r>
      <w:r w:rsidRPr="006D7BE3">
        <w:t>Nos. </w:t>
      </w:r>
      <w:hyperlink r:id="rId6" w:anchor="%7B%2522EXECDocumentTypeCollection%2522:%5B%2522CEC%2522%5D,%2522EXECAppno%2522:%5B%252255557/12%2522%5D%7D" w:tgtFrame="_blank" w:history="1">
        <w:r w:rsidRPr="006D7BE3">
          <w:rPr>
            <w:rStyle w:val="Hyperlink"/>
          </w:rPr>
          <w:t>55557/12</w:t>
        </w:r>
      </w:hyperlink>
      <w:r w:rsidRPr="006D7BE3">
        <w:t> and </w:t>
      </w:r>
      <w:hyperlink r:id="rId7" w:anchor="%7B%2522EXECDocumentTypeCollection%2522:%5B%2522CEC%2522%5D,%2522EXECAppno%2522:%5B%252273646/13%2522%5D%7D" w:tgtFrame="_blank" w:history="1">
        <w:r w:rsidRPr="006D7BE3">
          <w:rPr>
            <w:rStyle w:val="Hyperlink"/>
          </w:rPr>
          <w:t>73646/13</w:t>
        </w:r>
      </w:hyperlink>
      <w:r>
        <w:t xml:space="preserve">, (dec.) 17 November 2015, § 32; </w:t>
      </w:r>
      <w:r w:rsidRPr="008E5E39">
        <w:rPr>
          <w:i/>
          <w:iCs/>
        </w:rPr>
        <w:t xml:space="preserve">Verein </w:t>
      </w:r>
      <w:proofErr w:type="spellStart"/>
      <w:r w:rsidRPr="008E5E39">
        <w:rPr>
          <w:i/>
          <w:iCs/>
        </w:rPr>
        <w:t>Gegen</w:t>
      </w:r>
      <w:proofErr w:type="spellEnd"/>
      <w:r w:rsidRPr="008E5E39">
        <w:rPr>
          <w:i/>
          <w:iCs/>
        </w:rPr>
        <w:t xml:space="preserve"> </w:t>
      </w:r>
      <w:proofErr w:type="spellStart"/>
      <w:r w:rsidRPr="008E5E39">
        <w:rPr>
          <w:i/>
          <w:iCs/>
        </w:rPr>
        <w:t>Tierfabriken</w:t>
      </w:r>
      <w:proofErr w:type="spellEnd"/>
      <w:r w:rsidRPr="008E5E39">
        <w:rPr>
          <w:i/>
          <w:iCs/>
        </w:rPr>
        <w:t xml:space="preserve"> Schweiz (</w:t>
      </w:r>
      <w:proofErr w:type="spellStart"/>
      <w:r w:rsidRPr="008E5E39">
        <w:rPr>
          <w:i/>
          <w:iCs/>
        </w:rPr>
        <w:t>VgT</w:t>
      </w:r>
      <w:proofErr w:type="spellEnd"/>
      <w:r w:rsidRPr="008E5E39">
        <w:rPr>
          <w:i/>
          <w:iCs/>
        </w:rPr>
        <w:t>) v. Switzerland (No. 2),</w:t>
      </w:r>
      <w:r w:rsidRPr="008E5E39">
        <w:t> No. </w:t>
      </w:r>
      <w:hyperlink r:id="rId8" w:anchor="{%22appno%22:[%2232772/02%22]}" w:tgtFrame="_blank" w:history="1">
        <w:r w:rsidRPr="008E5E39">
          <w:rPr>
            <w:rStyle w:val="Hyperlink"/>
          </w:rPr>
          <w:t>32772/02</w:t>
        </w:r>
      </w:hyperlink>
      <w:r w:rsidRPr="008E5E39">
        <w:t>, judgment of 30 June 2009 (GC), § 90.</w:t>
      </w:r>
      <w:r>
        <w:t xml:space="preserve"> </w:t>
      </w:r>
    </w:p>
  </w:footnote>
  <w:footnote w:id="7">
    <w:p w14:paraId="1583FCF6" w14:textId="77777777" w:rsidR="003A1C3B" w:rsidRDefault="003A1C3B" w:rsidP="003A1C3B">
      <w:pPr>
        <w:pStyle w:val="FootnoteText"/>
      </w:pPr>
      <w:r>
        <w:rPr>
          <w:rStyle w:val="FootnoteReference"/>
        </w:rPr>
        <w:footnoteRef/>
      </w:r>
      <w:r>
        <w:t xml:space="preserve"> </w:t>
      </w:r>
      <w:r w:rsidRPr="00A31BD7">
        <w:rPr>
          <w:i/>
          <w:iCs/>
          <w:lang w:val="es-ES"/>
        </w:rPr>
        <w:t>Moreira Ferreira v. Portugal (No. 2), </w:t>
      </w:r>
      <w:r w:rsidRPr="00A31BD7">
        <w:rPr>
          <w:lang w:val="es-ES"/>
        </w:rPr>
        <w:t>No. </w:t>
      </w:r>
      <w:hyperlink r:id="rId9" w:anchor="{%22EXECDocumentTypeCollection%22:[%22CEC%22],%22EXECAppno%22:[%2219867/12%22]}" w:tgtFrame="_blank" w:history="1">
        <w:r w:rsidRPr="00A31BD7">
          <w:rPr>
            <w:rStyle w:val="Hyperlink"/>
          </w:rPr>
          <w:t>19867/12</w:t>
        </w:r>
      </w:hyperlink>
      <w:r w:rsidRPr="00A31BD7">
        <w:t>, judgment of 11 July 2017, (GC),</w:t>
      </w:r>
      <w:r w:rsidRPr="00A31BD7">
        <w:rPr>
          <w:i/>
          <w:iCs/>
        </w:rPr>
        <w:t xml:space="preserve"> </w:t>
      </w:r>
      <w:r w:rsidRPr="00A31BD7">
        <w:t xml:space="preserve">§ </w:t>
      </w:r>
      <w:r>
        <w:t>47</w:t>
      </w:r>
      <w:r w:rsidRPr="00A31BD7">
        <w:t>.</w:t>
      </w:r>
    </w:p>
  </w:footnote>
  <w:footnote w:id="8">
    <w:p w14:paraId="038C38F2" w14:textId="77777777" w:rsidR="003A1C3B" w:rsidRPr="00093E92" w:rsidRDefault="003A1C3B" w:rsidP="003A1C3B">
      <w:pPr>
        <w:pStyle w:val="FootnoteText"/>
        <w:jc w:val="both"/>
      </w:pPr>
      <w:r>
        <w:rPr>
          <w:rStyle w:val="FootnoteReference"/>
        </w:rPr>
        <w:footnoteRef/>
      </w:r>
      <w:r>
        <w:t xml:space="preserve"> </w:t>
      </w:r>
      <w:r w:rsidRPr="00093E92">
        <w:rPr>
          <w:i/>
          <w:iCs/>
        </w:rPr>
        <w:t>Rooney v Ireland, </w:t>
      </w:r>
      <w:r w:rsidRPr="00093E92">
        <w:t>§ 34, </w:t>
      </w:r>
      <w:hyperlink r:id="rId10" w:anchor="{%22EXECDocumentTypeCollection%22:[%22CEC%22],%22EXECAppno%22:[%226870/18%22]}" w:tgtFrame="_blank" w:history="1">
        <w:r w:rsidRPr="00093E92">
          <w:rPr>
            <w:rStyle w:val="Hyperlink"/>
          </w:rPr>
          <w:t>6870/18</w:t>
        </w:r>
      </w:hyperlink>
      <w:r w:rsidRPr="00093E92">
        <w:t> (dec</w:t>
      </w:r>
      <w:r>
        <w:t xml:space="preserve">.) </w:t>
      </w:r>
      <w:r w:rsidRPr="00093E92">
        <w:t>17 March 2020</w:t>
      </w:r>
      <w:r>
        <w:t xml:space="preserve"> or </w:t>
      </w:r>
      <w:proofErr w:type="spellStart"/>
      <w:r w:rsidRPr="00F07780">
        <w:rPr>
          <w:i/>
          <w:iCs/>
        </w:rPr>
        <w:t>Egmez</w:t>
      </w:r>
      <w:proofErr w:type="spellEnd"/>
      <w:r w:rsidRPr="00F07780">
        <w:rPr>
          <w:i/>
          <w:iCs/>
        </w:rPr>
        <w:t xml:space="preserve"> v. Cyprus</w:t>
      </w:r>
      <w:r>
        <w:t>, No. 12214/07, (dec.) 18 September 2012.</w:t>
      </w:r>
    </w:p>
  </w:footnote>
  <w:footnote w:id="9">
    <w:p w14:paraId="35714BA5" w14:textId="77777777" w:rsidR="003A1C3B" w:rsidRPr="00F07780" w:rsidRDefault="003A1C3B" w:rsidP="003A1C3B">
      <w:pPr>
        <w:pStyle w:val="FootnoteText"/>
      </w:pPr>
      <w:r>
        <w:rPr>
          <w:rStyle w:val="FootnoteReference"/>
        </w:rPr>
        <w:footnoteRef/>
      </w:r>
      <w:r>
        <w:t xml:space="preserve"> </w:t>
      </w:r>
      <w:r w:rsidRPr="00221091">
        <w:rPr>
          <w:i/>
          <w:iCs/>
        </w:rPr>
        <w:t>Emre v. Switzerland</w:t>
      </w:r>
      <w:r w:rsidRPr="00221091">
        <w:t xml:space="preserve"> </w:t>
      </w:r>
      <w:r w:rsidRPr="00221091">
        <w:rPr>
          <w:i/>
          <w:iCs/>
        </w:rPr>
        <w:t xml:space="preserve">(No. 2), </w:t>
      </w:r>
      <w:r w:rsidRPr="00221091">
        <w:t>No</w:t>
      </w:r>
      <w:r w:rsidRPr="00221091">
        <w:rPr>
          <w:i/>
          <w:iCs/>
        </w:rPr>
        <w:t>.</w:t>
      </w:r>
      <w:r w:rsidRPr="00221091">
        <w:t> </w:t>
      </w:r>
      <w:hyperlink r:id="rId11" w:anchor="{%22appno%22:[%225056/10%22]}" w:tgtFrame="_blank" w:history="1">
        <w:r w:rsidRPr="00221091">
          <w:rPr>
            <w:rStyle w:val="Hyperlink"/>
          </w:rPr>
          <w:t>5056/10</w:t>
        </w:r>
      </w:hyperlink>
      <w:r w:rsidRPr="00221091">
        <w:t>, final judgment of 11 January 2012.</w:t>
      </w:r>
    </w:p>
  </w:footnote>
  <w:footnote w:id="10">
    <w:p w14:paraId="566FC777" w14:textId="77777777" w:rsidR="003A1C3B" w:rsidRPr="00093E92" w:rsidRDefault="003A1C3B" w:rsidP="003A1C3B">
      <w:pPr>
        <w:pStyle w:val="FootnoteText"/>
      </w:pPr>
      <w:r>
        <w:rPr>
          <w:rStyle w:val="FootnoteReference"/>
        </w:rPr>
        <w:footnoteRef/>
      </w:r>
      <w:r>
        <w:t xml:space="preserve"> </w:t>
      </w:r>
      <w:r w:rsidRPr="00093E92">
        <w:t>See</w:t>
      </w:r>
      <w:r>
        <w:t xml:space="preserve"> for example</w:t>
      </w:r>
      <w:r w:rsidRPr="00FE6EDF">
        <w:t> </w:t>
      </w:r>
      <w:r w:rsidRPr="00973894">
        <w:rPr>
          <w:i/>
          <w:iCs/>
        </w:rPr>
        <w:t>Liu v. Russia (No. 2),</w:t>
      </w:r>
      <w:r w:rsidRPr="00973894">
        <w:t> No. 29157/09</w:t>
      </w:r>
      <w:r>
        <w:t>, final judgment of 8 March 2012 in which t</w:t>
      </w:r>
      <w:r w:rsidRPr="00973894">
        <w:t>he Committee continued its supervision over the case in March 2010, even though the same issue was already in parallel subject to the consideration of the Court. In this case, the Russian authorities contested the jurisdiction of the Court, asserting that the question had to be decided by the Committee.</w:t>
      </w:r>
    </w:p>
  </w:footnote>
  <w:footnote w:id="11">
    <w:p w14:paraId="194407DC" w14:textId="77777777" w:rsidR="003A1C3B" w:rsidRPr="00CB3778" w:rsidRDefault="003A1C3B" w:rsidP="003A1C3B">
      <w:pPr>
        <w:pStyle w:val="FootnoteText"/>
      </w:pPr>
      <w:r>
        <w:rPr>
          <w:rStyle w:val="FootnoteReference"/>
        </w:rPr>
        <w:footnoteRef/>
      </w:r>
      <w:r w:rsidRPr="006510D2">
        <w:t xml:space="preserve"> </w:t>
      </w:r>
      <w:r w:rsidRPr="006510D2">
        <w:rPr>
          <w:i/>
          <w:iCs/>
        </w:rPr>
        <w:t>Moreira Ferreira v. Portugal (No. 2), </w:t>
      </w:r>
      <w:r w:rsidRPr="006510D2">
        <w:t xml:space="preserve">cited above, </w:t>
      </w:r>
      <w:r w:rsidRPr="002E6CC7">
        <w:t>§ 47 </w:t>
      </w:r>
      <w:r>
        <w:t>(d).</w:t>
      </w:r>
    </w:p>
  </w:footnote>
  <w:footnote w:id="12">
    <w:p w14:paraId="61EE3E6A" w14:textId="77777777" w:rsidR="003A1C3B" w:rsidRPr="005F03D9" w:rsidRDefault="003A1C3B" w:rsidP="003A1C3B">
      <w:pPr>
        <w:pStyle w:val="FootnoteText"/>
      </w:pPr>
      <w:r w:rsidRPr="005F03D9">
        <w:rPr>
          <w:rStyle w:val="FootnoteReference"/>
        </w:rPr>
        <w:footnoteRef/>
      </w:r>
      <w:r w:rsidRPr="005F03D9">
        <w:t xml:space="preserve"> </w:t>
      </w:r>
      <w:r w:rsidRPr="005F03D9">
        <w:rPr>
          <w:i/>
          <w:iCs/>
        </w:rPr>
        <w:t>F.G. v. Sweden</w:t>
      </w:r>
      <w:r w:rsidRPr="005F03D9">
        <w:t xml:space="preserve">, No. 43611/11, judgment of 23 March 2016, (GC), Final resolution </w:t>
      </w:r>
      <w:hyperlink r:id="rId12" w:anchor="{%22display%22:[2],%22EXECIdentifier%22:[%22001-170007%22],%22EXECDocumentTypeCollection%22:[%22CEC%22],%22EXECTitle%22:[%22F.G.%22]}" w:tgtFrame="_blank" w:history="1">
        <w:r w:rsidRPr="005F03D9">
          <w:rPr>
            <w:rStyle w:val="Hyperlink"/>
          </w:rPr>
          <w:t>CM/</w:t>
        </w:r>
        <w:proofErr w:type="spellStart"/>
        <w:r w:rsidRPr="005F03D9">
          <w:rPr>
            <w:rStyle w:val="Hyperlink"/>
          </w:rPr>
          <w:t>ResDH</w:t>
        </w:r>
        <w:proofErr w:type="spellEnd"/>
        <w:r w:rsidRPr="005F03D9">
          <w:rPr>
            <w:rStyle w:val="Hyperlink"/>
          </w:rPr>
          <w:t>(2016)355</w:t>
        </w:r>
      </w:hyperlink>
      <w:r w:rsidRPr="005F03D9">
        <w:t>.</w:t>
      </w:r>
    </w:p>
  </w:footnote>
  <w:footnote w:id="13">
    <w:p w14:paraId="0BDD4AE4" w14:textId="77777777" w:rsidR="003A1C3B" w:rsidRPr="005F03D9" w:rsidRDefault="003A1C3B" w:rsidP="003A1C3B">
      <w:pPr>
        <w:pStyle w:val="FootnoteText"/>
      </w:pPr>
      <w:r w:rsidRPr="005F03D9">
        <w:rPr>
          <w:rStyle w:val="FootnoteReference"/>
        </w:rPr>
        <w:footnoteRef/>
      </w:r>
      <w:r w:rsidRPr="005F03D9">
        <w:t xml:space="preserve"> </w:t>
      </w:r>
      <w:proofErr w:type="spellStart"/>
      <w:r w:rsidRPr="005F03D9">
        <w:rPr>
          <w:i/>
          <w:iCs/>
        </w:rPr>
        <w:t>Cafagna</w:t>
      </w:r>
      <w:proofErr w:type="spellEnd"/>
      <w:r w:rsidRPr="005F03D9">
        <w:rPr>
          <w:i/>
          <w:iCs/>
        </w:rPr>
        <w:t xml:space="preserve"> v. Italy</w:t>
      </w:r>
      <w:r w:rsidRPr="005F03D9">
        <w:t xml:space="preserve">, No.  26073/13, final judgment of 12 January 2018, Final resolution </w:t>
      </w:r>
      <w:hyperlink r:id="rId13" w:anchor="{%22display%22:[2],%22EXECIdentifier%22:[%22001-211336%22],%22EXECDocumentTypeCollection%22:[%22CEC%22],%22EXECTitle%22:[%22cafagna%22]}" w:tgtFrame="_blank" w:history="1">
        <w:r w:rsidRPr="005F03D9">
          <w:rPr>
            <w:rStyle w:val="Hyperlink"/>
          </w:rPr>
          <w:t>CM/</w:t>
        </w:r>
        <w:proofErr w:type="spellStart"/>
        <w:r w:rsidRPr="005F03D9">
          <w:rPr>
            <w:rStyle w:val="Hyperlink"/>
          </w:rPr>
          <w:t>ResDH</w:t>
        </w:r>
        <w:proofErr w:type="spellEnd"/>
        <w:r w:rsidRPr="005F03D9">
          <w:rPr>
            <w:rStyle w:val="Hyperlink"/>
          </w:rPr>
          <w:t>(2021)118</w:t>
        </w:r>
      </w:hyperlink>
      <w:r w:rsidRPr="005F03D9">
        <w:t xml:space="preserve">. See also </w:t>
      </w:r>
      <w:r w:rsidRPr="005F03D9">
        <w:rPr>
          <w:i/>
          <w:iCs/>
        </w:rPr>
        <w:t>Lorefice v. Italy</w:t>
      </w:r>
      <w:r w:rsidRPr="005F03D9">
        <w:t xml:space="preserve">, No. 63446/13, final judgment of 29 September 2017, Final resolution </w:t>
      </w:r>
      <w:hyperlink r:id="rId14" w:anchor="{%22display%22:[2],%22EXECIdentifier%22:[%22001-211337%22],%22EXECDocumentTypeCollection%22:[%22CEC%22],%22EXECTitle%22:[%22lorefice%22]}" w:tgtFrame="_blank" w:history="1">
        <w:r w:rsidRPr="005F03D9">
          <w:rPr>
            <w:rStyle w:val="Hyperlink"/>
          </w:rPr>
          <w:t>CM/</w:t>
        </w:r>
        <w:proofErr w:type="spellStart"/>
        <w:r w:rsidRPr="005F03D9">
          <w:rPr>
            <w:rStyle w:val="Hyperlink"/>
          </w:rPr>
          <w:t>ResDH</w:t>
        </w:r>
        <w:proofErr w:type="spellEnd"/>
        <w:r w:rsidRPr="005F03D9">
          <w:rPr>
            <w:rStyle w:val="Hyperlink"/>
          </w:rPr>
          <w:t>(2021)119</w:t>
        </w:r>
      </w:hyperlink>
      <w:r w:rsidRPr="005F03D9">
        <w:t>.</w:t>
      </w:r>
    </w:p>
  </w:footnote>
  <w:footnote w:id="14">
    <w:p w14:paraId="438ED343" w14:textId="77777777" w:rsidR="003A1C3B" w:rsidRPr="005F03D9" w:rsidRDefault="003A1C3B" w:rsidP="003A1C3B">
      <w:pPr>
        <w:pStyle w:val="FootnoteText"/>
      </w:pPr>
      <w:r w:rsidRPr="005F03D9">
        <w:rPr>
          <w:rStyle w:val="FootnoteReference"/>
        </w:rPr>
        <w:footnoteRef/>
      </w:r>
      <w:r w:rsidRPr="005F03D9">
        <w:t xml:space="preserve"> </w:t>
      </w:r>
      <w:r w:rsidRPr="005F03D9">
        <w:rPr>
          <w:i/>
          <w:iCs/>
        </w:rPr>
        <w:t xml:space="preserve">Strand </w:t>
      </w:r>
      <w:proofErr w:type="spellStart"/>
      <w:r w:rsidRPr="005F03D9">
        <w:rPr>
          <w:i/>
          <w:iCs/>
        </w:rPr>
        <w:t>Lobben</w:t>
      </w:r>
      <w:proofErr w:type="spellEnd"/>
      <w:r w:rsidRPr="005F03D9">
        <w:rPr>
          <w:i/>
          <w:iCs/>
        </w:rPr>
        <w:t xml:space="preserve"> and Others</w:t>
      </w:r>
      <w:r w:rsidRPr="005F03D9">
        <w:t xml:space="preserve"> </w:t>
      </w:r>
      <w:r w:rsidRPr="005F03D9">
        <w:rPr>
          <w:i/>
          <w:iCs/>
        </w:rPr>
        <w:t>v. Norway</w:t>
      </w:r>
      <w:r w:rsidRPr="005F03D9">
        <w:t xml:space="preserve">, No. 37283/13, judgment of 10 September 2019 (GC), </w:t>
      </w:r>
      <w:hyperlink r:id="rId15" w:anchor="{%22display%22:[2],%22EXECIdentifier%22:[%22CM/Del/Dec(2021)1398/H46-17E%22],%22EXECDocumentTypeCollection%22:[%22CEC%22],%22EXECTitle%22:[%22strand%22]}" w:tgtFrame="_blank" w:history="1">
        <w:r w:rsidRPr="005F03D9">
          <w:rPr>
            <w:rStyle w:val="Hyperlink"/>
          </w:rPr>
          <w:t>CM/Del/Dec(2021)1398/H46-17</w:t>
        </w:r>
      </w:hyperlink>
      <w:r w:rsidRPr="005F03D9">
        <w:t>.</w:t>
      </w:r>
    </w:p>
  </w:footnote>
  <w:footnote w:id="15">
    <w:p w14:paraId="594B814A" w14:textId="77777777" w:rsidR="003A1C3B" w:rsidRPr="005F03D9" w:rsidRDefault="003A1C3B" w:rsidP="003A1C3B">
      <w:pPr>
        <w:pStyle w:val="FootnoteText"/>
      </w:pPr>
      <w:r w:rsidRPr="005F03D9">
        <w:rPr>
          <w:rStyle w:val="FootnoteReference"/>
        </w:rPr>
        <w:footnoteRef/>
      </w:r>
      <w:r w:rsidRPr="005F03D9">
        <w:t xml:space="preserve"> </w:t>
      </w:r>
      <w:proofErr w:type="spellStart"/>
      <w:r w:rsidRPr="005F03D9">
        <w:rPr>
          <w:i/>
          <w:iCs/>
        </w:rPr>
        <w:t>Morice</w:t>
      </w:r>
      <w:proofErr w:type="spellEnd"/>
      <w:r w:rsidRPr="005F03D9">
        <w:rPr>
          <w:i/>
          <w:iCs/>
        </w:rPr>
        <w:t xml:space="preserve"> v. France</w:t>
      </w:r>
      <w:r w:rsidRPr="005F03D9">
        <w:t>, No. 29369/10, judgment of 23 April 2015 (GC)</w:t>
      </w:r>
      <w:r w:rsidRPr="005F03D9">
        <w:rPr>
          <w:szCs w:val="16"/>
        </w:rPr>
        <w:t xml:space="preserve">, Final Resolution </w:t>
      </w:r>
      <w:hyperlink r:id="rId16" w:anchor="{%22EXECDocumentTypeCollection%22:[%22EXECUTION%22],%22EXECLanguage%22:[%22ENG%22],%22EXECIsClosed%22:[%22True%22],%22EXECType%22:[%22L%22],%22EXECThemeDomain%22:[%2256%22],%22EXECIdentifier%22:[%22001-192966%22]}" w:history="1">
        <w:r w:rsidRPr="005F03D9">
          <w:rPr>
            <w:rStyle w:val="Hyperlink"/>
            <w:szCs w:val="16"/>
          </w:rPr>
          <w:t>CM/</w:t>
        </w:r>
        <w:proofErr w:type="spellStart"/>
        <w:r w:rsidRPr="005F03D9">
          <w:rPr>
            <w:rStyle w:val="Hyperlink"/>
            <w:szCs w:val="16"/>
          </w:rPr>
          <w:t>ResDH</w:t>
        </w:r>
        <w:proofErr w:type="spellEnd"/>
        <w:r w:rsidRPr="005F03D9">
          <w:rPr>
            <w:rStyle w:val="Hyperlink"/>
            <w:szCs w:val="16"/>
          </w:rPr>
          <w:t>(2019)88</w:t>
        </w:r>
      </w:hyperlink>
      <w:r w:rsidRPr="005F03D9">
        <w:rPr>
          <w:szCs w:val="16"/>
        </w:rPr>
        <w:t xml:space="preserve"> in</w:t>
      </w:r>
      <w:r>
        <w:rPr>
          <w:szCs w:val="16"/>
        </w:rPr>
        <w:t xml:space="preserve"> the</w:t>
      </w:r>
      <w:r w:rsidRPr="005F03D9">
        <w:rPr>
          <w:szCs w:val="16"/>
        </w:rPr>
        <w:t xml:space="preserve"> </w:t>
      </w:r>
      <w:r w:rsidRPr="005F03D9">
        <w:rPr>
          <w:i/>
          <w:iCs/>
          <w:szCs w:val="16"/>
        </w:rPr>
        <w:t>Jean-</w:t>
      </w:r>
      <w:proofErr w:type="spellStart"/>
      <w:r w:rsidRPr="005F03D9">
        <w:rPr>
          <w:i/>
          <w:iCs/>
          <w:szCs w:val="16"/>
        </w:rPr>
        <w:t>Jaques</w:t>
      </w:r>
      <w:proofErr w:type="spellEnd"/>
      <w:r w:rsidRPr="005F03D9">
        <w:rPr>
          <w:i/>
          <w:iCs/>
          <w:szCs w:val="16"/>
        </w:rPr>
        <w:t xml:space="preserve"> Morel </w:t>
      </w:r>
      <w:r w:rsidRPr="001F1F91">
        <w:rPr>
          <w:szCs w:val="16"/>
        </w:rPr>
        <w:t>group of cases.</w:t>
      </w:r>
    </w:p>
  </w:footnote>
  <w:footnote w:id="16">
    <w:p w14:paraId="40ABC674" w14:textId="77777777" w:rsidR="003A1C3B" w:rsidRPr="00DE2CFE" w:rsidRDefault="003A1C3B" w:rsidP="003A1C3B">
      <w:pPr>
        <w:pStyle w:val="FootnoteText"/>
      </w:pPr>
      <w:r>
        <w:rPr>
          <w:rStyle w:val="FootnoteReference"/>
        </w:rPr>
        <w:footnoteRef/>
      </w:r>
      <w:r>
        <w:t xml:space="preserve"> </w:t>
      </w:r>
      <w:r w:rsidRPr="00DE2CFE">
        <w:rPr>
          <w:i/>
          <w:iCs/>
        </w:rPr>
        <w:t>Bekir-</w:t>
      </w:r>
      <w:proofErr w:type="spellStart"/>
      <w:r w:rsidRPr="00DE2CFE">
        <w:rPr>
          <w:i/>
          <w:iCs/>
        </w:rPr>
        <w:t>Ousta</w:t>
      </w:r>
      <w:proofErr w:type="spellEnd"/>
      <w:r w:rsidRPr="00DE2CFE">
        <w:rPr>
          <w:i/>
          <w:iCs/>
        </w:rPr>
        <w:t xml:space="preserve"> and Others v. Greece, </w:t>
      </w:r>
      <w:r w:rsidRPr="00DE2CFE">
        <w:t xml:space="preserve">No. </w:t>
      </w:r>
      <w:r>
        <w:t>35151/05</w:t>
      </w:r>
      <w:r w:rsidRPr="00DE2CFE">
        <w:t xml:space="preserve">, </w:t>
      </w:r>
      <w:r>
        <w:t>final judgment of 11 January 2008,</w:t>
      </w:r>
      <w:r w:rsidRPr="00A72428">
        <w:rPr>
          <w:sz w:val="20"/>
          <w:szCs w:val="24"/>
        </w:rPr>
        <w:t xml:space="preserve"> </w:t>
      </w:r>
      <w:hyperlink r:id="rId17" w:anchor="{%22display%22:[2],%22EXECIdentifier%22:[%22CM/Del/Dec(2021)1411/H46-14E%22],%22EXECDocumentTypeCollection%22:[%22CEC%22],%22EXECTitle%22:[%22bekir%22]}" w:tgtFrame="_blank" w:history="1">
        <w:r w:rsidRPr="00A72428">
          <w:rPr>
            <w:rStyle w:val="Hyperlink"/>
            <w:i/>
            <w:iCs/>
          </w:rPr>
          <w:t>CM/Del/Dec(2021)1411/H46-14</w:t>
        </w:r>
      </w:hyperlink>
      <w:r w:rsidRPr="00A72428">
        <w:rPr>
          <w:i/>
          <w:iCs/>
        </w:rPr>
        <w:t>.</w:t>
      </w:r>
    </w:p>
  </w:footnote>
  <w:footnote w:id="17">
    <w:p w14:paraId="18E9306D" w14:textId="77777777" w:rsidR="003A1C3B" w:rsidRPr="00F53785" w:rsidRDefault="003A1C3B" w:rsidP="003A1C3B">
      <w:pPr>
        <w:pStyle w:val="FootnoteText"/>
      </w:pPr>
      <w:r w:rsidRPr="005F03D9">
        <w:rPr>
          <w:rStyle w:val="FootnoteReference"/>
        </w:rPr>
        <w:footnoteRef/>
      </w:r>
      <w:r w:rsidRPr="005F03D9">
        <w:t xml:space="preserve"> </w:t>
      </w:r>
      <w:proofErr w:type="spellStart"/>
      <w:r w:rsidRPr="005F03D9">
        <w:rPr>
          <w:i/>
          <w:iCs/>
        </w:rPr>
        <w:t>Partidul</w:t>
      </w:r>
      <w:proofErr w:type="spellEnd"/>
      <w:r w:rsidRPr="005F03D9">
        <w:rPr>
          <w:i/>
          <w:iCs/>
        </w:rPr>
        <w:t xml:space="preserve"> </w:t>
      </w:r>
      <w:proofErr w:type="spellStart"/>
      <w:r w:rsidRPr="005F03D9">
        <w:rPr>
          <w:i/>
          <w:iCs/>
        </w:rPr>
        <w:t>Comunistilor</w:t>
      </w:r>
      <w:proofErr w:type="spellEnd"/>
      <w:r w:rsidRPr="005F03D9">
        <w:rPr>
          <w:i/>
          <w:iCs/>
        </w:rPr>
        <w:t xml:space="preserve"> (</w:t>
      </w:r>
      <w:proofErr w:type="spellStart"/>
      <w:r w:rsidRPr="005F03D9">
        <w:rPr>
          <w:i/>
          <w:iCs/>
        </w:rPr>
        <w:t>Nepeceristi</w:t>
      </w:r>
      <w:proofErr w:type="spellEnd"/>
      <w:r w:rsidRPr="005F03D9">
        <w:rPr>
          <w:i/>
          <w:iCs/>
        </w:rPr>
        <w:t>) and Ungureanu v. Romania</w:t>
      </w:r>
      <w:r w:rsidRPr="005F03D9">
        <w:t xml:space="preserve">, No. 46626/99, </w:t>
      </w:r>
      <w:r>
        <w:t>f</w:t>
      </w:r>
      <w:r w:rsidRPr="005F03D9">
        <w:t xml:space="preserve">inal judgment of 6 July 2005, Final Resolution </w:t>
      </w:r>
      <w:hyperlink r:id="rId18" w:anchor="{%22display%22:[2],%22EXECIdentifier%22:[%22001-85921%22],%22EXECDocumentTypeCollection%22:[%22CEC%22],%22EXECAppno%22:[%2246626/99%22]}" w:tgtFrame="_blank" w:history="1">
        <w:r w:rsidRPr="005F03D9">
          <w:rPr>
            <w:rStyle w:val="Hyperlink"/>
          </w:rPr>
          <w:t>CM/</w:t>
        </w:r>
        <w:proofErr w:type="spellStart"/>
        <w:r w:rsidRPr="005F03D9">
          <w:rPr>
            <w:rStyle w:val="Hyperlink"/>
          </w:rPr>
          <w:t>ResDH</w:t>
        </w:r>
        <w:proofErr w:type="spellEnd"/>
        <w:r w:rsidRPr="005F03D9">
          <w:rPr>
            <w:rStyle w:val="Hyperlink"/>
          </w:rPr>
          <w:t>(2008)16</w:t>
        </w:r>
      </w:hyperlink>
      <w:r w:rsidRPr="005F03D9">
        <w:t xml:space="preserve">. See also </w:t>
      </w:r>
      <w:r w:rsidRPr="005F03D9">
        <w:rPr>
          <w:i/>
          <w:iCs/>
        </w:rPr>
        <w:t>Presidential Party of Mordovia v. Russia</w:t>
      </w:r>
      <w:r w:rsidRPr="005F03D9">
        <w:t xml:space="preserve">, No. 65659/01, </w:t>
      </w:r>
      <w:r>
        <w:t>f</w:t>
      </w:r>
      <w:r w:rsidRPr="005F03D9">
        <w:t>inal judgment of 5 January 2005, Final Resolution</w:t>
      </w:r>
      <w:r w:rsidRPr="005F03D9">
        <w:rPr>
          <w:sz w:val="20"/>
          <w:szCs w:val="24"/>
        </w:rPr>
        <w:t xml:space="preserve"> </w:t>
      </w:r>
      <w:hyperlink r:id="rId19" w:anchor="{%22display%22:[2],%22EXECIdentifier%22:[%22001-85941%22],%22EXECDocumentTypeCollection%22:[%22CEC%22],%22EXECAppno%22:[%2265659/01%22]}" w:tgtFrame="_blank" w:history="1">
        <w:r w:rsidRPr="005F03D9">
          <w:rPr>
            <w:rStyle w:val="Hyperlink"/>
          </w:rPr>
          <w:t>CM/</w:t>
        </w:r>
        <w:proofErr w:type="spellStart"/>
        <w:r w:rsidRPr="005F03D9">
          <w:rPr>
            <w:rStyle w:val="Hyperlink"/>
          </w:rPr>
          <w:t>ResDH</w:t>
        </w:r>
        <w:proofErr w:type="spellEnd"/>
        <w:r w:rsidRPr="005F03D9">
          <w:rPr>
            <w:rStyle w:val="Hyperlink"/>
          </w:rPr>
          <w:t>(2008)20</w:t>
        </w:r>
      </w:hyperlink>
      <w:r w:rsidRPr="005F03D9">
        <w:t>.</w:t>
      </w:r>
      <w:r>
        <w:t xml:space="preserve"> </w:t>
      </w:r>
    </w:p>
  </w:footnote>
  <w:footnote w:id="18">
    <w:p w14:paraId="44F388BC" w14:textId="77777777" w:rsidR="003A1C3B" w:rsidRPr="00F53785" w:rsidRDefault="003A1C3B" w:rsidP="003A1C3B">
      <w:pPr>
        <w:pStyle w:val="FootnoteText"/>
      </w:pPr>
      <w:r w:rsidRPr="00F53785">
        <w:rPr>
          <w:rStyle w:val="FootnoteReference"/>
        </w:rPr>
        <w:footnoteRef/>
      </w:r>
      <w:r>
        <w:t xml:space="preserve"> </w:t>
      </w:r>
      <w:r w:rsidRPr="00F53785">
        <w:rPr>
          <w:i/>
          <w:iCs/>
        </w:rPr>
        <w:t xml:space="preserve">United Communist Party of Turkey and </w:t>
      </w:r>
      <w:r>
        <w:rPr>
          <w:i/>
          <w:iCs/>
        </w:rPr>
        <w:t>O</w:t>
      </w:r>
      <w:r w:rsidRPr="00F53785">
        <w:rPr>
          <w:i/>
          <w:iCs/>
        </w:rPr>
        <w:t>thers</w:t>
      </w:r>
      <w:r>
        <w:rPr>
          <w:i/>
          <w:iCs/>
        </w:rPr>
        <w:t xml:space="preserve"> v. Turkey</w:t>
      </w:r>
      <w:r w:rsidRPr="00F53785">
        <w:t>, No. 19392/92, judgment of 30 January 1998</w:t>
      </w:r>
      <w:r>
        <w:t xml:space="preserve"> (GC)</w:t>
      </w:r>
      <w:r w:rsidRPr="00F53785">
        <w:t xml:space="preserve">, Final Resolution </w:t>
      </w:r>
      <w:hyperlink r:id="rId20" w:anchor="{%22display%22:[2],%22EXECIdentifier%22:[%22001-81572%22],%22EXECDocumentTypeCollection%22:[%22CEC%22],%22EXECTitle%22:[%22United%20Communist%20Party%20of%20Turkey%22]}" w:tgtFrame="_blank" w:history="1">
        <w:r w:rsidRPr="00F53785">
          <w:rPr>
            <w:rStyle w:val="Hyperlink"/>
          </w:rPr>
          <w:t>CM/</w:t>
        </w:r>
        <w:proofErr w:type="spellStart"/>
        <w:r w:rsidRPr="00F53785">
          <w:rPr>
            <w:rStyle w:val="Hyperlink"/>
          </w:rPr>
          <w:t>ResDH</w:t>
        </w:r>
        <w:proofErr w:type="spellEnd"/>
        <w:r w:rsidRPr="00F53785">
          <w:rPr>
            <w:rStyle w:val="Hyperlink"/>
          </w:rPr>
          <w:t>(2007)100</w:t>
        </w:r>
      </w:hyperlink>
      <w:r w:rsidRPr="00F53785">
        <w:t>.</w:t>
      </w:r>
    </w:p>
  </w:footnote>
  <w:footnote w:id="19">
    <w:p w14:paraId="4DD1648B" w14:textId="043C7A76" w:rsidR="003A1C3B" w:rsidRPr="00F53785" w:rsidRDefault="003A1C3B" w:rsidP="003A1C3B">
      <w:pPr>
        <w:pStyle w:val="FootnoteText"/>
      </w:pPr>
      <w:r w:rsidRPr="00F53785">
        <w:rPr>
          <w:rStyle w:val="FootnoteReference"/>
        </w:rPr>
        <w:footnoteRef/>
      </w:r>
      <w:r w:rsidRPr="00F53785">
        <w:t xml:space="preserve"> </w:t>
      </w:r>
      <w:r w:rsidRPr="00F53785">
        <w:rPr>
          <w:i/>
          <w:iCs/>
        </w:rPr>
        <w:t xml:space="preserve">Metropolitan Church of Bessarabia and </w:t>
      </w:r>
      <w:r>
        <w:rPr>
          <w:i/>
          <w:iCs/>
        </w:rPr>
        <w:t>O</w:t>
      </w:r>
      <w:r w:rsidRPr="00F53785">
        <w:rPr>
          <w:i/>
          <w:iCs/>
        </w:rPr>
        <w:t xml:space="preserve">thers v. </w:t>
      </w:r>
      <w:r w:rsidR="005D6B50">
        <w:rPr>
          <w:i/>
          <w:iCs/>
        </w:rPr>
        <w:t xml:space="preserve">the Republic of </w:t>
      </w:r>
      <w:r w:rsidRPr="00F53785">
        <w:rPr>
          <w:i/>
          <w:iCs/>
        </w:rPr>
        <w:t xml:space="preserve">Moldova, </w:t>
      </w:r>
      <w:r w:rsidRPr="00F53785">
        <w:t xml:space="preserve">No. 45701/99, </w:t>
      </w:r>
      <w:r>
        <w:t>f</w:t>
      </w:r>
      <w:r w:rsidRPr="00F53785">
        <w:t xml:space="preserve">inal judgment of 27 March 2002, Final Resolution </w:t>
      </w:r>
      <w:hyperlink r:id="rId21" w:anchor="{%22display%22:[2],%22EXECIdentifier%22:[%22001-98240%22],%22EXECDocumentTypeCollection%22:[%22CEC%22],%22EXECAppno%22:[%2245701/99%22]}" w:tgtFrame="_blank" w:history="1">
        <w:r w:rsidRPr="00F53785">
          <w:rPr>
            <w:rStyle w:val="Hyperlink"/>
          </w:rPr>
          <w:t>CM/</w:t>
        </w:r>
        <w:proofErr w:type="spellStart"/>
        <w:r w:rsidRPr="00F53785">
          <w:rPr>
            <w:rStyle w:val="Hyperlink"/>
          </w:rPr>
          <w:t>ResDH</w:t>
        </w:r>
        <w:proofErr w:type="spellEnd"/>
        <w:r w:rsidRPr="00F53785">
          <w:rPr>
            <w:rStyle w:val="Hyperlink"/>
          </w:rPr>
          <w:t>(2010)8</w:t>
        </w:r>
      </w:hyperlink>
      <w:r w:rsidRPr="00F53785">
        <w:t>.</w:t>
      </w:r>
    </w:p>
  </w:footnote>
  <w:footnote w:id="20">
    <w:p w14:paraId="750B16F0" w14:textId="77777777" w:rsidR="003A1C3B" w:rsidRPr="001E4DB1" w:rsidRDefault="003A1C3B" w:rsidP="003A1C3B">
      <w:pPr>
        <w:pStyle w:val="FootnoteText"/>
      </w:pPr>
      <w:r w:rsidRPr="00F53785">
        <w:rPr>
          <w:rStyle w:val="FootnoteReference"/>
        </w:rPr>
        <w:footnoteRef/>
      </w:r>
      <w:r w:rsidRPr="00F53785">
        <w:t xml:space="preserve"> </w:t>
      </w:r>
      <w:proofErr w:type="spellStart"/>
      <w:r w:rsidRPr="00F53785">
        <w:rPr>
          <w:i/>
          <w:iCs/>
        </w:rPr>
        <w:t>Umo</w:t>
      </w:r>
      <w:proofErr w:type="spellEnd"/>
      <w:r w:rsidRPr="00F53785">
        <w:rPr>
          <w:i/>
          <w:iCs/>
        </w:rPr>
        <w:t xml:space="preserve"> </w:t>
      </w:r>
      <w:proofErr w:type="spellStart"/>
      <w:r>
        <w:rPr>
          <w:i/>
          <w:iCs/>
        </w:rPr>
        <w:t>Il</w:t>
      </w:r>
      <w:r w:rsidRPr="00F53785">
        <w:rPr>
          <w:i/>
          <w:iCs/>
        </w:rPr>
        <w:t>inden</w:t>
      </w:r>
      <w:proofErr w:type="spellEnd"/>
      <w:r w:rsidRPr="00F53785">
        <w:rPr>
          <w:i/>
          <w:iCs/>
        </w:rPr>
        <w:t xml:space="preserve"> and Others v. Bulgaria</w:t>
      </w:r>
      <w:r w:rsidRPr="00F53785">
        <w:t xml:space="preserve">, No. 59491/00, </w:t>
      </w:r>
      <w:r>
        <w:t>f</w:t>
      </w:r>
      <w:r w:rsidRPr="00F53785">
        <w:t>inal judgment of 19 April 2006, Interim Resolution </w:t>
      </w:r>
      <w:hyperlink r:id="rId22" w:tgtFrame="_blank" w:tooltip="Interim Resolution CM/ResDH(2020)197 - Execution of the judgments of the European Court of Human Rights - United Macedonian Organisation Ilinden and Others group against Bulgaria (Application No. 59491/00)" w:history="1">
        <w:r w:rsidRPr="00F53785">
          <w:rPr>
            <w:rStyle w:val="Hyperlink"/>
          </w:rPr>
          <w:t>CM/</w:t>
        </w:r>
        <w:proofErr w:type="spellStart"/>
        <w:r w:rsidRPr="00F53785">
          <w:rPr>
            <w:rStyle w:val="Hyperlink"/>
          </w:rPr>
          <w:t>ResDH</w:t>
        </w:r>
        <w:proofErr w:type="spellEnd"/>
        <w:r w:rsidRPr="00F53785">
          <w:rPr>
            <w:rStyle w:val="Hyperlink"/>
          </w:rPr>
          <w:t>(2020)197</w:t>
        </w:r>
      </w:hyperlink>
      <w:r w:rsidRPr="00F53785">
        <w:t xml:space="preserve"> and </w:t>
      </w:r>
      <w:hyperlink r:id="rId23" w:anchor="{%22display%22:[2],%22EXECIdentifier%22:[%22CM/Del/Dec(2021)1406/H46-9E%22],%22EXECDocumentTypeCollection%22:[%22CEC%22],%22EXECTitle%22:[%22umo%22]}" w:history="1">
        <w:r w:rsidRPr="001E4DB1">
          <w:rPr>
            <w:rStyle w:val="Hyperlink"/>
          </w:rPr>
          <w:t>CM/Del/Dec(2021)1406/H46-9</w:t>
        </w:r>
      </w:hyperlink>
      <w:r w:rsidRPr="001E4DB1">
        <w:t>.</w:t>
      </w:r>
    </w:p>
  </w:footnote>
  <w:footnote w:id="21">
    <w:p w14:paraId="457BEB59" w14:textId="77777777" w:rsidR="003A1C3B" w:rsidRPr="001B0A0B" w:rsidRDefault="003A1C3B" w:rsidP="003A1C3B">
      <w:r w:rsidRPr="001E4DB1">
        <w:rPr>
          <w:rStyle w:val="FootnoteReference"/>
          <w:sz w:val="16"/>
          <w:szCs w:val="16"/>
        </w:rPr>
        <w:footnoteRef/>
      </w:r>
      <w:r w:rsidRPr="001E4DB1">
        <w:rPr>
          <w:sz w:val="16"/>
          <w:szCs w:val="16"/>
        </w:rPr>
        <w:t xml:space="preserve"> </w:t>
      </w:r>
      <w:r w:rsidRPr="001E4DB1">
        <w:rPr>
          <w:i/>
          <w:iCs/>
          <w:sz w:val="16"/>
          <w:szCs w:val="16"/>
        </w:rPr>
        <w:t>Jehovah’s Witnesses of Moscow and</w:t>
      </w:r>
      <w:r w:rsidRPr="00F53785">
        <w:rPr>
          <w:i/>
          <w:iCs/>
          <w:sz w:val="16"/>
          <w:szCs w:val="16"/>
        </w:rPr>
        <w:t xml:space="preserve"> Others</w:t>
      </w:r>
      <w:r>
        <w:rPr>
          <w:i/>
          <w:iCs/>
          <w:sz w:val="16"/>
          <w:szCs w:val="16"/>
        </w:rPr>
        <w:t xml:space="preserve"> v. Russia</w:t>
      </w:r>
      <w:r w:rsidRPr="00F53785">
        <w:rPr>
          <w:i/>
          <w:iCs/>
          <w:sz w:val="16"/>
          <w:szCs w:val="16"/>
        </w:rPr>
        <w:t xml:space="preserve">, </w:t>
      </w:r>
      <w:r w:rsidRPr="00F53785">
        <w:rPr>
          <w:sz w:val="16"/>
          <w:szCs w:val="16"/>
        </w:rPr>
        <w:t>No.</w:t>
      </w:r>
      <w:r>
        <w:rPr>
          <w:sz w:val="16"/>
          <w:szCs w:val="16"/>
        </w:rPr>
        <w:t xml:space="preserve"> 302/02</w:t>
      </w:r>
      <w:r w:rsidRPr="00F53785">
        <w:rPr>
          <w:sz w:val="16"/>
          <w:szCs w:val="16"/>
        </w:rPr>
        <w:t>,</w:t>
      </w:r>
      <w:r>
        <w:rPr>
          <w:rFonts w:cs="Arial"/>
          <w:b/>
          <w:bCs/>
          <w:sz w:val="28"/>
          <w:szCs w:val="28"/>
          <w:shd w:val="clear" w:color="auto" w:fill="FFFFFF"/>
        </w:rPr>
        <w:t xml:space="preserve"> </w:t>
      </w:r>
      <w:hyperlink r:id="rId24" w:anchor="{%22EXECIdentifier%22:[%22CM/Del/Dec(2020)1383/H46-17E%22]}" w:history="1">
        <w:r w:rsidRPr="00F53785">
          <w:rPr>
            <w:rStyle w:val="Hyperlink"/>
            <w:sz w:val="16"/>
            <w:szCs w:val="16"/>
          </w:rPr>
          <w:t>CM/Del/Dec(2020)1383/H46-17</w:t>
        </w:r>
      </w:hyperlink>
      <w:r w:rsidRPr="00F53785">
        <w:rPr>
          <w:sz w:val="16"/>
          <w:szCs w:val="16"/>
        </w:rPr>
        <w:t xml:space="preserve"> and </w:t>
      </w:r>
      <w:hyperlink r:id="rId25" w:anchor="{%22EXECIdentifier%22:[%22CM/Del/Dec(2019)1355/H46-19E%22]}" w:history="1">
        <w:r w:rsidRPr="00F53785">
          <w:rPr>
            <w:rStyle w:val="Hyperlink"/>
            <w:sz w:val="16"/>
            <w:szCs w:val="16"/>
          </w:rPr>
          <w:t>CM/Del/Dec(2019)1355/H46-19</w:t>
        </w:r>
      </w:hyperlink>
      <w:r w:rsidRPr="00F53785">
        <w:rPr>
          <w:sz w:val="16"/>
          <w:szCs w:val="16"/>
        </w:rPr>
        <w:t xml:space="preserve">. </w:t>
      </w:r>
    </w:p>
  </w:footnote>
  <w:footnote w:id="22">
    <w:p w14:paraId="3E00A068" w14:textId="77777777" w:rsidR="003A1C3B" w:rsidRPr="00C11AB9" w:rsidRDefault="003A1C3B" w:rsidP="003A1C3B">
      <w:pPr>
        <w:pStyle w:val="FootnoteText"/>
      </w:pPr>
      <w:r>
        <w:rPr>
          <w:rStyle w:val="FootnoteReference"/>
        </w:rPr>
        <w:footnoteRef/>
      </w:r>
      <w:r>
        <w:t xml:space="preserve"> </w:t>
      </w:r>
      <w:r w:rsidRPr="00C11AB9">
        <w:rPr>
          <w:i/>
          <w:iCs/>
        </w:rPr>
        <w:t>Socialist Party and Others v. Turkey</w:t>
      </w:r>
      <w:r>
        <w:t xml:space="preserve">, No. 21237/93, final  judgment of 25 May 1998, </w:t>
      </w:r>
      <w:r w:rsidRPr="00055F72">
        <w:t xml:space="preserve">Interim Resolution </w:t>
      </w:r>
      <w:r>
        <w:t>(</w:t>
      </w:r>
      <w:hyperlink r:id="rId26" w:anchor="{%22display%22:[2],%22EXECIdentifier%22:[%22001-55723%22],%22EXECDocumentTypeCollection%22:[%22CEC%22],%22EXECTitle%22:[%22Socialist%20Party%22]}" w:history="1">
        <w:r w:rsidRPr="00C11AB9">
          <w:rPr>
            <w:rStyle w:val="Hyperlink"/>
          </w:rPr>
          <w:t>DH</w:t>
        </w:r>
        <w:r w:rsidRPr="00055F72">
          <w:rPr>
            <w:rStyle w:val="Hyperlink"/>
          </w:rPr>
          <w:t>(99)245</w:t>
        </w:r>
      </w:hyperlink>
      <w:r w:rsidRPr="00055F72">
        <w:t>)</w:t>
      </w:r>
      <w:r>
        <w:t>.</w:t>
      </w:r>
    </w:p>
  </w:footnote>
  <w:footnote w:id="23">
    <w:p w14:paraId="39167EE9" w14:textId="77777777" w:rsidR="003A1C3B" w:rsidRPr="008354FB" w:rsidRDefault="003A1C3B" w:rsidP="003A1C3B">
      <w:pPr>
        <w:pStyle w:val="FootnoteText"/>
      </w:pPr>
      <w:r>
        <w:rPr>
          <w:rStyle w:val="FootnoteReference"/>
        </w:rPr>
        <w:footnoteRef/>
      </w:r>
      <w:r>
        <w:rPr>
          <w:bCs/>
          <w:i/>
          <w:iCs/>
        </w:rPr>
        <w:t xml:space="preserve"> </w:t>
      </w:r>
      <w:proofErr w:type="spellStart"/>
      <w:r w:rsidRPr="00CE0AD8">
        <w:rPr>
          <w:bCs/>
          <w:i/>
          <w:iCs/>
        </w:rPr>
        <w:t>Navalnyy</w:t>
      </w:r>
      <w:proofErr w:type="spellEnd"/>
      <w:r w:rsidRPr="00CE0AD8">
        <w:rPr>
          <w:bCs/>
          <w:i/>
          <w:iCs/>
        </w:rPr>
        <w:t xml:space="preserve"> and </w:t>
      </w:r>
      <w:proofErr w:type="spellStart"/>
      <w:r w:rsidRPr="00CE0AD8">
        <w:rPr>
          <w:bCs/>
          <w:i/>
          <w:iCs/>
        </w:rPr>
        <w:t>Ofitserov</w:t>
      </w:r>
      <w:proofErr w:type="spellEnd"/>
      <w:r>
        <w:rPr>
          <w:bCs/>
          <w:i/>
          <w:iCs/>
        </w:rPr>
        <w:t xml:space="preserve"> v. Russia, </w:t>
      </w:r>
      <w:r w:rsidRPr="00CE0AD8">
        <w:rPr>
          <w:bCs/>
        </w:rPr>
        <w:t xml:space="preserve">No. 46632/13, </w:t>
      </w:r>
      <w:r>
        <w:rPr>
          <w:bCs/>
        </w:rPr>
        <w:t xml:space="preserve">final judgment of </w:t>
      </w:r>
      <w:r w:rsidRPr="00CE0AD8">
        <w:rPr>
          <w:bCs/>
        </w:rPr>
        <w:t>4 July 2016</w:t>
      </w:r>
      <w:r>
        <w:rPr>
          <w:bCs/>
        </w:rPr>
        <w:t xml:space="preserve">, </w:t>
      </w:r>
      <w:hyperlink r:id="rId27" w:anchor="{%22display%22:[2],%22EXECIdentifier%22:[%22CM/Del/Dec(2021)1419/H46-34E%22],%22EXECDocumentTypeCollection%22:[%22CEC%22],%22EXECLanguage%22:[%22ENG%22],%22EXECState%22:[%22RUS%22],%22EXECSupervision%22:[%22ENHA%22],%22EXECIsClosed%22:[%22False%22],%22EXECType%22:[%22L%22]}" w:tgtFrame="_blank" w:history="1">
        <w:r w:rsidRPr="00CE0AD8">
          <w:rPr>
            <w:rStyle w:val="Hyperlink"/>
            <w:bCs/>
          </w:rPr>
          <w:t>CM/Del/Dec(2021)1419/H46-34</w:t>
        </w:r>
      </w:hyperlink>
      <w:r w:rsidRPr="00CE0AD8">
        <w:rPr>
          <w:bCs/>
        </w:rPr>
        <w:t>.</w:t>
      </w:r>
    </w:p>
  </w:footnote>
  <w:footnote w:id="24">
    <w:p w14:paraId="2F0F9546" w14:textId="77777777" w:rsidR="003A1C3B" w:rsidRPr="002E3C38" w:rsidRDefault="003A1C3B" w:rsidP="003A1C3B">
      <w:pPr>
        <w:pStyle w:val="FootnoteText"/>
      </w:pPr>
      <w:r>
        <w:rPr>
          <w:rStyle w:val="FootnoteReference"/>
        </w:rPr>
        <w:footnoteRef/>
      </w:r>
      <w:r>
        <w:t xml:space="preserve"> See the action report submitted by the authorities of the Russian Federation on 19 October 2021 </w:t>
      </w:r>
      <w:r w:rsidRPr="002E3C38">
        <w:t>(</w:t>
      </w:r>
      <w:hyperlink r:id="rId28" w:anchor="{%22fulltext%22:[%22\%22well-established%20practice\%22%22],%22display%22:[2],%22EXECIdentifier%22:[%22DH-DD(2021)1076E%22],%22EXECDocumentTypeCollection%22:[%22CEC%22,%22CMDEC%22,%22CMINF%22,%22CMNOT%22,%22res%22]}" w:tgtFrame="_blank" w:history="1">
        <w:r w:rsidRPr="002E3C38">
          <w:rPr>
            <w:rStyle w:val="Hyperlink"/>
          </w:rPr>
          <w:t>DH-DD(2021)1076</w:t>
        </w:r>
      </w:hyperlink>
      <w:r w:rsidRPr="002E3C38">
        <w:t>).</w:t>
      </w:r>
    </w:p>
  </w:footnote>
  <w:footnote w:id="25">
    <w:p w14:paraId="03DE761A" w14:textId="77777777" w:rsidR="003A1C3B" w:rsidRPr="006B1904" w:rsidRDefault="003A1C3B" w:rsidP="003A1C3B">
      <w:pPr>
        <w:pStyle w:val="FootnoteText"/>
      </w:pPr>
      <w:r>
        <w:rPr>
          <w:rStyle w:val="FootnoteReference"/>
        </w:rPr>
        <w:footnoteRef/>
      </w:r>
      <w:r w:rsidRPr="0055526A">
        <w:t xml:space="preserve"> </w:t>
      </w:r>
      <w:bookmarkStart w:id="1" w:name="_Hlk95299558"/>
      <w:proofErr w:type="spellStart"/>
      <w:r w:rsidRPr="0055526A">
        <w:rPr>
          <w:i/>
          <w:iCs/>
        </w:rPr>
        <w:t>Bochan</w:t>
      </w:r>
      <w:proofErr w:type="spellEnd"/>
      <w:r w:rsidRPr="0055526A">
        <w:rPr>
          <w:i/>
          <w:iCs/>
        </w:rPr>
        <w:t xml:space="preserve"> v. Ukraine</w:t>
      </w:r>
      <w:r>
        <w:rPr>
          <w:i/>
          <w:iCs/>
        </w:rPr>
        <w:t xml:space="preserve"> (No.1)</w:t>
      </w:r>
      <w:r w:rsidRPr="0055526A">
        <w:rPr>
          <w:i/>
          <w:iCs/>
        </w:rPr>
        <w:t xml:space="preserve">, </w:t>
      </w:r>
      <w:r w:rsidRPr="0055526A">
        <w:t>No.</w:t>
      </w:r>
      <w:r w:rsidRPr="0055526A">
        <w:rPr>
          <w:rFonts w:cs="Arial"/>
          <w:color w:val="000000"/>
          <w:sz w:val="17"/>
          <w:szCs w:val="17"/>
          <w:shd w:val="clear" w:color="auto" w:fill="FFFFFF"/>
        </w:rPr>
        <w:t xml:space="preserve"> </w:t>
      </w:r>
      <w:r w:rsidRPr="0055526A">
        <w:t>7577/02</w:t>
      </w:r>
      <w:r>
        <w:t>, final judgment of 3 August 2008</w:t>
      </w:r>
      <w:r w:rsidRPr="0055526A">
        <w:rPr>
          <w:i/>
          <w:iCs/>
        </w:rPr>
        <w:t xml:space="preserve"> </w:t>
      </w:r>
      <w:r>
        <w:t>and</w:t>
      </w:r>
      <w:r w:rsidRPr="0055526A">
        <w:rPr>
          <w:i/>
          <w:iCs/>
        </w:rPr>
        <w:t xml:space="preserve"> </w:t>
      </w:r>
      <w:proofErr w:type="spellStart"/>
      <w:r w:rsidRPr="0055526A">
        <w:rPr>
          <w:i/>
          <w:iCs/>
        </w:rPr>
        <w:t>Bochan</w:t>
      </w:r>
      <w:proofErr w:type="spellEnd"/>
      <w:r w:rsidRPr="0055526A">
        <w:rPr>
          <w:i/>
          <w:iCs/>
        </w:rPr>
        <w:t xml:space="preserve"> v. Ukraine (No.2)</w:t>
      </w:r>
      <w:r w:rsidRPr="0055526A">
        <w:t>, No. 22251/08</w:t>
      </w:r>
      <w:bookmarkEnd w:id="1"/>
      <w:r>
        <w:t>,</w:t>
      </w:r>
      <w:r w:rsidRPr="0045238E">
        <w:t xml:space="preserve"> </w:t>
      </w:r>
      <w:r>
        <w:t xml:space="preserve">judgment of </w:t>
      </w:r>
      <w:r w:rsidRPr="008D4EB8">
        <w:t>5</w:t>
      </w:r>
      <w:r>
        <w:t xml:space="preserve"> February 2015 (GC)</w:t>
      </w:r>
      <w:r w:rsidRPr="0055526A">
        <w:t xml:space="preserve">. </w:t>
      </w:r>
    </w:p>
  </w:footnote>
  <w:footnote w:id="26">
    <w:p w14:paraId="0865647E" w14:textId="77777777" w:rsidR="003A1C3B" w:rsidRPr="007F4C0D" w:rsidRDefault="003A1C3B" w:rsidP="003A1C3B">
      <w:pPr>
        <w:pStyle w:val="FootnoteText"/>
      </w:pPr>
      <w:r>
        <w:rPr>
          <w:rStyle w:val="FootnoteReference"/>
        </w:rPr>
        <w:footnoteRef/>
      </w:r>
      <w:r>
        <w:t xml:space="preserve"> The same approach had been previously followed by the Committee in respect of the two </w:t>
      </w:r>
      <w:r w:rsidRPr="003103F8">
        <w:rPr>
          <w:i/>
          <w:iCs/>
        </w:rPr>
        <w:t>Emre</w:t>
      </w:r>
      <w:r>
        <w:t xml:space="preserve"> cases against Switzerland: </w:t>
      </w:r>
      <w:r w:rsidRPr="007F4C0D">
        <w:rPr>
          <w:i/>
          <w:iCs/>
        </w:rPr>
        <w:t>Emre v. Switzerland</w:t>
      </w:r>
      <w:r>
        <w:rPr>
          <w:i/>
          <w:iCs/>
        </w:rPr>
        <w:t xml:space="preserve"> (No.1), </w:t>
      </w:r>
      <w:r>
        <w:t xml:space="preserve">No. </w:t>
      </w:r>
      <w:r w:rsidRPr="007F4C0D">
        <w:t>42034/04</w:t>
      </w:r>
      <w:r>
        <w:t xml:space="preserve">, final judgment of 22 August 2008 and </w:t>
      </w:r>
      <w:r w:rsidRPr="007F4C0D">
        <w:rPr>
          <w:i/>
          <w:iCs/>
        </w:rPr>
        <w:t>Emre v. Switzerland</w:t>
      </w:r>
      <w:r>
        <w:t xml:space="preserve"> </w:t>
      </w:r>
      <w:r w:rsidRPr="007F4C0D">
        <w:rPr>
          <w:i/>
          <w:iCs/>
        </w:rPr>
        <w:t xml:space="preserve">(No. 2), </w:t>
      </w:r>
      <w:r w:rsidRPr="007F4C0D">
        <w:t>No</w:t>
      </w:r>
      <w:r w:rsidRPr="007F4C0D">
        <w:rPr>
          <w:i/>
          <w:iCs/>
        </w:rPr>
        <w:t>.</w:t>
      </w:r>
      <w:r w:rsidRPr="007F4C0D">
        <w:t> </w:t>
      </w:r>
      <w:hyperlink r:id="rId29" w:anchor="{%22appno%22:[%225056/10%22]}" w:tgtFrame="_blank" w:history="1">
        <w:r w:rsidRPr="007F4C0D">
          <w:rPr>
            <w:rStyle w:val="Hyperlink"/>
          </w:rPr>
          <w:t>5056/10</w:t>
        </w:r>
      </w:hyperlink>
      <w:r w:rsidRPr="007F4C0D">
        <w:t>, final judgment of 11 January 2012.</w:t>
      </w:r>
    </w:p>
  </w:footnote>
  <w:footnote w:id="27">
    <w:p w14:paraId="34CCED39" w14:textId="77777777" w:rsidR="003A1C3B" w:rsidRPr="00C80EC4" w:rsidRDefault="003A1C3B" w:rsidP="003A1C3B">
      <w:pPr>
        <w:pStyle w:val="FootnoteText"/>
      </w:pPr>
      <w:r>
        <w:rPr>
          <w:rStyle w:val="FootnoteReference"/>
        </w:rPr>
        <w:footnoteRef/>
      </w:r>
      <w:r w:rsidRPr="00C80EC4">
        <w:t xml:space="preserve"> </w:t>
      </w:r>
      <w:r w:rsidRPr="008E5023">
        <w:t xml:space="preserve">This development contributed to the Committee’s decision to transfer the </w:t>
      </w:r>
      <w:proofErr w:type="spellStart"/>
      <w:r w:rsidRPr="008E5023">
        <w:rPr>
          <w:i/>
          <w:iCs/>
        </w:rPr>
        <w:t>Bochan</w:t>
      </w:r>
      <w:proofErr w:type="spellEnd"/>
      <w:r w:rsidRPr="008E5023">
        <w:t xml:space="preserve"> </w:t>
      </w:r>
      <w:r w:rsidRPr="008E5023">
        <w:rPr>
          <w:i/>
          <w:iCs/>
        </w:rPr>
        <w:t>(No. 2)</w:t>
      </w:r>
      <w:r w:rsidRPr="008E5023">
        <w:t xml:space="preserve"> group of cases to the standard supervision procedure in March 2020 and to close the case of </w:t>
      </w:r>
      <w:proofErr w:type="spellStart"/>
      <w:r w:rsidRPr="008E5023">
        <w:rPr>
          <w:i/>
          <w:iCs/>
        </w:rPr>
        <w:t>Bochan</w:t>
      </w:r>
      <w:proofErr w:type="spellEnd"/>
      <w:r w:rsidRPr="008E5023">
        <w:rPr>
          <w:i/>
          <w:iCs/>
        </w:rPr>
        <w:t xml:space="preserve"> (No.1) </w:t>
      </w:r>
      <w:r w:rsidRPr="008E5023">
        <w:t>in September 2020</w:t>
      </w:r>
      <w:r>
        <w:t xml:space="preserve">. </w:t>
      </w:r>
      <w:r w:rsidRPr="00C80EC4">
        <w:t xml:space="preserve">See </w:t>
      </w:r>
      <w:hyperlink r:id="rId30" w:tgtFrame="_blank" w:history="1">
        <w:r w:rsidRPr="00C80EC4">
          <w:rPr>
            <w:rStyle w:val="Hyperlink"/>
          </w:rPr>
          <w:t>CM/Del/Dec(2020)1369/H46-35</w:t>
        </w:r>
      </w:hyperlink>
      <w:r w:rsidRPr="00C80EC4">
        <w:t xml:space="preserve"> an</w:t>
      </w:r>
      <w:r>
        <w:t xml:space="preserve">d </w:t>
      </w:r>
      <w:hyperlink r:id="rId31" w:anchor="{%22display%22:[2],%22EXECIdentifier%22:[%22001-204889%22],%22EXECDocumentTypeCollection%22:[%22CEC%22],%22EXECTitle%22:[%22bochan%22]}" w:history="1">
        <w:r w:rsidRPr="00C80EC4">
          <w:rPr>
            <w:rStyle w:val="Hyperlink"/>
          </w:rPr>
          <w:t>CM/</w:t>
        </w:r>
        <w:proofErr w:type="spellStart"/>
        <w:r w:rsidRPr="00C80EC4">
          <w:rPr>
            <w:rStyle w:val="Hyperlink"/>
          </w:rPr>
          <w:t>ResDH</w:t>
        </w:r>
        <w:proofErr w:type="spellEnd"/>
        <w:r w:rsidRPr="00C80EC4">
          <w:rPr>
            <w:rStyle w:val="Hyperlink"/>
          </w:rPr>
          <w:t>(2020)176</w:t>
        </w:r>
      </w:hyperlink>
      <w:r w:rsidRPr="00C80E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513E" w14:textId="68222426" w:rsidR="00E24C57" w:rsidRPr="00E54322" w:rsidRDefault="003A1C3B" w:rsidP="00E54322">
    <w:pPr>
      <w:pStyle w:val="Header"/>
    </w:pPr>
    <w:r w:rsidRPr="00E54322">
      <w:t>CM</w:t>
    </w:r>
    <w:r>
      <w:t>/Inf/</w:t>
    </w:r>
    <w:proofErr w:type="gramStart"/>
    <w:r>
      <w:t>DH</w:t>
    </w:r>
    <w:r w:rsidRPr="00E54322">
      <w:t>(</w:t>
    </w:r>
    <w:proofErr w:type="gramEnd"/>
    <w:r>
      <w:t>2022)9</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B3D5" w14:textId="7D36E3ED"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2660DB" w:rsidRPr="00E54322">
      <w:t>CM</w:t>
    </w:r>
    <w:r w:rsidR="00E33150">
      <w:t>/Inf</w:t>
    </w:r>
    <w:r w:rsidR="003A1C3B">
      <w:t>/</w:t>
    </w:r>
    <w:proofErr w:type="gramStart"/>
    <w:r w:rsidR="003A1C3B">
      <w:t>DH</w:t>
    </w:r>
    <w:r w:rsidR="002660DB" w:rsidRPr="00E54322">
      <w:t>(</w:t>
    </w:r>
    <w:proofErr w:type="gramEnd"/>
    <w:r w:rsidR="006D745B">
      <w:t>2022</w:t>
    </w:r>
    <w:r w:rsidR="00E33150">
      <w:t>)</w:t>
    </w:r>
    <w:r w:rsidR="003A1C3B">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4C25"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84DB636" wp14:editId="2853E01A">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A17"/>
    <w:multiLevelType w:val="hybridMultilevel"/>
    <w:tmpl w:val="C700EA1C"/>
    <w:lvl w:ilvl="0" w:tplc="33E081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332FC"/>
    <w:multiLevelType w:val="hybridMultilevel"/>
    <w:tmpl w:val="C6E6FF2C"/>
    <w:lvl w:ilvl="0" w:tplc="9056D1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CBE77AB"/>
    <w:multiLevelType w:val="hybridMultilevel"/>
    <w:tmpl w:val="67DAA50E"/>
    <w:lvl w:ilvl="0" w:tplc="34F2A0E2">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B576E1"/>
    <w:multiLevelType w:val="hybridMultilevel"/>
    <w:tmpl w:val="47364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1B4C91"/>
    <w:multiLevelType w:val="hybridMultilevel"/>
    <w:tmpl w:val="2422921C"/>
    <w:lvl w:ilvl="0" w:tplc="60EA61F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B15AF"/>
    <w:multiLevelType w:val="hybridMultilevel"/>
    <w:tmpl w:val="90B61580"/>
    <w:lvl w:ilvl="0" w:tplc="54E42804">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00353C"/>
    <w:multiLevelType w:val="hybridMultilevel"/>
    <w:tmpl w:val="5568EB06"/>
    <w:lvl w:ilvl="0" w:tplc="14DC88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7F205F"/>
    <w:multiLevelType w:val="hybridMultilevel"/>
    <w:tmpl w:val="CE7CF69C"/>
    <w:lvl w:ilvl="0" w:tplc="60EA61F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515112"/>
    <w:multiLevelType w:val="hybridMultilevel"/>
    <w:tmpl w:val="50AC6A20"/>
    <w:lvl w:ilvl="0" w:tplc="3FC840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0E21DF"/>
    <w:multiLevelType w:val="hybridMultilevel"/>
    <w:tmpl w:val="38382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F7274AC"/>
    <w:multiLevelType w:val="hybridMultilevel"/>
    <w:tmpl w:val="95B60330"/>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3" w15:restartNumberingAfterBreak="0">
    <w:nsid w:val="61500335"/>
    <w:multiLevelType w:val="hybridMultilevel"/>
    <w:tmpl w:val="F282FD80"/>
    <w:lvl w:ilvl="0" w:tplc="34C61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F66CD"/>
    <w:multiLevelType w:val="hybridMultilevel"/>
    <w:tmpl w:val="32DA5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1"/>
  </w:num>
  <w:num w:numId="2">
    <w:abstractNumId w:val="5"/>
  </w:num>
  <w:num w:numId="3">
    <w:abstractNumId w:val="14"/>
  </w:num>
  <w:num w:numId="4">
    <w:abstractNumId w:val="12"/>
  </w:num>
  <w:num w:numId="5">
    <w:abstractNumId w:val="4"/>
  </w:num>
  <w:num w:numId="6">
    <w:abstractNumId w:val="15"/>
  </w:num>
  <w:num w:numId="7">
    <w:abstractNumId w:val="2"/>
  </w:num>
  <w:num w:numId="8">
    <w:abstractNumId w:val="3"/>
  </w:num>
  <w:num w:numId="9">
    <w:abstractNumId w:val="13"/>
  </w:num>
  <w:num w:numId="10">
    <w:abstractNumId w:val="9"/>
  </w:num>
  <w:num w:numId="11">
    <w:abstractNumId w:val="6"/>
  </w:num>
  <w:num w:numId="12">
    <w:abstractNumId w:val="10"/>
  </w:num>
  <w:num w:numId="13">
    <w:abstractNumId w:val="1"/>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11"/>
    <w:rsid w:val="0001238D"/>
    <w:rsid w:val="00035FDF"/>
    <w:rsid w:val="00070800"/>
    <w:rsid w:val="00071EA7"/>
    <w:rsid w:val="00072CBD"/>
    <w:rsid w:val="00082CEE"/>
    <w:rsid w:val="000A307B"/>
    <w:rsid w:val="000C52A6"/>
    <w:rsid w:val="000E50A4"/>
    <w:rsid w:val="000F0031"/>
    <w:rsid w:val="000F4CF2"/>
    <w:rsid w:val="000F58C3"/>
    <w:rsid w:val="000F5ADA"/>
    <w:rsid w:val="00106141"/>
    <w:rsid w:val="00110729"/>
    <w:rsid w:val="00110F11"/>
    <w:rsid w:val="00113EB0"/>
    <w:rsid w:val="00123CDD"/>
    <w:rsid w:val="00134D9A"/>
    <w:rsid w:val="00135BDB"/>
    <w:rsid w:val="00136053"/>
    <w:rsid w:val="00140FC8"/>
    <w:rsid w:val="0014266D"/>
    <w:rsid w:val="00147EF4"/>
    <w:rsid w:val="00153BB3"/>
    <w:rsid w:val="00156DC1"/>
    <w:rsid w:val="00160B03"/>
    <w:rsid w:val="00171115"/>
    <w:rsid w:val="00181ED9"/>
    <w:rsid w:val="001A6076"/>
    <w:rsid w:val="001B7E0B"/>
    <w:rsid w:val="001C2CE9"/>
    <w:rsid w:val="001E7C29"/>
    <w:rsid w:val="001F297D"/>
    <w:rsid w:val="001F4F04"/>
    <w:rsid w:val="00214299"/>
    <w:rsid w:val="002250DD"/>
    <w:rsid w:val="0023437D"/>
    <w:rsid w:val="00242ABB"/>
    <w:rsid w:val="00251353"/>
    <w:rsid w:val="00262B36"/>
    <w:rsid w:val="00265917"/>
    <w:rsid w:val="002660DB"/>
    <w:rsid w:val="002746C8"/>
    <w:rsid w:val="002861FB"/>
    <w:rsid w:val="00293EE6"/>
    <w:rsid w:val="002C0872"/>
    <w:rsid w:val="002C20BA"/>
    <w:rsid w:val="002C43B5"/>
    <w:rsid w:val="002C4704"/>
    <w:rsid w:val="002D0655"/>
    <w:rsid w:val="002D11B8"/>
    <w:rsid w:val="002E4089"/>
    <w:rsid w:val="002F3006"/>
    <w:rsid w:val="002F405C"/>
    <w:rsid w:val="002F6BB7"/>
    <w:rsid w:val="00303712"/>
    <w:rsid w:val="00330400"/>
    <w:rsid w:val="003354C4"/>
    <w:rsid w:val="00335CAF"/>
    <w:rsid w:val="003364D1"/>
    <w:rsid w:val="0037200F"/>
    <w:rsid w:val="00373957"/>
    <w:rsid w:val="00381C50"/>
    <w:rsid w:val="00385587"/>
    <w:rsid w:val="00392D1D"/>
    <w:rsid w:val="003A1C3B"/>
    <w:rsid w:val="003A5509"/>
    <w:rsid w:val="003B2C8C"/>
    <w:rsid w:val="003B345B"/>
    <w:rsid w:val="003C45C2"/>
    <w:rsid w:val="003D3B17"/>
    <w:rsid w:val="003D48AE"/>
    <w:rsid w:val="003D6AC2"/>
    <w:rsid w:val="003E3CC9"/>
    <w:rsid w:val="003F3D4B"/>
    <w:rsid w:val="0040027C"/>
    <w:rsid w:val="00400868"/>
    <w:rsid w:val="004120CB"/>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6B50"/>
    <w:rsid w:val="005D7CDF"/>
    <w:rsid w:val="005E1665"/>
    <w:rsid w:val="005F093B"/>
    <w:rsid w:val="005F3DC6"/>
    <w:rsid w:val="00614982"/>
    <w:rsid w:val="00631491"/>
    <w:rsid w:val="00643231"/>
    <w:rsid w:val="00643C3F"/>
    <w:rsid w:val="00644AD3"/>
    <w:rsid w:val="006455FA"/>
    <w:rsid w:val="00656F01"/>
    <w:rsid w:val="00660638"/>
    <w:rsid w:val="00671684"/>
    <w:rsid w:val="00671EA2"/>
    <w:rsid w:val="006774CB"/>
    <w:rsid w:val="006827E4"/>
    <w:rsid w:val="006908C5"/>
    <w:rsid w:val="006D745B"/>
    <w:rsid w:val="006E6FA7"/>
    <w:rsid w:val="006F0318"/>
    <w:rsid w:val="006F6B48"/>
    <w:rsid w:val="00712E65"/>
    <w:rsid w:val="007150DE"/>
    <w:rsid w:val="00721866"/>
    <w:rsid w:val="00735569"/>
    <w:rsid w:val="007541C7"/>
    <w:rsid w:val="00761627"/>
    <w:rsid w:val="00773CFE"/>
    <w:rsid w:val="007764DE"/>
    <w:rsid w:val="00780B1B"/>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D1088"/>
    <w:rsid w:val="00916BF5"/>
    <w:rsid w:val="009215B8"/>
    <w:rsid w:val="00923554"/>
    <w:rsid w:val="009270C4"/>
    <w:rsid w:val="00934DCB"/>
    <w:rsid w:val="00940F14"/>
    <w:rsid w:val="009432D0"/>
    <w:rsid w:val="0094550C"/>
    <w:rsid w:val="00950D67"/>
    <w:rsid w:val="009527D7"/>
    <w:rsid w:val="00955512"/>
    <w:rsid w:val="00963962"/>
    <w:rsid w:val="00974C41"/>
    <w:rsid w:val="009B3AB7"/>
    <w:rsid w:val="009C5258"/>
    <w:rsid w:val="009D28F3"/>
    <w:rsid w:val="00A12DEC"/>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41B03"/>
    <w:rsid w:val="00B41EC3"/>
    <w:rsid w:val="00B63F08"/>
    <w:rsid w:val="00B81BAC"/>
    <w:rsid w:val="00B849E0"/>
    <w:rsid w:val="00B90246"/>
    <w:rsid w:val="00B920E4"/>
    <w:rsid w:val="00BA79A3"/>
    <w:rsid w:val="00BB7DCE"/>
    <w:rsid w:val="00BD25C0"/>
    <w:rsid w:val="00BF78B3"/>
    <w:rsid w:val="00C049EE"/>
    <w:rsid w:val="00C109FD"/>
    <w:rsid w:val="00C14C2C"/>
    <w:rsid w:val="00C409C2"/>
    <w:rsid w:val="00C74E6F"/>
    <w:rsid w:val="00C8348A"/>
    <w:rsid w:val="00C92F89"/>
    <w:rsid w:val="00CC39DC"/>
    <w:rsid w:val="00CE1FF8"/>
    <w:rsid w:val="00CE4890"/>
    <w:rsid w:val="00CE6FD2"/>
    <w:rsid w:val="00CF5AF3"/>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33150"/>
    <w:rsid w:val="00E457C3"/>
    <w:rsid w:val="00E475F9"/>
    <w:rsid w:val="00E50974"/>
    <w:rsid w:val="00E54322"/>
    <w:rsid w:val="00E86611"/>
    <w:rsid w:val="00E940BF"/>
    <w:rsid w:val="00EA643A"/>
    <w:rsid w:val="00EE19DA"/>
    <w:rsid w:val="00EE34E3"/>
    <w:rsid w:val="00F01885"/>
    <w:rsid w:val="00F168A4"/>
    <w:rsid w:val="00F2380B"/>
    <w:rsid w:val="00F24713"/>
    <w:rsid w:val="00F40699"/>
    <w:rsid w:val="00F433D6"/>
    <w:rsid w:val="00F52321"/>
    <w:rsid w:val="00F61D34"/>
    <w:rsid w:val="00F76BBD"/>
    <w:rsid w:val="00F96689"/>
    <w:rsid w:val="00FD6043"/>
    <w:rsid w:val="00FE16E3"/>
    <w:rsid w:val="00FF2641"/>
    <w:rsid w:val="00FF3BAB"/>
    <w:rsid w:val="00FF4880"/>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48E4C8"/>
  <w15:docId w15:val="{B6D8F556-1AB6-4069-BB85-F345CB57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autoRedefine/>
    <w:qFormat/>
    <w:rsid w:val="003A1C3B"/>
    <w:pPr>
      <w:keepNext/>
      <w:spacing w:before="240" w:after="60"/>
      <w:ind w:left="720"/>
      <w:outlineLvl w:val="0"/>
    </w:pPr>
    <w:rPr>
      <w:rFonts w:eastAsia="Times New Roman" w:cs="Arial"/>
      <w:bCs/>
      <w:kern w:val="32"/>
      <w:sz w:val="24"/>
      <w:szCs w:val="32"/>
      <w:lang w:eastAsia="fr-FR"/>
    </w:rPr>
  </w:style>
  <w:style w:type="paragraph" w:styleId="Heading2">
    <w:name w:val="heading 2"/>
    <w:basedOn w:val="Normal"/>
    <w:next w:val="Normal"/>
    <w:link w:val="Heading2Char"/>
    <w:autoRedefine/>
    <w:qFormat/>
    <w:rsid w:val="003A1C3B"/>
    <w:pPr>
      <w:keepNext/>
      <w:spacing w:before="240" w:after="60"/>
      <w:ind w:left="720"/>
      <w:outlineLvl w:val="1"/>
    </w:pPr>
    <w:rPr>
      <w:rFonts w:eastAsia="Times New Roman" w:cs="Arial"/>
      <w:b/>
      <w:bCs/>
      <w:iCs/>
      <w:sz w:val="22"/>
      <w:szCs w:val="28"/>
      <w:lang w:eastAsia="fr-FR"/>
    </w:rPr>
  </w:style>
  <w:style w:type="paragraph" w:styleId="Heading3">
    <w:name w:val="heading 3"/>
    <w:basedOn w:val="Normal"/>
    <w:next w:val="Normal"/>
    <w:link w:val="Heading3Char"/>
    <w:qFormat/>
    <w:rsid w:val="003A1C3B"/>
    <w:pPr>
      <w:keepNext/>
      <w:spacing w:before="240" w:after="60"/>
      <w:outlineLvl w:val="2"/>
    </w:pPr>
    <w:rPr>
      <w:rFonts w:eastAsia="Times New Roman" w:cs="Arial"/>
      <w:b/>
      <w:bCs/>
      <w:sz w:val="26"/>
      <w:szCs w:val="26"/>
      <w:lang w:eastAsia="fr-FR"/>
    </w:rPr>
  </w:style>
  <w:style w:type="paragraph" w:styleId="Heading4">
    <w:name w:val="heading 4"/>
    <w:basedOn w:val="Normal"/>
    <w:next w:val="Normal"/>
    <w:link w:val="Heading4Char"/>
    <w:qFormat/>
    <w:rsid w:val="003A1C3B"/>
    <w:pPr>
      <w:keepNext/>
      <w:numPr>
        <w:ilvl w:val="3"/>
        <w:numId w:val="6"/>
      </w:numPr>
      <w:spacing w:before="240" w:after="60"/>
      <w:outlineLvl w:val="3"/>
    </w:pPr>
    <w:rPr>
      <w:rFonts w:ascii="Times New Roman" w:eastAsia="Times New Roman" w:hAnsi="Times New Roman"/>
      <w:b/>
      <w:bCs/>
      <w:sz w:val="28"/>
      <w:szCs w:val="28"/>
      <w:lang w:eastAsia="fr-FR"/>
    </w:rPr>
  </w:style>
  <w:style w:type="paragraph" w:styleId="Heading5">
    <w:name w:val="heading 5"/>
    <w:basedOn w:val="Normal"/>
    <w:link w:val="Heading5Char"/>
    <w:qFormat/>
    <w:rsid w:val="003A1C3B"/>
    <w:pPr>
      <w:numPr>
        <w:ilvl w:val="4"/>
        <w:numId w:val="6"/>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3A1C3B"/>
    <w:pPr>
      <w:numPr>
        <w:ilvl w:val="5"/>
        <w:numId w:val="6"/>
      </w:numPr>
      <w:spacing w:before="240" w:after="60"/>
      <w:outlineLvl w:val="5"/>
    </w:pPr>
    <w:rPr>
      <w:rFonts w:ascii="Times New Roman" w:eastAsia="Times New Roman" w:hAnsi="Times New Roman"/>
      <w:b/>
      <w:bCs/>
      <w:sz w:val="22"/>
      <w:lang w:eastAsia="fr-FR"/>
    </w:rPr>
  </w:style>
  <w:style w:type="paragraph" w:styleId="Heading7">
    <w:name w:val="heading 7"/>
    <w:basedOn w:val="Normal"/>
    <w:next w:val="Normal"/>
    <w:link w:val="Heading7Char"/>
    <w:qFormat/>
    <w:rsid w:val="003A1C3B"/>
    <w:pPr>
      <w:numPr>
        <w:ilvl w:val="6"/>
        <w:numId w:val="6"/>
      </w:numPr>
      <w:spacing w:before="240" w:after="60"/>
      <w:outlineLvl w:val="6"/>
    </w:pPr>
    <w:rPr>
      <w:rFonts w:ascii="Times New Roman" w:eastAsia="Times New Roman" w:hAnsi="Times New Roman"/>
      <w:sz w:val="24"/>
      <w:szCs w:val="24"/>
      <w:lang w:eastAsia="fr-FR"/>
    </w:rPr>
  </w:style>
  <w:style w:type="paragraph" w:styleId="Heading8">
    <w:name w:val="heading 8"/>
    <w:basedOn w:val="Normal"/>
    <w:next w:val="Normal"/>
    <w:link w:val="Heading8Char"/>
    <w:qFormat/>
    <w:rsid w:val="003A1C3B"/>
    <w:pPr>
      <w:numPr>
        <w:ilvl w:val="7"/>
        <w:numId w:val="6"/>
      </w:numPr>
      <w:spacing w:before="240" w:after="60"/>
      <w:outlineLvl w:val="7"/>
    </w:pPr>
    <w:rPr>
      <w:rFonts w:ascii="Times New Roman" w:eastAsia="Times New Roman" w:hAnsi="Times New Roman"/>
      <w:i/>
      <w:iCs/>
      <w:sz w:val="24"/>
      <w:szCs w:val="24"/>
      <w:lang w:eastAsia="fr-FR"/>
    </w:rPr>
  </w:style>
  <w:style w:type="paragraph" w:styleId="Heading9">
    <w:name w:val="heading 9"/>
    <w:basedOn w:val="Normal"/>
    <w:next w:val="Normal"/>
    <w:link w:val="Heading9Char"/>
    <w:qFormat/>
    <w:rsid w:val="003A1C3B"/>
    <w:pPr>
      <w:numPr>
        <w:ilvl w:val="8"/>
        <w:numId w:val="6"/>
      </w:numPr>
      <w:spacing w:before="240" w:after="60"/>
      <w:outlineLvl w:val="8"/>
    </w:pPr>
    <w:rPr>
      <w:rFonts w:eastAsia="Times New Roman" w:cs="Arial"/>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 Text Char2,Footnote Text Char3 Char,Footnote Text Char Char Char2,Footnote Text Char2 Char Char Char2,Footnote Text Char1 Char2 Char Char Char,Footnote Text Char Char Char Char2 Char Char,Footnote Text Char3,Footnote Text Char1,fn"/>
    <w:basedOn w:val="Normal"/>
    <w:link w:val="FootnoteTextChar"/>
    <w:unhideWhenUsed/>
    <w:qFormat/>
    <w:rsid w:val="009C5258"/>
    <w:rPr>
      <w:sz w:val="16"/>
      <w:szCs w:val="20"/>
    </w:rPr>
  </w:style>
  <w:style w:type="character" w:customStyle="1" w:styleId="FootnoteTextChar">
    <w:name w:val="Footnote Text Char"/>
    <w:aliases w:val="Footnote Text Char2 Char,Footnote Text Char3 Char Char,Footnote Text Char Char Char2 Char,Footnote Text Char2 Char Char Char2 Char,Footnote Text Char1 Char2 Char Char Char Char,Footnote Text Char Char Char Char2 Char Char Char,fn Char"/>
    <w:link w:val="FootnoteText"/>
    <w:rsid w:val="009C5258"/>
    <w:rPr>
      <w:rFonts w:ascii="Arial" w:hAnsi="Arial"/>
      <w:sz w:val="16"/>
      <w:lang w:val="fr-FR" w:eastAsia="en-US"/>
    </w:rPr>
  </w:style>
  <w:style w:type="character" w:styleId="FootnoteReference">
    <w:name w:val="footnote reference"/>
    <w:aliases w:val="Footnotes refss,callout,a Footnote Reference,FZ,Texto de nota al pie,Appel note de bas de page,BVI fnr,16 Point,Superscript 6 Point,nota pié di pagina,ftref,Footnote Refernece,BVI fnr Char Char Char Char Char,Footnote number,4_G"/>
    <w:link w:val="Appelnotedebasdep"/>
    <w:uiPriority w:val="99"/>
    <w:unhideWhenUsed/>
    <w:qFormat/>
    <w:rsid w:val="00853C90"/>
    <w:rPr>
      <w:vertAlign w:val="superscript"/>
    </w:rPr>
  </w:style>
  <w:style w:type="character" w:styleId="UnresolvedMention">
    <w:name w:val="Unresolved Mention"/>
    <w:basedOn w:val="DefaultParagraphFont"/>
    <w:uiPriority w:val="99"/>
    <w:semiHidden/>
    <w:unhideWhenUsed/>
    <w:rsid w:val="00110F11"/>
    <w:rPr>
      <w:color w:val="605E5C"/>
      <w:shd w:val="clear" w:color="auto" w:fill="E1DFDD"/>
    </w:rPr>
  </w:style>
  <w:style w:type="paragraph" w:styleId="ListParagraph">
    <w:name w:val="List Paragraph"/>
    <w:basedOn w:val="Normal"/>
    <w:uiPriority w:val="34"/>
    <w:qFormat/>
    <w:rsid w:val="00110F11"/>
    <w:pPr>
      <w:ind w:left="720"/>
      <w:contextualSpacing/>
    </w:pPr>
  </w:style>
  <w:style w:type="character" w:customStyle="1" w:styleId="Heading1Char">
    <w:name w:val="Heading 1 Char"/>
    <w:basedOn w:val="DefaultParagraphFont"/>
    <w:link w:val="Heading1"/>
    <w:rsid w:val="003A1C3B"/>
    <w:rPr>
      <w:rFonts w:ascii="Arial" w:eastAsia="Times New Roman" w:hAnsi="Arial" w:cs="Arial"/>
      <w:bCs/>
      <w:kern w:val="32"/>
      <w:sz w:val="24"/>
      <w:szCs w:val="32"/>
      <w:lang w:eastAsia="fr-FR"/>
    </w:rPr>
  </w:style>
  <w:style w:type="character" w:customStyle="1" w:styleId="Heading2Char">
    <w:name w:val="Heading 2 Char"/>
    <w:basedOn w:val="DefaultParagraphFont"/>
    <w:link w:val="Heading2"/>
    <w:rsid w:val="003A1C3B"/>
    <w:rPr>
      <w:rFonts w:ascii="Arial" w:eastAsia="Times New Roman" w:hAnsi="Arial" w:cs="Arial"/>
      <w:b/>
      <w:bCs/>
      <w:iCs/>
      <w:sz w:val="22"/>
      <w:szCs w:val="28"/>
      <w:lang w:eastAsia="fr-FR"/>
    </w:rPr>
  </w:style>
  <w:style w:type="character" w:customStyle="1" w:styleId="Heading3Char">
    <w:name w:val="Heading 3 Char"/>
    <w:basedOn w:val="DefaultParagraphFont"/>
    <w:link w:val="Heading3"/>
    <w:rsid w:val="003A1C3B"/>
    <w:rPr>
      <w:rFonts w:ascii="Arial" w:eastAsia="Times New Roman" w:hAnsi="Arial" w:cs="Arial"/>
      <w:b/>
      <w:bCs/>
      <w:sz w:val="26"/>
      <w:szCs w:val="26"/>
      <w:lang w:eastAsia="fr-FR"/>
    </w:rPr>
  </w:style>
  <w:style w:type="character" w:customStyle="1" w:styleId="Heading4Char">
    <w:name w:val="Heading 4 Char"/>
    <w:basedOn w:val="DefaultParagraphFont"/>
    <w:link w:val="Heading4"/>
    <w:rsid w:val="003A1C3B"/>
    <w:rPr>
      <w:rFonts w:ascii="Times New Roman" w:eastAsia="Times New Roman" w:hAnsi="Times New Roman"/>
      <w:b/>
      <w:bCs/>
      <w:sz w:val="28"/>
      <w:szCs w:val="28"/>
      <w:lang w:eastAsia="fr-FR"/>
    </w:rPr>
  </w:style>
  <w:style w:type="character" w:customStyle="1" w:styleId="Heading5Char">
    <w:name w:val="Heading 5 Char"/>
    <w:basedOn w:val="DefaultParagraphFont"/>
    <w:link w:val="Heading5"/>
    <w:rsid w:val="003A1C3B"/>
    <w:rPr>
      <w:rFonts w:ascii="Arial" w:eastAsia="Times New Roman" w:hAnsi="Arial"/>
      <w:lang w:val="en-US" w:eastAsia="en-US"/>
    </w:rPr>
  </w:style>
  <w:style w:type="character" w:customStyle="1" w:styleId="Heading6Char">
    <w:name w:val="Heading 6 Char"/>
    <w:basedOn w:val="DefaultParagraphFont"/>
    <w:link w:val="Heading6"/>
    <w:rsid w:val="003A1C3B"/>
    <w:rPr>
      <w:rFonts w:ascii="Times New Roman" w:eastAsia="Times New Roman" w:hAnsi="Times New Roman"/>
      <w:b/>
      <w:bCs/>
      <w:sz w:val="22"/>
      <w:szCs w:val="22"/>
      <w:lang w:eastAsia="fr-FR"/>
    </w:rPr>
  </w:style>
  <w:style w:type="character" w:customStyle="1" w:styleId="Heading7Char">
    <w:name w:val="Heading 7 Char"/>
    <w:basedOn w:val="DefaultParagraphFont"/>
    <w:link w:val="Heading7"/>
    <w:rsid w:val="003A1C3B"/>
    <w:rPr>
      <w:rFonts w:ascii="Times New Roman" w:eastAsia="Times New Roman" w:hAnsi="Times New Roman"/>
      <w:sz w:val="24"/>
      <w:szCs w:val="24"/>
      <w:lang w:eastAsia="fr-FR"/>
    </w:rPr>
  </w:style>
  <w:style w:type="character" w:customStyle="1" w:styleId="Heading8Char">
    <w:name w:val="Heading 8 Char"/>
    <w:basedOn w:val="DefaultParagraphFont"/>
    <w:link w:val="Heading8"/>
    <w:rsid w:val="003A1C3B"/>
    <w:rPr>
      <w:rFonts w:ascii="Times New Roman" w:eastAsia="Times New Roman" w:hAnsi="Times New Roman"/>
      <w:i/>
      <w:iCs/>
      <w:sz w:val="24"/>
      <w:szCs w:val="24"/>
      <w:lang w:eastAsia="fr-FR"/>
    </w:rPr>
  </w:style>
  <w:style w:type="character" w:customStyle="1" w:styleId="Heading9Char">
    <w:name w:val="Heading 9 Char"/>
    <w:basedOn w:val="DefaultParagraphFont"/>
    <w:link w:val="Heading9"/>
    <w:rsid w:val="003A1C3B"/>
    <w:rPr>
      <w:rFonts w:ascii="Arial" w:eastAsia="Times New Roman" w:hAnsi="Arial" w:cs="Arial"/>
      <w:sz w:val="22"/>
      <w:szCs w:val="22"/>
      <w:lang w:eastAsia="fr-FR"/>
    </w:rPr>
  </w:style>
  <w:style w:type="paragraph" w:customStyle="1" w:styleId="COECote">
    <w:name w:val="COE_Cote"/>
    <w:basedOn w:val="Normal"/>
    <w:rsid w:val="003A1C3B"/>
    <w:pPr>
      <w:spacing w:before="240"/>
    </w:pPr>
    <w:rPr>
      <w:rFonts w:eastAsia="Times New Roman"/>
      <w:b/>
      <w:sz w:val="22"/>
      <w:lang w:eastAsia="fr-FR"/>
    </w:rPr>
  </w:style>
  <w:style w:type="paragraph" w:customStyle="1" w:styleId="COEEnceinte">
    <w:name w:val="COE_Enceinte"/>
    <w:basedOn w:val="COECote"/>
    <w:rsid w:val="003A1C3B"/>
    <w:rPr>
      <w:b w:val="0"/>
      <w:i/>
      <w:color w:val="808080"/>
      <w:sz w:val="28"/>
      <w:szCs w:val="28"/>
    </w:rPr>
  </w:style>
  <w:style w:type="paragraph" w:customStyle="1" w:styleId="COEHeading1">
    <w:name w:val="COE_Heading1"/>
    <w:basedOn w:val="Normal"/>
    <w:link w:val="COEHeading1Char"/>
    <w:autoRedefine/>
    <w:rsid w:val="003A1C3B"/>
    <w:rPr>
      <w:rFonts w:eastAsia="Times New Roman"/>
      <w:b/>
      <w:sz w:val="24"/>
      <w:szCs w:val="32"/>
    </w:rPr>
  </w:style>
  <w:style w:type="paragraph" w:customStyle="1" w:styleId="COEHeading2">
    <w:name w:val="COE_Heading2"/>
    <w:basedOn w:val="Normal"/>
    <w:autoRedefine/>
    <w:rsid w:val="003A1C3B"/>
    <w:rPr>
      <w:rFonts w:ascii="Verdana" w:eastAsia="Times New Roman" w:hAnsi="Verdana"/>
      <w:b/>
      <w:szCs w:val="28"/>
    </w:rPr>
  </w:style>
  <w:style w:type="paragraph" w:customStyle="1" w:styleId="COEHeading3">
    <w:name w:val="COE_Heading3"/>
    <w:basedOn w:val="Normal"/>
    <w:autoRedefine/>
    <w:rsid w:val="003A1C3B"/>
    <w:pPr>
      <w:outlineLvl w:val="2"/>
    </w:pPr>
    <w:rPr>
      <w:rFonts w:ascii="Helvetica" w:eastAsia="Times New Roman" w:hAnsi="Helvetica"/>
      <w:i/>
      <w:szCs w:val="24"/>
      <w:lang w:eastAsia="fr-FR"/>
    </w:rPr>
  </w:style>
  <w:style w:type="paragraph" w:customStyle="1" w:styleId="COENoLignes">
    <w:name w:val="COE_NoLignes"/>
    <w:link w:val="COENoLignesChar"/>
    <w:rsid w:val="003A1C3B"/>
    <w:rPr>
      <w:rFonts w:ascii="Arial" w:eastAsia="Times New Roman" w:hAnsi="Arial"/>
      <w:lang w:val="en-US" w:eastAsia="en-US"/>
    </w:rPr>
  </w:style>
  <w:style w:type="paragraph" w:customStyle="1" w:styleId="COETitre">
    <w:name w:val="COE_Titre"/>
    <w:basedOn w:val="Normal"/>
    <w:link w:val="COETitreChar"/>
    <w:rsid w:val="003A1C3B"/>
    <w:pPr>
      <w:spacing w:before="360" w:after="240"/>
    </w:pPr>
    <w:rPr>
      <w:rFonts w:eastAsia="Times New Roman"/>
      <w:sz w:val="36"/>
      <w:szCs w:val="36"/>
      <w:lang w:eastAsia="fr-FR"/>
    </w:rPr>
  </w:style>
  <w:style w:type="paragraph" w:customStyle="1" w:styleId="COEType">
    <w:name w:val="COE_Type"/>
    <w:basedOn w:val="Normal"/>
    <w:rsid w:val="003A1C3B"/>
    <w:pPr>
      <w:spacing w:before="240"/>
    </w:pPr>
    <w:rPr>
      <w:rFonts w:eastAsia="Times New Roman"/>
      <w:b/>
      <w:sz w:val="28"/>
      <w:szCs w:val="28"/>
      <w:lang w:eastAsia="fr-FR"/>
    </w:rPr>
  </w:style>
  <w:style w:type="character" w:styleId="Strong">
    <w:name w:val="Strong"/>
    <w:qFormat/>
    <w:rsid w:val="003A1C3B"/>
    <w:rPr>
      <w:b/>
    </w:rPr>
  </w:style>
  <w:style w:type="paragraph" w:styleId="NormalWeb">
    <w:name w:val="Normal (Web)"/>
    <w:basedOn w:val="Normal"/>
    <w:rsid w:val="003A1C3B"/>
    <w:pPr>
      <w:spacing w:before="100" w:beforeAutospacing="1" w:after="100" w:afterAutospacing="1"/>
    </w:pPr>
    <w:rPr>
      <w:rFonts w:eastAsia="Times New Roman"/>
      <w:sz w:val="17"/>
      <w:szCs w:val="17"/>
      <w:lang w:val="en-US"/>
    </w:rPr>
  </w:style>
  <w:style w:type="paragraph" w:customStyle="1" w:styleId="COEWord">
    <w:name w:val="COE_Word"/>
    <w:basedOn w:val="Normal"/>
    <w:rsid w:val="003A1C3B"/>
    <w:pPr>
      <w:jc w:val="right"/>
    </w:pPr>
    <w:rPr>
      <w:rFonts w:eastAsia="Times New Roman"/>
      <w:i/>
      <w:iCs/>
      <w:szCs w:val="24"/>
      <w:lang w:eastAsia="fr-FR"/>
    </w:rPr>
  </w:style>
  <w:style w:type="character" w:styleId="FollowedHyperlink">
    <w:name w:val="FollowedHyperlink"/>
    <w:rsid w:val="003A1C3B"/>
    <w:rPr>
      <w:color w:val="606420"/>
      <w:u w:val="single"/>
    </w:rPr>
  </w:style>
  <w:style w:type="paragraph" w:customStyle="1" w:styleId="CMAuthor">
    <w:name w:val="CM_Author"/>
    <w:basedOn w:val="COEEnceinte"/>
    <w:qFormat/>
    <w:rsid w:val="003A1C3B"/>
    <w:pPr>
      <w:suppressLineNumbers/>
      <w:tabs>
        <w:tab w:val="center" w:pos="4513"/>
        <w:tab w:val="right" w:pos="9027"/>
      </w:tabs>
      <w:suppressAutoHyphens/>
      <w:spacing w:before="0"/>
    </w:pPr>
    <w:rPr>
      <w:rFonts w:ascii="Times New Roman" w:hAnsi="Times New Roman"/>
      <w:b/>
      <w:szCs w:val="24"/>
    </w:rPr>
  </w:style>
  <w:style w:type="paragraph" w:customStyle="1" w:styleId="CMCote">
    <w:name w:val="CM_Cote"/>
    <w:basedOn w:val="Normal"/>
    <w:qFormat/>
    <w:rsid w:val="003A1C3B"/>
    <w:pPr>
      <w:spacing w:before="120"/>
    </w:pPr>
    <w:rPr>
      <w:rFonts w:eastAsia="Times New Roman"/>
      <w:b/>
      <w:sz w:val="22"/>
      <w:lang w:eastAsia="fr-FR"/>
    </w:rPr>
  </w:style>
  <w:style w:type="paragraph" w:customStyle="1" w:styleId="CMTitle">
    <w:name w:val="CM_Title"/>
    <w:basedOn w:val="COETitre"/>
    <w:link w:val="CMTitleChar"/>
    <w:autoRedefine/>
    <w:qFormat/>
    <w:rsid w:val="003A1C3B"/>
    <w:pPr>
      <w:spacing w:before="0" w:after="0"/>
    </w:pPr>
    <w:rPr>
      <w:b/>
      <w:szCs w:val="32"/>
    </w:rPr>
  </w:style>
  <w:style w:type="paragraph" w:customStyle="1" w:styleId="CMDocType">
    <w:name w:val="CM_DocType"/>
    <w:basedOn w:val="CMTitle"/>
    <w:autoRedefine/>
    <w:qFormat/>
    <w:rsid w:val="003A1C3B"/>
    <w:rPr>
      <w:rFonts w:ascii="Verdana" w:hAnsi="Verdana"/>
      <w:sz w:val="32"/>
    </w:rPr>
  </w:style>
  <w:style w:type="paragraph" w:customStyle="1" w:styleId="CMEnceinte">
    <w:name w:val="CM_Enceinte"/>
    <w:basedOn w:val="COEEnceinte"/>
    <w:qFormat/>
    <w:rsid w:val="003A1C3B"/>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rsid w:val="003A1C3B"/>
    <w:pPr>
      <w:pBdr>
        <w:bottom w:val="single" w:sz="18" w:space="1" w:color="auto"/>
      </w:pBdr>
      <w:spacing w:after="240"/>
      <w:ind w:right="5243"/>
    </w:pPr>
    <w:rPr>
      <w:sz w:val="22"/>
    </w:rPr>
  </w:style>
  <w:style w:type="paragraph" w:customStyle="1" w:styleId="CMLinkedDocs">
    <w:name w:val="CM_LinkedDocs"/>
    <w:basedOn w:val="Normal"/>
    <w:rsid w:val="003A1C3B"/>
    <w:rPr>
      <w:rFonts w:eastAsia="Times New Roman"/>
      <w:sz w:val="16"/>
      <w:szCs w:val="24"/>
      <w:lang w:eastAsia="fr-FR"/>
    </w:rPr>
  </w:style>
  <w:style w:type="paragraph" w:customStyle="1" w:styleId="CMMainSubTitle">
    <w:name w:val="CM_MainSubTitle"/>
    <w:basedOn w:val="Normal"/>
    <w:autoRedefine/>
    <w:rsid w:val="003A1C3B"/>
    <w:rPr>
      <w:rFonts w:eastAsia="Times New Roman"/>
      <w:sz w:val="32"/>
      <w:szCs w:val="24"/>
      <w:lang w:eastAsia="fr-FR"/>
    </w:rPr>
  </w:style>
  <w:style w:type="paragraph" w:customStyle="1" w:styleId="CMRevision">
    <w:name w:val="CM_Revision"/>
    <w:basedOn w:val="Normal"/>
    <w:link w:val="CMRevisionChar"/>
    <w:rsid w:val="003A1C3B"/>
    <w:rPr>
      <w:rFonts w:eastAsia="Times New Roman" w:cs="Arial"/>
      <w:color w:val="FF0000"/>
      <w:szCs w:val="20"/>
      <w:shd w:val="clear" w:color="auto" w:fill="D9D9D9"/>
    </w:rPr>
  </w:style>
  <w:style w:type="character" w:customStyle="1" w:styleId="CMRevisionChar">
    <w:name w:val="CM_Revision Char"/>
    <w:link w:val="CMRevision"/>
    <w:rsid w:val="003A1C3B"/>
    <w:rPr>
      <w:rFonts w:ascii="Arial" w:eastAsia="Times New Roman" w:hAnsi="Arial" w:cs="Arial"/>
      <w:color w:val="FF0000"/>
      <w:lang w:eastAsia="en-US"/>
    </w:rPr>
  </w:style>
  <w:style w:type="paragraph" w:customStyle="1" w:styleId="CMRevisionInside">
    <w:name w:val="CM_RevisionInside"/>
    <w:basedOn w:val="Normal"/>
    <w:link w:val="CMRevisionInsideCharChar"/>
    <w:rsid w:val="003A1C3B"/>
    <w:rPr>
      <w:rFonts w:eastAsia="Times New Roman"/>
      <w:color w:val="FF0000"/>
      <w:szCs w:val="24"/>
      <w:shd w:val="clear" w:color="auto" w:fill="D9D9D9"/>
      <w:lang w:eastAsia="fr-FR"/>
    </w:rPr>
  </w:style>
  <w:style w:type="character" w:customStyle="1" w:styleId="CMRevisionInsideCharChar">
    <w:name w:val="CM_RevisionInside Char Char"/>
    <w:link w:val="CMRevisionInside"/>
    <w:rsid w:val="003A1C3B"/>
    <w:rPr>
      <w:rFonts w:ascii="Arial" w:eastAsia="Times New Roman" w:hAnsi="Arial"/>
      <w:color w:val="FF0000"/>
      <w:szCs w:val="24"/>
      <w:lang w:eastAsia="fr-FR"/>
    </w:rPr>
  </w:style>
  <w:style w:type="paragraph" w:customStyle="1" w:styleId="CMSpace">
    <w:name w:val="CM_Space"/>
    <w:basedOn w:val="Normal"/>
    <w:qFormat/>
    <w:rsid w:val="003A1C3B"/>
    <w:rPr>
      <w:rFonts w:eastAsia="Times New Roman"/>
      <w:szCs w:val="24"/>
      <w:lang w:eastAsia="fr-FR"/>
    </w:rPr>
  </w:style>
  <w:style w:type="paragraph" w:customStyle="1" w:styleId="CMSubTitle">
    <w:name w:val="CM_SubTitle"/>
    <w:basedOn w:val="Normal"/>
    <w:qFormat/>
    <w:rsid w:val="003A1C3B"/>
    <w:rPr>
      <w:rFonts w:eastAsia="Times New Roman"/>
      <w:sz w:val="22"/>
      <w:lang w:eastAsia="fr-FR"/>
    </w:rPr>
  </w:style>
  <w:style w:type="paragraph" w:customStyle="1" w:styleId="COEAbstract">
    <w:name w:val="COE_Abstract"/>
    <w:link w:val="COEAbstractChar"/>
    <w:rsid w:val="003A1C3B"/>
    <w:pPr>
      <w:spacing w:before="120" w:after="120"/>
    </w:pPr>
    <w:rPr>
      <w:rFonts w:ascii="Verdana" w:eastAsia="Times New Roman" w:hAnsi="Verdana"/>
      <w:lang w:val="fr-FR" w:eastAsia="en-US"/>
    </w:rPr>
  </w:style>
  <w:style w:type="character" w:customStyle="1" w:styleId="COEAbstractChar">
    <w:name w:val="COE_Abstract Char"/>
    <w:link w:val="COEAbstract"/>
    <w:rsid w:val="003A1C3B"/>
    <w:rPr>
      <w:rFonts w:ascii="Verdana" w:eastAsia="Times New Roman" w:hAnsi="Verdana"/>
      <w:lang w:val="fr-FR" w:eastAsia="en-US"/>
    </w:rPr>
  </w:style>
  <w:style w:type="paragraph" w:customStyle="1" w:styleId="COEBullet">
    <w:name w:val="COE_Bullet"/>
    <w:basedOn w:val="Normal"/>
    <w:rsid w:val="003A1C3B"/>
    <w:pPr>
      <w:numPr>
        <w:numId w:val="5"/>
      </w:numPr>
      <w:spacing w:after="60"/>
    </w:pPr>
    <w:rPr>
      <w:rFonts w:eastAsia="Times New Roman"/>
      <w:szCs w:val="24"/>
      <w:lang w:eastAsia="fr-FR"/>
    </w:rPr>
  </w:style>
  <w:style w:type="paragraph" w:customStyle="1" w:styleId="COEDate">
    <w:name w:val="COE_Date"/>
    <w:next w:val="Normal"/>
    <w:rsid w:val="003A1C3B"/>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3A1C3B"/>
    <w:pPr>
      <w:spacing w:before="60" w:after="60"/>
    </w:pPr>
    <w:rPr>
      <w:rFonts w:eastAsia="Times New Roman"/>
      <w:i/>
      <w:szCs w:val="24"/>
      <w:lang w:eastAsia="fr-FR"/>
    </w:rPr>
  </w:style>
  <w:style w:type="character" w:customStyle="1" w:styleId="COEHeading1Char">
    <w:name w:val="COE_Heading1 Char"/>
    <w:link w:val="COEHeading1"/>
    <w:rsid w:val="003A1C3B"/>
    <w:rPr>
      <w:rFonts w:ascii="Arial" w:eastAsia="Times New Roman" w:hAnsi="Arial"/>
      <w:b/>
      <w:sz w:val="24"/>
      <w:szCs w:val="32"/>
      <w:lang w:eastAsia="en-US"/>
    </w:rPr>
  </w:style>
  <w:style w:type="paragraph" w:customStyle="1" w:styleId="COEHeading4">
    <w:name w:val="COE_Heading4"/>
    <w:basedOn w:val="Normal"/>
    <w:next w:val="Normal"/>
    <w:rsid w:val="003A1C3B"/>
    <w:pPr>
      <w:numPr>
        <w:ilvl w:val="3"/>
        <w:numId w:val="7"/>
      </w:numPr>
    </w:pPr>
    <w:rPr>
      <w:rFonts w:eastAsia="Times New Roman"/>
      <w:szCs w:val="24"/>
      <w:lang w:eastAsia="fr-FR"/>
    </w:rPr>
  </w:style>
  <w:style w:type="paragraph" w:customStyle="1" w:styleId="COEIMGPROTECTED">
    <w:name w:val="COE_IMG_PROTECTED"/>
    <w:basedOn w:val="Normal"/>
    <w:rsid w:val="003A1C3B"/>
    <w:pPr>
      <w:jc w:val="center"/>
    </w:pPr>
    <w:rPr>
      <w:rFonts w:eastAsia="Times New Roman"/>
      <w:szCs w:val="24"/>
      <w:lang w:eastAsia="fr-FR"/>
    </w:rPr>
  </w:style>
  <w:style w:type="paragraph" w:customStyle="1" w:styleId="COEInconnu">
    <w:name w:val="COE_Inconnu"/>
    <w:basedOn w:val="COEType"/>
    <w:rsid w:val="003A1C3B"/>
    <w:pPr>
      <w:spacing w:before="120"/>
    </w:pPr>
    <w:rPr>
      <w:i/>
      <w:color w:val="99CC00"/>
      <w:sz w:val="24"/>
    </w:rPr>
  </w:style>
  <w:style w:type="paragraph" w:customStyle="1" w:styleId="COELegende">
    <w:name w:val="COE_Legende"/>
    <w:basedOn w:val="Normal"/>
    <w:rsid w:val="003A1C3B"/>
    <w:rPr>
      <w:rFonts w:eastAsia="Times New Roman"/>
      <w:i/>
      <w:color w:val="999999"/>
      <w:szCs w:val="24"/>
      <w:lang w:eastAsia="fr-FR"/>
    </w:rPr>
  </w:style>
  <w:style w:type="paragraph" w:customStyle="1" w:styleId="COELignes">
    <w:name w:val="COE_Lignes"/>
    <w:basedOn w:val="Normal"/>
    <w:rsid w:val="003A1C3B"/>
    <w:rPr>
      <w:rFonts w:eastAsia="Times New Roman"/>
      <w:szCs w:val="24"/>
      <w:lang w:val="en-US"/>
    </w:rPr>
  </w:style>
  <w:style w:type="paragraph" w:customStyle="1" w:styleId="COEList">
    <w:name w:val="COE_List"/>
    <w:basedOn w:val="Normal"/>
    <w:rsid w:val="003A1C3B"/>
    <w:pPr>
      <w:spacing w:after="60"/>
    </w:pPr>
    <w:rPr>
      <w:rFonts w:eastAsia="Times New Roman"/>
      <w:szCs w:val="24"/>
      <w:lang w:eastAsia="fr-FR"/>
    </w:rPr>
  </w:style>
  <w:style w:type="paragraph" w:customStyle="1" w:styleId="COEMedium">
    <w:name w:val="COE_Medium"/>
    <w:rsid w:val="003A1C3B"/>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3A1C3B"/>
    <w:rPr>
      <w:rFonts w:eastAsia="Times New Roman"/>
      <w:sz w:val="16"/>
      <w:szCs w:val="18"/>
      <w:lang w:eastAsia="fr-FR"/>
    </w:rPr>
  </w:style>
  <w:style w:type="paragraph" w:customStyle="1" w:styleId="COESousTitre">
    <w:name w:val="COE_SousTitre"/>
    <w:next w:val="Normal"/>
    <w:link w:val="COESousTitreChar"/>
    <w:rsid w:val="003A1C3B"/>
    <w:pPr>
      <w:spacing w:before="240" w:after="120"/>
    </w:pPr>
    <w:rPr>
      <w:rFonts w:ascii="Verdana" w:eastAsia="Times New Roman" w:hAnsi="Verdana"/>
      <w:sz w:val="28"/>
      <w:szCs w:val="28"/>
      <w:lang w:val="fr-FR" w:eastAsia="fr-FR"/>
    </w:rPr>
  </w:style>
  <w:style w:type="character" w:customStyle="1" w:styleId="COETitreChar">
    <w:name w:val="COE_Titre Char"/>
    <w:link w:val="COETitre"/>
    <w:rsid w:val="003A1C3B"/>
    <w:rPr>
      <w:rFonts w:ascii="Arial" w:eastAsia="Times New Roman" w:hAnsi="Arial"/>
      <w:sz w:val="36"/>
      <w:szCs w:val="36"/>
      <w:lang w:eastAsia="fr-FR"/>
    </w:rPr>
  </w:style>
  <w:style w:type="character" w:customStyle="1" w:styleId="COESousTitreChar">
    <w:name w:val="COE_SousTitre Char"/>
    <w:link w:val="COESousTitre"/>
    <w:rsid w:val="003A1C3B"/>
    <w:rPr>
      <w:rFonts w:ascii="Verdana" w:eastAsia="Times New Roman" w:hAnsi="Verdana"/>
      <w:sz w:val="28"/>
      <w:szCs w:val="28"/>
      <w:lang w:val="fr-FR" w:eastAsia="fr-FR"/>
    </w:rPr>
  </w:style>
  <w:style w:type="paragraph" w:styleId="TOC1">
    <w:name w:val="toc 1"/>
    <w:basedOn w:val="Normal"/>
    <w:next w:val="Normal"/>
    <w:autoRedefine/>
    <w:semiHidden/>
    <w:rsid w:val="003A1C3B"/>
    <w:rPr>
      <w:rFonts w:eastAsia="Times New Roman"/>
      <w:szCs w:val="24"/>
      <w:lang w:eastAsia="fr-FR"/>
    </w:rPr>
  </w:style>
  <w:style w:type="paragraph" w:styleId="TOC2">
    <w:name w:val="toc 2"/>
    <w:basedOn w:val="Normal"/>
    <w:next w:val="Normal"/>
    <w:autoRedefine/>
    <w:semiHidden/>
    <w:rsid w:val="003A1C3B"/>
    <w:pPr>
      <w:ind w:left="240"/>
    </w:pPr>
    <w:rPr>
      <w:rFonts w:eastAsia="Times New Roman"/>
      <w:szCs w:val="24"/>
      <w:lang w:eastAsia="fr-FR"/>
    </w:rPr>
  </w:style>
  <w:style w:type="paragraph" w:styleId="TOC3">
    <w:name w:val="toc 3"/>
    <w:basedOn w:val="Normal"/>
    <w:next w:val="Normal"/>
    <w:autoRedefine/>
    <w:semiHidden/>
    <w:rsid w:val="003A1C3B"/>
    <w:pPr>
      <w:ind w:left="480"/>
    </w:pPr>
    <w:rPr>
      <w:rFonts w:eastAsia="Times New Roman"/>
      <w:szCs w:val="24"/>
      <w:lang w:eastAsia="fr-FR"/>
    </w:rPr>
  </w:style>
  <w:style w:type="paragraph" w:styleId="TOC4">
    <w:name w:val="toc 4"/>
    <w:basedOn w:val="Normal"/>
    <w:next w:val="Normal"/>
    <w:autoRedefine/>
    <w:semiHidden/>
    <w:rsid w:val="003A1C3B"/>
    <w:pPr>
      <w:ind w:left="600"/>
    </w:pPr>
    <w:rPr>
      <w:rFonts w:eastAsia="Times New Roman"/>
      <w:szCs w:val="24"/>
      <w:lang w:eastAsia="fr-FR"/>
    </w:rPr>
  </w:style>
  <w:style w:type="character" w:customStyle="1" w:styleId="CMTitleChar">
    <w:name w:val="CM_Title Char"/>
    <w:link w:val="CMTitle"/>
    <w:rsid w:val="003A1C3B"/>
    <w:rPr>
      <w:rFonts w:ascii="Arial" w:eastAsia="Times New Roman" w:hAnsi="Arial"/>
      <w:b/>
      <w:sz w:val="36"/>
      <w:szCs w:val="32"/>
      <w:lang w:eastAsia="fr-FR"/>
    </w:rPr>
  </w:style>
  <w:style w:type="paragraph" w:customStyle="1" w:styleId="Style1">
    <w:name w:val="Style1"/>
    <w:basedOn w:val="COEHeading1"/>
    <w:autoRedefine/>
    <w:rsid w:val="003A1C3B"/>
    <w:rPr>
      <w:sz w:val="28"/>
    </w:rPr>
  </w:style>
  <w:style w:type="paragraph" w:customStyle="1" w:styleId="StyleCMAuthorGray-50">
    <w:name w:val="Style CM_Author + Gray-50%"/>
    <w:basedOn w:val="CMAuthor"/>
    <w:autoRedefine/>
    <w:rsid w:val="003A1C3B"/>
    <w:rPr>
      <w:bCs/>
      <w:iCs/>
    </w:rPr>
  </w:style>
  <w:style w:type="paragraph" w:customStyle="1" w:styleId="CMNormal">
    <w:name w:val="CM_Normal"/>
    <w:basedOn w:val="Normal"/>
    <w:rsid w:val="003A1C3B"/>
    <w:rPr>
      <w:rFonts w:eastAsia="Times New Roman" w:cs="Arial"/>
      <w:color w:val="000000"/>
      <w:szCs w:val="20"/>
      <w:lang w:eastAsia="fr-FR"/>
    </w:rPr>
  </w:style>
  <w:style w:type="paragraph" w:customStyle="1" w:styleId="CMRightAlign">
    <w:name w:val="CM_RightAlign"/>
    <w:basedOn w:val="Normal"/>
    <w:rsid w:val="003A1C3B"/>
    <w:pPr>
      <w:jc w:val="right"/>
    </w:pPr>
    <w:rPr>
      <w:rFonts w:eastAsia="Times New Roman" w:cs="Arial"/>
      <w:color w:val="000000"/>
      <w:szCs w:val="20"/>
      <w:lang w:eastAsia="fr-FR"/>
    </w:rPr>
  </w:style>
  <w:style w:type="character" w:customStyle="1" w:styleId="COENoLignesChar">
    <w:name w:val="COE_NoLignes Char"/>
    <w:link w:val="COENoLignes"/>
    <w:rsid w:val="003A1C3B"/>
    <w:rPr>
      <w:rFonts w:ascii="Arial" w:eastAsia="Times New Roman" w:hAnsi="Arial"/>
      <w:lang w:val="en-US" w:eastAsia="en-US"/>
    </w:rPr>
  </w:style>
  <w:style w:type="character" w:customStyle="1" w:styleId="COESourceChar">
    <w:name w:val="COE_Source Char"/>
    <w:link w:val="COESource"/>
    <w:rsid w:val="003A1C3B"/>
    <w:rPr>
      <w:rFonts w:ascii="Arial" w:eastAsia="Times New Roman" w:hAnsi="Arial"/>
      <w:sz w:val="16"/>
      <w:szCs w:val="18"/>
      <w:lang w:eastAsia="fr-FR"/>
    </w:rPr>
  </w:style>
  <w:style w:type="paragraph" w:customStyle="1" w:styleId="COETitleSystem">
    <w:name w:val="COE_Title(System)"/>
    <w:basedOn w:val="Normal"/>
    <w:next w:val="Normal"/>
    <w:rsid w:val="003A1C3B"/>
    <w:rPr>
      <w:rFonts w:ascii="Verdana" w:eastAsia="Times New Roman" w:hAnsi="Verdana"/>
      <w:bCs/>
      <w:color w:val="808080"/>
      <w:sz w:val="26"/>
      <w:szCs w:val="24"/>
      <w:lang w:eastAsia="fr-FR"/>
    </w:rPr>
  </w:style>
  <w:style w:type="paragraph" w:customStyle="1" w:styleId="COETitleBrowser">
    <w:name w:val="COE_Title(Browser)"/>
    <w:basedOn w:val="COETitleSystem"/>
    <w:next w:val="Normal"/>
    <w:rsid w:val="003A1C3B"/>
    <w:rPr>
      <w:color w:val="C0C0C0"/>
      <w:sz w:val="16"/>
    </w:rPr>
  </w:style>
  <w:style w:type="paragraph" w:customStyle="1" w:styleId="COEWCDSearchParams">
    <w:name w:val="COE_WCD_SearchParams"/>
    <w:basedOn w:val="Normal"/>
    <w:autoRedefine/>
    <w:rsid w:val="003A1C3B"/>
    <w:rPr>
      <w:rFonts w:ascii="Verdana" w:eastAsia="Times New Roman" w:hAnsi="Verdana"/>
      <w:szCs w:val="24"/>
    </w:rPr>
  </w:style>
  <w:style w:type="character" w:styleId="LineNumber">
    <w:name w:val="line number"/>
    <w:basedOn w:val="DefaultParagraphFont"/>
    <w:rsid w:val="003A1C3B"/>
  </w:style>
  <w:style w:type="paragraph" w:customStyle="1" w:styleId="Style2">
    <w:name w:val="Style2"/>
    <w:basedOn w:val="COEHeading2"/>
    <w:rsid w:val="003A1C3B"/>
    <w:rPr>
      <w:rFonts w:ascii="Arial" w:hAnsi="Arial"/>
    </w:rPr>
  </w:style>
  <w:style w:type="character" w:customStyle="1" w:styleId="sb8d990e2">
    <w:name w:val="sb8d990e2"/>
    <w:basedOn w:val="DefaultParagraphFont"/>
    <w:rsid w:val="003A1C3B"/>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3A1C3B"/>
    <w:pPr>
      <w:spacing w:after="160" w:line="240" w:lineRule="exact"/>
    </w:pPr>
    <w:rPr>
      <w:rFonts w:ascii="Calibri" w:hAnsi="Calibri"/>
      <w:szCs w:val="20"/>
      <w:vertAlign w:val="superscript"/>
      <w:lang w:eastAsia="en-GB"/>
    </w:rPr>
  </w:style>
  <w:style w:type="paragraph" w:customStyle="1" w:styleId="Default">
    <w:name w:val="Default"/>
    <w:rsid w:val="003A1C3B"/>
    <w:pPr>
      <w:autoSpaceDE w:val="0"/>
      <w:autoSpaceDN w:val="0"/>
      <w:adjustRightInd w:val="0"/>
    </w:pPr>
    <w:rPr>
      <w:rFonts w:eastAsia="Times New Roman" w:cs="Calibri"/>
      <w:color w:val="000000"/>
      <w:sz w:val="24"/>
      <w:szCs w:val="24"/>
      <w:lang w:val="fr-FR" w:eastAsia="fr-FR"/>
    </w:rPr>
  </w:style>
  <w:style w:type="character" w:customStyle="1" w:styleId="sfbbfee58">
    <w:name w:val="sfbbfee58"/>
    <w:basedOn w:val="DefaultParagraphFont"/>
    <w:rsid w:val="003A1C3B"/>
  </w:style>
  <w:style w:type="character" w:styleId="Emphasis">
    <w:name w:val="Emphasis"/>
    <w:uiPriority w:val="20"/>
    <w:qFormat/>
    <w:rsid w:val="003A1C3B"/>
    <w:rPr>
      <w:i/>
      <w:iCs/>
    </w:rPr>
  </w:style>
  <w:style w:type="character" w:customStyle="1" w:styleId="sd522c6fe">
    <w:name w:val="sd522c6fe"/>
    <w:basedOn w:val="DefaultParagraphFont"/>
    <w:rsid w:val="003A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xec.coe.int/ENG" TargetMode="External"/><Relationship Id="rId18" Type="http://schemas.openxmlformats.org/officeDocument/2006/relationships/hyperlink" Target="https://hudoc.exec.coe.int/ENG" TargetMode="External"/><Relationship Id="rId26" Type="http://schemas.openxmlformats.org/officeDocument/2006/relationships/hyperlink" Target="https://hudoc.exec.coe.int/ENG" TargetMode="External"/><Relationship Id="rId3" Type="http://schemas.openxmlformats.org/officeDocument/2006/relationships/hyperlink" Target="https://hudoc.exec.coe.int/eng" TargetMode="External"/><Relationship Id="rId21" Type="http://schemas.openxmlformats.org/officeDocument/2006/relationships/hyperlink" Target="https://hudoc.exec.coe.int/ENG" TargetMode="External"/><Relationship Id="rId7" Type="http://schemas.openxmlformats.org/officeDocument/2006/relationships/hyperlink" Target="https://hudoc.exec.coe.int/eng" TargetMode="External"/><Relationship Id="rId12" Type="http://schemas.openxmlformats.org/officeDocument/2006/relationships/hyperlink" Target="https://hudoc.exec.coe.int/ENG" TargetMode="External"/><Relationship Id="rId17" Type="http://schemas.openxmlformats.org/officeDocument/2006/relationships/hyperlink" Target="https://hudoc.exec.coe.int/ENG" TargetMode="External"/><Relationship Id="rId25" Type="http://schemas.openxmlformats.org/officeDocument/2006/relationships/hyperlink" Target="https://hudoc.exec.coe.int/eng" TargetMode="External"/><Relationship Id="rId2" Type="http://schemas.openxmlformats.org/officeDocument/2006/relationships/hyperlink" Target="https://hudoc.exec.coe.int/eng" TargetMode="External"/><Relationship Id="rId16" Type="http://schemas.openxmlformats.org/officeDocument/2006/relationships/hyperlink" Target="https://hudoc.exec.coe.int/ENG" TargetMode="External"/><Relationship Id="rId20" Type="http://schemas.openxmlformats.org/officeDocument/2006/relationships/hyperlink" Target="https://hudoc.exec.coe.int/ENG" TargetMode="External"/><Relationship Id="rId29" Type="http://schemas.openxmlformats.org/officeDocument/2006/relationships/hyperlink" Target="https://hudoc.echr.coe.int/eng" TargetMode="External"/><Relationship Id="rId1" Type="http://schemas.openxmlformats.org/officeDocument/2006/relationships/hyperlink" Target="https://hudoc.exec.coe.int/eng" TargetMode="External"/><Relationship Id="rId6" Type="http://schemas.openxmlformats.org/officeDocument/2006/relationships/hyperlink" Target="https://hudoc.exec.coe.int/eng" TargetMode="External"/><Relationship Id="rId11" Type="http://schemas.openxmlformats.org/officeDocument/2006/relationships/hyperlink" Target="https://hudoc.echr.coe.int/eng" TargetMode="External"/><Relationship Id="rId24" Type="http://schemas.openxmlformats.org/officeDocument/2006/relationships/hyperlink" Target="https://hudoc.exec.coe.int/eng" TargetMode="External"/><Relationship Id="rId5" Type="http://schemas.openxmlformats.org/officeDocument/2006/relationships/hyperlink" Target="https://search.coe.int/cm/Pages/result_details.aspx?ObjectId=09000016805dd18e" TargetMode="External"/><Relationship Id="rId15" Type="http://schemas.openxmlformats.org/officeDocument/2006/relationships/hyperlink" Target="https://hudoc.exec.coe.int/ENG" TargetMode="External"/><Relationship Id="rId23" Type="http://schemas.openxmlformats.org/officeDocument/2006/relationships/hyperlink" Target="https://hudoc.exec.coe.int/ENG" TargetMode="External"/><Relationship Id="rId28" Type="http://schemas.openxmlformats.org/officeDocument/2006/relationships/hyperlink" Target="https://hudoc.exec.coe.int/ENG" TargetMode="External"/><Relationship Id="rId10" Type="http://schemas.openxmlformats.org/officeDocument/2006/relationships/hyperlink" Target="https://hudoc.exec.coe.int/eng" TargetMode="External"/><Relationship Id="rId19" Type="http://schemas.openxmlformats.org/officeDocument/2006/relationships/hyperlink" Target="https://hudoc.exec.coe.int/ENG" TargetMode="External"/><Relationship Id="rId31" Type="http://schemas.openxmlformats.org/officeDocument/2006/relationships/hyperlink" Target="https://hudoc.exec.coe.int/ENG" TargetMode="External"/><Relationship Id="rId4" Type="http://schemas.openxmlformats.org/officeDocument/2006/relationships/hyperlink" Target="https://search.coe.int/cm/Pages/result_details.aspx?ObjectId=09000016805e2f06" TargetMode="External"/><Relationship Id="rId9" Type="http://schemas.openxmlformats.org/officeDocument/2006/relationships/hyperlink" Target="https://hudoc.exec.coe.int/eng" TargetMode="External"/><Relationship Id="rId14" Type="http://schemas.openxmlformats.org/officeDocument/2006/relationships/hyperlink" Target="https://hudoc.exec.coe.int/ENG" TargetMode="External"/><Relationship Id="rId22" Type="http://schemas.openxmlformats.org/officeDocument/2006/relationships/hyperlink" Target="https://search.coe.int/cm/Pages/result_details.aspx?Reference=CM/ResDH(2020)197" TargetMode="External"/><Relationship Id="rId27" Type="http://schemas.openxmlformats.org/officeDocument/2006/relationships/hyperlink" Target="https://hudoc.exec.coe.int/ENG" TargetMode="External"/><Relationship Id="rId30" Type="http://schemas.openxmlformats.org/officeDocument/2006/relationships/hyperlink" Target="https://search.coe.int/cm/Pages/result_details.aspx?Reference=CM/Del/Dec(2020)1369/H46-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harne\Desktop\E_CM-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(1)</Template>
  <TotalTime>90</TotalTime>
  <Pages>4</Pages>
  <Words>2064</Words>
  <Characters>11356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13394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TREHARNE Gareth</dc:creator>
  <cp:lastModifiedBy>HUBER Dominique</cp:lastModifiedBy>
  <cp:revision>11</cp:revision>
  <cp:lastPrinted>2016-03-16T18:37:00Z</cp:lastPrinted>
  <dcterms:created xsi:type="dcterms:W3CDTF">2022-02-28T14:46:00Z</dcterms:created>
  <dcterms:modified xsi:type="dcterms:W3CDTF">2022-03-04T09:00:00Z</dcterms:modified>
</cp:coreProperties>
</file>