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8FFE4" w14:textId="77777777" w:rsidR="00D553F8" w:rsidRPr="00ED0ACA" w:rsidRDefault="00D553F8">
      <w:pPr>
        <w:rPr>
          <w:lang w:val="fr-FR"/>
        </w:rPr>
      </w:pPr>
    </w:p>
    <w:p w14:paraId="4CDD88B9" w14:textId="77777777" w:rsidR="00530E6A" w:rsidRPr="00ED0ACA" w:rsidRDefault="00530E6A">
      <w:pPr>
        <w:rPr>
          <w:lang w:val="fr-FR"/>
        </w:rPr>
      </w:pPr>
    </w:p>
    <w:p w14:paraId="7F033DF0" w14:textId="7F9F150E" w:rsidR="004D490D" w:rsidRPr="00ED0ACA" w:rsidRDefault="004D490D" w:rsidP="004D490D">
      <w:pPr>
        <w:ind w:left="6372" w:hanging="6372"/>
        <w:jc w:val="both"/>
        <w:rPr>
          <w:rFonts w:ascii="Arial" w:hAnsi="Arial"/>
          <w:color w:val="000000"/>
          <w:spacing w:val="-2"/>
          <w:sz w:val="20"/>
          <w:lang w:val="fr-FR"/>
        </w:rPr>
      </w:pPr>
      <w:r w:rsidRPr="001D7A01">
        <w:rPr>
          <w:rFonts w:ascii="Arial" w:hAnsi="Arial"/>
          <w:color w:val="000000"/>
          <w:spacing w:val="-2"/>
          <w:sz w:val="20"/>
          <w:lang w:val="fr-FR"/>
        </w:rPr>
        <w:t xml:space="preserve">Strasbourg, </w:t>
      </w:r>
      <w:r w:rsidR="0080527F">
        <w:rPr>
          <w:rFonts w:ascii="Arial" w:hAnsi="Arial"/>
          <w:color w:val="000000"/>
          <w:spacing w:val="-2"/>
          <w:sz w:val="20"/>
          <w:lang w:val="fr-FR"/>
        </w:rPr>
        <w:t xml:space="preserve">le </w:t>
      </w:r>
      <w:r w:rsidRPr="001D7A01">
        <w:rPr>
          <w:rFonts w:ascii="Arial" w:hAnsi="Arial"/>
          <w:color w:val="000000"/>
          <w:spacing w:val="-2"/>
          <w:sz w:val="20"/>
          <w:lang w:val="fr-FR"/>
        </w:rPr>
        <w:t>11</w:t>
      </w:r>
      <w:r w:rsidR="009546A6" w:rsidRPr="001D7A01">
        <w:rPr>
          <w:rFonts w:ascii="Arial" w:hAnsi="Arial"/>
          <w:color w:val="000000"/>
          <w:spacing w:val="-2"/>
          <w:sz w:val="20"/>
          <w:lang w:val="fr-FR"/>
        </w:rPr>
        <w:t> </w:t>
      </w:r>
      <w:r w:rsidRPr="001D7A01">
        <w:rPr>
          <w:rFonts w:ascii="Arial" w:hAnsi="Arial"/>
          <w:color w:val="000000"/>
          <w:spacing w:val="-2"/>
          <w:sz w:val="20"/>
          <w:lang w:val="fr-FR"/>
        </w:rPr>
        <w:t>mars 2021</w:t>
      </w:r>
      <w:r w:rsidRPr="00ED0ACA">
        <w:rPr>
          <w:rFonts w:ascii="Arial" w:hAnsi="Arial"/>
          <w:color w:val="000000"/>
          <w:spacing w:val="-2"/>
          <w:sz w:val="20"/>
          <w:lang w:val="fr-FR"/>
        </w:rPr>
        <w:tab/>
      </w:r>
      <w:r w:rsidRPr="00ED0ACA">
        <w:rPr>
          <w:rFonts w:ascii="Arial" w:hAnsi="Arial"/>
          <w:color w:val="000000"/>
          <w:spacing w:val="-2"/>
          <w:sz w:val="20"/>
          <w:lang w:val="fr-FR"/>
        </w:rPr>
        <w:tab/>
        <w:t>AP/</w:t>
      </w:r>
      <w:proofErr w:type="gramStart"/>
      <w:r w:rsidRPr="00ED0ACA">
        <w:rPr>
          <w:rFonts w:ascii="Arial" w:hAnsi="Arial"/>
          <w:color w:val="000000"/>
          <w:spacing w:val="-2"/>
          <w:sz w:val="20"/>
          <w:lang w:val="fr-FR"/>
        </w:rPr>
        <w:t>CAT(</w:t>
      </w:r>
      <w:proofErr w:type="gramEnd"/>
      <w:r w:rsidRPr="00ED0ACA">
        <w:rPr>
          <w:rFonts w:ascii="Arial" w:hAnsi="Arial"/>
          <w:color w:val="000000"/>
          <w:spacing w:val="-2"/>
          <w:sz w:val="20"/>
          <w:lang w:val="fr-FR"/>
        </w:rPr>
        <w:t>2021)04</w:t>
      </w:r>
      <w:r w:rsidRPr="00ED0ACA">
        <w:rPr>
          <w:rFonts w:ascii="Arial" w:hAnsi="Arial"/>
          <w:color w:val="000000"/>
          <w:spacing w:val="-2"/>
          <w:sz w:val="20"/>
          <w:lang w:val="fr-FR"/>
        </w:rPr>
        <w:br/>
      </w:r>
      <w:r w:rsidRPr="00ED0ACA">
        <w:rPr>
          <w:rFonts w:ascii="Arial" w:hAnsi="Arial"/>
          <w:color w:val="000000"/>
          <w:spacing w:val="-2"/>
          <w:sz w:val="20"/>
          <w:lang w:val="fr-FR"/>
        </w:rPr>
        <w:tab/>
      </w:r>
      <w:r w:rsidRPr="001D7A01">
        <w:rPr>
          <w:rFonts w:ascii="Arial" w:hAnsi="Arial"/>
          <w:color w:val="000000"/>
          <w:spacing w:val="-2"/>
          <w:sz w:val="20"/>
          <w:lang w:val="fr-FR"/>
        </w:rPr>
        <w:t>Or.</w:t>
      </w:r>
      <w:r w:rsidR="0080527F">
        <w:rPr>
          <w:rFonts w:ascii="Arial" w:hAnsi="Arial"/>
          <w:color w:val="000000"/>
          <w:spacing w:val="-2"/>
          <w:sz w:val="20"/>
          <w:lang w:val="fr-FR"/>
        </w:rPr>
        <w:t> :</w:t>
      </w:r>
      <w:r w:rsidRPr="001D7A01">
        <w:rPr>
          <w:rFonts w:ascii="Arial" w:hAnsi="Arial"/>
          <w:color w:val="000000"/>
          <w:spacing w:val="-2"/>
          <w:sz w:val="20"/>
          <w:lang w:val="fr-FR"/>
        </w:rPr>
        <w:t xml:space="preserve"> anglais</w:t>
      </w:r>
    </w:p>
    <w:p w14:paraId="5CA29C4A"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color w:val="FF0000"/>
          <w:sz w:val="56"/>
          <w:szCs w:val="56"/>
          <w:lang w:val="fr-FR" w:eastAsia="zh-CN"/>
        </w:rPr>
      </w:pPr>
    </w:p>
    <w:p w14:paraId="6552B632" w14:textId="77777777" w:rsidR="00D553F8" w:rsidRPr="00ED0ACA" w:rsidRDefault="00D553F8" w:rsidP="00D553F8">
      <w:pPr>
        <w:tabs>
          <w:tab w:val="right" w:pos="9638"/>
        </w:tabs>
        <w:jc w:val="center"/>
        <w:rPr>
          <w:rFonts w:ascii="Arial" w:hAnsi="Arial"/>
          <w:b/>
          <w:color w:val="000000"/>
          <w:lang w:val="fr-FR"/>
        </w:rPr>
      </w:pPr>
    </w:p>
    <w:p w14:paraId="31248AE9" w14:textId="77777777" w:rsidR="00D553F8" w:rsidRPr="00ED0ACA" w:rsidRDefault="00D553F8" w:rsidP="00D553F8">
      <w:pPr>
        <w:tabs>
          <w:tab w:val="right" w:pos="9638"/>
        </w:tabs>
        <w:jc w:val="center"/>
        <w:rPr>
          <w:rFonts w:ascii="Arial" w:hAnsi="Arial"/>
          <w:b/>
          <w:color w:val="000000"/>
          <w:lang w:val="fr-FR"/>
        </w:rPr>
      </w:pPr>
    </w:p>
    <w:p w14:paraId="6855734C" w14:textId="77777777" w:rsidR="004D490D" w:rsidRPr="00ED0ACA" w:rsidRDefault="004D490D" w:rsidP="004D490D">
      <w:pPr>
        <w:tabs>
          <w:tab w:val="right" w:pos="9638"/>
        </w:tabs>
        <w:jc w:val="center"/>
        <w:rPr>
          <w:rFonts w:ascii="Arial" w:hAnsi="Arial"/>
          <w:b/>
          <w:color w:val="000000"/>
          <w:lang w:val="fr-FR"/>
        </w:rPr>
      </w:pPr>
      <w:r w:rsidRPr="001D7A01">
        <w:rPr>
          <w:rFonts w:ascii="Arial" w:hAnsi="Arial"/>
          <w:b/>
          <w:color w:val="000000"/>
          <w:lang w:val="fr-FR"/>
        </w:rPr>
        <w:t>ACCORD EUROPÉEN ET MÉDITERRANÉEN SUR LES RISQUES MAJEURS</w:t>
      </w:r>
      <w:r w:rsidRPr="00ED0ACA">
        <w:rPr>
          <w:rFonts w:ascii="Arial" w:hAnsi="Arial"/>
          <w:b/>
          <w:color w:val="000000"/>
          <w:lang w:val="fr-FR"/>
        </w:rPr>
        <w:t xml:space="preserve"> </w:t>
      </w:r>
      <w:r w:rsidRPr="00ED0ACA">
        <w:rPr>
          <w:rFonts w:ascii="Arial" w:hAnsi="Arial"/>
          <w:b/>
          <w:color w:val="000000"/>
          <w:lang w:val="fr-FR"/>
        </w:rPr>
        <w:br/>
      </w:r>
      <w:r w:rsidRPr="001D7A01">
        <w:rPr>
          <w:rFonts w:ascii="Arial" w:hAnsi="Arial"/>
          <w:b/>
          <w:color w:val="000000"/>
          <w:lang w:val="fr-FR"/>
        </w:rPr>
        <w:t>(EUR-OPA)</w:t>
      </w:r>
    </w:p>
    <w:p w14:paraId="15105828"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color w:val="FF0000"/>
          <w:sz w:val="56"/>
          <w:szCs w:val="56"/>
          <w:lang w:val="fr-FR" w:eastAsia="zh-CN"/>
        </w:rPr>
      </w:pPr>
    </w:p>
    <w:p w14:paraId="2F12BA31" w14:textId="77777777" w:rsidR="00D553F8" w:rsidRPr="00ED0ACA"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fr-FR" w:eastAsia="zh-CN"/>
        </w:rPr>
      </w:pPr>
    </w:p>
    <w:p w14:paraId="7C7DC476" w14:textId="77777777" w:rsidR="00D553F8" w:rsidRPr="00ED0ACA"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fr-FR" w:eastAsia="zh-CN"/>
        </w:rPr>
      </w:pPr>
    </w:p>
    <w:p w14:paraId="7FE6DAD3" w14:textId="77777777" w:rsidR="00D553F8" w:rsidRPr="00ED0ACA" w:rsidRDefault="00D553F8" w:rsidP="00D553F8">
      <w:pPr>
        <w:tabs>
          <w:tab w:val="left" w:pos="0"/>
          <w:tab w:val="left" w:pos="708"/>
        </w:tabs>
        <w:suppressAutoHyphens/>
        <w:spacing w:after="0" w:line="240" w:lineRule="auto"/>
        <w:jc w:val="center"/>
        <w:rPr>
          <w:rFonts w:ascii="Arial" w:eastAsia="Arial Unicode MS" w:hAnsi="Arial" w:cs="Arial"/>
          <w:b/>
          <w:caps/>
          <w:sz w:val="24"/>
          <w:szCs w:val="24"/>
          <w:lang w:val="fr-FR" w:eastAsia="zh-CN"/>
        </w:rPr>
      </w:pPr>
    </w:p>
    <w:p w14:paraId="33562A22" w14:textId="7C1441CE" w:rsidR="004D490D" w:rsidRPr="00ED0ACA" w:rsidRDefault="004D490D" w:rsidP="004D490D">
      <w:pPr>
        <w:spacing w:line="240" w:lineRule="auto"/>
        <w:jc w:val="center"/>
        <w:rPr>
          <w:rFonts w:ascii="Arial" w:hAnsi="Arial" w:cs="Arial"/>
          <w:b/>
          <w:bCs/>
          <w:caps/>
          <w:sz w:val="24"/>
          <w:szCs w:val="24"/>
          <w:lang w:val="fr-FR"/>
        </w:rPr>
      </w:pPr>
      <w:r w:rsidRPr="009D5FCE">
        <w:rPr>
          <w:rFonts w:ascii="Arial" w:hAnsi="Arial" w:cs="Arial"/>
          <w:b/>
          <w:bCs/>
          <w:caps/>
          <w:color w:val="FF0000"/>
          <w:sz w:val="24"/>
          <w:szCs w:val="24"/>
          <w:highlight w:val="yellow"/>
          <w:lang w:val="fr-FR"/>
        </w:rPr>
        <w:t>Projet de</w:t>
      </w:r>
      <w:r w:rsidR="00E35B59" w:rsidRPr="001D7A01">
        <w:rPr>
          <w:rFonts w:ascii="Arial" w:hAnsi="Arial" w:cs="Arial"/>
          <w:b/>
          <w:bCs/>
          <w:caps/>
          <w:sz w:val="24"/>
          <w:szCs w:val="24"/>
          <w:lang w:val="fr-FR"/>
        </w:rPr>
        <w:t xml:space="preserve"> </w:t>
      </w:r>
      <w:r w:rsidRPr="00314C24">
        <w:rPr>
          <w:rFonts w:ascii="Arial" w:hAnsi="Arial" w:cs="Arial"/>
          <w:b/>
          <w:bCs/>
          <w:caps/>
          <w:sz w:val="24"/>
          <w:szCs w:val="24"/>
          <w:lang w:val="fr-FR"/>
        </w:rPr>
        <w:t xml:space="preserve">Statut </w:t>
      </w:r>
      <w:r w:rsidRPr="00ED0ACA">
        <w:rPr>
          <w:rFonts w:ascii="Arial" w:hAnsi="Arial" w:cs="Arial"/>
          <w:b/>
          <w:bCs/>
          <w:caps/>
          <w:sz w:val="24"/>
          <w:szCs w:val="24"/>
          <w:lang w:val="fr-FR"/>
        </w:rPr>
        <w:t xml:space="preserve">révisé de l’accord partiel élargi en matière de protection contre les risques naturels, technologiques et biologiques majeurs et de renforcement </w:t>
      </w:r>
      <w:r w:rsidR="007E67F4">
        <w:rPr>
          <w:rFonts w:ascii="Arial" w:hAnsi="Arial" w:cs="Arial"/>
          <w:b/>
          <w:bCs/>
          <w:caps/>
          <w:sz w:val="24"/>
          <w:szCs w:val="24"/>
          <w:lang w:val="fr-FR"/>
        </w:rPr>
        <w:t>des capacités</w:t>
      </w:r>
      <w:r w:rsidRPr="00ED0ACA">
        <w:rPr>
          <w:rFonts w:ascii="Arial" w:hAnsi="Arial" w:cs="Arial"/>
          <w:b/>
          <w:bCs/>
          <w:caps/>
          <w:sz w:val="24"/>
          <w:szCs w:val="24"/>
          <w:lang w:val="fr-FR"/>
        </w:rPr>
        <w:t xml:space="preserve"> de récupération face aux </w:t>
      </w:r>
      <w:r w:rsidR="00C056EB" w:rsidRPr="00ED0ACA">
        <w:rPr>
          <w:rFonts w:ascii="Arial" w:hAnsi="Arial" w:cs="Arial"/>
          <w:b/>
          <w:bCs/>
          <w:caps/>
          <w:sz w:val="24"/>
          <w:szCs w:val="24"/>
          <w:lang w:val="fr-FR"/>
        </w:rPr>
        <w:t>catastrophes</w:t>
      </w:r>
    </w:p>
    <w:p w14:paraId="0B9B292E" w14:textId="77777777" w:rsidR="004D490D" w:rsidRPr="001D7A01" w:rsidRDefault="004D490D" w:rsidP="004D490D">
      <w:pPr>
        <w:tabs>
          <w:tab w:val="left" w:pos="0"/>
          <w:tab w:val="left" w:pos="708"/>
        </w:tabs>
        <w:suppressAutoHyphens/>
        <w:spacing w:after="0" w:line="240" w:lineRule="auto"/>
        <w:jc w:val="center"/>
        <w:rPr>
          <w:rFonts w:eastAsia="Arial Unicode MS" w:cstheme="minorHAnsi"/>
          <w:b/>
          <w:caps/>
          <w:sz w:val="20"/>
          <w:szCs w:val="20"/>
          <w:lang w:val="fr-FR" w:eastAsia="zh-CN"/>
        </w:rPr>
      </w:pPr>
      <w:r w:rsidRPr="001D7A01">
        <w:rPr>
          <w:rFonts w:ascii="Arial" w:hAnsi="Arial" w:cs="Arial"/>
          <w:b/>
          <w:bCs/>
          <w:caps/>
          <w:sz w:val="24"/>
          <w:szCs w:val="24"/>
          <w:lang w:val="fr-FR"/>
        </w:rPr>
        <w:t>(Accord EUR-OPA Risques Majeurs).</w:t>
      </w:r>
    </w:p>
    <w:p w14:paraId="19F07FFB" w14:textId="5A87807B" w:rsidR="00D553F8" w:rsidRPr="00ED0ACA" w:rsidRDefault="00D553F8" w:rsidP="004D490D">
      <w:pPr>
        <w:spacing w:line="240" w:lineRule="auto"/>
        <w:jc w:val="center"/>
        <w:rPr>
          <w:rFonts w:eastAsia="Arial Unicode MS" w:cstheme="minorHAnsi"/>
          <w:b/>
          <w:caps/>
          <w:sz w:val="20"/>
          <w:szCs w:val="20"/>
          <w:lang w:val="fr-FR" w:eastAsia="zh-CN"/>
        </w:rPr>
      </w:pPr>
    </w:p>
    <w:p w14:paraId="3A6A8E69"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24E61DE6"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2B15CC89"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7E545E49"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05B21168"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1B527210" w14:textId="77777777" w:rsidR="00D553F8" w:rsidRPr="00ED0ACA" w:rsidRDefault="00D553F8" w:rsidP="00D553F8">
      <w:pPr>
        <w:tabs>
          <w:tab w:val="left" w:pos="0"/>
          <w:tab w:val="left" w:pos="708"/>
        </w:tabs>
        <w:suppressAutoHyphens/>
        <w:spacing w:after="0" w:line="240" w:lineRule="auto"/>
        <w:jc w:val="center"/>
        <w:rPr>
          <w:rFonts w:eastAsia="Arial Unicode MS" w:cstheme="minorHAnsi"/>
          <w:b/>
          <w:caps/>
          <w:sz w:val="24"/>
          <w:szCs w:val="24"/>
          <w:lang w:val="fr-FR" w:eastAsia="zh-CN"/>
        </w:rPr>
      </w:pPr>
    </w:p>
    <w:p w14:paraId="44EE9AE4" w14:textId="32779DEF" w:rsidR="00D553F8" w:rsidRPr="001D7A01" w:rsidRDefault="004D490D" w:rsidP="00D553F8">
      <w:pPr>
        <w:jc w:val="center"/>
        <w:rPr>
          <w:i/>
          <w:iCs/>
          <w:lang w:val="fr-FR"/>
        </w:rPr>
      </w:pPr>
      <w:r w:rsidRPr="001D7A01">
        <w:rPr>
          <w:rFonts w:eastAsia="Arial Unicode MS" w:cstheme="minorHAnsi"/>
          <w:b/>
          <w:caps/>
          <w:sz w:val="24"/>
          <w:szCs w:val="24"/>
          <w:lang w:val="fr-FR" w:eastAsia="zh-CN"/>
        </w:rPr>
        <w:t xml:space="preserve">pour examen à la réunion du Comité des correspondants permanents du </w:t>
      </w:r>
      <w:r w:rsidR="0091673A">
        <w:rPr>
          <w:rFonts w:eastAsia="Arial Unicode MS" w:cstheme="minorHAnsi"/>
          <w:b/>
          <w:caps/>
          <w:sz w:val="24"/>
          <w:szCs w:val="24"/>
          <w:lang w:val="fr-FR" w:eastAsia="zh-CN"/>
        </w:rPr>
        <w:t>16</w:t>
      </w:r>
      <w:r w:rsidR="00983E50" w:rsidRPr="001D7A01">
        <w:rPr>
          <w:rFonts w:eastAsia="Arial Unicode MS" w:cstheme="minorHAnsi"/>
          <w:b/>
          <w:caps/>
          <w:sz w:val="24"/>
          <w:szCs w:val="24"/>
          <w:lang w:val="fr-FR" w:eastAsia="zh-CN"/>
        </w:rPr>
        <w:t> </w:t>
      </w:r>
      <w:r w:rsidRPr="001D7A01">
        <w:rPr>
          <w:rFonts w:eastAsia="Arial Unicode MS" w:cstheme="minorHAnsi"/>
          <w:b/>
          <w:caps/>
          <w:sz w:val="24"/>
          <w:szCs w:val="24"/>
          <w:lang w:val="fr-FR" w:eastAsia="zh-CN"/>
        </w:rPr>
        <w:t xml:space="preserve">juin 2021 </w:t>
      </w:r>
      <w:r w:rsidR="00E35B59" w:rsidRPr="001D7A01">
        <w:rPr>
          <w:i/>
          <w:iCs/>
          <w:lang w:val="fr-FR"/>
        </w:rPr>
        <w:br w:type="page"/>
      </w:r>
    </w:p>
    <w:p w14:paraId="10B8F6D2" w14:textId="234BF361" w:rsidR="007831AE" w:rsidRPr="001D7A01" w:rsidRDefault="004D490D" w:rsidP="00194BD5">
      <w:pPr>
        <w:jc w:val="both"/>
        <w:rPr>
          <w:lang w:val="fr-FR"/>
        </w:rPr>
      </w:pPr>
      <w:r w:rsidRPr="001D7A01">
        <w:rPr>
          <w:i/>
          <w:iCs/>
          <w:lang w:val="fr-FR"/>
        </w:rPr>
        <w:lastRenderedPageBreak/>
        <w:t>Annexe à la Résolution</w:t>
      </w:r>
      <w:r w:rsidR="009546A6" w:rsidRPr="001D7A01">
        <w:rPr>
          <w:i/>
          <w:iCs/>
          <w:lang w:val="fr-FR"/>
        </w:rPr>
        <w:t> </w:t>
      </w:r>
      <w:r w:rsidR="005F105F" w:rsidRPr="001D7A01">
        <w:rPr>
          <w:i/>
          <w:iCs/>
          <w:lang w:val="fr-FR"/>
        </w:rPr>
        <w:t>CM/</w:t>
      </w:r>
      <w:proofErr w:type="spellStart"/>
      <w:proofErr w:type="gramStart"/>
      <w:r w:rsidR="005F105F" w:rsidRPr="001D7A01">
        <w:rPr>
          <w:i/>
          <w:iCs/>
          <w:lang w:val="fr-FR"/>
        </w:rPr>
        <w:t>Res</w:t>
      </w:r>
      <w:proofErr w:type="spellEnd"/>
      <w:r w:rsidR="005F105F" w:rsidRPr="001D7A01">
        <w:rPr>
          <w:i/>
          <w:iCs/>
          <w:lang w:val="fr-FR"/>
        </w:rPr>
        <w:t>(</w:t>
      </w:r>
      <w:proofErr w:type="gramEnd"/>
      <w:r w:rsidR="005F105F" w:rsidRPr="001D7A01">
        <w:rPr>
          <w:i/>
          <w:iCs/>
          <w:lang w:val="fr-FR"/>
        </w:rPr>
        <w:t>2021)x</w:t>
      </w:r>
    </w:p>
    <w:p w14:paraId="702E4F51" w14:textId="7C4411FD" w:rsidR="00C056EB" w:rsidRPr="00ED0ACA" w:rsidRDefault="00C056EB" w:rsidP="00194BD5">
      <w:pPr>
        <w:jc w:val="both"/>
        <w:rPr>
          <w:b/>
          <w:bCs/>
          <w:lang w:val="fr-FR"/>
        </w:rPr>
      </w:pPr>
      <w:r w:rsidRPr="00F67955">
        <w:rPr>
          <w:b/>
          <w:bCs/>
          <w:color w:val="FF0000"/>
          <w:highlight w:val="yellow"/>
          <w:lang w:val="fr-FR"/>
        </w:rPr>
        <w:t>Projet de</w:t>
      </w:r>
      <w:r w:rsidRPr="001D7A01">
        <w:rPr>
          <w:b/>
          <w:bCs/>
          <w:color w:val="FF0000"/>
          <w:lang w:val="fr-FR"/>
        </w:rPr>
        <w:t xml:space="preserve"> </w:t>
      </w:r>
      <w:r w:rsidRPr="00ED0ACA">
        <w:rPr>
          <w:b/>
          <w:bCs/>
          <w:lang w:val="fr-FR"/>
        </w:rPr>
        <w:t xml:space="preserve">Statut révisé de l’Accord partiel élargi en matière de protection contre les risques naturels, technologiques et biologiques majeurs et de renforcement </w:t>
      </w:r>
      <w:r w:rsidR="007E67F4">
        <w:rPr>
          <w:b/>
          <w:bCs/>
          <w:lang w:val="fr-FR"/>
        </w:rPr>
        <w:t>des capacités</w:t>
      </w:r>
      <w:r w:rsidRPr="00ED0ACA">
        <w:rPr>
          <w:b/>
          <w:bCs/>
          <w:lang w:val="fr-FR"/>
        </w:rPr>
        <w:t xml:space="preserve"> de récupération face aux catastrophes</w:t>
      </w:r>
      <w:r w:rsidR="009D70BD" w:rsidRPr="00ED0ACA">
        <w:rPr>
          <w:b/>
          <w:bCs/>
          <w:lang w:val="fr-FR"/>
        </w:rPr>
        <w:t xml:space="preserve"> (en abrégé : Accord </w:t>
      </w:r>
      <w:r w:rsidR="00E3399D">
        <w:rPr>
          <w:b/>
          <w:bCs/>
          <w:lang w:val="fr-FR"/>
        </w:rPr>
        <w:t xml:space="preserve">EUR-OPA </w:t>
      </w:r>
      <w:r w:rsidR="00684078">
        <w:rPr>
          <w:b/>
          <w:bCs/>
          <w:lang w:val="fr-FR"/>
        </w:rPr>
        <w:t>R</w:t>
      </w:r>
      <w:r w:rsidR="00E3399D">
        <w:rPr>
          <w:b/>
          <w:bCs/>
          <w:lang w:val="fr-FR"/>
        </w:rPr>
        <w:t>isques majeurs</w:t>
      </w:r>
      <w:r w:rsidR="009D70BD" w:rsidRPr="00ED0ACA">
        <w:rPr>
          <w:b/>
          <w:bCs/>
          <w:lang w:val="fr-FR"/>
        </w:rPr>
        <w:t>)</w:t>
      </w:r>
    </w:p>
    <w:p w14:paraId="424C4BEB" w14:textId="1C7758CA" w:rsidR="007831AE" w:rsidRPr="00ED0ACA" w:rsidRDefault="00E35B59" w:rsidP="00194BD5">
      <w:pPr>
        <w:jc w:val="both"/>
        <w:rPr>
          <w:lang w:val="fr-FR"/>
        </w:rPr>
      </w:pPr>
      <w:r w:rsidRPr="001D7A01">
        <w:rPr>
          <w:b/>
          <w:bCs/>
          <w:lang w:val="fr-FR"/>
        </w:rPr>
        <w:t>Article</w:t>
      </w:r>
      <w:r w:rsidR="009546A6" w:rsidRPr="001D7A01">
        <w:rPr>
          <w:b/>
          <w:bCs/>
          <w:lang w:val="fr-FR"/>
        </w:rPr>
        <w:t> </w:t>
      </w:r>
      <w:r w:rsidRPr="001D7A01">
        <w:rPr>
          <w:b/>
          <w:bCs/>
          <w:lang w:val="fr-FR"/>
        </w:rPr>
        <w:t xml:space="preserve">1 </w:t>
      </w:r>
      <w:r w:rsidR="009546A6" w:rsidRPr="001D7A01">
        <w:rPr>
          <w:b/>
          <w:bCs/>
          <w:lang w:val="fr-FR"/>
        </w:rPr>
        <w:t>—</w:t>
      </w:r>
      <w:r w:rsidRPr="001D7A01">
        <w:rPr>
          <w:b/>
          <w:bCs/>
          <w:lang w:val="fr-FR"/>
        </w:rPr>
        <w:t xml:space="preserve"> </w:t>
      </w:r>
      <w:r w:rsidR="009D70BD" w:rsidRPr="00ED0ACA">
        <w:rPr>
          <w:b/>
          <w:bCs/>
          <w:lang w:val="fr-FR"/>
        </w:rPr>
        <w:t>Buts et activités</w:t>
      </w:r>
    </w:p>
    <w:p w14:paraId="04094559" w14:textId="31D843D9" w:rsidR="007831AE" w:rsidRPr="00ED0ACA" w:rsidRDefault="00E35B59" w:rsidP="00194BD5">
      <w:pPr>
        <w:jc w:val="both"/>
        <w:rPr>
          <w:b/>
          <w:bCs/>
          <w:lang w:val="fr-FR"/>
        </w:rPr>
      </w:pPr>
      <w:r w:rsidRPr="00ED0ACA">
        <w:rPr>
          <w:b/>
          <w:bCs/>
          <w:lang w:val="fr-FR"/>
        </w:rPr>
        <w:t xml:space="preserve">1.1       </w:t>
      </w:r>
      <w:r w:rsidR="009D70BD" w:rsidRPr="00ED0ACA">
        <w:rPr>
          <w:b/>
          <w:bCs/>
          <w:lang w:val="fr-FR"/>
        </w:rPr>
        <w:t>Buts</w:t>
      </w:r>
    </w:p>
    <w:p w14:paraId="735FE0A8" w14:textId="0E773672" w:rsidR="009D70BD" w:rsidRPr="00ED0ACA" w:rsidRDefault="009D70BD" w:rsidP="00194BD5">
      <w:pPr>
        <w:jc w:val="both"/>
        <w:rPr>
          <w:lang w:val="fr-FR"/>
        </w:rPr>
      </w:pPr>
      <w:r w:rsidRPr="00ED0ACA">
        <w:rPr>
          <w:lang w:val="fr-FR"/>
        </w:rPr>
        <w:t>L</w:t>
      </w:r>
      <w:r w:rsidR="009546A6">
        <w:rPr>
          <w:lang w:val="fr-FR"/>
        </w:rPr>
        <w:t>’</w:t>
      </w:r>
      <w:r w:rsidRPr="00ED0ACA">
        <w:rPr>
          <w:lang w:val="fr-FR"/>
        </w:rPr>
        <w:t>Accord partiel élargi (APE) contribue à la coopération entre ses parties dans le</w:t>
      </w:r>
      <w:r w:rsidR="00ED0ACA" w:rsidRPr="00ED0ACA">
        <w:rPr>
          <w:lang w:val="fr-FR"/>
        </w:rPr>
        <w:t>s</w:t>
      </w:r>
      <w:r w:rsidRPr="00ED0ACA">
        <w:rPr>
          <w:lang w:val="fr-FR"/>
        </w:rPr>
        <w:t xml:space="preserve"> domaine</w:t>
      </w:r>
      <w:r w:rsidR="00ED0ACA" w:rsidRPr="00ED0ACA">
        <w:rPr>
          <w:lang w:val="fr-FR"/>
        </w:rPr>
        <w:t>s</w:t>
      </w:r>
      <w:r w:rsidRPr="00ED0ACA">
        <w:rPr>
          <w:lang w:val="fr-FR"/>
        </w:rPr>
        <w:t xml:space="preserve"> de la prévention des catastrophes naturelles, technologiques et biologiques majeures, de la préparation et de</w:t>
      </w:r>
      <w:r w:rsidR="00684078">
        <w:rPr>
          <w:lang w:val="fr-FR"/>
        </w:rPr>
        <w:t>s interventions</w:t>
      </w:r>
      <w:r w:rsidRPr="00ED0ACA">
        <w:rPr>
          <w:lang w:val="fr-FR"/>
        </w:rPr>
        <w:t xml:space="preserve"> face à ces risques. Il développe pour cela des instruments fondés sur la connaissance </w:t>
      </w:r>
      <w:r w:rsidR="008D7D8D">
        <w:rPr>
          <w:lang w:val="fr-FR"/>
        </w:rPr>
        <w:t xml:space="preserve">qui </w:t>
      </w:r>
      <w:r w:rsidRPr="00ED0ACA">
        <w:rPr>
          <w:lang w:val="fr-FR"/>
        </w:rPr>
        <w:t>serv</w:t>
      </w:r>
      <w:r w:rsidR="008D7D8D">
        <w:rPr>
          <w:lang w:val="fr-FR"/>
        </w:rPr>
        <w:t>e</w:t>
      </w:r>
      <w:r w:rsidRPr="00ED0ACA">
        <w:rPr>
          <w:lang w:val="fr-FR"/>
        </w:rPr>
        <w:t>nt à évaluer et à réduire la vulnérabilité par la science, la technologie, l</w:t>
      </w:r>
      <w:r w:rsidR="009546A6">
        <w:rPr>
          <w:lang w:val="fr-FR"/>
        </w:rPr>
        <w:t>’</w:t>
      </w:r>
      <w:r w:rsidRPr="00ED0ACA">
        <w:rPr>
          <w:lang w:val="fr-FR"/>
        </w:rPr>
        <w:t xml:space="preserve">éducation et la formation. Il </w:t>
      </w:r>
      <w:r w:rsidR="007834D1">
        <w:rPr>
          <w:lang w:val="fr-FR"/>
        </w:rPr>
        <w:t>dispense</w:t>
      </w:r>
      <w:r w:rsidRPr="00ED0ACA">
        <w:rPr>
          <w:lang w:val="fr-FR"/>
        </w:rPr>
        <w:t xml:space="preserve"> des conseils sur la réduction des risques de catastrophe </w:t>
      </w:r>
      <w:r w:rsidR="00684078">
        <w:rPr>
          <w:lang w:val="fr-FR"/>
        </w:rPr>
        <w:t xml:space="preserve">de façon à </w:t>
      </w:r>
      <w:r w:rsidRPr="00ED0ACA">
        <w:rPr>
          <w:lang w:val="fr-FR"/>
        </w:rPr>
        <w:t xml:space="preserve">inspirer et </w:t>
      </w:r>
      <w:r w:rsidR="00684078">
        <w:rPr>
          <w:lang w:val="fr-FR"/>
        </w:rPr>
        <w:t xml:space="preserve">à </w:t>
      </w:r>
      <w:r w:rsidRPr="00ED0ACA">
        <w:rPr>
          <w:lang w:val="fr-FR"/>
        </w:rPr>
        <w:t xml:space="preserve">promouvoir des politiques </w:t>
      </w:r>
      <w:r w:rsidR="006C4BE9" w:rsidRPr="00ED0ACA">
        <w:rPr>
          <w:lang w:val="fr-FR"/>
        </w:rPr>
        <w:t xml:space="preserve">judicieuses </w:t>
      </w:r>
      <w:r w:rsidRPr="00ED0ACA">
        <w:rPr>
          <w:lang w:val="fr-FR"/>
        </w:rPr>
        <w:t xml:space="preserve">visant à </w:t>
      </w:r>
      <w:r w:rsidR="00C46B41">
        <w:rPr>
          <w:lang w:val="fr-FR"/>
        </w:rPr>
        <w:t xml:space="preserve">l’amélioration de </w:t>
      </w:r>
      <w:r w:rsidRPr="00ED0ACA">
        <w:rPr>
          <w:lang w:val="fr-FR"/>
        </w:rPr>
        <w:t xml:space="preserve">la gouvernance de </w:t>
      </w:r>
      <w:r w:rsidR="00684078">
        <w:rPr>
          <w:lang w:val="fr-FR"/>
        </w:rPr>
        <w:t xml:space="preserve">la </w:t>
      </w:r>
      <w:r w:rsidRPr="00ED0ACA">
        <w:rPr>
          <w:lang w:val="fr-FR"/>
        </w:rPr>
        <w:t>prévention et de</w:t>
      </w:r>
      <w:r w:rsidR="00684078">
        <w:rPr>
          <w:lang w:val="fr-FR"/>
        </w:rPr>
        <w:t>s interventions</w:t>
      </w:r>
      <w:r w:rsidR="00C46B41">
        <w:rPr>
          <w:lang w:val="fr-FR"/>
        </w:rPr>
        <w:t xml:space="preserve">, </w:t>
      </w:r>
      <w:r w:rsidR="00684078">
        <w:rPr>
          <w:lang w:val="fr-FR"/>
        </w:rPr>
        <w:t>à l’examen</w:t>
      </w:r>
      <w:r w:rsidRPr="00ED0ACA">
        <w:rPr>
          <w:lang w:val="fr-FR"/>
        </w:rPr>
        <w:t xml:space="preserve">, </w:t>
      </w:r>
      <w:r w:rsidR="006C4BE9" w:rsidRPr="00ED0ACA">
        <w:rPr>
          <w:lang w:val="fr-FR"/>
        </w:rPr>
        <w:t xml:space="preserve">selon </w:t>
      </w:r>
      <w:r w:rsidRPr="00ED0ACA">
        <w:rPr>
          <w:lang w:val="fr-FR"/>
        </w:rPr>
        <w:t xml:space="preserve">une approche régionale coordonnée, de </w:t>
      </w:r>
      <w:r w:rsidR="00C46B41">
        <w:rPr>
          <w:lang w:val="fr-FR"/>
        </w:rPr>
        <w:t xml:space="preserve">problèmes </w:t>
      </w:r>
      <w:r w:rsidRPr="00ED0ACA">
        <w:rPr>
          <w:lang w:val="fr-FR"/>
        </w:rPr>
        <w:t>importants souvent négligés</w:t>
      </w:r>
      <w:r w:rsidR="001F05CD">
        <w:rPr>
          <w:lang w:val="fr-FR"/>
        </w:rPr>
        <w:t>,</w:t>
      </w:r>
      <w:r w:rsidRPr="00ED0ACA">
        <w:rPr>
          <w:lang w:val="fr-FR"/>
        </w:rPr>
        <w:t xml:space="preserve"> et </w:t>
      </w:r>
      <w:r w:rsidR="00C46B41">
        <w:rPr>
          <w:lang w:val="fr-FR"/>
        </w:rPr>
        <w:t xml:space="preserve">à la détermination </w:t>
      </w:r>
      <w:r w:rsidRPr="00ED0ACA">
        <w:rPr>
          <w:lang w:val="fr-FR"/>
        </w:rPr>
        <w:t xml:space="preserve">de </w:t>
      </w:r>
      <w:r w:rsidR="00C46B41">
        <w:rPr>
          <w:lang w:val="fr-FR"/>
        </w:rPr>
        <w:t>dispositifs permettant d’</w:t>
      </w:r>
      <w:r w:rsidRPr="00ED0ACA">
        <w:rPr>
          <w:lang w:val="fr-FR"/>
        </w:rPr>
        <w:t>y faire face.</w:t>
      </w:r>
    </w:p>
    <w:p w14:paraId="34652D8D" w14:textId="5F2F1FFB" w:rsidR="006C4BE9" w:rsidRPr="00ED0ACA" w:rsidRDefault="006C4BE9" w:rsidP="00194BD5">
      <w:pPr>
        <w:jc w:val="both"/>
        <w:rPr>
          <w:lang w:val="fr-FR"/>
        </w:rPr>
      </w:pPr>
      <w:r w:rsidRPr="00ED0ACA">
        <w:rPr>
          <w:lang w:val="fr-FR"/>
        </w:rPr>
        <w:t>Le réseau de</w:t>
      </w:r>
      <w:r w:rsidR="001F05CD">
        <w:rPr>
          <w:lang w:val="fr-FR"/>
        </w:rPr>
        <w:t>s</w:t>
      </w:r>
      <w:r w:rsidRPr="00ED0ACA">
        <w:rPr>
          <w:lang w:val="fr-FR"/>
        </w:rPr>
        <w:t xml:space="preserve"> centres scientifiques spécialisés </w:t>
      </w:r>
      <w:r w:rsidR="00210209">
        <w:rPr>
          <w:lang w:val="fr-FR"/>
        </w:rPr>
        <w:t xml:space="preserve">fonctionne </w:t>
      </w:r>
      <w:r w:rsidRPr="00ED0ACA">
        <w:rPr>
          <w:lang w:val="fr-FR"/>
        </w:rPr>
        <w:t>dans le cadre de l</w:t>
      </w:r>
      <w:r w:rsidR="009546A6">
        <w:rPr>
          <w:lang w:val="fr-FR"/>
        </w:rPr>
        <w:t>’</w:t>
      </w:r>
      <w:r w:rsidRPr="00ED0ACA">
        <w:rPr>
          <w:lang w:val="fr-FR"/>
        </w:rPr>
        <w:t xml:space="preserve">APE </w:t>
      </w:r>
      <w:r w:rsidR="00210209">
        <w:rPr>
          <w:lang w:val="fr-FR"/>
        </w:rPr>
        <w:t xml:space="preserve">et </w:t>
      </w:r>
      <w:r w:rsidRPr="00ED0ACA">
        <w:rPr>
          <w:lang w:val="fr-FR"/>
        </w:rPr>
        <w:t xml:space="preserve">conçoit des projets au niveau national et régional dans </w:t>
      </w:r>
      <w:r w:rsidR="00EC6561">
        <w:rPr>
          <w:lang w:val="fr-FR"/>
        </w:rPr>
        <w:t xml:space="preserve">des </w:t>
      </w:r>
      <w:r w:rsidRPr="00ED0ACA">
        <w:rPr>
          <w:lang w:val="fr-FR"/>
        </w:rPr>
        <w:t>but</w:t>
      </w:r>
      <w:r w:rsidR="00EC6561">
        <w:rPr>
          <w:lang w:val="fr-FR"/>
        </w:rPr>
        <w:t>s</w:t>
      </w:r>
      <w:r w:rsidRPr="00ED0ACA">
        <w:rPr>
          <w:lang w:val="fr-FR"/>
        </w:rPr>
        <w:t xml:space="preserve"> de partage des savoir-faire et des bonnes pratiques </w:t>
      </w:r>
      <w:r w:rsidR="00EC6561">
        <w:rPr>
          <w:lang w:val="fr-FR"/>
        </w:rPr>
        <w:t xml:space="preserve">ainsi que </w:t>
      </w:r>
      <w:r w:rsidR="000B476B">
        <w:rPr>
          <w:lang w:val="fr-FR"/>
        </w:rPr>
        <w:t xml:space="preserve">de meilleurs </w:t>
      </w:r>
      <w:r w:rsidRPr="00ED0ACA">
        <w:rPr>
          <w:lang w:val="fr-FR"/>
        </w:rPr>
        <w:t xml:space="preserve">sensibilisation des populations aux risques majeurs et </w:t>
      </w:r>
      <w:r w:rsidR="000B476B" w:rsidRPr="00ED0ACA">
        <w:rPr>
          <w:lang w:val="fr-FR"/>
        </w:rPr>
        <w:t>d</w:t>
      </w:r>
      <w:r w:rsidR="000B476B">
        <w:rPr>
          <w:lang w:val="fr-FR"/>
        </w:rPr>
        <w:t>’</w:t>
      </w:r>
      <w:r w:rsidR="000B476B" w:rsidRPr="00ED0ACA">
        <w:rPr>
          <w:lang w:val="fr-FR"/>
        </w:rPr>
        <w:t xml:space="preserve">amélioration </w:t>
      </w:r>
      <w:r w:rsidRPr="00ED0ACA">
        <w:rPr>
          <w:lang w:val="fr-FR"/>
        </w:rPr>
        <w:t>de</w:t>
      </w:r>
      <w:r w:rsidR="001F05CD">
        <w:rPr>
          <w:lang w:val="fr-FR"/>
        </w:rPr>
        <w:t>s</w:t>
      </w:r>
      <w:r w:rsidRPr="00ED0ACA">
        <w:rPr>
          <w:lang w:val="fr-FR"/>
        </w:rPr>
        <w:t xml:space="preserve"> capacité</w:t>
      </w:r>
      <w:r w:rsidR="001F05CD">
        <w:rPr>
          <w:lang w:val="fr-FR"/>
        </w:rPr>
        <w:t>s</w:t>
      </w:r>
      <w:r w:rsidRPr="00ED0ACA">
        <w:rPr>
          <w:lang w:val="fr-FR"/>
        </w:rPr>
        <w:t xml:space="preserve"> de récupération.</w:t>
      </w:r>
    </w:p>
    <w:p w14:paraId="774E8F40" w14:textId="66A990CB" w:rsidR="007831AE" w:rsidRPr="00ED0ACA" w:rsidRDefault="00E35B59" w:rsidP="00194BD5">
      <w:pPr>
        <w:jc w:val="both"/>
        <w:rPr>
          <w:lang w:val="fr-FR"/>
        </w:rPr>
      </w:pPr>
      <w:r w:rsidRPr="00ED0ACA">
        <w:rPr>
          <w:b/>
          <w:bCs/>
          <w:lang w:val="fr-FR"/>
        </w:rPr>
        <w:t xml:space="preserve">1.2       </w:t>
      </w:r>
      <w:r w:rsidR="00DB4639" w:rsidRPr="00ED0ACA">
        <w:rPr>
          <w:b/>
          <w:bCs/>
          <w:lang w:val="fr-FR"/>
        </w:rPr>
        <w:t>Activités</w:t>
      </w:r>
    </w:p>
    <w:p w14:paraId="1BDA8848" w14:textId="27F000DE" w:rsidR="007831AE" w:rsidRPr="00ED0ACA" w:rsidRDefault="00F44763" w:rsidP="00194BD5">
      <w:pPr>
        <w:jc w:val="both"/>
        <w:rPr>
          <w:lang w:val="fr-FR"/>
        </w:rPr>
      </w:pPr>
      <w:r w:rsidRPr="00ED0ACA">
        <w:rPr>
          <w:b/>
          <w:bCs/>
          <w:lang w:val="fr-FR"/>
        </w:rPr>
        <w:t>Politiques et normes</w:t>
      </w:r>
    </w:p>
    <w:p w14:paraId="355AEC0B" w14:textId="1EE1EC91" w:rsidR="00ED0ACA" w:rsidRPr="00ED0ACA" w:rsidRDefault="00ED0ACA" w:rsidP="00ED0ACA">
      <w:pPr>
        <w:jc w:val="both"/>
        <w:rPr>
          <w:lang w:val="fr-FR"/>
        </w:rPr>
      </w:pPr>
      <w:r w:rsidRPr="00ED0ACA">
        <w:rPr>
          <w:lang w:val="fr-FR"/>
        </w:rPr>
        <w:t>L</w:t>
      </w:r>
      <w:r w:rsidR="009546A6">
        <w:rPr>
          <w:lang w:val="fr-FR"/>
        </w:rPr>
        <w:t>’</w:t>
      </w:r>
      <w:r w:rsidRPr="00ED0ACA">
        <w:rPr>
          <w:lang w:val="fr-FR"/>
        </w:rPr>
        <w:t xml:space="preserve">APE, </w:t>
      </w:r>
      <w:r w:rsidR="00C32EFB">
        <w:rPr>
          <w:lang w:val="fr-FR"/>
        </w:rPr>
        <w:t xml:space="preserve">puisant </w:t>
      </w:r>
      <w:r>
        <w:rPr>
          <w:lang w:val="fr-FR"/>
        </w:rPr>
        <w:t xml:space="preserve">en particulier </w:t>
      </w:r>
      <w:r w:rsidR="00C32EFB">
        <w:rPr>
          <w:lang w:val="fr-FR"/>
        </w:rPr>
        <w:t>dans l</w:t>
      </w:r>
      <w:r>
        <w:rPr>
          <w:lang w:val="fr-FR"/>
        </w:rPr>
        <w:t>e</w:t>
      </w:r>
      <w:r w:rsidR="005133FC">
        <w:rPr>
          <w:lang w:val="fr-FR"/>
        </w:rPr>
        <w:t>s compétences</w:t>
      </w:r>
      <w:r>
        <w:rPr>
          <w:lang w:val="fr-FR"/>
        </w:rPr>
        <w:t xml:space="preserve"> </w:t>
      </w:r>
      <w:r w:rsidRPr="00ED0ACA">
        <w:rPr>
          <w:lang w:val="fr-FR"/>
        </w:rPr>
        <w:t xml:space="preserve">de ses États membres et des centres scientifiques spécialisés, </w:t>
      </w:r>
      <w:r w:rsidR="00C32EFB">
        <w:rPr>
          <w:lang w:val="fr-FR"/>
        </w:rPr>
        <w:t xml:space="preserve">celles de </w:t>
      </w:r>
      <w:r w:rsidRPr="00ED0ACA">
        <w:rPr>
          <w:lang w:val="fr-FR"/>
        </w:rPr>
        <w:t>l</w:t>
      </w:r>
      <w:r w:rsidR="009546A6">
        <w:rPr>
          <w:lang w:val="fr-FR"/>
        </w:rPr>
        <w:t>’</w:t>
      </w:r>
      <w:r w:rsidRPr="00ED0ACA">
        <w:rPr>
          <w:lang w:val="fr-FR"/>
        </w:rPr>
        <w:t>UNDRR, ainsi que celle</w:t>
      </w:r>
      <w:r w:rsidR="00C32EFB">
        <w:rPr>
          <w:lang w:val="fr-FR"/>
        </w:rPr>
        <w:t>s</w:t>
      </w:r>
      <w:r w:rsidRPr="00ED0ACA">
        <w:rPr>
          <w:lang w:val="fr-FR"/>
        </w:rPr>
        <w:t xml:space="preserve"> </w:t>
      </w:r>
      <w:r>
        <w:rPr>
          <w:lang w:val="fr-FR"/>
        </w:rPr>
        <w:t xml:space="preserve">qui </w:t>
      </w:r>
      <w:r w:rsidR="00C32EFB">
        <w:rPr>
          <w:lang w:val="fr-FR"/>
        </w:rPr>
        <w:t xml:space="preserve">ont </w:t>
      </w:r>
      <w:r>
        <w:rPr>
          <w:lang w:val="fr-FR"/>
        </w:rPr>
        <w:t>été accumulée</w:t>
      </w:r>
      <w:r w:rsidR="00C32EFB">
        <w:rPr>
          <w:lang w:val="fr-FR"/>
        </w:rPr>
        <w:t>s</w:t>
      </w:r>
      <w:r>
        <w:rPr>
          <w:lang w:val="fr-FR"/>
        </w:rPr>
        <w:t xml:space="preserve"> au fil des </w:t>
      </w:r>
      <w:r w:rsidRPr="00ED0ACA">
        <w:rPr>
          <w:lang w:val="fr-FR"/>
        </w:rPr>
        <w:t>34 années de fonctionnement de l</w:t>
      </w:r>
      <w:r w:rsidR="009546A6">
        <w:rPr>
          <w:lang w:val="fr-FR"/>
        </w:rPr>
        <w:t>’</w:t>
      </w:r>
      <w:r w:rsidR="003D6EF6">
        <w:rPr>
          <w:lang w:val="fr-FR"/>
        </w:rPr>
        <w:t>A</w:t>
      </w:r>
      <w:r w:rsidRPr="00ED0ACA">
        <w:rPr>
          <w:lang w:val="fr-FR"/>
        </w:rPr>
        <w:t xml:space="preserve">ccord </w:t>
      </w:r>
      <w:r w:rsidR="00E3399D">
        <w:rPr>
          <w:lang w:val="fr-FR"/>
        </w:rPr>
        <w:t xml:space="preserve">EUR-OPA </w:t>
      </w:r>
      <w:r w:rsidR="00684078">
        <w:rPr>
          <w:lang w:val="fr-FR"/>
        </w:rPr>
        <w:t>R</w:t>
      </w:r>
      <w:r w:rsidR="00E3399D">
        <w:rPr>
          <w:lang w:val="fr-FR"/>
        </w:rPr>
        <w:t>isques majeurs</w:t>
      </w:r>
      <w:r w:rsidRPr="00ED0ACA">
        <w:rPr>
          <w:lang w:val="fr-FR"/>
        </w:rPr>
        <w:t xml:space="preserve">, </w:t>
      </w:r>
      <w:r w:rsidR="00C32EFB">
        <w:rPr>
          <w:lang w:val="fr-FR"/>
        </w:rPr>
        <w:t xml:space="preserve">dispense </w:t>
      </w:r>
      <w:r w:rsidRPr="00ED0ACA">
        <w:rPr>
          <w:lang w:val="fr-FR"/>
        </w:rPr>
        <w:t xml:space="preserve">des conseils et une assistance spécialisée </w:t>
      </w:r>
      <w:r>
        <w:rPr>
          <w:lang w:val="fr-FR"/>
        </w:rPr>
        <w:t xml:space="preserve">en matière de </w:t>
      </w:r>
      <w:r w:rsidRPr="00ED0ACA">
        <w:rPr>
          <w:lang w:val="fr-FR"/>
        </w:rPr>
        <w:t xml:space="preserve">prévention, </w:t>
      </w:r>
      <w:r>
        <w:rPr>
          <w:lang w:val="fr-FR"/>
        </w:rPr>
        <w:t xml:space="preserve">de </w:t>
      </w:r>
      <w:r w:rsidRPr="00ED0ACA">
        <w:rPr>
          <w:lang w:val="fr-FR"/>
        </w:rPr>
        <w:t xml:space="preserve">préparation et </w:t>
      </w:r>
      <w:r>
        <w:rPr>
          <w:lang w:val="fr-FR"/>
        </w:rPr>
        <w:t>d</w:t>
      </w:r>
      <w:r w:rsidR="00684078">
        <w:rPr>
          <w:lang w:val="fr-FR"/>
        </w:rPr>
        <w:t>’intervention</w:t>
      </w:r>
      <w:r w:rsidRPr="00ED0ACA">
        <w:rPr>
          <w:lang w:val="fr-FR"/>
        </w:rPr>
        <w:t xml:space="preserve"> face aux catastrophes naturelles, technologiques et biologiques majeures. </w:t>
      </w:r>
    </w:p>
    <w:p w14:paraId="1F3AA6DE" w14:textId="433D9CE7" w:rsidR="007831AE" w:rsidRPr="001D7A01" w:rsidRDefault="00ED0ACA" w:rsidP="00194BD5">
      <w:pPr>
        <w:jc w:val="both"/>
        <w:rPr>
          <w:lang w:val="fr-FR"/>
        </w:rPr>
      </w:pPr>
      <w:r w:rsidRPr="001D7A01">
        <w:rPr>
          <w:lang w:val="fr-FR"/>
        </w:rPr>
        <w:t>Cela englobe </w:t>
      </w:r>
      <w:r w:rsidR="00E35B59" w:rsidRPr="001D7A01">
        <w:rPr>
          <w:lang w:val="fr-FR"/>
        </w:rPr>
        <w:t>:</w:t>
      </w:r>
    </w:p>
    <w:p w14:paraId="04BF1396" w14:textId="5816CD3D" w:rsidR="00ED0ACA" w:rsidRPr="005040A0" w:rsidRDefault="00ED0ACA" w:rsidP="00ED0ACA">
      <w:pPr>
        <w:numPr>
          <w:ilvl w:val="0"/>
          <w:numId w:val="6"/>
        </w:numPr>
        <w:spacing w:line="256" w:lineRule="auto"/>
        <w:ind w:left="709" w:hanging="283"/>
        <w:jc w:val="both"/>
        <w:rPr>
          <w:rFonts w:eastAsia="Arial Unicode MS" w:cstheme="minorHAnsi"/>
          <w:spacing w:val="-5"/>
          <w:lang w:val="fr-FR" w:eastAsia="zh-CN"/>
        </w:rPr>
      </w:pPr>
      <w:proofErr w:type="gramStart"/>
      <w:r w:rsidRPr="005040A0">
        <w:rPr>
          <w:rFonts w:eastAsia="Arial Unicode MS" w:cstheme="minorHAnsi"/>
          <w:spacing w:val="-5"/>
          <w:lang w:val="fr-FR" w:eastAsia="zh-CN"/>
        </w:rPr>
        <w:t>des</w:t>
      </w:r>
      <w:proofErr w:type="gramEnd"/>
      <w:r w:rsidRPr="005040A0">
        <w:rPr>
          <w:rFonts w:eastAsia="Arial Unicode MS" w:cstheme="minorHAnsi"/>
          <w:spacing w:val="-5"/>
          <w:lang w:val="fr-FR" w:eastAsia="zh-CN"/>
        </w:rPr>
        <w:t xml:space="preserve"> instruments fondés sur la connaissance</w:t>
      </w:r>
      <w:r w:rsidR="00EF4D19">
        <w:rPr>
          <w:rFonts w:eastAsia="Arial Unicode MS" w:cstheme="minorHAnsi"/>
          <w:spacing w:val="-5"/>
          <w:lang w:val="fr-FR" w:eastAsia="zh-CN"/>
        </w:rPr>
        <w:t>, qui</w:t>
      </w:r>
      <w:r w:rsidRPr="005040A0">
        <w:rPr>
          <w:rFonts w:eastAsia="Arial Unicode MS" w:cstheme="minorHAnsi"/>
          <w:spacing w:val="-5"/>
          <w:lang w:val="fr-FR" w:eastAsia="zh-CN"/>
        </w:rPr>
        <w:t xml:space="preserve"> </w:t>
      </w:r>
      <w:r>
        <w:rPr>
          <w:rFonts w:eastAsia="Arial Unicode MS" w:cstheme="minorHAnsi"/>
          <w:spacing w:val="-5"/>
          <w:lang w:val="fr-FR" w:eastAsia="zh-CN"/>
        </w:rPr>
        <w:t>serv</w:t>
      </w:r>
      <w:r w:rsidR="00EF4D19">
        <w:rPr>
          <w:rFonts w:eastAsia="Arial Unicode MS" w:cstheme="minorHAnsi"/>
          <w:spacing w:val="-5"/>
          <w:lang w:val="fr-FR" w:eastAsia="zh-CN"/>
        </w:rPr>
        <w:t>e</w:t>
      </w:r>
      <w:r>
        <w:rPr>
          <w:rFonts w:eastAsia="Arial Unicode MS" w:cstheme="minorHAnsi"/>
          <w:spacing w:val="-5"/>
          <w:lang w:val="fr-FR" w:eastAsia="zh-CN"/>
        </w:rPr>
        <w:t xml:space="preserve">nt à </w:t>
      </w:r>
      <w:r w:rsidRPr="005040A0">
        <w:rPr>
          <w:rFonts w:eastAsia="Arial Unicode MS" w:cstheme="minorHAnsi"/>
          <w:spacing w:val="-5"/>
          <w:lang w:val="fr-FR" w:eastAsia="zh-CN"/>
        </w:rPr>
        <w:t xml:space="preserve">évaluer et </w:t>
      </w:r>
      <w:r>
        <w:rPr>
          <w:rFonts w:eastAsia="Arial Unicode MS" w:cstheme="minorHAnsi"/>
          <w:spacing w:val="-5"/>
          <w:lang w:val="fr-FR" w:eastAsia="zh-CN"/>
        </w:rPr>
        <w:t xml:space="preserve">à </w:t>
      </w:r>
      <w:r w:rsidRPr="005040A0">
        <w:rPr>
          <w:rFonts w:eastAsia="Arial Unicode MS" w:cstheme="minorHAnsi"/>
          <w:spacing w:val="-5"/>
          <w:lang w:val="fr-FR" w:eastAsia="zh-CN"/>
        </w:rPr>
        <w:t>réduire la vulnérabilité par la science, la technologie, l</w:t>
      </w:r>
      <w:r w:rsidR="009546A6">
        <w:rPr>
          <w:rFonts w:eastAsia="Arial Unicode MS" w:cstheme="minorHAnsi"/>
          <w:spacing w:val="-5"/>
          <w:lang w:val="fr-FR" w:eastAsia="zh-CN"/>
        </w:rPr>
        <w:t>’</w:t>
      </w:r>
      <w:r w:rsidRPr="005040A0">
        <w:rPr>
          <w:rFonts w:eastAsia="Arial Unicode MS" w:cstheme="minorHAnsi"/>
          <w:spacing w:val="-5"/>
          <w:lang w:val="fr-FR" w:eastAsia="zh-CN"/>
        </w:rPr>
        <w:t>éducation et la formation</w:t>
      </w:r>
      <w:r w:rsidR="009546A6">
        <w:rPr>
          <w:rFonts w:eastAsia="Arial Unicode MS" w:cstheme="minorHAnsi"/>
          <w:spacing w:val="-5"/>
          <w:lang w:val="fr-FR" w:eastAsia="zh-CN"/>
        </w:rPr>
        <w:t> </w:t>
      </w:r>
      <w:r w:rsidRPr="005040A0">
        <w:rPr>
          <w:rFonts w:eastAsia="Arial Unicode MS" w:cstheme="minorHAnsi"/>
          <w:spacing w:val="-5"/>
          <w:lang w:val="fr-FR" w:eastAsia="zh-CN"/>
        </w:rPr>
        <w:t>;</w:t>
      </w:r>
    </w:p>
    <w:p w14:paraId="315F126C" w14:textId="35C1FC30" w:rsidR="00ED0ACA" w:rsidRPr="005040A0" w:rsidRDefault="001A1DEB" w:rsidP="00ED0ACA">
      <w:pPr>
        <w:numPr>
          <w:ilvl w:val="0"/>
          <w:numId w:val="6"/>
        </w:numPr>
        <w:spacing w:line="256" w:lineRule="auto"/>
        <w:ind w:left="709" w:hanging="283"/>
        <w:jc w:val="both"/>
        <w:rPr>
          <w:rFonts w:eastAsia="Arial Unicode MS" w:cstheme="minorHAnsi"/>
          <w:spacing w:val="-5"/>
          <w:lang w:val="fr-FR" w:eastAsia="zh-CN"/>
        </w:rPr>
      </w:pPr>
      <w:proofErr w:type="gramStart"/>
      <w:r>
        <w:rPr>
          <w:rFonts w:eastAsia="Arial Unicode MS" w:cstheme="minorHAnsi"/>
          <w:spacing w:val="-5"/>
          <w:lang w:val="fr-FR" w:eastAsia="zh-CN"/>
        </w:rPr>
        <w:t>la</w:t>
      </w:r>
      <w:proofErr w:type="gramEnd"/>
      <w:r>
        <w:rPr>
          <w:rFonts w:eastAsia="Arial Unicode MS" w:cstheme="minorHAnsi"/>
          <w:spacing w:val="-5"/>
          <w:lang w:val="fr-FR" w:eastAsia="zh-CN"/>
        </w:rPr>
        <w:t xml:space="preserve"> fourniture de </w:t>
      </w:r>
      <w:r w:rsidR="00ED0ACA">
        <w:rPr>
          <w:rFonts w:eastAsia="Arial Unicode MS" w:cstheme="minorHAnsi"/>
          <w:spacing w:val="-5"/>
          <w:lang w:val="fr-FR" w:eastAsia="zh-CN"/>
        </w:rPr>
        <w:t xml:space="preserve">conseils </w:t>
      </w:r>
      <w:r w:rsidR="00ED0ACA" w:rsidRPr="005040A0">
        <w:rPr>
          <w:rFonts w:eastAsia="Arial Unicode MS" w:cstheme="minorHAnsi"/>
          <w:spacing w:val="-5"/>
          <w:lang w:val="fr-FR" w:eastAsia="zh-CN"/>
        </w:rPr>
        <w:t xml:space="preserve">en matière de réduction des risques de catastrophe </w:t>
      </w:r>
      <w:r>
        <w:rPr>
          <w:rFonts w:eastAsia="Arial Unicode MS" w:cstheme="minorHAnsi"/>
          <w:spacing w:val="-5"/>
          <w:lang w:val="fr-FR" w:eastAsia="zh-CN"/>
        </w:rPr>
        <w:t xml:space="preserve">visant à </w:t>
      </w:r>
      <w:r w:rsidR="00ED0ACA" w:rsidRPr="005040A0">
        <w:rPr>
          <w:rFonts w:eastAsia="Arial Unicode MS" w:cstheme="minorHAnsi"/>
          <w:spacing w:val="-5"/>
          <w:lang w:val="fr-FR" w:eastAsia="zh-CN"/>
        </w:rPr>
        <w:t xml:space="preserve">inspirer et </w:t>
      </w:r>
      <w:r>
        <w:rPr>
          <w:rFonts w:eastAsia="Arial Unicode MS" w:cstheme="minorHAnsi"/>
          <w:spacing w:val="-5"/>
          <w:lang w:val="fr-FR" w:eastAsia="zh-CN"/>
        </w:rPr>
        <w:t xml:space="preserve">à </w:t>
      </w:r>
      <w:r w:rsidR="00ED0ACA" w:rsidRPr="005040A0">
        <w:rPr>
          <w:rFonts w:eastAsia="Arial Unicode MS" w:cstheme="minorHAnsi"/>
          <w:spacing w:val="-5"/>
          <w:lang w:val="fr-FR" w:eastAsia="zh-CN"/>
        </w:rPr>
        <w:t xml:space="preserve">promouvoir des politiques </w:t>
      </w:r>
      <w:r>
        <w:rPr>
          <w:rFonts w:eastAsia="Arial Unicode MS" w:cstheme="minorHAnsi"/>
          <w:spacing w:val="-5"/>
          <w:lang w:val="fr-FR" w:eastAsia="zh-CN"/>
        </w:rPr>
        <w:t>judicieuses d’</w:t>
      </w:r>
      <w:r w:rsidR="00ED0ACA" w:rsidRPr="005040A0">
        <w:rPr>
          <w:rFonts w:eastAsia="Arial Unicode MS" w:cstheme="minorHAnsi"/>
          <w:spacing w:val="-5"/>
          <w:lang w:val="fr-FR" w:eastAsia="zh-CN"/>
        </w:rPr>
        <w:t>amélior</w:t>
      </w:r>
      <w:r>
        <w:rPr>
          <w:rFonts w:eastAsia="Arial Unicode MS" w:cstheme="minorHAnsi"/>
          <w:spacing w:val="-5"/>
          <w:lang w:val="fr-FR" w:eastAsia="zh-CN"/>
        </w:rPr>
        <w:t>at</w:t>
      </w:r>
      <w:r w:rsidR="003D442E">
        <w:rPr>
          <w:rFonts w:eastAsia="Arial Unicode MS" w:cstheme="minorHAnsi"/>
          <w:spacing w:val="-5"/>
          <w:lang w:val="fr-FR" w:eastAsia="zh-CN"/>
        </w:rPr>
        <w:t>i</w:t>
      </w:r>
      <w:r>
        <w:rPr>
          <w:rFonts w:eastAsia="Arial Unicode MS" w:cstheme="minorHAnsi"/>
          <w:spacing w:val="-5"/>
          <w:lang w:val="fr-FR" w:eastAsia="zh-CN"/>
        </w:rPr>
        <w:t>on de</w:t>
      </w:r>
      <w:r w:rsidR="00ED0ACA" w:rsidRPr="005040A0">
        <w:rPr>
          <w:rFonts w:eastAsia="Arial Unicode MS" w:cstheme="minorHAnsi"/>
          <w:spacing w:val="-5"/>
          <w:lang w:val="fr-FR" w:eastAsia="zh-CN"/>
        </w:rPr>
        <w:t xml:space="preserve"> la gouvernance de </w:t>
      </w:r>
      <w:r>
        <w:rPr>
          <w:rFonts w:eastAsia="Arial Unicode MS" w:cstheme="minorHAnsi"/>
          <w:spacing w:val="-5"/>
          <w:lang w:val="fr-FR" w:eastAsia="zh-CN"/>
        </w:rPr>
        <w:t xml:space="preserve">la </w:t>
      </w:r>
      <w:r w:rsidR="00ED0ACA" w:rsidRPr="005040A0">
        <w:rPr>
          <w:rFonts w:eastAsia="Arial Unicode MS" w:cstheme="minorHAnsi"/>
          <w:spacing w:val="-5"/>
          <w:lang w:val="fr-FR" w:eastAsia="zh-CN"/>
        </w:rPr>
        <w:t>prévention et de</w:t>
      </w:r>
      <w:r w:rsidR="00684078">
        <w:rPr>
          <w:rFonts w:eastAsia="Arial Unicode MS" w:cstheme="minorHAnsi"/>
          <w:spacing w:val="-5"/>
          <w:lang w:val="fr-FR" w:eastAsia="zh-CN"/>
        </w:rPr>
        <w:t>s interventions</w:t>
      </w:r>
      <w:r w:rsidR="009546A6">
        <w:rPr>
          <w:rFonts w:eastAsia="Arial Unicode MS" w:cstheme="minorHAnsi"/>
          <w:spacing w:val="-5"/>
          <w:lang w:val="fr-FR" w:eastAsia="zh-CN"/>
        </w:rPr>
        <w:t> </w:t>
      </w:r>
      <w:r w:rsidR="00ED0ACA" w:rsidRPr="005040A0">
        <w:rPr>
          <w:rFonts w:eastAsia="Arial Unicode MS" w:cstheme="minorHAnsi"/>
          <w:spacing w:val="-5"/>
          <w:lang w:val="fr-FR" w:eastAsia="zh-CN"/>
        </w:rPr>
        <w:t>;</w:t>
      </w:r>
    </w:p>
    <w:p w14:paraId="2752842A" w14:textId="2586A973" w:rsidR="00ED0ACA" w:rsidRPr="005040A0" w:rsidRDefault="00ED0ACA" w:rsidP="00ED0ACA">
      <w:pPr>
        <w:numPr>
          <w:ilvl w:val="0"/>
          <w:numId w:val="6"/>
        </w:numPr>
        <w:spacing w:line="256" w:lineRule="auto"/>
        <w:ind w:left="709" w:hanging="283"/>
        <w:jc w:val="both"/>
        <w:rPr>
          <w:rFonts w:eastAsia="Arial Unicode MS" w:cstheme="minorHAnsi"/>
          <w:spacing w:val="-5"/>
          <w:lang w:val="fr-FR" w:eastAsia="zh-CN"/>
        </w:rPr>
      </w:pPr>
      <w:proofErr w:type="gramStart"/>
      <w:r w:rsidRPr="005040A0">
        <w:rPr>
          <w:rFonts w:eastAsia="Arial Unicode MS" w:cstheme="minorHAnsi"/>
          <w:spacing w:val="-5"/>
          <w:lang w:val="fr-FR" w:eastAsia="zh-CN"/>
        </w:rPr>
        <w:t>une</w:t>
      </w:r>
      <w:proofErr w:type="gramEnd"/>
      <w:r w:rsidRPr="005040A0">
        <w:rPr>
          <w:rFonts w:eastAsia="Arial Unicode MS" w:cstheme="minorHAnsi"/>
          <w:spacing w:val="-5"/>
          <w:lang w:val="fr-FR" w:eastAsia="zh-CN"/>
        </w:rPr>
        <w:t xml:space="preserve"> approche régionale coordonnée </w:t>
      </w:r>
      <w:r w:rsidR="001A1DEB">
        <w:rPr>
          <w:rFonts w:eastAsia="Arial Unicode MS" w:cstheme="minorHAnsi"/>
          <w:spacing w:val="-5"/>
          <w:lang w:val="fr-FR" w:eastAsia="zh-CN"/>
        </w:rPr>
        <w:t xml:space="preserve">de traitement </w:t>
      </w:r>
      <w:r w:rsidRPr="005040A0">
        <w:rPr>
          <w:rFonts w:eastAsia="Arial Unicode MS" w:cstheme="minorHAnsi"/>
          <w:spacing w:val="-5"/>
          <w:lang w:val="fr-FR" w:eastAsia="zh-CN"/>
        </w:rPr>
        <w:t xml:space="preserve">de </w:t>
      </w:r>
      <w:r w:rsidR="007E67F4">
        <w:rPr>
          <w:rFonts w:eastAsia="Arial Unicode MS" w:cstheme="minorHAnsi"/>
          <w:spacing w:val="-5"/>
          <w:lang w:val="fr-FR" w:eastAsia="zh-CN"/>
        </w:rPr>
        <w:t xml:space="preserve">problèmes </w:t>
      </w:r>
      <w:r w:rsidRPr="005040A0">
        <w:rPr>
          <w:rFonts w:eastAsia="Arial Unicode MS" w:cstheme="minorHAnsi"/>
          <w:spacing w:val="-5"/>
          <w:lang w:val="fr-FR" w:eastAsia="zh-CN"/>
        </w:rPr>
        <w:t xml:space="preserve">importants souvent négligés et </w:t>
      </w:r>
      <w:r w:rsidR="001A1DEB">
        <w:rPr>
          <w:rFonts w:eastAsia="Arial Unicode MS" w:cstheme="minorHAnsi"/>
          <w:spacing w:val="-5"/>
          <w:lang w:val="fr-FR" w:eastAsia="zh-CN"/>
        </w:rPr>
        <w:t xml:space="preserve">de </w:t>
      </w:r>
      <w:r w:rsidR="007E67F4">
        <w:rPr>
          <w:rFonts w:eastAsia="Arial Unicode MS" w:cstheme="minorHAnsi"/>
          <w:spacing w:val="-5"/>
          <w:lang w:val="fr-FR" w:eastAsia="zh-CN"/>
        </w:rPr>
        <w:t xml:space="preserve">détermination </w:t>
      </w:r>
      <w:r w:rsidRPr="005040A0">
        <w:rPr>
          <w:rFonts w:eastAsia="Arial Unicode MS" w:cstheme="minorHAnsi"/>
          <w:spacing w:val="-5"/>
          <w:lang w:val="fr-FR" w:eastAsia="zh-CN"/>
        </w:rPr>
        <w:t xml:space="preserve">de </w:t>
      </w:r>
      <w:r w:rsidR="001A1DEB">
        <w:rPr>
          <w:rFonts w:eastAsia="Arial Unicode MS" w:cstheme="minorHAnsi"/>
          <w:spacing w:val="-5"/>
          <w:lang w:val="fr-FR" w:eastAsia="zh-CN"/>
        </w:rPr>
        <w:t>dispositifs permettant d’</w:t>
      </w:r>
      <w:r w:rsidRPr="005040A0">
        <w:rPr>
          <w:rFonts w:eastAsia="Arial Unicode MS" w:cstheme="minorHAnsi"/>
          <w:spacing w:val="-5"/>
          <w:lang w:val="fr-FR" w:eastAsia="zh-CN"/>
        </w:rPr>
        <w:t>y faire face.</w:t>
      </w:r>
    </w:p>
    <w:p w14:paraId="78F2F708" w14:textId="2886486F" w:rsidR="00E26D84" w:rsidRPr="005040A0" w:rsidRDefault="00E26D84" w:rsidP="00E26D84">
      <w:pPr>
        <w:jc w:val="both"/>
        <w:rPr>
          <w:lang w:val="fr-FR"/>
        </w:rPr>
      </w:pPr>
      <w:r w:rsidRPr="005040A0">
        <w:rPr>
          <w:lang w:val="fr-FR"/>
        </w:rPr>
        <w:t>L</w:t>
      </w:r>
      <w:r w:rsidR="009546A6">
        <w:rPr>
          <w:lang w:val="fr-FR"/>
        </w:rPr>
        <w:t>’</w:t>
      </w:r>
      <w:r w:rsidRPr="005040A0">
        <w:rPr>
          <w:lang w:val="fr-FR"/>
        </w:rPr>
        <w:t xml:space="preserve">APE soutient </w:t>
      </w:r>
      <w:r w:rsidR="00585D05">
        <w:rPr>
          <w:lang w:val="fr-FR"/>
        </w:rPr>
        <w:t xml:space="preserve">le travail en </w:t>
      </w:r>
      <w:r w:rsidRPr="005040A0">
        <w:rPr>
          <w:lang w:val="fr-FR"/>
        </w:rPr>
        <w:t>réseau et les échanges entre États membres, notamment en vue de favoriser</w:t>
      </w:r>
      <w:r w:rsidR="009546A6">
        <w:rPr>
          <w:lang w:val="fr-FR"/>
        </w:rPr>
        <w:t> </w:t>
      </w:r>
      <w:r w:rsidRPr="005040A0">
        <w:rPr>
          <w:lang w:val="fr-FR"/>
        </w:rPr>
        <w:t>:</w:t>
      </w:r>
    </w:p>
    <w:p w14:paraId="6646BF85" w14:textId="35817CEF" w:rsidR="00C46A65" w:rsidRPr="005040A0" w:rsidRDefault="00C46A65" w:rsidP="00C46A65">
      <w:pPr>
        <w:numPr>
          <w:ilvl w:val="0"/>
          <w:numId w:val="7"/>
        </w:numPr>
        <w:ind w:left="709" w:hanging="283"/>
        <w:jc w:val="both"/>
        <w:rPr>
          <w:lang w:val="fr-FR"/>
        </w:rPr>
      </w:pPr>
      <w:proofErr w:type="gramStart"/>
      <w:r w:rsidRPr="005040A0">
        <w:rPr>
          <w:lang w:val="fr-FR"/>
        </w:rPr>
        <w:t>des</w:t>
      </w:r>
      <w:proofErr w:type="gramEnd"/>
      <w:r w:rsidRPr="005040A0">
        <w:rPr>
          <w:lang w:val="fr-FR"/>
        </w:rPr>
        <w:t xml:space="preserve"> projets scientifiques et techniques </w:t>
      </w:r>
      <w:r>
        <w:rPr>
          <w:lang w:val="fr-FR"/>
        </w:rPr>
        <w:t xml:space="preserve">conçus </w:t>
      </w:r>
      <w:r w:rsidRPr="005040A0">
        <w:rPr>
          <w:lang w:val="fr-FR"/>
        </w:rPr>
        <w:t>par le réseau de centres scientifiques spécialisés de l</w:t>
      </w:r>
      <w:r w:rsidR="009546A6">
        <w:rPr>
          <w:lang w:val="fr-FR"/>
        </w:rPr>
        <w:t>’</w:t>
      </w:r>
      <w:r w:rsidRPr="005040A0">
        <w:rPr>
          <w:lang w:val="fr-FR"/>
        </w:rPr>
        <w:t xml:space="preserve">EPA intégrant tous les centres spécialisés </w:t>
      </w:r>
      <w:r w:rsidR="00585D05">
        <w:rPr>
          <w:lang w:val="fr-FR"/>
        </w:rPr>
        <w:t xml:space="preserve">dans le but </w:t>
      </w:r>
      <w:r w:rsidRPr="005040A0">
        <w:rPr>
          <w:lang w:val="fr-FR"/>
        </w:rPr>
        <w:t>de mieux évaluer l</w:t>
      </w:r>
      <w:r w:rsidR="009546A6">
        <w:rPr>
          <w:lang w:val="fr-FR"/>
        </w:rPr>
        <w:t>’</w:t>
      </w:r>
      <w:r w:rsidRPr="005040A0">
        <w:rPr>
          <w:lang w:val="fr-FR"/>
        </w:rPr>
        <w:t xml:space="preserve">évolution des risques et </w:t>
      </w:r>
      <w:r w:rsidR="00C60B0E">
        <w:rPr>
          <w:lang w:val="fr-FR"/>
        </w:rPr>
        <w:t xml:space="preserve">d’ajuster en conséquence </w:t>
      </w:r>
      <w:r w:rsidRPr="005040A0">
        <w:rPr>
          <w:lang w:val="fr-FR"/>
        </w:rPr>
        <w:t xml:space="preserve">les stratégies de </w:t>
      </w:r>
      <w:r w:rsidR="00C60B0E">
        <w:rPr>
          <w:lang w:val="fr-FR"/>
        </w:rPr>
        <w:t>récupération</w:t>
      </w:r>
      <w:r w:rsidR="009546A6">
        <w:rPr>
          <w:lang w:val="fr-FR"/>
        </w:rPr>
        <w:t> </w:t>
      </w:r>
      <w:r w:rsidRPr="005040A0">
        <w:rPr>
          <w:lang w:val="fr-FR"/>
        </w:rPr>
        <w:t>;</w:t>
      </w:r>
    </w:p>
    <w:p w14:paraId="51298481" w14:textId="169E4953" w:rsidR="00C60B0E" w:rsidRPr="005040A0" w:rsidRDefault="006D1446" w:rsidP="00C60B0E">
      <w:pPr>
        <w:numPr>
          <w:ilvl w:val="0"/>
          <w:numId w:val="7"/>
        </w:numPr>
        <w:ind w:left="709" w:hanging="283"/>
        <w:jc w:val="both"/>
        <w:rPr>
          <w:lang w:val="fr-FR"/>
        </w:rPr>
      </w:pPr>
      <w:proofErr w:type="gramStart"/>
      <w:r>
        <w:rPr>
          <w:lang w:val="fr-FR"/>
        </w:rPr>
        <w:t>la</w:t>
      </w:r>
      <w:proofErr w:type="gramEnd"/>
      <w:r>
        <w:rPr>
          <w:lang w:val="fr-FR"/>
        </w:rPr>
        <w:t xml:space="preserve"> préparation de</w:t>
      </w:r>
      <w:r w:rsidR="00C60B0E" w:rsidRPr="005040A0">
        <w:rPr>
          <w:lang w:val="fr-FR"/>
        </w:rPr>
        <w:t xml:space="preserve"> rapports par des consultants </w:t>
      </w:r>
      <w:r w:rsidR="00C60B0E">
        <w:rPr>
          <w:lang w:val="fr-FR"/>
        </w:rPr>
        <w:t xml:space="preserve">en réponse à des </w:t>
      </w:r>
      <w:r w:rsidR="00C60B0E" w:rsidRPr="005040A0">
        <w:rPr>
          <w:lang w:val="fr-FR"/>
        </w:rPr>
        <w:t>demandes spécifiques</w:t>
      </w:r>
      <w:r w:rsidR="009546A6">
        <w:rPr>
          <w:lang w:val="fr-FR"/>
        </w:rPr>
        <w:t> </w:t>
      </w:r>
      <w:r w:rsidR="00C60B0E" w:rsidRPr="005040A0">
        <w:rPr>
          <w:lang w:val="fr-FR"/>
        </w:rPr>
        <w:t>;</w:t>
      </w:r>
    </w:p>
    <w:p w14:paraId="4F294683" w14:textId="7B30702B" w:rsidR="00C60B0E" w:rsidRPr="005040A0" w:rsidRDefault="0038092F" w:rsidP="00C60B0E">
      <w:pPr>
        <w:numPr>
          <w:ilvl w:val="0"/>
          <w:numId w:val="7"/>
        </w:numPr>
        <w:ind w:left="709" w:hanging="283"/>
        <w:jc w:val="both"/>
        <w:rPr>
          <w:lang w:val="fr-FR"/>
        </w:rPr>
      </w:pPr>
      <w:proofErr w:type="gramStart"/>
      <w:r>
        <w:rPr>
          <w:lang w:val="fr-FR"/>
        </w:rPr>
        <w:lastRenderedPageBreak/>
        <w:t>l</w:t>
      </w:r>
      <w:r w:rsidR="00C60B0E" w:rsidRPr="005040A0">
        <w:rPr>
          <w:lang w:val="fr-FR"/>
        </w:rPr>
        <w:t>es</w:t>
      </w:r>
      <w:proofErr w:type="gramEnd"/>
      <w:r w:rsidR="00C60B0E" w:rsidRPr="005040A0">
        <w:rPr>
          <w:lang w:val="fr-FR"/>
        </w:rPr>
        <w:t xml:space="preserve"> contributions de gouvernements </w:t>
      </w:r>
      <w:r w:rsidR="00C60B0E">
        <w:rPr>
          <w:lang w:val="fr-FR"/>
        </w:rPr>
        <w:t>d’</w:t>
      </w:r>
      <w:r w:rsidR="00C60B0E" w:rsidRPr="005040A0">
        <w:rPr>
          <w:lang w:val="fr-FR"/>
        </w:rPr>
        <w:t xml:space="preserve">États membres à des projets ou à des recherches </w:t>
      </w:r>
      <w:r w:rsidR="00C60B0E">
        <w:rPr>
          <w:lang w:val="fr-FR"/>
        </w:rPr>
        <w:t xml:space="preserve">intéressant </w:t>
      </w:r>
      <w:r w:rsidR="00C60B0E" w:rsidRPr="005040A0">
        <w:rPr>
          <w:lang w:val="fr-FR"/>
        </w:rPr>
        <w:t>particuli</w:t>
      </w:r>
      <w:r w:rsidR="00C60B0E">
        <w:rPr>
          <w:lang w:val="fr-FR"/>
        </w:rPr>
        <w:t>èrement</w:t>
      </w:r>
      <w:r w:rsidR="00C60B0E" w:rsidRPr="005040A0">
        <w:rPr>
          <w:lang w:val="fr-FR"/>
        </w:rPr>
        <w:t xml:space="preserve"> d</w:t>
      </w:r>
      <w:r w:rsidR="009546A6">
        <w:rPr>
          <w:lang w:val="fr-FR"/>
        </w:rPr>
        <w:t>’</w:t>
      </w:r>
      <w:r w:rsidR="00C60B0E" w:rsidRPr="005040A0">
        <w:rPr>
          <w:lang w:val="fr-FR"/>
        </w:rPr>
        <w:t>autres États</w:t>
      </w:r>
      <w:r w:rsidR="009546A6">
        <w:rPr>
          <w:lang w:val="fr-FR"/>
        </w:rPr>
        <w:t> </w:t>
      </w:r>
      <w:r w:rsidR="00C60B0E" w:rsidRPr="005040A0">
        <w:rPr>
          <w:lang w:val="fr-FR"/>
        </w:rPr>
        <w:t>;</w:t>
      </w:r>
    </w:p>
    <w:p w14:paraId="15A65F57" w14:textId="062E873E" w:rsidR="00137A77" w:rsidRPr="00C60B0E" w:rsidRDefault="00585D05" w:rsidP="00C60B0E">
      <w:pPr>
        <w:numPr>
          <w:ilvl w:val="0"/>
          <w:numId w:val="7"/>
        </w:numPr>
        <w:ind w:left="709" w:hanging="283"/>
        <w:jc w:val="both"/>
        <w:rPr>
          <w:lang w:val="fr-FR"/>
        </w:rPr>
      </w:pPr>
      <w:proofErr w:type="gramStart"/>
      <w:r>
        <w:rPr>
          <w:lang w:val="fr-FR"/>
        </w:rPr>
        <w:t>la</w:t>
      </w:r>
      <w:proofErr w:type="gramEnd"/>
      <w:r>
        <w:rPr>
          <w:lang w:val="fr-FR"/>
        </w:rPr>
        <w:t xml:space="preserve"> préparation d’</w:t>
      </w:r>
      <w:r w:rsidR="00C60B0E" w:rsidRPr="005040A0">
        <w:rPr>
          <w:lang w:val="fr-FR"/>
        </w:rPr>
        <w:t xml:space="preserve">informations par les groupes de travail créés </w:t>
      </w:r>
      <w:r w:rsidR="00E60920">
        <w:rPr>
          <w:lang w:val="fr-FR"/>
        </w:rPr>
        <w:t xml:space="preserve">dans le cadre </w:t>
      </w:r>
      <w:r w:rsidR="00C60B0E" w:rsidRPr="005040A0">
        <w:rPr>
          <w:lang w:val="fr-FR"/>
        </w:rPr>
        <w:t>de l</w:t>
      </w:r>
      <w:r w:rsidR="009546A6">
        <w:rPr>
          <w:lang w:val="fr-FR"/>
        </w:rPr>
        <w:t>’</w:t>
      </w:r>
      <w:r w:rsidR="00C60B0E" w:rsidRPr="005040A0">
        <w:rPr>
          <w:lang w:val="fr-FR"/>
        </w:rPr>
        <w:t xml:space="preserve">APE pour examiner des </w:t>
      </w:r>
      <w:r w:rsidR="00C60B0E">
        <w:rPr>
          <w:lang w:val="fr-FR"/>
        </w:rPr>
        <w:t xml:space="preserve">points </w:t>
      </w:r>
      <w:r w:rsidR="00C60B0E" w:rsidRPr="005040A0">
        <w:rPr>
          <w:lang w:val="fr-FR"/>
        </w:rPr>
        <w:t xml:space="preserve">techniques </w:t>
      </w:r>
      <w:r w:rsidR="00C60B0E">
        <w:rPr>
          <w:lang w:val="fr-FR"/>
        </w:rPr>
        <w:t xml:space="preserve">présentant un </w:t>
      </w:r>
      <w:r w:rsidR="00C60B0E" w:rsidRPr="005040A0">
        <w:rPr>
          <w:lang w:val="fr-FR"/>
        </w:rPr>
        <w:t>intérêt commun.</w:t>
      </w:r>
    </w:p>
    <w:p w14:paraId="2AA4513E" w14:textId="4381E87F" w:rsidR="007831AE" w:rsidRPr="00ED0ACA" w:rsidRDefault="00E35B59" w:rsidP="00194BD5">
      <w:pPr>
        <w:jc w:val="both"/>
        <w:rPr>
          <w:lang w:val="fr-FR"/>
        </w:rPr>
      </w:pPr>
      <w:r w:rsidRPr="00ED0ACA">
        <w:rPr>
          <w:b/>
          <w:bCs/>
          <w:lang w:val="fr-FR"/>
        </w:rPr>
        <w:t xml:space="preserve">1.3       </w:t>
      </w:r>
      <w:r w:rsidR="00C60B0E" w:rsidRPr="005040A0">
        <w:rPr>
          <w:b/>
          <w:bCs/>
          <w:lang w:val="fr-FR"/>
        </w:rPr>
        <w:t>Programme d</w:t>
      </w:r>
      <w:r w:rsidR="009546A6">
        <w:rPr>
          <w:b/>
          <w:bCs/>
          <w:lang w:val="fr-FR"/>
        </w:rPr>
        <w:t>’</w:t>
      </w:r>
      <w:r w:rsidR="00C60B0E" w:rsidRPr="005040A0">
        <w:rPr>
          <w:b/>
          <w:bCs/>
          <w:lang w:val="fr-FR"/>
        </w:rPr>
        <w:t>activité</w:t>
      </w:r>
      <w:r w:rsidR="009A4F0F">
        <w:rPr>
          <w:b/>
          <w:bCs/>
          <w:lang w:val="fr-FR"/>
        </w:rPr>
        <w:t>s</w:t>
      </w:r>
    </w:p>
    <w:p w14:paraId="18F368D5" w14:textId="2B7AD389" w:rsidR="00C60B0E" w:rsidRPr="005040A0" w:rsidRDefault="00C60B0E" w:rsidP="00C60B0E">
      <w:pPr>
        <w:jc w:val="both"/>
        <w:rPr>
          <w:lang w:val="fr-FR"/>
        </w:rPr>
      </w:pPr>
      <w:r w:rsidRPr="005040A0">
        <w:rPr>
          <w:lang w:val="fr-FR"/>
        </w:rPr>
        <w:t>L</w:t>
      </w:r>
      <w:r w:rsidR="009546A6">
        <w:rPr>
          <w:lang w:val="fr-FR"/>
        </w:rPr>
        <w:t>’</w:t>
      </w:r>
      <w:r w:rsidRPr="005040A0">
        <w:rPr>
          <w:lang w:val="fr-FR"/>
        </w:rPr>
        <w:t xml:space="preserve">APE </w:t>
      </w:r>
      <w:r>
        <w:rPr>
          <w:lang w:val="fr-FR"/>
        </w:rPr>
        <w:t xml:space="preserve">réalise le </w:t>
      </w:r>
      <w:r w:rsidRPr="005040A0">
        <w:rPr>
          <w:lang w:val="fr-FR"/>
        </w:rPr>
        <w:t>programme d</w:t>
      </w:r>
      <w:r w:rsidR="009546A6">
        <w:rPr>
          <w:lang w:val="fr-FR"/>
        </w:rPr>
        <w:t>’</w:t>
      </w:r>
      <w:r w:rsidRPr="005040A0">
        <w:rPr>
          <w:lang w:val="fr-FR"/>
        </w:rPr>
        <w:t>activité</w:t>
      </w:r>
      <w:r w:rsidR="009A4F0F">
        <w:rPr>
          <w:lang w:val="fr-FR"/>
        </w:rPr>
        <w:t>s</w:t>
      </w:r>
      <w:r w:rsidRPr="005040A0">
        <w:rPr>
          <w:lang w:val="fr-FR"/>
        </w:rPr>
        <w:t xml:space="preserve"> </w:t>
      </w:r>
      <w:r>
        <w:rPr>
          <w:lang w:val="fr-FR"/>
        </w:rPr>
        <w:t xml:space="preserve">dont convient </w:t>
      </w:r>
      <w:r w:rsidRPr="005040A0">
        <w:rPr>
          <w:lang w:val="fr-FR"/>
        </w:rPr>
        <w:t xml:space="preserve">le Comité des </w:t>
      </w:r>
      <w:r w:rsidR="00FB46B5">
        <w:rPr>
          <w:lang w:val="fr-FR"/>
        </w:rPr>
        <w:t>C</w:t>
      </w:r>
      <w:r w:rsidRPr="005040A0">
        <w:rPr>
          <w:lang w:val="fr-FR"/>
        </w:rPr>
        <w:t>orrespondants permanents.</w:t>
      </w:r>
    </w:p>
    <w:p w14:paraId="71C21752" w14:textId="77777777" w:rsidR="00DD428F" w:rsidRPr="00ED0ACA" w:rsidRDefault="00DD428F" w:rsidP="00194BD5">
      <w:pPr>
        <w:jc w:val="both"/>
        <w:rPr>
          <w:lang w:val="fr-FR"/>
        </w:rPr>
      </w:pPr>
    </w:p>
    <w:p w14:paraId="3E05A298" w14:textId="1F24FD5E" w:rsidR="007831AE" w:rsidRPr="001D7A01" w:rsidRDefault="00E35B59" w:rsidP="00194BD5">
      <w:pPr>
        <w:jc w:val="both"/>
        <w:rPr>
          <w:lang w:val="fr-FR"/>
        </w:rPr>
      </w:pPr>
      <w:r w:rsidRPr="001D7A01">
        <w:rPr>
          <w:b/>
          <w:bCs/>
          <w:lang w:val="fr-FR"/>
        </w:rPr>
        <w:t>Article</w:t>
      </w:r>
      <w:r w:rsidR="009546A6" w:rsidRPr="001D7A01">
        <w:rPr>
          <w:b/>
          <w:bCs/>
          <w:lang w:val="fr-FR"/>
        </w:rPr>
        <w:t> </w:t>
      </w:r>
      <w:r w:rsidRPr="001D7A01">
        <w:rPr>
          <w:b/>
          <w:bCs/>
          <w:lang w:val="fr-FR"/>
        </w:rPr>
        <w:t xml:space="preserve">2 </w:t>
      </w:r>
      <w:r w:rsidR="009546A6" w:rsidRPr="001D7A01">
        <w:rPr>
          <w:b/>
          <w:bCs/>
          <w:lang w:val="fr-FR"/>
        </w:rPr>
        <w:t>—</w:t>
      </w:r>
      <w:r w:rsidRPr="001D7A01">
        <w:rPr>
          <w:b/>
          <w:bCs/>
          <w:lang w:val="fr-FR"/>
        </w:rPr>
        <w:t xml:space="preserve"> A</w:t>
      </w:r>
      <w:r w:rsidR="00684078">
        <w:rPr>
          <w:b/>
          <w:bCs/>
          <w:lang w:val="fr-FR"/>
        </w:rPr>
        <w:t>dhés</w:t>
      </w:r>
      <w:r w:rsidRPr="001D7A01">
        <w:rPr>
          <w:b/>
          <w:bCs/>
          <w:lang w:val="fr-FR"/>
        </w:rPr>
        <w:t xml:space="preserve">ion </w:t>
      </w:r>
      <w:r w:rsidR="00A609DA" w:rsidRPr="001D7A01">
        <w:rPr>
          <w:b/>
          <w:bCs/>
          <w:lang w:val="fr-FR"/>
        </w:rPr>
        <w:t xml:space="preserve">et </w:t>
      </w:r>
      <w:r w:rsidRPr="001D7A01">
        <w:rPr>
          <w:b/>
          <w:bCs/>
          <w:lang w:val="fr-FR"/>
        </w:rPr>
        <w:t>participation</w:t>
      </w:r>
    </w:p>
    <w:p w14:paraId="7176DF06" w14:textId="468060C2" w:rsidR="00A53543" w:rsidRPr="005040A0" w:rsidRDefault="00A53543" w:rsidP="00A53543">
      <w:pPr>
        <w:jc w:val="both"/>
        <w:rPr>
          <w:i/>
          <w:iCs/>
          <w:lang w:val="fr-FR"/>
        </w:rPr>
      </w:pPr>
      <w:r w:rsidRPr="005040A0">
        <w:rPr>
          <w:lang w:val="fr-FR"/>
        </w:rPr>
        <w:t xml:space="preserve">2.1 Tout </w:t>
      </w:r>
      <w:r>
        <w:rPr>
          <w:lang w:val="fr-FR"/>
        </w:rPr>
        <w:t xml:space="preserve">État </w:t>
      </w:r>
      <w:r w:rsidRPr="005040A0">
        <w:rPr>
          <w:lang w:val="fr-FR"/>
        </w:rPr>
        <w:t>membre du Conseil de l</w:t>
      </w:r>
      <w:r w:rsidR="009546A6">
        <w:rPr>
          <w:lang w:val="fr-FR"/>
        </w:rPr>
        <w:t>’</w:t>
      </w:r>
      <w:r w:rsidRPr="005040A0">
        <w:rPr>
          <w:lang w:val="fr-FR"/>
        </w:rPr>
        <w:t>Europe</w:t>
      </w:r>
      <w:r w:rsidR="00777530">
        <w:rPr>
          <w:lang w:val="fr-FR"/>
        </w:rPr>
        <w:t>,</w:t>
      </w:r>
      <w:r w:rsidRPr="005040A0">
        <w:rPr>
          <w:lang w:val="fr-FR"/>
        </w:rPr>
        <w:t xml:space="preserve"> </w:t>
      </w:r>
      <w:r w:rsidR="00983544">
        <w:rPr>
          <w:lang w:val="fr-FR"/>
        </w:rPr>
        <w:t xml:space="preserve">de la Plateforme </w:t>
      </w:r>
      <w:r>
        <w:rPr>
          <w:lang w:val="fr-FR"/>
        </w:rPr>
        <w:t>mondial</w:t>
      </w:r>
      <w:r w:rsidR="00983544">
        <w:rPr>
          <w:lang w:val="fr-FR"/>
        </w:rPr>
        <w:t>e</w:t>
      </w:r>
      <w:r>
        <w:rPr>
          <w:lang w:val="fr-FR"/>
        </w:rPr>
        <w:t xml:space="preserve"> </w:t>
      </w:r>
      <w:r w:rsidRPr="005040A0">
        <w:rPr>
          <w:lang w:val="fr-FR"/>
        </w:rPr>
        <w:t xml:space="preserve">pour la réduction des risques de catastrophe </w:t>
      </w:r>
      <w:r w:rsidR="00777530">
        <w:rPr>
          <w:lang w:val="fr-FR"/>
        </w:rPr>
        <w:t xml:space="preserve">ou </w:t>
      </w:r>
      <w:r w:rsidR="000057CF">
        <w:rPr>
          <w:lang w:val="fr-FR"/>
        </w:rPr>
        <w:t>de</w:t>
      </w:r>
      <w:r w:rsidRPr="005040A0">
        <w:rPr>
          <w:lang w:val="fr-FR"/>
        </w:rPr>
        <w:t xml:space="preserve"> l</w:t>
      </w:r>
      <w:r w:rsidR="009546A6">
        <w:rPr>
          <w:lang w:val="fr-FR"/>
        </w:rPr>
        <w:t>’</w:t>
      </w:r>
      <w:r w:rsidRPr="005040A0">
        <w:rPr>
          <w:lang w:val="fr-FR"/>
        </w:rPr>
        <w:t>Union européenne peut devenir membre de l</w:t>
      </w:r>
      <w:r w:rsidR="009546A6">
        <w:rPr>
          <w:lang w:val="fr-FR"/>
        </w:rPr>
        <w:t>’</w:t>
      </w:r>
      <w:r w:rsidRPr="005040A0">
        <w:rPr>
          <w:lang w:val="fr-FR"/>
        </w:rPr>
        <w:t xml:space="preserve">APE par notification adressée </w:t>
      </w:r>
      <w:r w:rsidR="00404624">
        <w:rPr>
          <w:lang w:val="fr-FR"/>
        </w:rPr>
        <w:t>à la Secrétaire</w:t>
      </w:r>
      <w:r w:rsidR="00276A32">
        <w:rPr>
          <w:lang w:val="fr-FR"/>
        </w:rPr>
        <w:t xml:space="preserve"> générale</w:t>
      </w:r>
      <w:r w:rsidR="00404624">
        <w:rPr>
          <w:lang w:val="fr-FR"/>
        </w:rPr>
        <w:t xml:space="preserve"> / </w:t>
      </w:r>
      <w:r w:rsidRPr="005040A0">
        <w:rPr>
          <w:lang w:val="fr-FR"/>
        </w:rPr>
        <w:t>au Secrétaire général du Conseil de l</w:t>
      </w:r>
      <w:r w:rsidR="009546A6">
        <w:rPr>
          <w:lang w:val="fr-FR"/>
        </w:rPr>
        <w:t>’</w:t>
      </w:r>
      <w:r w:rsidRPr="005040A0">
        <w:rPr>
          <w:lang w:val="fr-FR"/>
        </w:rPr>
        <w:t>Europe.</w:t>
      </w:r>
    </w:p>
    <w:p w14:paraId="79CA41AB" w14:textId="5A99F0AA" w:rsidR="007831AE" w:rsidRPr="00ED0ACA" w:rsidRDefault="00E35B59" w:rsidP="00194BD5">
      <w:pPr>
        <w:jc w:val="both"/>
        <w:rPr>
          <w:lang w:val="fr-FR"/>
        </w:rPr>
      </w:pPr>
      <w:r w:rsidRPr="00ED0ACA">
        <w:rPr>
          <w:lang w:val="fr-FR"/>
        </w:rPr>
        <w:t xml:space="preserve">2.2       </w:t>
      </w:r>
      <w:r w:rsidR="00676513" w:rsidRPr="00676513">
        <w:rPr>
          <w:lang w:val="fr-FR"/>
        </w:rPr>
        <w:t xml:space="preserve">Le Comité des Ministres, dans sa composition restreinte aux </w:t>
      </w:r>
      <w:r w:rsidR="000057CF">
        <w:rPr>
          <w:lang w:val="fr-FR"/>
        </w:rPr>
        <w:t xml:space="preserve">représentants des </w:t>
      </w:r>
      <w:r w:rsidR="00676513">
        <w:rPr>
          <w:lang w:val="fr-FR"/>
        </w:rPr>
        <w:t xml:space="preserve">États </w:t>
      </w:r>
      <w:r w:rsidR="00676513" w:rsidRPr="00676513">
        <w:rPr>
          <w:lang w:val="fr-FR"/>
        </w:rPr>
        <w:t xml:space="preserve">membres de </w:t>
      </w:r>
      <w:r w:rsidR="00676513">
        <w:rPr>
          <w:lang w:val="fr-FR"/>
        </w:rPr>
        <w:t xml:space="preserve">l’APE, peut, à la majorité </w:t>
      </w:r>
      <w:r w:rsidR="000057CF">
        <w:rPr>
          <w:lang w:val="fr-FR"/>
        </w:rPr>
        <w:t xml:space="preserve">prévue </w:t>
      </w:r>
      <w:r w:rsidR="00676513">
        <w:rPr>
          <w:lang w:val="fr-FR"/>
        </w:rPr>
        <w:t>à l’article 20.</w:t>
      </w:r>
      <w:r w:rsidR="00676513" w:rsidRPr="00BB256C">
        <w:rPr>
          <w:i/>
          <w:iCs/>
          <w:lang w:val="fr-FR"/>
        </w:rPr>
        <w:t>d</w:t>
      </w:r>
      <w:r w:rsidR="00676513">
        <w:rPr>
          <w:lang w:val="fr-FR"/>
        </w:rPr>
        <w:t xml:space="preserve"> du Statut du Conseil de l’Europe, après consultation du Comité des </w:t>
      </w:r>
      <w:r w:rsidR="00832669">
        <w:rPr>
          <w:lang w:val="fr-FR"/>
        </w:rPr>
        <w:t>C</w:t>
      </w:r>
      <w:r w:rsidR="00676513">
        <w:rPr>
          <w:lang w:val="fr-FR"/>
        </w:rPr>
        <w:t xml:space="preserve">orrespondants permanents de l’APE, inviter tout État </w:t>
      </w:r>
      <w:proofErr w:type="gramStart"/>
      <w:r w:rsidR="00676513">
        <w:rPr>
          <w:lang w:val="fr-FR"/>
        </w:rPr>
        <w:t>non membre</w:t>
      </w:r>
      <w:proofErr w:type="gramEnd"/>
      <w:r w:rsidR="00676513">
        <w:rPr>
          <w:lang w:val="fr-FR"/>
        </w:rPr>
        <w:t xml:space="preserve"> du Conseil de l’Europe à adhérer à l’APE, après consult</w:t>
      </w:r>
      <w:r w:rsidR="00777530">
        <w:rPr>
          <w:lang w:val="fr-FR"/>
        </w:rPr>
        <w:t>ation</w:t>
      </w:r>
      <w:r w:rsidR="00676513">
        <w:rPr>
          <w:lang w:val="fr-FR"/>
        </w:rPr>
        <w:t xml:space="preserve"> </w:t>
      </w:r>
      <w:r w:rsidR="00777530">
        <w:rPr>
          <w:lang w:val="fr-FR"/>
        </w:rPr>
        <w:t>d</w:t>
      </w:r>
      <w:r w:rsidR="00676513">
        <w:rPr>
          <w:lang w:val="fr-FR"/>
        </w:rPr>
        <w:t>es membres de l’APE non membres du Conseil de l’Europ</w:t>
      </w:r>
      <w:r w:rsidR="00541A89">
        <w:rPr>
          <w:lang w:val="fr-FR"/>
        </w:rPr>
        <w:t>e</w:t>
      </w:r>
      <w:r w:rsidR="00676513">
        <w:rPr>
          <w:lang w:val="fr-FR"/>
        </w:rPr>
        <w:t>.</w:t>
      </w:r>
      <w:r w:rsidR="00541A89">
        <w:rPr>
          <w:lang w:val="fr-FR"/>
        </w:rPr>
        <w:t xml:space="preserve"> </w:t>
      </w:r>
      <w:r w:rsidR="00FB1A9D" w:rsidRPr="00FB1A9D">
        <w:rPr>
          <w:lang w:val="fr-FR"/>
        </w:rPr>
        <w:t xml:space="preserve">Un </w:t>
      </w:r>
      <w:r w:rsidR="00FB1A9D">
        <w:rPr>
          <w:lang w:val="fr-FR"/>
        </w:rPr>
        <w:t xml:space="preserve">État </w:t>
      </w:r>
      <w:proofErr w:type="gramStart"/>
      <w:r w:rsidR="00FB1A9D" w:rsidRPr="00FB1A9D">
        <w:rPr>
          <w:lang w:val="fr-FR"/>
        </w:rPr>
        <w:t>non membre</w:t>
      </w:r>
      <w:proofErr w:type="gramEnd"/>
      <w:r w:rsidR="00FB1A9D" w:rsidRPr="00FB1A9D">
        <w:rPr>
          <w:lang w:val="fr-FR"/>
        </w:rPr>
        <w:t xml:space="preserve"> recevant </w:t>
      </w:r>
      <w:r w:rsidR="001B20A4">
        <w:rPr>
          <w:lang w:val="fr-FR"/>
        </w:rPr>
        <w:t xml:space="preserve">cette </w:t>
      </w:r>
      <w:r w:rsidR="00FB1A9D" w:rsidRPr="00FB1A9D">
        <w:rPr>
          <w:lang w:val="fr-FR"/>
        </w:rPr>
        <w:t xml:space="preserve">invitation notifie </w:t>
      </w:r>
      <w:r w:rsidR="00684078" w:rsidRPr="00FB1A9D">
        <w:rPr>
          <w:lang w:val="fr-FR"/>
        </w:rPr>
        <w:t>son intention d’adhérer à l’A</w:t>
      </w:r>
      <w:r w:rsidR="00684078">
        <w:rPr>
          <w:lang w:val="fr-FR"/>
        </w:rPr>
        <w:t>PE au</w:t>
      </w:r>
      <w:r w:rsidR="00FB1A9D" w:rsidRPr="00FB1A9D">
        <w:rPr>
          <w:lang w:val="fr-FR"/>
        </w:rPr>
        <w:t xml:space="preserve"> Secrétaire </w:t>
      </w:r>
      <w:r w:rsidR="000057CF">
        <w:rPr>
          <w:lang w:val="fr-FR"/>
        </w:rPr>
        <w:t>g</w:t>
      </w:r>
      <w:r w:rsidR="00FB1A9D" w:rsidRPr="00FB1A9D">
        <w:rPr>
          <w:lang w:val="fr-FR"/>
        </w:rPr>
        <w:t>énéral</w:t>
      </w:r>
      <w:r w:rsidR="00AD59D3">
        <w:rPr>
          <w:lang w:val="fr-FR"/>
        </w:rPr>
        <w:t xml:space="preserve"> </w:t>
      </w:r>
      <w:r w:rsidR="00225B79">
        <w:rPr>
          <w:lang w:val="fr-FR"/>
        </w:rPr>
        <w:t>/</w:t>
      </w:r>
      <w:r w:rsidR="00AD59D3">
        <w:rPr>
          <w:lang w:val="fr-FR"/>
        </w:rPr>
        <w:t xml:space="preserve"> </w:t>
      </w:r>
      <w:r w:rsidR="00684078">
        <w:rPr>
          <w:lang w:val="fr-FR"/>
        </w:rPr>
        <w:t xml:space="preserve">à </w:t>
      </w:r>
      <w:r w:rsidR="000057CF">
        <w:rPr>
          <w:lang w:val="fr-FR"/>
        </w:rPr>
        <w:t>l</w:t>
      </w:r>
      <w:r w:rsidR="00AD59D3">
        <w:rPr>
          <w:lang w:val="fr-FR"/>
        </w:rPr>
        <w:t>a</w:t>
      </w:r>
      <w:r w:rsidR="000057CF">
        <w:rPr>
          <w:lang w:val="fr-FR"/>
        </w:rPr>
        <w:t xml:space="preserve"> Secrétaire général</w:t>
      </w:r>
      <w:r w:rsidR="00AD59D3">
        <w:rPr>
          <w:lang w:val="fr-FR"/>
        </w:rPr>
        <w:t>e</w:t>
      </w:r>
      <w:r w:rsidR="00FB1A9D" w:rsidRPr="00FB1A9D">
        <w:rPr>
          <w:lang w:val="fr-FR"/>
        </w:rPr>
        <w:t>.</w:t>
      </w:r>
    </w:p>
    <w:p w14:paraId="18A5E206" w14:textId="10EBEF0E" w:rsidR="00983544" w:rsidRPr="005040A0" w:rsidRDefault="00E35B59" w:rsidP="00983544">
      <w:pPr>
        <w:jc w:val="both"/>
        <w:rPr>
          <w:lang w:val="fr-FR"/>
        </w:rPr>
      </w:pPr>
      <w:r w:rsidRPr="00ED0ACA">
        <w:rPr>
          <w:lang w:val="fr-FR"/>
        </w:rPr>
        <w:t xml:space="preserve">2.3       </w:t>
      </w:r>
      <w:r w:rsidR="00983544" w:rsidRPr="005040A0">
        <w:rPr>
          <w:lang w:val="fr-FR"/>
        </w:rPr>
        <w:t xml:space="preserve">Les </w:t>
      </w:r>
      <w:r w:rsidR="00983544">
        <w:rPr>
          <w:lang w:val="fr-FR"/>
        </w:rPr>
        <w:t xml:space="preserve">États </w:t>
      </w:r>
      <w:r w:rsidR="00983544" w:rsidRPr="005040A0">
        <w:rPr>
          <w:lang w:val="fr-FR"/>
        </w:rPr>
        <w:t>membres du Conseil de l</w:t>
      </w:r>
      <w:r w:rsidR="009546A6">
        <w:rPr>
          <w:lang w:val="fr-FR"/>
        </w:rPr>
        <w:t>’</w:t>
      </w:r>
      <w:r w:rsidR="00983544" w:rsidRPr="005040A0">
        <w:rPr>
          <w:lang w:val="fr-FR"/>
        </w:rPr>
        <w:t>Europe ou de la Plateforme mondiale pour la réduction des risques de catastrophe qui n</w:t>
      </w:r>
      <w:r w:rsidR="009546A6">
        <w:rPr>
          <w:lang w:val="fr-FR"/>
        </w:rPr>
        <w:t>’</w:t>
      </w:r>
      <w:r w:rsidR="00983544" w:rsidRPr="005040A0">
        <w:rPr>
          <w:lang w:val="fr-FR"/>
        </w:rPr>
        <w:t>ont pas adhéré à l</w:t>
      </w:r>
      <w:r w:rsidR="009546A6">
        <w:rPr>
          <w:lang w:val="fr-FR"/>
        </w:rPr>
        <w:t>’</w:t>
      </w:r>
      <w:r w:rsidR="00983544" w:rsidRPr="005040A0">
        <w:rPr>
          <w:lang w:val="fr-FR"/>
        </w:rPr>
        <w:t>APE peuvent demander le statut d</w:t>
      </w:r>
      <w:r w:rsidR="009546A6">
        <w:rPr>
          <w:lang w:val="fr-FR"/>
        </w:rPr>
        <w:t>’</w:t>
      </w:r>
      <w:r w:rsidR="00983544" w:rsidRPr="005040A0">
        <w:rPr>
          <w:lang w:val="fr-FR"/>
        </w:rPr>
        <w:t>observateur auprès de l</w:t>
      </w:r>
      <w:r w:rsidR="009546A6">
        <w:rPr>
          <w:lang w:val="fr-FR"/>
        </w:rPr>
        <w:t>’</w:t>
      </w:r>
      <w:r w:rsidR="00983544" w:rsidRPr="005040A0">
        <w:rPr>
          <w:lang w:val="fr-FR"/>
        </w:rPr>
        <w:t xml:space="preserve">APE pour une </w:t>
      </w:r>
      <w:r w:rsidR="00983544">
        <w:rPr>
          <w:lang w:val="fr-FR"/>
        </w:rPr>
        <w:t xml:space="preserve">durée maximale </w:t>
      </w:r>
      <w:r w:rsidR="00983544" w:rsidRPr="005040A0">
        <w:rPr>
          <w:lang w:val="fr-FR"/>
        </w:rPr>
        <w:t xml:space="preserve">de deux ans, sans contribution financière. Le Comité des Ministres, dans sa composition restreinte aux représentants des </w:t>
      </w:r>
      <w:r w:rsidR="00983544">
        <w:rPr>
          <w:lang w:val="fr-FR"/>
        </w:rPr>
        <w:t xml:space="preserve">États </w:t>
      </w:r>
      <w:r w:rsidR="00983544" w:rsidRPr="005040A0">
        <w:rPr>
          <w:lang w:val="fr-FR"/>
        </w:rPr>
        <w:t>membres de l</w:t>
      </w:r>
      <w:r w:rsidR="009546A6">
        <w:rPr>
          <w:lang w:val="fr-FR"/>
        </w:rPr>
        <w:t>’</w:t>
      </w:r>
      <w:r w:rsidR="00983544" w:rsidRPr="005040A0">
        <w:rPr>
          <w:lang w:val="fr-FR"/>
        </w:rPr>
        <w:t xml:space="preserve">APE, </w:t>
      </w:r>
      <w:r w:rsidR="00221402">
        <w:rPr>
          <w:lang w:val="fr-FR"/>
        </w:rPr>
        <w:t xml:space="preserve">se prononce sur la </w:t>
      </w:r>
      <w:r w:rsidR="00221402" w:rsidRPr="005040A0">
        <w:rPr>
          <w:lang w:val="fr-FR"/>
        </w:rPr>
        <w:t xml:space="preserve">demande </w:t>
      </w:r>
      <w:r w:rsidR="00983544" w:rsidRPr="005040A0">
        <w:rPr>
          <w:lang w:val="fr-FR"/>
        </w:rPr>
        <w:t>après consultation des membres de l</w:t>
      </w:r>
      <w:r w:rsidR="009546A6">
        <w:rPr>
          <w:lang w:val="fr-FR"/>
        </w:rPr>
        <w:t>’</w:t>
      </w:r>
      <w:r w:rsidR="00983544" w:rsidRPr="005040A0">
        <w:rPr>
          <w:lang w:val="fr-FR"/>
        </w:rPr>
        <w:t xml:space="preserve">APE </w:t>
      </w:r>
      <w:proofErr w:type="gramStart"/>
      <w:r w:rsidR="00983544">
        <w:rPr>
          <w:lang w:val="fr-FR"/>
        </w:rPr>
        <w:t xml:space="preserve">non </w:t>
      </w:r>
      <w:r w:rsidR="00983544" w:rsidRPr="005040A0">
        <w:rPr>
          <w:lang w:val="fr-FR"/>
        </w:rPr>
        <w:t>membres</w:t>
      </w:r>
      <w:proofErr w:type="gramEnd"/>
      <w:r w:rsidR="00983544" w:rsidRPr="005040A0">
        <w:rPr>
          <w:lang w:val="fr-FR"/>
        </w:rPr>
        <w:t xml:space="preserve"> du Conseil de l</w:t>
      </w:r>
      <w:r w:rsidR="009546A6">
        <w:rPr>
          <w:lang w:val="fr-FR"/>
        </w:rPr>
        <w:t>’</w:t>
      </w:r>
      <w:r w:rsidR="00983544" w:rsidRPr="005040A0">
        <w:rPr>
          <w:lang w:val="fr-FR"/>
        </w:rPr>
        <w:t xml:space="preserve">Europe et du Comité des </w:t>
      </w:r>
      <w:r w:rsidR="0085532D">
        <w:rPr>
          <w:lang w:val="fr-FR"/>
        </w:rPr>
        <w:t>C</w:t>
      </w:r>
      <w:r w:rsidR="00983544" w:rsidRPr="005040A0">
        <w:rPr>
          <w:lang w:val="fr-FR"/>
        </w:rPr>
        <w:t>orrespondants permanents de l</w:t>
      </w:r>
      <w:r w:rsidR="009546A6">
        <w:rPr>
          <w:lang w:val="fr-FR"/>
        </w:rPr>
        <w:t>’</w:t>
      </w:r>
      <w:r w:rsidR="00983544" w:rsidRPr="005040A0">
        <w:rPr>
          <w:lang w:val="fr-FR"/>
        </w:rPr>
        <w:t xml:space="preserve">APE. </w:t>
      </w:r>
    </w:p>
    <w:p w14:paraId="37D441C7" w14:textId="28B8922B" w:rsidR="00915C46" w:rsidRPr="005040A0" w:rsidRDefault="00915C46" w:rsidP="00915C46">
      <w:pPr>
        <w:jc w:val="both"/>
        <w:rPr>
          <w:lang w:val="fr-FR"/>
        </w:rPr>
      </w:pPr>
      <w:r w:rsidRPr="005040A0">
        <w:rPr>
          <w:lang w:val="fr-FR"/>
        </w:rPr>
        <w:t xml:space="preserve">2.4 </w:t>
      </w:r>
      <w:r w:rsidR="00097E37">
        <w:rPr>
          <w:lang w:val="fr-FR"/>
        </w:rPr>
        <w:tab/>
      </w:r>
      <w:r w:rsidRPr="005040A0">
        <w:rPr>
          <w:lang w:val="fr-FR"/>
        </w:rPr>
        <w:t xml:space="preserve">Conformément à la </w:t>
      </w:r>
      <w:r w:rsidR="00684078">
        <w:rPr>
          <w:lang w:val="fr-FR"/>
        </w:rPr>
        <w:t>R</w:t>
      </w:r>
      <w:r w:rsidRPr="005040A0">
        <w:rPr>
          <w:lang w:val="fr-FR"/>
        </w:rPr>
        <w:t xml:space="preserve">ésolution statutaire </w:t>
      </w:r>
      <w:hyperlink r:id="rId8" w:history="1">
        <w:proofErr w:type="spellStart"/>
        <w:r w:rsidRPr="005040A0">
          <w:rPr>
            <w:rStyle w:val="Hyperlink"/>
            <w:lang w:val="fr-FR"/>
          </w:rPr>
          <w:t>Res</w:t>
        </w:r>
        <w:proofErr w:type="spellEnd"/>
        <w:r w:rsidRPr="005040A0">
          <w:rPr>
            <w:rStyle w:val="Hyperlink"/>
            <w:lang w:val="fr-FR"/>
          </w:rPr>
          <w:t xml:space="preserve"> (93) 28 </w:t>
        </w:r>
      </w:hyperlink>
      <w:r w:rsidRPr="005040A0">
        <w:rPr>
          <w:lang w:val="fr-FR"/>
        </w:rPr>
        <w:t>sur les accords partiels et élargis</w:t>
      </w:r>
      <w:r w:rsidR="00097E37">
        <w:rPr>
          <w:lang w:val="fr-FR"/>
        </w:rPr>
        <w:t>,</w:t>
      </w:r>
      <w:r w:rsidRPr="005040A0">
        <w:rPr>
          <w:lang w:val="fr-FR"/>
        </w:rPr>
        <w:t xml:space="preserve"> le Bureau des Nations Unies pour la </w:t>
      </w:r>
      <w:r w:rsidR="00684078">
        <w:rPr>
          <w:lang w:val="fr-FR"/>
        </w:rPr>
        <w:t xml:space="preserve">prévention </w:t>
      </w:r>
      <w:r w:rsidRPr="005040A0">
        <w:rPr>
          <w:lang w:val="fr-FR"/>
        </w:rPr>
        <w:t>des catastrophe</w:t>
      </w:r>
      <w:r w:rsidR="00BA7640">
        <w:rPr>
          <w:lang w:val="fr-FR"/>
        </w:rPr>
        <w:t>s</w:t>
      </w:r>
      <w:r w:rsidRPr="005040A0">
        <w:rPr>
          <w:lang w:val="fr-FR"/>
        </w:rPr>
        <w:t xml:space="preserve"> (UNDRR) et </w:t>
      </w:r>
      <w:r>
        <w:rPr>
          <w:lang w:val="fr-FR"/>
        </w:rPr>
        <w:t>l’</w:t>
      </w:r>
      <w:r w:rsidRPr="00915C46">
        <w:rPr>
          <w:lang w:val="fr-FR"/>
        </w:rPr>
        <w:t>Initiative relative à la préparation aux catastrophes et à leur prévention dans l’Europe du Sud-Est</w:t>
      </w:r>
      <w:r w:rsidRPr="005040A0">
        <w:rPr>
          <w:lang w:val="fr-FR"/>
        </w:rPr>
        <w:t xml:space="preserve"> (DPPI SEE) sont invités </w:t>
      </w:r>
      <w:r w:rsidR="00097E37" w:rsidRPr="005040A0">
        <w:rPr>
          <w:lang w:val="fr-FR"/>
        </w:rPr>
        <w:t>à leur demande</w:t>
      </w:r>
      <w:r w:rsidR="00097E37">
        <w:rPr>
          <w:lang w:val="fr-FR"/>
        </w:rPr>
        <w:t xml:space="preserve"> </w:t>
      </w:r>
      <w:r w:rsidRPr="005040A0">
        <w:rPr>
          <w:lang w:val="fr-FR"/>
        </w:rPr>
        <w:t>à participer aux réunions de l</w:t>
      </w:r>
      <w:r w:rsidR="009546A6">
        <w:rPr>
          <w:lang w:val="fr-FR"/>
        </w:rPr>
        <w:t>’</w:t>
      </w:r>
      <w:r w:rsidRPr="005040A0">
        <w:rPr>
          <w:lang w:val="fr-FR"/>
        </w:rPr>
        <w:t xml:space="preserve">APE en </w:t>
      </w:r>
      <w:r>
        <w:rPr>
          <w:lang w:val="fr-FR"/>
        </w:rPr>
        <w:t>qualité d</w:t>
      </w:r>
      <w:r w:rsidR="009546A6">
        <w:rPr>
          <w:lang w:val="fr-FR"/>
        </w:rPr>
        <w:t>’</w:t>
      </w:r>
      <w:r w:rsidRPr="005040A0">
        <w:rPr>
          <w:lang w:val="fr-FR"/>
        </w:rPr>
        <w:t>observateurs sans droit de vote.</w:t>
      </w:r>
    </w:p>
    <w:p w14:paraId="50F9B1A8" w14:textId="258E44CB" w:rsidR="008F0AA9" w:rsidRPr="00ED0ACA" w:rsidRDefault="00E35B59" w:rsidP="00194BD5">
      <w:pPr>
        <w:jc w:val="both"/>
        <w:rPr>
          <w:lang w:val="fr-FR"/>
        </w:rPr>
      </w:pPr>
      <w:r w:rsidRPr="00ED0ACA">
        <w:rPr>
          <w:lang w:val="fr-FR"/>
        </w:rPr>
        <w:t xml:space="preserve">2.5       </w:t>
      </w:r>
      <w:r w:rsidR="008F0AA9" w:rsidRPr="008F0AA9">
        <w:rPr>
          <w:lang w:val="fr-FR"/>
        </w:rPr>
        <w:t xml:space="preserve">Le Comité des Ministres, dans sa composition restreinte aux États membres de l’APE, peut, à la majorité </w:t>
      </w:r>
      <w:r w:rsidR="00097E37">
        <w:rPr>
          <w:lang w:val="fr-FR"/>
        </w:rPr>
        <w:t xml:space="preserve">prévue </w:t>
      </w:r>
      <w:r w:rsidR="008F0AA9" w:rsidRPr="008F0AA9">
        <w:rPr>
          <w:lang w:val="fr-FR"/>
        </w:rPr>
        <w:t>à l’article</w:t>
      </w:r>
      <w:r w:rsidR="009546A6">
        <w:rPr>
          <w:lang w:val="fr-FR"/>
        </w:rPr>
        <w:t> </w:t>
      </w:r>
      <w:r w:rsidR="008F0AA9" w:rsidRPr="008F0AA9">
        <w:rPr>
          <w:lang w:val="fr-FR"/>
        </w:rPr>
        <w:t>20.</w:t>
      </w:r>
      <w:r w:rsidR="008F0AA9" w:rsidRPr="00BB256C">
        <w:rPr>
          <w:i/>
          <w:iCs/>
          <w:lang w:val="fr-FR"/>
        </w:rPr>
        <w:t>d</w:t>
      </w:r>
      <w:r w:rsidR="008F0AA9" w:rsidRPr="008F0AA9">
        <w:rPr>
          <w:lang w:val="fr-FR"/>
        </w:rPr>
        <w:t xml:space="preserve"> du Statut du Conseil de l’Europe, après consultation </w:t>
      </w:r>
      <w:r w:rsidR="008F0AA9">
        <w:rPr>
          <w:lang w:val="fr-FR"/>
        </w:rPr>
        <w:t>d</w:t>
      </w:r>
      <w:r w:rsidR="008F0AA9" w:rsidRPr="008F0AA9">
        <w:rPr>
          <w:lang w:val="fr-FR"/>
        </w:rPr>
        <w:t xml:space="preserve">es membres de l’APE </w:t>
      </w:r>
      <w:proofErr w:type="gramStart"/>
      <w:r w:rsidR="008F0AA9" w:rsidRPr="008F0AA9">
        <w:rPr>
          <w:lang w:val="fr-FR"/>
        </w:rPr>
        <w:t>non membres</w:t>
      </w:r>
      <w:proofErr w:type="gramEnd"/>
      <w:r w:rsidR="008F0AA9" w:rsidRPr="008F0AA9">
        <w:rPr>
          <w:lang w:val="fr-FR"/>
        </w:rPr>
        <w:t xml:space="preserve"> du Conseil de l’Europe</w:t>
      </w:r>
      <w:r w:rsidR="008F0AA9">
        <w:rPr>
          <w:lang w:val="fr-FR"/>
        </w:rPr>
        <w:t>, autoriser l’APE à inviter d’autres organisation</w:t>
      </w:r>
      <w:r w:rsidR="009546A6">
        <w:rPr>
          <w:lang w:val="fr-FR"/>
        </w:rPr>
        <w:t>s</w:t>
      </w:r>
      <w:r w:rsidR="008F0AA9">
        <w:rPr>
          <w:lang w:val="fr-FR"/>
        </w:rPr>
        <w:t xml:space="preserve"> intergouvernementales internationales, ONG ou autres entités qui soutiennent les buts de l’APE, à participer à ses travaux, sans droit de vote</w:t>
      </w:r>
      <w:r w:rsidR="008F0AA9" w:rsidRPr="008F0AA9">
        <w:rPr>
          <w:lang w:val="fr-FR"/>
        </w:rPr>
        <w:t>.</w:t>
      </w:r>
    </w:p>
    <w:p w14:paraId="682BF11B" w14:textId="5DF1DEFC" w:rsidR="008F0AA9" w:rsidRPr="005040A0" w:rsidRDefault="008F0AA9" w:rsidP="008F0AA9">
      <w:pPr>
        <w:jc w:val="both"/>
        <w:rPr>
          <w:lang w:val="fr-FR"/>
        </w:rPr>
      </w:pPr>
      <w:r w:rsidRPr="005040A0">
        <w:rPr>
          <w:lang w:val="fr-FR"/>
        </w:rPr>
        <w:t xml:space="preserve">2.6 </w:t>
      </w:r>
      <w:r w:rsidR="00097E37">
        <w:rPr>
          <w:lang w:val="fr-FR"/>
        </w:rPr>
        <w:tab/>
      </w:r>
      <w:r w:rsidRPr="005040A0">
        <w:rPr>
          <w:lang w:val="fr-FR"/>
        </w:rPr>
        <w:t>L</w:t>
      </w:r>
      <w:r w:rsidR="009546A6">
        <w:rPr>
          <w:lang w:val="fr-FR"/>
        </w:rPr>
        <w:t>’</w:t>
      </w:r>
      <w:r w:rsidRPr="005040A0">
        <w:rPr>
          <w:lang w:val="fr-FR"/>
        </w:rPr>
        <w:t>Assemblée parlementaire, le Congrès des pouvoirs locaux et régionaux du Conseil de l</w:t>
      </w:r>
      <w:r w:rsidR="009546A6">
        <w:rPr>
          <w:lang w:val="fr-FR"/>
        </w:rPr>
        <w:t>’</w:t>
      </w:r>
      <w:r w:rsidRPr="005040A0">
        <w:rPr>
          <w:lang w:val="fr-FR"/>
        </w:rPr>
        <w:t>Europe et la Conférence européenne des ministres responsables de l</w:t>
      </w:r>
      <w:r w:rsidR="009546A6">
        <w:rPr>
          <w:lang w:val="fr-FR"/>
        </w:rPr>
        <w:t>’</w:t>
      </w:r>
      <w:r w:rsidRPr="005040A0">
        <w:rPr>
          <w:lang w:val="fr-FR"/>
        </w:rPr>
        <w:t>aménagement du territoire (CEMAT) peuvent participer aux travaux de l</w:t>
      </w:r>
      <w:r w:rsidR="009546A6">
        <w:rPr>
          <w:lang w:val="fr-FR"/>
        </w:rPr>
        <w:t>’</w:t>
      </w:r>
      <w:r w:rsidRPr="005040A0">
        <w:rPr>
          <w:lang w:val="fr-FR"/>
        </w:rPr>
        <w:t>APE.</w:t>
      </w:r>
    </w:p>
    <w:p w14:paraId="04FE39CD" w14:textId="7C4642FA" w:rsidR="00DD428F" w:rsidRPr="00ED0ACA" w:rsidRDefault="00DD428F" w:rsidP="00194BD5">
      <w:pPr>
        <w:jc w:val="both"/>
        <w:rPr>
          <w:lang w:val="fr-FR"/>
        </w:rPr>
      </w:pPr>
    </w:p>
    <w:p w14:paraId="27FC28BE" w14:textId="25DCFF0E" w:rsidR="00E30F75" w:rsidRPr="00ED0ACA" w:rsidRDefault="00E35B59" w:rsidP="00194BD5">
      <w:pPr>
        <w:jc w:val="both"/>
        <w:rPr>
          <w:b/>
          <w:bCs/>
          <w:lang w:val="fr-FR"/>
        </w:rPr>
      </w:pPr>
      <w:r w:rsidRPr="001D7A01">
        <w:rPr>
          <w:b/>
          <w:bCs/>
          <w:lang w:val="fr-FR"/>
        </w:rPr>
        <w:t>Article</w:t>
      </w:r>
      <w:r w:rsidR="009546A6" w:rsidRPr="001D7A01">
        <w:rPr>
          <w:b/>
          <w:bCs/>
          <w:lang w:val="fr-FR"/>
        </w:rPr>
        <w:t> </w:t>
      </w:r>
      <w:r w:rsidRPr="001D7A01">
        <w:rPr>
          <w:b/>
          <w:bCs/>
          <w:lang w:val="fr-FR"/>
        </w:rPr>
        <w:t xml:space="preserve">3 </w:t>
      </w:r>
      <w:r w:rsidR="009546A6" w:rsidRPr="001D7A01">
        <w:rPr>
          <w:b/>
          <w:bCs/>
          <w:lang w:val="fr-FR"/>
        </w:rPr>
        <w:t>—</w:t>
      </w:r>
      <w:r w:rsidRPr="001D7A01">
        <w:rPr>
          <w:b/>
          <w:bCs/>
          <w:lang w:val="fr-FR"/>
        </w:rPr>
        <w:t xml:space="preserve"> </w:t>
      </w:r>
      <w:r w:rsidR="00CE6FEC">
        <w:rPr>
          <w:b/>
          <w:bCs/>
          <w:lang w:val="fr-FR"/>
        </w:rPr>
        <w:t>Réunions ministérielles</w:t>
      </w:r>
      <w:r w:rsidRPr="00ED0ACA">
        <w:rPr>
          <w:b/>
          <w:bCs/>
          <w:lang w:val="fr-FR"/>
        </w:rPr>
        <w:t xml:space="preserve"> </w:t>
      </w:r>
    </w:p>
    <w:p w14:paraId="1717AB3E" w14:textId="3F02F109" w:rsidR="003609C9" w:rsidRPr="00ED0ACA" w:rsidRDefault="00E35B59" w:rsidP="00194BD5">
      <w:pPr>
        <w:jc w:val="both"/>
        <w:rPr>
          <w:lang w:val="fr-FR"/>
        </w:rPr>
      </w:pPr>
      <w:r w:rsidRPr="00ED0ACA">
        <w:rPr>
          <w:lang w:val="fr-FR"/>
        </w:rPr>
        <w:t>3.1</w:t>
      </w:r>
      <w:r w:rsidRPr="00ED0ACA">
        <w:rPr>
          <w:lang w:val="fr-FR"/>
        </w:rPr>
        <w:tab/>
      </w:r>
      <w:r w:rsidR="003609C9" w:rsidRPr="003609C9">
        <w:rPr>
          <w:lang w:val="fr-FR"/>
        </w:rPr>
        <w:t xml:space="preserve">Les ministres </w:t>
      </w:r>
      <w:r w:rsidR="003609C9">
        <w:rPr>
          <w:lang w:val="fr-FR"/>
        </w:rPr>
        <w:t xml:space="preserve">dont le portefeuille </w:t>
      </w:r>
      <w:r w:rsidR="00CE6FEC">
        <w:rPr>
          <w:lang w:val="fr-FR"/>
        </w:rPr>
        <w:t xml:space="preserve">englobe </w:t>
      </w:r>
      <w:r w:rsidR="003609C9">
        <w:rPr>
          <w:lang w:val="fr-FR"/>
        </w:rPr>
        <w:t xml:space="preserve">les </w:t>
      </w:r>
      <w:r w:rsidR="003609C9" w:rsidRPr="003609C9">
        <w:rPr>
          <w:lang w:val="fr-FR"/>
        </w:rPr>
        <w:t xml:space="preserve">risques naturels et technologiques </w:t>
      </w:r>
      <w:r w:rsidR="003609C9">
        <w:rPr>
          <w:lang w:val="fr-FR"/>
        </w:rPr>
        <w:t xml:space="preserve">se réunissent </w:t>
      </w:r>
      <w:r w:rsidR="003609C9" w:rsidRPr="003609C9">
        <w:rPr>
          <w:lang w:val="fr-FR"/>
        </w:rPr>
        <w:t xml:space="preserve">tous les quatre ans. </w:t>
      </w:r>
      <w:r w:rsidR="003609C9">
        <w:rPr>
          <w:lang w:val="fr-FR"/>
        </w:rPr>
        <w:t xml:space="preserve">Leurs réunions ont lieu </w:t>
      </w:r>
      <w:r w:rsidR="003609C9" w:rsidRPr="003609C9">
        <w:rPr>
          <w:lang w:val="fr-FR"/>
        </w:rPr>
        <w:t>à huis clos.</w:t>
      </w:r>
    </w:p>
    <w:p w14:paraId="12FB3B3A" w14:textId="6BE96411" w:rsidR="003609C9" w:rsidRPr="005040A0" w:rsidRDefault="003609C9" w:rsidP="003609C9">
      <w:pPr>
        <w:jc w:val="both"/>
        <w:rPr>
          <w:lang w:val="fr-FR"/>
        </w:rPr>
      </w:pPr>
      <w:r w:rsidRPr="005040A0">
        <w:rPr>
          <w:lang w:val="fr-FR"/>
        </w:rPr>
        <w:lastRenderedPageBreak/>
        <w:t xml:space="preserve">3.2 </w:t>
      </w:r>
      <w:r w:rsidRPr="005040A0">
        <w:rPr>
          <w:lang w:val="fr-FR"/>
        </w:rPr>
        <w:tab/>
        <w:t xml:space="preserve">Le Comité des </w:t>
      </w:r>
      <w:r w:rsidR="0085532D">
        <w:rPr>
          <w:lang w:val="fr-FR"/>
        </w:rPr>
        <w:t>C</w:t>
      </w:r>
      <w:r w:rsidRPr="005040A0">
        <w:rPr>
          <w:lang w:val="fr-FR"/>
        </w:rPr>
        <w:t>orrespondants permanents de l</w:t>
      </w:r>
      <w:r w:rsidR="009546A6">
        <w:rPr>
          <w:lang w:val="fr-FR"/>
        </w:rPr>
        <w:t>’</w:t>
      </w:r>
      <w:r w:rsidRPr="005040A0">
        <w:rPr>
          <w:lang w:val="fr-FR"/>
        </w:rPr>
        <w:t xml:space="preserve">APE peut décider à la majorité des deux tiers des voix exprimées de convoquer une réunion ministérielle extraordinaire. </w:t>
      </w:r>
    </w:p>
    <w:p w14:paraId="43BDD659" w14:textId="5D310C12" w:rsidR="003609C9" w:rsidRPr="005040A0" w:rsidRDefault="003609C9" w:rsidP="003609C9">
      <w:pPr>
        <w:jc w:val="both"/>
        <w:rPr>
          <w:lang w:val="fr-FR"/>
        </w:rPr>
      </w:pPr>
      <w:r w:rsidRPr="005040A0">
        <w:rPr>
          <w:lang w:val="fr-FR"/>
        </w:rPr>
        <w:t>3.3</w:t>
      </w:r>
      <w:r>
        <w:rPr>
          <w:lang w:val="fr-FR"/>
        </w:rPr>
        <w:tab/>
      </w:r>
      <w:r w:rsidRPr="005040A0">
        <w:rPr>
          <w:lang w:val="fr-FR"/>
        </w:rPr>
        <w:t xml:space="preserve">Chaque </w:t>
      </w:r>
      <w:r>
        <w:rPr>
          <w:lang w:val="fr-FR"/>
        </w:rPr>
        <w:t xml:space="preserve">État </w:t>
      </w:r>
      <w:r w:rsidRPr="005040A0">
        <w:rPr>
          <w:lang w:val="fr-FR"/>
        </w:rPr>
        <w:t>est représenté aux réunions ministérielles par le</w:t>
      </w:r>
      <w:r w:rsidR="00BB256C">
        <w:rPr>
          <w:lang w:val="fr-FR"/>
        </w:rPr>
        <w:t>/la</w:t>
      </w:r>
      <w:r w:rsidRPr="005040A0">
        <w:rPr>
          <w:lang w:val="fr-FR"/>
        </w:rPr>
        <w:t xml:space="preserve"> ou les ministres </w:t>
      </w:r>
      <w:r>
        <w:rPr>
          <w:lang w:val="fr-FR"/>
        </w:rPr>
        <w:t xml:space="preserve">dont le portefeuille couvre les </w:t>
      </w:r>
      <w:r w:rsidRPr="005040A0">
        <w:rPr>
          <w:lang w:val="fr-FR"/>
        </w:rPr>
        <w:t xml:space="preserve">risques naturels et technologiques et par un </w:t>
      </w:r>
      <w:r>
        <w:rPr>
          <w:lang w:val="fr-FR"/>
        </w:rPr>
        <w:t>c</w:t>
      </w:r>
      <w:r w:rsidRPr="005040A0">
        <w:rPr>
          <w:lang w:val="fr-FR"/>
        </w:rPr>
        <w:t xml:space="preserve">orrespondant </w:t>
      </w:r>
      <w:r w:rsidR="00BB256C">
        <w:rPr>
          <w:lang w:val="fr-FR"/>
        </w:rPr>
        <w:t xml:space="preserve">/ </w:t>
      </w:r>
      <w:r w:rsidR="00BB256C" w:rsidRPr="005040A0">
        <w:rPr>
          <w:lang w:val="fr-FR"/>
        </w:rPr>
        <w:t>un</w:t>
      </w:r>
      <w:r w:rsidR="00BB256C">
        <w:rPr>
          <w:lang w:val="fr-FR"/>
        </w:rPr>
        <w:t>e</w:t>
      </w:r>
      <w:r w:rsidR="00BB256C" w:rsidRPr="005040A0">
        <w:rPr>
          <w:lang w:val="fr-FR"/>
        </w:rPr>
        <w:t xml:space="preserve"> </w:t>
      </w:r>
      <w:r w:rsidR="00BB256C">
        <w:rPr>
          <w:lang w:val="fr-FR"/>
        </w:rPr>
        <w:t>c</w:t>
      </w:r>
      <w:r w:rsidR="00BB256C" w:rsidRPr="005040A0">
        <w:rPr>
          <w:lang w:val="fr-FR"/>
        </w:rPr>
        <w:t>orrespondant</w:t>
      </w:r>
      <w:r w:rsidR="00BB256C">
        <w:rPr>
          <w:lang w:val="fr-FR"/>
        </w:rPr>
        <w:t>e</w:t>
      </w:r>
      <w:r w:rsidR="00BB256C" w:rsidRPr="005040A0">
        <w:rPr>
          <w:lang w:val="fr-FR"/>
        </w:rPr>
        <w:t xml:space="preserve"> </w:t>
      </w:r>
      <w:r w:rsidRPr="005040A0">
        <w:rPr>
          <w:lang w:val="fr-FR"/>
        </w:rPr>
        <w:t>permanent</w:t>
      </w:r>
      <w:r w:rsidR="00BB256C">
        <w:rPr>
          <w:lang w:val="fr-FR"/>
        </w:rPr>
        <w:t>e</w:t>
      </w:r>
      <w:r w:rsidRPr="005040A0">
        <w:rPr>
          <w:lang w:val="fr-FR"/>
        </w:rPr>
        <w:t>.</w:t>
      </w:r>
    </w:p>
    <w:p w14:paraId="3C3FD613" w14:textId="73C419E0" w:rsidR="003609C9" w:rsidRPr="005040A0" w:rsidRDefault="003609C9" w:rsidP="003609C9">
      <w:pPr>
        <w:jc w:val="both"/>
        <w:rPr>
          <w:lang w:val="fr-FR"/>
        </w:rPr>
      </w:pPr>
      <w:r w:rsidRPr="005040A0">
        <w:rPr>
          <w:lang w:val="fr-FR"/>
        </w:rPr>
        <w:t>3.4</w:t>
      </w:r>
      <w:r>
        <w:rPr>
          <w:lang w:val="fr-FR"/>
        </w:rPr>
        <w:tab/>
      </w:r>
      <w:r w:rsidRPr="005040A0">
        <w:rPr>
          <w:lang w:val="fr-FR"/>
        </w:rPr>
        <w:t>Les</w:t>
      </w:r>
      <w:r>
        <w:rPr>
          <w:lang w:val="fr-FR"/>
        </w:rPr>
        <w:t xml:space="preserve"> </w:t>
      </w:r>
      <w:r w:rsidRPr="005040A0">
        <w:rPr>
          <w:lang w:val="fr-FR"/>
        </w:rPr>
        <w:t xml:space="preserve">ministres adoptent </w:t>
      </w:r>
      <w:r w:rsidR="00544766" w:rsidRPr="005040A0">
        <w:rPr>
          <w:lang w:val="fr-FR"/>
        </w:rPr>
        <w:t xml:space="preserve">pour les quatre années suivantes </w:t>
      </w:r>
      <w:r w:rsidRPr="005040A0">
        <w:rPr>
          <w:lang w:val="fr-FR"/>
        </w:rPr>
        <w:t>un plan à moyen terme</w:t>
      </w:r>
      <w:r w:rsidR="007D7106">
        <w:rPr>
          <w:lang w:val="fr-FR"/>
        </w:rPr>
        <w:t xml:space="preserve"> qui</w:t>
      </w:r>
      <w:r w:rsidRPr="005040A0">
        <w:rPr>
          <w:lang w:val="fr-FR"/>
        </w:rPr>
        <w:t xml:space="preserve"> </w:t>
      </w:r>
      <w:r>
        <w:rPr>
          <w:lang w:val="fr-FR"/>
        </w:rPr>
        <w:t xml:space="preserve">définit les </w:t>
      </w:r>
      <w:r w:rsidR="00E826FE">
        <w:rPr>
          <w:lang w:val="fr-FR"/>
        </w:rPr>
        <w:t xml:space="preserve">grands axes des </w:t>
      </w:r>
      <w:r w:rsidRPr="005040A0">
        <w:rPr>
          <w:lang w:val="fr-FR"/>
        </w:rPr>
        <w:t>activités de l</w:t>
      </w:r>
      <w:r w:rsidR="009546A6">
        <w:rPr>
          <w:lang w:val="fr-FR"/>
        </w:rPr>
        <w:t>’</w:t>
      </w:r>
      <w:r w:rsidRPr="005040A0">
        <w:rPr>
          <w:lang w:val="fr-FR"/>
        </w:rPr>
        <w:t xml:space="preserve">APE. Ils peuvent également prendre </w:t>
      </w:r>
      <w:r w:rsidR="00E826FE">
        <w:rPr>
          <w:lang w:val="fr-FR"/>
        </w:rPr>
        <w:t xml:space="preserve">les </w:t>
      </w:r>
      <w:r w:rsidRPr="005040A0">
        <w:rPr>
          <w:lang w:val="fr-FR"/>
        </w:rPr>
        <w:t xml:space="preserve">autres décisions </w:t>
      </w:r>
      <w:r w:rsidR="008E5F9A">
        <w:rPr>
          <w:lang w:val="fr-FR"/>
        </w:rPr>
        <w:t xml:space="preserve">indiquées </w:t>
      </w:r>
      <w:r w:rsidRPr="005040A0">
        <w:rPr>
          <w:lang w:val="fr-FR"/>
        </w:rPr>
        <w:t>à l</w:t>
      </w:r>
      <w:r w:rsidR="009546A6">
        <w:rPr>
          <w:lang w:val="fr-FR"/>
        </w:rPr>
        <w:t>’</w:t>
      </w:r>
      <w:r w:rsidRPr="005040A0">
        <w:rPr>
          <w:lang w:val="fr-FR"/>
        </w:rPr>
        <w:t>article</w:t>
      </w:r>
      <w:r w:rsidR="009546A6">
        <w:rPr>
          <w:lang w:val="fr-FR"/>
        </w:rPr>
        <w:t> </w:t>
      </w:r>
      <w:r w:rsidRPr="005040A0">
        <w:rPr>
          <w:lang w:val="fr-FR"/>
        </w:rPr>
        <w:t xml:space="preserve">4.3. </w:t>
      </w:r>
    </w:p>
    <w:p w14:paraId="0BAE261B" w14:textId="77777777" w:rsidR="0010770F" w:rsidRPr="00ED0ACA" w:rsidRDefault="0010770F" w:rsidP="00194BD5">
      <w:pPr>
        <w:jc w:val="both"/>
        <w:rPr>
          <w:b/>
          <w:bCs/>
          <w:lang w:val="fr-FR"/>
        </w:rPr>
      </w:pPr>
    </w:p>
    <w:p w14:paraId="32F8881E" w14:textId="47CA9CD9" w:rsidR="007831AE" w:rsidRPr="001D7A01" w:rsidRDefault="008D7432" w:rsidP="00194BD5">
      <w:pPr>
        <w:jc w:val="both"/>
        <w:rPr>
          <w:lang w:val="fr-FR"/>
        </w:rPr>
      </w:pPr>
      <w:r w:rsidRPr="001D7A01">
        <w:rPr>
          <w:b/>
          <w:bCs/>
          <w:lang w:val="fr-FR"/>
        </w:rPr>
        <w:t>Article</w:t>
      </w:r>
      <w:r w:rsidR="009546A6" w:rsidRPr="001D7A01">
        <w:rPr>
          <w:b/>
          <w:bCs/>
          <w:lang w:val="fr-FR"/>
        </w:rPr>
        <w:t> </w:t>
      </w:r>
      <w:r w:rsidRPr="001D7A01">
        <w:rPr>
          <w:b/>
          <w:bCs/>
          <w:lang w:val="fr-FR"/>
        </w:rPr>
        <w:t xml:space="preserve">4 </w:t>
      </w:r>
      <w:r w:rsidR="009546A6" w:rsidRPr="001D7A01">
        <w:rPr>
          <w:b/>
          <w:bCs/>
          <w:lang w:val="fr-FR"/>
        </w:rPr>
        <w:t>—</w:t>
      </w:r>
      <w:r w:rsidRPr="001D7A01">
        <w:rPr>
          <w:b/>
          <w:bCs/>
          <w:lang w:val="fr-FR"/>
        </w:rPr>
        <w:t xml:space="preserve"> </w:t>
      </w:r>
      <w:r w:rsidR="006A24CC" w:rsidRPr="001D7A01">
        <w:rPr>
          <w:b/>
          <w:bCs/>
          <w:lang w:val="fr-FR"/>
        </w:rPr>
        <w:t xml:space="preserve">Comité des </w:t>
      </w:r>
      <w:r w:rsidR="00D95418">
        <w:rPr>
          <w:b/>
          <w:bCs/>
          <w:lang w:val="fr-FR"/>
        </w:rPr>
        <w:t>C</w:t>
      </w:r>
      <w:r w:rsidR="006A24CC" w:rsidRPr="001D7A01">
        <w:rPr>
          <w:b/>
          <w:bCs/>
          <w:lang w:val="fr-FR"/>
        </w:rPr>
        <w:t>orrespondants permanents</w:t>
      </w:r>
    </w:p>
    <w:p w14:paraId="518D45E7" w14:textId="0CBC86D5" w:rsidR="006A24CC" w:rsidRPr="006A24CC" w:rsidRDefault="00E35B59" w:rsidP="00194BD5">
      <w:pPr>
        <w:jc w:val="both"/>
        <w:rPr>
          <w:lang w:val="fr-FR"/>
        </w:rPr>
      </w:pPr>
      <w:r w:rsidRPr="00ED0ACA">
        <w:rPr>
          <w:lang w:val="fr-FR"/>
        </w:rPr>
        <w:t xml:space="preserve">4.1       </w:t>
      </w:r>
      <w:r w:rsidR="006A24CC">
        <w:rPr>
          <w:lang w:val="fr-FR"/>
        </w:rPr>
        <w:t xml:space="preserve">Le </w:t>
      </w:r>
      <w:r w:rsidR="006A24CC" w:rsidRPr="006A24CC">
        <w:rPr>
          <w:lang w:val="fr-FR"/>
        </w:rPr>
        <w:t xml:space="preserve">Comité des </w:t>
      </w:r>
      <w:r w:rsidR="00D95418">
        <w:rPr>
          <w:lang w:val="fr-FR"/>
        </w:rPr>
        <w:t>C</w:t>
      </w:r>
      <w:r w:rsidR="006A24CC" w:rsidRPr="006A24CC">
        <w:rPr>
          <w:lang w:val="fr-FR"/>
        </w:rPr>
        <w:t>orrespondants permanents de l</w:t>
      </w:r>
      <w:r w:rsidR="009546A6">
        <w:rPr>
          <w:lang w:val="fr-FR"/>
        </w:rPr>
        <w:t>’</w:t>
      </w:r>
      <w:r w:rsidR="006A24CC" w:rsidRPr="006A24CC">
        <w:rPr>
          <w:lang w:val="fr-FR"/>
        </w:rPr>
        <w:t xml:space="preserve">APE </w:t>
      </w:r>
      <w:r w:rsidR="006A24CC">
        <w:rPr>
          <w:lang w:val="fr-FR"/>
        </w:rPr>
        <w:t xml:space="preserve">se compose des </w:t>
      </w:r>
      <w:r w:rsidR="006A24CC" w:rsidRPr="006A24CC">
        <w:rPr>
          <w:lang w:val="fr-FR"/>
        </w:rPr>
        <w:t>représentant</w:t>
      </w:r>
      <w:r w:rsidR="006A24CC">
        <w:rPr>
          <w:lang w:val="fr-FR"/>
        </w:rPr>
        <w:t>s</w:t>
      </w:r>
      <w:r w:rsidR="006A24CC" w:rsidRPr="006A24CC">
        <w:rPr>
          <w:lang w:val="fr-FR"/>
        </w:rPr>
        <w:t xml:space="preserve"> </w:t>
      </w:r>
      <w:r w:rsidR="008E66A9">
        <w:rPr>
          <w:lang w:val="fr-FR"/>
        </w:rPr>
        <w:t xml:space="preserve">des </w:t>
      </w:r>
      <w:r w:rsidR="006A24CC" w:rsidRPr="006A24CC">
        <w:rPr>
          <w:lang w:val="fr-FR"/>
        </w:rPr>
        <w:t>membre</w:t>
      </w:r>
      <w:r w:rsidR="008E66A9">
        <w:rPr>
          <w:lang w:val="fr-FR"/>
        </w:rPr>
        <w:t>s</w:t>
      </w:r>
      <w:r w:rsidR="006A24CC" w:rsidRPr="006A24CC">
        <w:rPr>
          <w:lang w:val="fr-FR"/>
        </w:rPr>
        <w:t xml:space="preserve"> de l</w:t>
      </w:r>
      <w:r w:rsidR="009546A6">
        <w:rPr>
          <w:lang w:val="fr-FR"/>
        </w:rPr>
        <w:t>’</w:t>
      </w:r>
      <w:r w:rsidR="006A24CC" w:rsidRPr="006A24CC">
        <w:rPr>
          <w:lang w:val="fr-FR"/>
        </w:rPr>
        <w:t>APE</w:t>
      </w:r>
      <w:r w:rsidR="008E66A9">
        <w:rPr>
          <w:lang w:val="fr-FR"/>
        </w:rPr>
        <w:t xml:space="preserve">, </w:t>
      </w:r>
      <w:r w:rsidR="00BE506C">
        <w:rPr>
          <w:lang w:val="fr-FR"/>
        </w:rPr>
        <w:t>à raison d’un représentant</w:t>
      </w:r>
      <w:r w:rsidR="004D0B18">
        <w:rPr>
          <w:lang w:val="fr-FR"/>
        </w:rPr>
        <w:t xml:space="preserve"> / d’une représentante</w:t>
      </w:r>
      <w:r w:rsidR="00BE506C">
        <w:rPr>
          <w:lang w:val="fr-FR"/>
        </w:rPr>
        <w:t xml:space="preserve"> par membre</w:t>
      </w:r>
      <w:r w:rsidR="006A24CC" w:rsidRPr="006A24CC">
        <w:rPr>
          <w:lang w:val="fr-FR"/>
        </w:rPr>
        <w:t>.</w:t>
      </w:r>
    </w:p>
    <w:p w14:paraId="22CFCBE7" w14:textId="6312C131" w:rsidR="008E66A9" w:rsidRPr="005040A0" w:rsidRDefault="008E66A9" w:rsidP="008E66A9">
      <w:pPr>
        <w:jc w:val="both"/>
        <w:rPr>
          <w:lang w:val="fr-FR"/>
        </w:rPr>
      </w:pPr>
      <w:r w:rsidRPr="005040A0">
        <w:rPr>
          <w:lang w:val="fr-FR"/>
        </w:rPr>
        <w:t xml:space="preserve">4.2 </w:t>
      </w:r>
      <w:r w:rsidR="0045380F">
        <w:rPr>
          <w:lang w:val="fr-FR"/>
        </w:rPr>
        <w:tab/>
      </w:r>
      <w:r w:rsidRPr="005040A0">
        <w:rPr>
          <w:lang w:val="fr-FR"/>
        </w:rPr>
        <w:t xml:space="preserve">Le Comité des </w:t>
      </w:r>
      <w:r w:rsidR="0085532D">
        <w:rPr>
          <w:lang w:val="fr-FR"/>
        </w:rPr>
        <w:t>C</w:t>
      </w:r>
      <w:r w:rsidRPr="005040A0">
        <w:rPr>
          <w:lang w:val="fr-FR"/>
        </w:rPr>
        <w:t xml:space="preserve">orrespondants permanents élit parmi ses membres un </w:t>
      </w:r>
      <w:r w:rsidR="009D4A94">
        <w:rPr>
          <w:lang w:val="fr-FR"/>
        </w:rPr>
        <w:t>b</w:t>
      </w:r>
      <w:r w:rsidRPr="005040A0">
        <w:rPr>
          <w:lang w:val="fr-FR"/>
        </w:rPr>
        <w:t>ureau composé d</w:t>
      </w:r>
      <w:r w:rsidR="009546A6">
        <w:rPr>
          <w:lang w:val="fr-FR"/>
        </w:rPr>
        <w:t>’</w:t>
      </w:r>
      <w:r w:rsidRPr="005040A0">
        <w:rPr>
          <w:lang w:val="fr-FR"/>
        </w:rPr>
        <w:t>un</w:t>
      </w:r>
      <w:r w:rsidR="00C533A3">
        <w:rPr>
          <w:lang w:val="fr-FR"/>
        </w:rPr>
        <w:t>e</w:t>
      </w:r>
      <w:r w:rsidRPr="005040A0">
        <w:rPr>
          <w:lang w:val="fr-FR"/>
        </w:rPr>
        <w:t xml:space="preserve"> président</w:t>
      </w:r>
      <w:r w:rsidR="00C533A3">
        <w:rPr>
          <w:lang w:val="fr-FR"/>
        </w:rPr>
        <w:t>e /</w:t>
      </w:r>
      <w:r w:rsidR="00C533A3" w:rsidRPr="00C533A3">
        <w:rPr>
          <w:lang w:val="fr-FR"/>
        </w:rPr>
        <w:t xml:space="preserve"> </w:t>
      </w:r>
      <w:r w:rsidR="00C533A3" w:rsidRPr="005040A0">
        <w:rPr>
          <w:lang w:val="fr-FR"/>
        </w:rPr>
        <w:t>d</w:t>
      </w:r>
      <w:r w:rsidR="00C533A3">
        <w:rPr>
          <w:lang w:val="fr-FR"/>
        </w:rPr>
        <w:t>’</w:t>
      </w:r>
      <w:r w:rsidR="00C533A3" w:rsidRPr="005040A0">
        <w:rPr>
          <w:lang w:val="fr-FR"/>
        </w:rPr>
        <w:t>un président</w:t>
      </w:r>
      <w:r w:rsidRPr="005040A0">
        <w:rPr>
          <w:lang w:val="fr-FR"/>
        </w:rPr>
        <w:t>, d</w:t>
      </w:r>
      <w:r w:rsidR="009546A6">
        <w:rPr>
          <w:lang w:val="fr-FR"/>
        </w:rPr>
        <w:t>’</w:t>
      </w:r>
      <w:r w:rsidRPr="005040A0">
        <w:rPr>
          <w:lang w:val="fr-FR"/>
        </w:rPr>
        <w:t xml:space="preserve">un </w:t>
      </w:r>
      <w:r>
        <w:rPr>
          <w:lang w:val="fr-FR"/>
        </w:rPr>
        <w:t xml:space="preserve">ancien </w:t>
      </w:r>
      <w:r w:rsidRPr="005040A0">
        <w:rPr>
          <w:lang w:val="fr-FR"/>
        </w:rPr>
        <w:t>président</w:t>
      </w:r>
      <w:r w:rsidR="00C533A3">
        <w:rPr>
          <w:lang w:val="fr-FR"/>
        </w:rPr>
        <w:t xml:space="preserve"> /</w:t>
      </w:r>
      <w:r w:rsidR="00C533A3" w:rsidRPr="00C533A3">
        <w:rPr>
          <w:lang w:val="fr-FR"/>
        </w:rPr>
        <w:t xml:space="preserve"> </w:t>
      </w:r>
      <w:r w:rsidR="00C533A3" w:rsidRPr="005040A0">
        <w:rPr>
          <w:lang w:val="fr-FR"/>
        </w:rPr>
        <w:t>d</w:t>
      </w:r>
      <w:r w:rsidR="00C533A3">
        <w:rPr>
          <w:lang w:val="fr-FR"/>
        </w:rPr>
        <w:t>’</w:t>
      </w:r>
      <w:r w:rsidR="00C533A3" w:rsidRPr="005040A0">
        <w:rPr>
          <w:lang w:val="fr-FR"/>
        </w:rPr>
        <w:t>un</w:t>
      </w:r>
      <w:r w:rsidR="00C533A3">
        <w:rPr>
          <w:lang w:val="fr-FR"/>
        </w:rPr>
        <w:t>e</w:t>
      </w:r>
      <w:r w:rsidR="00C533A3" w:rsidRPr="005040A0">
        <w:rPr>
          <w:lang w:val="fr-FR"/>
        </w:rPr>
        <w:t xml:space="preserve"> </w:t>
      </w:r>
      <w:r w:rsidR="00C533A3">
        <w:rPr>
          <w:lang w:val="fr-FR"/>
        </w:rPr>
        <w:t xml:space="preserve">ancienne </w:t>
      </w:r>
      <w:r w:rsidR="00C533A3" w:rsidRPr="005040A0">
        <w:rPr>
          <w:lang w:val="fr-FR"/>
        </w:rPr>
        <w:t>président</w:t>
      </w:r>
      <w:r w:rsidR="00C533A3">
        <w:rPr>
          <w:lang w:val="fr-FR"/>
        </w:rPr>
        <w:t>e</w:t>
      </w:r>
      <w:r w:rsidRPr="005040A0">
        <w:rPr>
          <w:lang w:val="fr-FR"/>
        </w:rPr>
        <w:t xml:space="preserve">, </w:t>
      </w:r>
      <w:r w:rsidR="00C533A3" w:rsidRPr="005040A0">
        <w:rPr>
          <w:lang w:val="fr-FR"/>
        </w:rPr>
        <w:t>d</w:t>
      </w:r>
      <w:r w:rsidR="00C533A3">
        <w:rPr>
          <w:lang w:val="fr-FR"/>
        </w:rPr>
        <w:t>’</w:t>
      </w:r>
      <w:r w:rsidR="00C533A3" w:rsidRPr="005040A0">
        <w:rPr>
          <w:lang w:val="fr-FR"/>
        </w:rPr>
        <w:t xml:space="preserve">un vice-président </w:t>
      </w:r>
      <w:r w:rsidR="00C533A3">
        <w:rPr>
          <w:lang w:val="fr-FR"/>
        </w:rPr>
        <w:t xml:space="preserve">/ </w:t>
      </w:r>
      <w:r w:rsidRPr="005040A0">
        <w:rPr>
          <w:lang w:val="fr-FR"/>
        </w:rPr>
        <w:t>d</w:t>
      </w:r>
      <w:r w:rsidR="009546A6">
        <w:rPr>
          <w:lang w:val="fr-FR"/>
        </w:rPr>
        <w:t>’</w:t>
      </w:r>
      <w:r w:rsidRPr="005040A0">
        <w:rPr>
          <w:lang w:val="fr-FR"/>
        </w:rPr>
        <w:t>un</w:t>
      </w:r>
      <w:r w:rsidR="00C533A3">
        <w:rPr>
          <w:lang w:val="fr-FR"/>
        </w:rPr>
        <w:t>e</w:t>
      </w:r>
      <w:r w:rsidRPr="005040A0">
        <w:rPr>
          <w:lang w:val="fr-FR"/>
        </w:rPr>
        <w:t xml:space="preserve"> vice-président</w:t>
      </w:r>
      <w:r w:rsidR="00C533A3">
        <w:rPr>
          <w:lang w:val="fr-FR"/>
        </w:rPr>
        <w:t>e</w:t>
      </w:r>
      <w:r w:rsidRPr="005040A0">
        <w:rPr>
          <w:lang w:val="fr-FR"/>
        </w:rPr>
        <w:t xml:space="preserve"> et de deux autres membres, pour un mandat de deux ans, renouvelable une fois. </w:t>
      </w:r>
      <w:r>
        <w:rPr>
          <w:lang w:val="fr-FR"/>
        </w:rPr>
        <w:t xml:space="preserve">Le </w:t>
      </w:r>
      <w:r w:rsidRPr="005040A0">
        <w:rPr>
          <w:lang w:val="fr-FR"/>
        </w:rPr>
        <w:t>président</w:t>
      </w:r>
      <w:r w:rsidR="00C533A3">
        <w:rPr>
          <w:lang w:val="fr-FR"/>
        </w:rPr>
        <w:t xml:space="preserve"> / la présidente</w:t>
      </w:r>
      <w:r w:rsidRPr="005040A0">
        <w:rPr>
          <w:lang w:val="fr-FR"/>
        </w:rPr>
        <w:t xml:space="preserve">, </w:t>
      </w:r>
      <w:r w:rsidR="00C533A3">
        <w:rPr>
          <w:lang w:val="fr-FR"/>
        </w:rPr>
        <w:t xml:space="preserve">la vice-présidente / </w:t>
      </w:r>
      <w:r>
        <w:rPr>
          <w:lang w:val="fr-FR"/>
        </w:rPr>
        <w:t xml:space="preserve">le </w:t>
      </w:r>
      <w:r w:rsidRPr="005040A0">
        <w:rPr>
          <w:lang w:val="fr-FR"/>
        </w:rPr>
        <w:t xml:space="preserve">vice-président et </w:t>
      </w:r>
      <w:r>
        <w:rPr>
          <w:lang w:val="fr-FR"/>
        </w:rPr>
        <w:t>l</w:t>
      </w:r>
      <w:r w:rsidRPr="005040A0">
        <w:rPr>
          <w:lang w:val="fr-FR"/>
        </w:rPr>
        <w:t xml:space="preserve">es deux membres du bureau </w:t>
      </w:r>
      <w:r>
        <w:rPr>
          <w:lang w:val="fr-FR"/>
        </w:rPr>
        <w:t xml:space="preserve">sont élus à </w:t>
      </w:r>
      <w:r w:rsidRPr="005040A0">
        <w:rPr>
          <w:lang w:val="fr-FR"/>
        </w:rPr>
        <w:t>la majorité des deux tiers des suffrages exprimés au premier tour de scrutin</w:t>
      </w:r>
      <w:r w:rsidR="00F7225F">
        <w:rPr>
          <w:lang w:val="fr-FR"/>
        </w:rPr>
        <w:t>,</w:t>
      </w:r>
      <w:r w:rsidRPr="005040A0">
        <w:rPr>
          <w:lang w:val="fr-FR"/>
        </w:rPr>
        <w:t xml:space="preserve"> et </w:t>
      </w:r>
      <w:r>
        <w:rPr>
          <w:lang w:val="fr-FR"/>
        </w:rPr>
        <w:t xml:space="preserve">à </w:t>
      </w:r>
      <w:r w:rsidRPr="005040A0">
        <w:rPr>
          <w:lang w:val="fr-FR"/>
        </w:rPr>
        <w:t>la majorité simple des suffrages exprimés au second tour. L</w:t>
      </w:r>
      <w:r w:rsidR="009546A6">
        <w:rPr>
          <w:lang w:val="fr-FR"/>
        </w:rPr>
        <w:t>’</w:t>
      </w:r>
      <w:r w:rsidRPr="005040A0">
        <w:rPr>
          <w:lang w:val="fr-FR"/>
        </w:rPr>
        <w:t xml:space="preserve">élection </w:t>
      </w:r>
      <w:r w:rsidR="0045380F">
        <w:rPr>
          <w:lang w:val="fr-FR"/>
        </w:rPr>
        <w:t xml:space="preserve">se déroule </w:t>
      </w:r>
      <w:r>
        <w:rPr>
          <w:lang w:val="fr-FR"/>
        </w:rPr>
        <w:t xml:space="preserve">à bulletin </w:t>
      </w:r>
      <w:r w:rsidRPr="005040A0">
        <w:rPr>
          <w:lang w:val="fr-FR"/>
        </w:rPr>
        <w:t>secret.</w:t>
      </w:r>
    </w:p>
    <w:p w14:paraId="7F026808" w14:textId="507B9804" w:rsidR="007831AE" w:rsidRPr="00ED0ACA" w:rsidRDefault="00E35B59" w:rsidP="00194BD5">
      <w:pPr>
        <w:jc w:val="both"/>
        <w:rPr>
          <w:lang w:val="fr-FR"/>
        </w:rPr>
      </w:pPr>
      <w:r w:rsidRPr="00ED0ACA">
        <w:rPr>
          <w:lang w:val="fr-FR"/>
        </w:rPr>
        <w:t xml:space="preserve">4.3       </w:t>
      </w:r>
      <w:r w:rsidR="005A060F">
        <w:rPr>
          <w:lang w:val="fr-FR"/>
        </w:rPr>
        <w:t xml:space="preserve">Le Comité des </w:t>
      </w:r>
      <w:r w:rsidR="00D95418">
        <w:rPr>
          <w:lang w:val="fr-FR"/>
        </w:rPr>
        <w:t>C</w:t>
      </w:r>
      <w:r w:rsidR="005A060F">
        <w:rPr>
          <w:lang w:val="fr-FR"/>
        </w:rPr>
        <w:t>orrespondants permanents</w:t>
      </w:r>
      <w:r w:rsidR="005A060F" w:rsidRPr="001D7A01">
        <w:rPr>
          <w:lang w:val="fr-FR"/>
        </w:rPr>
        <w:t> </w:t>
      </w:r>
      <w:r w:rsidRPr="001D7A01">
        <w:rPr>
          <w:lang w:val="fr-FR"/>
        </w:rPr>
        <w:t>:</w:t>
      </w:r>
    </w:p>
    <w:p w14:paraId="3516DF94" w14:textId="0E27475B" w:rsidR="005A060F" w:rsidRPr="00ED0ACA" w:rsidRDefault="004D0B18" w:rsidP="00194BD5">
      <w:pPr>
        <w:numPr>
          <w:ilvl w:val="0"/>
          <w:numId w:val="3"/>
        </w:numPr>
        <w:jc w:val="both"/>
        <w:rPr>
          <w:lang w:val="fr-FR"/>
        </w:rPr>
      </w:pPr>
      <w:proofErr w:type="gramStart"/>
      <w:r>
        <w:rPr>
          <w:lang w:val="fr-FR"/>
        </w:rPr>
        <w:t>assume</w:t>
      </w:r>
      <w:proofErr w:type="gramEnd"/>
      <w:r>
        <w:rPr>
          <w:lang w:val="fr-FR"/>
        </w:rPr>
        <w:t xml:space="preserve"> la responsabilité </w:t>
      </w:r>
      <w:r w:rsidR="005A060F" w:rsidRPr="005A060F">
        <w:rPr>
          <w:lang w:val="fr-FR"/>
        </w:rPr>
        <w:t xml:space="preserve">de </w:t>
      </w:r>
      <w:r w:rsidR="005A060F">
        <w:rPr>
          <w:lang w:val="fr-FR"/>
        </w:rPr>
        <w:t xml:space="preserve">l’exécution </w:t>
      </w:r>
      <w:r w:rsidR="005A060F" w:rsidRPr="005A060F">
        <w:rPr>
          <w:lang w:val="fr-FR"/>
        </w:rPr>
        <w:t xml:space="preserve">générale des tâches </w:t>
      </w:r>
      <w:r w:rsidR="009D4A94">
        <w:rPr>
          <w:lang w:val="fr-FR"/>
        </w:rPr>
        <w:t xml:space="preserve">qui incombent à </w:t>
      </w:r>
      <w:r w:rsidR="005A060F" w:rsidRPr="005A060F">
        <w:rPr>
          <w:lang w:val="fr-FR"/>
        </w:rPr>
        <w:t>l’APE</w:t>
      </w:r>
      <w:r w:rsidR="009546A6">
        <w:rPr>
          <w:lang w:val="fr-FR"/>
        </w:rPr>
        <w:t> </w:t>
      </w:r>
      <w:r w:rsidR="005A060F">
        <w:rPr>
          <w:lang w:val="fr-FR"/>
        </w:rPr>
        <w:t>;</w:t>
      </w:r>
    </w:p>
    <w:p w14:paraId="3D6C942B" w14:textId="39A32CDD" w:rsidR="005A060F" w:rsidRPr="005A060F" w:rsidRDefault="005A060F" w:rsidP="005A060F">
      <w:pPr>
        <w:pStyle w:val="ListParagraph"/>
        <w:numPr>
          <w:ilvl w:val="0"/>
          <w:numId w:val="3"/>
        </w:numPr>
        <w:rPr>
          <w:lang w:val="fr-FR"/>
        </w:rPr>
      </w:pPr>
      <w:proofErr w:type="gramStart"/>
      <w:r w:rsidRPr="005A060F">
        <w:rPr>
          <w:lang w:val="fr-FR"/>
        </w:rPr>
        <w:t>adopte</w:t>
      </w:r>
      <w:proofErr w:type="gramEnd"/>
      <w:r w:rsidRPr="005A060F">
        <w:rPr>
          <w:lang w:val="fr-FR"/>
        </w:rPr>
        <w:t xml:space="preserve"> à l</w:t>
      </w:r>
      <w:r w:rsidR="009546A6">
        <w:rPr>
          <w:lang w:val="fr-FR"/>
        </w:rPr>
        <w:t>’</w:t>
      </w:r>
      <w:r w:rsidRPr="005A060F">
        <w:rPr>
          <w:lang w:val="fr-FR"/>
        </w:rPr>
        <w:t xml:space="preserve">unanimité </w:t>
      </w:r>
      <w:r>
        <w:rPr>
          <w:lang w:val="fr-FR"/>
        </w:rPr>
        <w:t>l</w:t>
      </w:r>
      <w:r w:rsidRPr="005A060F">
        <w:rPr>
          <w:lang w:val="fr-FR"/>
        </w:rPr>
        <w:t xml:space="preserve">es résolutions et </w:t>
      </w:r>
      <w:r w:rsidR="00684078">
        <w:rPr>
          <w:lang w:val="fr-FR"/>
        </w:rPr>
        <w:t xml:space="preserve">les </w:t>
      </w:r>
      <w:r w:rsidRPr="005A060F">
        <w:rPr>
          <w:lang w:val="fr-FR"/>
        </w:rPr>
        <w:t>recommandations adressées aux États membres</w:t>
      </w:r>
      <w:r w:rsidR="009546A6">
        <w:rPr>
          <w:lang w:val="fr-FR"/>
        </w:rPr>
        <w:t> </w:t>
      </w:r>
      <w:r w:rsidRPr="005A060F">
        <w:rPr>
          <w:lang w:val="fr-FR"/>
        </w:rPr>
        <w:t>;</w:t>
      </w:r>
    </w:p>
    <w:p w14:paraId="6D82A37A" w14:textId="0C09A9A0" w:rsidR="007831AE" w:rsidRPr="00ED0ACA" w:rsidRDefault="005A060F" w:rsidP="00194BD5">
      <w:pPr>
        <w:numPr>
          <w:ilvl w:val="0"/>
          <w:numId w:val="3"/>
        </w:numPr>
        <w:jc w:val="both"/>
        <w:rPr>
          <w:strike/>
          <w:lang w:val="fr-FR"/>
        </w:rPr>
      </w:pPr>
      <w:proofErr w:type="gramStart"/>
      <w:r w:rsidRPr="005A060F">
        <w:rPr>
          <w:lang w:val="fr-FR"/>
        </w:rPr>
        <w:t>adopte</w:t>
      </w:r>
      <w:proofErr w:type="gramEnd"/>
      <w:r w:rsidRPr="005A060F">
        <w:rPr>
          <w:lang w:val="fr-FR"/>
        </w:rPr>
        <w:t xml:space="preserve"> le projet de programme d</w:t>
      </w:r>
      <w:r w:rsidR="009546A6">
        <w:rPr>
          <w:lang w:val="fr-FR"/>
        </w:rPr>
        <w:t>’</w:t>
      </w:r>
      <w:r w:rsidRPr="005A060F">
        <w:rPr>
          <w:lang w:val="fr-FR"/>
        </w:rPr>
        <w:t>activité</w:t>
      </w:r>
      <w:r w:rsidR="00684078">
        <w:rPr>
          <w:lang w:val="fr-FR"/>
        </w:rPr>
        <w:t>s biennal</w:t>
      </w:r>
      <w:r w:rsidR="00B73980">
        <w:rPr>
          <w:lang w:val="fr-FR"/>
        </w:rPr>
        <w:t xml:space="preserve"> </w:t>
      </w:r>
      <w:r w:rsidRPr="005A060F">
        <w:rPr>
          <w:lang w:val="fr-FR"/>
        </w:rPr>
        <w:t>et le budget global de l</w:t>
      </w:r>
      <w:r w:rsidR="009546A6">
        <w:rPr>
          <w:lang w:val="fr-FR"/>
        </w:rPr>
        <w:t>’</w:t>
      </w:r>
      <w:r w:rsidRPr="005A060F">
        <w:rPr>
          <w:lang w:val="fr-FR"/>
        </w:rPr>
        <w:t>APE et le</w:t>
      </w:r>
      <w:r w:rsidR="00CA23C4">
        <w:rPr>
          <w:lang w:val="fr-FR"/>
        </w:rPr>
        <w:t>s</w:t>
      </w:r>
      <w:r w:rsidRPr="005A060F">
        <w:rPr>
          <w:lang w:val="fr-FR"/>
        </w:rPr>
        <w:t xml:space="preserve"> soumet, conformément au </w:t>
      </w:r>
      <w:r w:rsidR="00CA23C4">
        <w:rPr>
          <w:lang w:val="fr-FR"/>
        </w:rPr>
        <w:t>r</w:t>
      </w:r>
      <w:r w:rsidRPr="005A060F">
        <w:rPr>
          <w:lang w:val="fr-FR"/>
        </w:rPr>
        <w:t>èglement financier du Conseil de l</w:t>
      </w:r>
      <w:r w:rsidR="009546A6">
        <w:rPr>
          <w:lang w:val="fr-FR"/>
        </w:rPr>
        <w:t>’</w:t>
      </w:r>
      <w:r w:rsidRPr="005A060F">
        <w:rPr>
          <w:lang w:val="fr-FR"/>
        </w:rPr>
        <w:t>Europe, au Secrétaire général</w:t>
      </w:r>
      <w:r w:rsidR="00B73980">
        <w:rPr>
          <w:lang w:val="fr-FR"/>
        </w:rPr>
        <w:t xml:space="preserve"> </w:t>
      </w:r>
      <w:r w:rsidR="00225B79">
        <w:rPr>
          <w:lang w:val="fr-FR"/>
        </w:rPr>
        <w:t>/</w:t>
      </w:r>
      <w:r w:rsidR="00B73980">
        <w:rPr>
          <w:lang w:val="fr-FR"/>
        </w:rPr>
        <w:t xml:space="preserve"> </w:t>
      </w:r>
      <w:r w:rsidR="009D4A94">
        <w:rPr>
          <w:lang w:val="fr-FR"/>
        </w:rPr>
        <w:t xml:space="preserve">à la Secrétaire générale </w:t>
      </w:r>
      <w:r w:rsidRPr="005A060F">
        <w:rPr>
          <w:lang w:val="fr-FR"/>
        </w:rPr>
        <w:t>du Conseil de l</w:t>
      </w:r>
      <w:r w:rsidR="009546A6">
        <w:rPr>
          <w:lang w:val="fr-FR"/>
        </w:rPr>
        <w:t>’</w:t>
      </w:r>
      <w:r w:rsidRPr="005A060F">
        <w:rPr>
          <w:lang w:val="fr-FR"/>
        </w:rPr>
        <w:t xml:space="preserve">Europe en vue de </w:t>
      </w:r>
      <w:r w:rsidR="00CA23C4">
        <w:rPr>
          <w:lang w:val="fr-FR"/>
        </w:rPr>
        <w:t xml:space="preserve">la préparation </w:t>
      </w:r>
      <w:r w:rsidRPr="005A060F">
        <w:rPr>
          <w:lang w:val="fr-FR"/>
        </w:rPr>
        <w:t xml:space="preserve">du projet de budget </w:t>
      </w:r>
      <w:r w:rsidR="00684078">
        <w:rPr>
          <w:lang w:val="fr-FR"/>
        </w:rPr>
        <w:t>biennal</w:t>
      </w:r>
      <w:r w:rsidR="009546A6">
        <w:rPr>
          <w:lang w:val="fr-FR"/>
        </w:rPr>
        <w:t> </w:t>
      </w:r>
      <w:r w:rsidRPr="005A060F">
        <w:rPr>
          <w:lang w:val="fr-FR"/>
        </w:rPr>
        <w:t>;</w:t>
      </w:r>
    </w:p>
    <w:p w14:paraId="47C669CB" w14:textId="5F975C78" w:rsidR="007831AE" w:rsidRPr="00ED0ACA" w:rsidRDefault="00CA23C4" w:rsidP="00194BD5">
      <w:pPr>
        <w:numPr>
          <w:ilvl w:val="0"/>
          <w:numId w:val="3"/>
        </w:numPr>
        <w:jc w:val="both"/>
        <w:rPr>
          <w:lang w:val="fr-FR"/>
        </w:rPr>
      </w:pPr>
      <w:proofErr w:type="gramStart"/>
      <w:r w:rsidRPr="00CA23C4">
        <w:rPr>
          <w:lang w:val="fr-FR"/>
        </w:rPr>
        <w:t>décide</w:t>
      </w:r>
      <w:proofErr w:type="gramEnd"/>
      <w:r w:rsidRPr="00CA23C4">
        <w:rPr>
          <w:lang w:val="fr-FR"/>
        </w:rPr>
        <w:t xml:space="preserve"> des projets conformes aux priorités politiques du Conseil de l’Europ</w:t>
      </w:r>
      <w:r>
        <w:rPr>
          <w:lang w:val="fr-FR"/>
        </w:rPr>
        <w:t>e</w:t>
      </w:r>
      <w:r w:rsidR="009546A6" w:rsidRPr="001D7A01">
        <w:rPr>
          <w:lang w:val="fr-FR"/>
        </w:rPr>
        <w:t> </w:t>
      </w:r>
      <w:r w:rsidR="00E35B59" w:rsidRPr="001D7A01">
        <w:rPr>
          <w:lang w:val="fr-FR"/>
        </w:rPr>
        <w:t>;</w:t>
      </w:r>
    </w:p>
    <w:p w14:paraId="2E217BDE" w14:textId="587AC1EF" w:rsidR="00CA23C4" w:rsidRPr="00CA23C4" w:rsidRDefault="00CA23C4" w:rsidP="00C15617">
      <w:pPr>
        <w:pStyle w:val="ListParagraph"/>
        <w:numPr>
          <w:ilvl w:val="0"/>
          <w:numId w:val="3"/>
        </w:numPr>
        <w:ind w:left="714" w:hanging="357"/>
        <w:contextualSpacing w:val="0"/>
        <w:rPr>
          <w:lang w:val="fr-FR"/>
        </w:rPr>
      </w:pPr>
      <w:proofErr w:type="gramStart"/>
      <w:r>
        <w:rPr>
          <w:lang w:val="fr-FR"/>
        </w:rPr>
        <w:t>suit</w:t>
      </w:r>
      <w:proofErr w:type="gramEnd"/>
      <w:r>
        <w:rPr>
          <w:lang w:val="fr-FR"/>
        </w:rPr>
        <w:t xml:space="preserve"> </w:t>
      </w:r>
      <w:r w:rsidRPr="00CA23C4">
        <w:rPr>
          <w:lang w:val="fr-FR"/>
        </w:rPr>
        <w:t>la mise en œuvre du programme d</w:t>
      </w:r>
      <w:r w:rsidR="009546A6">
        <w:rPr>
          <w:lang w:val="fr-FR"/>
        </w:rPr>
        <w:t>’</w:t>
      </w:r>
      <w:r w:rsidRPr="00CA23C4">
        <w:rPr>
          <w:lang w:val="fr-FR"/>
        </w:rPr>
        <w:t>activité</w:t>
      </w:r>
      <w:r w:rsidR="00684078">
        <w:rPr>
          <w:lang w:val="fr-FR"/>
        </w:rPr>
        <w:t>s</w:t>
      </w:r>
      <w:r w:rsidR="009546A6">
        <w:rPr>
          <w:lang w:val="fr-FR"/>
        </w:rPr>
        <w:t> </w:t>
      </w:r>
      <w:r w:rsidRPr="00CA23C4">
        <w:rPr>
          <w:lang w:val="fr-FR"/>
        </w:rPr>
        <w:t>;</w:t>
      </w:r>
    </w:p>
    <w:p w14:paraId="23A27162" w14:textId="14B40043" w:rsidR="00AB3699" w:rsidRPr="00AB3699" w:rsidRDefault="00AB3699" w:rsidP="00AB3699">
      <w:pPr>
        <w:pStyle w:val="ListParagraph"/>
        <w:numPr>
          <w:ilvl w:val="0"/>
          <w:numId w:val="3"/>
        </w:numPr>
        <w:rPr>
          <w:lang w:val="fr-FR"/>
        </w:rPr>
      </w:pPr>
      <w:proofErr w:type="gramStart"/>
      <w:r w:rsidRPr="00AB3699">
        <w:rPr>
          <w:lang w:val="fr-FR"/>
        </w:rPr>
        <w:t>adopte</w:t>
      </w:r>
      <w:proofErr w:type="gramEnd"/>
      <w:r w:rsidRPr="00AB3699">
        <w:rPr>
          <w:lang w:val="fr-FR"/>
        </w:rPr>
        <w:t xml:space="preserve"> et transmet un rapport d</w:t>
      </w:r>
      <w:r w:rsidR="009546A6">
        <w:rPr>
          <w:lang w:val="fr-FR"/>
        </w:rPr>
        <w:t>’</w:t>
      </w:r>
      <w:r w:rsidRPr="00AB3699">
        <w:rPr>
          <w:lang w:val="fr-FR"/>
        </w:rPr>
        <w:t xml:space="preserve">activité </w:t>
      </w:r>
      <w:r w:rsidR="00684078">
        <w:rPr>
          <w:lang w:val="fr-FR"/>
        </w:rPr>
        <w:t xml:space="preserve">biennal </w:t>
      </w:r>
      <w:r w:rsidRPr="00AB3699">
        <w:rPr>
          <w:lang w:val="fr-FR"/>
        </w:rPr>
        <w:t>au Comité des Ministres</w:t>
      </w:r>
      <w:r w:rsidR="009546A6">
        <w:rPr>
          <w:lang w:val="fr-FR"/>
        </w:rPr>
        <w:t> </w:t>
      </w:r>
      <w:r w:rsidRPr="00AB3699">
        <w:rPr>
          <w:lang w:val="fr-FR"/>
        </w:rPr>
        <w:t>;</w:t>
      </w:r>
    </w:p>
    <w:p w14:paraId="146538A7" w14:textId="0F55224B" w:rsidR="00AB3699" w:rsidRPr="005040A0" w:rsidRDefault="00AB3699" w:rsidP="00AB3699">
      <w:pPr>
        <w:numPr>
          <w:ilvl w:val="0"/>
          <w:numId w:val="3"/>
        </w:numPr>
        <w:jc w:val="both"/>
        <w:rPr>
          <w:lang w:val="fr-FR"/>
        </w:rPr>
      </w:pPr>
      <w:proofErr w:type="gramStart"/>
      <w:r w:rsidRPr="005040A0">
        <w:rPr>
          <w:lang w:val="fr-FR"/>
        </w:rPr>
        <w:t>décide</w:t>
      </w:r>
      <w:proofErr w:type="gramEnd"/>
      <w:r w:rsidRPr="005040A0">
        <w:rPr>
          <w:lang w:val="fr-FR"/>
        </w:rPr>
        <w:t xml:space="preserve"> de la création de sous-comités et de groupes d</w:t>
      </w:r>
      <w:r w:rsidR="009546A6">
        <w:rPr>
          <w:lang w:val="fr-FR"/>
        </w:rPr>
        <w:t>’</w:t>
      </w:r>
      <w:r w:rsidRPr="005040A0">
        <w:rPr>
          <w:lang w:val="fr-FR"/>
        </w:rPr>
        <w:t>experts</w:t>
      </w:r>
      <w:r w:rsidR="009546A6">
        <w:rPr>
          <w:lang w:val="fr-FR"/>
        </w:rPr>
        <w:t> </w:t>
      </w:r>
      <w:r w:rsidR="00255344">
        <w:rPr>
          <w:lang w:val="fr-FR"/>
        </w:rPr>
        <w:t>;</w:t>
      </w:r>
    </w:p>
    <w:p w14:paraId="5B89AC4A" w14:textId="604E368E" w:rsidR="007831AE" w:rsidRPr="00ED0ACA" w:rsidRDefault="00AB3699" w:rsidP="00194BD5">
      <w:pPr>
        <w:numPr>
          <w:ilvl w:val="0"/>
          <w:numId w:val="3"/>
        </w:numPr>
        <w:jc w:val="both"/>
        <w:rPr>
          <w:lang w:val="fr-FR"/>
        </w:rPr>
      </w:pPr>
      <w:proofErr w:type="gramStart"/>
      <w:r w:rsidRPr="005040A0">
        <w:rPr>
          <w:lang w:val="fr-FR"/>
        </w:rPr>
        <w:t>décide</w:t>
      </w:r>
      <w:proofErr w:type="gramEnd"/>
      <w:r w:rsidRPr="005040A0">
        <w:rPr>
          <w:lang w:val="fr-FR"/>
        </w:rPr>
        <w:t xml:space="preserve"> de l</w:t>
      </w:r>
      <w:r w:rsidR="009546A6">
        <w:rPr>
          <w:lang w:val="fr-FR"/>
        </w:rPr>
        <w:t>’</w:t>
      </w:r>
      <w:r w:rsidRPr="005040A0">
        <w:rPr>
          <w:lang w:val="fr-FR"/>
        </w:rPr>
        <w:t xml:space="preserve">inclusion </w:t>
      </w:r>
      <w:r w:rsidR="00255344">
        <w:rPr>
          <w:lang w:val="fr-FR"/>
        </w:rPr>
        <w:t xml:space="preserve">de </w:t>
      </w:r>
      <w:r w:rsidRPr="005040A0">
        <w:rPr>
          <w:lang w:val="fr-FR"/>
        </w:rPr>
        <w:t>centre</w:t>
      </w:r>
      <w:r w:rsidR="00255344">
        <w:rPr>
          <w:lang w:val="fr-FR"/>
        </w:rPr>
        <w:t>s</w:t>
      </w:r>
      <w:r w:rsidRPr="005040A0">
        <w:rPr>
          <w:lang w:val="fr-FR"/>
        </w:rPr>
        <w:t xml:space="preserve"> scientifique</w:t>
      </w:r>
      <w:r w:rsidR="00255344">
        <w:rPr>
          <w:lang w:val="fr-FR"/>
        </w:rPr>
        <w:t>s</w:t>
      </w:r>
      <w:r w:rsidRPr="005040A0">
        <w:rPr>
          <w:lang w:val="fr-FR"/>
        </w:rPr>
        <w:t xml:space="preserve"> spécialisé</w:t>
      </w:r>
      <w:r w:rsidR="00255344">
        <w:rPr>
          <w:lang w:val="fr-FR"/>
        </w:rPr>
        <w:t>s</w:t>
      </w:r>
      <w:r w:rsidRPr="005040A0">
        <w:rPr>
          <w:lang w:val="fr-FR"/>
        </w:rPr>
        <w:t xml:space="preserve"> dans le réseau des centres scientifiques spécialisés</w:t>
      </w:r>
      <w:r w:rsidR="00255344">
        <w:rPr>
          <w:lang w:val="fr-FR"/>
        </w:rPr>
        <w:t>, ou de leur exclusion</w:t>
      </w:r>
      <w:r w:rsidR="00143AC4">
        <w:rPr>
          <w:lang w:val="fr-FR"/>
        </w:rPr>
        <w:t xml:space="preserve"> du réseau</w:t>
      </w:r>
      <w:r w:rsidRPr="005040A0">
        <w:rPr>
          <w:lang w:val="fr-FR"/>
        </w:rPr>
        <w:t>.</w:t>
      </w:r>
    </w:p>
    <w:p w14:paraId="4BA3788F" w14:textId="13DAA587" w:rsidR="007831AE" w:rsidRPr="00ED0ACA" w:rsidRDefault="00E35B59" w:rsidP="00194BD5">
      <w:pPr>
        <w:jc w:val="both"/>
        <w:rPr>
          <w:lang w:val="fr-FR"/>
        </w:rPr>
      </w:pPr>
      <w:r w:rsidRPr="00ED0ACA">
        <w:rPr>
          <w:lang w:val="fr-FR"/>
        </w:rPr>
        <w:t>4.4 </w:t>
      </w:r>
      <w:r w:rsidR="008F6B2B">
        <w:rPr>
          <w:lang w:val="fr-FR"/>
        </w:rPr>
        <w:tab/>
      </w:r>
      <w:r w:rsidR="007368C1">
        <w:rPr>
          <w:lang w:val="fr-FR"/>
        </w:rPr>
        <w:t xml:space="preserve">Le Comité des </w:t>
      </w:r>
      <w:r w:rsidR="0085532D">
        <w:rPr>
          <w:lang w:val="fr-FR"/>
        </w:rPr>
        <w:t>C</w:t>
      </w:r>
      <w:r w:rsidR="007368C1">
        <w:rPr>
          <w:lang w:val="fr-FR"/>
        </w:rPr>
        <w:t>orrespondants permanents se réunit au moins une fois par an</w:t>
      </w:r>
      <w:r w:rsidRPr="001D7A01">
        <w:rPr>
          <w:lang w:val="fr-FR"/>
        </w:rPr>
        <w:t>.</w:t>
      </w:r>
      <w:r w:rsidRPr="00ED0ACA">
        <w:rPr>
          <w:lang w:val="fr-FR"/>
        </w:rPr>
        <w:t xml:space="preserve"> </w:t>
      </w:r>
      <w:r w:rsidR="007368C1" w:rsidRPr="007368C1">
        <w:rPr>
          <w:lang w:val="fr-FR"/>
        </w:rPr>
        <w:t xml:space="preserve">Il peut inviter des représentants des organes </w:t>
      </w:r>
      <w:r w:rsidR="00AE15C3">
        <w:rPr>
          <w:lang w:val="fr-FR"/>
        </w:rPr>
        <w:t>concernés</w:t>
      </w:r>
      <w:r w:rsidR="007368C1" w:rsidRPr="007368C1">
        <w:rPr>
          <w:lang w:val="fr-FR"/>
        </w:rPr>
        <w:t xml:space="preserve"> du Conseil de l’Europe à assister à ses réunions, sans droit de vote, en fonction des points figurant à l’ordre du jour</w:t>
      </w:r>
      <w:r w:rsidRPr="001D7A01">
        <w:rPr>
          <w:lang w:val="fr-FR"/>
        </w:rPr>
        <w:t>.</w:t>
      </w:r>
    </w:p>
    <w:p w14:paraId="2DF6CA7E" w14:textId="56BB1B30" w:rsidR="007368C1" w:rsidRPr="00F67955" w:rsidRDefault="00E35B59" w:rsidP="00F67955">
      <w:pPr>
        <w:jc w:val="both"/>
        <w:rPr>
          <w:lang w:val="fr-FR"/>
        </w:rPr>
      </w:pPr>
      <w:r w:rsidRPr="00F67955">
        <w:rPr>
          <w:lang w:val="fr-FR"/>
        </w:rPr>
        <w:t xml:space="preserve">4.5       </w:t>
      </w:r>
      <w:r w:rsidR="007368C1" w:rsidRPr="00F67955">
        <w:rPr>
          <w:lang w:val="fr-FR"/>
        </w:rPr>
        <w:t xml:space="preserve">Le Comité des </w:t>
      </w:r>
      <w:r w:rsidR="0085532D">
        <w:rPr>
          <w:lang w:val="fr-FR"/>
        </w:rPr>
        <w:t>C</w:t>
      </w:r>
      <w:r w:rsidR="007368C1" w:rsidRPr="00F67955">
        <w:rPr>
          <w:lang w:val="fr-FR"/>
        </w:rPr>
        <w:t xml:space="preserve">orrespondants permanents peut confier des tâches opérationnelles </w:t>
      </w:r>
      <w:r w:rsidR="00684078" w:rsidRPr="00F67955">
        <w:rPr>
          <w:lang w:val="fr-FR"/>
        </w:rPr>
        <w:t xml:space="preserve">à son bureau </w:t>
      </w:r>
      <w:r w:rsidR="007368C1" w:rsidRPr="00F67955">
        <w:rPr>
          <w:lang w:val="fr-FR"/>
        </w:rPr>
        <w:t xml:space="preserve">à la majorité des deux tiers. Le </w:t>
      </w:r>
      <w:r w:rsidR="008F6B2B" w:rsidRPr="00F67955">
        <w:rPr>
          <w:lang w:val="fr-FR"/>
        </w:rPr>
        <w:t>b</w:t>
      </w:r>
      <w:r w:rsidR="007368C1" w:rsidRPr="00F67955">
        <w:rPr>
          <w:lang w:val="fr-FR"/>
        </w:rPr>
        <w:t xml:space="preserve">ureau est convoqué au moins une fois par an par </w:t>
      </w:r>
      <w:r w:rsidR="005B6862" w:rsidRPr="00F67955">
        <w:rPr>
          <w:lang w:val="fr-FR"/>
        </w:rPr>
        <w:t xml:space="preserve">la présidente / </w:t>
      </w:r>
      <w:r w:rsidR="007368C1" w:rsidRPr="00F67955">
        <w:rPr>
          <w:lang w:val="fr-FR"/>
        </w:rPr>
        <w:t xml:space="preserve">le président du Comité des </w:t>
      </w:r>
      <w:r w:rsidR="0085532D">
        <w:rPr>
          <w:lang w:val="fr-FR"/>
        </w:rPr>
        <w:t>C</w:t>
      </w:r>
      <w:r w:rsidR="007368C1" w:rsidRPr="00F67955">
        <w:rPr>
          <w:lang w:val="fr-FR"/>
        </w:rPr>
        <w:t>orrespondants permanents.</w:t>
      </w:r>
    </w:p>
    <w:p w14:paraId="2AE5D9DB" w14:textId="705CA978" w:rsidR="00E0466F" w:rsidRPr="00ED0ACA" w:rsidRDefault="007831AE" w:rsidP="00194BD5">
      <w:pPr>
        <w:jc w:val="both"/>
        <w:rPr>
          <w:lang w:val="fr-FR"/>
        </w:rPr>
      </w:pPr>
      <w:r w:rsidRPr="00ED0ACA">
        <w:rPr>
          <w:lang w:val="fr-FR"/>
        </w:rPr>
        <w:lastRenderedPageBreak/>
        <w:t xml:space="preserve">4.6       </w:t>
      </w:r>
      <w:r w:rsidR="00EA05B8" w:rsidRPr="00EA05B8">
        <w:rPr>
          <w:lang w:val="fr-FR"/>
        </w:rPr>
        <w:t xml:space="preserve">Le Comité des </w:t>
      </w:r>
      <w:r w:rsidR="00EE672D">
        <w:rPr>
          <w:lang w:val="fr-FR"/>
        </w:rPr>
        <w:t>C</w:t>
      </w:r>
      <w:r w:rsidR="00EA05B8" w:rsidRPr="00EA05B8">
        <w:rPr>
          <w:lang w:val="fr-FR"/>
        </w:rPr>
        <w:t>orrespondants permanents adopte ses décisions à la majorité des deux tiers des voix exprimées, chaque membre disposant d</w:t>
      </w:r>
      <w:r w:rsidR="009546A6">
        <w:rPr>
          <w:lang w:val="fr-FR"/>
        </w:rPr>
        <w:t>’</w:t>
      </w:r>
      <w:r w:rsidR="00EA05B8" w:rsidRPr="00EA05B8">
        <w:rPr>
          <w:lang w:val="fr-FR"/>
        </w:rPr>
        <w:t xml:space="preserve">une voix. Les questions de procédure sont </w:t>
      </w:r>
      <w:r w:rsidR="00EA05B8">
        <w:rPr>
          <w:lang w:val="fr-FR"/>
        </w:rPr>
        <w:t xml:space="preserve">tranchées </w:t>
      </w:r>
      <w:r w:rsidR="00EA05B8" w:rsidRPr="00EA05B8">
        <w:rPr>
          <w:lang w:val="fr-FR"/>
        </w:rPr>
        <w:t xml:space="preserve">à la majorité des suffrages exprimés. </w:t>
      </w:r>
    </w:p>
    <w:p w14:paraId="4EE36340" w14:textId="45235BA7" w:rsidR="007831AE" w:rsidRPr="00ED0ACA" w:rsidRDefault="00E35B59" w:rsidP="00194BD5">
      <w:pPr>
        <w:jc w:val="both"/>
        <w:rPr>
          <w:lang w:val="fr-FR"/>
        </w:rPr>
      </w:pPr>
      <w:r w:rsidRPr="00ED0ACA">
        <w:rPr>
          <w:lang w:val="fr-FR"/>
        </w:rPr>
        <w:t>4.7</w:t>
      </w:r>
      <w:r w:rsidRPr="00ED0ACA">
        <w:rPr>
          <w:lang w:val="fr-FR"/>
        </w:rPr>
        <w:tab/>
      </w:r>
      <w:r w:rsidR="00312D90" w:rsidRPr="00312D90">
        <w:rPr>
          <w:lang w:val="fr-FR"/>
        </w:rPr>
        <w:t xml:space="preserve">Le Comité des </w:t>
      </w:r>
      <w:r w:rsidR="00EE672D">
        <w:rPr>
          <w:lang w:val="fr-FR"/>
        </w:rPr>
        <w:t>C</w:t>
      </w:r>
      <w:r w:rsidR="00312D90" w:rsidRPr="00312D90">
        <w:rPr>
          <w:lang w:val="fr-FR"/>
        </w:rPr>
        <w:t xml:space="preserve">orrespondants permanents adopte son règlement intérieur et toute autre disposition </w:t>
      </w:r>
      <w:r w:rsidR="00312D90">
        <w:rPr>
          <w:lang w:val="fr-FR"/>
        </w:rPr>
        <w:t xml:space="preserve">relative à </w:t>
      </w:r>
      <w:r w:rsidR="00312D90" w:rsidRPr="00312D90">
        <w:rPr>
          <w:lang w:val="fr-FR"/>
        </w:rPr>
        <w:t xml:space="preserve">la </w:t>
      </w:r>
      <w:r w:rsidR="00312D90">
        <w:rPr>
          <w:lang w:val="fr-FR"/>
        </w:rPr>
        <w:t xml:space="preserve">réalisation </w:t>
      </w:r>
      <w:r w:rsidR="00312D90" w:rsidRPr="00312D90">
        <w:rPr>
          <w:lang w:val="fr-FR"/>
        </w:rPr>
        <w:t>de ses activités.</w:t>
      </w:r>
    </w:p>
    <w:p w14:paraId="04636D0A" w14:textId="13131AD6" w:rsidR="007831AE" w:rsidRPr="00ED0ACA" w:rsidRDefault="003C0A77" w:rsidP="00194BD5">
      <w:pPr>
        <w:jc w:val="both"/>
        <w:rPr>
          <w:lang w:val="fr-FR"/>
        </w:rPr>
      </w:pPr>
      <w:r w:rsidRPr="001D7A01">
        <w:rPr>
          <w:b/>
          <w:bCs/>
          <w:lang w:val="fr-FR"/>
        </w:rPr>
        <w:t>Article</w:t>
      </w:r>
      <w:r w:rsidR="009546A6" w:rsidRPr="001D7A01">
        <w:rPr>
          <w:b/>
          <w:bCs/>
          <w:lang w:val="fr-FR"/>
        </w:rPr>
        <w:t> </w:t>
      </w:r>
      <w:r w:rsidRPr="001D7A01">
        <w:rPr>
          <w:b/>
          <w:bCs/>
          <w:lang w:val="fr-FR"/>
        </w:rPr>
        <w:t xml:space="preserve">5 </w:t>
      </w:r>
      <w:r w:rsidR="009546A6" w:rsidRPr="001D7A01">
        <w:rPr>
          <w:b/>
          <w:bCs/>
          <w:lang w:val="fr-FR"/>
        </w:rPr>
        <w:t>—</w:t>
      </w:r>
      <w:r w:rsidRPr="001D7A01">
        <w:rPr>
          <w:b/>
          <w:bCs/>
          <w:lang w:val="fr-FR"/>
        </w:rPr>
        <w:t xml:space="preserve"> </w:t>
      </w:r>
      <w:r w:rsidR="003E37B2" w:rsidRPr="005040A0">
        <w:rPr>
          <w:b/>
          <w:bCs/>
          <w:lang w:val="fr-FR"/>
        </w:rPr>
        <w:t>Réseau de centres scientifiques spécialisés</w:t>
      </w:r>
    </w:p>
    <w:p w14:paraId="2AD0ECC8" w14:textId="728A5F1F" w:rsidR="003E37B2" w:rsidRDefault="00E35B59" w:rsidP="00194BD5">
      <w:pPr>
        <w:jc w:val="both"/>
        <w:rPr>
          <w:lang w:val="fr-FR"/>
        </w:rPr>
      </w:pPr>
      <w:r w:rsidRPr="00ED0ACA">
        <w:rPr>
          <w:lang w:val="fr-FR"/>
        </w:rPr>
        <w:t xml:space="preserve">5.1       </w:t>
      </w:r>
      <w:r w:rsidR="003E37B2" w:rsidRPr="005040A0">
        <w:rPr>
          <w:lang w:val="fr-FR"/>
        </w:rPr>
        <w:t xml:space="preserve">Le réseau de centres scientifiques spécialisés </w:t>
      </w:r>
      <w:r w:rsidR="003E37B2">
        <w:rPr>
          <w:lang w:val="fr-FR"/>
        </w:rPr>
        <w:t xml:space="preserve">rassemble des centres </w:t>
      </w:r>
      <w:r w:rsidR="003E37B2" w:rsidRPr="005040A0">
        <w:rPr>
          <w:lang w:val="fr-FR"/>
        </w:rPr>
        <w:t xml:space="preserve">de recherche scientifique possédant </w:t>
      </w:r>
      <w:r w:rsidR="003E37B2">
        <w:rPr>
          <w:lang w:val="fr-FR"/>
        </w:rPr>
        <w:t xml:space="preserve">des compétences </w:t>
      </w:r>
      <w:r w:rsidR="003E37B2" w:rsidRPr="005040A0">
        <w:rPr>
          <w:lang w:val="fr-FR"/>
        </w:rPr>
        <w:t xml:space="preserve">dans un domaine spécifique de la réduction des risques de catastrophe, en particulier la connaissance, la prévention, la préparation, la gestion </w:t>
      </w:r>
      <w:r w:rsidR="003E37B2">
        <w:rPr>
          <w:lang w:val="fr-FR"/>
        </w:rPr>
        <w:t xml:space="preserve">du </w:t>
      </w:r>
      <w:r w:rsidR="003E37B2" w:rsidRPr="005040A0">
        <w:rPr>
          <w:lang w:val="fr-FR"/>
        </w:rPr>
        <w:t>risque et l</w:t>
      </w:r>
      <w:r w:rsidR="009546A6">
        <w:rPr>
          <w:lang w:val="fr-FR"/>
        </w:rPr>
        <w:t>’</w:t>
      </w:r>
      <w:r w:rsidR="003E37B2" w:rsidRPr="005040A0">
        <w:rPr>
          <w:lang w:val="fr-FR"/>
        </w:rPr>
        <w:t>analyse post-crise.</w:t>
      </w:r>
    </w:p>
    <w:p w14:paraId="562E435E" w14:textId="5EB5442A" w:rsidR="003E37B2" w:rsidRPr="005040A0" w:rsidRDefault="00E35B59" w:rsidP="003E37B2">
      <w:pPr>
        <w:jc w:val="both"/>
        <w:rPr>
          <w:lang w:val="fr-FR"/>
        </w:rPr>
      </w:pPr>
      <w:r w:rsidRPr="00ED0ACA">
        <w:rPr>
          <w:lang w:val="fr-FR"/>
        </w:rPr>
        <w:t>5.2.</w:t>
      </w:r>
      <w:r w:rsidRPr="00ED0ACA">
        <w:rPr>
          <w:lang w:val="fr-FR"/>
        </w:rPr>
        <w:tab/>
      </w:r>
      <w:r w:rsidR="003E37B2" w:rsidRPr="005040A0">
        <w:rPr>
          <w:lang w:val="fr-FR"/>
        </w:rPr>
        <w:t xml:space="preserve">Les critères </w:t>
      </w:r>
      <w:r w:rsidR="003E37B2">
        <w:rPr>
          <w:lang w:val="fr-FR"/>
        </w:rPr>
        <w:t xml:space="preserve">d’admission </w:t>
      </w:r>
      <w:r w:rsidR="003E37B2" w:rsidRPr="005040A0">
        <w:rPr>
          <w:lang w:val="fr-FR"/>
        </w:rPr>
        <w:t>d</w:t>
      </w:r>
      <w:r w:rsidR="009546A6">
        <w:rPr>
          <w:lang w:val="fr-FR"/>
        </w:rPr>
        <w:t>’</w:t>
      </w:r>
      <w:r w:rsidR="003E37B2" w:rsidRPr="005040A0">
        <w:rPr>
          <w:lang w:val="fr-FR"/>
        </w:rPr>
        <w:t xml:space="preserve">un centre scientifique spécialisé dans le </w:t>
      </w:r>
      <w:r w:rsidR="00A06AC7">
        <w:rPr>
          <w:lang w:val="fr-FR"/>
        </w:rPr>
        <w:t>r</w:t>
      </w:r>
      <w:r w:rsidR="003E37B2" w:rsidRPr="005040A0">
        <w:rPr>
          <w:lang w:val="fr-FR"/>
        </w:rPr>
        <w:t xml:space="preserve">éseau sont </w:t>
      </w:r>
      <w:r w:rsidR="003E37B2">
        <w:rPr>
          <w:lang w:val="fr-FR"/>
        </w:rPr>
        <w:t xml:space="preserve">définis </w:t>
      </w:r>
      <w:r w:rsidR="003E37B2" w:rsidRPr="005040A0">
        <w:rPr>
          <w:lang w:val="fr-FR"/>
        </w:rPr>
        <w:t xml:space="preserve">dans le règlement intérieur du Comité des </w:t>
      </w:r>
      <w:r w:rsidR="00EE672D">
        <w:rPr>
          <w:lang w:val="fr-FR"/>
        </w:rPr>
        <w:t>C</w:t>
      </w:r>
      <w:r w:rsidR="003E37B2" w:rsidRPr="005040A0">
        <w:rPr>
          <w:lang w:val="fr-FR"/>
        </w:rPr>
        <w:t xml:space="preserve">orrespondants permanents. </w:t>
      </w:r>
      <w:r w:rsidR="00C10055">
        <w:rPr>
          <w:lang w:val="fr-FR"/>
        </w:rPr>
        <w:t xml:space="preserve">Lorsqu’un </w:t>
      </w:r>
      <w:r w:rsidR="003E37B2" w:rsidRPr="005040A0">
        <w:rPr>
          <w:lang w:val="fr-FR"/>
        </w:rPr>
        <w:t xml:space="preserve">centre ne </w:t>
      </w:r>
      <w:r w:rsidR="00C10055">
        <w:rPr>
          <w:lang w:val="fr-FR"/>
        </w:rPr>
        <w:t xml:space="preserve">satisfait </w:t>
      </w:r>
      <w:r w:rsidR="003E37B2" w:rsidRPr="005040A0">
        <w:rPr>
          <w:lang w:val="fr-FR"/>
        </w:rPr>
        <w:t>plus aux critères</w:t>
      </w:r>
      <w:r w:rsidR="00C10055">
        <w:rPr>
          <w:lang w:val="fr-FR"/>
        </w:rPr>
        <w:t xml:space="preserve">, </w:t>
      </w:r>
      <w:r w:rsidR="00D72EC3">
        <w:rPr>
          <w:lang w:val="fr-FR"/>
        </w:rPr>
        <w:t xml:space="preserve">la </w:t>
      </w:r>
      <w:r w:rsidR="00225B79">
        <w:rPr>
          <w:lang w:val="fr-FR"/>
        </w:rPr>
        <w:t>secrétaire exécutive</w:t>
      </w:r>
      <w:r w:rsidR="00A06AC7">
        <w:rPr>
          <w:lang w:val="fr-FR"/>
        </w:rPr>
        <w:t xml:space="preserve"> </w:t>
      </w:r>
      <w:r w:rsidR="00225B79">
        <w:rPr>
          <w:lang w:val="fr-FR"/>
        </w:rPr>
        <w:t>/</w:t>
      </w:r>
      <w:r w:rsidR="00A06AC7">
        <w:rPr>
          <w:lang w:val="fr-FR"/>
        </w:rPr>
        <w:t xml:space="preserve"> </w:t>
      </w:r>
      <w:r w:rsidR="00225B79">
        <w:rPr>
          <w:lang w:val="fr-FR"/>
        </w:rPr>
        <w:t>l</w:t>
      </w:r>
      <w:r w:rsidR="00225B79" w:rsidRPr="005040A0">
        <w:rPr>
          <w:lang w:val="fr-FR"/>
        </w:rPr>
        <w:t xml:space="preserve">e </w:t>
      </w:r>
      <w:r w:rsidR="00225B79">
        <w:rPr>
          <w:lang w:val="fr-FR"/>
        </w:rPr>
        <w:t xml:space="preserve">secrétaire exécutif </w:t>
      </w:r>
      <w:r w:rsidR="00C10055">
        <w:rPr>
          <w:lang w:val="fr-FR"/>
        </w:rPr>
        <w:t xml:space="preserve">en </w:t>
      </w:r>
      <w:r w:rsidR="00C10055" w:rsidRPr="005040A0">
        <w:rPr>
          <w:lang w:val="fr-FR"/>
        </w:rPr>
        <w:t>informe le Comité</w:t>
      </w:r>
      <w:r w:rsidR="00C10055">
        <w:rPr>
          <w:lang w:val="fr-FR"/>
        </w:rPr>
        <w:t xml:space="preserve"> </w:t>
      </w:r>
      <w:r w:rsidR="00A06AC7">
        <w:rPr>
          <w:lang w:val="fr-FR"/>
        </w:rPr>
        <w:t xml:space="preserve">de sorte que </w:t>
      </w:r>
      <w:r w:rsidR="00C10055">
        <w:rPr>
          <w:lang w:val="fr-FR"/>
        </w:rPr>
        <w:t xml:space="preserve">ce dernier </w:t>
      </w:r>
      <w:r w:rsidR="00A06AC7">
        <w:rPr>
          <w:lang w:val="fr-FR"/>
        </w:rPr>
        <w:t xml:space="preserve">puisse </w:t>
      </w:r>
      <w:r w:rsidR="003E37B2" w:rsidRPr="005040A0">
        <w:rPr>
          <w:lang w:val="fr-FR"/>
        </w:rPr>
        <w:t xml:space="preserve">prendre une décision sur son maintien dans le </w:t>
      </w:r>
      <w:r w:rsidR="00D72EC3">
        <w:rPr>
          <w:lang w:val="fr-FR"/>
        </w:rPr>
        <w:t>r</w:t>
      </w:r>
      <w:r w:rsidR="003E37B2" w:rsidRPr="005040A0">
        <w:rPr>
          <w:lang w:val="fr-FR"/>
        </w:rPr>
        <w:t xml:space="preserve">éseau. </w:t>
      </w:r>
    </w:p>
    <w:p w14:paraId="01CF1116" w14:textId="371D0252" w:rsidR="008A203C" w:rsidRPr="005040A0" w:rsidRDefault="008A203C" w:rsidP="008A203C">
      <w:pPr>
        <w:jc w:val="both"/>
        <w:rPr>
          <w:lang w:val="fr-FR"/>
        </w:rPr>
      </w:pPr>
      <w:r w:rsidRPr="005040A0">
        <w:rPr>
          <w:lang w:val="fr-FR"/>
        </w:rPr>
        <w:t>5.3</w:t>
      </w:r>
      <w:r w:rsidRPr="005040A0">
        <w:rPr>
          <w:lang w:val="fr-FR"/>
        </w:rPr>
        <w:tab/>
        <w:t>L</w:t>
      </w:r>
      <w:r w:rsidR="009546A6">
        <w:rPr>
          <w:lang w:val="fr-FR"/>
        </w:rPr>
        <w:t>’</w:t>
      </w:r>
      <w:r w:rsidRPr="005040A0">
        <w:rPr>
          <w:lang w:val="fr-FR"/>
        </w:rPr>
        <w:t xml:space="preserve">inclusion </w:t>
      </w:r>
      <w:r>
        <w:rPr>
          <w:lang w:val="fr-FR"/>
        </w:rPr>
        <w:t xml:space="preserve">d’un centre </w:t>
      </w:r>
      <w:r w:rsidRPr="005040A0">
        <w:rPr>
          <w:lang w:val="fr-FR"/>
        </w:rPr>
        <w:t xml:space="preserve">de recherche scientifique dans le réseau des centres scientifiques spécialisés ou </w:t>
      </w:r>
      <w:r>
        <w:rPr>
          <w:lang w:val="fr-FR"/>
        </w:rPr>
        <w:t xml:space="preserve">son </w:t>
      </w:r>
      <w:r w:rsidRPr="005040A0">
        <w:rPr>
          <w:lang w:val="fr-FR"/>
        </w:rPr>
        <w:t>exclusion relève</w:t>
      </w:r>
      <w:r>
        <w:rPr>
          <w:lang w:val="fr-FR"/>
        </w:rPr>
        <w:t>nt</w:t>
      </w:r>
      <w:r w:rsidRPr="005040A0">
        <w:rPr>
          <w:lang w:val="fr-FR"/>
        </w:rPr>
        <w:t xml:space="preserve"> de la compétence du Comité des </w:t>
      </w:r>
      <w:r w:rsidR="00EE672D">
        <w:rPr>
          <w:lang w:val="fr-FR"/>
        </w:rPr>
        <w:t>C</w:t>
      </w:r>
      <w:r w:rsidRPr="005040A0">
        <w:rPr>
          <w:lang w:val="fr-FR"/>
        </w:rPr>
        <w:t>orrespondants permanents.</w:t>
      </w:r>
    </w:p>
    <w:p w14:paraId="7A4CD90D" w14:textId="066354EF" w:rsidR="008A203C" w:rsidRPr="005040A0" w:rsidRDefault="008A203C" w:rsidP="008A203C">
      <w:pPr>
        <w:jc w:val="both"/>
        <w:rPr>
          <w:lang w:val="fr-FR"/>
        </w:rPr>
      </w:pPr>
      <w:r w:rsidRPr="005040A0">
        <w:rPr>
          <w:lang w:val="fr-FR"/>
        </w:rPr>
        <w:t>5.4</w:t>
      </w:r>
      <w:r>
        <w:rPr>
          <w:lang w:val="fr-FR"/>
        </w:rPr>
        <w:tab/>
      </w:r>
      <w:r w:rsidRPr="005040A0">
        <w:rPr>
          <w:lang w:val="fr-FR"/>
        </w:rPr>
        <w:t>Les représentants des centres spécialisés se réunissent au moins une fois par an pour présenter les résultats des projets financés par l</w:t>
      </w:r>
      <w:r w:rsidR="009546A6">
        <w:rPr>
          <w:lang w:val="fr-FR"/>
        </w:rPr>
        <w:t>’</w:t>
      </w:r>
      <w:r w:rsidRPr="005040A0">
        <w:rPr>
          <w:lang w:val="fr-FR"/>
        </w:rPr>
        <w:t xml:space="preserve">APE et </w:t>
      </w:r>
      <w:r>
        <w:rPr>
          <w:lang w:val="fr-FR"/>
        </w:rPr>
        <w:t xml:space="preserve">soumettre </w:t>
      </w:r>
      <w:r w:rsidRPr="005040A0">
        <w:rPr>
          <w:lang w:val="fr-FR"/>
        </w:rPr>
        <w:t xml:space="preserve">des propositions </w:t>
      </w:r>
      <w:r>
        <w:rPr>
          <w:lang w:val="fr-FR"/>
        </w:rPr>
        <w:t xml:space="preserve">de </w:t>
      </w:r>
      <w:r w:rsidR="00D72EC3">
        <w:rPr>
          <w:lang w:val="fr-FR"/>
        </w:rPr>
        <w:t xml:space="preserve">futurs </w:t>
      </w:r>
      <w:r w:rsidRPr="005040A0">
        <w:rPr>
          <w:lang w:val="fr-FR"/>
        </w:rPr>
        <w:t xml:space="preserve">projets. </w:t>
      </w:r>
    </w:p>
    <w:p w14:paraId="1D19E004" w14:textId="77777777" w:rsidR="007831AE" w:rsidRPr="00ED0ACA" w:rsidRDefault="007831AE" w:rsidP="00194BD5">
      <w:pPr>
        <w:jc w:val="both"/>
        <w:rPr>
          <w:lang w:val="fr-FR"/>
        </w:rPr>
      </w:pPr>
    </w:p>
    <w:p w14:paraId="04B3BCE4" w14:textId="19B9D1AA" w:rsidR="007831AE" w:rsidRPr="001D7A01" w:rsidRDefault="00E35B59" w:rsidP="00194BD5">
      <w:pPr>
        <w:jc w:val="both"/>
        <w:rPr>
          <w:b/>
          <w:bCs/>
          <w:lang w:val="fr-FR"/>
        </w:rPr>
      </w:pPr>
      <w:r w:rsidRPr="001D7A01">
        <w:rPr>
          <w:b/>
          <w:bCs/>
          <w:lang w:val="fr-FR"/>
        </w:rPr>
        <w:t>Article</w:t>
      </w:r>
      <w:r w:rsidR="009546A6" w:rsidRPr="001D7A01">
        <w:rPr>
          <w:b/>
          <w:bCs/>
          <w:lang w:val="fr-FR"/>
        </w:rPr>
        <w:t> </w:t>
      </w:r>
      <w:r w:rsidRPr="001D7A01">
        <w:rPr>
          <w:b/>
          <w:bCs/>
          <w:lang w:val="fr-FR"/>
        </w:rPr>
        <w:t xml:space="preserve">6 </w:t>
      </w:r>
      <w:r w:rsidR="009546A6" w:rsidRPr="001D7A01">
        <w:rPr>
          <w:b/>
          <w:bCs/>
          <w:lang w:val="fr-FR"/>
        </w:rPr>
        <w:t>—</w:t>
      </w:r>
      <w:r w:rsidRPr="001D7A01">
        <w:rPr>
          <w:b/>
          <w:bCs/>
          <w:lang w:val="fr-FR"/>
        </w:rPr>
        <w:t xml:space="preserve"> Budget</w:t>
      </w:r>
    </w:p>
    <w:p w14:paraId="35D88004" w14:textId="4B52EB8A" w:rsidR="00DA1539" w:rsidRPr="00ED0ACA" w:rsidRDefault="00E35B59" w:rsidP="00194BD5">
      <w:pPr>
        <w:jc w:val="both"/>
        <w:rPr>
          <w:lang w:val="fr-FR"/>
        </w:rPr>
      </w:pPr>
      <w:r w:rsidRPr="00ED0ACA">
        <w:rPr>
          <w:lang w:val="fr-FR"/>
        </w:rPr>
        <w:t xml:space="preserve">6.1       </w:t>
      </w:r>
      <w:r w:rsidR="00DA1539" w:rsidRPr="00DA1539">
        <w:rPr>
          <w:lang w:val="fr-FR"/>
        </w:rPr>
        <w:t xml:space="preserve">Le budget </w:t>
      </w:r>
      <w:r w:rsidR="00D72EC3">
        <w:rPr>
          <w:lang w:val="fr-FR"/>
        </w:rPr>
        <w:t xml:space="preserve">de l’APE </w:t>
      </w:r>
      <w:r w:rsidR="00DA1539">
        <w:rPr>
          <w:lang w:val="fr-FR"/>
        </w:rPr>
        <w:t xml:space="preserve">est </w:t>
      </w:r>
      <w:r w:rsidR="00DA1539" w:rsidRPr="00DA1539">
        <w:rPr>
          <w:lang w:val="fr-FR"/>
        </w:rPr>
        <w:t>adopté chaque année par le Comité des Ministres, dans sa composition restreinte aux représentants des États membres de l’APE</w:t>
      </w:r>
      <w:r w:rsidR="00DA1539">
        <w:rPr>
          <w:lang w:val="fr-FR"/>
        </w:rPr>
        <w:t>, conformément aux règles et procédures en vigueur au sein de l’organisation</w:t>
      </w:r>
      <w:r w:rsidR="00DA1539" w:rsidRPr="00DA1539">
        <w:rPr>
          <w:lang w:val="fr-FR"/>
        </w:rPr>
        <w:t>.</w:t>
      </w:r>
    </w:p>
    <w:p w14:paraId="19BB2474" w14:textId="62DED007" w:rsidR="006455B6" w:rsidRPr="00ED0ACA" w:rsidRDefault="00E35B59" w:rsidP="00194BD5">
      <w:pPr>
        <w:jc w:val="both"/>
        <w:rPr>
          <w:lang w:val="fr-FR"/>
        </w:rPr>
      </w:pPr>
      <w:r w:rsidRPr="00ED0ACA">
        <w:rPr>
          <w:lang w:val="fr-FR"/>
        </w:rPr>
        <w:t>6.2</w:t>
      </w:r>
      <w:r w:rsidRPr="00ED0ACA">
        <w:rPr>
          <w:lang w:val="fr-FR"/>
        </w:rPr>
        <w:tab/>
      </w:r>
      <w:r w:rsidR="004A0B80" w:rsidRPr="004A0B80">
        <w:rPr>
          <w:lang w:val="fr-FR"/>
        </w:rPr>
        <w:t>Les ressources de l’APE comprennent</w:t>
      </w:r>
      <w:r w:rsidR="009546A6">
        <w:rPr>
          <w:lang w:val="fr-FR"/>
        </w:rPr>
        <w:t> </w:t>
      </w:r>
      <w:r w:rsidRPr="001D7A01">
        <w:rPr>
          <w:lang w:val="fr-FR"/>
        </w:rPr>
        <w:t>:</w:t>
      </w:r>
    </w:p>
    <w:p w14:paraId="3B724797" w14:textId="40E85E57" w:rsidR="006455B6" w:rsidRPr="00ED0ACA" w:rsidRDefault="00E35B59" w:rsidP="00194BD5">
      <w:pPr>
        <w:ind w:left="1134" w:hanging="425"/>
        <w:jc w:val="both"/>
        <w:rPr>
          <w:lang w:val="fr-FR"/>
        </w:rPr>
      </w:pPr>
      <w:r w:rsidRPr="001D7A01">
        <w:rPr>
          <w:lang w:val="fr-FR"/>
        </w:rPr>
        <w:t>a.</w:t>
      </w:r>
      <w:r w:rsidRPr="00ED0ACA">
        <w:rPr>
          <w:lang w:val="fr-FR"/>
        </w:rPr>
        <w:t xml:space="preserve"> </w:t>
      </w:r>
      <w:r w:rsidRPr="00ED0ACA">
        <w:rPr>
          <w:lang w:val="fr-FR"/>
        </w:rPr>
        <w:tab/>
      </w:r>
      <w:r w:rsidR="004A0B80" w:rsidRPr="004A0B80">
        <w:rPr>
          <w:lang w:val="fr-FR"/>
        </w:rPr>
        <w:t xml:space="preserve">les contributions annuelles </w:t>
      </w:r>
      <w:r w:rsidR="004A0B80">
        <w:rPr>
          <w:lang w:val="fr-FR"/>
        </w:rPr>
        <w:t xml:space="preserve">obligatoires </w:t>
      </w:r>
      <w:r w:rsidR="004A0B80" w:rsidRPr="004A0B80">
        <w:rPr>
          <w:lang w:val="fr-FR"/>
        </w:rPr>
        <w:t>de</w:t>
      </w:r>
      <w:r w:rsidR="004A0B80">
        <w:rPr>
          <w:lang w:val="fr-FR"/>
        </w:rPr>
        <w:t>s</w:t>
      </w:r>
      <w:r w:rsidR="004A0B80" w:rsidRPr="004A0B80">
        <w:rPr>
          <w:lang w:val="fr-FR"/>
        </w:rPr>
        <w:t xml:space="preserve"> membres de l’APE</w:t>
      </w:r>
      <w:r w:rsidR="009546A6">
        <w:rPr>
          <w:lang w:val="fr-FR"/>
        </w:rPr>
        <w:t> </w:t>
      </w:r>
      <w:r w:rsidR="004A0B80" w:rsidRPr="004A0B80">
        <w:rPr>
          <w:lang w:val="fr-FR"/>
        </w:rPr>
        <w:t>;</w:t>
      </w:r>
      <w:r w:rsidRPr="00ED0ACA">
        <w:rPr>
          <w:lang w:val="fr-FR"/>
        </w:rPr>
        <w:t xml:space="preserve"> </w:t>
      </w:r>
    </w:p>
    <w:p w14:paraId="2A313057" w14:textId="2D77F5E4" w:rsidR="006455B6" w:rsidRPr="00ED0ACA" w:rsidRDefault="00E35B59" w:rsidP="00194BD5">
      <w:pPr>
        <w:ind w:left="1134" w:hanging="425"/>
        <w:jc w:val="both"/>
        <w:rPr>
          <w:lang w:val="fr-FR"/>
        </w:rPr>
      </w:pPr>
      <w:r w:rsidRPr="001D7A01">
        <w:rPr>
          <w:lang w:val="fr-FR"/>
        </w:rPr>
        <w:t>b.</w:t>
      </w:r>
      <w:r w:rsidRPr="00ED0ACA">
        <w:rPr>
          <w:lang w:val="fr-FR"/>
        </w:rPr>
        <w:t xml:space="preserve"> </w:t>
      </w:r>
      <w:r w:rsidRPr="00ED0ACA">
        <w:rPr>
          <w:lang w:val="fr-FR"/>
        </w:rPr>
        <w:tab/>
      </w:r>
      <w:r w:rsidR="004A0B80">
        <w:rPr>
          <w:lang w:val="fr-FR"/>
        </w:rPr>
        <w:t>le</w:t>
      </w:r>
      <w:r w:rsidR="00D72EC3">
        <w:rPr>
          <w:lang w:val="fr-FR"/>
        </w:rPr>
        <w:t>s</w:t>
      </w:r>
      <w:r w:rsidR="004A0B80">
        <w:rPr>
          <w:lang w:val="fr-FR"/>
        </w:rPr>
        <w:t xml:space="preserve"> </w:t>
      </w:r>
      <w:r w:rsidR="004A0B80" w:rsidRPr="004A0B80">
        <w:rPr>
          <w:lang w:val="fr-FR"/>
        </w:rPr>
        <w:t>contributions volontaires supplémentaires</w:t>
      </w:r>
      <w:r w:rsidR="004A0B80">
        <w:rPr>
          <w:lang w:val="fr-FR"/>
        </w:rPr>
        <w:t xml:space="preserve"> des membres de l’APE</w:t>
      </w:r>
      <w:r w:rsidR="009546A6">
        <w:rPr>
          <w:lang w:val="fr-FR"/>
        </w:rPr>
        <w:t> </w:t>
      </w:r>
      <w:r w:rsidRPr="001D7A01">
        <w:rPr>
          <w:lang w:val="fr-FR"/>
        </w:rPr>
        <w:t>;</w:t>
      </w:r>
      <w:r w:rsidRPr="00ED0ACA">
        <w:rPr>
          <w:lang w:val="fr-FR"/>
        </w:rPr>
        <w:t xml:space="preserve"> </w:t>
      </w:r>
    </w:p>
    <w:p w14:paraId="3C185432" w14:textId="00512BEC" w:rsidR="006455B6" w:rsidRPr="00ED0ACA" w:rsidRDefault="00E35B59" w:rsidP="00194BD5">
      <w:pPr>
        <w:ind w:left="1134" w:hanging="425"/>
        <w:jc w:val="both"/>
        <w:rPr>
          <w:lang w:val="fr-FR"/>
        </w:rPr>
      </w:pPr>
      <w:r w:rsidRPr="001D7A01">
        <w:rPr>
          <w:lang w:val="fr-FR"/>
        </w:rPr>
        <w:t>c.</w:t>
      </w:r>
      <w:r w:rsidRPr="00ED0ACA">
        <w:rPr>
          <w:lang w:val="fr-FR"/>
        </w:rPr>
        <w:t xml:space="preserve"> </w:t>
      </w:r>
      <w:r w:rsidRPr="00ED0ACA">
        <w:rPr>
          <w:lang w:val="fr-FR"/>
        </w:rPr>
        <w:tab/>
      </w:r>
      <w:r w:rsidR="004A0B80">
        <w:rPr>
          <w:lang w:val="fr-FR"/>
        </w:rPr>
        <w:t>les sommes perçues en rémunération de services fournis par l’APE</w:t>
      </w:r>
      <w:r w:rsidR="009546A6" w:rsidRPr="001D7A01">
        <w:rPr>
          <w:lang w:val="fr-FR"/>
        </w:rPr>
        <w:t> </w:t>
      </w:r>
      <w:r w:rsidRPr="001D7A01">
        <w:rPr>
          <w:lang w:val="fr-FR"/>
        </w:rPr>
        <w:t>;</w:t>
      </w:r>
      <w:r w:rsidRPr="00ED0ACA">
        <w:rPr>
          <w:lang w:val="fr-FR"/>
        </w:rPr>
        <w:t xml:space="preserve"> </w:t>
      </w:r>
    </w:p>
    <w:p w14:paraId="0C62CCCC" w14:textId="2B69B050" w:rsidR="006455B6" w:rsidRPr="00ED0ACA" w:rsidRDefault="00E35B59" w:rsidP="00194BD5">
      <w:pPr>
        <w:ind w:left="1134" w:hanging="425"/>
        <w:jc w:val="both"/>
        <w:rPr>
          <w:lang w:val="fr-FR"/>
        </w:rPr>
      </w:pPr>
      <w:r w:rsidRPr="001D7A01">
        <w:rPr>
          <w:lang w:val="fr-FR"/>
        </w:rPr>
        <w:t>d.</w:t>
      </w:r>
      <w:r w:rsidRPr="00ED0ACA">
        <w:rPr>
          <w:lang w:val="fr-FR"/>
        </w:rPr>
        <w:t xml:space="preserve"> </w:t>
      </w:r>
      <w:r w:rsidRPr="00ED0ACA">
        <w:rPr>
          <w:lang w:val="fr-FR"/>
        </w:rPr>
        <w:tab/>
      </w:r>
      <w:r w:rsidR="004A0B80" w:rsidRPr="004A0B80">
        <w:rPr>
          <w:lang w:val="fr-FR"/>
        </w:rPr>
        <w:t xml:space="preserve">tous autres versements, dons et legs, sous réserve de la disposition </w:t>
      </w:r>
      <w:r w:rsidR="001D7A01">
        <w:rPr>
          <w:lang w:val="fr-FR"/>
        </w:rPr>
        <w:t>d</w:t>
      </w:r>
      <w:r w:rsidR="004A0B80" w:rsidRPr="004A0B80">
        <w:rPr>
          <w:lang w:val="fr-FR"/>
        </w:rPr>
        <w:t xml:space="preserve">u </w:t>
      </w:r>
      <w:r w:rsidR="004A0B80" w:rsidRPr="001A38EF">
        <w:rPr>
          <w:lang w:val="fr-FR"/>
        </w:rPr>
        <w:t>paragraphe</w:t>
      </w:r>
      <w:r w:rsidR="009546A6" w:rsidRPr="001A38EF">
        <w:rPr>
          <w:lang w:val="fr-FR"/>
        </w:rPr>
        <w:t> </w:t>
      </w:r>
      <w:r w:rsidR="004A0B80" w:rsidRPr="001A38EF">
        <w:rPr>
          <w:lang w:val="fr-FR"/>
        </w:rPr>
        <w:t>6.</w:t>
      </w:r>
      <w:r w:rsidR="00684078" w:rsidRPr="001A38EF">
        <w:rPr>
          <w:lang w:val="fr-FR"/>
        </w:rPr>
        <w:t>5</w:t>
      </w:r>
      <w:r w:rsidR="004A0B80" w:rsidRPr="001A38EF">
        <w:rPr>
          <w:lang w:val="fr-FR"/>
        </w:rPr>
        <w:t xml:space="preserve"> ci-</w:t>
      </w:r>
      <w:r w:rsidR="004A0B80" w:rsidRPr="004A0B80">
        <w:rPr>
          <w:lang w:val="fr-FR"/>
        </w:rPr>
        <w:t>dessous</w:t>
      </w:r>
      <w:r w:rsidR="009546A6">
        <w:rPr>
          <w:lang w:val="fr-FR"/>
        </w:rPr>
        <w:t> </w:t>
      </w:r>
      <w:r w:rsidR="004A0B80" w:rsidRPr="004A0B80">
        <w:rPr>
          <w:lang w:val="fr-FR"/>
        </w:rPr>
        <w:t>;</w:t>
      </w:r>
      <w:r w:rsidRPr="00ED0ACA">
        <w:rPr>
          <w:lang w:val="fr-FR"/>
        </w:rPr>
        <w:t xml:space="preserve"> </w:t>
      </w:r>
    </w:p>
    <w:p w14:paraId="45575E4A" w14:textId="7D029601" w:rsidR="006455B6" w:rsidRPr="00ED0ACA" w:rsidRDefault="00D95CE4" w:rsidP="00194BD5">
      <w:pPr>
        <w:ind w:left="1134" w:hanging="425"/>
        <w:jc w:val="both"/>
        <w:rPr>
          <w:b/>
          <w:bCs/>
          <w:lang w:val="fr-FR"/>
        </w:rPr>
      </w:pPr>
      <w:r w:rsidRPr="001D7A01">
        <w:rPr>
          <w:lang w:val="fr-FR"/>
        </w:rPr>
        <w:t>e.</w:t>
      </w:r>
      <w:r w:rsidRPr="00ED0ACA">
        <w:rPr>
          <w:lang w:val="fr-FR"/>
        </w:rPr>
        <w:t xml:space="preserve"> </w:t>
      </w:r>
      <w:r w:rsidRPr="00ED0ACA">
        <w:rPr>
          <w:lang w:val="fr-FR"/>
        </w:rPr>
        <w:tab/>
      </w:r>
      <w:r w:rsidR="004A0B80" w:rsidRPr="004A0B80">
        <w:rPr>
          <w:lang w:val="fr-FR"/>
        </w:rPr>
        <w:t xml:space="preserve">le </w:t>
      </w:r>
      <w:r w:rsidR="004A0B80">
        <w:rPr>
          <w:lang w:val="fr-FR"/>
        </w:rPr>
        <w:t xml:space="preserve">solde </w:t>
      </w:r>
      <w:r w:rsidR="004A0B80" w:rsidRPr="004A0B80">
        <w:rPr>
          <w:lang w:val="fr-FR"/>
        </w:rPr>
        <w:t>créditeur du dernier exercice cl</w:t>
      </w:r>
      <w:r w:rsidR="00B21690">
        <w:rPr>
          <w:lang w:val="fr-FR"/>
        </w:rPr>
        <w:t>ôturé</w:t>
      </w:r>
      <w:r w:rsidR="004A0B80" w:rsidRPr="004A0B80">
        <w:rPr>
          <w:lang w:val="fr-FR"/>
        </w:rPr>
        <w:t xml:space="preserve"> et approuvé.</w:t>
      </w:r>
    </w:p>
    <w:p w14:paraId="43C90EDB" w14:textId="433D95EA" w:rsidR="007831AE" w:rsidRPr="00ED0ACA" w:rsidRDefault="00E35B59" w:rsidP="00194BD5">
      <w:pPr>
        <w:jc w:val="both"/>
        <w:rPr>
          <w:lang w:val="fr-FR"/>
        </w:rPr>
      </w:pPr>
      <w:r w:rsidRPr="00ED0ACA">
        <w:rPr>
          <w:lang w:val="fr-FR"/>
        </w:rPr>
        <w:t>6.3</w:t>
      </w:r>
      <w:r w:rsidRPr="00ED0ACA">
        <w:rPr>
          <w:lang w:val="fr-FR"/>
        </w:rPr>
        <w:tab/>
      </w:r>
      <w:r w:rsidR="004A0B80" w:rsidRPr="004A0B80">
        <w:rPr>
          <w:lang w:val="fr-FR"/>
        </w:rPr>
        <w:t>L’APE peut recevoir des contributions de l’Union européenne</w:t>
      </w:r>
      <w:r w:rsidRPr="001D7A01">
        <w:rPr>
          <w:lang w:val="fr-FR"/>
        </w:rPr>
        <w:t>.</w:t>
      </w:r>
    </w:p>
    <w:p w14:paraId="134BB676" w14:textId="308FFE1C" w:rsidR="007831AE" w:rsidRPr="00ED0ACA" w:rsidRDefault="00E35B59" w:rsidP="00194BD5">
      <w:pPr>
        <w:jc w:val="both"/>
        <w:rPr>
          <w:lang w:val="fr-FR"/>
        </w:rPr>
      </w:pPr>
      <w:r w:rsidRPr="00ED0ACA">
        <w:rPr>
          <w:lang w:val="fr-FR"/>
        </w:rPr>
        <w:t xml:space="preserve">6.4       </w:t>
      </w:r>
      <w:r w:rsidR="00EF6002" w:rsidRPr="00EF6002">
        <w:rPr>
          <w:lang w:val="fr-FR"/>
        </w:rPr>
        <w:t xml:space="preserve">Les dépenses liées à la mise en œuvre du programme d’activité et les frais communs de secrétariat sont </w:t>
      </w:r>
      <w:r w:rsidR="00324C04">
        <w:rPr>
          <w:lang w:val="fr-FR"/>
        </w:rPr>
        <w:t xml:space="preserve">financés sur </w:t>
      </w:r>
      <w:r w:rsidR="00EF6002">
        <w:rPr>
          <w:lang w:val="fr-FR"/>
        </w:rPr>
        <w:t xml:space="preserve">le </w:t>
      </w:r>
      <w:r w:rsidR="00EF6002" w:rsidRPr="00EF6002">
        <w:rPr>
          <w:lang w:val="fr-FR"/>
        </w:rPr>
        <w:t>budget d</w:t>
      </w:r>
      <w:r w:rsidR="00EF6002">
        <w:rPr>
          <w:lang w:val="fr-FR"/>
        </w:rPr>
        <w:t>e l</w:t>
      </w:r>
      <w:r w:rsidR="00EF6002" w:rsidRPr="00EF6002">
        <w:rPr>
          <w:lang w:val="fr-FR"/>
        </w:rPr>
        <w:t>’accord partiel</w:t>
      </w:r>
      <w:r w:rsidR="00EF6002">
        <w:rPr>
          <w:lang w:val="fr-FR"/>
        </w:rPr>
        <w:t>, abondé</w:t>
      </w:r>
      <w:r w:rsidR="00EF6002" w:rsidRPr="00EF6002">
        <w:rPr>
          <w:lang w:val="fr-FR"/>
        </w:rPr>
        <w:t xml:space="preserve"> par les membres </w:t>
      </w:r>
      <w:r w:rsidR="00EF6002">
        <w:rPr>
          <w:lang w:val="fr-FR"/>
        </w:rPr>
        <w:t xml:space="preserve">de </w:t>
      </w:r>
      <w:r w:rsidR="00EF6002" w:rsidRPr="00EF6002">
        <w:rPr>
          <w:lang w:val="fr-FR"/>
        </w:rPr>
        <w:t>l’APE.</w:t>
      </w:r>
      <w:r w:rsidR="00EF6002">
        <w:rPr>
          <w:lang w:val="fr-FR"/>
        </w:rPr>
        <w:t xml:space="preserve"> </w:t>
      </w:r>
    </w:p>
    <w:p w14:paraId="0F83B3AC" w14:textId="65BEA941" w:rsidR="007240E4" w:rsidRPr="00ED0ACA" w:rsidRDefault="00E35B59" w:rsidP="00194BD5">
      <w:pPr>
        <w:jc w:val="both"/>
        <w:rPr>
          <w:lang w:val="fr-FR"/>
        </w:rPr>
      </w:pPr>
      <w:r w:rsidRPr="00ED0ACA">
        <w:rPr>
          <w:lang w:val="fr-FR"/>
        </w:rPr>
        <w:t>6.5</w:t>
      </w:r>
      <w:r w:rsidRPr="00ED0ACA">
        <w:rPr>
          <w:lang w:val="fr-FR"/>
        </w:rPr>
        <w:tab/>
      </w:r>
      <w:r w:rsidR="001E054E">
        <w:rPr>
          <w:lang w:val="fr-FR"/>
        </w:rPr>
        <w:t>L</w:t>
      </w:r>
      <w:r w:rsidR="007240E4" w:rsidRPr="005040A0">
        <w:rPr>
          <w:lang w:val="fr-FR"/>
        </w:rPr>
        <w:t>es contributions volontaires et autres liées aux travaux de l</w:t>
      </w:r>
      <w:r w:rsidR="009546A6">
        <w:rPr>
          <w:lang w:val="fr-FR"/>
        </w:rPr>
        <w:t>’</w:t>
      </w:r>
      <w:r w:rsidR="007240E4" w:rsidRPr="005040A0">
        <w:rPr>
          <w:lang w:val="fr-FR"/>
        </w:rPr>
        <w:t xml:space="preserve">APE </w:t>
      </w:r>
      <w:r w:rsidR="001E054E">
        <w:rPr>
          <w:lang w:val="fr-FR"/>
        </w:rPr>
        <w:t>sont admissibles</w:t>
      </w:r>
      <w:r w:rsidR="007240E4" w:rsidRPr="005040A0">
        <w:rPr>
          <w:lang w:val="fr-FR"/>
        </w:rPr>
        <w:t xml:space="preserve"> </w:t>
      </w:r>
      <w:r w:rsidR="007240E4">
        <w:rPr>
          <w:lang w:val="fr-FR"/>
        </w:rPr>
        <w:t xml:space="preserve">moyennant </w:t>
      </w:r>
      <w:r w:rsidR="001E054E">
        <w:rPr>
          <w:lang w:val="fr-FR"/>
        </w:rPr>
        <w:t>l’</w:t>
      </w:r>
      <w:r w:rsidR="007240E4" w:rsidRPr="005040A0">
        <w:rPr>
          <w:lang w:val="fr-FR"/>
        </w:rPr>
        <w:t xml:space="preserve">autorisation préalable du Comité des </w:t>
      </w:r>
      <w:r w:rsidR="00EE672D">
        <w:rPr>
          <w:lang w:val="fr-FR"/>
        </w:rPr>
        <w:t>C</w:t>
      </w:r>
      <w:r w:rsidR="007240E4" w:rsidRPr="005040A0">
        <w:rPr>
          <w:lang w:val="fr-FR"/>
        </w:rPr>
        <w:t xml:space="preserve">orrespondants permanents. Ces contributions sont versées sur un compte spécial, ouvert </w:t>
      </w:r>
      <w:r w:rsidR="00FD12BF">
        <w:rPr>
          <w:lang w:val="fr-FR"/>
        </w:rPr>
        <w:t xml:space="preserve">conformément </w:t>
      </w:r>
      <w:r w:rsidR="00800B87">
        <w:rPr>
          <w:lang w:val="fr-FR"/>
        </w:rPr>
        <w:t xml:space="preserve">aux dispositions </w:t>
      </w:r>
      <w:r w:rsidR="007240E4" w:rsidRPr="005040A0">
        <w:rPr>
          <w:lang w:val="fr-FR"/>
        </w:rPr>
        <w:t>de l</w:t>
      </w:r>
      <w:r w:rsidR="009546A6">
        <w:rPr>
          <w:lang w:val="fr-FR"/>
        </w:rPr>
        <w:t>’</w:t>
      </w:r>
      <w:r w:rsidR="007240E4" w:rsidRPr="005040A0">
        <w:rPr>
          <w:lang w:val="fr-FR"/>
        </w:rPr>
        <w:t>article</w:t>
      </w:r>
      <w:r w:rsidR="009546A6">
        <w:rPr>
          <w:lang w:val="fr-FR"/>
        </w:rPr>
        <w:t> </w:t>
      </w:r>
      <w:r w:rsidR="007240E4" w:rsidRPr="005040A0">
        <w:rPr>
          <w:lang w:val="fr-FR"/>
        </w:rPr>
        <w:t xml:space="preserve">4.2 du </w:t>
      </w:r>
      <w:r w:rsidR="007240E4">
        <w:rPr>
          <w:lang w:val="fr-FR"/>
        </w:rPr>
        <w:t>r</w:t>
      </w:r>
      <w:r w:rsidR="007240E4" w:rsidRPr="005040A0">
        <w:rPr>
          <w:lang w:val="fr-FR"/>
        </w:rPr>
        <w:t>èglement financier du Conseil de l</w:t>
      </w:r>
      <w:r w:rsidR="009546A6">
        <w:rPr>
          <w:lang w:val="fr-FR"/>
        </w:rPr>
        <w:t>’</w:t>
      </w:r>
      <w:r w:rsidR="007240E4" w:rsidRPr="005040A0">
        <w:rPr>
          <w:lang w:val="fr-FR"/>
        </w:rPr>
        <w:t xml:space="preserve">Europe, </w:t>
      </w:r>
      <w:r w:rsidR="00800B87">
        <w:rPr>
          <w:lang w:val="fr-FR"/>
        </w:rPr>
        <w:t xml:space="preserve">gérées </w:t>
      </w:r>
      <w:r w:rsidR="007240E4" w:rsidRPr="005040A0">
        <w:rPr>
          <w:lang w:val="fr-FR"/>
        </w:rPr>
        <w:t xml:space="preserve">par le Comité des </w:t>
      </w:r>
      <w:r w:rsidR="00EE672D">
        <w:rPr>
          <w:lang w:val="fr-FR"/>
        </w:rPr>
        <w:t>C</w:t>
      </w:r>
      <w:r w:rsidR="007240E4" w:rsidRPr="005040A0">
        <w:rPr>
          <w:lang w:val="fr-FR"/>
        </w:rPr>
        <w:t>orrespondants permanents</w:t>
      </w:r>
      <w:r w:rsidR="007240E4">
        <w:rPr>
          <w:lang w:val="fr-FR"/>
        </w:rPr>
        <w:t>,</w:t>
      </w:r>
      <w:r w:rsidR="007240E4" w:rsidRPr="005040A0">
        <w:rPr>
          <w:lang w:val="fr-FR"/>
        </w:rPr>
        <w:t xml:space="preserve"> et affectées aux objectifs et tâches </w:t>
      </w:r>
      <w:r w:rsidR="00800B87">
        <w:rPr>
          <w:lang w:val="fr-FR"/>
        </w:rPr>
        <w:t>indiqués</w:t>
      </w:r>
      <w:r w:rsidR="007240E4" w:rsidRPr="005040A0">
        <w:rPr>
          <w:lang w:val="fr-FR"/>
        </w:rPr>
        <w:t xml:space="preserve">, </w:t>
      </w:r>
      <w:r w:rsidR="00800B87">
        <w:rPr>
          <w:lang w:val="fr-FR"/>
        </w:rPr>
        <w:t xml:space="preserve">sous réserve de leur conformité avec </w:t>
      </w:r>
      <w:r w:rsidR="007240E4" w:rsidRPr="005040A0">
        <w:rPr>
          <w:lang w:val="fr-FR"/>
        </w:rPr>
        <w:t xml:space="preserve">les buts </w:t>
      </w:r>
      <w:r w:rsidR="00800B87">
        <w:rPr>
          <w:lang w:val="fr-FR"/>
        </w:rPr>
        <w:t xml:space="preserve">énoncés dans </w:t>
      </w:r>
      <w:r w:rsidR="007240E4">
        <w:rPr>
          <w:lang w:val="fr-FR"/>
        </w:rPr>
        <w:t xml:space="preserve">le </w:t>
      </w:r>
      <w:r w:rsidR="00221E36">
        <w:rPr>
          <w:lang w:val="fr-FR"/>
        </w:rPr>
        <w:t>s</w:t>
      </w:r>
      <w:r w:rsidR="007240E4" w:rsidRPr="005040A0">
        <w:rPr>
          <w:lang w:val="fr-FR"/>
        </w:rPr>
        <w:t>tatut.</w:t>
      </w:r>
    </w:p>
    <w:p w14:paraId="6B7F1BA8" w14:textId="7F7D467C" w:rsidR="00800B87" w:rsidRPr="00ED0ACA" w:rsidRDefault="00E35B59" w:rsidP="00194BD5">
      <w:pPr>
        <w:jc w:val="both"/>
        <w:rPr>
          <w:lang w:val="fr-FR"/>
        </w:rPr>
      </w:pPr>
      <w:r w:rsidRPr="00ED0ACA">
        <w:rPr>
          <w:lang w:val="fr-FR"/>
        </w:rPr>
        <w:lastRenderedPageBreak/>
        <w:t xml:space="preserve">6.6       </w:t>
      </w:r>
      <w:r w:rsidR="00800B87" w:rsidRPr="00800B87">
        <w:rPr>
          <w:lang w:val="fr-FR"/>
        </w:rPr>
        <w:t>Les avoirs de l’APE sont acquis et détenus au nom du Conseil de l’Europe et bénéficient comme tels des privilèges et immunités conférés aux avoirs du Conseil en vertu des accords en vigueur</w:t>
      </w:r>
      <w:r w:rsidR="00225B79">
        <w:rPr>
          <w:lang w:val="fr-FR"/>
        </w:rPr>
        <w:t>.</w:t>
      </w:r>
    </w:p>
    <w:p w14:paraId="5682C9A2" w14:textId="7ADF848D" w:rsidR="00D72A47" w:rsidRPr="00ED0ACA" w:rsidRDefault="00E35B59" w:rsidP="00194BD5">
      <w:pPr>
        <w:jc w:val="both"/>
        <w:rPr>
          <w:lang w:val="fr-FR"/>
        </w:rPr>
      </w:pPr>
      <w:r w:rsidRPr="00ED0ACA">
        <w:rPr>
          <w:lang w:val="fr-FR"/>
        </w:rPr>
        <w:t>6.7      </w:t>
      </w:r>
      <w:r w:rsidR="00D72A47" w:rsidRPr="00D72A47">
        <w:rPr>
          <w:lang w:val="fr-FR"/>
        </w:rPr>
        <w:t xml:space="preserve">Les frais de </w:t>
      </w:r>
      <w:r w:rsidR="00D72A47">
        <w:rPr>
          <w:lang w:val="fr-FR"/>
        </w:rPr>
        <w:t xml:space="preserve">déplacement </w:t>
      </w:r>
      <w:r w:rsidR="00D72A47" w:rsidRPr="00D72A47">
        <w:rPr>
          <w:lang w:val="fr-FR"/>
        </w:rPr>
        <w:t xml:space="preserve">et de séjour des personnes participant aux réunions du </w:t>
      </w:r>
      <w:r w:rsidR="00AC1521">
        <w:rPr>
          <w:lang w:val="fr-FR"/>
        </w:rPr>
        <w:t xml:space="preserve">Comité </w:t>
      </w:r>
      <w:r w:rsidR="00D72A47">
        <w:rPr>
          <w:lang w:val="fr-FR"/>
        </w:rPr>
        <w:t xml:space="preserve">des </w:t>
      </w:r>
      <w:r w:rsidR="00EE672D">
        <w:rPr>
          <w:lang w:val="fr-FR"/>
        </w:rPr>
        <w:t>C</w:t>
      </w:r>
      <w:r w:rsidR="00AC1521">
        <w:rPr>
          <w:lang w:val="fr-FR"/>
        </w:rPr>
        <w:t xml:space="preserve">orrespondants </w:t>
      </w:r>
      <w:r w:rsidR="00D72A47">
        <w:rPr>
          <w:lang w:val="fr-FR"/>
        </w:rPr>
        <w:t xml:space="preserve">permanents </w:t>
      </w:r>
      <w:r w:rsidR="00D72A47" w:rsidRPr="00D72A47">
        <w:rPr>
          <w:lang w:val="fr-FR"/>
        </w:rPr>
        <w:t xml:space="preserve">et de son </w:t>
      </w:r>
      <w:r w:rsidR="00AC1521">
        <w:rPr>
          <w:lang w:val="fr-FR"/>
        </w:rPr>
        <w:t>b</w:t>
      </w:r>
      <w:r w:rsidR="00D72A47" w:rsidRPr="00D72A47">
        <w:rPr>
          <w:lang w:val="fr-FR"/>
        </w:rPr>
        <w:t xml:space="preserve">ureau et, le cas échéant, </w:t>
      </w:r>
      <w:r w:rsidR="00AC1521">
        <w:rPr>
          <w:lang w:val="fr-FR"/>
        </w:rPr>
        <w:t>aux r</w:t>
      </w:r>
      <w:r w:rsidR="00D72A47">
        <w:rPr>
          <w:lang w:val="fr-FR"/>
        </w:rPr>
        <w:t>éunion</w:t>
      </w:r>
      <w:r w:rsidR="00AC1521">
        <w:rPr>
          <w:lang w:val="fr-FR"/>
        </w:rPr>
        <w:t>s</w:t>
      </w:r>
      <w:r w:rsidR="00D72A47">
        <w:rPr>
          <w:lang w:val="fr-FR"/>
        </w:rPr>
        <w:t xml:space="preserve"> ministérielle</w:t>
      </w:r>
      <w:r w:rsidR="00AC1521">
        <w:rPr>
          <w:lang w:val="fr-FR"/>
        </w:rPr>
        <w:t>s</w:t>
      </w:r>
      <w:r w:rsidR="00D72A47" w:rsidRPr="00D72A47">
        <w:rPr>
          <w:lang w:val="fr-FR"/>
        </w:rPr>
        <w:t xml:space="preserve"> sont </w:t>
      </w:r>
      <w:r w:rsidR="00AA6042">
        <w:rPr>
          <w:lang w:val="fr-FR"/>
        </w:rPr>
        <w:t>pris en</w:t>
      </w:r>
      <w:r w:rsidR="00D72A47" w:rsidRPr="00D72A47">
        <w:rPr>
          <w:lang w:val="fr-FR"/>
        </w:rPr>
        <w:t xml:space="preserve"> charge </w:t>
      </w:r>
      <w:r w:rsidR="00AA6042">
        <w:rPr>
          <w:lang w:val="fr-FR"/>
        </w:rPr>
        <w:t xml:space="preserve">par </w:t>
      </w:r>
      <w:r w:rsidR="00D72A47" w:rsidRPr="00D72A47">
        <w:rPr>
          <w:lang w:val="fr-FR"/>
        </w:rPr>
        <w:t>l’</w:t>
      </w:r>
      <w:r w:rsidR="00F64395">
        <w:rPr>
          <w:lang w:val="fr-FR"/>
        </w:rPr>
        <w:t xml:space="preserve">État </w:t>
      </w:r>
      <w:r w:rsidR="00D72A47" w:rsidRPr="00D72A47">
        <w:rPr>
          <w:lang w:val="fr-FR"/>
        </w:rPr>
        <w:t>ou l’organisation concerné</w:t>
      </w:r>
      <w:r w:rsidR="0080366E">
        <w:rPr>
          <w:lang w:val="fr-FR"/>
        </w:rPr>
        <w:t>e</w:t>
      </w:r>
      <w:r w:rsidR="00D72A47">
        <w:rPr>
          <w:lang w:val="fr-FR"/>
        </w:rPr>
        <w:t xml:space="preserve">, </w:t>
      </w:r>
      <w:r w:rsidR="00466418">
        <w:rPr>
          <w:lang w:val="fr-FR"/>
        </w:rPr>
        <w:t xml:space="preserve">à moins que le </w:t>
      </w:r>
      <w:r w:rsidR="00D72A47">
        <w:rPr>
          <w:lang w:val="fr-FR"/>
        </w:rPr>
        <w:t xml:space="preserve">Comité des </w:t>
      </w:r>
      <w:r w:rsidR="00EE672D">
        <w:rPr>
          <w:lang w:val="fr-FR"/>
        </w:rPr>
        <w:t>C</w:t>
      </w:r>
      <w:r w:rsidR="00D72A47">
        <w:rPr>
          <w:lang w:val="fr-FR"/>
        </w:rPr>
        <w:t>orrespondants permanents</w:t>
      </w:r>
      <w:r w:rsidR="00466418">
        <w:rPr>
          <w:lang w:val="fr-FR"/>
        </w:rPr>
        <w:t xml:space="preserve"> n’en décide autrement</w:t>
      </w:r>
      <w:r w:rsidR="00D72A47" w:rsidRPr="00D72A47">
        <w:rPr>
          <w:lang w:val="fr-FR"/>
        </w:rPr>
        <w:t>.</w:t>
      </w:r>
    </w:p>
    <w:p w14:paraId="201F8E04" w14:textId="1A872B09" w:rsidR="00D72A47" w:rsidRPr="00ED0ACA" w:rsidRDefault="00E35B59" w:rsidP="00194BD5">
      <w:pPr>
        <w:jc w:val="both"/>
        <w:rPr>
          <w:lang w:val="fr-FR"/>
        </w:rPr>
      </w:pPr>
      <w:r w:rsidRPr="00ED0ACA">
        <w:rPr>
          <w:lang w:val="fr-FR"/>
        </w:rPr>
        <w:t xml:space="preserve">6.8       </w:t>
      </w:r>
      <w:r w:rsidR="00D72A47" w:rsidRPr="00D72A47">
        <w:rPr>
          <w:lang w:val="fr-FR"/>
        </w:rPr>
        <w:t xml:space="preserve">Les frais de </w:t>
      </w:r>
      <w:r w:rsidR="00D72A47">
        <w:rPr>
          <w:lang w:val="fr-FR"/>
        </w:rPr>
        <w:t xml:space="preserve">déplacement </w:t>
      </w:r>
      <w:r w:rsidR="00D72A47" w:rsidRPr="00D72A47">
        <w:rPr>
          <w:lang w:val="fr-FR"/>
        </w:rPr>
        <w:t>et de séjour des personnes participant au</w:t>
      </w:r>
      <w:r w:rsidR="00B57C3C">
        <w:rPr>
          <w:lang w:val="fr-FR"/>
        </w:rPr>
        <w:t>x réunions du</w:t>
      </w:r>
      <w:r w:rsidR="00D72A47" w:rsidRPr="00D72A47">
        <w:rPr>
          <w:lang w:val="fr-FR"/>
        </w:rPr>
        <w:t xml:space="preserve"> </w:t>
      </w:r>
      <w:r w:rsidR="00B57C3C">
        <w:rPr>
          <w:lang w:val="fr-FR"/>
        </w:rPr>
        <w:t>r</w:t>
      </w:r>
      <w:r w:rsidR="00466418">
        <w:rPr>
          <w:lang w:val="fr-FR"/>
        </w:rPr>
        <w:t xml:space="preserve">éseau des centres scientifiques spécialisés </w:t>
      </w:r>
      <w:r w:rsidR="00D72A47" w:rsidRPr="00D72A47">
        <w:rPr>
          <w:lang w:val="fr-FR"/>
        </w:rPr>
        <w:t xml:space="preserve">sont </w:t>
      </w:r>
      <w:r w:rsidR="007851E3">
        <w:rPr>
          <w:lang w:val="fr-FR"/>
        </w:rPr>
        <w:t xml:space="preserve">pris en </w:t>
      </w:r>
      <w:r w:rsidR="00D72A47" w:rsidRPr="00D72A47">
        <w:rPr>
          <w:lang w:val="fr-FR"/>
        </w:rPr>
        <w:t>charge</w:t>
      </w:r>
      <w:r w:rsidR="00466418">
        <w:rPr>
          <w:lang w:val="fr-FR"/>
        </w:rPr>
        <w:t xml:space="preserve"> </w:t>
      </w:r>
      <w:r w:rsidR="007851E3">
        <w:rPr>
          <w:lang w:val="fr-FR"/>
        </w:rPr>
        <w:t xml:space="preserve">par les </w:t>
      </w:r>
      <w:r w:rsidR="00466418">
        <w:rPr>
          <w:lang w:val="fr-FR"/>
        </w:rPr>
        <w:t>participants</w:t>
      </w:r>
      <w:r w:rsidR="00D72A47" w:rsidRPr="00D72A47">
        <w:rPr>
          <w:lang w:val="fr-FR"/>
        </w:rPr>
        <w:t xml:space="preserve">, sauf si le </w:t>
      </w:r>
      <w:r w:rsidR="001452EA">
        <w:rPr>
          <w:lang w:val="fr-FR"/>
        </w:rPr>
        <w:t>Comité</w:t>
      </w:r>
      <w:r w:rsidR="00D72A47" w:rsidRPr="00D72A47">
        <w:rPr>
          <w:lang w:val="fr-FR"/>
        </w:rPr>
        <w:t xml:space="preserve"> </w:t>
      </w:r>
      <w:r w:rsidR="00466418">
        <w:rPr>
          <w:lang w:val="fr-FR"/>
        </w:rPr>
        <w:t xml:space="preserve">des représentants permanents </w:t>
      </w:r>
      <w:r w:rsidR="00D72A47" w:rsidRPr="00D72A47">
        <w:rPr>
          <w:lang w:val="fr-FR"/>
        </w:rPr>
        <w:t xml:space="preserve">en décide autrement </w:t>
      </w:r>
      <w:r w:rsidR="00466418">
        <w:rPr>
          <w:lang w:val="fr-FR"/>
        </w:rPr>
        <w:t xml:space="preserve">sur la base </w:t>
      </w:r>
      <w:r w:rsidR="00D72A47" w:rsidRPr="00D72A47">
        <w:rPr>
          <w:lang w:val="fr-FR"/>
        </w:rPr>
        <w:t>d</w:t>
      </w:r>
      <w:r w:rsidR="00466418">
        <w:rPr>
          <w:lang w:val="fr-FR"/>
        </w:rPr>
        <w:t xml:space="preserve">es </w:t>
      </w:r>
      <w:r w:rsidR="00B57C3C">
        <w:rPr>
          <w:lang w:val="fr-FR"/>
        </w:rPr>
        <w:t xml:space="preserve">affectations </w:t>
      </w:r>
      <w:r w:rsidR="00D72A47" w:rsidRPr="00D72A47">
        <w:rPr>
          <w:lang w:val="fr-FR"/>
        </w:rPr>
        <w:t xml:space="preserve">prévues </w:t>
      </w:r>
      <w:r w:rsidR="00466418">
        <w:rPr>
          <w:lang w:val="fr-FR"/>
        </w:rPr>
        <w:t xml:space="preserve">dans le </w:t>
      </w:r>
      <w:r w:rsidR="00D72A47" w:rsidRPr="00D72A47">
        <w:rPr>
          <w:lang w:val="fr-FR"/>
        </w:rPr>
        <w:t>budget de fonctionnement de l’APE.</w:t>
      </w:r>
    </w:p>
    <w:p w14:paraId="09AAA34B" w14:textId="5AF16E86" w:rsidR="00466418" w:rsidRPr="00ED0ACA" w:rsidRDefault="00E35B59" w:rsidP="00194BD5">
      <w:pPr>
        <w:jc w:val="both"/>
        <w:rPr>
          <w:lang w:val="fr-FR"/>
        </w:rPr>
      </w:pPr>
      <w:r w:rsidRPr="00ED0ACA">
        <w:rPr>
          <w:lang w:val="fr-FR"/>
        </w:rPr>
        <w:t xml:space="preserve">6.9       </w:t>
      </w:r>
      <w:r w:rsidR="00466418" w:rsidRPr="00466418">
        <w:rPr>
          <w:lang w:val="fr-FR"/>
        </w:rPr>
        <w:t xml:space="preserve">Le </w:t>
      </w:r>
      <w:r w:rsidR="004C0FF7">
        <w:rPr>
          <w:lang w:val="fr-FR"/>
        </w:rPr>
        <w:t>r</w:t>
      </w:r>
      <w:r w:rsidR="00466418" w:rsidRPr="00466418">
        <w:rPr>
          <w:lang w:val="fr-FR"/>
        </w:rPr>
        <w:t xml:space="preserve">èglement financier du Conseil de l’Europe s’applique, </w:t>
      </w:r>
      <w:r w:rsidR="00466418" w:rsidRPr="00466418">
        <w:rPr>
          <w:i/>
          <w:iCs/>
          <w:lang w:val="fr-FR"/>
        </w:rPr>
        <w:t>mutatis mutandis</w:t>
      </w:r>
      <w:r w:rsidR="00466418" w:rsidRPr="00466418">
        <w:rPr>
          <w:lang w:val="fr-FR"/>
        </w:rPr>
        <w:t>, à l’adoption et à la gestion du budget de l’APE.</w:t>
      </w:r>
    </w:p>
    <w:p w14:paraId="2B8434A8" w14:textId="77777777" w:rsidR="00DD428F" w:rsidRPr="00ED0ACA" w:rsidRDefault="00DD428F" w:rsidP="00194BD5">
      <w:pPr>
        <w:jc w:val="both"/>
        <w:rPr>
          <w:lang w:val="fr-FR"/>
        </w:rPr>
      </w:pPr>
    </w:p>
    <w:p w14:paraId="09E4E614" w14:textId="76D97EAD" w:rsidR="007831AE" w:rsidRPr="001D7A01" w:rsidRDefault="00E35B59" w:rsidP="00194BD5">
      <w:pPr>
        <w:jc w:val="both"/>
        <w:rPr>
          <w:lang w:val="fr-FR"/>
        </w:rPr>
      </w:pPr>
      <w:r w:rsidRPr="001D7A01">
        <w:rPr>
          <w:b/>
          <w:bCs/>
          <w:lang w:val="fr-FR"/>
        </w:rPr>
        <w:t>Article</w:t>
      </w:r>
      <w:r w:rsidR="009546A6" w:rsidRPr="001D7A01">
        <w:rPr>
          <w:b/>
          <w:bCs/>
          <w:lang w:val="fr-FR"/>
        </w:rPr>
        <w:t> </w:t>
      </w:r>
      <w:r w:rsidRPr="001D7A01">
        <w:rPr>
          <w:b/>
          <w:bCs/>
          <w:lang w:val="fr-FR"/>
        </w:rPr>
        <w:t xml:space="preserve">7 </w:t>
      </w:r>
      <w:r w:rsidR="009546A6" w:rsidRPr="001D7A01">
        <w:rPr>
          <w:b/>
          <w:bCs/>
          <w:lang w:val="fr-FR"/>
        </w:rPr>
        <w:t>—</w:t>
      </w:r>
      <w:r w:rsidRPr="001D7A01">
        <w:rPr>
          <w:b/>
          <w:bCs/>
          <w:lang w:val="fr-FR"/>
        </w:rPr>
        <w:t xml:space="preserve"> Secr</w:t>
      </w:r>
      <w:r w:rsidR="00113239" w:rsidRPr="001D7A01">
        <w:rPr>
          <w:b/>
          <w:bCs/>
          <w:lang w:val="fr-FR"/>
        </w:rPr>
        <w:t>é</w:t>
      </w:r>
      <w:r w:rsidRPr="001D7A01">
        <w:rPr>
          <w:b/>
          <w:bCs/>
          <w:lang w:val="fr-FR"/>
        </w:rPr>
        <w:t>tariat</w:t>
      </w:r>
    </w:p>
    <w:p w14:paraId="4BE1AFC2" w14:textId="1B19C68B" w:rsidR="00113239" w:rsidRPr="00ED0ACA" w:rsidRDefault="00E35B59" w:rsidP="00194BD5">
      <w:pPr>
        <w:jc w:val="both"/>
        <w:rPr>
          <w:lang w:val="fr-FR"/>
        </w:rPr>
      </w:pPr>
      <w:r w:rsidRPr="00ED0ACA">
        <w:rPr>
          <w:lang w:val="fr-FR"/>
        </w:rPr>
        <w:t xml:space="preserve">7.1       </w:t>
      </w:r>
      <w:r w:rsidR="00113239" w:rsidRPr="00113239">
        <w:rPr>
          <w:lang w:val="fr-FR"/>
        </w:rPr>
        <w:t xml:space="preserve">Le Secrétariat de l’APE, dirigé par un </w:t>
      </w:r>
      <w:r w:rsidR="005F79E2">
        <w:rPr>
          <w:lang w:val="fr-FR"/>
        </w:rPr>
        <w:t>secrétaire exécutif</w:t>
      </w:r>
      <w:r w:rsidR="00022DA3">
        <w:rPr>
          <w:lang w:val="fr-FR"/>
        </w:rPr>
        <w:t xml:space="preserve"> </w:t>
      </w:r>
      <w:r w:rsidR="00225B79">
        <w:rPr>
          <w:lang w:val="fr-FR"/>
        </w:rPr>
        <w:t>/</w:t>
      </w:r>
      <w:r w:rsidR="00022DA3">
        <w:rPr>
          <w:lang w:val="fr-FR"/>
        </w:rPr>
        <w:t xml:space="preserve"> </w:t>
      </w:r>
      <w:r w:rsidR="005F79E2">
        <w:rPr>
          <w:lang w:val="fr-FR"/>
        </w:rPr>
        <w:t>une secrétaire exécutive</w:t>
      </w:r>
      <w:r w:rsidR="00113239" w:rsidRPr="00113239">
        <w:rPr>
          <w:lang w:val="fr-FR"/>
        </w:rPr>
        <w:t>, est assuré par l</w:t>
      </w:r>
      <w:r w:rsidR="004C0FF7">
        <w:rPr>
          <w:lang w:val="fr-FR"/>
        </w:rPr>
        <w:t>a</w:t>
      </w:r>
      <w:r w:rsidR="00113239" w:rsidRPr="00113239">
        <w:rPr>
          <w:lang w:val="fr-FR"/>
        </w:rPr>
        <w:t xml:space="preserve"> Secrétaire </w:t>
      </w:r>
      <w:r w:rsidR="005F79E2">
        <w:rPr>
          <w:lang w:val="fr-FR"/>
        </w:rPr>
        <w:t>g</w:t>
      </w:r>
      <w:r w:rsidR="00113239" w:rsidRPr="00113239">
        <w:rPr>
          <w:lang w:val="fr-FR"/>
        </w:rPr>
        <w:t>énéral</w:t>
      </w:r>
      <w:r w:rsidR="004C0FF7">
        <w:rPr>
          <w:lang w:val="fr-FR"/>
        </w:rPr>
        <w:t xml:space="preserve">e </w:t>
      </w:r>
      <w:r w:rsidR="00225B79">
        <w:rPr>
          <w:lang w:val="fr-FR"/>
        </w:rPr>
        <w:t>/</w:t>
      </w:r>
      <w:r w:rsidR="004C0FF7">
        <w:rPr>
          <w:lang w:val="fr-FR"/>
        </w:rPr>
        <w:t xml:space="preserve"> </w:t>
      </w:r>
      <w:r w:rsidR="005F79E2">
        <w:rPr>
          <w:lang w:val="fr-FR"/>
        </w:rPr>
        <w:t>l</w:t>
      </w:r>
      <w:r w:rsidR="004C0FF7">
        <w:rPr>
          <w:lang w:val="fr-FR"/>
        </w:rPr>
        <w:t>e</w:t>
      </w:r>
      <w:r w:rsidR="005F79E2">
        <w:rPr>
          <w:lang w:val="fr-FR"/>
        </w:rPr>
        <w:t xml:space="preserve"> Secrétaire général </w:t>
      </w:r>
      <w:r w:rsidR="00113239" w:rsidRPr="00113239">
        <w:rPr>
          <w:lang w:val="fr-FR"/>
        </w:rPr>
        <w:t>du Conseil de l’Europe.</w:t>
      </w:r>
    </w:p>
    <w:p w14:paraId="21BE1FF7" w14:textId="77777777" w:rsidR="00866664" w:rsidRPr="00ED0ACA" w:rsidRDefault="00866664" w:rsidP="00194BD5">
      <w:pPr>
        <w:jc w:val="both"/>
        <w:rPr>
          <w:b/>
          <w:bCs/>
          <w:lang w:val="fr-FR"/>
        </w:rPr>
      </w:pPr>
    </w:p>
    <w:p w14:paraId="15DCFCFB" w14:textId="24B1E578" w:rsidR="006455B6" w:rsidRPr="00ED0ACA" w:rsidRDefault="00E35B59" w:rsidP="00194BD5">
      <w:pPr>
        <w:jc w:val="both"/>
        <w:rPr>
          <w:b/>
          <w:bCs/>
          <w:lang w:val="fr-FR"/>
        </w:rPr>
      </w:pPr>
      <w:r w:rsidRPr="001D7A01">
        <w:rPr>
          <w:b/>
          <w:bCs/>
          <w:lang w:val="fr-FR"/>
        </w:rPr>
        <w:t>Article</w:t>
      </w:r>
      <w:r w:rsidR="009546A6" w:rsidRPr="001D7A01">
        <w:rPr>
          <w:b/>
          <w:bCs/>
          <w:lang w:val="fr-FR"/>
        </w:rPr>
        <w:t> </w:t>
      </w:r>
      <w:r w:rsidRPr="001D7A01">
        <w:rPr>
          <w:b/>
          <w:bCs/>
          <w:lang w:val="fr-FR"/>
        </w:rPr>
        <w:t xml:space="preserve">8 </w:t>
      </w:r>
      <w:r w:rsidR="009546A6" w:rsidRPr="001D7A01">
        <w:rPr>
          <w:b/>
          <w:bCs/>
          <w:lang w:val="fr-FR"/>
        </w:rPr>
        <w:t>—</w:t>
      </w:r>
      <w:r w:rsidRPr="001D7A01">
        <w:rPr>
          <w:b/>
          <w:bCs/>
          <w:lang w:val="fr-FR"/>
        </w:rPr>
        <w:t xml:space="preserve"> </w:t>
      </w:r>
      <w:r w:rsidR="00113239">
        <w:rPr>
          <w:b/>
          <w:bCs/>
          <w:lang w:val="fr-FR"/>
        </w:rPr>
        <w:t>Siège</w:t>
      </w:r>
    </w:p>
    <w:p w14:paraId="47F64496" w14:textId="704D0A68" w:rsidR="00113239" w:rsidRPr="00ED0ACA" w:rsidRDefault="00E35B59" w:rsidP="00194BD5">
      <w:pPr>
        <w:jc w:val="both"/>
        <w:rPr>
          <w:lang w:val="fr-FR"/>
        </w:rPr>
      </w:pPr>
      <w:r w:rsidRPr="00ED0ACA">
        <w:rPr>
          <w:lang w:val="fr-FR"/>
        </w:rPr>
        <w:t xml:space="preserve">8.1     </w:t>
      </w:r>
      <w:r w:rsidR="00113239" w:rsidRPr="00113239">
        <w:rPr>
          <w:lang w:val="fr-FR"/>
        </w:rPr>
        <w:t xml:space="preserve">Les locaux de </w:t>
      </w:r>
      <w:r w:rsidR="00113239">
        <w:rPr>
          <w:lang w:val="fr-FR"/>
        </w:rPr>
        <w:t xml:space="preserve">l’APE </w:t>
      </w:r>
      <w:r w:rsidR="00113239" w:rsidRPr="00113239">
        <w:rPr>
          <w:lang w:val="fr-FR"/>
        </w:rPr>
        <w:t xml:space="preserve">sont </w:t>
      </w:r>
      <w:r w:rsidR="00E03647">
        <w:rPr>
          <w:lang w:val="fr-FR"/>
        </w:rPr>
        <w:t xml:space="preserve">sis </w:t>
      </w:r>
      <w:r w:rsidR="00113239" w:rsidRPr="00113239">
        <w:rPr>
          <w:lang w:val="fr-FR"/>
        </w:rPr>
        <w:t>à Strasbourg, siège du Conseil de l</w:t>
      </w:r>
      <w:r w:rsidR="009546A6">
        <w:rPr>
          <w:lang w:val="fr-FR"/>
        </w:rPr>
        <w:t>’</w:t>
      </w:r>
      <w:r w:rsidR="00113239" w:rsidRPr="00113239">
        <w:rPr>
          <w:lang w:val="fr-FR"/>
        </w:rPr>
        <w:t>Europe.</w:t>
      </w:r>
    </w:p>
    <w:p w14:paraId="4BC66F71" w14:textId="77777777" w:rsidR="00490698" w:rsidRPr="00ED0ACA" w:rsidRDefault="00490698" w:rsidP="00490698">
      <w:pPr>
        <w:jc w:val="both"/>
        <w:rPr>
          <w:b/>
          <w:bCs/>
          <w:lang w:val="fr-FR"/>
        </w:rPr>
      </w:pPr>
    </w:p>
    <w:p w14:paraId="16AE1E24" w14:textId="05AA702B" w:rsidR="00490698" w:rsidRPr="00ED0ACA" w:rsidRDefault="00E35B59" w:rsidP="00490698">
      <w:pPr>
        <w:jc w:val="both"/>
        <w:rPr>
          <w:lang w:val="fr-FR"/>
        </w:rPr>
      </w:pPr>
      <w:r w:rsidRPr="001D7A01">
        <w:rPr>
          <w:b/>
          <w:bCs/>
          <w:lang w:val="fr-FR"/>
        </w:rPr>
        <w:t>Article</w:t>
      </w:r>
      <w:r w:rsidR="009546A6" w:rsidRPr="001D7A01">
        <w:rPr>
          <w:b/>
          <w:bCs/>
          <w:lang w:val="fr-FR"/>
        </w:rPr>
        <w:t> </w:t>
      </w:r>
      <w:r w:rsidRPr="001D7A01">
        <w:rPr>
          <w:b/>
          <w:bCs/>
          <w:lang w:val="fr-FR"/>
        </w:rPr>
        <w:t xml:space="preserve">9 </w:t>
      </w:r>
      <w:r w:rsidR="009546A6" w:rsidRPr="001D7A01">
        <w:rPr>
          <w:b/>
          <w:bCs/>
          <w:lang w:val="fr-FR"/>
        </w:rPr>
        <w:t>—</w:t>
      </w:r>
      <w:r w:rsidRPr="001D7A01">
        <w:rPr>
          <w:b/>
          <w:bCs/>
          <w:lang w:val="fr-FR"/>
        </w:rPr>
        <w:t xml:space="preserve"> </w:t>
      </w:r>
      <w:r w:rsidR="00E540FD">
        <w:rPr>
          <w:b/>
          <w:bCs/>
          <w:lang w:val="fr-FR"/>
        </w:rPr>
        <w:t>Retrait</w:t>
      </w:r>
    </w:p>
    <w:p w14:paraId="000E7256" w14:textId="5070EC58" w:rsidR="00E540FD" w:rsidRPr="00ED0ACA" w:rsidRDefault="00E35B59" w:rsidP="00490698">
      <w:pPr>
        <w:jc w:val="both"/>
        <w:rPr>
          <w:lang w:val="fr-FR"/>
        </w:rPr>
      </w:pPr>
      <w:r w:rsidRPr="00ED0ACA">
        <w:rPr>
          <w:lang w:val="fr-FR"/>
        </w:rPr>
        <w:t> </w:t>
      </w:r>
      <w:r w:rsidRPr="001D7A01">
        <w:rPr>
          <w:lang w:val="fr-FR"/>
        </w:rPr>
        <w:t xml:space="preserve">9.1       </w:t>
      </w:r>
      <w:r w:rsidR="00E540FD">
        <w:rPr>
          <w:lang w:val="fr-FR"/>
        </w:rPr>
        <w:t xml:space="preserve">Un </w:t>
      </w:r>
      <w:r w:rsidR="00934CB5">
        <w:rPr>
          <w:lang w:val="fr-FR"/>
        </w:rPr>
        <w:t xml:space="preserve">État </w:t>
      </w:r>
      <w:r w:rsidR="00E540FD" w:rsidRPr="00E540FD">
        <w:rPr>
          <w:lang w:val="fr-FR"/>
        </w:rPr>
        <w:t xml:space="preserve">membre peut se retirer de l’APE par déclaration adressée au Secrétaire </w:t>
      </w:r>
      <w:r w:rsidR="005C50A5">
        <w:rPr>
          <w:lang w:val="fr-FR"/>
        </w:rPr>
        <w:t>g</w:t>
      </w:r>
      <w:r w:rsidR="00E540FD" w:rsidRPr="00E540FD">
        <w:rPr>
          <w:lang w:val="fr-FR"/>
        </w:rPr>
        <w:t>énéral</w:t>
      </w:r>
      <w:r w:rsidR="004E0CA8">
        <w:rPr>
          <w:lang w:val="fr-FR"/>
        </w:rPr>
        <w:t xml:space="preserve"> </w:t>
      </w:r>
      <w:r w:rsidR="00225B79">
        <w:rPr>
          <w:lang w:val="fr-FR"/>
        </w:rPr>
        <w:t>/</w:t>
      </w:r>
      <w:r w:rsidR="004E0CA8">
        <w:rPr>
          <w:lang w:val="fr-FR"/>
        </w:rPr>
        <w:t xml:space="preserve"> </w:t>
      </w:r>
      <w:r w:rsidR="005F79E2">
        <w:rPr>
          <w:lang w:val="fr-FR"/>
        </w:rPr>
        <w:t xml:space="preserve">à la </w:t>
      </w:r>
      <w:r w:rsidR="005F79E2" w:rsidRPr="00113239">
        <w:rPr>
          <w:lang w:val="fr-FR"/>
        </w:rPr>
        <w:t xml:space="preserve">Secrétaire </w:t>
      </w:r>
      <w:r w:rsidR="005F79E2">
        <w:rPr>
          <w:lang w:val="fr-FR"/>
        </w:rPr>
        <w:t>générale</w:t>
      </w:r>
      <w:r w:rsidR="00E540FD" w:rsidRPr="00E540FD">
        <w:rPr>
          <w:lang w:val="fr-FR"/>
        </w:rPr>
        <w:t xml:space="preserve"> du Conseil de l’Europe.</w:t>
      </w:r>
    </w:p>
    <w:p w14:paraId="36D6E33A" w14:textId="4D1F618E" w:rsidR="00E540FD" w:rsidRPr="00ED0ACA" w:rsidRDefault="00E540FD" w:rsidP="00490698">
      <w:pPr>
        <w:jc w:val="both"/>
        <w:rPr>
          <w:lang w:val="fr-FR"/>
        </w:rPr>
      </w:pPr>
      <w:r w:rsidRPr="00E540FD">
        <w:rPr>
          <w:lang w:val="fr-FR"/>
        </w:rPr>
        <w:t xml:space="preserve">9.2 </w:t>
      </w:r>
      <w:r>
        <w:rPr>
          <w:lang w:val="fr-FR"/>
        </w:rPr>
        <w:tab/>
      </w:r>
      <w:r w:rsidRPr="00E540FD">
        <w:rPr>
          <w:lang w:val="fr-FR"/>
        </w:rPr>
        <w:t>L</w:t>
      </w:r>
      <w:r w:rsidR="004E0CA8">
        <w:rPr>
          <w:lang w:val="fr-FR"/>
        </w:rPr>
        <w:t>a</w:t>
      </w:r>
      <w:r w:rsidRPr="00E540FD">
        <w:rPr>
          <w:lang w:val="fr-FR"/>
        </w:rPr>
        <w:t xml:space="preserve"> Secrétaire </w:t>
      </w:r>
      <w:r w:rsidR="005C50A5">
        <w:rPr>
          <w:lang w:val="fr-FR"/>
        </w:rPr>
        <w:t>g</w:t>
      </w:r>
      <w:r w:rsidRPr="00E540FD">
        <w:rPr>
          <w:lang w:val="fr-FR"/>
        </w:rPr>
        <w:t>énéral</w:t>
      </w:r>
      <w:r w:rsidR="004E0CA8">
        <w:rPr>
          <w:lang w:val="fr-FR"/>
        </w:rPr>
        <w:t xml:space="preserve">e </w:t>
      </w:r>
      <w:r w:rsidR="00225B79">
        <w:rPr>
          <w:lang w:val="fr-FR"/>
        </w:rPr>
        <w:t>/</w:t>
      </w:r>
      <w:r w:rsidR="004E0CA8">
        <w:rPr>
          <w:lang w:val="fr-FR"/>
        </w:rPr>
        <w:t xml:space="preserve"> le </w:t>
      </w:r>
      <w:r w:rsidR="005F79E2" w:rsidRPr="00113239">
        <w:rPr>
          <w:lang w:val="fr-FR"/>
        </w:rPr>
        <w:t xml:space="preserve">Secrétaire </w:t>
      </w:r>
      <w:r w:rsidR="005F79E2">
        <w:rPr>
          <w:lang w:val="fr-FR"/>
        </w:rPr>
        <w:t xml:space="preserve">général </w:t>
      </w:r>
      <w:r w:rsidRPr="00E540FD">
        <w:rPr>
          <w:lang w:val="fr-FR"/>
        </w:rPr>
        <w:t>accuse réception de la déclaration et en informe les membres de l’APE.</w:t>
      </w:r>
    </w:p>
    <w:p w14:paraId="5D3B4D23" w14:textId="50BED469" w:rsidR="00490698" w:rsidRPr="00ED0ACA" w:rsidRDefault="00E35B59" w:rsidP="00490698">
      <w:pPr>
        <w:jc w:val="both"/>
        <w:rPr>
          <w:lang w:val="fr-FR"/>
        </w:rPr>
      </w:pPr>
      <w:r w:rsidRPr="00ED0ACA">
        <w:rPr>
          <w:lang w:val="fr-FR"/>
        </w:rPr>
        <w:t xml:space="preserve">9.3       </w:t>
      </w:r>
      <w:r w:rsidR="00E540FD" w:rsidRPr="00E540FD">
        <w:rPr>
          <w:lang w:val="fr-FR"/>
        </w:rPr>
        <w:t>Par analogie avec l’article</w:t>
      </w:r>
      <w:r w:rsidR="009546A6">
        <w:rPr>
          <w:lang w:val="fr-FR"/>
        </w:rPr>
        <w:t> </w:t>
      </w:r>
      <w:r w:rsidR="00E540FD" w:rsidRPr="00E540FD">
        <w:rPr>
          <w:lang w:val="fr-FR"/>
        </w:rPr>
        <w:t>7 du Statut du Conseil de l’Europe, le retrait prend effet</w:t>
      </w:r>
      <w:r w:rsidR="009546A6">
        <w:rPr>
          <w:lang w:val="fr-FR"/>
        </w:rPr>
        <w:t> </w:t>
      </w:r>
      <w:r w:rsidR="00E540FD" w:rsidRPr="00E540FD">
        <w:rPr>
          <w:lang w:val="fr-FR"/>
        </w:rPr>
        <w:t>:</w:t>
      </w:r>
    </w:p>
    <w:p w14:paraId="470B0CE9" w14:textId="6A72933B" w:rsidR="00490698" w:rsidRPr="00ED0ACA" w:rsidRDefault="00E540FD" w:rsidP="00490698">
      <w:pPr>
        <w:numPr>
          <w:ilvl w:val="0"/>
          <w:numId w:val="5"/>
        </w:numPr>
        <w:jc w:val="both"/>
        <w:rPr>
          <w:lang w:val="fr-FR"/>
        </w:rPr>
      </w:pPr>
      <w:proofErr w:type="gramStart"/>
      <w:r w:rsidRPr="00E540FD">
        <w:rPr>
          <w:lang w:val="fr-FR"/>
        </w:rPr>
        <w:t>à</w:t>
      </w:r>
      <w:proofErr w:type="gramEnd"/>
      <w:r w:rsidRPr="00E540FD">
        <w:rPr>
          <w:lang w:val="fr-FR"/>
        </w:rPr>
        <w:t xml:space="preserve"> la fin de </w:t>
      </w:r>
      <w:r>
        <w:rPr>
          <w:lang w:val="fr-FR"/>
        </w:rPr>
        <w:t xml:space="preserve">l’exercice </w:t>
      </w:r>
      <w:r w:rsidRPr="00E540FD">
        <w:rPr>
          <w:lang w:val="fr-FR"/>
        </w:rPr>
        <w:t>financi</w:t>
      </w:r>
      <w:r>
        <w:rPr>
          <w:lang w:val="fr-FR"/>
        </w:rPr>
        <w:t>er</w:t>
      </w:r>
      <w:r w:rsidRPr="00E540FD">
        <w:rPr>
          <w:lang w:val="fr-FR"/>
        </w:rPr>
        <w:t xml:space="preserve"> en cours si </w:t>
      </w:r>
      <w:r>
        <w:rPr>
          <w:lang w:val="fr-FR"/>
        </w:rPr>
        <w:t>l</w:t>
      </w:r>
      <w:r w:rsidRPr="00E540FD">
        <w:rPr>
          <w:lang w:val="fr-FR"/>
        </w:rPr>
        <w:t>e retrait est notifié avant le 1</w:t>
      </w:r>
      <w:r w:rsidRPr="00E540FD">
        <w:rPr>
          <w:vertAlign w:val="superscript"/>
          <w:lang w:val="fr-FR"/>
        </w:rPr>
        <w:t>er</w:t>
      </w:r>
      <w:r w:rsidR="009546A6">
        <w:rPr>
          <w:lang w:val="fr-FR"/>
        </w:rPr>
        <w:t> </w:t>
      </w:r>
      <w:r w:rsidRPr="00E540FD">
        <w:rPr>
          <w:lang w:val="fr-FR"/>
        </w:rPr>
        <w:t xml:space="preserve">juin </w:t>
      </w:r>
      <w:r>
        <w:rPr>
          <w:lang w:val="fr-FR"/>
        </w:rPr>
        <w:t>dudit exercice</w:t>
      </w:r>
      <w:r w:rsidR="009546A6">
        <w:rPr>
          <w:lang w:val="fr-FR"/>
        </w:rPr>
        <w:t> </w:t>
      </w:r>
      <w:r w:rsidR="00E35B59" w:rsidRPr="001D7A01">
        <w:rPr>
          <w:lang w:val="fr-FR"/>
        </w:rPr>
        <w:t>;</w:t>
      </w:r>
    </w:p>
    <w:p w14:paraId="2FBB6DA3" w14:textId="0EF8E722" w:rsidR="00E540FD" w:rsidRPr="00ED0ACA" w:rsidRDefault="00E540FD" w:rsidP="00490698">
      <w:pPr>
        <w:numPr>
          <w:ilvl w:val="0"/>
          <w:numId w:val="5"/>
        </w:numPr>
        <w:jc w:val="both"/>
        <w:rPr>
          <w:lang w:val="fr-FR"/>
        </w:rPr>
      </w:pPr>
      <w:proofErr w:type="gramStart"/>
      <w:r w:rsidRPr="00E540FD">
        <w:rPr>
          <w:lang w:val="fr-FR"/>
        </w:rPr>
        <w:t>à</w:t>
      </w:r>
      <w:proofErr w:type="gramEnd"/>
      <w:r w:rsidRPr="00E540FD">
        <w:rPr>
          <w:lang w:val="fr-FR"/>
        </w:rPr>
        <w:t xml:space="preserve"> la fin de </w:t>
      </w:r>
      <w:r>
        <w:rPr>
          <w:lang w:val="fr-FR"/>
        </w:rPr>
        <w:t xml:space="preserve">l’exercice financier </w:t>
      </w:r>
      <w:r w:rsidRPr="00E540FD">
        <w:rPr>
          <w:lang w:val="fr-FR"/>
        </w:rPr>
        <w:t xml:space="preserve">suivant, si la notification est </w:t>
      </w:r>
      <w:r>
        <w:rPr>
          <w:lang w:val="fr-FR"/>
        </w:rPr>
        <w:t xml:space="preserve">donnée le </w:t>
      </w:r>
      <w:r w:rsidRPr="00E540FD">
        <w:rPr>
          <w:lang w:val="fr-FR"/>
        </w:rPr>
        <w:t>1</w:t>
      </w:r>
      <w:r w:rsidRPr="00E540FD">
        <w:rPr>
          <w:vertAlign w:val="superscript"/>
          <w:lang w:val="fr-FR"/>
        </w:rPr>
        <w:t>er</w:t>
      </w:r>
      <w:r>
        <w:rPr>
          <w:lang w:val="fr-FR"/>
        </w:rPr>
        <w:t> </w:t>
      </w:r>
      <w:r w:rsidRPr="00E540FD">
        <w:rPr>
          <w:lang w:val="fr-FR"/>
        </w:rPr>
        <w:t xml:space="preserve">juin </w:t>
      </w:r>
      <w:r w:rsidR="00225B79">
        <w:rPr>
          <w:lang w:val="fr-FR"/>
        </w:rPr>
        <w:t>de l</w:t>
      </w:r>
      <w:r w:rsidR="00022DA3">
        <w:rPr>
          <w:lang w:val="fr-FR"/>
        </w:rPr>
        <w:t>’</w:t>
      </w:r>
      <w:r w:rsidR="008C3D07">
        <w:rPr>
          <w:lang w:val="fr-FR"/>
        </w:rPr>
        <w:t xml:space="preserve">exercice </w:t>
      </w:r>
      <w:r w:rsidR="00225B79">
        <w:rPr>
          <w:lang w:val="fr-FR"/>
        </w:rPr>
        <w:t xml:space="preserve">en cours </w:t>
      </w:r>
      <w:r w:rsidR="008C3D07">
        <w:rPr>
          <w:lang w:val="fr-FR"/>
        </w:rPr>
        <w:t>ou après</w:t>
      </w:r>
      <w:r w:rsidRPr="00E540FD">
        <w:rPr>
          <w:lang w:val="fr-FR"/>
        </w:rPr>
        <w:t>.</w:t>
      </w:r>
    </w:p>
    <w:p w14:paraId="0A41C1CC" w14:textId="6A66218E" w:rsidR="00E32C52" w:rsidRPr="00ED0ACA" w:rsidRDefault="00E35B59" w:rsidP="00490698">
      <w:pPr>
        <w:jc w:val="both"/>
        <w:rPr>
          <w:lang w:val="fr-FR"/>
        </w:rPr>
      </w:pPr>
      <w:r w:rsidRPr="00ED0ACA">
        <w:rPr>
          <w:lang w:val="fr-FR"/>
        </w:rPr>
        <w:t xml:space="preserve">9.4       </w:t>
      </w:r>
      <w:r w:rsidR="00E32C52" w:rsidRPr="00E32C52">
        <w:rPr>
          <w:lang w:val="fr-FR"/>
        </w:rPr>
        <w:t xml:space="preserve">Conformément </w:t>
      </w:r>
      <w:r w:rsidR="00E32C52">
        <w:rPr>
          <w:lang w:val="fr-FR"/>
        </w:rPr>
        <w:t xml:space="preserve">au </w:t>
      </w:r>
      <w:r w:rsidR="004E0CA8">
        <w:rPr>
          <w:lang w:val="fr-FR"/>
        </w:rPr>
        <w:t>r</w:t>
      </w:r>
      <w:r w:rsidR="00E32C52" w:rsidRPr="00E32C52">
        <w:rPr>
          <w:lang w:val="fr-FR"/>
        </w:rPr>
        <w:t xml:space="preserve">èglement financier du Conseil de l’Europe, le </w:t>
      </w:r>
      <w:r w:rsidR="00CB64DE">
        <w:rPr>
          <w:lang w:val="fr-FR"/>
        </w:rPr>
        <w:t xml:space="preserve">Comité </w:t>
      </w:r>
      <w:r w:rsidR="003E0939">
        <w:rPr>
          <w:lang w:val="fr-FR"/>
        </w:rPr>
        <w:t xml:space="preserve">des </w:t>
      </w:r>
      <w:r w:rsidR="00EE672D">
        <w:rPr>
          <w:lang w:val="fr-FR"/>
        </w:rPr>
        <w:t>C</w:t>
      </w:r>
      <w:r w:rsidR="003E0939">
        <w:rPr>
          <w:lang w:val="fr-FR"/>
        </w:rPr>
        <w:t xml:space="preserve">orrespondants permanents </w:t>
      </w:r>
      <w:r w:rsidR="00E32C52" w:rsidRPr="00E32C52">
        <w:rPr>
          <w:lang w:val="fr-FR"/>
        </w:rPr>
        <w:t xml:space="preserve">examine les </w:t>
      </w:r>
      <w:r w:rsidR="00A86A67">
        <w:rPr>
          <w:lang w:val="fr-FR"/>
        </w:rPr>
        <w:t xml:space="preserve">répercussions </w:t>
      </w:r>
      <w:r w:rsidR="00E32C52" w:rsidRPr="00E32C52">
        <w:rPr>
          <w:lang w:val="fr-FR"/>
        </w:rPr>
        <w:t xml:space="preserve">financières du retrait d’un </w:t>
      </w:r>
      <w:r w:rsidR="003E0939">
        <w:rPr>
          <w:lang w:val="fr-FR"/>
        </w:rPr>
        <w:t xml:space="preserve">État </w:t>
      </w:r>
      <w:r w:rsidR="00E32C52" w:rsidRPr="00E32C52">
        <w:rPr>
          <w:lang w:val="fr-FR"/>
        </w:rPr>
        <w:t xml:space="preserve">membre et prend les </w:t>
      </w:r>
      <w:r w:rsidR="004E0CA8">
        <w:rPr>
          <w:lang w:val="fr-FR"/>
        </w:rPr>
        <w:t xml:space="preserve">mesures </w:t>
      </w:r>
      <w:r w:rsidR="00CB64DE">
        <w:rPr>
          <w:lang w:val="fr-FR"/>
        </w:rPr>
        <w:t>qui s’imposent</w:t>
      </w:r>
      <w:r w:rsidR="00E32C52" w:rsidRPr="00E32C52">
        <w:rPr>
          <w:lang w:val="fr-FR"/>
        </w:rPr>
        <w:t>.</w:t>
      </w:r>
    </w:p>
    <w:p w14:paraId="383B0ED6" w14:textId="3C08466B" w:rsidR="003E0939" w:rsidRPr="003E0939" w:rsidRDefault="00E35B59" w:rsidP="00490698">
      <w:pPr>
        <w:jc w:val="both"/>
        <w:rPr>
          <w:lang w:val="fr-FR"/>
        </w:rPr>
      </w:pPr>
      <w:r w:rsidRPr="00ED0ACA">
        <w:rPr>
          <w:lang w:val="fr-FR"/>
        </w:rPr>
        <w:t xml:space="preserve">9.5       </w:t>
      </w:r>
      <w:r w:rsidR="000721E9">
        <w:rPr>
          <w:lang w:val="fr-FR"/>
        </w:rPr>
        <w:t>L</w:t>
      </w:r>
      <w:r w:rsidR="004E0CA8">
        <w:rPr>
          <w:lang w:val="fr-FR"/>
        </w:rPr>
        <w:t xml:space="preserve">e </w:t>
      </w:r>
      <w:r w:rsidR="000721E9" w:rsidRPr="00113239">
        <w:rPr>
          <w:lang w:val="fr-FR"/>
        </w:rPr>
        <w:t xml:space="preserve">Secrétaire </w:t>
      </w:r>
      <w:r w:rsidR="000721E9">
        <w:rPr>
          <w:lang w:val="fr-FR"/>
        </w:rPr>
        <w:t>général</w:t>
      </w:r>
      <w:r w:rsidR="00A02738">
        <w:rPr>
          <w:lang w:val="fr-FR"/>
        </w:rPr>
        <w:t xml:space="preserve"> </w:t>
      </w:r>
      <w:r w:rsidR="00225B79">
        <w:rPr>
          <w:lang w:val="fr-FR"/>
        </w:rPr>
        <w:t>/</w:t>
      </w:r>
      <w:r w:rsidR="004E0CA8">
        <w:rPr>
          <w:lang w:val="fr-FR"/>
        </w:rPr>
        <w:t xml:space="preserve"> </w:t>
      </w:r>
      <w:r w:rsidR="000721E9">
        <w:rPr>
          <w:lang w:val="fr-FR"/>
        </w:rPr>
        <w:t>l</w:t>
      </w:r>
      <w:r w:rsidR="004E0CA8">
        <w:rPr>
          <w:lang w:val="fr-FR"/>
        </w:rPr>
        <w:t>a</w:t>
      </w:r>
      <w:r w:rsidR="005F79E2" w:rsidRPr="00E540FD">
        <w:rPr>
          <w:lang w:val="fr-FR"/>
        </w:rPr>
        <w:t xml:space="preserve"> Secrétaire </w:t>
      </w:r>
      <w:r w:rsidR="005F79E2">
        <w:rPr>
          <w:lang w:val="fr-FR"/>
        </w:rPr>
        <w:t>g</w:t>
      </w:r>
      <w:r w:rsidR="005F79E2" w:rsidRPr="00E540FD">
        <w:rPr>
          <w:lang w:val="fr-FR"/>
        </w:rPr>
        <w:t>énéral</w:t>
      </w:r>
      <w:r w:rsidR="004E0CA8">
        <w:rPr>
          <w:lang w:val="fr-FR"/>
        </w:rPr>
        <w:t>e</w:t>
      </w:r>
      <w:r w:rsidR="005F79E2" w:rsidRPr="00E540FD">
        <w:rPr>
          <w:lang w:val="fr-FR"/>
        </w:rPr>
        <w:t xml:space="preserve"> </w:t>
      </w:r>
      <w:r w:rsidR="003E0939" w:rsidRPr="003E0939">
        <w:rPr>
          <w:lang w:val="fr-FR"/>
        </w:rPr>
        <w:t>informe immédiatement l</w:t>
      </w:r>
      <w:r w:rsidR="003E0939">
        <w:rPr>
          <w:lang w:val="fr-FR"/>
        </w:rPr>
        <w:t xml:space="preserve">’État </w:t>
      </w:r>
      <w:r w:rsidR="003E0939" w:rsidRPr="003E0939">
        <w:rPr>
          <w:lang w:val="fr-FR"/>
        </w:rPr>
        <w:t xml:space="preserve">membre concerné des </w:t>
      </w:r>
      <w:r w:rsidR="000817E8">
        <w:rPr>
          <w:lang w:val="fr-FR"/>
        </w:rPr>
        <w:t xml:space="preserve">effets </w:t>
      </w:r>
      <w:r w:rsidR="003E0939" w:rsidRPr="003E0939">
        <w:rPr>
          <w:lang w:val="fr-FR"/>
        </w:rPr>
        <w:t>de son retrait.</w:t>
      </w:r>
    </w:p>
    <w:p w14:paraId="42399CE6" w14:textId="77777777" w:rsidR="00DD428F" w:rsidRPr="00ED0ACA" w:rsidRDefault="00DD428F" w:rsidP="00194BD5">
      <w:pPr>
        <w:jc w:val="both"/>
        <w:rPr>
          <w:lang w:val="fr-FR"/>
        </w:rPr>
      </w:pPr>
    </w:p>
    <w:p w14:paraId="37450902" w14:textId="21F63B62" w:rsidR="007831AE" w:rsidRPr="00ED0ACA" w:rsidRDefault="00E35B59" w:rsidP="004E0CA8">
      <w:pPr>
        <w:keepNext/>
        <w:jc w:val="both"/>
        <w:rPr>
          <w:lang w:val="fr-FR"/>
        </w:rPr>
      </w:pPr>
      <w:r w:rsidRPr="001D7A01">
        <w:rPr>
          <w:b/>
          <w:bCs/>
          <w:lang w:val="fr-FR"/>
        </w:rPr>
        <w:lastRenderedPageBreak/>
        <w:t>Article</w:t>
      </w:r>
      <w:r w:rsidR="009546A6" w:rsidRPr="001D7A01">
        <w:rPr>
          <w:b/>
          <w:bCs/>
          <w:lang w:val="fr-FR"/>
        </w:rPr>
        <w:t> </w:t>
      </w:r>
      <w:r w:rsidRPr="001D7A01">
        <w:rPr>
          <w:b/>
          <w:bCs/>
          <w:lang w:val="fr-FR"/>
        </w:rPr>
        <w:t xml:space="preserve">10 </w:t>
      </w:r>
      <w:r w:rsidR="009546A6" w:rsidRPr="001D7A01">
        <w:rPr>
          <w:b/>
          <w:bCs/>
          <w:lang w:val="fr-FR"/>
        </w:rPr>
        <w:t>—</w:t>
      </w:r>
      <w:r w:rsidRPr="001D7A01">
        <w:rPr>
          <w:b/>
          <w:bCs/>
          <w:lang w:val="fr-FR"/>
        </w:rPr>
        <w:t xml:space="preserve"> </w:t>
      </w:r>
      <w:r w:rsidR="00001C3E">
        <w:rPr>
          <w:b/>
          <w:bCs/>
          <w:lang w:val="fr-FR"/>
        </w:rPr>
        <w:t>Modification</w:t>
      </w:r>
    </w:p>
    <w:p w14:paraId="6F94D99E" w14:textId="195679E0" w:rsidR="00001C3E" w:rsidRPr="00ED0ACA" w:rsidRDefault="00E35B59" w:rsidP="00194BD5">
      <w:pPr>
        <w:jc w:val="both"/>
        <w:rPr>
          <w:lang w:val="fr-FR"/>
        </w:rPr>
      </w:pPr>
      <w:r w:rsidRPr="00ED0ACA">
        <w:rPr>
          <w:lang w:val="fr-FR"/>
        </w:rPr>
        <w:t>10.1</w:t>
      </w:r>
      <w:r w:rsidRPr="00ED0ACA">
        <w:rPr>
          <w:lang w:val="fr-FR"/>
        </w:rPr>
        <w:tab/>
      </w:r>
      <w:r w:rsidR="00001C3E" w:rsidRPr="00001C3E">
        <w:rPr>
          <w:lang w:val="fr-FR"/>
        </w:rPr>
        <w:t xml:space="preserve">Le Comité des Ministres, dans sa composition restreinte aux représentants des </w:t>
      </w:r>
      <w:r w:rsidR="00001C3E">
        <w:rPr>
          <w:lang w:val="fr-FR"/>
        </w:rPr>
        <w:t xml:space="preserve">États </w:t>
      </w:r>
      <w:r w:rsidR="00001C3E" w:rsidRPr="00001C3E">
        <w:rPr>
          <w:lang w:val="fr-FR"/>
        </w:rPr>
        <w:t xml:space="preserve">membres de l’APE et après consultation des membres de l’APE </w:t>
      </w:r>
      <w:proofErr w:type="gramStart"/>
      <w:r w:rsidR="00001C3E" w:rsidRPr="00001C3E">
        <w:rPr>
          <w:lang w:val="fr-FR"/>
        </w:rPr>
        <w:t>non membres</w:t>
      </w:r>
      <w:proofErr w:type="gramEnd"/>
      <w:r w:rsidR="00001C3E" w:rsidRPr="00001C3E">
        <w:rPr>
          <w:lang w:val="fr-FR"/>
        </w:rPr>
        <w:t xml:space="preserve"> du Conseil de l’Europe, peut </w:t>
      </w:r>
      <w:r w:rsidR="00001C3E">
        <w:rPr>
          <w:lang w:val="fr-FR"/>
        </w:rPr>
        <w:t xml:space="preserve">modifier </w:t>
      </w:r>
      <w:r w:rsidR="00001C3E" w:rsidRPr="00001C3E">
        <w:rPr>
          <w:lang w:val="fr-FR"/>
        </w:rPr>
        <w:t>le présent statut à la majorité prévue à l’article</w:t>
      </w:r>
      <w:r w:rsidR="009546A6">
        <w:rPr>
          <w:lang w:val="fr-FR"/>
        </w:rPr>
        <w:t> </w:t>
      </w:r>
      <w:r w:rsidR="00001C3E" w:rsidRPr="00001C3E">
        <w:rPr>
          <w:lang w:val="fr-FR"/>
        </w:rPr>
        <w:t>20.</w:t>
      </w:r>
      <w:r w:rsidR="00001C3E" w:rsidRPr="00001C3E">
        <w:rPr>
          <w:i/>
          <w:iCs/>
          <w:lang w:val="fr-FR"/>
        </w:rPr>
        <w:t>d</w:t>
      </w:r>
      <w:r w:rsidR="00001C3E" w:rsidRPr="00001C3E">
        <w:rPr>
          <w:lang w:val="fr-FR"/>
        </w:rPr>
        <w:t xml:space="preserve"> du Statut du Conseil de l’Europe.</w:t>
      </w:r>
    </w:p>
    <w:sectPr w:rsidR="00001C3E" w:rsidRPr="00ED0ACA" w:rsidSect="00D553F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B2725" w14:textId="77777777" w:rsidR="00C270CF" w:rsidRPr="00ED0ACA" w:rsidRDefault="00C270CF">
      <w:pPr>
        <w:spacing w:after="0" w:line="240" w:lineRule="auto"/>
        <w:rPr>
          <w:lang w:val="fr-FR"/>
        </w:rPr>
      </w:pPr>
      <w:r w:rsidRPr="00ED0ACA">
        <w:rPr>
          <w:lang w:val="fr-FR"/>
        </w:rPr>
        <w:separator/>
      </w:r>
    </w:p>
  </w:endnote>
  <w:endnote w:type="continuationSeparator" w:id="0">
    <w:p w14:paraId="3277EF1F" w14:textId="77777777" w:rsidR="00C270CF" w:rsidRPr="00ED0ACA" w:rsidRDefault="00C270CF">
      <w:pPr>
        <w:spacing w:after="0" w:line="240" w:lineRule="auto"/>
        <w:rPr>
          <w:lang w:val="fr-FR"/>
        </w:rPr>
      </w:pPr>
      <w:r w:rsidRPr="00ED0ACA">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id w:val="-1364896998"/>
      <w:docPartObj>
        <w:docPartGallery w:val="Page Numbers (Bottom of Page)"/>
        <w:docPartUnique/>
      </w:docPartObj>
    </w:sdtPr>
    <w:sdtEndPr/>
    <w:sdtContent>
      <w:p w14:paraId="60C4D42B" w14:textId="77777777" w:rsidR="00900FBA" w:rsidRPr="00ED0ACA" w:rsidRDefault="00900FBA">
        <w:pPr>
          <w:pStyle w:val="Footer"/>
          <w:jc w:val="center"/>
          <w:rPr>
            <w:lang w:val="fr-FR"/>
          </w:rPr>
        </w:pPr>
        <w:r w:rsidRPr="00ED0ACA">
          <w:rPr>
            <w:lang w:val="fr-FR"/>
          </w:rPr>
          <w:fldChar w:fldCharType="begin"/>
        </w:r>
        <w:r w:rsidRPr="00ED0ACA">
          <w:rPr>
            <w:lang w:val="fr-FR"/>
          </w:rPr>
          <w:instrText>PAGE   \* MERGEFORMAT</w:instrText>
        </w:r>
        <w:r w:rsidRPr="00ED0ACA">
          <w:rPr>
            <w:lang w:val="fr-FR"/>
          </w:rPr>
          <w:fldChar w:fldCharType="separate"/>
        </w:r>
        <w:r w:rsidRPr="00ED0ACA">
          <w:rPr>
            <w:lang w:val="fr-FR"/>
          </w:rPr>
          <w:t>2</w:t>
        </w:r>
        <w:r w:rsidRPr="00ED0ACA">
          <w:rPr>
            <w:lang w:val="fr-FR"/>
          </w:rPr>
          <w:fldChar w:fldCharType="end"/>
        </w:r>
      </w:p>
    </w:sdtContent>
  </w:sdt>
  <w:p w14:paraId="7A0C72E6" w14:textId="77777777" w:rsidR="00900FBA" w:rsidRPr="00ED0ACA" w:rsidRDefault="00900FBA">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id w:val="-439372986"/>
      <w:docPartObj>
        <w:docPartGallery w:val="Page Numbers (Bottom of Page)"/>
        <w:docPartUnique/>
      </w:docPartObj>
    </w:sdtPr>
    <w:sdtEndPr/>
    <w:sdtContent>
      <w:sdt>
        <w:sdtPr>
          <w:rPr>
            <w:i/>
            <w:iCs/>
            <w:sz w:val="16"/>
            <w:szCs w:val="16"/>
            <w:lang w:val="fr-FR"/>
          </w:rPr>
          <w:id w:val="-748809399"/>
          <w:docPartObj>
            <w:docPartGallery w:val="Page Numbers (Bottom of Page)"/>
            <w:docPartUnique/>
          </w:docPartObj>
        </w:sdtPr>
        <w:sdtEndPr>
          <w:rPr>
            <w:i w:val="0"/>
            <w:iCs w:val="0"/>
            <w:sz w:val="22"/>
            <w:szCs w:val="22"/>
          </w:rPr>
        </w:sdtEndPr>
        <w:sdtContent>
          <w:p w14:paraId="08DD53A4" w14:textId="2D0B3F90" w:rsidR="00900FBA" w:rsidRPr="00ED0ACA" w:rsidRDefault="00900FBA" w:rsidP="004D490D">
            <w:pPr>
              <w:pStyle w:val="Footer"/>
              <w:jc w:val="center"/>
              <w:rPr>
                <w:lang w:val="fr-FR"/>
              </w:rPr>
            </w:pPr>
            <w:r w:rsidRPr="001D7A01">
              <w:rPr>
                <w:i/>
                <w:iCs/>
                <w:sz w:val="16"/>
                <w:szCs w:val="16"/>
                <w:lang w:val="fr-FR"/>
              </w:rPr>
              <w:t xml:space="preserve">Document préparé par le </w:t>
            </w:r>
            <w:r w:rsidR="0080527F">
              <w:rPr>
                <w:i/>
                <w:iCs/>
                <w:sz w:val="16"/>
                <w:szCs w:val="16"/>
                <w:lang w:val="fr-FR"/>
              </w:rPr>
              <w:t>S</w:t>
            </w:r>
            <w:r w:rsidRPr="001D7A01">
              <w:rPr>
                <w:i/>
                <w:iCs/>
                <w:sz w:val="16"/>
                <w:szCs w:val="16"/>
                <w:lang w:val="fr-FR"/>
              </w:rPr>
              <w:t>ecrétariat</w:t>
            </w:r>
            <w:r w:rsidRPr="00ED0ACA">
              <w:rPr>
                <w:rFonts w:cs="Arial"/>
                <w:i/>
                <w:iCs/>
                <w:sz w:val="16"/>
                <w:szCs w:val="16"/>
                <w:lang w:val="fr-FR"/>
              </w:rPr>
              <w:t xml:space="preserve"> </w:t>
            </w:r>
            <w:r w:rsidRPr="00ED0ACA">
              <w:rPr>
                <w:rFonts w:cs="Arial"/>
                <w:i/>
                <w:iCs/>
                <w:sz w:val="16"/>
                <w:szCs w:val="16"/>
                <w:lang w:val="fr-FR"/>
              </w:rPr>
              <w:br/>
            </w:r>
            <w:r w:rsidRPr="001D7A01">
              <w:rPr>
                <w:rFonts w:cs="Arial"/>
                <w:i/>
                <w:sz w:val="16"/>
                <w:szCs w:val="16"/>
                <w:lang w:val="fr-FR"/>
              </w:rPr>
              <w:t xml:space="preserve">de l’Accord </w:t>
            </w:r>
            <w:r w:rsidR="00E3399D">
              <w:rPr>
                <w:rFonts w:cs="Arial"/>
                <w:i/>
                <w:sz w:val="16"/>
                <w:szCs w:val="16"/>
                <w:lang w:val="fr-FR"/>
              </w:rPr>
              <w:t xml:space="preserve">EUR-OPA </w:t>
            </w:r>
            <w:r w:rsidR="0080527F">
              <w:rPr>
                <w:rFonts w:cs="Arial"/>
                <w:i/>
                <w:sz w:val="16"/>
                <w:szCs w:val="16"/>
                <w:lang w:val="fr-FR"/>
              </w:rPr>
              <w:t>R</w:t>
            </w:r>
            <w:r w:rsidR="00E3399D">
              <w:rPr>
                <w:rFonts w:cs="Arial"/>
                <w:i/>
                <w:sz w:val="16"/>
                <w:szCs w:val="16"/>
                <w:lang w:val="fr-FR"/>
              </w:rPr>
              <w:t>isques majeurs</w:t>
            </w:r>
            <w:r w:rsidRPr="00ED0ACA">
              <w:rPr>
                <w:rFonts w:cs="Arial"/>
                <w:i/>
                <w:sz w:val="16"/>
                <w:szCs w:val="16"/>
                <w:lang w:val="fr-FR"/>
              </w:rPr>
              <w:t xml:space="preserve"> </w:t>
            </w:r>
            <w:r w:rsidRPr="00ED0ACA">
              <w:rPr>
                <w:rFonts w:cs="Arial"/>
                <w:i/>
                <w:sz w:val="16"/>
                <w:szCs w:val="16"/>
                <w:lang w:val="fr-FR"/>
              </w:rPr>
              <w:br/>
            </w:r>
            <w:r w:rsidRPr="00ED0ACA">
              <w:rPr>
                <w:rFonts w:cs="Arial"/>
                <w:i/>
                <w:sz w:val="16"/>
                <w:szCs w:val="16"/>
                <w:lang w:val="fr-FR"/>
              </w:rPr>
              <w:br/>
            </w:r>
            <w:r w:rsidRPr="001D7A01">
              <w:rPr>
                <w:rFonts w:cs="Arial"/>
                <w:i/>
                <w:sz w:val="16"/>
                <w:szCs w:val="16"/>
                <w:lang w:val="fr-FR"/>
              </w:rPr>
              <w:t>Ce document ne sera pas distribué en séance.</w:t>
            </w:r>
            <w:r w:rsidRPr="00ED0ACA">
              <w:rPr>
                <w:rFonts w:cs="Arial"/>
                <w:i/>
                <w:sz w:val="16"/>
                <w:szCs w:val="16"/>
                <w:lang w:val="fr-FR"/>
              </w:rPr>
              <w:t xml:space="preserve"> </w:t>
            </w:r>
            <w:r w:rsidRPr="001D7A01">
              <w:rPr>
                <w:rFonts w:cs="Arial"/>
                <w:i/>
                <w:sz w:val="16"/>
                <w:szCs w:val="16"/>
                <w:lang w:val="fr-FR"/>
              </w:rPr>
              <w:t>Prière de se munir du présent exemplaire.</w:t>
            </w:r>
          </w:p>
        </w:sdtContent>
      </w:sdt>
      <w:p w14:paraId="1F8DFF76" w14:textId="2DDE69DC" w:rsidR="00900FBA" w:rsidRPr="00ED0ACA" w:rsidRDefault="00C270CF" w:rsidP="00D553F8">
        <w:pPr>
          <w:pStyle w:val="Footer"/>
          <w:jc w:val="center"/>
          <w:rPr>
            <w:lang w:val="fr-FR"/>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D3E31" w14:textId="77777777" w:rsidR="00C270CF" w:rsidRPr="00ED0ACA" w:rsidRDefault="00C270CF">
      <w:pPr>
        <w:spacing w:after="0" w:line="240" w:lineRule="auto"/>
        <w:rPr>
          <w:lang w:val="fr-FR"/>
        </w:rPr>
      </w:pPr>
      <w:r w:rsidRPr="00ED0ACA">
        <w:rPr>
          <w:lang w:val="fr-FR"/>
        </w:rPr>
        <w:separator/>
      </w:r>
    </w:p>
  </w:footnote>
  <w:footnote w:type="continuationSeparator" w:id="0">
    <w:p w14:paraId="60F4E446" w14:textId="77777777" w:rsidR="00C270CF" w:rsidRPr="00ED0ACA" w:rsidRDefault="00C270CF">
      <w:pPr>
        <w:spacing w:after="0" w:line="240" w:lineRule="auto"/>
        <w:rPr>
          <w:lang w:val="fr-FR"/>
        </w:rPr>
      </w:pPr>
      <w:r w:rsidRPr="00ED0ACA">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id w:val="225035770"/>
      <w:docPartObj>
        <w:docPartGallery w:val="Watermarks"/>
        <w:docPartUnique/>
      </w:docPartObj>
    </w:sdtPr>
    <w:sdtEndPr/>
    <w:sdtContent>
      <w:p w14:paraId="5A79C74F" w14:textId="77777777" w:rsidR="00900FBA" w:rsidRPr="00ED0ACA" w:rsidRDefault="00C270CF">
        <w:pPr>
          <w:pStyle w:val="Header"/>
          <w:rPr>
            <w:lang w:val="fr-FR"/>
          </w:rPr>
        </w:pPr>
        <w:r>
          <w:rPr>
            <w:lang w:val="fr-FR"/>
          </w:rPr>
          <w:pict w14:anchorId="311B4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777767" o:spid="_x0000_s3073"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B4E2" w14:textId="77777777" w:rsidR="00900FBA" w:rsidRPr="00ED0ACA" w:rsidRDefault="00900FBA" w:rsidP="00D553F8">
    <w:pPr>
      <w:pStyle w:val="Header"/>
      <w:tabs>
        <w:tab w:val="clear" w:pos="4513"/>
        <w:tab w:val="clear" w:pos="9026"/>
        <w:tab w:val="left" w:pos="2745"/>
      </w:tabs>
      <w:jc w:val="center"/>
      <w:rPr>
        <w:lang w:val="fr-FR"/>
      </w:rPr>
    </w:pPr>
    <w:r w:rsidRPr="00ED0ACA">
      <w:rPr>
        <w:noProof/>
        <w:lang w:val="fr-FR" w:eastAsia="hr-HR"/>
      </w:rPr>
      <w:drawing>
        <wp:inline distT="0" distB="0" distL="0" distR="0" wp14:anchorId="7EDFF45D" wp14:editId="70AE8274">
          <wp:extent cx="3819525" cy="12137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8165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23452" cy="1215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34600"/>
    <w:multiLevelType w:val="hybridMultilevel"/>
    <w:tmpl w:val="808615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E621E"/>
    <w:multiLevelType w:val="multilevel"/>
    <w:tmpl w:val="C05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17E9"/>
    <w:multiLevelType w:val="multilevel"/>
    <w:tmpl w:val="DA5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240B0"/>
    <w:multiLevelType w:val="multilevel"/>
    <w:tmpl w:val="A654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E5F9A"/>
    <w:multiLevelType w:val="hybridMultilevel"/>
    <w:tmpl w:val="E1F8731C"/>
    <w:lvl w:ilvl="0" w:tplc="0644D3D8">
      <w:start w:val="1"/>
      <w:numFmt w:val="decimal"/>
      <w:lvlText w:val="%1."/>
      <w:lvlJc w:val="left"/>
      <w:pPr>
        <w:ind w:left="972" w:hanging="612"/>
      </w:pPr>
      <w:rPr>
        <w:rFonts w:hint="default"/>
      </w:rPr>
    </w:lvl>
    <w:lvl w:ilvl="1" w:tplc="C1DED402" w:tentative="1">
      <w:start w:val="1"/>
      <w:numFmt w:val="lowerLetter"/>
      <w:lvlText w:val="%2."/>
      <w:lvlJc w:val="left"/>
      <w:pPr>
        <w:ind w:left="1440" w:hanging="360"/>
      </w:pPr>
    </w:lvl>
    <w:lvl w:ilvl="2" w:tplc="EF5C3510" w:tentative="1">
      <w:start w:val="1"/>
      <w:numFmt w:val="lowerRoman"/>
      <w:lvlText w:val="%3."/>
      <w:lvlJc w:val="right"/>
      <w:pPr>
        <w:ind w:left="2160" w:hanging="180"/>
      </w:pPr>
    </w:lvl>
    <w:lvl w:ilvl="3" w:tplc="F6221B0C" w:tentative="1">
      <w:start w:val="1"/>
      <w:numFmt w:val="decimal"/>
      <w:lvlText w:val="%4."/>
      <w:lvlJc w:val="left"/>
      <w:pPr>
        <w:ind w:left="2880" w:hanging="360"/>
      </w:pPr>
    </w:lvl>
    <w:lvl w:ilvl="4" w:tplc="DA0EE928" w:tentative="1">
      <w:start w:val="1"/>
      <w:numFmt w:val="lowerLetter"/>
      <w:lvlText w:val="%5."/>
      <w:lvlJc w:val="left"/>
      <w:pPr>
        <w:ind w:left="3600" w:hanging="360"/>
      </w:pPr>
    </w:lvl>
    <w:lvl w:ilvl="5" w:tplc="5A723A82" w:tentative="1">
      <w:start w:val="1"/>
      <w:numFmt w:val="lowerRoman"/>
      <w:lvlText w:val="%6."/>
      <w:lvlJc w:val="right"/>
      <w:pPr>
        <w:ind w:left="4320" w:hanging="180"/>
      </w:pPr>
    </w:lvl>
    <w:lvl w:ilvl="6" w:tplc="EC008036" w:tentative="1">
      <w:start w:val="1"/>
      <w:numFmt w:val="decimal"/>
      <w:lvlText w:val="%7."/>
      <w:lvlJc w:val="left"/>
      <w:pPr>
        <w:ind w:left="5040" w:hanging="360"/>
      </w:pPr>
    </w:lvl>
    <w:lvl w:ilvl="7" w:tplc="F4CA9C7A" w:tentative="1">
      <w:start w:val="1"/>
      <w:numFmt w:val="lowerLetter"/>
      <w:lvlText w:val="%8."/>
      <w:lvlJc w:val="left"/>
      <w:pPr>
        <w:ind w:left="5760" w:hanging="360"/>
      </w:pPr>
    </w:lvl>
    <w:lvl w:ilvl="8" w:tplc="91DE7186" w:tentative="1">
      <w:start w:val="1"/>
      <w:numFmt w:val="lowerRoman"/>
      <w:lvlText w:val="%9."/>
      <w:lvlJc w:val="right"/>
      <w:pPr>
        <w:ind w:left="6480" w:hanging="180"/>
      </w:pPr>
    </w:lvl>
  </w:abstractNum>
  <w:abstractNum w:abstractNumId="5" w15:restartNumberingAfterBreak="0">
    <w:nsid w:val="4C6A4D88"/>
    <w:multiLevelType w:val="multilevel"/>
    <w:tmpl w:val="2F8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60FBD"/>
    <w:multiLevelType w:val="multilevel"/>
    <w:tmpl w:val="D5D864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8928A0"/>
    <w:multiLevelType w:val="hybridMultilevel"/>
    <w:tmpl w:val="6E5E95A2"/>
    <w:lvl w:ilvl="0" w:tplc="E3386EBC">
      <w:start w:val="1"/>
      <w:numFmt w:val="decimal"/>
      <w:lvlText w:val="%1."/>
      <w:lvlJc w:val="left"/>
      <w:pPr>
        <w:ind w:left="1692" w:hanging="360"/>
      </w:pPr>
    </w:lvl>
    <w:lvl w:ilvl="1" w:tplc="B180EB08" w:tentative="1">
      <w:start w:val="1"/>
      <w:numFmt w:val="lowerLetter"/>
      <w:lvlText w:val="%2."/>
      <w:lvlJc w:val="left"/>
      <w:pPr>
        <w:ind w:left="2412" w:hanging="360"/>
      </w:pPr>
    </w:lvl>
    <w:lvl w:ilvl="2" w:tplc="1BF6FA12" w:tentative="1">
      <w:start w:val="1"/>
      <w:numFmt w:val="lowerRoman"/>
      <w:lvlText w:val="%3."/>
      <w:lvlJc w:val="right"/>
      <w:pPr>
        <w:ind w:left="3132" w:hanging="180"/>
      </w:pPr>
    </w:lvl>
    <w:lvl w:ilvl="3" w:tplc="0A280412" w:tentative="1">
      <w:start w:val="1"/>
      <w:numFmt w:val="decimal"/>
      <w:lvlText w:val="%4."/>
      <w:lvlJc w:val="left"/>
      <w:pPr>
        <w:ind w:left="3852" w:hanging="360"/>
      </w:pPr>
    </w:lvl>
    <w:lvl w:ilvl="4" w:tplc="5F6634F2" w:tentative="1">
      <w:start w:val="1"/>
      <w:numFmt w:val="lowerLetter"/>
      <w:lvlText w:val="%5."/>
      <w:lvlJc w:val="left"/>
      <w:pPr>
        <w:ind w:left="4572" w:hanging="360"/>
      </w:pPr>
    </w:lvl>
    <w:lvl w:ilvl="5" w:tplc="767CDF5C" w:tentative="1">
      <w:start w:val="1"/>
      <w:numFmt w:val="lowerRoman"/>
      <w:lvlText w:val="%6."/>
      <w:lvlJc w:val="right"/>
      <w:pPr>
        <w:ind w:left="5292" w:hanging="180"/>
      </w:pPr>
    </w:lvl>
    <w:lvl w:ilvl="6" w:tplc="5510D8EE" w:tentative="1">
      <w:start w:val="1"/>
      <w:numFmt w:val="decimal"/>
      <w:lvlText w:val="%7."/>
      <w:lvlJc w:val="left"/>
      <w:pPr>
        <w:ind w:left="6012" w:hanging="360"/>
      </w:pPr>
    </w:lvl>
    <w:lvl w:ilvl="7" w:tplc="D756B9AE" w:tentative="1">
      <w:start w:val="1"/>
      <w:numFmt w:val="lowerLetter"/>
      <w:lvlText w:val="%8."/>
      <w:lvlJc w:val="left"/>
      <w:pPr>
        <w:ind w:left="6732" w:hanging="360"/>
      </w:pPr>
    </w:lvl>
    <w:lvl w:ilvl="8" w:tplc="DF265436" w:tentative="1">
      <w:start w:val="1"/>
      <w:numFmt w:val="lowerRoman"/>
      <w:lvlText w:val="%9."/>
      <w:lvlJc w:val="right"/>
      <w:pPr>
        <w:ind w:left="7452" w:hanging="180"/>
      </w:pPr>
    </w:lvl>
  </w:abstractNum>
  <w:abstractNum w:abstractNumId="8" w15:restartNumberingAfterBreak="0">
    <w:nsid w:val="55E9043D"/>
    <w:multiLevelType w:val="multilevel"/>
    <w:tmpl w:val="8E02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8A4825"/>
    <w:multiLevelType w:val="hybridMultilevel"/>
    <w:tmpl w:val="132CDA22"/>
    <w:lvl w:ilvl="0" w:tplc="B20C2D6A">
      <w:start w:val="1"/>
      <w:numFmt w:val="decimal"/>
      <w:lvlText w:val="%1."/>
      <w:lvlJc w:val="left"/>
      <w:pPr>
        <w:ind w:left="972" w:hanging="612"/>
      </w:pPr>
      <w:rPr>
        <w:rFonts w:hint="default"/>
      </w:rPr>
    </w:lvl>
    <w:lvl w:ilvl="1" w:tplc="8FDC6658" w:tentative="1">
      <w:start w:val="1"/>
      <w:numFmt w:val="lowerLetter"/>
      <w:lvlText w:val="%2."/>
      <w:lvlJc w:val="left"/>
      <w:pPr>
        <w:ind w:left="1440" w:hanging="360"/>
      </w:pPr>
    </w:lvl>
    <w:lvl w:ilvl="2" w:tplc="B72816FC" w:tentative="1">
      <w:start w:val="1"/>
      <w:numFmt w:val="lowerRoman"/>
      <w:lvlText w:val="%3."/>
      <w:lvlJc w:val="right"/>
      <w:pPr>
        <w:ind w:left="2160" w:hanging="180"/>
      </w:pPr>
    </w:lvl>
    <w:lvl w:ilvl="3" w:tplc="34563B24" w:tentative="1">
      <w:start w:val="1"/>
      <w:numFmt w:val="decimal"/>
      <w:lvlText w:val="%4."/>
      <w:lvlJc w:val="left"/>
      <w:pPr>
        <w:ind w:left="2880" w:hanging="360"/>
      </w:pPr>
    </w:lvl>
    <w:lvl w:ilvl="4" w:tplc="5BF65458" w:tentative="1">
      <w:start w:val="1"/>
      <w:numFmt w:val="lowerLetter"/>
      <w:lvlText w:val="%5."/>
      <w:lvlJc w:val="left"/>
      <w:pPr>
        <w:ind w:left="3600" w:hanging="360"/>
      </w:pPr>
    </w:lvl>
    <w:lvl w:ilvl="5" w:tplc="2EE0A882" w:tentative="1">
      <w:start w:val="1"/>
      <w:numFmt w:val="lowerRoman"/>
      <w:lvlText w:val="%6."/>
      <w:lvlJc w:val="right"/>
      <w:pPr>
        <w:ind w:left="4320" w:hanging="180"/>
      </w:pPr>
    </w:lvl>
    <w:lvl w:ilvl="6" w:tplc="ED6AB0DE" w:tentative="1">
      <w:start w:val="1"/>
      <w:numFmt w:val="decimal"/>
      <w:lvlText w:val="%7."/>
      <w:lvlJc w:val="left"/>
      <w:pPr>
        <w:ind w:left="5040" w:hanging="360"/>
      </w:pPr>
    </w:lvl>
    <w:lvl w:ilvl="7" w:tplc="C4104BE8" w:tentative="1">
      <w:start w:val="1"/>
      <w:numFmt w:val="lowerLetter"/>
      <w:lvlText w:val="%8."/>
      <w:lvlJc w:val="left"/>
      <w:pPr>
        <w:ind w:left="5760" w:hanging="360"/>
      </w:pPr>
    </w:lvl>
    <w:lvl w:ilvl="8" w:tplc="5F5CEAFE" w:tentative="1">
      <w:start w:val="1"/>
      <w:numFmt w:val="lowerRoman"/>
      <w:lvlText w:val="%9."/>
      <w:lvlJc w:val="right"/>
      <w:pPr>
        <w:ind w:left="6480" w:hanging="180"/>
      </w:pPr>
    </w:lvl>
  </w:abstractNum>
  <w:abstractNum w:abstractNumId="10" w15:restartNumberingAfterBreak="0">
    <w:nsid w:val="698B4303"/>
    <w:multiLevelType w:val="hybridMultilevel"/>
    <w:tmpl w:val="9FE20E2C"/>
    <w:lvl w:ilvl="0" w:tplc="56C666A0">
      <w:start w:val="1"/>
      <w:numFmt w:val="decimal"/>
      <w:lvlText w:val="%1."/>
      <w:lvlJc w:val="left"/>
      <w:pPr>
        <w:ind w:left="972" w:hanging="612"/>
      </w:pPr>
      <w:rPr>
        <w:rFonts w:hint="default"/>
      </w:rPr>
    </w:lvl>
    <w:lvl w:ilvl="1" w:tplc="87066AE8" w:tentative="1">
      <w:start w:val="1"/>
      <w:numFmt w:val="lowerLetter"/>
      <w:lvlText w:val="%2."/>
      <w:lvlJc w:val="left"/>
      <w:pPr>
        <w:ind w:left="1440" w:hanging="360"/>
      </w:pPr>
    </w:lvl>
    <w:lvl w:ilvl="2" w:tplc="C0D2E9BA" w:tentative="1">
      <w:start w:val="1"/>
      <w:numFmt w:val="lowerRoman"/>
      <w:lvlText w:val="%3."/>
      <w:lvlJc w:val="right"/>
      <w:pPr>
        <w:ind w:left="2160" w:hanging="180"/>
      </w:pPr>
    </w:lvl>
    <w:lvl w:ilvl="3" w:tplc="2D509F06" w:tentative="1">
      <w:start w:val="1"/>
      <w:numFmt w:val="decimal"/>
      <w:lvlText w:val="%4."/>
      <w:lvlJc w:val="left"/>
      <w:pPr>
        <w:ind w:left="2880" w:hanging="360"/>
      </w:pPr>
    </w:lvl>
    <w:lvl w:ilvl="4" w:tplc="30847FE8" w:tentative="1">
      <w:start w:val="1"/>
      <w:numFmt w:val="lowerLetter"/>
      <w:lvlText w:val="%5."/>
      <w:lvlJc w:val="left"/>
      <w:pPr>
        <w:ind w:left="3600" w:hanging="360"/>
      </w:pPr>
    </w:lvl>
    <w:lvl w:ilvl="5" w:tplc="65420C08" w:tentative="1">
      <w:start w:val="1"/>
      <w:numFmt w:val="lowerRoman"/>
      <w:lvlText w:val="%6."/>
      <w:lvlJc w:val="right"/>
      <w:pPr>
        <w:ind w:left="4320" w:hanging="180"/>
      </w:pPr>
    </w:lvl>
    <w:lvl w:ilvl="6" w:tplc="E15E8024" w:tentative="1">
      <w:start w:val="1"/>
      <w:numFmt w:val="decimal"/>
      <w:lvlText w:val="%7."/>
      <w:lvlJc w:val="left"/>
      <w:pPr>
        <w:ind w:left="5040" w:hanging="360"/>
      </w:pPr>
    </w:lvl>
    <w:lvl w:ilvl="7" w:tplc="50E82D80" w:tentative="1">
      <w:start w:val="1"/>
      <w:numFmt w:val="lowerLetter"/>
      <w:lvlText w:val="%8."/>
      <w:lvlJc w:val="left"/>
      <w:pPr>
        <w:ind w:left="5760" w:hanging="360"/>
      </w:pPr>
    </w:lvl>
    <w:lvl w:ilvl="8" w:tplc="02E2D45E" w:tentative="1">
      <w:start w:val="1"/>
      <w:numFmt w:val="lowerRoman"/>
      <w:lvlText w:val="%9."/>
      <w:lvlJc w:val="right"/>
      <w:pPr>
        <w:ind w:left="6480" w:hanging="180"/>
      </w:pPr>
    </w:lvl>
  </w:abstractNum>
  <w:abstractNum w:abstractNumId="11" w15:restartNumberingAfterBreak="0">
    <w:nsid w:val="7AB71B04"/>
    <w:multiLevelType w:val="multilevel"/>
    <w:tmpl w:val="27CC42FE"/>
    <w:name w:val="Liste numérotée 11"/>
    <w:lvl w:ilvl="0">
      <w:numFmt w:val="bullet"/>
      <w:lvlText w:val=""/>
      <w:lvlJc w:val="left"/>
      <w:pPr>
        <w:ind w:left="786" w:firstLine="0"/>
      </w:pPr>
      <w:rPr>
        <w:rFonts w:ascii="Symbol" w:hAnsi="Symbol" w:cs="Symbol"/>
      </w:rPr>
    </w:lvl>
    <w:lvl w:ilvl="1">
      <w:numFmt w:val="bullet"/>
      <w:lvlText w:val="o"/>
      <w:lvlJc w:val="left"/>
      <w:pPr>
        <w:ind w:left="1506" w:firstLine="0"/>
      </w:pPr>
      <w:rPr>
        <w:rFonts w:ascii="Courier New" w:hAnsi="Courier New" w:cs="Courier New"/>
      </w:rPr>
    </w:lvl>
    <w:lvl w:ilvl="2">
      <w:numFmt w:val="bullet"/>
      <w:lvlText w:val=""/>
      <w:lvlJc w:val="left"/>
      <w:pPr>
        <w:ind w:left="2226" w:firstLine="0"/>
      </w:pPr>
      <w:rPr>
        <w:rFonts w:ascii="Wingdings" w:eastAsia="Wingdings" w:hAnsi="Wingdings" w:cs="Wingdings"/>
      </w:rPr>
    </w:lvl>
    <w:lvl w:ilvl="3">
      <w:numFmt w:val="bullet"/>
      <w:lvlText w:val=""/>
      <w:lvlJc w:val="left"/>
      <w:pPr>
        <w:ind w:left="2946" w:firstLine="0"/>
      </w:pPr>
      <w:rPr>
        <w:rFonts w:ascii="Symbol" w:hAnsi="Symbol" w:cs="Symbol"/>
      </w:rPr>
    </w:lvl>
    <w:lvl w:ilvl="4">
      <w:numFmt w:val="bullet"/>
      <w:lvlText w:val="o"/>
      <w:lvlJc w:val="left"/>
      <w:pPr>
        <w:ind w:left="3666" w:firstLine="0"/>
      </w:pPr>
      <w:rPr>
        <w:rFonts w:ascii="Courier New" w:hAnsi="Courier New" w:cs="Courier New"/>
      </w:rPr>
    </w:lvl>
    <w:lvl w:ilvl="5">
      <w:numFmt w:val="bullet"/>
      <w:lvlText w:val=""/>
      <w:lvlJc w:val="left"/>
      <w:pPr>
        <w:ind w:left="4386" w:firstLine="0"/>
      </w:pPr>
      <w:rPr>
        <w:rFonts w:ascii="Wingdings" w:eastAsia="Wingdings" w:hAnsi="Wingdings" w:cs="Wingdings"/>
      </w:rPr>
    </w:lvl>
    <w:lvl w:ilvl="6">
      <w:numFmt w:val="bullet"/>
      <w:lvlText w:val=""/>
      <w:lvlJc w:val="left"/>
      <w:pPr>
        <w:ind w:left="5106" w:firstLine="0"/>
      </w:pPr>
      <w:rPr>
        <w:rFonts w:ascii="Symbol" w:hAnsi="Symbol" w:cs="Symbol"/>
      </w:rPr>
    </w:lvl>
    <w:lvl w:ilvl="7">
      <w:numFmt w:val="bullet"/>
      <w:lvlText w:val="o"/>
      <w:lvlJc w:val="left"/>
      <w:pPr>
        <w:ind w:left="5826" w:firstLine="0"/>
      </w:pPr>
      <w:rPr>
        <w:rFonts w:ascii="Courier New" w:hAnsi="Courier New" w:cs="Courier New"/>
      </w:rPr>
    </w:lvl>
    <w:lvl w:ilvl="8">
      <w:numFmt w:val="bullet"/>
      <w:lvlText w:val=""/>
      <w:lvlJc w:val="left"/>
      <w:pPr>
        <w:ind w:left="6546" w:firstLine="0"/>
      </w:pPr>
      <w:rPr>
        <w:rFonts w:ascii="Wingdings" w:eastAsia="Wingdings" w:hAnsi="Wingdings" w:cs="Wingdings"/>
      </w:rPr>
    </w:lvl>
  </w:abstractNum>
  <w:abstractNum w:abstractNumId="12" w15:restartNumberingAfterBreak="0">
    <w:nsid w:val="7C517417"/>
    <w:multiLevelType w:val="multilevel"/>
    <w:tmpl w:val="C7D81DE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F466988"/>
    <w:multiLevelType w:val="multilevel"/>
    <w:tmpl w:val="AC4C8788"/>
    <w:name w:val="Liste numérotée 6"/>
    <w:lvl w:ilvl="0">
      <w:numFmt w:val="bullet"/>
      <w:lvlText w:val=""/>
      <w:lvlJc w:val="left"/>
      <w:pPr>
        <w:ind w:left="360" w:firstLine="0"/>
      </w:pPr>
      <w:rPr>
        <w:rFonts w:ascii="Symbol" w:hAnsi="Symbol" w:cs="Symbol"/>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cs="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cs="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num w:numId="1">
    <w:abstractNumId w:val="1"/>
  </w:num>
  <w:num w:numId="2">
    <w:abstractNumId w:val="3"/>
  </w:num>
  <w:num w:numId="3">
    <w:abstractNumId w:val="2"/>
  </w:num>
  <w:num w:numId="4">
    <w:abstractNumId w:val="8"/>
  </w:num>
  <w:num w:numId="5">
    <w:abstractNumId w:val="5"/>
  </w:num>
  <w:num w:numId="6">
    <w:abstractNumId w:val="13"/>
  </w:num>
  <w:num w:numId="7">
    <w:abstractNumId w:val="11"/>
  </w:num>
  <w:num w:numId="8">
    <w:abstractNumId w:val="4"/>
  </w:num>
  <w:num w:numId="9">
    <w:abstractNumId w:val="9"/>
  </w:num>
  <w:num w:numId="10">
    <w:abstractNumId w:val="6"/>
  </w:num>
  <w:num w:numId="11">
    <w:abstractNumId w:val="12"/>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1C8934-61BA-4D01-B8F3-CE03AAE265FC}"/>
    <w:docVar w:name="dgnword-eventsink" w:val="643702328"/>
  </w:docVars>
  <w:rsids>
    <w:rsidRoot w:val="007831AE"/>
    <w:rsid w:val="00001C3E"/>
    <w:rsid w:val="00002BAD"/>
    <w:rsid w:val="000057CF"/>
    <w:rsid w:val="00012FA3"/>
    <w:rsid w:val="0002103A"/>
    <w:rsid w:val="00022A66"/>
    <w:rsid w:val="00022DA3"/>
    <w:rsid w:val="000301EB"/>
    <w:rsid w:val="00031706"/>
    <w:rsid w:val="0003398B"/>
    <w:rsid w:val="00042E5C"/>
    <w:rsid w:val="00043756"/>
    <w:rsid w:val="000479EF"/>
    <w:rsid w:val="00056B74"/>
    <w:rsid w:val="000701E1"/>
    <w:rsid w:val="00070574"/>
    <w:rsid w:val="000721E9"/>
    <w:rsid w:val="000812BB"/>
    <w:rsid w:val="000817E8"/>
    <w:rsid w:val="00097624"/>
    <w:rsid w:val="00097E37"/>
    <w:rsid w:val="000A2791"/>
    <w:rsid w:val="000B476B"/>
    <w:rsid w:val="000D2E5E"/>
    <w:rsid w:val="000F59F2"/>
    <w:rsid w:val="000F7D71"/>
    <w:rsid w:val="001017BB"/>
    <w:rsid w:val="001037CB"/>
    <w:rsid w:val="0010770F"/>
    <w:rsid w:val="00111402"/>
    <w:rsid w:val="00113239"/>
    <w:rsid w:val="00116414"/>
    <w:rsid w:val="00122064"/>
    <w:rsid w:val="0012481D"/>
    <w:rsid w:val="001354AC"/>
    <w:rsid w:val="00137A77"/>
    <w:rsid w:val="0014209E"/>
    <w:rsid w:val="00143AC4"/>
    <w:rsid w:val="001452EA"/>
    <w:rsid w:val="00147E7B"/>
    <w:rsid w:val="00160ECC"/>
    <w:rsid w:val="00177953"/>
    <w:rsid w:val="001814F9"/>
    <w:rsid w:val="00181E1B"/>
    <w:rsid w:val="00182344"/>
    <w:rsid w:val="00184B30"/>
    <w:rsid w:val="001868B0"/>
    <w:rsid w:val="00187296"/>
    <w:rsid w:val="001908D4"/>
    <w:rsid w:val="00191A13"/>
    <w:rsid w:val="00194BD5"/>
    <w:rsid w:val="00195580"/>
    <w:rsid w:val="001A005C"/>
    <w:rsid w:val="001A1DEB"/>
    <w:rsid w:val="001A23AA"/>
    <w:rsid w:val="001A38EF"/>
    <w:rsid w:val="001A5ABF"/>
    <w:rsid w:val="001A639E"/>
    <w:rsid w:val="001B20A4"/>
    <w:rsid w:val="001B25D0"/>
    <w:rsid w:val="001B270C"/>
    <w:rsid w:val="001B29B0"/>
    <w:rsid w:val="001D7A01"/>
    <w:rsid w:val="001E054E"/>
    <w:rsid w:val="001E11C2"/>
    <w:rsid w:val="001F05CD"/>
    <w:rsid w:val="001F11AD"/>
    <w:rsid w:val="00203C87"/>
    <w:rsid w:val="00210209"/>
    <w:rsid w:val="00210DC9"/>
    <w:rsid w:val="00211F02"/>
    <w:rsid w:val="00214864"/>
    <w:rsid w:val="002149BB"/>
    <w:rsid w:val="0021678E"/>
    <w:rsid w:val="002177A4"/>
    <w:rsid w:val="00220933"/>
    <w:rsid w:val="00221402"/>
    <w:rsid w:val="00221E36"/>
    <w:rsid w:val="00225B79"/>
    <w:rsid w:val="00227537"/>
    <w:rsid w:val="00231177"/>
    <w:rsid w:val="002315D9"/>
    <w:rsid w:val="00233EE1"/>
    <w:rsid w:val="00237E66"/>
    <w:rsid w:val="002523B7"/>
    <w:rsid w:val="00252BCB"/>
    <w:rsid w:val="00255344"/>
    <w:rsid w:val="00255B99"/>
    <w:rsid w:val="00255D9C"/>
    <w:rsid w:val="00276A32"/>
    <w:rsid w:val="00286860"/>
    <w:rsid w:val="002912A2"/>
    <w:rsid w:val="00297462"/>
    <w:rsid w:val="002A2AAD"/>
    <w:rsid w:val="002A444F"/>
    <w:rsid w:val="002C3FEB"/>
    <w:rsid w:val="002D511C"/>
    <w:rsid w:val="002D5756"/>
    <w:rsid w:val="002D5DAE"/>
    <w:rsid w:val="002D6FB9"/>
    <w:rsid w:val="002E5761"/>
    <w:rsid w:val="002F1B6C"/>
    <w:rsid w:val="0030291B"/>
    <w:rsid w:val="00312D90"/>
    <w:rsid w:val="00314C24"/>
    <w:rsid w:val="003162D2"/>
    <w:rsid w:val="003245A2"/>
    <w:rsid w:val="00324C04"/>
    <w:rsid w:val="00331A75"/>
    <w:rsid w:val="00334EA0"/>
    <w:rsid w:val="00337776"/>
    <w:rsid w:val="00341777"/>
    <w:rsid w:val="00343B66"/>
    <w:rsid w:val="0034748E"/>
    <w:rsid w:val="00352FA1"/>
    <w:rsid w:val="00356BF1"/>
    <w:rsid w:val="003609C9"/>
    <w:rsid w:val="00361CA1"/>
    <w:rsid w:val="00376313"/>
    <w:rsid w:val="0037656B"/>
    <w:rsid w:val="003766A5"/>
    <w:rsid w:val="00377AB9"/>
    <w:rsid w:val="00377C83"/>
    <w:rsid w:val="0038092F"/>
    <w:rsid w:val="003835EF"/>
    <w:rsid w:val="003A1FD1"/>
    <w:rsid w:val="003A4F83"/>
    <w:rsid w:val="003A590C"/>
    <w:rsid w:val="003A5E5A"/>
    <w:rsid w:val="003B34D6"/>
    <w:rsid w:val="003C0A77"/>
    <w:rsid w:val="003C7B7C"/>
    <w:rsid w:val="003D442E"/>
    <w:rsid w:val="003D5D2D"/>
    <w:rsid w:val="003D6EF6"/>
    <w:rsid w:val="003D6EFC"/>
    <w:rsid w:val="003E0939"/>
    <w:rsid w:val="003E37B2"/>
    <w:rsid w:val="003E4A61"/>
    <w:rsid w:val="00404624"/>
    <w:rsid w:val="00407AE0"/>
    <w:rsid w:val="00412468"/>
    <w:rsid w:val="00417BD5"/>
    <w:rsid w:val="00427578"/>
    <w:rsid w:val="0043341C"/>
    <w:rsid w:val="0043546F"/>
    <w:rsid w:val="0043631A"/>
    <w:rsid w:val="0045380F"/>
    <w:rsid w:val="00460505"/>
    <w:rsid w:val="00466418"/>
    <w:rsid w:val="00481225"/>
    <w:rsid w:val="00490698"/>
    <w:rsid w:val="00493E3C"/>
    <w:rsid w:val="004A0B80"/>
    <w:rsid w:val="004A0CA4"/>
    <w:rsid w:val="004A68CF"/>
    <w:rsid w:val="004B5996"/>
    <w:rsid w:val="004B7F88"/>
    <w:rsid w:val="004C0FF7"/>
    <w:rsid w:val="004C134D"/>
    <w:rsid w:val="004C1FE1"/>
    <w:rsid w:val="004C2A1B"/>
    <w:rsid w:val="004C3910"/>
    <w:rsid w:val="004D0B18"/>
    <w:rsid w:val="004D2C98"/>
    <w:rsid w:val="004D490D"/>
    <w:rsid w:val="004E0CA8"/>
    <w:rsid w:val="004E1E59"/>
    <w:rsid w:val="004E3967"/>
    <w:rsid w:val="00513040"/>
    <w:rsid w:val="005133FC"/>
    <w:rsid w:val="00515799"/>
    <w:rsid w:val="00520955"/>
    <w:rsid w:val="00521FD7"/>
    <w:rsid w:val="0052309E"/>
    <w:rsid w:val="00530E6A"/>
    <w:rsid w:val="00533B1B"/>
    <w:rsid w:val="0053792B"/>
    <w:rsid w:val="00541A89"/>
    <w:rsid w:val="00544766"/>
    <w:rsid w:val="0056197A"/>
    <w:rsid w:val="005626D8"/>
    <w:rsid w:val="0057102F"/>
    <w:rsid w:val="005743CD"/>
    <w:rsid w:val="00585D05"/>
    <w:rsid w:val="00593644"/>
    <w:rsid w:val="005A060F"/>
    <w:rsid w:val="005A3956"/>
    <w:rsid w:val="005B01AF"/>
    <w:rsid w:val="005B213A"/>
    <w:rsid w:val="005B6862"/>
    <w:rsid w:val="005C0DD9"/>
    <w:rsid w:val="005C3843"/>
    <w:rsid w:val="005C50A5"/>
    <w:rsid w:val="005C5EE2"/>
    <w:rsid w:val="005D3829"/>
    <w:rsid w:val="005E0914"/>
    <w:rsid w:val="005F105F"/>
    <w:rsid w:val="005F1B5F"/>
    <w:rsid w:val="005F79E2"/>
    <w:rsid w:val="0060507B"/>
    <w:rsid w:val="00626952"/>
    <w:rsid w:val="0063547C"/>
    <w:rsid w:val="00643355"/>
    <w:rsid w:val="006455B6"/>
    <w:rsid w:val="0065334F"/>
    <w:rsid w:val="006579BC"/>
    <w:rsid w:val="00673AA4"/>
    <w:rsid w:val="00676513"/>
    <w:rsid w:val="00684078"/>
    <w:rsid w:val="00690E2E"/>
    <w:rsid w:val="00691590"/>
    <w:rsid w:val="00695379"/>
    <w:rsid w:val="006960F0"/>
    <w:rsid w:val="006A24CC"/>
    <w:rsid w:val="006A7844"/>
    <w:rsid w:val="006B45D7"/>
    <w:rsid w:val="006C0E45"/>
    <w:rsid w:val="006C26DC"/>
    <w:rsid w:val="006C4BE9"/>
    <w:rsid w:val="006C7FF5"/>
    <w:rsid w:val="006D1446"/>
    <w:rsid w:val="006D3571"/>
    <w:rsid w:val="006D4D61"/>
    <w:rsid w:val="006F2357"/>
    <w:rsid w:val="006F61F5"/>
    <w:rsid w:val="006F7AC1"/>
    <w:rsid w:val="007039E4"/>
    <w:rsid w:val="00707ADD"/>
    <w:rsid w:val="0071611C"/>
    <w:rsid w:val="007238E4"/>
    <w:rsid w:val="007240E4"/>
    <w:rsid w:val="00724EF9"/>
    <w:rsid w:val="00734FDD"/>
    <w:rsid w:val="007368C1"/>
    <w:rsid w:val="0074007A"/>
    <w:rsid w:val="00744404"/>
    <w:rsid w:val="0076319D"/>
    <w:rsid w:val="00763E6C"/>
    <w:rsid w:val="00770A55"/>
    <w:rsid w:val="00772A4B"/>
    <w:rsid w:val="007755D4"/>
    <w:rsid w:val="00777530"/>
    <w:rsid w:val="00781578"/>
    <w:rsid w:val="00781DB1"/>
    <w:rsid w:val="00782449"/>
    <w:rsid w:val="007831AE"/>
    <w:rsid w:val="007834D1"/>
    <w:rsid w:val="007851E3"/>
    <w:rsid w:val="007A01D0"/>
    <w:rsid w:val="007A2F4A"/>
    <w:rsid w:val="007D13FB"/>
    <w:rsid w:val="007D7106"/>
    <w:rsid w:val="007E26E7"/>
    <w:rsid w:val="007E67F4"/>
    <w:rsid w:val="007E6B3A"/>
    <w:rsid w:val="007F05EC"/>
    <w:rsid w:val="007F352B"/>
    <w:rsid w:val="007F4BF2"/>
    <w:rsid w:val="00800B87"/>
    <w:rsid w:val="00802CAD"/>
    <w:rsid w:val="0080366E"/>
    <w:rsid w:val="0080527F"/>
    <w:rsid w:val="008068DB"/>
    <w:rsid w:val="00807D3A"/>
    <w:rsid w:val="00815B18"/>
    <w:rsid w:val="008213EE"/>
    <w:rsid w:val="00832669"/>
    <w:rsid w:val="00834122"/>
    <w:rsid w:val="00834259"/>
    <w:rsid w:val="00834785"/>
    <w:rsid w:val="00850AC6"/>
    <w:rsid w:val="0085131A"/>
    <w:rsid w:val="00853257"/>
    <w:rsid w:val="0085532D"/>
    <w:rsid w:val="008575B7"/>
    <w:rsid w:val="00862AE2"/>
    <w:rsid w:val="008651A4"/>
    <w:rsid w:val="0086634D"/>
    <w:rsid w:val="00866664"/>
    <w:rsid w:val="00874DF5"/>
    <w:rsid w:val="00877B52"/>
    <w:rsid w:val="00886203"/>
    <w:rsid w:val="00887C64"/>
    <w:rsid w:val="00890375"/>
    <w:rsid w:val="00890982"/>
    <w:rsid w:val="008A203C"/>
    <w:rsid w:val="008A4E07"/>
    <w:rsid w:val="008B7E4F"/>
    <w:rsid w:val="008C1E80"/>
    <w:rsid w:val="008C3D07"/>
    <w:rsid w:val="008D4B41"/>
    <w:rsid w:val="008D7432"/>
    <w:rsid w:val="008D7D8D"/>
    <w:rsid w:val="008E4D68"/>
    <w:rsid w:val="008E5F9A"/>
    <w:rsid w:val="008E66A9"/>
    <w:rsid w:val="008F0AA9"/>
    <w:rsid w:val="008F0F80"/>
    <w:rsid w:val="008F6B2B"/>
    <w:rsid w:val="00900FBA"/>
    <w:rsid w:val="009154CE"/>
    <w:rsid w:val="00915C46"/>
    <w:rsid w:val="0091673A"/>
    <w:rsid w:val="00916FA3"/>
    <w:rsid w:val="009175A1"/>
    <w:rsid w:val="0093243E"/>
    <w:rsid w:val="0093435D"/>
    <w:rsid w:val="00934CB5"/>
    <w:rsid w:val="009350A6"/>
    <w:rsid w:val="009352C7"/>
    <w:rsid w:val="0094048C"/>
    <w:rsid w:val="00940C23"/>
    <w:rsid w:val="009546A6"/>
    <w:rsid w:val="009712AF"/>
    <w:rsid w:val="00971DA6"/>
    <w:rsid w:val="0098024B"/>
    <w:rsid w:val="00983544"/>
    <w:rsid w:val="00983E50"/>
    <w:rsid w:val="00991120"/>
    <w:rsid w:val="009917D8"/>
    <w:rsid w:val="009A015A"/>
    <w:rsid w:val="009A4F0F"/>
    <w:rsid w:val="009A7730"/>
    <w:rsid w:val="009B4B58"/>
    <w:rsid w:val="009D4A94"/>
    <w:rsid w:val="009D5FCE"/>
    <w:rsid w:val="009D70BD"/>
    <w:rsid w:val="009E19B3"/>
    <w:rsid w:val="009E4F05"/>
    <w:rsid w:val="00A025A4"/>
    <w:rsid w:val="00A02738"/>
    <w:rsid w:val="00A03495"/>
    <w:rsid w:val="00A05C9D"/>
    <w:rsid w:val="00A06AC7"/>
    <w:rsid w:val="00A07BA1"/>
    <w:rsid w:val="00A113B6"/>
    <w:rsid w:val="00A1437F"/>
    <w:rsid w:val="00A14988"/>
    <w:rsid w:val="00A20D8E"/>
    <w:rsid w:val="00A2708E"/>
    <w:rsid w:val="00A30A8E"/>
    <w:rsid w:val="00A53543"/>
    <w:rsid w:val="00A5629D"/>
    <w:rsid w:val="00A5740A"/>
    <w:rsid w:val="00A609DA"/>
    <w:rsid w:val="00A63508"/>
    <w:rsid w:val="00A64178"/>
    <w:rsid w:val="00A64B47"/>
    <w:rsid w:val="00A65807"/>
    <w:rsid w:val="00A7430E"/>
    <w:rsid w:val="00A86A67"/>
    <w:rsid w:val="00AA116C"/>
    <w:rsid w:val="00AA6042"/>
    <w:rsid w:val="00AB3699"/>
    <w:rsid w:val="00AC1521"/>
    <w:rsid w:val="00AC241E"/>
    <w:rsid w:val="00AD59D3"/>
    <w:rsid w:val="00AE01DE"/>
    <w:rsid w:val="00AE15C3"/>
    <w:rsid w:val="00AE6FCA"/>
    <w:rsid w:val="00B054CC"/>
    <w:rsid w:val="00B0557A"/>
    <w:rsid w:val="00B07C0E"/>
    <w:rsid w:val="00B11288"/>
    <w:rsid w:val="00B142AE"/>
    <w:rsid w:val="00B20F32"/>
    <w:rsid w:val="00B21690"/>
    <w:rsid w:val="00B44C69"/>
    <w:rsid w:val="00B57C3C"/>
    <w:rsid w:val="00B72EC4"/>
    <w:rsid w:val="00B73980"/>
    <w:rsid w:val="00B75B0A"/>
    <w:rsid w:val="00BA39B9"/>
    <w:rsid w:val="00BA580D"/>
    <w:rsid w:val="00BA7640"/>
    <w:rsid w:val="00BB00A0"/>
    <w:rsid w:val="00BB1351"/>
    <w:rsid w:val="00BB1451"/>
    <w:rsid w:val="00BB256C"/>
    <w:rsid w:val="00BB3AFA"/>
    <w:rsid w:val="00BC066D"/>
    <w:rsid w:val="00BC0A8B"/>
    <w:rsid w:val="00BC54E2"/>
    <w:rsid w:val="00BE09CD"/>
    <w:rsid w:val="00BE4639"/>
    <w:rsid w:val="00BE506C"/>
    <w:rsid w:val="00BF09DD"/>
    <w:rsid w:val="00C056EB"/>
    <w:rsid w:val="00C06B37"/>
    <w:rsid w:val="00C0721D"/>
    <w:rsid w:val="00C10055"/>
    <w:rsid w:val="00C1060F"/>
    <w:rsid w:val="00C15617"/>
    <w:rsid w:val="00C270CF"/>
    <w:rsid w:val="00C302C7"/>
    <w:rsid w:val="00C303A4"/>
    <w:rsid w:val="00C32502"/>
    <w:rsid w:val="00C32EFB"/>
    <w:rsid w:val="00C363CC"/>
    <w:rsid w:val="00C402CC"/>
    <w:rsid w:val="00C419A4"/>
    <w:rsid w:val="00C46A65"/>
    <w:rsid w:val="00C46B41"/>
    <w:rsid w:val="00C5197C"/>
    <w:rsid w:val="00C533A3"/>
    <w:rsid w:val="00C60B0E"/>
    <w:rsid w:val="00C62F7D"/>
    <w:rsid w:val="00C642C1"/>
    <w:rsid w:val="00C706AC"/>
    <w:rsid w:val="00C81435"/>
    <w:rsid w:val="00C84EDD"/>
    <w:rsid w:val="00C85A07"/>
    <w:rsid w:val="00C87F1F"/>
    <w:rsid w:val="00C958E6"/>
    <w:rsid w:val="00CA1B86"/>
    <w:rsid w:val="00CA23C4"/>
    <w:rsid w:val="00CA7544"/>
    <w:rsid w:val="00CB0386"/>
    <w:rsid w:val="00CB5974"/>
    <w:rsid w:val="00CB64DE"/>
    <w:rsid w:val="00CB79B6"/>
    <w:rsid w:val="00CD344E"/>
    <w:rsid w:val="00CD5FF6"/>
    <w:rsid w:val="00CE6FEC"/>
    <w:rsid w:val="00CE7CA6"/>
    <w:rsid w:val="00CF458D"/>
    <w:rsid w:val="00CF4B94"/>
    <w:rsid w:val="00CF5796"/>
    <w:rsid w:val="00D13C76"/>
    <w:rsid w:val="00D30B85"/>
    <w:rsid w:val="00D32659"/>
    <w:rsid w:val="00D35326"/>
    <w:rsid w:val="00D41DB8"/>
    <w:rsid w:val="00D45383"/>
    <w:rsid w:val="00D52565"/>
    <w:rsid w:val="00D52DFC"/>
    <w:rsid w:val="00D5351F"/>
    <w:rsid w:val="00D553F8"/>
    <w:rsid w:val="00D60055"/>
    <w:rsid w:val="00D72A47"/>
    <w:rsid w:val="00D72EC3"/>
    <w:rsid w:val="00D81BC9"/>
    <w:rsid w:val="00D8594C"/>
    <w:rsid w:val="00D878E2"/>
    <w:rsid w:val="00D95418"/>
    <w:rsid w:val="00D95CE4"/>
    <w:rsid w:val="00DA1539"/>
    <w:rsid w:val="00DB4639"/>
    <w:rsid w:val="00DB5C6B"/>
    <w:rsid w:val="00DC13D2"/>
    <w:rsid w:val="00DC20C6"/>
    <w:rsid w:val="00DC2902"/>
    <w:rsid w:val="00DC3238"/>
    <w:rsid w:val="00DD081F"/>
    <w:rsid w:val="00DD0DA6"/>
    <w:rsid w:val="00DD428F"/>
    <w:rsid w:val="00DD63FF"/>
    <w:rsid w:val="00DE0091"/>
    <w:rsid w:val="00DE7775"/>
    <w:rsid w:val="00DE78A2"/>
    <w:rsid w:val="00DF156A"/>
    <w:rsid w:val="00DF7261"/>
    <w:rsid w:val="00E00D40"/>
    <w:rsid w:val="00E01F83"/>
    <w:rsid w:val="00E03647"/>
    <w:rsid w:val="00E0466F"/>
    <w:rsid w:val="00E07298"/>
    <w:rsid w:val="00E108B8"/>
    <w:rsid w:val="00E2084E"/>
    <w:rsid w:val="00E26D84"/>
    <w:rsid w:val="00E30587"/>
    <w:rsid w:val="00E30F75"/>
    <w:rsid w:val="00E32B62"/>
    <w:rsid w:val="00E32C52"/>
    <w:rsid w:val="00E337FF"/>
    <w:rsid w:val="00E3399D"/>
    <w:rsid w:val="00E35B59"/>
    <w:rsid w:val="00E41A78"/>
    <w:rsid w:val="00E540FD"/>
    <w:rsid w:val="00E57C86"/>
    <w:rsid w:val="00E60920"/>
    <w:rsid w:val="00E826FE"/>
    <w:rsid w:val="00E85723"/>
    <w:rsid w:val="00E94CF5"/>
    <w:rsid w:val="00E95EDC"/>
    <w:rsid w:val="00EA05B8"/>
    <w:rsid w:val="00EB63C1"/>
    <w:rsid w:val="00EC5C49"/>
    <w:rsid w:val="00EC6561"/>
    <w:rsid w:val="00EC6D1D"/>
    <w:rsid w:val="00EC76E0"/>
    <w:rsid w:val="00ED0ACA"/>
    <w:rsid w:val="00ED0D0A"/>
    <w:rsid w:val="00EE63D6"/>
    <w:rsid w:val="00EE672D"/>
    <w:rsid w:val="00EF4BC6"/>
    <w:rsid w:val="00EF4D19"/>
    <w:rsid w:val="00EF6002"/>
    <w:rsid w:val="00F06720"/>
    <w:rsid w:val="00F114AB"/>
    <w:rsid w:val="00F16FB1"/>
    <w:rsid w:val="00F206DD"/>
    <w:rsid w:val="00F31EC6"/>
    <w:rsid w:val="00F400CA"/>
    <w:rsid w:val="00F44763"/>
    <w:rsid w:val="00F50B7F"/>
    <w:rsid w:val="00F62833"/>
    <w:rsid w:val="00F63FF5"/>
    <w:rsid w:val="00F64395"/>
    <w:rsid w:val="00F67955"/>
    <w:rsid w:val="00F7225F"/>
    <w:rsid w:val="00F74C33"/>
    <w:rsid w:val="00F75C29"/>
    <w:rsid w:val="00F96478"/>
    <w:rsid w:val="00F9777E"/>
    <w:rsid w:val="00FA2ADC"/>
    <w:rsid w:val="00FA4875"/>
    <w:rsid w:val="00FA739A"/>
    <w:rsid w:val="00FB1A9D"/>
    <w:rsid w:val="00FB46B5"/>
    <w:rsid w:val="00FC3573"/>
    <w:rsid w:val="00FC3767"/>
    <w:rsid w:val="00FD12BF"/>
    <w:rsid w:val="00FE46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0919D0D"/>
  <w15:chartTrackingRefBased/>
  <w15:docId w15:val="{AC5B6A09-63A6-4C88-9665-192446A0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l-PL"/>
    </w:rPr>
  </w:style>
  <w:style w:type="paragraph" w:styleId="Heading2">
    <w:name w:val="heading 2"/>
    <w:basedOn w:val="Normal"/>
    <w:next w:val="Normal"/>
    <w:link w:val="Heading2Char"/>
    <w:uiPriority w:val="9"/>
    <w:semiHidden/>
    <w:unhideWhenUsed/>
    <w:qFormat/>
    <w:rsid w:val="00F96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AE"/>
    <w:rPr>
      <w:color w:val="0563C1" w:themeColor="hyperlink"/>
      <w:u w:val="single"/>
    </w:rPr>
  </w:style>
  <w:style w:type="character" w:customStyle="1" w:styleId="UnresolvedMention1">
    <w:name w:val="Unresolved Mention1"/>
    <w:basedOn w:val="DefaultParagraphFont"/>
    <w:uiPriority w:val="99"/>
    <w:semiHidden/>
    <w:unhideWhenUsed/>
    <w:rsid w:val="007831AE"/>
    <w:rPr>
      <w:color w:val="605E5C"/>
      <w:shd w:val="clear" w:color="auto" w:fill="E1DFDD"/>
    </w:rPr>
  </w:style>
  <w:style w:type="character" w:customStyle="1" w:styleId="Heading2Char">
    <w:name w:val="Heading 2 Char"/>
    <w:basedOn w:val="DefaultParagraphFont"/>
    <w:link w:val="Heading2"/>
    <w:uiPriority w:val="9"/>
    <w:semiHidden/>
    <w:rsid w:val="00F96478"/>
    <w:rPr>
      <w:rFonts w:asciiTheme="majorHAnsi" w:eastAsiaTheme="majorEastAsia" w:hAnsiTheme="majorHAnsi" w:cstheme="majorBidi"/>
      <w:color w:val="2F5496" w:themeColor="accent1" w:themeShade="BF"/>
      <w:sz w:val="26"/>
      <w:szCs w:val="26"/>
      <w:lang w:val="pl-PL"/>
    </w:rPr>
  </w:style>
  <w:style w:type="character" w:styleId="FollowedHyperlink">
    <w:name w:val="FollowedHyperlink"/>
    <w:basedOn w:val="DefaultParagraphFont"/>
    <w:uiPriority w:val="99"/>
    <w:semiHidden/>
    <w:unhideWhenUsed/>
    <w:rsid w:val="00853257"/>
    <w:rPr>
      <w:color w:val="954F72" w:themeColor="followedHyperlink"/>
      <w:u w:val="single"/>
    </w:rPr>
  </w:style>
  <w:style w:type="paragraph" w:styleId="PlainText">
    <w:name w:val="Plain Text"/>
    <w:basedOn w:val="Normal"/>
    <w:link w:val="PlainTextChar"/>
    <w:uiPriority w:val="99"/>
    <w:semiHidden/>
    <w:unhideWhenUsed/>
    <w:rsid w:val="008D74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7432"/>
    <w:rPr>
      <w:rFonts w:ascii="Consolas" w:hAnsi="Consolas"/>
      <w:sz w:val="21"/>
      <w:szCs w:val="21"/>
      <w:lang w:val="pl-PL"/>
    </w:rPr>
  </w:style>
  <w:style w:type="paragraph" w:styleId="BalloonText">
    <w:name w:val="Balloon Text"/>
    <w:basedOn w:val="Normal"/>
    <w:link w:val="BalloonTextChar"/>
    <w:uiPriority w:val="99"/>
    <w:semiHidden/>
    <w:unhideWhenUsed/>
    <w:rsid w:val="007E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E7"/>
    <w:rPr>
      <w:rFonts w:ascii="Segoe UI" w:hAnsi="Segoe UI" w:cs="Segoe UI"/>
      <w:sz w:val="18"/>
      <w:szCs w:val="18"/>
      <w:lang w:val="pl-PL"/>
    </w:rPr>
  </w:style>
  <w:style w:type="paragraph" w:styleId="ListParagraph">
    <w:name w:val="List Paragraph"/>
    <w:basedOn w:val="Normal"/>
    <w:uiPriority w:val="34"/>
    <w:qFormat/>
    <w:rsid w:val="00B75B0A"/>
    <w:pPr>
      <w:ind w:left="720"/>
      <w:contextualSpacing/>
    </w:pPr>
  </w:style>
  <w:style w:type="paragraph" w:styleId="EndnoteText">
    <w:name w:val="endnote text"/>
    <w:basedOn w:val="Normal"/>
    <w:link w:val="EndnoteTextChar"/>
    <w:uiPriority w:val="99"/>
    <w:semiHidden/>
    <w:unhideWhenUsed/>
    <w:rsid w:val="00C95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8E6"/>
    <w:rPr>
      <w:sz w:val="20"/>
      <w:szCs w:val="20"/>
      <w:lang w:val="pl-PL"/>
    </w:rPr>
  </w:style>
  <w:style w:type="character" w:styleId="EndnoteReference">
    <w:name w:val="endnote reference"/>
    <w:basedOn w:val="DefaultParagraphFont"/>
    <w:uiPriority w:val="99"/>
    <w:semiHidden/>
    <w:unhideWhenUsed/>
    <w:rsid w:val="00C958E6"/>
    <w:rPr>
      <w:vertAlign w:val="superscript"/>
    </w:rPr>
  </w:style>
  <w:style w:type="paragraph" w:styleId="FootnoteText">
    <w:name w:val="footnote text"/>
    <w:basedOn w:val="Normal"/>
    <w:link w:val="FootnoteTextChar"/>
    <w:uiPriority w:val="99"/>
    <w:semiHidden/>
    <w:unhideWhenUsed/>
    <w:rsid w:val="00376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313"/>
    <w:rPr>
      <w:sz w:val="20"/>
      <w:szCs w:val="20"/>
      <w:lang w:val="pl-PL"/>
    </w:rPr>
  </w:style>
  <w:style w:type="character" w:styleId="FootnoteReference">
    <w:name w:val="footnote reference"/>
    <w:basedOn w:val="DefaultParagraphFont"/>
    <w:uiPriority w:val="99"/>
    <w:semiHidden/>
    <w:unhideWhenUsed/>
    <w:rsid w:val="00376313"/>
    <w:rPr>
      <w:vertAlign w:val="superscript"/>
    </w:rPr>
  </w:style>
  <w:style w:type="paragraph" w:styleId="Header">
    <w:name w:val="header"/>
    <w:basedOn w:val="Normal"/>
    <w:link w:val="HeaderChar"/>
    <w:uiPriority w:val="99"/>
    <w:unhideWhenUsed/>
    <w:rsid w:val="002D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DAE"/>
    <w:rPr>
      <w:lang w:val="pl-PL"/>
    </w:rPr>
  </w:style>
  <w:style w:type="paragraph" w:styleId="Footer">
    <w:name w:val="footer"/>
    <w:basedOn w:val="Normal"/>
    <w:link w:val="FooterChar"/>
    <w:uiPriority w:val="99"/>
    <w:unhideWhenUsed/>
    <w:rsid w:val="002D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DAE"/>
    <w:rPr>
      <w:lang w:val="pl-PL"/>
    </w:rPr>
  </w:style>
  <w:style w:type="character" w:styleId="CommentReference">
    <w:name w:val="annotation reference"/>
    <w:basedOn w:val="DefaultParagraphFont"/>
    <w:uiPriority w:val="99"/>
    <w:semiHidden/>
    <w:unhideWhenUsed/>
    <w:rsid w:val="00782449"/>
    <w:rPr>
      <w:sz w:val="16"/>
      <w:szCs w:val="16"/>
    </w:rPr>
  </w:style>
  <w:style w:type="paragraph" w:styleId="CommentText">
    <w:name w:val="annotation text"/>
    <w:basedOn w:val="Normal"/>
    <w:link w:val="CommentTextChar"/>
    <w:uiPriority w:val="99"/>
    <w:semiHidden/>
    <w:unhideWhenUsed/>
    <w:rsid w:val="00782449"/>
    <w:pPr>
      <w:spacing w:line="240" w:lineRule="auto"/>
    </w:pPr>
    <w:rPr>
      <w:sz w:val="20"/>
      <w:szCs w:val="20"/>
      <w:lang w:val="fr-FR"/>
    </w:rPr>
  </w:style>
  <w:style w:type="character" w:customStyle="1" w:styleId="CommentTextChar">
    <w:name w:val="Comment Text Char"/>
    <w:basedOn w:val="DefaultParagraphFont"/>
    <w:link w:val="CommentText"/>
    <w:uiPriority w:val="99"/>
    <w:semiHidden/>
    <w:rsid w:val="00782449"/>
    <w:rPr>
      <w:sz w:val="20"/>
      <w:szCs w:val="20"/>
    </w:rPr>
  </w:style>
  <w:style w:type="paragraph" w:styleId="CommentSubject">
    <w:name w:val="annotation subject"/>
    <w:basedOn w:val="CommentText"/>
    <w:next w:val="CommentText"/>
    <w:link w:val="CommentSubjectChar"/>
    <w:uiPriority w:val="99"/>
    <w:semiHidden/>
    <w:unhideWhenUsed/>
    <w:rsid w:val="00782449"/>
    <w:rPr>
      <w:b/>
      <w:bCs/>
    </w:rPr>
  </w:style>
  <w:style w:type="character" w:customStyle="1" w:styleId="CommentSubjectChar">
    <w:name w:val="Comment Subject Char"/>
    <w:basedOn w:val="CommentTextChar"/>
    <w:link w:val="CommentSubject"/>
    <w:uiPriority w:val="99"/>
    <w:semiHidden/>
    <w:rsid w:val="00782449"/>
    <w:rPr>
      <w:b/>
      <w:bCs/>
      <w:sz w:val="20"/>
      <w:szCs w:val="20"/>
      <w:lang w:val="pl-PL"/>
    </w:rPr>
  </w:style>
  <w:style w:type="paragraph" w:customStyle="1" w:styleId="cmmainsubtitle">
    <w:name w:val="cm_main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msubtitle">
    <w:name w:val="cm_subtitle"/>
    <w:basedOn w:val="Normal"/>
    <w:rsid w:val="002149B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2523B7"/>
    <w:rPr>
      <w:b/>
      <w:bCs/>
    </w:rPr>
  </w:style>
  <w:style w:type="paragraph" w:styleId="Revision">
    <w:name w:val="Revision"/>
    <w:hidden/>
    <w:uiPriority w:val="99"/>
    <w:semiHidden/>
    <w:rsid w:val="000057CF"/>
    <w:pPr>
      <w:spacing w:after="0" w:line="240" w:lineRule="auto"/>
    </w:pPr>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347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532D-438A-4694-8519-EDB9B117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ZYMAN Krzysztof</dc:creator>
  <dc:description>VCNetR</dc:description>
  <cp:lastModifiedBy>BRAULIO Tania</cp:lastModifiedBy>
  <cp:revision>2</cp:revision>
  <cp:lastPrinted>2021-03-18T08:59:00Z</cp:lastPrinted>
  <dcterms:created xsi:type="dcterms:W3CDTF">2021-05-18T08:12:00Z</dcterms:created>
  <dcterms:modified xsi:type="dcterms:W3CDTF">2021-05-18T08:12:00Z</dcterms:modified>
</cp:coreProperties>
</file>