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CEE0A1A" w:rsidR="00D82C18" w:rsidRPr="00F433AF" w:rsidRDefault="00F433AF" w:rsidP="000F7896">
      <w:pPr>
        <w:rPr>
          <w:rFonts w:ascii="Verdana" w:hAnsi="Verdana"/>
          <w:lang w:val="sr-Latn-RS"/>
        </w:rPr>
      </w:pPr>
      <w:r w:rsidRPr="00F433AF">
        <w:rPr>
          <w:rFonts w:ascii="Verdana" w:hAnsi="Verdana"/>
          <w:sz w:val="28"/>
          <w:szCs w:val="28"/>
          <w:lang w:val="sr-Latn-RS"/>
        </w:rPr>
        <w:t>Lekcija</w:t>
      </w:r>
      <w:r w:rsidR="00B3608C" w:rsidRPr="00F433AF">
        <w:rPr>
          <w:rFonts w:ascii="Verdana" w:hAnsi="Verdana"/>
          <w:sz w:val="28"/>
          <w:szCs w:val="28"/>
          <w:lang w:val="sr-Latn-RS"/>
        </w:rPr>
        <w:t xml:space="preserve"> </w:t>
      </w:r>
      <w:r w:rsidR="009E1390" w:rsidRPr="00F433AF">
        <w:rPr>
          <w:rFonts w:ascii="Verdana" w:hAnsi="Verdana"/>
          <w:sz w:val="28"/>
          <w:szCs w:val="28"/>
          <w:lang w:val="sr-Latn-RS"/>
        </w:rPr>
        <w:t>2</w:t>
      </w:r>
      <w:r w:rsidR="00C70C5C" w:rsidRPr="00F433AF">
        <w:rPr>
          <w:rFonts w:ascii="Verdana" w:hAnsi="Verdana"/>
          <w:sz w:val="28"/>
          <w:szCs w:val="28"/>
          <w:lang w:val="sr-Latn-RS"/>
        </w:rPr>
        <w:t>.</w:t>
      </w:r>
      <w:r w:rsidR="00C83397" w:rsidRPr="00F433AF">
        <w:rPr>
          <w:rFonts w:ascii="Verdana" w:hAnsi="Verdana"/>
          <w:sz w:val="28"/>
          <w:szCs w:val="28"/>
          <w:lang w:val="sr-Latn-RS"/>
        </w:rPr>
        <w:t>3</w:t>
      </w:r>
      <w:r w:rsidR="00A439ED" w:rsidRPr="00F433AF">
        <w:rPr>
          <w:rFonts w:ascii="Verdana" w:hAnsi="Verdana"/>
          <w:sz w:val="28"/>
          <w:szCs w:val="28"/>
          <w:lang w:val="sr-Latn-RS"/>
        </w:rPr>
        <w:t xml:space="preserve"> </w:t>
      </w:r>
      <w:r w:rsidR="00402C27" w:rsidRPr="00F433AF">
        <w:rPr>
          <w:rFonts w:ascii="Verdana" w:hAnsi="Verdana"/>
          <w:sz w:val="28"/>
          <w:szCs w:val="28"/>
          <w:lang w:val="sr-Latn-RS"/>
        </w:rPr>
        <w:t>(</w:t>
      </w:r>
      <w:r w:rsidRPr="00F433AF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Materijalne odredbe Budimpeštanske konvencije – Deo </w:t>
      </w:r>
      <w:r w:rsidR="00004EF1" w:rsidRPr="00F433AF">
        <w:rPr>
          <w:rFonts w:ascii="Verdana" w:hAnsi="Verdana"/>
          <w:color w:val="000000" w:themeColor="text1"/>
          <w:sz w:val="28"/>
          <w:szCs w:val="28"/>
          <w:lang w:val="sr-Latn-RS"/>
        </w:rPr>
        <w:t>2</w:t>
      </w:r>
      <w:r w:rsidR="00A660C8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– onlajn verzija</w:t>
      </w:r>
      <w:r w:rsidR="00402C27" w:rsidRPr="00F433AF">
        <w:rPr>
          <w:rFonts w:ascii="Verdana" w:hAnsi="Verdana"/>
          <w:color w:val="000000" w:themeColor="text1"/>
          <w:sz w:val="28"/>
          <w:szCs w:val="28"/>
          <w:lang w:val="sr-Latn-RS"/>
        </w:rPr>
        <w:t>)</w:t>
      </w:r>
    </w:p>
    <w:p w14:paraId="1D0E3DC5" w14:textId="77777777" w:rsidR="00C115FC" w:rsidRPr="00F433AF" w:rsidRDefault="00C115FC" w:rsidP="00C115FC">
      <w:pPr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2E3EA4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34FDF856" w:rsidR="00D82C18" w:rsidRPr="002E3EA4" w:rsidRDefault="00F433AF" w:rsidP="002E3EA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C115FC" w:rsidRPr="002E3EA4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9E1390" w:rsidRPr="002E3EA4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C70C5C" w:rsidRPr="002E3EA4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C83397" w:rsidRPr="002E3EA4">
              <w:rPr>
                <w:rFonts w:ascii="Verdana" w:hAnsi="Verdana"/>
                <w:sz w:val="22"/>
                <w:szCs w:val="22"/>
                <w:lang w:val="sr-Latn-RS"/>
              </w:rPr>
              <w:t>3</w:t>
            </w:r>
            <w:r w:rsidR="00A439ED" w:rsidRPr="002E3EA4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2E3EA4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Materijalne odredbe Budimpeštanske konvencije </w:t>
            </w:r>
            <w:r w:rsidR="00B636B2" w:rsidRPr="002E3EA4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–</w:t>
            </w:r>
            <w:r w:rsidRPr="002E3EA4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Deo </w:t>
            </w:r>
            <w:r w:rsidR="00004EF1" w:rsidRPr="002E3EA4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72D06175" w:rsidR="00D82C18" w:rsidRPr="002E3EA4" w:rsidRDefault="00F433AF" w:rsidP="002E3EA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2E3EA4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6B3820" w:rsidRPr="002E3EA4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90 </w:t>
            </w:r>
            <w:r w:rsidRPr="002E3EA4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</w:p>
        </w:tc>
      </w:tr>
      <w:tr w:rsidR="00E7344B" w:rsidRPr="002E3EA4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0BA96FC5" w:rsidR="00E7344B" w:rsidRPr="002E3EA4" w:rsidRDefault="00F433AF" w:rsidP="002E3EA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060400D8" w14:textId="78FCBEBB" w:rsidR="000F7896" w:rsidRPr="002E3EA4" w:rsidRDefault="00F433AF" w:rsidP="002E3EA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Lični računar ili laptop opremljen softverskim verzijama koje su kompatibilne sa pripremljenim materijalom</w:t>
            </w:r>
            <w:r w:rsidR="000F7896" w:rsidRPr="002E3EA4">
              <w:rPr>
                <w:lang w:val="sr-Latn-RS"/>
              </w:rPr>
              <w:t xml:space="preserve"> </w:t>
            </w:r>
          </w:p>
          <w:p w14:paraId="630675F6" w14:textId="09E85B80" w:rsidR="00A660C8" w:rsidRPr="002E3EA4" w:rsidRDefault="00A660C8" w:rsidP="002E3EA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Pristup konferencijskom softveru/platformi</w:t>
            </w:r>
          </w:p>
          <w:p w14:paraId="62A10C2C" w14:textId="320AFE04" w:rsidR="000F7896" w:rsidRPr="002E3EA4" w:rsidRDefault="00F433AF" w:rsidP="002E3EA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 xml:space="preserve">Pristup internetu </w:t>
            </w:r>
          </w:p>
          <w:p w14:paraId="54B64C23" w14:textId="7093C3C3" w:rsidR="00A660C8" w:rsidRPr="002E3EA4" w:rsidRDefault="00A660C8" w:rsidP="002E3EA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Beležnice i olovke za polaznike</w:t>
            </w:r>
          </w:p>
          <w:p w14:paraId="14CF9EF0" w14:textId="10106779" w:rsidR="000F7896" w:rsidRPr="002E3EA4" w:rsidRDefault="00F433AF" w:rsidP="002E3EA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Primerak Budimpeštanske konvencije</w:t>
            </w:r>
          </w:p>
        </w:tc>
      </w:tr>
      <w:tr w:rsidR="00E7344B" w:rsidRPr="002E3EA4" w14:paraId="635F2EFD" w14:textId="77777777" w:rsidTr="002E3EA4">
        <w:trPr>
          <w:trHeight w:val="2483"/>
        </w:trPr>
        <w:tc>
          <w:tcPr>
            <w:tcW w:w="9010" w:type="dxa"/>
            <w:gridSpan w:val="3"/>
            <w:vAlign w:val="center"/>
          </w:tcPr>
          <w:p w14:paraId="34602AF3" w14:textId="5B0C343B" w:rsidR="00A03CF0" w:rsidRPr="002E3EA4" w:rsidRDefault="00F433AF" w:rsidP="002E3EA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 w:rsidR="00A03CF0"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317A71"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5C6FF664" w:rsidR="00C305FA" w:rsidRPr="002E3EA4" w:rsidRDefault="00F433AF" w:rsidP="002E3EA4">
            <w:pPr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E3EA4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Svrha ove sesije jeste da se polaznicima omogući da sveobuhvatno razumeju elemente krivičnih dela u vezi sa računarima, dela u vezi sa sadržajem i dela koja se odnose na kršenje autorskih i srodnih prava, utvrđenih u skladu sa Budimpeštanskom konvencijom. Ova sesija podrobno objašnjava svaki element člana 7. (falsifikovanje u vezi s računarima), člana 8. (prevara u vezi s računarima)</w:t>
            </w:r>
            <w:r w:rsidR="00A426AA" w:rsidRPr="002E3EA4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, člana 9. (dečja pornografija), člana 10. (dela u vezi sa kršenjem autorskih i srodnih prava), člana 11. (pokušaj, pomaganje ili podstrekavanje) i člana 12. (odgovornost pravnog lica) Budimpeštanske konvencije. </w:t>
            </w:r>
            <w:r w:rsidR="00C23737" w:rsidRPr="002E3EA4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A03CF0" w:rsidRPr="002E3EA4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5377B5BB" w:rsidR="00A03CF0" w:rsidRPr="002E3EA4" w:rsidRDefault="00A426AA" w:rsidP="002E3EA4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271010"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7552C5F6" w14:textId="403AF90D" w:rsidR="000F7896" w:rsidRPr="002E3EA4" w:rsidRDefault="00A426AA" w:rsidP="002E3EA4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E3EA4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sesije polaznici će biti u stanju da:</w:t>
            </w:r>
          </w:p>
          <w:p w14:paraId="7CA49B60" w14:textId="6337689A" w:rsidR="000C47A2" w:rsidRPr="002E3EA4" w:rsidRDefault="00A426AA" w:rsidP="002E3EA4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Identifikuju elemente koji čine krivično delo:</w:t>
            </w:r>
          </w:p>
          <w:p w14:paraId="06545F7F" w14:textId="3E5EFAFA" w:rsidR="000C47A2" w:rsidRPr="002E3EA4" w:rsidRDefault="00B636B2" w:rsidP="002E3EA4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f</w:t>
            </w:r>
            <w:r w:rsidR="00A426AA" w:rsidRPr="002E3EA4">
              <w:rPr>
                <w:lang w:val="sr-Latn-RS"/>
              </w:rPr>
              <w:t>alsifikovanja u vezi s računarima</w:t>
            </w:r>
            <w:r w:rsidRPr="002E3EA4">
              <w:rPr>
                <w:lang w:val="sr-Latn-RS"/>
              </w:rPr>
              <w:t>,</w:t>
            </w:r>
          </w:p>
          <w:p w14:paraId="226E9997" w14:textId="5CCF19AB" w:rsidR="000C47A2" w:rsidRPr="002E3EA4" w:rsidRDefault="00B636B2" w:rsidP="002E3EA4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p</w:t>
            </w:r>
            <w:r w:rsidR="00A426AA" w:rsidRPr="002E3EA4">
              <w:rPr>
                <w:lang w:val="sr-Latn-RS"/>
              </w:rPr>
              <w:t>revare u vezi s računarima</w:t>
            </w:r>
            <w:r w:rsidRPr="002E3EA4">
              <w:rPr>
                <w:lang w:val="sr-Latn-RS"/>
              </w:rPr>
              <w:t>,</w:t>
            </w:r>
          </w:p>
          <w:p w14:paraId="5F46D63A" w14:textId="10188E97" w:rsidR="000C47A2" w:rsidRPr="002E3EA4" w:rsidRDefault="00B636B2" w:rsidP="002E3EA4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d</w:t>
            </w:r>
            <w:r w:rsidR="00A426AA" w:rsidRPr="002E3EA4">
              <w:rPr>
                <w:lang w:val="sr-Latn-RS"/>
              </w:rPr>
              <w:t>ečje pornografije</w:t>
            </w:r>
            <w:r w:rsidRPr="002E3EA4">
              <w:rPr>
                <w:lang w:val="sr-Latn-RS"/>
              </w:rPr>
              <w:t>,</w:t>
            </w:r>
          </w:p>
          <w:p w14:paraId="65D4B47D" w14:textId="1922E5B0" w:rsidR="000C47A2" w:rsidRPr="002E3EA4" w:rsidRDefault="00B636B2" w:rsidP="002E3EA4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>k</w:t>
            </w:r>
            <w:r w:rsidR="00A426AA" w:rsidRPr="002E3EA4">
              <w:rPr>
                <w:lang w:val="sr-Latn-RS"/>
              </w:rPr>
              <w:t>ršenja autorskih i srodnih prava</w:t>
            </w:r>
            <w:r w:rsidRPr="002E3EA4">
              <w:rPr>
                <w:lang w:val="sr-Latn-RS"/>
              </w:rPr>
              <w:t>;</w:t>
            </w:r>
          </w:p>
          <w:p w14:paraId="61ABEAC5" w14:textId="3DCC32FC" w:rsidR="00DA291E" w:rsidRPr="002E3EA4" w:rsidRDefault="00A426AA" w:rsidP="002E3EA4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left="0" w:firstLine="0"/>
              <w:rPr>
                <w:lang w:val="sr-Latn-RS"/>
              </w:rPr>
            </w:pPr>
            <w:r w:rsidRPr="002E3EA4">
              <w:rPr>
                <w:lang w:val="sr-Latn-RS"/>
              </w:rPr>
              <w:t xml:space="preserve">Shvate na koji način Budimpeštanska konvencija inkriminiše pokušaj, pomaganje ili podstrekavanje, kao i obim odgovornosti pravnog lica. </w:t>
            </w:r>
          </w:p>
        </w:tc>
      </w:tr>
      <w:tr w:rsidR="005703B7" w:rsidRPr="002E3EA4" w14:paraId="03110757" w14:textId="77777777" w:rsidTr="002E3EA4">
        <w:trPr>
          <w:trHeight w:val="44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72A4406" w:rsidR="005703B7" w:rsidRPr="002E3EA4" w:rsidRDefault="00A426AA" w:rsidP="002E3EA4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Uputstvo za predavača</w:t>
            </w:r>
          </w:p>
          <w:p w14:paraId="2B635D08" w14:textId="553E00C3" w:rsidR="007C68EC" w:rsidRPr="002E3EA4" w:rsidRDefault="00A426AA" w:rsidP="002E3EA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Ova sesija je pripremljena kako bi se polaznicima omogućilo da steknu sveobuhvatno razumevanje definicija utvrđenih u Poglavlju</w:t>
            </w:r>
            <w:r w:rsidR="000C47A2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2. </w:t>
            </w:r>
            <w:r w:rsidR="00486B40" w:rsidRPr="002E3EA4">
              <w:rPr>
                <w:rFonts w:ascii="Verdana" w:hAnsi="Verdana"/>
                <w:sz w:val="18"/>
                <w:szCs w:val="18"/>
                <w:lang w:val="sr-Latn-RS"/>
              </w:rPr>
              <w:t>deo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486B40" w:rsidRPr="002E3EA4">
              <w:rPr>
                <w:rFonts w:ascii="Verdana" w:hAnsi="Verdana"/>
                <w:sz w:val="18"/>
                <w:szCs w:val="18"/>
                <w:lang w:val="sr-Latn-RS"/>
              </w:rPr>
              <w:t>1.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odeljak 2. (dela u vezi s računarima), </w:t>
            </w:r>
            <w:r w:rsidR="00B636B2" w:rsidRPr="002E3EA4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deljku 3. (dela u vezi sa sadržajem), </w:t>
            </w:r>
            <w:r w:rsidR="00B636B2" w:rsidRPr="002E3EA4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deljku 4. (dela u vezi </w:t>
            </w:r>
            <w:r w:rsidR="007C68EC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sa kršenjem autorskih i srodnih prava) i </w:t>
            </w:r>
            <w:r w:rsidR="00B636B2" w:rsidRPr="002E3EA4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="007C68EC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deljku 5. (drugi oblici odgovornosti i sankcije). Ova sesija je podeljena na pet delova, pored uvodnog i zaključnog dela. U prvom delu bavimo se krivičnim delom falsifikovanja u vezi s računarima. U drugom delu bavimo se krivičnim delom prevare u vezi s računarima. Treći deo posvećen je krivičnom delu dečje pornografije. Četvrti deo odnosi se na krivično delo kršenja autorskih i srodnih prava. U petom delu govorimo o pokušaju, pomaganju i podstrekavanju, kao i o odgovornosti pravnog lica. </w:t>
            </w:r>
          </w:p>
          <w:p w14:paraId="0BCB0073" w14:textId="070D8764" w:rsidR="00FF2976" w:rsidRPr="002E3EA4" w:rsidRDefault="007C68EC" w:rsidP="002E3EA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Pre nego što </w:t>
            </w:r>
            <w:r w:rsidR="009608C6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predavač 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održi</w:t>
            </w:r>
            <w:r w:rsidR="009312CB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ovu sesiju</w:t>
            </w:r>
            <w:r w:rsidR="00B636B2" w:rsidRPr="002E3EA4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="009312CB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preporučuje se da ponovo razmotri stavove 79</w:t>
            </w:r>
            <w:r w:rsidR="00B636B2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9312CB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127. </w:t>
            </w:r>
            <w:hyperlink r:id="rId5" w:history="1">
              <w:r w:rsidR="009312CB" w:rsidRPr="002E3EA4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 xml:space="preserve">Eksplanatornog izveštaja uz Konvenciju o visokotehnološkom kriminalu. </w:t>
              </w:r>
            </w:hyperlink>
          </w:p>
          <w:p w14:paraId="5EFF4BEF" w14:textId="3B9D3243" w:rsidR="00DA291E" w:rsidRPr="002E3EA4" w:rsidRDefault="009312CB" w:rsidP="002E3EA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Predavač mož</w:t>
            </w:r>
            <w:r w:rsidR="00B636B2" w:rsidRPr="002E3EA4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da podstakne diskusiju o tome </w:t>
            </w:r>
            <w:r w:rsidR="00273326" w:rsidRPr="002E3EA4">
              <w:rPr>
                <w:rFonts w:ascii="Verdana" w:hAnsi="Verdana"/>
                <w:sz w:val="18"/>
                <w:szCs w:val="18"/>
                <w:lang w:val="sr-Latn-RS"/>
              </w:rPr>
              <w:t>kako su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273326" w:rsidRPr="002E3EA4">
              <w:rPr>
                <w:rFonts w:ascii="Verdana" w:hAnsi="Verdana"/>
                <w:sz w:val="18"/>
                <w:szCs w:val="18"/>
                <w:lang w:val="sr-Latn-RS"/>
              </w:rPr>
              <w:t>u domaćem zakonodavstvu uređene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odredb</w:t>
            </w:r>
            <w:r w:rsidR="00273326" w:rsidRPr="002E3EA4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koj</w:t>
            </w:r>
            <w:r w:rsidR="00273326" w:rsidRPr="002E3EA4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273326" w:rsidRPr="002E3EA4">
              <w:rPr>
                <w:rFonts w:ascii="Verdana" w:hAnsi="Verdana"/>
                <w:sz w:val="18"/>
                <w:szCs w:val="18"/>
                <w:lang w:val="sr-Latn-RS"/>
              </w:rPr>
              <w:t>su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obuhvaćen</w:t>
            </w:r>
            <w:r w:rsidR="00273326" w:rsidRPr="002E3EA4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ovom sesijom. </w:t>
            </w:r>
          </w:p>
        </w:tc>
      </w:tr>
      <w:tr w:rsidR="005A4E47" w:rsidRPr="002E3EA4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4063E1C6" w:rsidR="005A4E47" w:rsidRPr="002E3EA4" w:rsidRDefault="009312CB" w:rsidP="002E3EA4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2E3EA4">
              <w:rPr>
                <w:rFonts w:ascii="Verdana" w:hAnsi="Verdana"/>
                <w:b/>
                <w:sz w:val="28"/>
                <w:szCs w:val="28"/>
                <w:lang w:val="sr-Latn-RS"/>
              </w:rPr>
              <w:lastRenderedPageBreak/>
              <w:t>Sadržaj lekcije</w:t>
            </w:r>
          </w:p>
        </w:tc>
      </w:tr>
      <w:tr w:rsidR="00F1574D" w:rsidRPr="002E3EA4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34205103" w:rsidR="00D82C18" w:rsidRPr="002E3EA4" w:rsidRDefault="009312CB" w:rsidP="002E3EA4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02089BEB" w:rsidR="00D82C18" w:rsidRPr="002E3EA4" w:rsidRDefault="009312CB" w:rsidP="002E3EA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2E3EA4" w14:paraId="11A12D7E" w14:textId="77777777" w:rsidTr="002E3EA4">
        <w:trPr>
          <w:trHeight w:val="1070"/>
        </w:trPr>
        <w:tc>
          <w:tcPr>
            <w:tcW w:w="1525" w:type="dxa"/>
            <w:vAlign w:val="center"/>
          </w:tcPr>
          <w:p w14:paraId="67083237" w14:textId="564348C9" w:rsidR="00D82C18" w:rsidRPr="002E3EA4" w:rsidRDefault="003630ED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509CF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4. </w:t>
            </w:r>
          </w:p>
          <w:p w14:paraId="5A89CF27" w14:textId="34C381FF" w:rsidR="00F1574D" w:rsidRPr="002E3EA4" w:rsidRDefault="001509CF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5E861E70" w:rsidR="00556D69" w:rsidRPr="002E3EA4" w:rsidRDefault="00DA291E" w:rsidP="002E3EA4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</w:t>
            </w:r>
            <w:r w:rsidR="001509CF"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očetni slajdovi predstavljaju uvod u sesiju i obuhvataju dnevni red i svrhu i ciljeve sesije. </w:t>
            </w:r>
          </w:p>
        </w:tc>
      </w:tr>
      <w:tr w:rsidR="00F1574D" w:rsidRPr="002E3EA4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6E4C3C34" w:rsidR="00D82C18" w:rsidRPr="002E3EA4" w:rsidRDefault="00C70C5C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509CF" w:rsidRPr="002E3EA4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402C27" w:rsidRPr="002E3EA4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1509CF" w:rsidRPr="002E3EA4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F5AEB2D" w14:textId="5835A75C" w:rsidR="00F1574D" w:rsidRPr="002E3EA4" w:rsidRDefault="001509CF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D0C24F4" w14:textId="5E532178" w:rsidR="001509CF" w:rsidRPr="002E3EA4" w:rsidRDefault="001509CF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2E3EA4">
              <w:rPr>
                <w:rFonts w:ascii="Verdana" w:eastAsia="Times New Roman" w:hAnsi="Verdana"/>
                <w:szCs w:val="18"/>
                <w:lang w:val="sr-Latn-RS"/>
              </w:rPr>
              <w:t>Ti slajdovi sadrže objašnjenje krivičnog dela</w:t>
            </w:r>
            <w:r w:rsidR="00317A71" w:rsidRPr="002E3EA4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2E3EA4">
              <w:rPr>
                <w:rFonts w:ascii="Verdana" w:eastAsia="Times New Roman" w:hAnsi="Verdana"/>
                <w:szCs w:val="18"/>
                <w:lang w:val="sr-Latn-RS"/>
              </w:rPr>
              <w:t xml:space="preserve">falsifikovanja u vezi sa računarima kako je to utvrđeno u članu 7. Budimpeštanske konvencije. </w:t>
            </w:r>
          </w:p>
          <w:p w14:paraId="69D10633" w14:textId="34BDFE45" w:rsidR="00DA291E" w:rsidRPr="002E3EA4" w:rsidRDefault="001509CF" w:rsidP="002E3EA4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</w:pPr>
            <w:r w:rsidRPr="002E3EA4">
              <w:rPr>
                <w:rFonts w:ascii="Verdana" w:eastAsia="Times New Roman" w:hAnsi="Verdana"/>
                <w:szCs w:val="18"/>
                <w:lang w:val="sr-Latn-RS"/>
              </w:rPr>
              <w:t xml:space="preserve">Prva grupa slajdova pruža sažetak glavnih elemenata člana 7. Budimpeštanske konvencije. Tu se nalazi slajd na kome je prikazan jedan nedavni slučaj falsifikovanja u vezi s računarima u Indiji, posle koga slede slike imejlova </w:t>
            </w:r>
            <w:r w:rsidR="00521177" w:rsidRPr="002E3EA4">
              <w:rPr>
                <w:rFonts w:ascii="Verdana" w:eastAsia="Times New Roman" w:hAnsi="Verdana"/>
                <w:szCs w:val="18"/>
                <w:lang w:val="sr-Latn-RS"/>
              </w:rPr>
              <w:t>u</w:t>
            </w:r>
            <w:r w:rsidRPr="002E3EA4">
              <w:rPr>
                <w:rFonts w:ascii="Verdana" w:eastAsia="Times New Roman" w:hAnsi="Verdana"/>
                <w:szCs w:val="18"/>
                <w:lang w:val="sr-Latn-RS"/>
              </w:rPr>
              <w:t xml:space="preserve"> koji</w:t>
            </w:r>
            <w:r w:rsidR="00521177" w:rsidRPr="002E3EA4">
              <w:rPr>
                <w:rFonts w:ascii="Verdana" w:eastAsia="Times New Roman" w:hAnsi="Verdana"/>
                <w:szCs w:val="18"/>
                <w:lang w:val="sr-Latn-RS"/>
              </w:rPr>
              <w:t>ma</w:t>
            </w:r>
            <w:r w:rsidRPr="002E3EA4">
              <w:rPr>
                <w:rFonts w:ascii="Verdana" w:eastAsia="Times New Roman" w:hAnsi="Verdana"/>
                <w:szCs w:val="18"/>
                <w:lang w:val="sr-Latn-RS"/>
              </w:rPr>
              <w:t xml:space="preserve"> su primenjeni „pecanje</w:t>
            </w:r>
            <w:r w:rsidR="00521177" w:rsidRPr="002E3EA4">
              <w:rPr>
                <w:rFonts w:ascii="Verdana" w:eastAsia="Times New Roman" w:hAnsi="Verdana"/>
                <w:szCs w:val="18"/>
                <w:lang w:val="sr-Latn-RS"/>
              </w:rPr>
              <w:t>”</w:t>
            </w:r>
            <w:r w:rsidRPr="002E3EA4">
              <w:rPr>
                <w:rFonts w:ascii="Verdana" w:eastAsia="Times New Roman" w:hAnsi="Verdana"/>
                <w:szCs w:val="18"/>
                <w:lang w:val="sr-Latn-RS"/>
              </w:rPr>
              <w:t xml:space="preserve"> (</w:t>
            </w:r>
            <w:r w:rsidR="0049797C" w:rsidRPr="002E3EA4">
              <w:rPr>
                <w:rFonts w:ascii="Verdana" w:eastAsiaTheme="minorHAnsi" w:hAnsi="Verdana" w:cstheme="minorBidi"/>
                <w:i/>
                <w:iCs w:val="0"/>
                <w:color w:val="auto"/>
                <w:szCs w:val="18"/>
                <w:lang w:val="sr-Latn-RS"/>
              </w:rPr>
              <w:t>phishing</w:t>
            </w:r>
            <w:r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) i </w:t>
            </w:r>
            <w:r w:rsidR="00521177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„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umanjivanje</w:t>
            </w:r>
            <w:r w:rsidR="00521177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”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(</w:t>
            </w:r>
            <w:r w:rsidR="0049797C" w:rsidRPr="002E3EA4">
              <w:rPr>
                <w:rFonts w:ascii="Verdana" w:eastAsiaTheme="minorHAnsi" w:hAnsi="Verdana" w:cstheme="minorBidi"/>
                <w:i/>
                <w:iCs w:val="0"/>
                <w:color w:val="auto"/>
                <w:szCs w:val="18"/>
                <w:lang w:val="sr-Latn-RS"/>
              </w:rPr>
              <w:t>spoof</w:t>
            </w:r>
            <w:r w:rsidR="00DA291E" w:rsidRPr="002E3EA4">
              <w:rPr>
                <w:rFonts w:ascii="Verdana" w:eastAsiaTheme="minorHAnsi" w:hAnsi="Verdana" w:cstheme="minorBidi"/>
                <w:i/>
                <w:iCs w:val="0"/>
                <w:color w:val="auto"/>
                <w:szCs w:val="18"/>
                <w:lang w:val="sr-Latn-RS"/>
              </w:rPr>
              <w:t>ing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), </w:t>
            </w:r>
            <w:r w:rsidR="009608C6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a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predavač može da ih iskoristi kako bi </w:t>
            </w:r>
            <w:r w:rsidR="00C23737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njima 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privukao pažnju polaznika. </w:t>
            </w:r>
          </w:p>
          <w:p w14:paraId="649FEA68" w14:textId="09A012DA" w:rsidR="00CB3026" w:rsidRPr="002E3EA4" w:rsidRDefault="00A362A1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Svaki od p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reostali</w:t>
            </w:r>
            <w:r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h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slajdov</w:t>
            </w:r>
            <w:r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a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</w:t>
            </w:r>
            <w:r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je 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podeljen na dva stupca. U levom stupcu </w:t>
            </w:r>
            <w:r w:rsidR="00390FA3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daje se 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deo teksta </w:t>
            </w:r>
            <w:r w:rsidR="00390FA3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člana 7. </w:t>
            </w:r>
            <w:r w:rsidR="00DA291E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Budimpeštanske konve</w:t>
            </w:r>
            <w:r w:rsidR="00390FA3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ncije u kome je naglašen određeni element, dok se u desnom stupcu iznosi objašnjenje tog naglašenog elementa. Očekuje se da predavač razmotri svaki pojedinačni element kako bi </w:t>
            </w:r>
            <w:r w:rsidR="00486B40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pomogao</w:t>
            </w:r>
            <w:r w:rsidR="00390FA3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polaznicima da</w:t>
            </w:r>
            <w:r w:rsidR="00317A71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</w:t>
            </w:r>
            <w:r w:rsidR="00390FA3" w:rsidRPr="002E3EA4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sveobuhvatno razumeju član 7. Budimpeštanske konvencije. </w:t>
            </w:r>
          </w:p>
        </w:tc>
      </w:tr>
      <w:tr w:rsidR="00F1574D" w:rsidRPr="002E3EA4" w14:paraId="15587DD6" w14:textId="77777777" w:rsidTr="00040BBB">
        <w:trPr>
          <w:trHeight w:val="1266"/>
        </w:trPr>
        <w:tc>
          <w:tcPr>
            <w:tcW w:w="1525" w:type="dxa"/>
            <w:vAlign w:val="center"/>
          </w:tcPr>
          <w:p w14:paraId="5EBB803A" w14:textId="67CA5DBF" w:rsidR="00556D69" w:rsidRPr="002E3EA4" w:rsidRDefault="00402C27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15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390FA3" w:rsidRPr="002E3EA4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5C32028" w14:textId="411A7163" w:rsidR="00F1574D" w:rsidRPr="002E3EA4" w:rsidRDefault="00390FA3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0420A7E" w14:textId="77777777" w:rsidR="00390FA3" w:rsidRPr="002E3EA4" w:rsidRDefault="00390FA3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 xml:space="preserve">Ti slajdovi objašnjavaju krivično delo prevare u vezi s računarima onako kako je ono utvrđeno u članu 8. Budimpeštanske konvencije. </w:t>
            </w:r>
          </w:p>
          <w:p w14:paraId="0E9F087B" w14:textId="1E9DBB4F" w:rsidR="00040BBB" w:rsidRPr="002E3EA4" w:rsidRDefault="00390FA3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>Prva grupa slajdova sadrži sažetak glavnih elemenata člana 8. Budimpeštanske konvencije. To obuhvata studiju slučaja jedne prevare u vezi s računarima</w:t>
            </w:r>
            <w:r w:rsidR="00521177" w:rsidRPr="002E3EA4">
              <w:rPr>
                <w:rFonts w:ascii="Verdana" w:eastAsia="Times New Roman" w:hAnsi="Verdana"/>
                <w:lang w:val="sr-Latn-RS"/>
              </w:rPr>
              <w:t>,</w:t>
            </w:r>
            <w:r w:rsidRPr="002E3EA4">
              <w:rPr>
                <w:rFonts w:ascii="Verdana" w:eastAsia="Times New Roman" w:hAnsi="Verdana"/>
                <w:lang w:val="sr-Latn-RS"/>
              </w:rPr>
              <w:t xml:space="preserve"> a taj slučaj predavač može da predoči kao primer datog krivičnog dela. </w:t>
            </w:r>
          </w:p>
          <w:p w14:paraId="09B58FC0" w14:textId="1B6A7398" w:rsidR="00C70C5C" w:rsidRPr="002E3EA4" w:rsidRDefault="007C16A5" w:rsidP="002E3EA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Svaki od preostalih slajdova je podeljen na dva stupca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U levom stupcu daje se deo teksta člana </w:t>
            </w:r>
            <w:r w:rsidR="004006C9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8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Budimpeštanske konvencije u kome je naglašen određeni element, dok se u desnom stupcu iznosi objašnjenje tog naglašenog elementa. Očekuje se da predavač razmotri svaki pojedinačni element kako bi </w:t>
            </w:r>
            <w:r w:rsidR="00486B40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pomogao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polaznicima da sveobuhvatno razumeju član </w:t>
            </w:r>
            <w:r w:rsidR="004006C9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8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. Budimpeštanske konvencije.</w:t>
            </w:r>
            <w:r w:rsidR="00DF461A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Ovaj deo se završava jednim anketnim pitanjem.</w:t>
            </w:r>
          </w:p>
        </w:tc>
      </w:tr>
      <w:tr w:rsidR="00F1574D" w:rsidRPr="002E3EA4" w14:paraId="4F010995" w14:textId="77777777" w:rsidTr="00DF461A">
        <w:trPr>
          <w:trHeight w:val="416"/>
        </w:trPr>
        <w:tc>
          <w:tcPr>
            <w:tcW w:w="1525" w:type="dxa"/>
            <w:vAlign w:val="center"/>
          </w:tcPr>
          <w:p w14:paraId="15E808BA" w14:textId="67FB0F88" w:rsidR="00556D69" w:rsidRPr="002E3EA4" w:rsidRDefault="00491C99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402C27" w:rsidRPr="002E3EA4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4006C9" w:rsidRPr="002E3EA4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  <w:r w:rsidR="00402C27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</w:p>
          <w:p w14:paraId="48504862" w14:textId="0A812B6F" w:rsidR="00C70C5C" w:rsidRPr="002E3EA4" w:rsidRDefault="004006C9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4BEA6EAD" w14:textId="2DC7F6B4" w:rsidR="00E06B99" w:rsidRPr="002E3EA4" w:rsidRDefault="004006C9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 xml:space="preserve">Ti slajdovi objašnjavaju krivično delo dečje pornografije onako kako je ono utvrđeno u članu 9. Budimpeštanske konvencije. </w:t>
            </w:r>
          </w:p>
          <w:p w14:paraId="7BA4CDC4" w14:textId="6B501308" w:rsidR="00E06B99" w:rsidRPr="002E3EA4" w:rsidRDefault="004006C9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 xml:space="preserve">Prva grupa slajdova sadrži sažetak glavnih elemenata člana 9. Budimpeštanske konvencije. </w:t>
            </w:r>
            <w:r w:rsidR="009608C6" w:rsidRPr="002E3EA4">
              <w:rPr>
                <w:rFonts w:ascii="Verdana" w:eastAsia="Times New Roman" w:hAnsi="Verdana"/>
                <w:lang w:val="sr-Latn-RS"/>
              </w:rPr>
              <w:t>P</w:t>
            </w:r>
            <w:r w:rsidRPr="002E3EA4">
              <w:rPr>
                <w:rFonts w:ascii="Verdana" w:eastAsia="Times New Roman" w:hAnsi="Verdana"/>
                <w:lang w:val="sr-Latn-RS"/>
              </w:rPr>
              <w:t xml:space="preserve">osle tog sažetka sledi nekoliko studija slučaja krivičnog dela dečje pornografije. </w:t>
            </w:r>
          </w:p>
          <w:p w14:paraId="4AF5B3D7" w14:textId="1638E040" w:rsidR="00C70C5C" w:rsidRPr="002E3EA4" w:rsidRDefault="00615041" w:rsidP="002E3EA4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Svaki od preostalih slajdova je podeljen na dva stupca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U levom stupcu daje se deo teksta člana </w:t>
            </w:r>
            <w:r w:rsidR="004006C9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9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Budimpeštanske konvencije u kome je naglašen određeni element, dok se u desnom stupcu iznosi objašnjenje tog naglašenog elementa. Očekuje se da predavač razmotri svaki pojedinačni element kako bi </w:t>
            </w:r>
            <w:r w:rsidR="00486B40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pomogao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polaznicima da</w:t>
            </w:r>
            <w:r w:rsidR="00317A71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sveobuhvatno razumeju član </w:t>
            </w:r>
            <w:r w:rsidR="004006C9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9</w:t>
            </w:r>
            <w:r w:rsidR="00390FA3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. Budimpeštanske konvencije</w:t>
            </w:r>
            <w:r w:rsidR="00E06B99" w:rsidRPr="002E3EA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szCs w:val="18"/>
                <w:lang w:val="sr-Latn-RS"/>
              </w:rPr>
              <w:t>.</w:t>
            </w:r>
            <w:r w:rsidR="00DF461A" w:rsidRPr="002E3EA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DF461A" w:rsidRPr="002E3EA4">
              <w:rPr>
                <w:rFonts w:ascii="Verdana" w:hAnsi="Verdana"/>
                <w:iCs/>
                <w:sz w:val="18"/>
                <w:szCs w:val="18"/>
                <w:lang w:val="sr-Latn-RS"/>
              </w:rPr>
              <w:t>Ovaj deo se završava jednim anketnim pitanjem.</w:t>
            </w:r>
          </w:p>
        </w:tc>
      </w:tr>
      <w:tr w:rsidR="00F1574D" w:rsidRPr="002E3EA4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32665970" w:rsidR="00556D69" w:rsidRPr="002E3EA4" w:rsidRDefault="00402C27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43.</w:t>
            </w:r>
          </w:p>
          <w:p w14:paraId="00098EC4" w14:textId="4D105AAA" w:rsidR="00F1574D" w:rsidRPr="002E3EA4" w:rsidRDefault="004006C9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D6C0316" w14:textId="3BB5E7FC" w:rsidR="004006C9" w:rsidRPr="002E3EA4" w:rsidRDefault="004006C9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 xml:space="preserve">Ti slajdovi objašnjavaju krivično delo kršenja autorskih i srodnih prava onako kako je ono utvrđeno u članu 10. Budimpeštanske konvencije. </w:t>
            </w:r>
          </w:p>
          <w:p w14:paraId="27774037" w14:textId="73932E79" w:rsidR="000D1E92" w:rsidRPr="002E3EA4" w:rsidRDefault="004006C9" w:rsidP="002E3EA4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>Prva grupa slajdova sadrži sažetak glavnih elemenata člana 10. Budimpeštanske konvencije. Na tim slajdovima nalazi se jedna studija slučaja o hapšenju osnivača</w:t>
            </w:r>
            <w:r w:rsidR="00317A71" w:rsidRPr="002E3EA4">
              <w:rPr>
                <w:rFonts w:ascii="Verdana" w:eastAsia="Times New Roman" w:hAnsi="Verdana"/>
                <w:lang w:val="sr-Latn-RS"/>
              </w:rPr>
              <w:t xml:space="preserve"> </w:t>
            </w:r>
            <w:r w:rsidRPr="002E3EA4">
              <w:rPr>
                <w:rFonts w:ascii="Verdana" w:eastAsia="Times New Roman" w:hAnsi="Verdana"/>
                <w:lang w:val="sr-Latn-RS"/>
              </w:rPr>
              <w:t>popularnog veb</w:t>
            </w:r>
            <w:r w:rsidR="00A77233" w:rsidRPr="002E3EA4">
              <w:rPr>
                <w:rFonts w:ascii="Verdana" w:eastAsia="Times New Roman" w:hAnsi="Verdana"/>
                <w:lang w:val="sr-Latn-RS"/>
              </w:rPr>
              <w:t>-</w:t>
            </w:r>
            <w:r w:rsidRPr="002E3EA4">
              <w:rPr>
                <w:rFonts w:ascii="Verdana" w:eastAsia="Times New Roman" w:hAnsi="Verdana"/>
                <w:lang w:val="sr-Latn-RS"/>
              </w:rPr>
              <w:t xml:space="preserve">sajta zbog kršenja autorskih prava. Takođe je sadržan skrinšot iz koga se vidi na koji se način 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t xml:space="preserve">dela koja su inače zaštićena 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lastRenderedPageBreak/>
              <w:t>autorskim pravom uprkos tome prikazuju na veb</w:t>
            </w:r>
            <w:r w:rsidR="00A77233" w:rsidRPr="002E3EA4">
              <w:rPr>
                <w:rFonts w:ascii="Verdana" w:eastAsia="Times New Roman" w:hAnsi="Verdana"/>
                <w:lang w:val="sr-Latn-RS"/>
              </w:rPr>
              <w:t>-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t xml:space="preserve">sajtovima. </w:t>
            </w:r>
          </w:p>
          <w:p w14:paraId="09B693A1" w14:textId="63631409" w:rsidR="00556D69" w:rsidRPr="002E3EA4" w:rsidRDefault="003E5FCB" w:rsidP="002E3EA4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2E3EA4">
              <w:rPr>
                <w:rFonts w:ascii="Verdana" w:eastAsia="Times New Roman" w:hAnsi="Verdana"/>
                <w:lang w:val="sr-Latn-RS"/>
              </w:rPr>
              <w:t>Svaki od preostalih slajdova je podeljen na dva stupca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t xml:space="preserve">. U levom stupcu nalazi se tekst člana 10. Budimpeštanske konvencije u kome je naglašen određeni element, dok se u stupcu na desnoj strani daje objašnjenje tog naglašenog elementa. Očekuje se da predavač detaljno prođe kroz svaki </w:t>
            </w:r>
            <w:r w:rsidR="002B0A8F" w:rsidRPr="002E3EA4">
              <w:rPr>
                <w:rFonts w:ascii="Verdana" w:eastAsia="Times New Roman" w:hAnsi="Verdana"/>
                <w:lang w:val="sr-Latn-RS"/>
              </w:rPr>
              <w:t>element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t xml:space="preserve"> kako bi</w:t>
            </w:r>
            <w:r w:rsidR="00317A71" w:rsidRPr="002E3EA4">
              <w:rPr>
                <w:rFonts w:ascii="Verdana" w:eastAsia="Times New Roman" w:hAnsi="Verdana"/>
                <w:lang w:val="sr-Latn-RS"/>
              </w:rPr>
              <w:t xml:space="preserve"> 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t xml:space="preserve">polaznicima </w:t>
            </w:r>
            <w:r w:rsidR="00486B40" w:rsidRPr="002E3EA4">
              <w:rPr>
                <w:rFonts w:ascii="Verdana" w:eastAsia="Times New Roman" w:hAnsi="Verdana"/>
                <w:lang w:val="sr-Latn-RS"/>
              </w:rPr>
              <w:t>pomogao</w:t>
            </w:r>
            <w:r w:rsidR="000D1E92" w:rsidRPr="002E3EA4">
              <w:rPr>
                <w:rFonts w:ascii="Verdana" w:eastAsia="Times New Roman" w:hAnsi="Verdana"/>
                <w:lang w:val="sr-Latn-RS"/>
              </w:rPr>
              <w:t xml:space="preserve"> da sveobuhvatno shvate član 10. Budimpeštanske konvencije. </w:t>
            </w:r>
          </w:p>
        </w:tc>
      </w:tr>
      <w:tr w:rsidR="006B3820" w:rsidRPr="002E3EA4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6F14ECD4" w:rsidR="006B3820" w:rsidRPr="002E3EA4" w:rsidRDefault="00402C27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1B3CCD" w:rsidRPr="002E3EA4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49D80A1F" w14:textId="317C836D" w:rsidR="006B3820" w:rsidRPr="002E3EA4" w:rsidRDefault="001B3CCD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6E26CF1F" w14:textId="1C8F4E83" w:rsidR="001B3CCD" w:rsidRPr="002E3EA4" w:rsidRDefault="001B3CCD" w:rsidP="002E3EA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Ti slajdovi sadrže objašnjenje odredaba koje se odnose na druge oblike odgovornosti – konkretno na pokušaj, pomaganje ili podstrekavanje kako je to utvrđeno u članu 11. Budimpeštanske konvencije i na odgovornost pravnog lica kako je to utvrđeno u članu 12. Budimpeštanske konvencije. </w:t>
            </w:r>
          </w:p>
          <w:p w14:paraId="00091C29" w14:textId="2098BB14" w:rsidR="00DF01EB" w:rsidRPr="002E3EA4" w:rsidRDefault="001B3CCD" w:rsidP="002E3EA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Svaki iz ove grupe slajdova podeljen je na dva stupca. U</w:t>
            </w:r>
            <w:r w:rsidR="00317A71"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 xml:space="preserve">stupcu na levoj strani navodi se tekst člana 11, odnosno člana 12. Budimpeštanske konvencije sa posebno naglašenim određenim elementom, dok se u stupcu na desnoj strani daje objašnjenje tog naglašenog elementa. Od predavača se očekuje da podrobno prođe kroz svaki element kako bi polaznici stekli sveobuhvatno razumevanje članova 11. i 12. Budimpeštanske konvencije. </w:t>
            </w:r>
          </w:p>
        </w:tc>
      </w:tr>
      <w:tr w:rsidR="00F1574D" w:rsidRPr="002E3EA4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7317C299" w:rsidR="00556D69" w:rsidRPr="002E3EA4" w:rsidRDefault="00402C27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9</w:t>
            </w:r>
            <w:r w:rsidR="009B5D3A" w:rsidRPr="002E3EA4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F461A" w:rsidRPr="002E3EA4">
              <w:rPr>
                <w:rFonts w:ascii="Verdana" w:hAnsi="Verdana"/>
                <w:sz w:val="18"/>
                <w:szCs w:val="18"/>
                <w:lang w:val="sr-Latn-RS"/>
              </w:rPr>
              <w:t>50</w:t>
            </w:r>
            <w:r w:rsidR="001B3CCD" w:rsidRPr="002E3EA4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DE9D224" w14:textId="4BC1431F" w:rsidR="00F1574D" w:rsidRPr="002E3EA4" w:rsidRDefault="001B3CCD" w:rsidP="002E3EA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sz w:val="18"/>
                <w:szCs w:val="18"/>
                <w:lang w:val="sr-Latn-RS"/>
              </w:rPr>
              <w:t>Važni slajdovi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2E615F2" w:rsidR="00314D32" w:rsidRPr="002E3EA4" w:rsidRDefault="001B3CCD" w:rsidP="002E3EA4">
            <w:pPr>
              <w:pStyle w:val="Subtitle"/>
              <w:spacing w:before="120" w:line="260" w:lineRule="atLeast"/>
              <w:rPr>
                <w:rFonts w:ascii="Verdana" w:hAnsi="Verdana"/>
                <w:lang w:val="sr-Latn-RS"/>
              </w:rPr>
            </w:pPr>
            <w:r w:rsidRPr="002E3EA4">
              <w:rPr>
                <w:rFonts w:ascii="Verdana" w:eastAsia="Times New Roman" w:hAnsi="Verdana" w:cs="Times New Roman"/>
                <w:szCs w:val="18"/>
                <w:lang w:val="sr-Latn-RS"/>
              </w:rPr>
              <w:t xml:space="preserve">Predavač treba da rekapitulira ciljeve sesije zajedno s polaznicima i da im pruži mogućnost da postavljaju pitanja u vezi s materijalom sadržanim u ovom modulu. </w:t>
            </w:r>
          </w:p>
        </w:tc>
      </w:tr>
      <w:tr w:rsidR="00CB3026" w:rsidRPr="002E3EA4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D2D9C1C" w:rsidR="00CB3026" w:rsidRPr="002E3EA4" w:rsidRDefault="001B3CCD" w:rsidP="002E3EA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210EC323" w:rsidR="00CB3026" w:rsidRPr="002E3EA4" w:rsidRDefault="001B3CCD" w:rsidP="002E3EA4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lekciju nisu predviđene nikakve praktične vežbe.</w:t>
            </w:r>
            <w:r w:rsidR="003D32BA"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CB3026" w:rsidRPr="002E3EA4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316BEFF9" w:rsidR="00CB3026" w:rsidRPr="002E3EA4" w:rsidRDefault="003D32BA" w:rsidP="002E3EA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9B5D3A"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2E3EA4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7BB55DAA" w:rsidR="00CB3026" w:rsidRPr="002E3EA4" w:rsidRDefault="003D32BA" w:rsidP="002E3EA4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Nije planiran nikakav poseban test</w:t>
            </w:r>
            <w:r w:rsidR="00317A71"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Pr="002E3EA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znanja ili procena za ovu sesiju.</w:t>
            </w:r>
          </w:p>
        </w:tc>
      </w:tr>
    </w:tbl>
    <w:p w14:paraId="15498912" w14:textId="77777777" w:rsidR="00D82C18" w:rsidRPr="002E3EA4" w:rsidRDefault="00D82C18" w:rsidP="002E3EA4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2E3EA4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6B1384"/>
    <w:multiLevelType w:val="hybridMultilevel"/>
    <w:tmpl w:val="B8AC3A46"/>
    <w:lvl w:ilvl="0" w:tplc="E0B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0B3B0">
      <w:numFmt w:val="none"/>
      <w:lvlText w:val=""/>
      <w:lvlJc w:val="left"/>
      <w:pPr>
        <w:tabs>
          <w:tab w:val="num" w:pos="360"/>
        </w:tabs>
      </w:pPr>
    </w:lvl>
    <w:lvl w:ilvl="2" w:tplc="F0CA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2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2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8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EE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A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23971"/>
    <w:multiLevelType w:val="hybridMultilevel"/>
    <w:tmpl w:val="87EE23CC"/>
    <w:lvl w:ilvl="0" w:tplc="D7B00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1415E"/>
    <w:rsid w:val="00040BBB"/>
    <w:rsid w:val="00051376"/>
    <w:rsid w:val="000B6540"/>
    <w:rsid w:val="000C40EE"/>
    <w:rsid w:val="000C47A2"/>
    <w:rsid w:val="000D0409"/>
    <w:rsid w:val="000D1E92"/>
    <w:rsid w:val="000F04E4"/>
    <w:rsid w:val="000F7896"/>
    <w:rsid w:val="001509CF"/>
    <w:rsid w:val="001B3CCD"/>
    <w:rsid w:val="001D2D02"/>
    <w:rsid w:val="001D603D"/>
    <w:rsid w:val="001E7389"/>
    <w:rsid w:val="00207B05"/>
    <w:rsid w:val="0021078D"/>
    <w:rsid w:val="0023745E"/>
    <w:rsid w:val="00271010"/>
    <w:rsid w:val="00273326"/>
    <w:rsid w:val="002B0A8F"/>
    <w:rsid w:val="002D2A2A"/>
    <w:rsid w:val="002E3EA4"/>
    <w:rsid w:val="002E3ECE"/>
    <w:rsid w:val="002F3B54"/>
    <w:rsid w:val="00314D32"/>
    <w:rsid w:val="00317A71"/>
    <w:rsid w:val="0034224C"/>
    <w:rsid w:val="00342639"/>
    <w:rsid w:val="003453F7"/>
    <w:rsid w:val="003630ED"/>
    <w:rsid w:val="00372572"/>
    <w:rsid w:val="00390FA3"/>
    <w:rsid w:val="003A435F"/>
    <w:rsid w:val="003D32BA"/>
    <w:rsid w:val="003E5FCB"/>
    <w:rsid w:val="003F6587"/>
    <w:rsid w:val="004006C9"/>
    <w:rsid w:val="0040276B"/>
    <w:rsid w:val="00402C27"/>
    <w:rsid w:val="00437AF3"/>
    <w:rsid w:val="00450007"/>
    <w:rsid w:val="00457DD3"/>
    <w:rsid w:val="00486B40"/>
    <w:rsid w:val="00491C99"/>
    <w:rsid w:val="0049797C"/>
    <w:rsid w:val="004B7351"/>
    <w:rsid w:val="00514FE0"/>
    <w:rsid w:val="00521177"/>
    <w:rsid w:val="00522A50"/>
    <w:rsid w:val="00556D69"/>
    <w:rsid w:val="005703B7"/>
    <w:rsid w:val="005729DB"/>
    <w:rsid w:val="00596408"/>
    <w:rsid w:val="005A4E47"/>
    <w:rsid w:val="005D4432"/>
    <w:rsid w:val="00615041"/>
    <w:rsid w:val="00646A21"/>
    <w:rsid w:val="006527C6"/>
    <w:rsid w:val="00671ADF"/>
    <w:rsid w:val="006B0B52"/>
    <w:rsid w:val="006B3820"/>
    <w:rsid w:val="0075334E"/>
    <w:rsid w:val="007678A6"/>
    <w:rsid w:val="00775CE6"/>
    <w:rsid w:val="007C16A5"/>
    <w:rsid w:val="007C68EC"/>
    <w:rsid w:val="007E3B3E"/>
    <w:rsid w:val="00832F68"/>
    <w:rsid w:val="00844FBF"/>
    <w:rsid w:val="00864F43"/>
    <w:rsid w:val="008817F1"/>
    <w:rsid w:val="008A4C93"/>
    <w:rsid w:val="008C3900"/>
    <w:rsid w:val="008E3FE7"/>
    <w:rsid w:val="009010F1"/>
    <w:rsid w:val="00906F18"/>
    <w:rsid w:val="009312CB"/>
    <w:rsid w:val="00951791"/>
    <w:rsid w:val="009526EA"/>
    <w:rsid w:val="009608C6"/>
    <w:rsid w:val="009B4375"/>
    <w:rsid w:val="009B59C5"/>
    <w:rsid w:val="009B5D3A"/>
    <w:rsid w:val="009D1DB1"/>
    <w:rsid w:val="009E1390"/>
    <w:rsid w:val="009E3827"/>
    <w:rsid w:val="009F336B"/>
    <w:rsid w:val="00A03CF0"/>
    <w:rsid w:val="00A342ED"/>
    <w:rsid w:val="00A362A1"/>
    <w:rsid w:val="00A4110D"/>
    <w:rsid w:val="00A426AA"/>
    <w:rsid w:val="00A439ED"/>
    <w:rsid w:val="00A55067"/>
    <w:rsid w:val="00A660C8"/>
    <w:rsid w:val="00A734A5"/>
    <w:rsid w:val="00A76996"/>
    <w:rsid w:val="00A77233"/>
    <w:rsid w:val="00A94D8B"/>
    <w:rsid w:val="00A9616F"/>
    <w:rsid w:val="00AA5742"/>
    <w:rsid w:val="00AC1380"/>
    <w:rsid w:val="00AC45A8"/>
    <w:rsid w:val="00B3608C"/>
    <w:rsid w:val="00B5265E"/>
    <w:rsid w:val="00B636B2"/>
    <w:rsid w:val="00BA7368"/>
    <w:rsid w:val="00C115FC"/>
    <w:rsid w:val="00C14EF6"/>
    <w:rsid w:val="00C23737"/>
    <w:rsid w:val="00C305FA"/>
    <w:rsid w:val="00C541A2"/>
    <w:rsid w:val="00C70C5C"/>
    <w:rsid w:val="00C83397"/>
    <w:rsid w:val="00CA150F"/>
    <w:rsid w:val="00CB02C4"/>
    <w:rsid w:val="00CB3026"/>
    <w:rsid w:val="00CC1F79"/>
    <w:rsid w:val="00D2324F"/>
    <w:rsid w:val="00D30EF4"/>
    <w:rsid w:val="00D716CA"/>
    <w:rsid w:val="00D82C18"/>
    <w:rsid w:val="00DA291E"/>
    <w:rsid w:val="00DF01EB"/>
    <w:rsid w:val="00DF461A"/>
    <w:rsid w:val="00E06B99"/>
    <w:rsid w:val="00E13BE7"/>
    <w:rsid w:val="00E705C8"/>
    <w:rsid w:val="00E7344B"/>
    <w:rsid w:val="00E95703"/>
    <w:rsid w:val="00F02C09"/>
    <w:rsid w:val="00F1574D"/>
    <w:rsid w:val="00F433AF"/>
    <w:rsid w:val="00F504D6"/>
    <w:rsid w:val="00F62A15"/>
    <w:rsid w:val="00F955B5"/>
    <w:rsid w:val="00FA5D5D"/>
    <w:rsid w:val="00FB24E8"/>
    <w:rsid w:val="00FB6DE5"/>
    <w:rsid w:val="00FD4093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BEFD5E32-49F8-4FC8-A67B-E0E2D63E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3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6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6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9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6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4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9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2021-04-12T11:07:00Z</dcterms:created>
  <dcterms:modified xsi:type="dcterms:W3CDTF">2021-04-14T07:33:00Z</dcterms:modified>
</cp:coreProperties>
</file>