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79CC1" w14:textId="7B59EC45" w:rsidR="00D62D11" w:rsidRPr="006D7533" w:rsidRDefault="006D7533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sr-Latn-RS"/>
        </w:rPr>
      </w:pPr>
      <w:r>
        <w:rPr>
          <w:rFonts w:ascii="Verdana" w:hAnsi="Verdana"/>
          <w:color w:val="2F618F"/>
          <w:sz w:val="15"/>
          <w:szCs w:val="15"/>
          <w:lang w:val="sr-Latn-RS"/>
        </w:rPr>
        <w:t xml:space="preserve">Verzija od </w:t>
      </w:r>
      <w:r w:rsidR="001034E2" w:rsidRPr="006D7533">
        <w:rPr>
          <w:rFonts w:ascii="Verdana" w:hAnsi="Verdana"/>
          <w:color w:val="2F618F"/>
          <w:sz w:val="15"/>
          <w:szCs w:val="15"/>
          <w:lang w:val="sr-Latn-RS"/>
        </w:rPr>
        <w:t>15</w:t>
      </w:r>
      <w:r>
        <w:rPr>
          <w:rFonts w:ascii="Verdana" w:hAnsi="Verdana"/>
          <w:color w:val="2F618F"/>
          <w:sz w:val="15"/>
          <w:szCs w:val="15"/>
          <w:lang w:val="sr-Latn-RS"/>
        </w:rPr>
        <w:t xml:space="preserve">. oktobra </w:t>
      </w:r>
      <w:r w:rsidR="001034E2" w:rsidRPr="006D7533">
        <w:rPr>
          <w:rFonts w:ascii="Verdana" w:hAnsi="Verdana"/>
          <w:color w:val="2F618F"/>
          <w:sz w:val="15"/>
          <w:szCs w:val="15"/>
          <w:lang w:val="sr-Latn-RS"/>
        </w:rPr>
        <w:t>2020</w:t>
      </w:r>
      <w:r>
        <w:rPr>
          <w:rFonts w:ascii="Verdana" w:hAnsi="Verdana"/>
          <w:color w:val="2F618F"/>
          <w:sz w:val="15"/>
          <w:szCs w:val="15"/>
          <w:lang w:val="sr-Latn-RS"/>
        </w:rPr>
        <w:t>.</w:t>
      </w:r>
    </w:p>
    <w:p w14:paraId="78BCBA2C" w14:textId="23906001" w:rsidR="0045442C" w:rsidRPr="006D7533" w:rsidRDefault="006D7533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sr-Latn-RS"/>
        </w:rPr>
      </w:pPr>
      <w:r w:rsidRPr="006D7533">
        <w:rPr>
          <w:rFonts w:ascii="Verdana" w:hAnsi="Verdana"/>
          <w:b/>
          <w:sz w:val="32"/>
          <w:szCs w:val="32"/>
          <w:lang w:val="sr-Latn-RS"/>
        </w:rPr>
        <w:t>Uvodni kurs pravosudne obuke</w:t>
      </w:r>
      <w:r w:rsidR="009C7AFF" w:rsidRPr="006D7533">
        <w:rPr>
          <w:rFonts w:ascii="Verdana" w:hAnsi="Verdana"/>
          <w:b/>
          <w:sz w:val="32"/>
          <w:szCs w:val="32"/>
          <w:lang w:val="sr-Latn-RS"/>
        </w:rPr>
        <w:t xml:space="preserve"> </w:t>
      </w:r>
      <w:r>
        <w:rPr>
          <w:rFonts w:ascii="Verdana" w:hAnsi="Verdana"/>
          <w:b/>
          <w:sz w:val="32"/>
          <w:szCs w:val="32"/>
          <w:lang w:val="sr-Latn-RS"/>
        </w:rPr>
        <w:t>o visokotehnološkom kriminalu i elektronskim dokazima</w:t>
      </w:r>
    </w:p>
    <w:p w14:paraId="5E43246D" w14:textId="12E38EE7" w:rsidR="00062250" w:rsidRPr="006D7533" w:rsidRDefault="006D7533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>Test po završetku kursa</w:t>
      </w:r>
    </w:p>
    <w:p w14:paraId="64069897" w14:textId="77777777" w:rsidR="007102F1" w:rsidRPr="006D7533" w:rsidRDefault="007102F1" w:rsidP="00A36FF5">
      <w:pPr>
        <w:pStyle w:val="Heading1"/>
        <w:spacing w:before="120" w:line="260" w:lineRule="atLeast"/>
        <w:rPr>
          <w:rFonts w:ascii="Verdana" w:hAnsi="Verdana"/>
          <w:lang w:val="sr-Latn-RS"/>
        </w:rPr>
      </w:pPr>
    </w:p>
    <w:p w14:paraId="170CF79C" w14:textId="133269B0" w:rsidR="003C409F" w:rsidRPr="00A268AA" w:rsidRDefault="003C409F" w:rsidP="00A268AA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18"/>
          <w:szCs w:val="18"/>
          <w:lang w:val="sr-Latn-RS"/>
        </w:rPr>
      </w:pPr>
    </w:p>
    <w:p w14:paraId="6E48A004" w14:textId="1905C172" w:rsidR="00A94784" w:rsidRPr="00A268AA" w:rsidRDefault="006D7533" w:rsidP="00A268AA">
      <w:pPr>
        <w:pStyle w:val="Heading1"/>
        <w:spacing w:before="120" w:line="260" w:lineRule="atLeast"/>
        <w:rPr>
          <w:rFonts w:ascii="Verdana" w:hAnsi="Verdana"/>
          <w:sz w:val="18"/>
          <w:szCs w:val="18"/>
          <w:lang w:val="sr-Latn-RS"/>
        </w:rPr>
      </w:pPr>
      <w:r w:rsidRPr="00A268AA">
        <w:rPr>
          <w:rFonts w:ascii="Verdana" w:hAnsi="Verdana"/>
          <w:sz w:val="18"/>
          <w:szCs w:val="18"/>
          <w:lang w:val="sr-Latn-RS"/>
        </w:rPr>
        <w:t xml:space="preserve">Test po završetku kursa </w:t>
      </w:r>
      <w:r w:rsidR="00404EF9" w:rsidRPr="00A268AA">
        <w:rPr>
          <w:rFonts w:ascii="Verdana" w:hAnsi="Verdana"/>
          <w:sz w:val="18"/>
          <w:szCs w:val="18"/>
          <w:lang w:val="sr-Latn-RS"/>
        </w:rPr>
        <w:t xml:space="preserve">– </w:t>
      </w:r>
      <w:r w:rsidRPr="00A268AA">
        <w:rPr>
          <w:rFonts w:ascii="Verdana" w:hAnsi="Verdana"/>
          <w:sz w:val="18"/>
          <w:szCs w:val="18"/>
          <w:lang w:val="sr-Latn-RS"/>
        </w:rPr>
        <w:t>Pitanja</w:t>
      </w:r>
    </w:p>
    <w:p w14:paraId="2C268E74" w14:textId="77777777" w:rsidR="00852226" w:rsidRPr="00A268AA" w:rsidRDefault="00852226" w:rsidP="00A268AA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sr-Latn-RS"/>
        </w:rPr>
      </w:pPr>
    </w:p>
    <w:p w14:paraId="015C8647" w14:textId="57D3BC4F" w:rsidR="00852226" w:rsidRPr="00A268AA" w:rsidRDefault="006D7533" w:rsidP="00A268AA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sr-Latn-RS"/>
        </w:rPr>
      </w:pPr>
      <w:r w:rsidRPr="00A268AA">
        <w:rPr>
          <w:rFonts w:ascii="Verdana" w:eastAsia="Times New Roman" w:hAnsi="Verdana"/>
          <w:sz w:val="18"/>
          <w:szCs w:val="18"/>
          <w:lang w:val="sr-Latn-RS"/>
        </w:rPr>
        <w:t xml:space="preserve">Odgovorite na sledeća pitanja </w:t>
      </w:r>
      <w:r w:rsidR="003C409F" w:rsidRPr="00A268AA">
        <w:rPr>
          <w:rFonts w:ascii="Verdana" w:eastAsia="Times New Roman" w:hAnsi="Verdana"/>
          <w:sz w:val="18"/>
          <w:szCs w:val="18"/>
          <w:lang w:val="sr-Latn-RS"/>
        </w:rPr>
        <w:t>(</w:t>
      </w:r>
      <w:r w:rsidRPr="00A268AA">
        <w:rPr>
          <w:rFonts w:ascii="Verdana" w:eastAsia="Times New Roman" w:hAnsi="Verdana"/>
          <w:sz w:val="18"/>
          <w:szCs w:val="18"/>
          <w:lang w:val="sr-Latn-RS"/>
        </w:rPr>
        <w:t xml:space="preserve">DA ili </w:t>
      </w:r>
      <w:r w:rsidR="003C409F" w:rsidRPr="00A268AA">
        <w:rPr>
          <w:rFonts w:ascii="Verdana" w:eastAsia="Times New Roman" w:hAnsi="Verdana"/>
          <w:sz w:val="18"/>
          <w:szCs w:val="18"/>
          <w:lang w:val="sr-Latn-RS"/>
        </w:rPr>
        <w:t>N</w:t>
      </w:r>
      <w:r w:rsidRPr="00A268AA">
        <w:rPr>
          <w:rFonts w:ascii="Verdana" w:eastAsia="Times New Roman" w:hAnsi="Verdana"/>
          <w:sz w:val="18"/>
          <w:szCs w:val="18"/>
          <w:lang w:val="sr-Latn-RS"/>
        </w:rPr>
        <w:t>E</w:t>
      </w:r>
      <w:r w:rsidR="003C409F" w:rsidRPr="00A268AA">
        <w:rPr>
          <w:rFonts w:ascii="Verdana" w:eastAsia="Times New Roman" w:hAnsi="Verdana"/>
          <w:sz w:val="18"/>
          <w:szCs w:val="18"/>
          <w:lang w:val="sr-Latn-RS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920"/>
        <w:gridCol w:w="617"/>
        <w:gridCol w:w="536"/>
      </w:tblGrid>
      <w:tr w:rsidR="00123499" w:rsidRPr="00A268AA" w14:paraId="7B37B2ED" w14:textId="77777777" w:rsidTr="00E76A6C"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E4E00E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70BF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62C4C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DA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FAE4271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NE</w:t>
            </w:r>
          </w:p>
        </w:tc>
      </w:tr>
      <w:tr w:rsidR="00123499" w:rsidRPr="005D1673" w14:paraId="04497738" w14:textId="77777777" w:rsidTr="00E76A6C">
        <w:tc>
          <w:tcPr>
            <w:tcW w:w="4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8320C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5B04CB40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U računarskom sistemu je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 xml:space="preserve"> CPU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 (centralni procesor) mesto je gde se skladište podaci</w:t>
            </w:r>
          </w:p>
        </w:tc>
        <w:tc>
          <w:tcPr>
            <w:tcW w:w="617" w:type="dxa"/>
            <w:vAlign w:val="center"/>
          </w:tcPr>
          <w:p w14:paraId="61F64EBC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1375F22" w14:textId="2372723D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A268AA" w14:paraId="02875DB7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16F46FC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6920" w:type="dxa"/>
            <w:vAlign w:val="center"/>
          </w:tcPr>
          <w:p w14:paraId="7502E864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Microsoft Office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 je operativni sistem</w:t>
            </w:r>
          </w:p>
        </w:tc>
        <w:tc>
          <w:tcPr>
            <w:tcW w:w="617" w:type="dxa"/>
            <w:vAlign w:val="center"/>
          </w:tcPr>
          <w:p w14:paraId="0B9A4309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380A69BE" w14:textId="78954B39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A268AA" w14:paraId="5109FEB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E22F818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6920" w:type="dxa"/>
            <w:vAlign w:val="center"/>
          </w:tcPr>
          <w:p w14:paraId="3E94768E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213.43.112.45 je 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IP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 adresa</w:t>
            </w:r>
          </w:p>
        </w:tc>
        <w:tc>
          <w:tcPr>
            <w:tcW w:w="617" w:type="dxa"/>
            <w:vAlign w:val="center"/>
          </w:tcPr>
          <w:p w14:paraId="6094FB27" w14:textId="1273CB56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E73F1A4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35FE43BB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77C852D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4</w:t>
            </w:r>
          </w:p>
        </w:tc>
        <w:tc>
          <w:tcPr>
            <w:tcW w:w="6920" w:type="dxa"/>
            <w:vAlign w:val="center"/>
          </w:tcPr>
          <w:p w14:paraId="4F0DBDA7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Zaglavlje imejla može pružiti dokaz o poreklu poruke</w:t>
            </w:r>
          </w:p>
        </w:tc>
        <w:tc>
          <w:tcPr>
            <w:tcW w:w="617" w:type="dxa"/>
            <w:vAlign w:val="center"/>
          </w:tcPr>
          <w:p w14:paraId="5D31933F" w14:textId="7F4C5F01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51EAC116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A268AA" w14:paraId="67ABCCF6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679357F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6920" w:type="dxa"/>
            <w:vAlign w:val="center"/>
          </w:tcPr>
          <w:p w14:paraId="23063DCD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Društvene mreže koristi više od 50% stanovnika sveta</w:t>
            </w:r>
          </w:p>
        </w:tc>
        <w:tc>
          <w:tcPr>
            <w:tcW w:w="617" w:type="dxa"/>
            <w:vAlign w:val="center"/>
          </w:tcPr>
          <w:p w14:paraId="417DB445" w14:textId="2FE5B57B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E7989E5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6E4CBC32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4E2F11A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6920" w:type="dxa"/>
            <w:vAlign w:val="center"/>
          </w:tcPr>
          <w:p w14:paraId="51485653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Budimpeštanska konvencija je jedini međunarodni ugovor o visokotehnološkom kriminalu i elektronskim dokazima</w:t>
            </w:r>
          </w:p>
        </w:tc>
        <w:tc>
          <w:tcPr>
            <w:tcW w:w="617" w:type="dxa"/>
            <w:vAlign w:val="center"/>
          </w:tcPr>
          <w:p w14:paraId="5F248CDC" w14:textId="1A6FFCF0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83CC48B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2D2DEF73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0DCB0BE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7</w:t>
            </w:r>
          </w:p>
        </w:tc>
        <w:tc>
          <w:tcPr>
            <w:tcW w:w="6920" w:type="dxa"/>
            <w:vAlign w:val="center"/>
          </w:tcPr>
          <w:p w14:paraId="7D75361F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U svetu je 40% zemalja koje su ili strane ugovornice ili potpisnice Budimpeštanske konvencije ili pozvane da joj pristupe </w:t>
            </w:r>
          </w:p>
        </w:tc>
        <w:tc>
          <w:tcPr>
            <w:tcW w:w="617" w:type="dxa"/>
            <w:vAlign w:val="center"/>
          </w:tcPr>
          <w:p w14:paraId="14AA3FF2" w14:textId="55474114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263E3FB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1958AFC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647CB65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8</w:t>
            </w:r>
          </w:p>
        </w:tc>
        <w:tc>
          <w:tcPr>
            <w:tcW w:w="6920" w:type="dxa"/>
            <w:vAlign w:val="center"/>
          </w:tcPr>
          <w:p w14:paraId="1B52B983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DDoS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 je zlonamerni softver koji se koristi za krađu digitalnih identiteta</w:t>
            </w:r>
          </w:p>
        </w:tc>
        <w:tc>
          <w:tcPr>
            <w:tcW w:w="617" w:type="dxa"/>
            <w:vAlign w:val="center"/>
          </w:tcPr>
          <w:p w14:paraId="4FA3859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F48079B" w14:textId="29987774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720FA24D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A5C69C3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6920" w:type="dxa"/>
            <w:vAlign w:val="center"/>
          </w:tcPr>
          <w:p w14:paraId="46526370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Botnet je mreža kompromitovanih računara koji se koriste u zlonamerne svrhe</w:t>
            </w:r>
          </w:p>
        </w:tc>
        <w:tc>
          <w:tcPr>
            <w:tcW w:w="617" w:type="dxa"/>
            <w:vAlign w:val="center"/>
          </w:tcPr>
          <w:p w14:paraId="61BD946E" w14:textId="592B792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0F42A8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53347FC8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CD26573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6920" w:type="dxa"/>
            <w:vAlign w:val="center"/>
          </w:tcPr>
          <w:p w14:paraId="0E8AC1D3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Promena sadržaja (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defacement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) jeste napad na veb-sajt kojim se menja vizuelni izgled sajta ili veb-stranice</w:t>
            </w:r>
          </w:p>
        </w:tc>
        <w:tc>
          <w:tcPr>
            <w:tcW w:w="617" w:type="dxa"/>
            <w:vAlign w:val="center"/>
          </w:tcPr>
          <w:p w14:paraId="7C3A7558" w14:textId="73D3A91A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9B4ABED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0B01CDA4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0170FF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11</w:t>
            </w:r>
          </w:p>
        </w:tc>
        <w:tc>
          <w:tcPr>
            <w:tcW w:w="6920" w:type="dxa"/>
            <w:vAlign w:val="center"/>
          </w:tcPr>
          <w:p w14:paraId="2FCB8D28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Budimpeštanska konvencija inkriminiše onlajn seksualnu eksploataciju i zlostavljanje dece</w:t>
            </w:r>
          </w:p>
        </w:tc>
        <w:tc>
          <w:tcPr>
            <w:tcW w:w="617" w:type="dxa"/>
            <w:vAlign w:val="center"/>
          </w:tcPr>
          <w:p w14:paraId="2EF313FE" w14:textId="1A0B45C8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3E52D6A8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5FE46F6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F3AC18D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12</w:t>
            </w:r>
          </w:p>
        </w:tc>
        <w:tc>
          <w:tcPr>
            <w:tcW w:w="6920" w:type="dxa"/>
            <w:vAlign w:val="center"/>
          </w:tcPr>
          <w:p w14:paraId="6C20282B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Onlajn kleveta je krivično delo po Budimpeštanskoj konvenciji</w:t>
            </w:r>
          </w:p>
        </w:tc>
        <w:tc>
          <w:tcPr>
            <w:tcW w:w="617" w:type="dxa"/>
            <w:vAlign w:val="center"/>
          </w:tcPr>
          <w:p w14:paraId="28B1F3AE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DDE3001" w14:textId="3D80BC88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4131252D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991ADFC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44CC7CE8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Nezakonito očitavanje i kopiranje podataka sa  kreditnih kartica (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skimming &amp; shimming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) dva su oblika zlonamernog softvera (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malware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17" w:type="dxa"/>
            <w:vAlign w:val="center"/>
          </w:tcPr>
          <w:p w14:paraId="73E09A6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A8F9418" w14:textId="0ECD9410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2381D91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56BFBA1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14</w:t>
            </w:r>
          </w:p>
        </w:tc>
        <w:tc>
          <w:tcPr>
            <w:tcW w:w="6920" w:type="dxa"/>
            <w:vAlign w:val="center"/>
          </w:tcPr>
          <w:p w14:paraId="6AA0FF84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Sve usluge koje se mogu dobiti na dark vebu (dark web – tamni internet)  su nezakonite</w:t>
            </w:r>
          </w:p>
        </w:tc>
        <w:tc>
          <w:tcPr>
            <w:tcW w:w="617" w:type="dxa"/>
            <w:vAlign w:val="center"/>
          </w:tcPr>
          <w:p w14:paraId="3D77555A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61234D7" w14:textId="7FB5D771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67FBBF1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7726860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6920" w:type="dxa"/>
            <w:vAlign w:val="center"/>
          </w:tcPr>
          <w:p w14:paraId="0B1B11FB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Elektronski dokaz je svaka informacija koja je proizvedena u računarskom sistemu, sačuvana ili preneta u digitalnom obliku, a koja kasnije može biti potrebna da bi se dokazima potkrepila ili osporila činjenica koja je predmet spora u pravnom postupku </w:t>
            </w:r>
          </w:p>
        </w:tc>
        <w:tc>
          <w:tcPr>
            <w:tcW w:w="617" w:type="dxa"/>
            <w:vAlign w:val="center"/>
          </w:tcPr>
          <w:p w14:paraId="288D7B43" w14:textId="7E16FBA3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56BE9234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5ADD05BA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3FDDB16A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6920" w:type="dxa"/>
            <w:vAlign w:val="center"/>
          </w:tcPr>
          <w:p w14:paraId="36EBF8DD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Teže je manipulisati elektronskim dokazima nego fizičkim dokazima</w:t>
            </w:r>
          </w:p>
        </w:tc>
        <w:tc>
          <w:tcPr>
            <w:tcW w:w="617" w:type="dxa"/>
            <w:vAlign w:val="center"/>
          </w:tcPr>
          <w:p w14:paraId="15B70975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9F298CF" w14:textId="52C0AA81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140815A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C31AA2D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17</w:t>
            </w:r>
          </w:p>
        </w:tc>
        <w:tc>
          <w:tcPr>
            <w:tcW w:w="6920" w:type="dxa"/>
            <w:vAlign w:val="center"/>
          </w:tcPr>
          <w:p w14:paraId="485A78FB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Svi elektronski uređaji mogu potencijalno biti izvori elektronskih dokaza</w:t>
            </w:r>
          </w:p>
        </w:tc>
        <w:tc>
          <w:tcPr>
            <w:tcW w:w="617" w:type="dxa"/>
            <w:vAlign w:val="center"/>
          </w:tcPr>
          <w:p w14:paraId="51E0201B" w14:textId="4459EE4E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E3C8D5E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08F0053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533A4F3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18</w:t>
            </w:r>
          </w:p>
        </w:tc>
        <w:tc>
          <w:tcPr>
            <w:tcW w:w="6920" w:type="dxa"/>
            <w:vAlign w:val="center"/>
          </w:tcPr>
          <w:p w14:paraId="794BCCB9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Budimpeštanska konvencija sadrži alate za  postupanje sa elektronskim dokazima</w:t>
            </w:r>
          </w:p>
        </w:tc>
        <w:tc>
          <w:tcPr>
            <w:tcW w:w="617" w:type="dxa"/>
            <w:vAlign w:val="center"/>
          </w:tcPr>
          <w:p w14:paraId="6BF9DC3A" w14:textId="4917FF33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B82833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2419FC64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B03A4D4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19</w:t>
            </w:r>
          </w:p>
        </w:tc>
        <w:tc>
          <w:tcPr>
            <w:tcW w:w="6920" w:type="dxa"/>
            <w:vAlign w:val="center"/>
          </w:tcPr>
          <w:p w14:paraId="55D7412A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Budimpeštanska konvencija ne sadrži odredbe koje bi se odnosile na međunarodnu krivičnopravnu saradnju u oblasti visokotehnološkog kriminala</w:t>
            </w:r>
          </w:p>
        </w:tc>
        <w:tc>
          <w:tcPr>
            <w:tcW w:w="617" w:type="dxa"/>
            <w:vAlign w:val="center"/>
          </w:tcPr>
          <w:p w14:paraId="3DEBD4AE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B4AEAAF" w14:textId="38A631B4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73DC5562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3F44061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20</w:t>
            </w:r>
          </w:p>
        </w:tc>
        <w:tc>
          <w:tcPr>
            <w:tcW w:w="6920" w:type="dxa"/>
            <w:vAlign w:val="center"/>
          </w:tcPr>
          <w:p w14:paraId="1C56779F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Budimpeštanska konvencija biće zamenjena Drugim dodatnim protokolom </w:t>
            </w:r>
          </w:p>
        </w:tc>
        <w:tc>
          <w:tcPr>
            <w:tcW w:w="617" w:type="dxa"/>
            <w:vAlign w:val="center"/>
          </w:tcPr>
          <w:p w14:paraId="3C37D2F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4A472FE" w14:textId="5ACD88A0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48E7E177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6C48C02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21</w:t>
            </w:r>
          </w:p>
        </w:tc>
        <w:tc>
          <w:tcPr>
            <w:tcW w:w="6920" w:type="dxa"/>
            <w:vAlign w:val="center"/>
          </w:tcPr>
          <w:p w14:paraId="1D3C08DD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U okviru Budimpeštanske konvencije Fejsbuk (</w:t>
            </w:r>
            <w:r w:rsidRPr="00A268AA">
              <w:rPr>
                <w:rFonts w:ascii="Verdana" w:hAnsi="Verdana"/>
                <w:i/>
                <w:sz w:val="18"/>
                <w:szCs w:val="18"/>
                <w:lang w:val="sr-Latn-RS"/>
              </w:rPr>
              <w:t>Facebook)</w:t>
            </w: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 xml:space="preserve"> treba smatrati pružaocem usluga</w:t>
            </w:r>
          </w:p>
        </w:tc>
        <w:tc>
          <w:tcPr>
            <w:tcW w:w="617" w:type="dxa"/>
            <w:vAlign w:val="center"/>
          </w:tcPr>
          <w:p w14:paraId="232CBB7D" w14:textId="19FF51D9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6215C8B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684998EE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2C16914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22</w:t>
            </w:r>
          </w:p>
        </w:tc>
        <w:tc>
          <w:tcPr>
            <w:tcW w:w="6920" w:type="dxa"/>
            <w:vAlign w:val="center"/>
          </w:tcPr>
          <w:p w14:paraId="50E8C562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Podaci o saobraćaju su relevantni za sadržaj komunikacije</w:t>
            </w:r>
          </w:p>
        </w:tc>
        <w:tc>
          <w:tcPr>
            <w:tcW w:w="617" w:type="dxa"/>
            <w:vAlign w:val="center"/>
          </w:tcPr>
          <w:p w14:paraId="0CE92563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74BF6D8" w14:textId="72F39EA3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128B45DF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A7CC1D8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23</w:t>
            </w:r>
          </w:p>
        </w:tc>
        <w:tc>
          <w:tcPr>
            <w:tcW w:w="6920" w:type="dxa"/>
            <w:vAlign w:val="center"/>
          </w:tcPr>
          <w:p w14:paraId="4F255E13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Presretanje podataka iz sadržaja nije dopušteno u krivičnoj istrazi</w:t>
            </w:r>
          </w:p>
        </w:tc>
        <w:tc>
          <w:tcPr>
            <w:tcW w:w="617" w:type="dxa"/>
            <w:vAlign w:val="center"/>
          </w:tcPr>
          <w:p w14:paraId="6796DA3D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13F401C" w14:textId="0719C4E3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106C1975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4042B5F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6920" w:type="dxa"/>
            <w:vAlign w:val="center"/>
          </w:tcPr>
          <w:p w14:paraId="2F008732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Delo iz oblasti visokotehnološkog kriminala uvek se izvršava u matičnoj zemlji žrtve</w:t>
            </w:r>
          </w:p>
        </w:tc>
        <w:tc>
          <w:tcPr>
            <w:tcW w:w="617" w:type="dxa"/>
            <w:vAlign w:val="center"/>
          </w:tcPr>
          <w:p w14:paraId="424F5F08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79FD95E3" w14:textId="02A2DAB6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D1673" w14:paraId="6941CE9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E1957E0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6920" w:type="dxa"/>
            <w:vAlign w:val="center"/>
          </w:tcPr>
          <w:p w14:paraId="4D4CF2F5" w14:textId="77777777" w:rsidR="00123499" w:rsidRPr="00A268AA" w:rsidRDefault="00123499" w:rsidP="00A268AA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268AA">
              <w:rPr>
                <w:rFonts w:ascii="Verdana" w:hAnsi="Verdana"/>
                <w:sz w:val="18"/>
                <w:szCs w:val="18"/>
                <w:lang w:val="sr-Latn-RS"/>
              </w:rPr>
              <w:t>Mesto za kontakt 24/7 obavezno se uspostavlja u svakoj zemlji koja je strana ugovornica Budimpeštanske konvencije</w:t>
            </w:r>
          </w:p>
        </w:tc>
        <w:tc>
          <w:tcPr>
            <w:tcW w:w="617" w:type="dxa"/>
            <w:vAlign w:val="center"/>
          </w:tcPr>
          <w:p w14:paraId="1C117EE4" w14:textId="3CAD2BF8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63DBB28" w14:textId="77777777" w:rsidR="00123499" w:rsidRPr="00A268AA" w:rsidRDefault="00123499" w:rsidP="00A268A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</w:tbl>
    <w:p w14:paraId="235854F5" w14:textId="1D901BED" w:rsidR="003C409F" w:rsidRPr="00A268AA" w:rsidRDefault="003C409F" w:rsidP="00A268AA">
      <w:pPr>
        <w:spacing w:before="120" w:after="120" w:line="260" w:lineRule="atLeast"/>
        <w:rPr>
          <w:rFonts w:ascii="Verdana" w:hAnsi="Verdana"/>
          <w:sz w:val="18"/>
          <w:szCs w:val="18"/>
          <w:lang w:val="sr-Latn-RS"/>
        </w:rPr>
      </w:pPr>
    </w:p>
    <w:p w14:paraId="3C8C1F3A" w14:textId="6696BC86" w:rsidR="0090148A" w:rsidRPr="00A268AA" w:rsidRDefault="0090148A" w:rsidP="00A268AA">
      <w:pPr>
        <w:spacing w:before="120" w:after="120" w:line="260" w:lineRule="atLeast"/>
        <w:rPr>
          <w:rFonts w:ascii="Verdana" w:hAnsi="Verdana"/>
          <w:sz w:val="18"/>
          <w:szCs w:val="18"/>
          <w:lang w:val="sr-Latn-RS"/>
        </w:rPr>
      </w:pPr>
    </w:p>
    <w:p w14:paraId="3FCB5352" w14:textId="2C833536" w:rsidR="0090148A" w:rsidRPr="006D7533" w:rsidRDefault="0090148A">
      <w:pPr>
        <w:jc w:val="left"/>
        <w:rPr>
          <w:lang w:val="sr-Latn-RS"/>
        </w:rPr>
      </w:pPr>
    </w:p>
    <w:sectPr w:rsidR="0090148A" w:rsidRPr="006D7533" w:rsidSect="00A36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E3212" w14:textId="77777777" w:rsidR="00DC42E0" w:rsidRDefault="00DC42E0" w:rsidP="00EB08CB">
      <w:pPr>
        <w:spacing w:after="0" w:line="240" w:lineRule="auto"/>
      </w:pPr>
      <w:r>
        <w:separator/>
      </w:r>
    </w:p>
    <w:p w14:paraId="1FB3A00D" w14:textId="77777777" w:rsidR="00DC42E0" w:rsidRDefault="00DC42E0"/>
  </w:endnote>
  <w:endnote w:type="continuationSeparator" w:id="0">
    <w:p w14:paraId="00FC189F" w14:textId="77777777" w:rsidR="00DC42E0" w:rsidRDefault="00DC42E0" w:rsidP="00EB08CB">
      <w:pPr>
        <w:spacing w:after="0" w:line="240" w:lineRule="auto"/>
      </w:pPr>
      <w:r>
        <w:continuationSeparator/>
      </w:r>
    </w:p>
    <w:p w14:paraId="62493712" w14:textId="77777777" w:rsidR="00DC42E0" w:rsidRDefault="00DC4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321FD" w14:textId="77777777" w:rsidR="005D1673" w:rsidRDefault="005D1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C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A5060" w14:textId="77777777" w:rsidR="00DC42E0" w:rsidRDefault="00DC42E0" w:rsidP="00EB08CB">
      <w:pPr>
        <w:spacing w:after="0" w:line="240" w:lineRule="auto"/>
      </w:pPr>
      <w:r>
        <w:separator/>
      </w:r>
    </w:p>
    <w:p w14:paraId="3E8A6105" w14:textId="77777777" w:rsidR="00DC42E0" w:rsidRDefault="00DC42E0"/>
  </w:footnote>
  <w:footnote w:type="continuationSeparator" w:id="0">
    <w:p w14:paraId="1720FBEE" w14:textId="77777777" w:rsidR="00DC42E0" w:rsidRDefault="00DC42E0" w:rsidP="00EB08CB">
      <w:pPr>
        <w:spacing w:after="0" w:line="240" w:lineRule="auto"/>
      </w:pPr>
      <w:r>
        <w:continuationSeparator/>
      </w:r>
    </w:p>
    <w:p w14:paraId="676D9A1F" w14:textId="77777777" w:rsidR="00DC42E0" w:rsidRDefault="00DC4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7FDE" w14:textId="77777777" w:rsidR="005D1673" w:rsidRDefault="005D1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C174B" w14:textId="77777777" w:rsidR="005D1673" w:rsidRDefault="005D1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0FAA8" w14:textId="77777777" w:rsidR="005D1673" w:rsidRPr="00000197" w:rsidRDefault="005D1673" w:rsidP="005D1673">
    <w:pPr>
      <w:jc w:val="center"/>
      <w:rPr>
        <w:b/>
        <w:szCs w:val="18"/>
      </w:rPr>
    </w:pPr>
    <w:r w:rsidRPr="00000197">
      <w:rPr>
        <w:noProof/>
        <w:szCs w:val="18"/>
        <w:lang w:val="en-US"/>
      </w:rPr>
      <w:drawing>
        <wp:anchor distT="0" distB="0" distL="114300" distR="114300" simplePos="0" relativeHeight="251661312" behindDoc="0" locked="0" layoutInCell="1" allowOverlap="1" wp14:anchorId="2DE43CDC" wp14:editId="27FF911A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6E495F" wp14:editId="2C017A75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C90CFE9" w14:textId="77777777" w:rsidR="005D1673" w:rsidRPr="007B5138" w:rsidRDefault="005D1673" w:rsidP="005D1673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0A851F93" w14:textId="77777777" w:rsidR="005D1673" w:rsidRDefault="005D1673" w:rsidP="005D1673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0190A51" w14:textId="77777777" w:rsidR="005D1673" w:rsidRPr="007B5138" w:rsidRDefault="005D1673" w:rsidP="005D1673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4BAD9CF1" w14:textId="77777777" w:rsidR="005D1673" w:rsidRPr="00A21C6E" w:rsidRDefault="005D1673" w:rsidP="005D1673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6E495F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6C90CFE9" w14:textId="77777777" w:rsidR="005D1673" w:rsidRPr="007B5138" w:rsidRDefault="005D1673" w:rsidP="005D1673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0A851F93" w14:textId="77777777" w:rsidR="005D1673" w:rsidRDefault="005D1673" w:rsidP="005D1673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0190A51" w14:textId="77777777" w:rsidR="005D1673" w:rsidRPr="007B5138" w:rsidRDefault="005D1673" w:rsidP="005D1673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4BAD9CF1" w14:textId="77777777" w:rsidR="005D1673" w:rsidRPr="00A21C6E" w:rsidRDefault="005D1673" w:rsidP="005D1673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03CCC1A6" w14:textId="77777777" w:rsidR="005D1673" w:rsidRDefault="005D1673" w:rsidP="005D1673">
    <w:pPr>
      <w:pStyle w:val="Header"/>
    </w:pPr>
  </w:p>
  <w:p w14:paraId="612D9CC6" w14:textId="77777777" w:rsidR="005D1673" w:rsidRDefault="005D1673" w:rsidP="005D1673">
    <w:pPr>
      <w:pStyle w:val="Header"/>
    </w:pPr>
  </w:p>
  <w:p w14:paraId="49D37716" w14:textId="19B2E13F" w:rsidR="005D0E99" w:rsidRPr="005D1673" w:rsidRDefault="005D0E99" w:rsidP="005D16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3930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3499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2706E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1673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4C0A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533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4848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68AA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17BB1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C42E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073511"/>
  <w15:docId w15:val="{146902CD-6DF1-48EE-8D61-FF628A88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5454-B89D-4729-A413-71905545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4</cp:revision>
  <cp:lastPrinted>2020-05-27T13:44:00Z</cp:lastPrinted>
  <dcterms:created xsi:type="dcterms:W3CDTF">2021-04-03T09:52:00Z</dcterms:created>
  <dcterms:modified xsi:type="dcterms:W3CDTF">2021-05-10T07:53:00Z</dcterms:modified>
</cp:coreProperties>
</file>