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40DD1B57" w:rsidR="00D82C18" w:rsidRPr="00DF024C" w:rsidRDefault="00DF024C" w:rsidP="00DF024C">
      <w:pPr>
        <w:jc w:val="both"/>
        <w:rPr>
          <w:rFonts w:ascii="Verdana" w:hAnsi="Verdana"/>
          <w:lang w:val="sr-Latn-RS"/>
        </w:rPr>
      </w:pPr>
      <w:r w:rsidRPr="00DF024C">
        <w:rPr>
          <w:rFonts w:ascii="Verdana" w:hAnsi="Verdana"/>
          <w:sz w:val="28"/>
          <w:szCs w:val="28"/>
          <w:lang w:val="sr-Latn-RS"/>
        </w:rPr>
        <w:t>Lekcija</w:t>
      </w:r>
      <w:r w:rsidR="00B3608C" w:rsidRPr="00DF024C">
        <w:rPr>
          <w:rFonts w:ascii="Verdana" w:hAnsi="Verdana"/>
          <w:sz w:val="28"/>
          <w:szCs w:val="28"/>
          <w:lang w:val="sr-Latn-RS"/>
        </w:rPr>
        <w:t xml:space="preserve"> </w:t>
      </w:r>
      <w:r w:rsidR="009E1390" w:rsidRPr="00DF024C">
        <w:rPr>
          <w:rFonts w:ascii="Verdana" w:hAnsi="Verdana"/>
          <w:sz w:val="28"/>
          <w:szCs w:val="28"/>
          <w:lang w:val="sr-Latn-RS"/>
        </w:rPr>
        <w:t>2</w:t>
      </w:r>
      <w:r w:rsidR="00C70C5C" w:rsidRPr="00DF024C">
        <w:rPr>
          <w:rFonts w:ascii="Verdana" w:hAnsi="Verdana"/>
          <w:sz w:val="28"/>
          <w:szCs w:val="28"/>
          <w:lang w:val="sr-Latn-RS"/>
        </w:rPr>
        <w:t>.</w:t>
      </w:r>
      <w:r w:rsidR="00CA481B" w:rsidRPr="00DF024C">
        <w:rPr>
          <w:rFonts w:ascii="Verdana" w:hAnsi="Verdana"/>
          <w:sz w:val="28"/>
          <w:szCs w:val="28"/>
          <w:lang w:val="sr-Latn-RS"/>
        </w:rPr>
        <w:t>5</w:t>
      </w:r>
      <w:r w:rsidR="00A439ED" w:rsidRPr="00DF024C">
        <w:rPr>
          <w:rFonts w:ascii="Verdana" w:hAnsi="Verdana"/>
          <w:sz w:val="28"/>
          <w:szCs w:val="28"/>
          <w:lang w:val="sr-Latn-RS"/>
        </w:rPr>
        <w:t xml:space="preserve"> </w:t>
      </w:r>
      <w:r w:rsidRPr="00DF024C">
        <w:rPr>
          <w:rFonts w:ascii="Verdana" w:hAnsi="Verdana"/>
          <w:sz w:val="28"/>
          <w:szCs w:val="28"/>
          <w:lang w:val="sr-Latn-RS"/>
        </w:rPr>
        <w:t xml:space="preserve">Procesna ovlašćenja prema Budimpeštanskoj konvenciji – Deo </w:t>
      </w:r>
      <w:r w:rsidR="00CA481B" w:rsidRPr="00DF024C">
        <w:rPr>
          <w:rFonts w:ascii="Verdana" w:hAnsi="Verdana"/>
          <w:color w:val="000000" w:themeColor="text1"/>
          <w:sz w:val="28"/>
          <w:szCs w:val="28"/>
          <w:lang w:val="sr-Latn-RS"/>
        </w:rPr>
        <w:t>2</w:t>
      </w:r>
      <w:r w:rsidRPr="00DF024C">
        <w:rPr>
          <w:rFonts w:ascii="Verdana" w:hAnsi="Verdana"/>
          <w:color w:val="000000" w:themeColor="text1"/>
          <w:sz w:val="28"/>
          <w:szCs w:val="28"/>
          <w:lang w:val="sr-Latn-RS"/>
        </w:rPr>
        <w:t>.</w:t>
      </w:r>
      <w:r w:rsidR="00D72E6B">
        <w:rPr>
          <w:rFonts w:ascii="Verdana" w:hAnsi="Verdana"/>
          <w:color w:val="000000" w:themeColor="text1"/>
          <w:sz w:val="28"/>
          <w:szCs w:val="28"/>
          <w:lang w:val="sr-Latn-RS"/>
        </w:rPr>
        <w:t xml:space="preserve"> – onlajn verzija</w:t>
      </w:r>
    </w:p>
    <w:p w14:paraId="1D0E3DC5" w14:textId="77777777" w:rsidR="00C115FC" w:rsidRPr="00DF024C" w:rsidRDefault="00C115FC" w:rsidP="00C115FC">
      <w:pPr>
        <w:ind w:left="360"/>
        <w:rPr>
          <w:rFonts w:ascii="Verdana" w:hAnsi="Verdana"/>
          <w:lang w:val="sr-Latn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F638B5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2B9737E3" w:rsidR="00D82C18" w:rsidRPr="00F638B5" w:rsidRDefault="00DF024C" w:rsidP="00F638B5">
            <w:pPr>
              <w:spacing w:before="120" w:after="120" w:line="260" w:lineRule="atLeast"/>
              <w:jc w:val="both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F638B5">
              <w:rPr>
                <w:rFonts w:ascii="Verdana" w:hAnsi="Verdana"/>
                <w:sz w:val="22"/>
                <w:szCs w:val="22"/>
                <w:lang w:val="sr-Latn-RS"/>
              </w:rPr>
              <w:t>Lekcija</w:t>
            </w:r>
            <w:r w:rsidR="00C115FC" w:rsidRPr="00F638B5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="009E1390" w:rsidRPr="00F638B5">
              <w:rPr>
                <w:rFonts w:ascii="Verdana" w:hAnsi="Verdana"/>
                <w:sz w:val="22"/>
                <w:szCs w:val="22"/>
                <w:lang w:val="sr-Latn-RS"/>
              </w:rPr>
              <w:t>2</w:t>
            </w:r>
            <w:r w:rsidR="00C70C5C" w:rsidRPr="00F638B5">
              <w:rPr>
                <w:rFonts w:ascii="Verdana" w:hAnsi="Verdana"/>
                <w:sz w:val="22"/>
                <w:szCs w:val="22"/>
                <w:lang w:val="sr-Latn-RS"/>
              </w:rPr>
              <w:t>.</w:t>
            </w:r>
            <w:r w:rsidR="00CA481B" w:rsidRPr="00F638B5">
              <w:rPr>
                <w:rFonts w:ascii="Verdana" w:hAnsi="Verdana"/>
                <w:sz w:val="22"/>
                <w:szCs w:val="22"/>
                <w:lang w:val="sr-Latn-RS"/>
              </w:rPr>
              <w:t>5</w:t>
            </w:r>
            <w:r w:rsidR="00A439ED" w:rsidRPr="00F638B5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="00C06A7C" w:rsidRPr="00F638B5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Procesna</w:t>
            </w:r>
            <w:r w:rsidRPr="00F638B5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 ovlašćenja prema Budimpeštanskoj konvenciji – Deo 2. 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7EC67AC6" w:rsidR="00D82C18" w:rsidRPr="00F638B5" w:rsidRDefault="00DF024C" w:rsidP="00F638B5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F638B5">
              <w:rPr>
                <w:rFonts w:ascii="Verdana" w:hAnsi="Verdana"/>
                <w:sz w:val="22"/>
                <w:szCs w:val="22"/>
                <w:lang w:val="sr-Latn-RS"/>
              </w:rPr>
              <w:t>Trajanje</w:t>
            </w:r>
            <w:r w:rsidR="00D82C18" w:rsidRPr="00F638B5">
              <w:rPr>
                <w:rFonts w:ascii="Verdana" w:hAnsi="Verdana"/>
                <w:sz w:val="22"/>
                <w:szCs w:val="22"/>
                <w:lang w:val="sr-Latn-RS"/>
              </w:rPr>
              <w:t xml:space="preserve">: </w:t>
            </w:r>
            <w:r w:rsidR="006B3820" w:rsidRPr="00F638B5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90 </w:t>
            </w:r>
            <w:r w:rsidRPr="00F638B5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minuta</w:t>
            </w:r>
            <w:r w:rsidR="00E13BE7" w:rsidRPr="00F638B5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</w:p>
        </w:tc>
      </w:tr>
      <w:tr w:rsidR="00E7344B" w:rsidRPr="00F638B5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44559419" w:rsidR="00E7344B" w:rsidRPr="00F638B5" w:rsidRDefault="00DF024C" w:rsidP="00F638B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F638B5">
              <w:rPr>
                <w:rFonts w:ascii="Verdana" w:hAnsi="Verdana"/>
                <w:b/>
                <w:sz w:val="22"/>
                <w:szCs w:val="22"/>
                <w:lang w:val="sr-Latn-RS"/>
              </w:rPr>
              <w:t>Potrebni resursi</w:t>
            </w:r>
            <w:r w:rsidR="00E7344B" w:rsidRPr="00F638B5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E13BE7" w:rsidRPr="00F638B5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13AF21D1" w14:textId="77777777" w:rsidR="00DF024C" w:rsidRPr="00F638B5" w:rsidRDefault="00DF024C" w:rsidP="00F638B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left="540" w:firstLine="0"/>
              <w:rPr>
                <w:lang w:val="sr-Latn-RS"/>
              </w:rPr>
            </w:pPr>
            <w:r w:rsidRPr="00F638B5">
              <w:rPr>
                <w:lang w:val="sr-Latn-RS"/>
              </w:rPr>
              <w:t xml:space="preserve">Lični računar ili laptop opremljen softverskim verzijama koje su kompatibilne sa pripremljenim materijalom </w:t>
            </w:r>
          </w:p>
          <w:p w14:paraId="00773104" w14:textId="77A0132F" w:rsidR="00D72E6B" w:rsidRPr="00F638B5" w:rsidRDefault="00D72E6B" w:rsidP="00F638B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left="540" w:firstLine="0"/>
              <w:rPr>
                <w:lang w:val="sr-Latn-RS"/>
              </w:rPr>
            </w:pPr>
            <w:r w:rsidRPr="00F638B5">
              <w:rPr>
                <w:lang w:val="sr-Latn-RS"/>
              </w:rPr>
              <w:t>Pristup onlajn konferencijskom softveru/platformi</w:t>
            </w:r>
          </w:p>
          <w:p w14:paraId="62A10C2C" w14:textId="530CDCC6" w:rsidR="000F7896" w:rsidRPr="00F638B5" w:rsidRDefault="00DF024C" w:rsidP="00F638B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left="540" w:firstLine="0"/>
              <w:rPr>
                <w:lang w:val="sr-Latn-RS"/>
              </w:rPr>
            </w:pPr>
            <w:r w:rsidRPr="00F638B5">
              <w:rPr>
                <w:lang w:val="sr-Latn-RS"/>
              </w:rPr>
              <w:t xml:space="preserve">Pristup internetu </w:t>
            </w:r>
          </w:p>
          <w:p w14:paraId="2F7E701F" w14:textId="20A02716" w:rsidR="00D72E6B" w:rsidRPr="00F638B5" w:rsidRDefault="00D72E6B" w:rsidP="00F638B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left="540" w:firstLine="0"/>
              <w:rPr>
                <w:lang w:val="sr-Latn-RS"/>
              </w:rPr>
            </w:pPr>
            <w:r w:rsidRPr="00F638B5">
              <w:rPr>
                <w:lang w:val="sr-Latn-RS"/>
              </w:rPr>
              <w:t>Beležnice i olovke za polaznike</w:t>
            </w:r>
          </w:p>
          <w:p w14:paraId="14CF9EF0" w14:textId="4121C7B5" w:rsidR="000F7896" w:rsidRPr="00F638B5" w:rsidRDefault="00DF024C" w:rsidP="00F638B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left="540" w:firstLine="0"/>
              <w:rPr>
                <w:lang w:val="sr-Latn-RS"/>
              </w:rPr>
            </w:pPr>
            <w:r w:rsidRPr="00F638B5">
              <w:rPr>
                <w:lang w:val="sr-Latn-RS"/>
              </w:rPr>
              <w:t>Primerak Budimpeštanske konvencije</w:t>
            </w:r>
          </w:p>
        </w:tc>
      </w:tr>
      <w:tr w:rsidR="00E7344B" w:rsidRPr="00F638B5" w14:paraId="635F2EFD" w14:textId="77777777" w:rsidTr="00F638B5">
        <w:trPr>
          <w:trHeight w:val="2393"/>
        </w:trPr>
        <w:tc>
          <w:tcPr>
            <w:tcW w:w="9010" w:type="dxa"/>
            <w:gridSpan w:val="3"/>
            <w:vAlign w:val="center"/>
          </w:tcPr>
          <w:p w14:paraId="34602AF3" w14:textId="138C4111" w:rsidR="00A03CF0" w:rsidRPr="00F638B5" w:rsidRDefault="00DF024C" w:rsidP="00F638B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F638B5">
              <w:rPr>
                <w:rFonts w:ascii="Verdana" w:hAnsi="Verdana"/>
                <w:b/>
                <w:sz w:val="22"/>
                <w:szCs w:val="22"/>
                <w:lang w:val="sr-Latn-RS"/>
              </w:rPr>
              <w:t>Svrha</w:t>
            </w:r>
            <w:r w:rsidR="00EF53F3" w:rsidRPr="00F638B5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sesije</w:t>
            </w:r>
            <w:r w:rsidR="00A03CF0" w:rsidRPr="00F638B5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1318D4" w:rsidRPr="00F638B5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3FE58655" w14:textId="5AE4A01F" w:rsidR="00A03CF0" w:rsidRPr="00F638B5" w:rsidRDefault="00DF024C" w:rsidP="00F638B5">
            <w:pPr>
              <w:spacing w:before="120" w:after="120" w:line="260" w:lineRule="atLeast"/>
              <w:jc w:val="both"/>
              <w:rPr>
                <w:rFonts w:ascii="Verdana" w:hAnsi="Verdana"/>
                <w:i/>
                <w:color w:val="FF0000"/>
                <w:sz w:val="18"/>
                <w:szCs w:val="18"/>
                <w:lang w:val="sr-Latn-RS"/>
              </w:rPr>
            </w:pPr>
            <w:r w:rsidRPr="00F638B5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Svrha ove sesije jeste da se polaznicima omogući da sveobuhvatno shvate elemente procesnih ovlašćenja u vezi sa pretraživanjem i zaplenom sačuvanih računarskih podataka, prikupljanjem podataka o saobraćaju u realnom vremenu i presretanjem podataka iz sadržaja, kao i </w:t>
            </w:r>
            <w:r w:rsidR="007B4E3F" w:rsidRPr="00F638B5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sa </w:t>
            </w:r>
            <w:r w:rsidR="00134A8A" w:rsidRPr="00F638B5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obla</w:t>
            </w:r>
            <w:r w:rsidR="007B4E3F" w:rsidRPr="00F638B5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šću</w:t>
            </w:r>
            <w:r w:rsidR="00134A8A" w:rsidRPr="00F638B5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 </w:t>
            </w:r>
            <w:r w:rsidRPr="00F638B5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nadležnosti Budimpeštanske konvencije. Tokom sesije će detaljno biti razmotren svaki element člana 19. (pretraživanje i zaplena), člana 20. (prikupljanje podataka o saobraćaju u realnom vremenu), člana 21. </w:t>
            </w:r>
            <w:r w:rsidR="00436F51" w:rsidRPr="00F638B5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(</w:t>
            </w:r>
            <w:r w:rsidRPr="00F638B5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presretanje podataka iz sadržaja) i člana 22. (nadležnost). </w:t>
            </w:r>
          </w:p>
        </w:tc>
      </w:tr>
      <w:tr w:rsidR="00A03CF0" w:rsidRPr="00F638B5" w14:paraId="1B5A80A7" w14:textId="77777777" w:rsidTr="00221092">
        <w:trPr>
          <w:trHeight w:val="53"/>
        </w:trPr>
        <w:tc>
          <w:tcPr>
            <w:tcW w:w="9010" w:type="dxa"/>
            <w:gridSpan w:val="3"/>
            <w:vAlign w:val="center"/>
          </w:tcPr>
          <w:p w14:paraId="51C5C5B8" w14:textId="06A8ECEA" w:rsidR="0099769B" w:rsidRPr="00F638B5" w:rsidRDefault="00134A8A" w:rsidP="00F638B5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F638B5">
              <w:rPr>
                <w:rFonts w:ascii="Verdana" w:hAnsi="Verdana"/>
                <w:b/>
                <w:sz w:val="22"/>
                <w:szCs w:val="22"/>
                <w:lang w:val="sr-Latn-RS"/>
              </w:rPr>
              <w:t>Ciljevi</w:t>
            </w:r>
            <w:r w:rsidR="00EF53F3" w:rsidRPr="00F638B5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sesije</w:t>
            </w:r>
            <w:r w:rsidR="0099769B" w:rsidRPr="00F638B5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</w:p>
          <w:p w14:paraId="2B3F10F1" w14:textId="3498CC40" w:rsidR="0099769B" w:rsidRPr="00F638B5" w:rsidRDefault="00134A8A" w:rsidP="00F638B5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F638B5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Do kraja ove sesije polaznici će biti u stanju da</w:t>
            </w:r>
            <w:r w:rsidR="0099769B" w:rsidRPr="00F638B5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:</w:t>
            </w:r>
          </w:p>
          <w:p w14:paraId="2D79B303" w14:textId="131359BE" w:rsidR="00394E20" w:rsidRPr="00F638B5" w:rsidRDefault="00134A8A" w:rsidP="00F638B5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ind w:left="0" w:firstLine="0"/>
              <w:rPr>
                <w:lang w:val="sr-Latn-RS"/>
              </w:rPr>
            </w:pPr>
            <w:r w:rsidRPr="00F638B5">
              <w:rPr>
                <w:lang w:val="sr-Latn-RS"/>
              </w:rPr>
              <w:t xml:space="preserve">Identifikuju elemente koji čine procesna ovlašćenja: </w:t>
            </w:r>
          </w:p>
          <w:p w14:paraId="7170783D" w14:textId="16895EFC" w:rsidR="00134A8A" w:rsidRPr="00F638B5" w:rsidRDefault="00134A8A" w:rsidP="00F638B5">
            <w:pPr>
              <w:pStyle w:val="bul1"/>
              <w:numPr>
                <w:ilvl w:val="0"/>
                <w:numId w:val="12"/>
              </w:numPr>
              <w:spacing w:before="120" w:after="120" w:line="260" w:lineRule="atLeast"/>
              <w:ind w:left="0" w:firstLine="0"/>
              <w:rPr>
                <w:lang w:val="sr-Latn-RS"/>
              </w:rPr>
            </w:pPr>
            <w:r w:rsidRPr="00F638B5">
              <w:rPr>
                <w:lang w:val="sr-Latn-RS"/>
              </w:rPr>
              <w:t>Za pretraživanje i zaplenu sačuvanih računarskih podataka</w:t>
            </w:r>
            <w:r w:rsidR="00436F51" w:rsidRPr="00F638B5">
              <w:rPr>
                <w:lang w:val="sr-Latn-RS"/>
              </w:rPr>
              <w:t>,</w:t>
            </w:r>
            <w:r w:rsidRPr="00F638B5">
              <w:rPr>
                <w:lang w:val="sr-Latn-RS"/>
              </w:rPr>
              <w:t xml:space="preserve"> </w:t>
            </w:r>
          </w:p>
          <w:p w14:paraId="68EB3D04" w14:textId="2F0D9648" w:rsidR="00134A8A" w:rsidRPr="00F638B5" w:rsidRDefault="00134A8A" w:rsidP="00F638B5">
            <w:pPr>
              <w:pStyle w:val="bul1"/>
              <w:numPr>
                <w:ilvl w:val="0"/>
                <w:numId w:val="12"/>
              </w:numPr>
              <w:spacing w:before="120" w:after="120" w:line="260" w:lineRule="atLeast"/>
              <w:ind w:left="0" w:firstLine="0"/>
              <w:rPr>
                <w:lang w:val="sr-Latn-RS"/>
              </w:rPr>
            </w:pPr>
            <w:r w:rsidRPr="00F638B5">
              <w:rPr>
                <w:lang w:val="sr-Latn-RS"/>
              </w:rPr>
              <w:t>Za prikupljanje podataka o saobraćaju u realnom vremenu</w:t>
            </w:r>
            <w:r w:rsidR="00436F51" w:rsidRPr="00F638B5">
              <w:rPr>
                <w:lang w:val="sr-Latn-RS"/>
              </w:rPr>
              <w:t>,</w:t>
            </w:r>
            <w:r w:rsidRPr="00F638B5">
              <w:rPr>
                <w:lang w:val="sr-Latn-RS"/>
              </w:rPr>
              <w:t xml:space="preserve"> </w:t>
            </w:r>
          </w:p>
          <w:p w14:paraId="63AB0966" w14:textId="374B0C7E" w:rsidR="0099769B" w:rsidRPr="00F638B5" w:rsidRDefault="00134A8A" w:rsidP="00F638B5">
            <w:pPr>
              <w:pStyle w:val="bul1"/>
              <w:numPr>
                <w:ilvl w:val="0"/>
                <w:numId w:val="12"/>
              </w:numPr>
              <w:spacing w:before="120" w:after="120" w:line="260" w:lineRule="atLeast"/>
              <w:ind w:left="0" w:firstLine="0"/>
              <w:rPr>
                <w:lang w:val="sr-Latn-RS"/>
              </w:rPr>
            </w:pPr>
            <w:r w:rsidRPr="00F638B5">
              <w:rPr>
                <w:lang w:val="sr-Latn-RS"/>
              </w:rPr>
              <w:t>Za presretanje podataka iz sadržaja</w:t>
            </w:r>
            <w:r w:rsidR="00436F51" w:rsidRPr="00F638B5">
              <w:rPr>
                <w:lang w:val="sr-Latn-RS"/>
              </w:rPr>
              <w:t>;</w:t>
            </w:r>
          </w:p>
          <w:p w14:paraId="61ABEAC5" w14:textId="25CCEC86" w:rsidR="001E7389" w:rsidRPr="00F638B5" w:rsidRDefault="00134A8A" w:rsidP="00F638B5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ind w:left="0" w:firstLine="0"/>
              <w:rPr>
                <w:lang w:val="sr-Latn-RS"/>
              </w:rPr>
            </w:pPr>
            <w:r w:rsidRPr="00F638B5">
              <w:rPr>
                <w:lang w:val="sr-Latn-RS"/>
              </w:rPr>
              <w:t xml:space="preserve">Da shvate oblast nadležnosti Budimpeštanske konvencije. </w:t>
            </w:r>
          </w:p>
        </w:tc>
      </w:tr>
      <w:tr w:rsidR="005703B7" w:rsidRPr="00F638B5" w14:paraId="03110757" w14:textId="77777777" w:rsidTr="00F638B5">
        <w:trPr>
          <w:trHeight w:val="4913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E1506BB" w:rsidR="005703B7" w:rsidRPr="00F638B5" w:rsidRDefault="00134A8A" w:rsidP="00F638B5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F638B5"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t xml:space="preserve">Uputstvo za predavača </w:t>
            </w:r>
          </w:p>
          <w:p w14:paraId="771019B1" w14:textId="12E5F6CA" w:rsidR="00134A8A" w:rsidRPr="00F638B5" w:rsidRDefault="00134A8A" w:rsidP="00F638B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Ova sesija je pripremljena kako bi se polaznicima omogućilo da steknu sveobuhvatno razumevanje definicija utvrđenih u Poglavlju II Odeljak 2. Ova sesija je podeljena na četiri dela, pored uvodnog i zaključnog dela. Prvi deo obuhvata pretraživanje i zaplenu sačuvanih</w:t>
            </w:r>
            <w:r w:rsidR="001318D4" w:rsidRPr="00F638B5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 xml:space="preserve">računarskih podataka. Drugi deo obuhvata prikupljanje podataka o saobraćaju u realnom vremenu. Treći deo obuhvata presretanja podataka iz sadržaja. Četvrti deo odnosi se na oblast nadležnosti Budimpeštanske konvencije. </w:t>
            </w:r>
          </w:p>
          <w:p w14:paraId="4F3DE3CE" w14:textId="1B39616D" w:rsidR="00FC23CB" w:rsidRPr="00F638B5" w:rsidRDefault="00134A8A" w:rsidP="00F638B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 xml:space="preserve">Pre no što </w:t>
            </w:r>
            <w:r w:rsidR="00436F51" w:rsidRPr="00F638B5">
              <w:rPr>
                <w:rFonts w:ascii="Verdana" w:hAnsi="Verdana"/>
                <w:sz w:val="18"/>
                <w:szCs w:val="18"/>
                <w:lang w:val="sr-Latn-RS"/>
              </w:rPr>
              <w:t xml:space="preserve">predavač </w:t>
            </w: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održi ovu sesiju</w:t>
            </w:r>
            <w:r w:rsidR="00436F51" w:rsidRPr="00F638B5">
              <w:rPr>
                <w:rFonts w:ascii="Verdana" w:hAnsi="Verdana"/>
                <w:sz w:val="18"/>
                <w:szCs w:val="18"/>
                <w:lang w:val="sr-Latn-RS"/>
              </w:rPr>
              <w:t>,</w:t>
            </w: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 xml:space="preserve"> preporučuje se da ponovo razmotri stavove </w:t>
            </w:r>
            <w:r w:rsidR="0099769B" w:rsidRPr="00F638B5">
              <w:rPr>
                <w:rFonts w:ascii="Verdana" w:hAnsi="Verdana"/>
                <w:sz w:val="18"/>
                <w:szCs w:val="18"/>
                <w:lang w:val="sr-Latn-RS"/>
              </w:rPr>
              <w:t>184–239</w:t>
            </w: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 xml:space="preserve">. </w:t>
            </w:r>
            <w:hyperlink r:id="rId5" w:history="1">
              <w:r w:rsidR="0099769B" w:rsidRPr="00F638B5">
                <w:rPr>
                  <w:rStyle w:val="Hyperlink"/>
                  <w:rFonts w:ascii="Verdana" w:hAnsi="Verdana"/>
                  <w:sz w:val="18"/>
                  <w:szCs w:val="18"/>
                  <w:lang w:val="sr-Latn-RS"/>
                </w:rPr>
                <w:t>E</w:t>
              </w:r>
              <w:r w:rsidRPr="00F638B5">
                <w:rPr>
                  <w:rStyle w:val="Hyperlink"/>
                  <w:rFonts w:ascii="Verdana" w:hAnsi="Verdana"/>
                  <w:sz w:val="18"/>
                  <w:szCs w:val="18"/>
                  <w:lang w:val="sr-Latn-RS"/>
                </w:rPr>
                <w:t>ksplanatornog izveštaja uz Konvenciju o visokotehnološkom kriminalu.</w:t>
              </w:r>
            </w:hyperlink>
          </w:p>
          <w:p w14:paraId="5EFF4BEF" w14:textId="7315C87B" w:rsidR="00070C94" w:rsidRPr="00F638B5" w:rsidRDefault="00C41166" w:rsidP="00F638B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Predavač mož</w:t>
            </w:r>
            <w:r w:rsidR="00436F51" w:rsidRPr="00F638B5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 xml:space="preserve"> da podstakne diskusiju </w:t>
            </w:r>
            <w:r w:rsidR="00436F51" w:rsidRPr="00F638B5">
              <w:rPr>
                <w:rFonts w:ascii="Verdana" w:hAnsi="Verdana"/>
                <w:sz w:val="18"/>
                <w:szCs w:val="18"/>
                <w:lang w:val="sr-Latn-RS"/>
              </w:rPr>
              <w:t>o tome kako su u domaćem zakonodavstvu uređene odredbe koje su obuhvaćene ovom sesijom</w:t>
            </w: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 xml:space="preserve">. </w:t>
            </w:r>
          </w:p>
        </w:tc>
      </w:tr>
      <w:tr w:rsidR="005A4E47" w:rsidRPr="00F638B5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262FB1C1" w:rsidR="005A4E47" w:rsidRPr="00F638B5" w:rsidRDefault="00C41166" w:rsidP="00F638B5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sr-Latn-RS"/>
              </w:rPr>
            </w:pPr>
            <w:r w:rsidRPr="00F638B5">
              <w:rPr>
                <w:rFonts w:ascii="Verdana" w:hAnsi="Verdana"/>
                <w:b/>
                <w:sz w:val="28"/>
                <w:szCs w:val="28"/>
                <w:lang w:val="sr-Latn-RS"/>
              </w:rPr>
              <w:lastRenderedPageBreak/>
              <w:t>Sadržaj lekcije</w:t>
            </w:r>
          </w:p>
        </w:tc>
      </w:tr>
      <w:tr w:rsidR="00F1574D" w:rsidRPr="00F638B5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0980A898" w:rsidR="00D82C18" w:rsidRPr="00F638B5" w:rsidRDefault="00C41166" w:rsidP="00F638B5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F638B5">
              <w:rPr>
                <w:rFonts w:ascii="Verdana" w:hAnsi="Verdana"/>
                <w:b/>
                <w:sz w:val="22"/>
                <w:szCs w:val="22"/>
                <w:lang w:val="sr-Latn-RS"/>
              </w:rPr>
              <w:t>Broj slajdova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60981D69" w:rsidR="00D82C18" w:rsidRPr="00F638B5" w:rsidRDefault="00970CB9" w:rsidP="00F638B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F638B5">
              <w:rPr>
                <w:rFonts w:ascii="Verdana" w:hAnsi="Verdana"/>
                <w:b/>
                <w:sz w:val="22"/>
                <w:szCs w:val="22"/>
                <w:lang w:val="sr-Latn-RS"/>
              </w:rPr>
              <w:t>Sadržaj</w:t>
            </w:r>
          </w:p>
        </w:tc>
      </w:tr>
      <w:tr w:rsidR="00F1574D" w:rsidRPr="00F638B5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25B91996" w:rsidR="00D82C18" w:rsidRPr="00F638B5" w:rsidRDefault="003630ED" w:rsidP="00F638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436F51" w:rsidRPr="00F638B5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C70C5C" w:rsidRPr="00F638B5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C41166" w:rsidRPr="00F638B5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5A89CF27" w14:textId="100784B1" w:rsidR="00F1574D" w:rsidRPr="00F638B5" w:rsidRDefault="00C41166" w:rsidP="00F638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6812EA49" w:rsidR="00556D69" w:rsidRPr="00F638B5" w:rsidRDefault="00C41166" w:rsidP="00F638B5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Početni slajdovi predstavljaju uvod u sesiju i obuhvataju dnevni red i svrhu i ciljeve sesije. </w:t>
            </w:r>
          </w:p>
        </w:tc>
      </w:tr>
      <w:tr w:rsidR="00F1574D" w:rsidRPr="00F638B5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5F0C4D80" w:rsidR="00D82C18" w:rsidRPr="00F638B5" w:rsidRDefault="00C70C5C" w:rsidP="00F638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5</w:t>
            </w:r>
            <w:r w:rsidR="00436F51" w:rsidRPr="00F638B5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2C4091" w:rsidRPr="00F638B5">
              <w:rPr>
                <w:rFonts w:ascii="Verdana" w:hAnsi="Verdana"/>
                <w:sz w:val="18"/>
                <w:szCs w:val="18"/>
                <w:lang w:val="sr-Latn-RS"/>
              </w:rPr>
              <w:t>22</w:t>
            </w:r>
            <w:r w:rsidR="00C41166" w:rsidRPr="00F638B5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6F5AEB2D" w14:textId="72500166" w:rsidR="00F1574D" w:rsidRPr="00F638B5" w:rsidRDefault="00C41166" w:rsidP="00F638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03159FBF" w14:textId="77777777" w:rsidR="00C41166" w:rsidRPr="00F638B5" w:rsidRDefault="00C41166" w:rsidP="00F638B5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F638B5">
              <w:rPr>
                <w:rFonts w:ascii="Verdana" w:eastAsia="Times New Roman" w:hAnsi="Verdana"/>
                <w:szCs w:val="18"/>
                <w:lang w:val="sr-Latn-RS"/>
              </w:rPr>
              <w:t>Ti slajdovi objašnjavaju procesnopravne odredbe u vezi sa pretraživanjem i zaplenom sačuvanih računarskih podataka</w:t>
            </w:r>
            <w:r w:rsidR="00E66317" w:rsidRPr="00F638B5">
              <w:rPr>
                <w:rFonts w:ascii="Verdana" w:eastAsia="Times New Roman" w:hAnsi="Verdana"/>
                <w:szCs w:val="18"/>
                <w:lang w:val="sr-Latn-RS"/>
              </w:rPr>
              <w:t xml:space="preserve"> </w:t>
            </w:r>
            <w:r w:rsidRPr="00F638B5">
              <w:rPr>
                <w:rFonts w:ascii="Verdana" w:eastAsia="Times New Roman" w:hAnsi="Verdana"/>
                <w:szCs w:val="18"/>
                <w:lang w:val="sr-Latn-RS"/>
              </w:rPr>
              <w:t xml:space="preserve">kako je to utvrđeno u članu 19. Budimpeštanske konvencije. </w:t>
            </w:r>
          </w:p>
          <w:p w14:paraId="60975119" w14:textId="77777777" w:rsidR="00C41166" w:rsidRPr="00F638B5" w:rsidRDefault="00C41166" w:rsidP="00F638B5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F638B5">
              <w:rPr>
                <w:rFonts w:ascii="Verdana" w:eastAsia="Times New Roman" w:hAnsi="Verdana"/>
                <w:szCs w:val="18"/>
                <w:lang w:val="sr-Latn-RS"/>
              </w:rPr>
              <w:t xml:space="preserve">Prva grupa slajdova pruža sažetak ovlašćenja prema članu 19. Budimpeštanske konvencije. Tu se nalaze dve studije slučaja kako bi se pokazali različiti načini na koje je to ovlašćenje ostvareno u praksi, uključujući zaplenu fizičkih uređaja za čuvanje podataka i onemogućavanje pristupa računarskim podacima. </w:t>
            </w:r>
          </w:p>
          <w:p w14:paraId="649FEA68" w14:textId="760616EA" w:rsidR="00DD3B85" w:rsidRPr="00F638B5" w:rsidRDefault="00C41166" w:rsidP="00F638B5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F638B5">
              <w:rPr>
                <w:rFonts w:ascii="Verdana" w:eastAsia="Times New Roman" w:hAnsi="Verdana"/>
                <w:szCs w:val="18"/>
                <w:lang w:val="sr-Latn-RS"/>
              </w:rPr>
              <w:t>S</w:t>
            </w:r>
            <w:r w:rsidR="00B912E8" w:rsidRPr="00F638B5">
              <w:rPr>
                <w:rFonts w:ascii="Verdana" w:eastAsia="Times New Roman" w:hAnsi="Verdana"/>
                <w:szCs w:val="18"/>
                <w:lang w:val="sr-Latn-RS"/>
              </w:rPr>
              <w:t xml:space="preserve">vaki od slajdova u sledećoj </w:t>
            </w:r>
            <w:r w:rsidRPr="00F638B5">
              <w:rPr>
                <w:rFonts w:ascii="Verdana" w:eastAsia="Times New Roman" w:hAnsi="Verdana"/>
                <w:szCs w:val="18"/>
                <w:lang w:val="sr-Latn-RS"/>
              </w:rPr>
              <w:t>grup</w:t>
            </w:r>
            <w:r w:rsidR="00B912E8" w:rsidRPr="00F638B5">
              <w:rPr>
                <w:rFonts w:ascii="Verdana" w:eastAsia="Times New Roman" w:hAnsi="Verdana"/>
                <w:szCs w:val="18"/>
                <w:lang w:val="sr-Latn-RS"/>
              </w:rPr>
              <w:t>i</w:t>
            </w:r>
            <w:r w:rsidRPr="00F638B5">
              <w:rPr>
                <w:rFonts w:ascii="Verdana" w:eastAsia="Times New Roman" w:hAnsi="Verdana"/>
                <w:szCs w:val="18"/>
                <w:lang w:val="sr-Latn-RS"/>
              </w:rPr>
              <w:t xml:space="preserve"> podeljen je na dva stupca. U stupcu na levoj strani navodi se tekst člana 19. Budimpeštanske konvencije</w:t>
            </w:r>
            <w:r w:rsidR="00D5718A" w:rsidRPr="00F638B5">
              <w:rPr>
                <w:rFonts w:ascii="Verdana" w:eastAsia="Times New Roman" w:hAnsi="Verdana"/>
                <w:szCs w:val="18"/>
                <w:lang w:val="sr-Latn-RS"/>
              </w:rPr>
              <w:t xml:space="preserve"> u kome je naglašen određeni element, dok se u desnom stupcu daje objašnjenje tog naglašenog elementa. Od predavača se očekuje da razmotri svaki pojedinačni element kako bi polaznicima </w:t>
            </w:r>
            <w:r w:rsidR="001D18D1" w:rsidRPr="00F638B5">
              <w:rPr>
                <w:rFonts w:ascii="Verdana" w:eastAsia="Times New Roman" w:hAnsi="Verdana"/>
                <w:szCs w:val="18"/>
                <w:lang w:val="sr-Latn-RS"/>
              </w:rPr>
              <w:t>pomogao</w:t>
            </w:r>
            <w:r w:rsidR="00D5718A" w:rsidRPr="00F638B5">
              <w:rPr>
                <w:rFonts w:ascii="Verdana" w:eastAsia="Times New Roman" w:hAnsi="Verdana"/>
                <w:szCs w:val="18"/>
                <w:lang w:val="sr-Latn-RS"/>
              </w:rPr>
              <w:t xml:space="preserve"> da sveobuhvatno razumeju član 19. Budimpeštanske konvencije. </w:t>
            </w:r>
            <w:r w:rsidR="002C4091" w:rsidRPr="00F638B5">
              <w:rPr>
                <w:rFonts w:ascii="Verdana" w:eastAsia="Times New Roman" w:hAnsi="Verdana"/>
                <w:szCs w:val="18"/>
                <w:lang w:val="sr-Latn-RS"/>
              </w:rPr>
              <w:t>Ovaj deo se završava sa dva anketna pitanja.</w:t>
            </w:r>
          </w:p>
        </w:tc>
      </w:tr>
      <w:tr w:rsidR="00F1574D" w:rsidRPr="00F638B5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5EBB803A" w14:textId="1E4CB4F7" w:rsidR="00556D69" w:rsidRPr="00F638B5" w:rsidRDefault="002C4091" w:rsidP="00F638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23</w:t>
            </w:r>
            <w:r w:rsidR="00436F51" w:rsidRPr="00F638B5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33</w:t>
            </w:r>
            <w:r w:rsidR="00C41166" w:rsidRPr="00F638B5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65C32028" w14:textId="57E82E4E" w:rsidR="00F1574D" w:rsidRPr="00F638B5" w:rsidRDefault="00C41166" w:rsidP="00F638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51C163C2" w14:textId="77777777" w:rsidR="00D5718A" w:rsidRPr="00F638B5" w:rsidRDefault="00D5718A" w:rsidP="00F638B5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F638B5">
              <w:rPr>
                <w:rFonts w:ascii="Verdana" w:eastAsia="Times New Roman" w:hAnsi="Verdana"/>
                <w:szCs w:val="18"/>
                <w:lang w:val="sr-Latn-RS"/>
              </w:rPr>
              <w:t xml:space="preserve">Ti slajdovi objašnjavaju procesnopravne odredbe u vezi sa prikupljanjem podataka o saobraćaju u realnom vremenu kako je to utvrđeno članom 20. Budimpeštanske konvencije. </w:t>
            </w:r>
          </w:p>
          <w:p w14:paraId="1F8D0A6C" w14:textId="77777777" w:rsidR="00D5718A" w:rsidRPr="00F638B5" w:rsidRDefault="00D5718A" w:rsidP="00F638B5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F638B5">
              <w:rPr>
                <w:rFonts w:ascii="Verdana" w:eastAsia="Times New Roman" w:hAnsi="Verdana"/>
                <w:szCs w:val="18"/>
                <w:lang w:val="sr-Latn-RS"/>
              </w:rPr>
              <w:t xml:space="preserve">Prvi slajd sadrži sažetak ovlašćenja prema članu 20. Budimpeštanske konvencije. </w:t>
            </w:r>
          </w:p>
          <w:p w14:paraId="09B58FC0" w14:textId="737E54DE" w:rsidR="00C70C5C" w:rsidRPr="00F638B5" w:rsidRDefault="00B912E8" w:rsidP="00F638B5">
            <w:pPr>
              <w:pStyle w:val="Subtitle"/>
              <w:spacing w:before="120" w:line="260" w:lineRule="atLeast"/>
              <w:rPr>
                <w:rFonts w:ascii="Verdana" w:hAnsi="Verdana"/>
                <w:lang w:val="sr-Latn-RS"/>
              </w:rPr>
            </w:pPr>
            <w:r w:rsidRPr="00F638B5">
              <w:rPr>
                <w:rFonts w:ascii="Verdana" w:eastAsia="Times New Roman" w:hAnsi="Verdana"/>
                <w:szCs w:val="18"/>
                <w:lang w:val="sr-Latn-RS"/>
              </w:rPr>
              <w:t>Svaki od slajdova u sledećoj grupi podeljen je na dva stupca</w:t>
            </w:r>
            <w:r w:rsidR="00D5718A" w:rsidRPr="00F638B5">
              <w:rPr>
                <w:rFonts w:ascii="Verdana" w:eastAsia="Times New Roman" w:hAnsi="Verdana"/>
                <w:szCs w:val="18"/>
                <w:lang w:val="sr-Latn-RS"/>
              </w:rPr>
              <w:t xml:space="preserve">. U stupcu na levoj strani navodi se tekst člana 20. Budimpeštanske konvencije u kome je naglašen određeni element, dok se u desnom stupcu daje objašnjenje tog naglašenog elementa. Od predavača se očekuje da razmotri svaki pojedinačni element kako bi polaznicima </w:t>
            </w:r>
            <w:r w:rsidR="001D18D1" w:rsidRPr="00F638B5">
              <w:rPr>
                <w:rFonts w:ascii="Verdana" w:eastAsia="Times New Roman" w:hAnsi="Verdana"/>
                <w:szCs w:val="18"/>
                <w:lang w:val="sr-Latn-RS"/>
              </w:rPr>
              <w:t>pomogao</w:t>
            </w:r>
            <w:r w:rsidR="00D5718A" w:rsidRPr="00F638B5">
              <w:rPr>
                <w:rFonts w:ascii="Verdana" w:eastAsia="Times New Roman" w:hAnsi="Verdana"/>
                <w:szCs w:val="18"/>
                <w:lang w:val="sr-Latn-RS"/>
              </w:rPr>
              <w:t xml:space="preserve"> da sveobuhvatno razumeju član 20. Budimpeštanske konvencije</w:t>
            </w:r>
            <w:r w:rsidR="00E66317" w:rsidRPr="00F638B5">
              <w:rPr>
                <w:rFonts w:ascii="Verdana" w:eastAsia="Times New Roman" w:hAnsi="Verdana"/>
                <w:szCs w:val="18"/>
                <w:lang w:val="sr-Latn-RS"/>
              </w:rPr>
              <w:t>.</w:t>
            </w:r>
          </w:p>
        </w:tc>
      </w:tr>
      <w:tr w:rsidR="00F1574D" w:rsidRPr="00F638B5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3F8839C1" w:rsidR="00556D69" w:rsidRPr="00F638B5" w:rsidRDefault="00150201" w:rsidP="00F638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2C4091" w:rsidRPr="00F638B5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436F51" w:rsidRPr="00F638B5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2C4091" w:rsidRPr="00F638B5">
              <w:rPr>
                <w:rFonts w:ascii="Verdana" w:hAnsi="Verdana"/>
                <w:sz w:val="18"/>
                <w:szCs w:val="18"/>
                <w:lang w:val="sr-Latn-RS"/>
              </w:rPr>
              <w:t>8</w:t>
            </w:r>
            <w:r w:rsidR="00C41166" w:rsidRPr="00F638B5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48504862" w14:textId="5BCC8CB6" w:rsidR="00C70C5C" w:rsidRPr="00F638B5" w:rsidRDefault="00C41166" w:rsidP="00F638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2E234509" w14:textId="3928D008" w:rsidR="001737D1" w:rsidRPr="00F638B5" w:rsidRDefault="00D5718A" w:rsidP="00F638B5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F638B5">
              <w:rPr>
                <w:rFonts w:ascii="Verdana" w:eastAsia="Times New Roman" w:hAnsi="Verdana"/>
                <w:szCs w:val="18"/>
                <w:lang w:val="sr-Latn-RS"/>
              </w:rPr>
              <w:t xml:space="preserve">Ti slajdovi objašnjavaju procesnopravne odredbe u vezi sa presretanjem podataka i sadržaja prema članu 21. Budimpeštanske konvencije. </w:t>
            </w:r>
          </w:p>
          <w:p w14:paraId="1A1C3008" w14:textId="1B9089F6" w:rsidR="001737D1" w:rsidRPr="00F638B5" w:rsidRDefault="00D5718A" w:rsidP="00F638B5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F638B5">
              <w:rPr>
                <w:rFonts w:ascii="Verdana" w:eastAsia="Times New Roman" w:hAnsi="Verdana"/>
                <w:szCs w:val="18"/>
                <w:lang w:val="sr-Latn-RS"/>
              </w:rPr>
              <w:t>Prva grupa slajdova sadrži sažetak ovlašćenja prema članu 21. Budimpeštanske konvencije. Ona takođe sadrži studiju slučaja o presretanju podataka iz sadržaja u vezi sa jednom</w:t>
            </w:r>
            <w:r w:rsidR="002B2C84" w:rsidRPr="00F638B5">
              <w:rPr>
                <w:rFonts w:ascii="Verdana" w:eastAsia="Times New Roman" w:hAnsi="Verdana"/>
                <w:szCs w:val="18"/>
                <w:lang w:val="sr-Latn-RS"/>
              </w:rPr>
              <w:t xml:space="preserve"> kriminalnom mrežom za četovanje koju su koristile desetine hiljada kriminalaca. </w:t>
            </w:r>
          </w:p>
          <w:p w14:paraId="4AF5B3D7" w14:textId="681C8823" w:rsidR="00DD3B85" w:rsidRPr="00F638B5" w:rsidRDefault="00B912E8" w:rsidP="00F638B5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F638B5">
              <w:rPr>
                <w:rFonts w:ascii="Verdana" w:eastAsia="Times New Roman" w:hAnsi="Verdana"/>
                <w:sz w:val="18"/>
                <w:szCs w:val="18"/>
                <w:lang w:val="sr-Latn-RS"/>
              </w:rPr>
              <w:t>Svaki od slajdova u sledećoj grupi podeljen je na dva stupca</w:t>
            </w:r>
            <w:r w:rsidR="00D5718A" w:rsidRPr="00F638B5"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. U stupcu na levoj strani navodi se tekst člana 21. Budimpeštanske konvencije u kome je naglašen određeni element, dok se u desnom stupcu daje objašnjenje tog naglašenog elementa. Od predavača se očekuje da razmotri svaki pojedinačni element kako bi polaznicima </w:t>
            </w:r>
            <w:r w:rsidR="001D18D1" w:rsidRPr="00F638B5">
              <w:rPr>
                <w:rFonts w:ascii="Verdana" w:eastAsia="Times New Roman" w:hAnsi="Verdana"/>
                <w:sz w:val="18"/>
                <w:szCs w:val="18"/>
                <w:lang w:val="sr-Latn-RS"/>
              </w:rPr>
              <w:t>pomogao</w:t>
            </w:r>
            <w:r w:rsidR="00D5718A" w:rsidRPr="00F638B5"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 da sveobuhvatno razumeju član 21. Budimpeštanske konvencije</w:t>
            </w:r>
            <w:r w:rsidR="001737D1" w:rsidRPr="00F638B5">
              <w:rPr>
                <w:rFonts w:ascii="Verdana" w:eastAsia="Times New Roman" w:hAnsi="Verdana"/>
                <w:sz w:val="18"/>
                <w:szCs w:val="18"/>
                <w:lang w:val="sr-Latn-RS"/>
              </w:rPr>
              <w:t>.</w:t>
            </w:r>
            <w:r w:rsidR="002C4091" w:rsidRPr="00F638B5"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 Ovaj deo se završava jednim anketnim pitanjem.</w:t>
            </w:r>
          </w:p>
        </w:tc>
      </w:tr>
      <w:tr w:rsidR="00CA481B" w:rsidRPr="00F638B5" w14:paraId="3ECBAC2B" w14:textId="77777777" w:rsidTr="00B22123">
        <w:trPr>
          <w:trHeight w:val="440"/>
        </w:trPr>
        <w:tc>
          <w:tcPr>
            <w:tcW w:w="1525" w:type="dxa"/>
            <w:vAlign w:val="center"/>
          </w:tcPr>
          <w:p w14:paraId="46472C8E" w14:textId="762AF86D" w:rsidR="00CA481B" w:rsidRPr="00F638B5" w:rsidRDefault="002C4091" w:rsidP="00F638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49</w:t>
            </w:r>
            <w:r w:rsidR="00436F51" w:rsidRPr="00F638B5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C41166" w:rsidRPr="00F638B5">
              <w:rPr>
                <w:rFonts w:ascii="Verdana" w:hAnsi="Verdana"/>
                <w:sz w:val="18"/>
                <w:szCs w:val="18"/>
                <w:lang w:val="sr-Latn-RS"/>
              </w:rPr>
              <w:t>5</w:t>
            </w: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6</w:t>
            </w:r>
            <w:r w:rsidR="00C41166" w:rsidRPr="00F638B5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74E2783E" w14:textId="6E0D4662" w:rsidR="00CA481B" w:rsidRPr="00F638B5" w:rsidRDefault="00C41166" w:rsidP="00F638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7051C09D" w14:textId="028A1EB0" w:rsidR="00E27C71" w:rsidRPr="00F638B5" w:rsidRDefault="002B2C84" w:rsidP="00F638B5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F638B5">
              <w:rPr>
                <w:rFonts w:ascii="Verdana" w:eastAsia="Times New Roman" w:hAnsi="Verdana"/>
                <w:szCs w:val="18"/>
                <w:lang w:val="sr-Latn-RS"/>
              </w:rPr>
              <w:t>Ti slajdovi objašnjavaju oblast nadležnosti Budimpeštanske konvencije kako je to utvrđeno u članu 22</w:t>
            </w:r>
            <w:r w:rsidR="00E27C71" w:rsidRPr="00F638B5">
              <w:rPr>
                <w:rFonts w:ascii="Verdana" w:eastAsia="Times New Roman" w:hAnsi="Verdana"/>
                <w:szCs w:val="18"/>
                <w:lang w:val="sr-Latn-RS"/>
              </w:rPr>
              <w:t xml:space="preserve">. </w:t>
            </w:r>
          </w:p>
          <w:p w14:paraId="0B5729F2" w14:textId="19064CF7" w:rsidR="00E27C71" w:rsidRPr="00F638B5" w:rsidRDefault="00CF3161" w:rsidP="00F638B5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F638B5">
              <w:rPr>
                <w:rFonts w:ascii="Verdana" w:eastAsia="Times New Roman" w:hAnsi="Verdana"/>
                <w:szCs w:val="18"/>
                <w:lang w:val="sr-Latn-RS"/>
              </w:rPr>
              <w:t xml:space="preserve">Prvi slajd sadrži sažetak oblasti nadležnosti kako je to utvrđeno u članu 22. </w:t>
            </w:r>
            <w:r w:rsidRPr="00F638B5">
              <w:rPr>
                <w:rFonts w:ascii="Verdana" w:eastAsia="Times New Roman" w:hAnsi="Verdana"/>
                <w:szCs w:val="18"/>
                <w:lang w:val="sr-Latn-RS"/>
              </w:rPr>
              <w:lastRenderedPageBreak/>
              <w:t xml:space="preserve">Budimpeštanske konvencije. </w:t>
            </w:r>
          </w:p>
          <w:p w14:paraId="2F2BCFB2" w14:textId="0EB9EA52" w:rsidR="00CA481B" w:rsidRPr="00F638B5" w:rsidRDefault="00B912E8" w:rsidP="00F638B5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F638B5">
              <w:rPr>
                <w:rFonts w:ascii="Verdana" w:eastAsia="Times New Roman" w:hAnsi="Verdana"/>
                <w:szCs w:val="18"/>
                <w:lang w:val="sr-Latn-RS"/>
              </w:rPr>
              <w:t>Svaki od slajdova u sledećoj grupi podeljen je na dva stupca</w:t>
            </w:r>
            <w:r w:rsidR="00D5718A" w:rsidRPr="00F638B5">
              <w:rPr>
                <w:rFonts w:ascii="Verdana" w:eastAsia="Times New Roman" w:hAnsi="Verdana"/>
                <w:szCs w:val="18"/>
                <w:lang w:val="sr-Latn-RS"/>
              </w:rPr>
              <w:t xml:space="preserve">. U stupcu na levoj strani navodi se tekst člana 22. Budimpeštanske konvencije u kome je naglašen određeni element, dok se u desnom stupcu daje objašnjenje tog naglašenog elementa. Od predavača se očekuje da razmotri svaki pojedinačni element kako bi polaznicima </w:t>
            </w:r>
            <w:r w:rsidR="001D18D1" w:rsidRPr="00F638B5">
              <w:rPr>
                <w:rFonts w:ascii="Verdana" w:eastAsia="Times New Roman" w:hAnsi="Verdana"/>
                <w:szCs w:val="18"/>
                <w:lang w:val="sr-Latn-RS"/>
              </w:rPr>
              <w:t>pomogao</w:t>
            </w:r>
            <w:r w:rsidR="00D5718A" w:rsidRPr="00F638B5">
              <w:rPr>
                <w:rFonts w:ascii="Verdana" w:eastAsia="Times New Roman" w:hAnsi="Verdana"/>
                <w:szCs w:val="18"/>
                <w:lang w:val="sr-Latn-RS"/>
              </w:rPr>
              <w:t xml:space="preserve"> da sveobuhvatno razumeju član 22. Budimpeštanske konvencije</w:t>
            </w:r>
            <w:r w:rsidR="00E27C71" w:rsidRPr="00F638B5">
              <w:rPr>
                <w:rFonts w:ascii="Verdana" w:eastAsia="Times New Roman" w:hAnsi="Verdana"/>
                <w:szCs w:val="18"/>
                <w:lang w:val="sr-Latn-RS"/>
              </w:rPr>
              <w:t>.</w:t>
            </w:r>
          </w:p>
        </w:tc>
      </w:tr>
      <w:tr w:rsidR="00CA481B" w:rsidRPr="00F638B5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55E63B61" w:rsidR="00CA481B" w:rsidRPr="00F638B5" w:rsidRDefault="00150201" w:rsidP="00F638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5</w:t>
            </w:r>
            <w:r w:rsidR="002C4091" w:rsidRPr="00F638B5">
              <w:rPr>
                <w:rFonts w:ascii="Verdana" w:hAnsi="Verdana"/>
                <w:sz w:val="18"/>
                <w:szCs w:val="18"/>
                <w:lang w:val="sr-Latn-RS"/>
              </w:rPr>
              <w:t>7</w:t>
            </w:r>
            <w:r w:rsidR="00436F51" w:rsidRPr="00F638B5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5</w:t>
            </w:r>
            <w:r w:rsidR="002C4091" w:rsidRPr="00F638B5">
              <w:rPr>
                <w:rFonts w:ascii="Verdana" w:hAnsi="Verdana"/>
                <w:sz w:val="18"/>
                <w:szCs w:val="18"/>
                <w:lang w:val="sr-Latn-RS"/>
              </w:rPr>
              <w:t>8</w:t>
            </w:r>
            <w:r w:rsidR="00C41166" w:rsidRPr="00F638B5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5DE9D224" w14:textId="2A0AE562" w:rsidR="00CA481B" w:rsidRPr="00F638B5" w:rsidRDefault="00CF3161" w:rsidP="00F638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sz w:val="18"/>
                <w:szCs w:val="18"/>
                <w:lang w:val="sr-Latn-RS"/>
              </w:rPr>
              <w:t>Važni slajdovi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47A9C41E" w:rsidR="00CA481B" w:rsidRPr="00F638B5" w:rsidRDefault="00CF3161" w:rsidP="00F638B5">
            <w:pPr>
              <w:pStyle w:val="Subtitle"/>
              <w:spacing w:before="120" w:line="260" w:lineRule="atLeast"/>
              <w:rPr>
                <w:rFonts w:ascii="Verdana" w:hAnsi="Verdana"/>
                <w:lang w:val="sr-Latn-RS"/>
              </w:rPr>
            </w:pPr>
            <w:r w:rsidRPr="00F638B5">
              <w:rPr>
                <w:rFonts w:ascii="Verdana" w:eastAsia="Times New Roman" w:hAnsi="Verdana" w:cs="Times New Roman"/>
                <w:szCs w:val="18"/>
                <w:lang w:val="sr-Latn-RS"/>
              </w:rPr>
              <w:t xml:space="preserve">Predavač treba da rekapitulira ciljeve sesije zajedno s polaznicima i da im pruži mogućnost da postavljaju pitanja u vezi s materijalom sadržanim u ovom modulu. </w:t>
            </w:r>
          </w:p>
        </w:tc>
      </w:tr>
      <w:tr w:rsidR="00CA481B" w:rsidRPr="00F638B5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0C2123B4" w:rsidR="00CA481B" w:rsidRPr="00F638B5" w:rsidRDefault="00CF3161" w:rsidP="00F638B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F638B5">
              <w:rPr>
                <w:rFonts w:ascii="Verdana" w:hAnsi="Verdana"/>
                <w:b/>
                <w:sz w:val="22"/>
                <w:szCs w:val="22"/>
                <w:lang w:val="sr-Latn-RS"/>
              </w:rPr>
              <w:t>Praktične vežbe</w:t>
            </w:r>
          </w:p>
          <w:p w14:paraId="04D65D89" w14:textId="784E128C" w:rsidR="00CA481B" w:rsidRPr="00F638B5" w:rsidRDefault="00CF3161" w:rsidP="00F638B5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Za ovu lekciju nisu predviđene nikakve praktične vežbe</w:t>
            </w:r>
            <w:r w:rsidR="00CA481B" w:rsidRPr="00F638B5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</w:tc>
      </w:tr>
      <w:tr w:rsidR="00CA481B" w:rsidRPr="00F638B5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199211D7" w:rsidR="00CA481B" w:rsidRPr="00F638B5" w:rsidRDefault="00CF3161" w:rsidP="00F638B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F638B5">
              <w:rPr>
                <w:rFonts w:ascii="Verdana" w:hAnsi="Verdana"/>
                <w:b/>
                <w:sz w:val="22"/>
                <w:szCs w:val="22"/>
                <w:lang w:val="sr-Latn-RS"/>
              </w:rPr>
              <w:t>Procena/</w:t>
            </w:r>
            <w:r w:rsidR="00436F51" w:rsidRPr="00F638B5">
              <w:rPr>
                <w:rFonts w:ascii="Verdana" w:hAnsi="Verdana"/>
                <w:b/>
                <w:sz w:val="22"/>
                <w:szCs w:val="22"/>
                <w:lang w:val="sr-Latn-RS"/>
              </w:rPr>
              <w:t>k</w:t>
            </w:r>
            <w:r w:rsidRPr="00F638B5">
              <w:rPr>
                <w:rFonts w:ascii="Verdana" w:hAnsi="Verdana"/>
                <w:b/>
                <w:sz w:val="22"/>
                <w:szCs w:val="22"/>
                <w:lang w:val="sr-Latn-RS"/>
              </w:rPr>
              <w:t>ontrola znanja</w:t>
            </w:r>
          </w:p>
          <w:p w14:paraId="4496975B" w14:textId="0EB6B079" w:rsidR="00CA481B" w:rsidRPr="00F638B5" w:rsidRDefault="00CF3161" w:rsidP="00F638B5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F638B5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Nije planiran nikakav poseban test znanja ili procena za ovu sesiju</w:t>
            </w:r>
            <w:r w:rsidR="00CA481B" w:rsidRPr="00F638B5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</w:tc>
      </w:tr>
    </w:tbl>
    <w:p w14:paraId="15498912" w14:textId="77777777" w:rsidR="00D82C18" w:rsidRPr="00F638B5" w:rsidRDefault="00D82C18" w:rsidP="00F638B5">
      <w:pPr>
        <w:spacing w:before="120" w:after="120" w:line="260" w:lineRule="atLeast"/>
        <w:rPr>
          <w:rFonts w:ascii="Verdana" w:hAnsi="Verdana"/>
          <w:lang w:val="sr-Latn-RS"/>
        </w:rPr>
      </w:pPr>
    </w:p>
    <w:sectPr w:rsidR="00D82C18" w:rsidRPr="00F638B5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48348D"/>
    <w:multiLevelType w:val="hybridMultilevel"/>
    <w:tmpl w:val="A1FA8F48"/>
    <w:lvl w:ilvl="0" w:tplc="28964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47924">
      <w:numFmt w:val="none"/>
      <w:lvlText w:val=""/>
      <w:lvlJc w:val="left"/>
      <w:pPr>
        <w:tabs>
          <w:tab w:val="num" w:pos="360"/>
        </w:tabs>
      </w:pPr>
    </w:lvl>
    <w:lvl w:ilvl="2" w:tplc="BCA22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A7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E3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D4F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3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A7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1C5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26929"/>
    <w:multiLevelType w:val="hybridMultilevel"/>
    <w:tmpl w:val="EF72A95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2"/>
  </w:num>
  <w:num w:numId="7">
    <w:abstractNumId w:val="2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1"/>
  </w:num>
  <w:num w:numId="10">
    <w:abstractNumId w:val="1"/>
  </w:num>
  <w:num w:numId="11">
    <w:abstractNumId w:val="10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04EF1"/>
    <w:rsid w:val="000160F1"/>
    <w:rsid w:val="00051376"/>
    <w:rsid w:val="00070C94"/>
    <w:rsid w:val="000C40EE"/>
    <w:rsid w:val="000D0409"/>
    <w:rsid w:val="000F04E4"/>
    <w:rsid w:val="000F7896"/>
    <w:rsid w:val="001318D4"/>
    <w:rsid w:val="00134A8A"/>
    <w:rsid w:val="00150201"/>
    <w:rsid w:val="001737D1"/>
    <w:rsid w:val="001D18D1"/>
    <w:rsid w:val="001D2D02"/>
    <w:rsid w:val="001D603D"/>
    <w:rsid w:val="001E7389"/>
    <w:rsid w:val="00207B05"/>
    <w:rsid w:val="00221092"/>
    <w:rsid w:val="00271010"/>
    <w:rsid w:val="002B2C84"/>
    <w:rsid w:val="002C4091"/>
    <w:rsid w:val="002E27B4"/>
    <w:rsid w:val="002E3ECE"/>
    <w:rsid w:val="002F3B54"/>
    <w:rsid w:val="00314D32"/>
    <w:rsid w:val="00330DD1"/>
    <w:rsid w:val="0034224C"/>
    <w:rsid w:val="00342639"/>
    <w:rsid w:val="003453F7"/>
    <w:rsid w:val="003630ED"/>
    <w:rsid w:val="00372572"/>
    <w:rsid w:val="003A435F"/>
    <w:rsid w:val="003F6587"/>
    <w:rsid w:val="00427931"/>
    <w:rsid w:val="00436F51"/>
    <w:rsid w:val="00437AF3"/>
    <w:rsid w:val="00450007"/>
    <w:rsid w:val="00457DD3"/>
    <w:rsid w:val="00491C99"/>
    <w:rsid w:val="004B5101"/>
    <w:rsid w:val="004B7351"/>
    <w:rsid w:val="00514FE0"/>
    <w:rsid w:val="00522081"/>
    <w:rsid w:val="005242A1"/>
    <w:rsid w:val="00556D69"/>
    <w:rsid w:val="005703B7"/>
    <w:rsid w:val="00573D00"/>
    <w:rsid w:val="005A4E47"/>
    <w:rsid w:val="005D4432"/>
    <w:rsid w:val="006527C6"/>
    <w:rsid w:val="00671ADF"/>
    <w:rsid w:val="006B0B52"/>
    <w:rsid w:val="006B3820"/>
    <w:rsid w:val="00730702"/>
    <w:rsid w:val="0075334E"/>
    <w:rsid w:val="007678A6"/>
    <w:rsid w:val="00775CE6"/>
    <w:rsid w:val="007B4E3F"/>
    <w:rsid w:val="007B5780"/>
    <w:rsid w:val="007E3B3E"/>
    <w:rsid w:val="00844FBF"/>
    <w:rsid w:val="008557D3"/>
    <w:rsid w:val="008817F1"/>
    <w:rsid w:val="008A4C93"/>
    <w:rsid w:val="008C3900"/>
    <w:rsid w:val="008E3FE7"/>
    <w:rsid w:val="00906F18"/>
    <w:rsid w:val="00951791"/>
    <w:rsid w:val="00956062"/>
    <w:rsid w:val="00970CB9"/>
    <w:rsid w:val="0097295E"/>
    <w:rsid w:val="0098717F"/>
    <w:rsid w:val="0099769B"/>
    <w:rsid w:val="009B4375"/>
    <w:rsid w:val="009D1DB1"/>
    <w:rsid w:val="009E1390"/>
    <w:rsid w:val="009E3827"/>
    <w:rsid w:val="009F336B"/>
    <w:rsid w:val="00A03CF0"/>
    <w:rsid w:val="00A31A58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B22123"/>
    <w:rsid w:val="00B3608C"/>
    <w:rsid w:val="00B807DF"/>
    <w:rsid w:val="00B912E8"/>
    <w:rsid w:val="00BA7368"/>
    <w:rsid w:val="00C06A7C"/>
    <w:rsid w:val="00C115FC"/>
    <w:rsid w:val="00C41166"/>
    <w:rsid w:val="00C541A2"/>
    <w:rsid w:val="00C70C5C"/>
    <w:rsid w:val="00C83397"/>
    <w:rsid w:val="00CA481B"/>
    <w:rsid w:val="00CB02C4"/>
    <w:rsid w:val="00CB3026"/>
    <w:rsid w:val="00CC1F79"/>
    <w:rsid w:val="00CF3161"/>
    <w:rsid w:val="00D5718A"/>
    <w:rsid w:val="00D72E6B"/>
    <w:rsid w:val="00D82C18"/>
    <w:rsid w:val="00DD3B85"/>
    <w:rsid w:val="00DF024C"/>
    <w:rsid w:val="00E13BE7"/>
    <w:rsid w:val="00E27C71"/>
    <w:rsid w:val="00E66317"/>
    <w:rsid w:val="00E7344B"/>
    <w:rsid w:val="00E826CE"/>
    <w:rsid w:val="00E95703"/>
    <w:rsid w:val="00EF53F3"/>
    <w:rsid w:val="00F1574D"/>
    <w:rsid w:val="00F504D6"/>
    <w:rsid w:val="00F62A15"/>
    <w:rsid w:val="00F638B5"/>
    <w:rsid w:val="00F65134"/>
    <w:rsid w:val="00F955B5"/>
    <w:rsid w:val="00FA5D5D"/>
    <w:rsid w:val="00FB24E8"/>
    <w:rsid w:val="00FB6DE5"/>
    <w:rsid w:val="00FC23CB"/>
    <w:rsid w:val="00FC3D6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88D2FD55-D6A9-4883-AED6-6E5C1980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D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DD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36F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F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F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F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F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16800cce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CEAUSU Diana</cp:lastModifiedBy>
  <cp:revision>3</cp:revision>
  <dcterms:created xsi:type="dcterms:W3CDTF">2021-04-12T11:13:00Z</dcterms:created>
  <dcterms:modified xsi:type="dcterms:W3CDTF">2021-04-14T07:34:00Z</dcterms:modified>
</cp:coreProperties>
</file>