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16730BCF"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SC……/2021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0A50EE7"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BH4597/328</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9915DF2" w:rsidR="00BE43B2" w:rsidRPr="00EA2362" w:rsidRDefault="007D3D59">
            <w:pPr>
              <w:rPr>
                <w:rFonts w:ascii="Tahoma" w:hAnsi="Tahoma" w:cs="Tahoma"/>
                <w:b/>
                <w:caps/>
                <w:color w:val="000000" w:themeColor="text1"/>
                <w:sz w:val="18"/>
                <w:szCs w:val="18"/>
                <w:highlight w:val="cyan"/>
              </w:rPr>
            </w:pPr>
            <w:r w:rsidRPr="007D3D59">
              <w:rPr>
                <w:rFonts w:ascii="Tahoma" w:hAnsi="Tahoma" w:cs="Tahoma"/>
                <w:color w:val="000000" w:themeColor="text1"/>
                <w:sz w:val="18"/>
                <w:szCs w:val="18"/>
              </w:rPr>
              <w:t>Council of Europe-Ankara Programme Office / ankara.office@coe.int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5DB3598" w:rsidR="00261462" w:rsidRPr="00EA2362" w:rsidRDefault="00261462" w:rsidP="005932F7">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7D3D59" w:rsidRPr="007D3D59">
        <w:rPr>
          <w:rFonts w:ascii="Tahoma" w:hAnsi="Tahoma" w:cs="Tahoma"/>
          <w:b/>
        </w:rPr>
        <w:t>preparation, designing and hosting of an e-library on human rights and legal area</w:t>
      </w:r>
      <w:r w:rsidR="005932F7">
        <w:rPr>
          <w:rFonts w:ascii="Tahoma" w:hAnsi="Tahoma" w:cs="Tahoma"/>
          <w:b/>
        </w:rPr>
        <w:t xml:space="preserve"> </w:t>
      </w:r>
      <w:r w:rsidR="005932F7" w:rsidRPr="00354345">
        <w:rPr>
          <w:rFonts w:ascii="Tahoma" w:hAnsi="Tahoma" w:cs="Tahoma"/>
          <w:b/>
        </w:rPr>
        <w:t>under the Joint Project on</w:t>
      </w:r>
      <w:r w:rsidR="005932F7">
        <w:rPr>
          <w:rFonts w:ascii="Tahoma" w:hAnsi="Tahoma" w:cs="Tahoma"/>
          <w:b/>
        </w:rPr>
        <w:t xml:space="preserve"> </w:t>
      </w:r>
      <w:r w:rsidR="005932F7" w:rsidRPr="00354345">
        <w:rPr>
          <w:rFonts w:ascii="Tahoma" w:hAnsi="Tahoma" w:cs="Tahoma"/>
          <w:b/>
        </w:rPr>
        <w:t>”Strengthening the Capacity of Bar Associations and Lawyers on European Human Rights Standards”</w:t>
      </w:r>
      <w:r w:rsidR="007D3D59">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758"/>
        <w:gridCol w:w="78"/>
        <w:gridCol w:w="1667"/>
        <w:gridCol w:w="948"/>
        <w:gridCol w:w="2344"/>
      </w:tblGrid>
      <w:tr w:rsidR="0085660A" w:rsidRPr="00EA2362" w14:paraId="2B2ADF68" w14:textId="1404AC26" w:rsidTr="0085660A">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85660A" w:rsidRPr="00EA2362" w:rsidRDefault="0085660A" w:rsidP="0085660A">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85660A" w:rsidRPr="00EA2362" w:rsidRDefault="0085660A" w:rsidP="0085660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75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3F42827C" w:rsidR="0085660A" w:rsidRPr="00337874" w:rsidRDefault="00B917B6" w:rsidP="0085660A">
            <w:pPr>
              <w:rPr>
                <w:rFonts w:ascii="Tahoma" w:hAnsi="Tahoma" w:cs="Tahoma"/>
                <w:color w:val="000000"/>
                <w:sz w:val="20"/>
                <w:szCs w:val="20"/>
              </w:rPr>
            </w:pPr>
            <w:sdt>
              <w:sdtPr>
                <w:rPr>
                  <w:rFonts w:ascii="Tahoma" w:hAnsi="Tahoma" w:cs="Tahoma"/>
                  <w:color w:val="000000"/>
                  <w:sz w:val="18"/>
                  <w:szCs w:val="18"/>
                  <w:lang w:val="es-ES_tradnl"/>
                </w:rPr>
                <w:id w:val="-340545481"/>
                <w14:checkbox>
                  <w14:checked w14:val="0"/>
                  <w14:checkedState w14:val="2612" w14:font="MS Gothic"/>
                  <w14:uncheckedState w14:val="2610" w14:font="MS Gothic"/>
                </w14:checkbox>
              </w:sdtPr>
              <w:sdtEndPr/>
              <w:sdtContent>
                <w:r w:rsidR="0085660A">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Natural </w:t>
            </w:r>
            <w:proofErr w:type="spellStart"/>
            <w:r w:rsidR="0085660A" w:rsidRPr="00337874">
              <w:rPr>
                <w:rFonts w:ascii="Tahoma" w:hAnsi="Tahoma" w:cs="Tahoma"/>
                <w:color w:val="000000"/>
                <w:sz w:val="18"/>
                <w:szCs w:val="18"/>
                <w:lang w:val="es-ES_tradnl"/>
              </w:rPr>
              <w:t>person</w:t>
            </w:r>
            <w:proofErr w:type="spellEnd"/>
          </w:p>
        </w:tc>
        <w:tc>
          <w:tcPr>
            <w:tcW w:w="269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2610E277" w:rsidR="0085660A" w:rsidRPr="00337874" w:rsidRDefault="00B917B6" w:rsidP="0085660A">
            <w:pPr>
              <w:rPr>
                <w:rFonts w:ascii="Tahoma" w:hAnsi="Tahoma" w:cs="Tahoma"/>
                <w:color w:val="000000"/>
                <w:sz w:val="20"/>
                <w:szCs w:val="20"/>
              </w:rPr>
            </w:pPr>
            <w:sdt>
              <w:sdtPr>
                <w:rPr>
                  <w:rFonts w:ascii="Tahoma" w:hAnsi="Tahoma" w:cs="Tahoma"/>
                  <w:color w:val="000000"/>
                  <w:sz w:val="18"/>
                  <w:szCs w:val="18"/>
                  <w:lang w:val="es-ES_tradnl"/>
                </w:rPr>
                <w:id w:val="-632558845"/>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Legal </w:t>
            </w:r>
            <w:proofErr w:type="spellStart"/>
            <w:r w:rsidR="0085660A" w:rsidRPr="00337874">
              <w:rPr>
                <w:rFonts w:ascii="Tahoma" w:hAnsi="Tahoma" w:cs="Tahoma"/>
                <w:color w:val="000000"/>
                <w:sz w:val="18"/>
                <w:szCs w:val="18"/>
                <w:lang w:val="es-ES_tradnl"/>
              </w:rPr>
              <w:t>person</w:t>
            </w:r>
            <w:proofErr w:type="spellEnd"/>
          </w:p>
        </w:tc>
        <w:tc>
          <w:tcPr>
            <w:tcW w:w="234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74ED28C9" w:rsidR="0085660A" w:rsidRPr="00337874" w:rsidRDefault="00B917B6" w:rsidP="0085660A">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w:t>
            </w:r>
            <w:proofErr w:type="spellStart"/>
            <w:r w:rsidR="0085660A">
              <w:rPr>
                <w:rFonts w:ascii="Tahoma" w:hAnsi="Tahoma" w:cs="Tahoma"/>
                <w:color w:val="000000"/>
                <w:sz w:val="18"/>
                <w:szCs w:val="18"/>
                <w:lang w:val="es-ES_tradnl"/>
              </w:rPr>
              <w:t>Consortium</w:t>
            </w:r>
            <w:proofErr w:type="spellEnd"/>
            <w:r w:rsidR="0085660A" w:rsidRPr="00337874">
              <w:rPr>
                <w:rFonts w:ascii="Tahoma" w:hAnsi="Tahoma" w:cs="Tahoma"/>
                <w:color w:val="000000"/>
                <w:sz w:val="18"/>
                <w:szCs w:val="18"/>
                <w:lang w:val="es-ES_tradnl"/>
              </w:rPr>
              <w:t xml:space="preserve"> </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D889348" w14:textId="11C020DF" w:rsidR="007D3D59" w:rsidRDefault="007D3D59" w:rsidP="003E0A41">
      <w:pPr>
        <w:spacing w:line="276" w:lineRule="auto"/>
        <w:jc w:val="both"/>
        <w:rPr>
          <w:rFonts w:ascii="Tahoma" w:hAnsi="Tahoma" w:cs="Tahoma"/>
          <w:sz w:val="20"/>
          <w:szCs w:val="20"/>
        </w:rPr>
      </w:pPr>
      <w:r w:rsidRPr="007D3D59">
        <w:rPr>
          <w:rFonts w:ascii="Tahoma" w:hAnsi="Tahoma" w:cs="Tahoma"/>
          <w:sz w:val="20"/>
          <w:szCs w:val="20"/>
        </w:rPr>
        <w:t>The Council of Europe is currently implementing a Project on Strengthening the Capacity of Bar Associations and Lawyers on European Human Rights Standards in Turkey. In that context, it is looking for a Provider for the provision of preparation, designing, hosting of an e-library including providing electronic content in the form of books and electronic versions of publications on human rights and legal area</w:t>
      </w:r>
      <w:r>
        <w:rPr>
          <w:rFonts w:ascii="Tahoma" w:hAnsi="Tahoma" w:cs="Tahoma"/>
          <w:sz w:val="20"/>
          <w:szCs w:val="20"/>
        </w:rPr>
        <w:t>.</w:t>
      </w:r>
    </w:p>
    <w:p w14:paraId="12B9CCBA" w14:textId="7CEFBA82" w:rsidR="00F54430" w:rsidRDefault="00F54430" w:rsidP="003E0A41">
      <w:pPr>
        <w:spacing w:line="276" w:lineRule="auto"/>
        <w:jc w:val="both"/>
        <w:rPr>
          <w:rFonts w:ascii="Tahoma" w:hAnsi="Tahoma" w:cs="Tahoma"/>
          <w:sz w:val="20"/>
          <w:szCs w:val="20"/>
        </w:rPr>
      </w:pPr>
    </w:p>
    <w:p w14:paraId="649C1780" w14:textId="79090B89" w:rsid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E-books and other e-publications (from now on will be referred as e-contents) shall be in Turkish language. A list of proposed e-contents</w:t>
      </w:r>
      <w:r w:rsidR="00C74EF5">
        <w:rPr>
          <w:rFonts w:ascii="Tahoma" w:hAnsi="Tahoma" w:cs="Tahoma"/>
          <w:sz w:val="20"/>
          <w:szCs w:val="20"/>
        </w:rPr>
        <w:t xml:space="preserve"> (</w:t>
      </w:r>
      <w:r w:rsidR="00C74EF5" w:rsidRPr="00C74EF5">
        <w:rPr>
          <w:rFonts w:ascii="Tahoma" w:hAnsi="Tahoma" w:cs="Tahoma"/>
          <w:sz w:val="20"/>
          <w:szCs w:val="20"/>
        </w:rPr>
        <w:t>minimum 1.000 e-contents</w:t>
      </w:r>
      <w:r w:rsidR="00C74EF5">
        <w:rPr>
          <w:rFonts w:ascii="Tahoma" w:hAnsi="Tahoma" w:cs="Tahoma"/>
          <w:sz w:val="20"/>
          <w:szCs w:val="20"/>
        </w:rPr>
        <w:t>)</w:t>
      </w:r>
      <w:r w:rsidRPr="00F54430">
        <w:rPr>
          <w:rFonts w:ascii="Tahoma" w:hAnsi="Tahoma" w:cs="Tahoma"/>
          <w:sz w:val="20"/>
          <w:szCs w:val="20"/>
        </w:rPr>
        <w:t xml:space="preserve"> should be presented which shall include titles of books in Turkish, the list should not be exhaustive but selected providers are expected to deliver these e-contents.  </w:t>
      </w:r>
    </w:p>
    <w:p w14:paraId="27A212B4" w14:textId="77777777" w:rsidR="00C74EF5" w:rsidRDefault="00C74EF5" w:rsidP="00C74EF5">
      <w:pPr>
        <w:spacing w:line="276" w:lineRule="auto"/>
        <w:jc w:val="both"/>
        <w:rPr>
          <w:rFonts w:ascii="Tahoma" w:hAnsi="Tahoma" w:cs="Tahoma"/>
          <w:sz w:val="20"/>
          <w:szCs w:val="20"/>
        </w:rPr>
      </w:pPr>
    </w:p>
    <w:p w14:paraId="3CB7BDD6" w14:textId="77777777" w:rsidR="00C74EF5" w:rsidRDefault="00C74EF5" w:rsidP="00C74EF5">
      <w:pPr>
        <w:spacing w:line="276" w:lineRule="auto"/>
        <w:jc w:val="both"/>
        <w:rPr>
          <w:rFonts w:ascii="Tahoma" w:hAnsi="Tahoma" w:cs="Tahoma"/>
          <w:sz w:val="20"/>
          <w:szCs w:val="20"/>
        </w:rPr>
      </w:pPr>
      <w:r w:rsidRPr="00C74EF5">
        <w:rPr>
          <w:rFonts w:ascii="Tahoma" w:hAnsi="Tahoma" w:cs="Tahoma"/>
          <w:sz w:val="20"/>
          <w:szCs w:val="20"/>
        </w:rPr>
        <w:t>E-library shall be ready to upload to web</w:t>
      </w:r>
      <w:r>
        <w:rPr>
          <w:rFonts w:ascii="Tahoma" w:hAnsi="Tahoma" w:cs="Tahoma"/>
          <w:sz w:val="20"/>
          <w:szCs w:val="20"/>
        </w:rPr>
        <w:t>.</w:t>
      </w:r>
    </w:p>
    <w:p w14:paraId="5DA97D1A" w14:textId="321DCFC0" w:rsidR="00C74EF5" w:rsidRPr="00C74EF5" w:rsidRDefault="00C74EF5" w:rsidP="00C74EF5">
      <w:pPr>
        <w:spacing w:line="276" w:lineRule="auto"/>
        <w:jc w:val="both"/>
        <w:rPr>
          <w:rFonts w:ascii="Tahoma" w:hAnsi="Tahoma" w:cs="Tahoma"/>
          <w:sz w:val="20"/>
          <w:szCs w:val="20"/>
        </w:rPr>
      </w:pPr>
      <w:r w:rsidRPr="00C74EF5">
        <w:rPr>
          <w:rFonts w:ascii="Tahoma" w:hAnsi="Tahoma" w:cs="Tahoma"/>
          <w:sz w:val="20"/>
          <w:szCs w:val="20"/>
        </w:rPr>
        <w:t xml:space="preserve"> </w:t>
      </w:r>
    </w:p>
    <w:p w14:paraId="4A314907" w14:textId="781ACCB7" w:rsidR="00C74EF5" w:rsidRPr="00C74EF5" w:rsidRDefault="00C74EF5" w:rsidP="00C74EF5">
      <w:pPr>
        <w:spacing w:line="276" w:lineRule="auto"/>
        <w:jc w:val="both"/>
        <w:rPr>
          <w:rFonts w:ascii="Tahoma" w:hAnsi="Tahoma" w:cs="Tahoma"/>
          <w:sz w:val="20"/>
          <w:szCs w:val="20"/>
        </w:rPr>
      </w:pPr>
      <w:r w:rsidRPr="00C74EF5">
        <w:rPr>
          <w:rFonts w:ascii="Tahoma" w:hAnsi="Tahoma" w:cs="Tahoma"/>
          <w:sz w:val="20"/>
          <w:szCs w:val="20"/>
        </w:rPr>
        <w:t>All e-contents shall be delivered to end-beneficiary electronically, in suitable to in-text search form (no scanned images, nor only a list of links will be accepted; although links to the original source should be stated)</w:t>
      </w:r>
    </w:p>
    <w:p w14:paraId="7226C818" w14:textId="77777777" w:rsidR="00C74EF5" w:rsidRDefault="00C74EF5" w:rsidP="00C74EF5">
      <w:pPr>
        <w:spacing w:line="276" w:lineRule="auto"/>
        <w:jc w:val="both"/>
        <w:rPr>
          <w:rFonts w:ascii="Tahoma" w:hAnsi="Tahoma" w:cs="Tahoma"/>
          <w:sz w:val="20"/>
          <w:szCs w:val="20"/>
        </w:rPr>
      </w:pPr>
    </w:p>
    <w:p w14:paraId="4A7409E4" w14:textId="352F4996" w:rsidR="00C74EF5" w:rsidRPr="00F54430" w:rsidRDefault="00C74EF5" w:rsidP="00C74EF5">
      <w:pPr>
        <w:spacing w:line="276" w:lineRule="auto"/>
        <w:jc w:val="both"/>
        <w:rPr>
          <w:rFonts w:ascii="Tahoma" w:hAnsi="Tahoma" w:cs="Tahoma"/>
          <w:sz w:val="20"/>
          <w:szCs w:val="20"/>
        </w:rPr>
      </w:pPr>
      <w:r w:rsidRPr="00C74EF5">
        <w:rPr>
          <w:rFonts w:ascii="Tahoma" w:hAnsi="Tahoma" w:cs="Tahoma"/>
          <w:sz w:val="20"/>
          <w:szCs w:val="20"/>
        </w:rPr>
        <w:t>A declaration should be presented to state all legal and financial responsibility on copyright issues are belonging to the bidder. All e-contents should be free of any sort of copyright infringements.</w:t>
      </w:r>
    </w:p>
    <w:p w14:paraId="533E70D3" w14:textId="77777777" w:rsidR="00F54430" w:rsidRPr="00F54430" w:rsidRDefault="00F54430" w:rsidP="00F54430">
      <w:pPr>
        <w:spacing w:line="276" w:lineRule="auto"/>
        <w:jc w:val="both"/>
        <w:rPr>
          <w:rFonts w:ascii="Tahoma" w:hAnsi="Tahoma" w:cs="Tahoma"/>
          <w:sz w:val="20"/>
          <w:szCs w:val="20"/>
        </w:rPr>
      </w:pPr>
    </w:p>
    <w:p w14:paraId="1D7B3B00"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Technical requirements:</w:t>
      </w:r>
    </w:p>
    <w:p w14:paraId="1B933B81"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E-contents shall be accessible to end-users easy and without fees, with commonly used and free </w:t>
      </w:r>
      <w:proofErr w:type="spellStart"/>
      <w:r w:rsidRPr="00F54430">
        <w:rPr>
          <w:rFonts w:ascii="Tahoma" w:hAnsi="Tahoma" w:cs="Tahoma"/>
          <w:sz w:val="20"/>
          <w:szCs w:val="20"/>
        </w:rPr>
        <w:t>softwares</w:t>
      </w:r>
      <w:proofErr w:type="spellEnd"/>
    </w:p>
    <w:p w14:paraId="7A5E88CB"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E-library shall be reachable by common internet browsers  </w:t>
      </w:r>
    </w:p>
    <w:p w14:paraId="17B2D826"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E-contents shall be accessible to unlimited users (There shall not be a limit on the number of users)  </w:t>
      </w:r>
    </w:p>
    <w:p w14:paraId="431ADBC8"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E-contents shall be accessible without time limitations</w:t>
      </w:r>
    </w:p>
    <w:p w14:paraId="786E6769" w14:textId="1ED54A1E"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E-library should be built on a database accessible to other libraries </w:t>
      </w:r>
    </w:p>
    <w:p w14:paraId="3E822C98" w14:textId="7777777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E-library should use the Dublin Core </w:t>
      </w:r>
      <w:proofErr w:type="spellStart"/>
      <w:r w:rsidRPr="00F54430">
        <w:rPr>
          <w:rFonts w:ascii="Tahoma" w:hAnsi="Tahoma" w:cs="Tahoma"/>
          <w:sz w:val="20"/>
          <w:szCs w:val="20"/>
        </w:rPr>
        <w:t>Metatadata</w:t>
      </w:r>
      <w:proofErr w:type="spellEnd"/>
      <w:r w:rsidRPr="00F54430">
        <w:rPr>
          <w:rFonts w:ascii="Tahoma" w:hAnsi="Tahoma" w:cs="Tahoma"/>
          <w:sz w:val="20"/>
          <w:szCs w:val="20"/>
        </w:rPr>
        <w:t xml:space="preserve"> Element Set </w:t>
      </w:r>
    </w:p>
    <w:p w14:paraId="22F58A07" w14:textId="52C8282C"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Classification of the e-sources should be in accordance with Library Congress (LC) Classification Scheme</w:t>
      </w:r>
    </w:p>
    <w:p w14:paraId="40BCFAF8" w14:textId="2B93EB1D"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Each e-content should be reviewed to determine its scope and keywords for each e-content should be defined individually in accordance with main and subclasses of the LC Scheme</w:t>
      </w:r>
    </w:p>
    <w:p w14:paraId="2CF4E06D" w14:textId="4835E987"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E-contents should be indexed in Google</w:t>
      </w:r>
    </w:p>
    <w:p w14:paraId="49527164" w14:textId="4178A179"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E-contents should have an individual permanent citation address </w:t>
      </w:r>
    </w:p>
    <w:p w14:paraId="7AD4E137" w14:textId="025414CA"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All e-contents must be suitable for in-text search </w:t>
      </w:r>
    </w:p>
    <w:p w14:paraId="53D0FDA8" w14:textId="71EA5651" w:rsidR="00F54430" w:rsidRP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E-contents should be searchable with different criteria (subject, keyword, writer)</w:t>
      </w:r>
    </w:p>
    <w:p w14:paraId="13D2FD3F" w14:textId="7DD04368" w:rsidR="00F54430" w:rsidRDefault="00F54430" w:rsidP="00F54430">
      <w:pPr>
        <w:spacing w:line="276" w:lineRule="auto"/>
        <w:jc w:val="both"/>
        <w:rPr>
          <w:rFonts w:ascii="Tahoma" w:hAnsi="Tahoma" w:cs="Tahoma"/>
          <w:sz w:val="20"/>
          <w:szCs w:val="20"/>
        </w:rPr>
      </w:pPr>
      <w:r w:rsidRPr="00F54430">
        <w:rPr>
          <w:rFonts w:ascii="Tahoma" w:hAnsi="Tahoma" w:cs="Tahoma"/>
          <w:sz w:val="20"/>
          <w:szCs w:val="20"/>
        </w:rPr>
        <w:t>•</w:t>
      </w:r>
      <w:r w:rsidRPr="00F54430">
        <w:rPr>
          <w:rFonts w:ascii="Tahoma" w:hAnsi="Tahoma" w:cs="Tahoma"/>
          <w:sz w:val="20"/>
          <w:szCs w:val="20"/>
        </w:rPr>
        <w:tab/>
        <w:t xml:space="preserve"> Covers of each e-content shall be uploaded to the system as an image</w:t>
      </w:r>
    </w:p>
    <w:p w14:paraId="33709055" w14:textId="77777777" w:rsidR="007D3D59" w:rsidRDefault="007D3D59" w:rsidP="003E0A41">
      <w:pPr>
        <w:spacing w:line="276" w:lineRule="auto"/>
        <w:jc w:val="both"/>
        <w:rPr>
          <w:rFonts w:ascii="Tahoma" w:hAnsi="Tahoma" w:cs="Tahoma"/>
          <w:sz w:val="20"/>
          <w:szCs w:val="20"/>
        </w:rPr>
      </w:pPr>
    </w:p>
    <w:p w14:paraId="7D2E192F" w14:textId="6B86F4F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5FF5F329" w14:textId="5E61719C" w:rsidR="007D3D59" w:rsidRDefault="007D3D59" w:rsidP="00261462">
      <w:pPr>
        <w:spacing w:line="276" w:lineRule="auto"/>
        <w:jc w:val="both"/>
        <w:rPr>
          <w:rFonts w:ascii="Tahoma" w:hAnsi="Tahoma" w:cs="Tahoma"/>
          <w:color w:val="000000"/>
          <w:sz w:val="20"/>
          <w:szCs w:val="20"/>
          <w:highlight w:val="cyan"/>
          <w:lang w:eastAsia="en-US"/>
        </w:rPr>
      </w:pPr>
      <w:r w:rsidRPr="007D3D5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00FF1BAE" w:rsidRPr="00F937D3">
        <w:rPr>
          <w:rFonts w:ascii="Tahoma" w:hAnsi="Tahoma" w:cs="Tahoma"/>
          <w:b/>
          <w:bCs/>
          <w:color w:val="000000"/>
          <w:sz w:val="20"/>
          <w:szCs w:val="20"/>
          <w:lang w:eastAsia="en-US"/>
        </w:rPr>
        <w:t xml:space="preserve"> </w:t>
      </w:r>
      <w:r w:rsidR="00F937D3" w:rsidRPr="00F937D3">
        <w:rPr>
          <w:rFonts w:ascii="Tahoma" w:hAnsi="Tahoma" w:cs="Tahoma"/>
          <w:b/>
          <w:bCs/>
          <w:color w:val="000000"/>
          <w:sz w:val="20"/>
          <w:szCs w:val="20"/>
          <w:lang w:eastAsia="en-US"/>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455E5E6">
                <wp:simplePos x="0" y="0"/>
                <wp:positionH relativeFrom="column">
                  <wp:posOffset>4663440</wp:posOffset>
                </wp:positionH>
                <wp:positionV relativeFrom="paragraph">
                  <wp:posOffset>-43180</wp:posOffset>
                </wp:positionV>
                <wp:extent cx="122555" cy="396240"/>
                <wp:effectExtent l="19050" t="0" r="29845" b="4191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2555" cy="3962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22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7.2pt;margin-top:-3.4pt;width:9.65pt;height:31.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" adj="3954" strokecolor="red">
                <o:lock v:ext="edit" aspectratio="t"/>
                <v:textbox style="layout-flow:vertical-ideographic"/>
                <w10:anchorlock/>
              </v:shape>
            </w:pict>
          </mc:Fallback>
        </mc:AlternateContent>
      </w:r>
    </w:p>
    <w:tbl>
      <w:tblPr>
        <w:tblW w:w="102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58"/>
        <w:gridCol w:w="1140"/>
        <w:gridCol w:w="1275"/>
        <w:gridCol w:w="1139"/>
      </w:tblGrid>
      <w:tr w:rsidR="00D94AFC" w:rsidRPr="00EA2362" w14:paraId="0166D4C8" w14:textId="7ED27FB4" w:rsidTr="000A0650">
        <w:trPr>
          <w:trHeight w:val="374"/>
          <w:jc w:val="center"/>
        </w:trPr>
        <w:tc>
          <w:tcPr>
            <w:tcW w:w="6658" w:type="dxa"/>
            <w:shd w:val="clear" w:color="auto" w:fill="DBE5F1" w:themeFill="accent1" w:themeFillTint="33"/>
            <w:vAlign w:val="center"/>
          </w:tcPr>
          <w:p w14:paraId="54CCB511"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140" w:type="dxa"/>
            <w:shd w:val="clear" w:color="auto" w:fill="DBE5F1" w:themeFill="accent1" w:themeFillTint="33"/>
            <w:vAlign w:val="center"/>
          </w:tcPr>
          <w:p w14:paraId="4C4B2597"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5" w:type="dxa"/>
            <w:tcBorders>
              <w:bottom w:val="single" w:sz="2" w:space="0" w:color="FF0000"/>
            </w:tcBorders>
            <w:shd w:val="clear" w:color="auto" w:fill="DBE5F1" w:themeFill="accent1" w:themeFillTint="33"/>
            <w:vAlign w:val="center"/>
          </w:tcPr>
          <w:p w14:paraId="39664718" w14:textId="1B802937" w:rsidR="00D94AFC" w:rsidRPr="00EA2362"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w:t>
            </w:r>
          </w:p>
          <w:p w14:paraId="23C22AD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39" w:type="dxa"/>
            <w:tcBorders>
              <w:bottom w:val="single" w:sz="2" w:space="0" w:color="FF0000"/>
            </w:tcBorders>
            <w:shd w:val="clear" w:color="auto" w:fill="DBE5F1" w:themeFill="accent1" w:themeFillTint="33"/>
          </w:tcPr>
          <w:p w14:paraId="1DF9018B" w14:textId="727310F9" w:rsidR="00D94AFC" w:rsidRDefault="00D94AFC" w:rsidP="00D94AFC">
            <w:pPr>
              <w:tabs>
                <w:tab w:val="left" w:pos="-99"/>
              </w:tabs>
              <w:spacing w:before="120" w:line="276" w:lineRule="auto"/>
              <w:ind w:right="-142"/>
              <w:jc w:val="center"/>
              <w:rPr>
                <w:rFonts w:ascii="Tahoma" w:hAnsi="Tahoma" w:cs="Tahoma"/>
                <w:b/>
                <w:sz w:val="18"/>
                <w:szCs w:val="18"/>
                <w:lang w:eastAsia="en-US"/>
              </w:rPr>
            </w:pPr>
            <w:r>
              <w:rPr>
                <w:rFonts w:ascii="Tahoma" w:hAnsi="Tahoma" w:cs="Tahoma"/>
                <w:b/>
                <w:sz w:val="18"/>
                <w:szCs w:val="18"/>
                <w:lang w:eastAsia="en-US"/>
              </w:rPr>
              <w:t>Exclusion</w:t>
            </w:r>
          </w:p>
          <w:p w14:paraId="6C7A15B2" w14:textId="472628D3" w:rsidR="00D94AFC"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Level</w:t>
            </w:r>
          </w:p>
        </w:tc>
      </w:tr>
      <w:tr w:rsidR="00D94AFC" w:rsidRPr="00EA2362" w14:paraId="6CA125F2" w14:textId="229F50DE" w:rsidTr="000A0650">
        <w:trPr>
          <w:trHeight w:val="432"/>
          <w:jc w:val="center"/>
        </w:trPr>
        <w:tc>
          <w:tcPr>
            <w:tcW w:w="6658" w:type="dxa"/>
            <w:shd w:val="clear" w:color="auto" w:fill="F2F2F2" w:themeFill="background1" w:themeFillShade="F2"/>
            <w:vAlign w:val="center"/>
          </w:tcPr>
          <w:p w14:paraId="60FDA710" w14:textId="3DB94CBA"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 xml:space="preserve">Delivery of the e-library ready to be uploaded to the web - </w:t>
            </w:r>
            <w:r w:rsidRPr="00E90764">
              <w:rPr>
                <w:rFonts w:ascii="Tahoma" w:hAnsi="Tahoma" w:cs="Tahoma"/>
                <w:sz w:val="18"/>
                <w:szCs w:val="18"/>
                <w:lang w:eastAsia="en-US"/>
              </w:rPr>
              <w:t xml:space="preserve">including providing </w:t>
            </w:r>
            <w:r w:rsidR="0089704E">
              <w:rPr>
                <w:rFonts w:ascii="Tahoma" w:hAnsi="Tahoma" w:cs="Tahoma"/>
                <w:sz w:val="18"/>
                <w:szCs w:val="18"/>
                <w:lang w:eastAsia="en-US"/>
              </w:rPr>
              <w:t xml:space="preserve">minimum 1000 </w:t>
            </w:r>
            <w:r w:rsidRPr="00E90764">
              <w:rPr>
                <w:rFonts w:ascii="Tahoma" w:hAnsi="Tahoma" w:cs="Tahoma"/>
                <w:sz w:val="18"/>
                <w:szCs w:val="18"/>
                <w:lang w:eastAsia="en-US"/>
              </w:rPr>
              <w:t>electronic content in the form of books and electronic versions of publications</w:t>
            </w:r>
          </w:p>
        </w:tc>
        <w:tc>
          <w:tcPr>
            <w:tcW w:w="1140" w:type="dxa"/>
            <w:tcBorders>
              <w:right w:val="single" w:sz="2" w:space="0" w:color="FF0000"/>
            </w:tcBorders>
            <w:shd w:val="clear" w:color="auto" w:fill="F2F2F2" w:themeFill="background1" w:themeFillShade="F2"/>
            <w:vAlign w:val="center"/>
          </w:tcPr>
          <w:p w14:paraId="7DFF09AB" w14:textId="0624B14D"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sidRPr="007F4A7A">
              <w:rPr>
                <w:rFonts w:ascii="Tahoma" w:hAnsi="Tahoma" w:cs="Tahoma"/>
                <w:sz w:val="18"/>
                <w:szCs w:val="18"/>
                <w:lang w:eastAsia="en-US"/>
              </w:rPr>
              <w:t>21</w:t>
            </w:r>
            <w:r w:rsidR="000A0650">
              <w:rPr>
                <w:rFonts w:ascii="Tahoma" w:hAnsi="Tahoma" w:cs="Tahoma"/>
                <w:sz w:val="18"/>
                <w:szCs w:val="18"/>
                <w:lang w:eastAsia="en-US"/>
              </w:rPr>
              <w:t>/01/</w:t>
            </w:r>
            <w:r w:rsidRPr="007F4A7A">
              <w:rPr>
                <w:rFonts w:ascii="Tahoma" w:hAnsi="Tahoma" w:cs="Tahoma"/>
                <w:sz w:val="18"/>
                <w:szCs w:val="18"/>
                <w:lang w:eastAsia="en-US"/>
              </w:rPr>
              <w:t>202</w:t>
            </w:r>
            <w:r>
              <w:rPr>
                <w:rFonts w:ascii="Tahoma" w:hAnsi="Tahoma" w:cs="Tahoma"/>
                <w:sz w:val="18"/>
                <w:szCs w:val="18"/>
                <w:lang w:eastAsia="en-US"/>
              </w:rPr>
              <w:t>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val="restart"/>
            <w:tcBorders>
              <w:top w:val="single" w:sz="2" w:space="0" w:color="FF0000"/>
              <w:left w:val="single" w:sz="2" w:space="0" w:color="FF0000"/>
              <w:right w:val="single" w:sz="2" w:space="0" w:color="FF0000"/>
            </w:tcBorders>
            <w:shd w:val="clear" w:color="auto" w:fill="FFFFFF" w:themeFill="background1"/>
          </w:tcPr>
          <w:p w14:paraId="6F7D1907" w14:textId="77777777" w:rsidR="00D94AFC" w:rsidRDefault="00D94AFC" w:rsidP="00261462">
            <w:pPr>
              <w:tabs>
                <w:tab w:val="left" w:pos="-139"/>
              </w:tabs>
              <w:spacing w:line="276" w:lineRule="auto"/>
              <w:ind w:right="-140"/>
              <w:jc w:val="center"/>
              <w:rPr>
                <w:rFonts w:ascii="Tahoma" w:hAnsi="Tahoma" w:cs="Tahoma"/>
                <w:sz w:val="18"/>
                <w:szCs w:val="18"/>
                <w:lang w:eastAsia="en-US"/>
              </w:rPr>
            </w:pPr>
          </w:p>
          <w:p w14:paraId="54EE0A39" w14:textId="574AE69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sidRPr="00D94AFC">
              <w:rPr>
                <w:rFonts w:ascii="Tahoma" w:hAnsi="Tahoma" w:cs="Tahoma"/>
                <w:sz w:val="18"/>
                <w:szCs w:val="18"/>
                <w:lang w:eastAsia="en-US"/>
              </w:rPr>
              <w:t>55.000 €</w:t>
            </w:r>
          </w:p>
        </w:tc>
      </w:tr>
      <w:tr w:rsidR="00D94AFC" w:rsidRPr="00EA2362" w14:paraId="1564909A" w14:textId="4B0B01AD" w:rsidTr="000A0650">
        <w:trPr>
          <w:trHeight w:val="432"/>
          <w:jc w:val="center"/>
        </w:trPr>
        <w:tc>
          <w:tcPr>
            <w:tcW w:w="7798" w:type="dxa"/>
            <w:gridSpan w:val="2"/>
            <w:tcBorders>
              <w:right w:val="single" w:sz="2" w:space="0" w:color="FF0000"/>
            </w:tcBorders>
            <w:shd w:val="clear" w:color="auto" w:fill="F2F2F2" w:themeFill="background1" w:themeFillShade="F2"/>
            <w:vAlign w:val="center"/>
          </w:tcPr>
          <w:p w14:paraId="6F353B92" w14:textId="70B453C1" w:rsidR="00D94AFC" w:rsidRPr="00EA2362" w:rsidRDefault="00D94AFC"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lastRenderedPageBreak/>
              <w:t xml:space="preserve">TOTAL </w:t>
            </w:r>
            <w:r w:rsidRPr="00EA2362">
              <w:rPr>
                <w:sz w:val="16"/>
                <w:szCs w:val="16"/>
              </w:rPr>
              <w:t>►</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left w:val="single" w:sz="2" w:space="0" w:color="FF0000"/>
              <w:bottom w:val="single" w:sz="2" w:space="0" w:color="FF0000"/>
              <w:right w:val="single" w:sz="2" w:space="0" w:color="FF0000"/>
            </w:tcBorders>
            <w:shd w:val="clear" w:color="auto" w:fill="FFFFFF" w:themeFill="background1"/>
          </w:tcPr>
          <w:p w14:paraId="004C22F1"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r>
    </w:tbl>
    <w:p w14:paraId="07D1D094" w14:textId="250F5579"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61E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C3F8" w14:textId="77777777" w:rsidR="00B917B6" w:rsidRDefault="00B917B6" w:rsidP="00D50F13">
      <w:r>
        <w:separator/>
      </w:r>
    </w:p>
  </w:endnote>
  <w:endnote w:type="continuationSeparator" w:id="0">
    <w:p w14:paraId="04FB617D" w14:textId="77777777" w:rsidR="00B917B6" w:rsidRDefault="00B917B6" w:rsidP="00D50F13">
      <w:r>
        <w:continuationSeparator/>
      </w:r>
    </w:p>
  </w:endnote>
  <w:endnote w:type="continuationNotice" w:id="1">
    <w:p w14:paraId="000C4814" w14:textId="77777777" w:rsidR="00B917B6" w:rsidRDefault="00B91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FF1BAE">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7916535C" w:rsidR="00F96680" w:rsidRPr="00AE2D2B" w:rsidRDefault="00FF1BAE" w:rsidP="00FC7772">
          <w:pPr>
            <w:rPr>
              <w:rFonts w:ascii="Arial Narrow" w:hAnsi="Arial Narrow"/>
              <w:caps/>
              <w:color w:val="000000"/>
              <w:sz w:val="18"/>
              <w:szCs w:val="18"/>
              <w:highlight w:val="cyan"/>
            </w:rPr>
          </w:pPr>
          <w:r>
            <w:rPr>
              <w:rFonts w:ascii="Arial Narrow" w:hAnsi="Arial Narrow"/>
              <w:caps/>
              <w:color w:val="000000"/>
              <w:sz w:val="18"/>
              <w:szCs w:val="18"/>
              <w:highlight w:val="cyan"/>
            </w:rPr>
            <w:t>SC……./2021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0C4E" w14:textId="77777777" w:rsidR="00B917B6" w:rsidRDefault="00B917B6" w:rsidP="00D50F13">
      <w:r>
        <w:separator/>
      </w:r>
    </w:p>
  </w:footnote>
  <w:footnote w:type="continuationSeparator" w:id="0">
    <w:p w14:paraId="64236DDA" w14:textId="77777777" w:rsidR="00B917B6" w:rsidRDefault="00B917B6" w:rsidP="00D50F13">
      <w:r>
        <w:continuationSeparator/>
      </w:r>
    </w:p>
  </w:footnote>
  <w:footnote w:type="continuationNotice" w:id="1">
    <w:p w14:paraId="59D80BD3" w14:textId="77777777" w:rsidR="00B917B6" w:rsidRDefault="00B917B6"/>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85660A" w:rsidRPr="00337874" w:rsidRDefault="0085660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0650"/>
    <w:rsid w:val="000B3D07"/>
    <w:rsid w:val="000B4274"/>
    <w:rsid w:val="000C17F7"/>
    <w:rsid w:val="000C3AE6"/>
    <w:rsid w:val="000C6FA6"/>
    <w:rsid w:val="000E0285"/>
    <w:rsid w:val="000E0562"/>
    <w:rsid w:val="000E2871"/>
    <w:rsid w:val="000E59DC"/>
    <w:rsid w:val="000E5DF5"/>
    <w:rsid w:val="000E5E9D"/>
    <w:rsid w:val="000F08A5"/>
    <w:rsid w:val="000F13FE"/>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48E5"/>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932F7"/>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2AE"/>
    <w:rsid w:val="007D3BA6"/>
    <w:rsid w:val="007D3D59"/>
    <w:rsid w:val="007D46B2"/>
    <w:rsid w:val="007E26A2"/>
    <w:rsid w:val="007F0EF3"/>
    <w:rsid w:val="007F4A7A"/>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5660A"/>
    <w:rsid w:val="00860FEB"/>
    <w:rsid w:val="008628C7"/>
    <w:rsid w:val="008679F0"/>
    <w:rsid w:val="00873212"/>
    <w:rsid w:val="00883C2D"/>
    <w:rsid w:val="00887B2A"/>
    <w:rsid w:val="00891CAA"/>
    <w:rsid w:val="00892D73"/>
    <w:rsid w:val="00896DA8"/>
    <w:rsid w:val="0089704E"/>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23E"/>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AF1DBF"/>
    <w:rsid w:val="00B018FC"/>
    <w:rsid w:val="00B11F35"/>
    <w:rsid w:val="00B14D5F"/>
    <w:rsid w:val="00B214E4"/>
    <w:rsid w:val="00B21BA4"/>
    <w:rsid w:val="00B22142"/>
    <w:rsid w:val="00B221A3"/>
    <w:rsid w:val="00B30098"/>
    <w:rsid w:val="00B41058"/>
    <w:rsid w:val="00B43A63"/>
    <w:rsid w:val="00B47AB4"/>
    <w:rsid w:val="00B50164"/>
    <w:rsid w:val="00B50EFC"/>
    <w:rsid w:val="00B5712C"/>
    <w:rsid w:val="00B57EEC"/>
    <w:rsid w:val="00B60F30"/>
    <w:rsid w:val="00B64E3F"/>
    <w:rsid w:val="00B653B9"/>
    <w:rsid w:val="00B72357"/>
    <w:rsid w:val="00B74B45"/>
    <w:rsid w:val="00B74DC5"/>
    <w:rsid w:val="00B917B6"/>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4EF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46D"/>
    <w:rsid w:val="00D225E4"/>
    <w:rsid w:val="00D322CA"/>
    <w:rsid w:val="00D34C9B"/>
    <w:rsid w:val="00D417C2"/>
    <w:rsid w:val="00D47F70"/>
    <w:rsid w:val="00D50229"/>
    <w:rsid w:val="00D50F13"/>
    <w:rsid w:val="00D51502"/>
    <w:rsid w:val="00D52157"/>
    <w:rsid w:val="00D5513E"/>
    <w:rsid w:val="00D65C3C"/>
    <w:rsid w:val="00D65C90"/>
    <w:rsid w:val="00D73100"/>
    <w:rsid w:val="00D90F8E"/>
    <w:rsid w:val="00D93161"/>
    <w:rsid w:val="00D949C9"/>
    <w:rsid w:val="00D94AFC"/>
    <w:rsid w:val="00DC11A1"/>
    <w:rsid w:val="00DD5282"/>
    <w:rsid w:val="00DE0239"/>
    <w:rsid w:val="00DE1ED5"/>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764"/>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430"/>
    <w:rsid w:val="00F54EF8"/>
    <w:rsid w:val="00F56682"/>
    <w:rsid w:val="00F57BB6"/>
    <w:rsid w:val="00F62704"/>
    <w:rsid w:val="00F84B26"/>
    <w:rsid w:val="00F862E9"/>
    <w:rsid w:val="00F937D3"/>
    <w:rsid w:val="00F96680"/>
    <w:rsid w:val="00F96C47"/>
    <w:rsid w:val="00FA27B6"/>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BAE"/>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PAPILA Serkan</cp:lastModifiedBy>
  <cp:revision>2</cp:revision>
  <cp:lastPrinted>2017-10-09T11:49:00Z</cp:lastPrinted>
  <dcterms:created xsi:type="dcterms:W3CDTF">2021-10-26T15:01:00Z</dcterms:created>
  <dcterms:modified xsi:type="dcterms:W3CDTF">2021-10-26T15:01:00Z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