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1A630" w14:textId="2B6DB008" w:rsidR="00223666" w:rsidRDefault="00223666">
      <w:pPr>
        <w:rPr>
          <w:b/>
          <w:bCs/>
          <w:caps/>
          <w:color w:val="FF0000"/>
          <w:sz w:val="28"/>
          <w:szCs w:val="28"/>
          <w:highlight w:val="yellow"/>
          <w:lang w:val="en-GB"/>
        </w:rPr>
      </w:pPr>
    </w:p>
    <w:p w14:paraId="2A06F69A" w14:textId="77777777" w:rsidR="00D97BE7" w:rsidRDefault="00D97BE7">
      <w:pPr>
        <w:rPr>
          <w:b/>
          <w:bCs/>
          <w:caps/>
          <w:color w:val="FF0000"/>
          <w:sz w:val="28"/>
          <w:szCs w:val="28"/>
          <w:highlight w:val="yellow"/>
          <w:lang w:val="en-GB"/>
        </w:rPr>
      </w:pPr>
    </w:p>
    <w:p w14:paraId="23418C88" w14:textId="6FBE2B78" w:rsidR="00223666" w:rsidRPr="002E5761" w:rsidRDefault="00223666" w:rsidP="00223666">
      <w:pPr>
        <w:ind w:left="6372" w:hanging="6372"/>
        <w:jc w:val="both"/>
        <w:rPr>
          <w:rFonts w:ascii="Arial" w:hAnsi="Arial"/>
          <w:color w:val="000000"/>
          <w:spacing w:val="-2"/>
          <w:sz w:val="20"/>
          <w:lang w:val="en-GB"/>
        </w:rPr>
      </w:pPr>
      <w:r>
        <w:rPr>
          <w:rFonts w:ascii="Arial" w:hAnsi="Arial"/>
          <w:color w:val="000000"/>
          <w:spacing w:val="-2"/>
          <w:sz w:val="20"/>
          <w:lang w:val="en-GB"/>
        </w:rPr>
        <w:t>Strasbourg, 11 March 2021</w:t>
      </w:r>
      <w:r w:rsidRPr="002E5761">
        <w:rPr>
          <w:rFonts w:ascii="Arial" w:hAnsi="Arial"/>
          <w:color w:val="000000"/>
          <w:spacing w:val="-2"/>
          <w:sz w:val="20"/>
          <w:lang w:val="en-GB"/>
        </w:rPr>
        <w:tab/>
      </w:r>
      <w:r w:rsidRPr="002E5761">
        <w:rPr>
          <w:rFonts w:ascii="Arial" w:hAnsi="Arial"/>
          <w:color w:val="000000"/>
          <w:spacing w:val="-2"/>
          <w:sz w:val="20"/>
          <w:lang w:val="en-GB"/>
        </w:rPr>
        <w:tab/>
      </w:r>
      <w:r>
        <w:rPr>
          <w:rFonts w:ascii="Arial" w:hAnsi="Arial"/>
          <w:color w:val="000000"/>
          <w:spacing w:val="-2"/>
          <w:sz w:val="20"/>
          <w:lang w:val="en-GB"/>
        </w:rPr>
        <w:t>AP/CAT</w:t>
      </w:r>
      <w:r w:rsidRPr="002E5761">
        <w:rPr>
          <w:rFonts w:ascii="Arial" w:hAnsi="Arial"/>
          <w:color w:val="000000"/>
          <w:spacing w:val="-2"/>
          <w:sz w:val="20"/>
          <w:lang w:val="en-GB"/>
        </w:rPr>
        <w:t>(20</w:t>
      </w:r>
      <w:r>
        <w:rPr>
          <w:rFonts w:ascii="Arial" w:hAnsi="Arial"/>
          <w:color w:val="000000"/>
          <w:spacing w:val="-2"/>
          <w:sz w:val="20"/>
          <w:lang w:val="en-GB"/>
        </w:rPr>
        <w:t>2</w:t>
      </w:r>
      <w:r w:rsidR="00BB00A0">
        <w:rPr>
          <w:rFonts w:ascii="Arial" w:hAnsi="Arial"/>
          <w:color w:val="000000"/>
          <w:spacing w:val="-2"/>
          <w:sz w:val="20"/>
          <w:lang w:val="en-GB"/>
        </w:rPr>
        <w:t>1</w:t>
      </w:r>
      <w:r>
        <w:rPr>
          <w:rFonts w:ascii="Arial" w:hAnsi="Arial"/>
          <w:color w:val="000000"/>
          <w:spacing w:val="-2"/>
          <w:sz w:val="20"/>
          <w:lang w:val="en-GB"/>
        </w:rPr>
        <w:t>)0</w:t>
      </w:r>
      <w:r w:rsidR="00BB00A0">
        <w:rPr>
          <w:rFonts w:ascii="Arial" w:hAnsi="Arial"/>
          <w:color w:val="000000"/>
          <w:spacing w:val="-2"/>
          <w:sz w:val="20"/>
          <w:lang w:val="en-GB"/>
        </w:rPr>
        <w:t>2</w:t>
      </w:r>
      <w:r>
        <w:rPr>
          <w:rFonts w:ascii="Arial" w:hAnsi="Arial"/>
          <w:color w:val="000000"/>
          <w:spacing w:val="-2"/>
          <w:sz w:val="20"/>
          <w:lang w:val="en-GB"/>
        </w:rPr>
        <w:br/>
      </w:r>
      <w:r>
        <w:rPr>
          <w:rFonts w:ascii="Arial" w:hAnsi="Arial"/>
          <w:color w:val="000000"/>
          <w:spacing w:val="-2"/>
          <w:sz w:val="20"/>
          <w:lang w:val="en-GB"/>
        </w:rPr>
        <w:tab/>
      </w:r>
      <w:r w:rsidRPr="002E5761">
        <w:rPr>
          <w:rFonts w:ascii="Arial" w:hAnsi="Arial"/>
          <w:color w:val="000000"/>
          <w:spacing w:val="-2"/>
          <w:sz w:val="20"/>
          <w:lang w:val="en-GB"/>
        </w:rPr>
        <w:t>Or. English</w:t>
      </w:r>
    </w:p>
    <w:p w14:paraId="24B8F215" w14:textId="77777777" w:rsidR="00223666" w:rsidRDefault="00223666" w:rsidP="00223666">
      <w:pPr>
        <w:tabs>
          <w:tab w:val="left" w:pos="0"/>
          <w:tab w:val="left" w:pos="708"/>
        </w:tabs>
        <w:suppressAutoHyphens/>
        <w:spacing w:after="0" w:line="240" w:lineRule="auto"/>
        <w:jc w:val="center"/>
        <w:rPr>
          <w:rFonts w:eastAsia="Arial Unicode MS" w:cstheme="minorHAnsi"/>
          <w:b/>
          <w:caps/>
          <w:color w:val="FF0000"/>
          <w:sz w:val="56"/>
          <w:szCs w:val="56"/>
          <w:lang w:val="en-GB" w:eastAsia="zh-CN"/>
        </w:rPr>
      </w:pPr>
    </w:p>
    <w:p w14:paraId="662BDDB4" w14:textId="77777777" w:rsidR="00223666" w:rsidRDefault="00223666" w:rsidP="00223666">
      <w:pPr>
        <w:tabs>
          <w:tab w:val="right" w:pos="9638"/>
        </w:tabs>
        <w:jc w:val="center"/>
        <w:rPr>
          <w:rFonts w:ascii="Arial" w:hAnsi="Arial"/>
          <w:b/>
          <w:color w:val="000000"/>
          <w:lang w:val="en-GB"/>
        </w:rPr>
      </w:pPr>
    </w:p>
    <w:p w14:paraId="3BE52692" w14:textId="77777777" w:rsidR="00223666" w:rsidRDefault="00223666" w:rsidP="00223666">
      <w:pPr>
        <w:tabs>
          <w:tab w:val="right" w:pos="9638"/>
        </w:tabs>
        <w:jc w:val="center"/>
        <w:rPr>
          <w:rFonts w:ascii="Arial" w:hAnsi="Arial"/>
          <w:b/>
          <w:color w:val="000000"/>
          <w:lang w:val="en-GB"/>
        </w:rPr>
      </w:pPr>
    </w:p>
    <w:p w14:paraId="61058342" w14:textId="77777777" w:rsidR="00223666" w:rsidRPr="002E5761" w:rsidRDefault="00223666" w:rsidP="00223666">
      <w:pPr>
        <w:tabs>
          <w:tab w:val="right" w:pos="9638"/>
        </w:tabs>
        <w:jc w:val="center"/>
        <w:rPr>
          <w:rFonts w:ascii="Arial" w:hAnsi="Arial"/>
          <w:b/>
          <w:color w:val="000000"/>
          <w:lang w:val="en-GB"/>
        </w:rPr>
      </w:pPr>
      <w:r w:rsidRPr="002E5761">
        <w:rPr>
          <w:rFonts w:ascii="Arial" w:hAnsi="Arial"/>
          <w:b/>
          <w:color w:val="000000"/>
          <w:lang w:val="en-GB"/>
        </w:rPr>
        <w:t xml:space="preserve">EUROPEAN AND MEDITERRANEAN MAJOR HAZARDS AGREEMENT </w:t>
      </w:r>
      <w:r>
        <w:rPr>
          <w:rFonts w:ascii="Arial" w:hAnsi="Arial"/>
          <w:b/>
          <w:color w:val="000000"/>
          <w:lang w:val="en-GB"/>
        </w:rPr>
        <w:br/>
      </w:r>
      <w:r w:rsidRPr="002E5761">
        <w:rPr>
          <w:rFonts w:ascii="Arial" w:hAnsi="Arial"/>
          <w:b/>
          <w:color w:val="000000"/>
          <w:lang w:val="en-GB"/>
        </w:rPr>
        <w:t>(EUR-OPA)</w:t>
      </w:r>
    </w:p>
    <w:p w14:paraId="2B895B1C" w14:textId="77777777" w:rsidR="00223666" w:rsidRDefault="00223666" w:rsidP="00223666">
      <w:pPr>
        <w:tabs>
          <w:tab w:val="left" w:pos="0"/>
          <w:tab w:val="left" w:pos="708"/>
        </w:tabs>
        <w:suppressAutoHyphens/>
        <w:spacing w:after="0" w:line="240" w:lineRule="auto"/>
        <w:jc w:val="center"/>
        <w:rPr>
          <w:rFonts w:eastAsia="Arial Unicode MS" w:cstheme="minorHAnsi"/>
          <w:b/>
          <w:caps/>
          <w:color w:val="FF0000"/>
          <w:sz w:val="56"/>
          <w:szCs w:val="56"/>
          <w:lang w:val="en-GB" w:eastAsia="zh-CN"/>
        </w:rPr>
      </w:pPr>
    </w:p>
    <w:p w14:paraId="4F791CBC" w14:textId="77777777" w:rsidR="00223666" w:rsidRDefault="00223666" w:rsidP="00223666">
      <w:pPr>
        <w:tabs>
          <w:tab w:val="left" w:pos="0"/>
          <w:tab w:val="left" w:pos="708"/>
        </w:tabs>
        <w:suppressAutoHyphens/>
        <w:spacing w:after="0" w:line="240" w:lineRule="auto"/>
        <w:jc w:val="center"/>
        <w:rPr>
          <w:rFonts w:ascii="Arial" w:eastAsia="Arial Unicode MS" w:hAnsi="Arial" w:cs="Arial"/>
          <w:b/>
          <w:caps/>
          <w:sz w:val="24"/>
          <w:szCs w:val="24"/>
          <w:lang w:val="en-GB" w:eastAsia="zh-CN"/>
        </w:rPr>
      </w:pPr>
    </w:p>
    <w:p w14:paraId="745030C9" w14:textId="77777777" w:rsidR="00223666" w:rsidRDefault="00223666" w:rsidP="00223666">
      <w:pPr>
        <w:tabs>
          <w:tab w:val="left" w:pos="0"/>
          <w:tab w:val="left" w:pos="708"/>
        </w:tabs>
        <w:suppressAutoHyphens/>
        <w:spacing w:after="0" w:line="240" w:lineRule="auto"/>
        <w:jc w:val="center"/>
        <w:rPr>
          <w:rFonts w:ascii="Arial" w:eastAsia="Arial Unicode MS" w:hAnsi="Arial" w:cs="Arial"/>
          <w:b/>
          <w:caps/>
          <w:sz w:val="24"/>
          <w:szCs w:val="24"/>
          <w:lang w:val="en-GB" w:eastAsia="zh-CN"/>
        </w:rPr>
      </w:pPr>
    </w:p>
    <w:p w14:paraId="436C7CB7" w14:textId="77777777" w:rsidR="00223666" w:rsidRDefault="00223666" w:rsidP="00223666">
      <w:pPr>
        <w:tabs>
          <w:tab w:val="left" w:pos="0"/>
          <w:tab w:val="left" w:pos="708"/>
        </w:tabs>
        <w:suppressAutoHyphens/>
        <w:spacing w:after="0" w:line="240" w:lineRule="auto"/>
        <w:jc w:val="center"/>
        <w:rPr>
          <w:rFonts w:ascii="Arial" w:eastAsia="Arial Unicode MS" w:hAnsi="Arial" w:cs="Arial"/>
          <w:b/>
          <w:caps/>
          <w:sz w:val="24"/>
          <w:szCs w:val="24"/>
          <w:lang w:val="en-GB" w:eastAsia="zh-CN"/>
        </w:rPr>
      </w:pPr>
    </w:p>
    <w:p w14:paraId="04F293BC" w14:textId="77777777" w:rsidR="00BB00A0" w:rsidRPr="00BB00A0" w:rsidRDefault="00BB00A0" w:rsidP="00BB00A0">
      <w:pPr>
        <w:jc w:val="center"/>
        <w:rPr>
          <w:rFonts w:ascii="Arial" w:hAnsi="Arial" w:cs="Arial"/>
          <w:b/>
          <w:bCs/>
          <w:caps/>
          <w:sz w:val="24"/>
          <w:szCs w:val="24"/>
          <w:lang w:val="en-GB"/>
        </w:rPr>
      </w:pPr>
      <w:r w:rsidRPr="00BB00A0">
        <w:rPr>
          <w:rFonts w:ascii="Arial" w:hAnsi="Arial" w:cs="Arial"/>
          <w:b/>
          <w:bCs/>
          <w:caps/>
          <w:color w:val="FF0000"/>
          <w:sz w:val="24"/>
          <w:szCs w:val="24"/>
          <w:highlight w:val="yellow"/>
          <w:lang w:val="en-GB"/>
        </w:rPr>
        <w:t>DRAFT</w:t>
      </w:r>
      <w:r w:rsidRPr="00BB00A0">
        <w:rPr>
          <w:rFonts w:ascii="Arial" w:hAnsi="Arial" w:cs="Arial"/>
          <w:b/>
          <w:bCs/>
          <w:caps/>
          <w:color w:val="FF0000"/>
          <w:sz w:val="24"/>
          <w:szCs w:val="24"/>
          <w:lang w:val="en-GB"/>
        </w:rPr>
        <w:t xml:space="preserve"> </w:t>
      </w:r>
      <w:r w:rsidRPr="00BB00A0">
        <w:rPr>
          <w:rFonts w:ascii="Arial" w:hAnsi="Arial" w:cs="Arial"/>
          <w:b/>
          <w:bCs/>
          <w:caps/>
          <w:sz w:val="24"/>
          <w:szCs w:val="24"/>
          <w:lang w:val="en-GB"/>
        </w:rPr>
        <w:t>RULES OF PROCEDURE</w:t>
      </w:r>
      <w:r w:rsidRPr="00BB00A0">
        <w:rPr>
          <w:rStyle w:val="EndnoteReference"/>
          <w:rFonts w:ascii="Arial" w:hAnsi="Arial" w:cs="Arial"/>
          <w:b/>
          <w:bCs/>
          <w:caps/>
          <w:sz w:val="24"/>
          <w:szCs w:val="24"/>
          <w:lang w:val="en-GB"/>
        </w:rPr>
        <w:endnoteReference w:id="1"/>
      </w:r>
      <w:r w:rsidRPr="00BB00A0">
        <w:rPr>
          <w:rFonts w:ascii="Arial" w:hAnsi="Arial" w:cs="Arial"/>
          <w:b/>
          <w:bCs/>
          <w:caps/>
          <w:sz w:val="24"/>
          <w:szCs w:val="24"/>
          <w:lang w:val="en-GB"/>
        </w:rPr>
        <w:t xml:space="preserve"> OF THE COMMITTEE OF PERMANENT CORRESPONDENTS OF</w:t>
      </w:r>
    </w:p>
    <w:p w14:paraId="691A4306" w14:textId="77777777" w:rsidR="00BB00A0" w:rsidRPr="00BB00A0" w:rsidRDefault="00BB00A0" w:rsidP="00BB00A0">
      <w:pPr>
        <w:spacing w:line="240" w:lineRule="auto"/>
        <w:jc w:val="center"/>
        <w:rPr>
          <w:rFonts w:ascii="Arial" w:hAnsi="Arial" w:cs="Arial"/>
          <w:b/>
          <w:bCs/>
          <w:caps/>
          <w:sz w:val="24"/>
          <w:szCs w:val="24"/>
          <w:lang w:val="en-US"/>
        </w:rPr>
      </w:pPr>
      <w:r w:rsidRPr="00BB00A0">
        <w:rPr>
          <w:rFonts w:ascii="Arial" w:hAnsi="Arial" w:cs="Arial"/>
          <w:b/>
          <w:bCs/>
          <w:caps/>
          <w:sz w:val="24"/>
          <w:szCs w:val="24"/>
          <w:lang w:val="en-US"/>
        </w:rPr>
        <w:t xml:space="preserve">THE Enlarged Partial Agreement on the Protection against Major Natural, Technological and Biological Hazards and Strengthening Resilience in the face of Disasters </w:t>
      </w:r>
    </w:p>
    <w:p w14:paraId="008A2DA2" w14:textId="2F8A3212" w:rsidR="00223666" w:rsidRPr="00181E1B" w:rsidRDefault="00BB00A0" w:rsidP="00BB00A0">
      <w:pPr>
        <w:tabs>
          <w:tab w:val="left" w:pos="0"/>
          <w:tab w:val="left" w:pos="708"/>
        </w:tabs>
        <w:suppressAutoHyphens/>
        <w:spacing w:after="0" w:line="240" w:lineRule="auto"/>
        <w:jc w:val="center"/>
        <w:rPr>
          <w:rFonts w:eastAsia="Arial Unicode MS" w:cstheme="minorHAnsi"/>
          <w:b/>
          <w:caps/>
          <w:sz w:val="20"/>
          <w:szCs w:val="20"/>
          <w:lang w:val="en-GB" w:eastAsia="zh-CN"/>
        </w:rPr>
      </w:pPr>
      <w:r w:rsidRPr="00BB00A0">
        <w:rPr>
          <w:rFonts w:ascii="Arial" w:hAnsi="Arial" w:cs="Arial"/>
          <w:b/>
          <w:bCs/>
          <w:caps/>
          <w:sz w:val="24"/>
          <w:szCs w:val="24"/>
          <w:lang w:val="en-US"/>
        </w:rPr>
        <w:t>(EUR-OPA Major Hazards Agreement)</w:t>
      </w:r>
    </w:p>
    <w:p w14:paraId="50055F2A" w14:textId="77777777" w:rsidR="00223666" w:rsidRDefault="00223666" w:rsidP="00223666">
      <w:pPr>
        <w:tabs>
          <w:tab w:val="left" w:pos="0"/>
          <w:tab w:val="left" w:pos="708"/>
        </w:tabs>
        <w:suppressAutoHyphens/>
        <w:spacing w:after="0" w:line="240" w:lineRule="auto"/>
        <w:jc w:val="center"/>
        <w:rPr>
          <w:rFonts w:eastAsia="Arial Unicode MS" w:cstheme="minorHAnsi"/>
          <w:b/>
          <w:caps/>
          <w:sz w:val="24"/>
          <w:szCs w:val="24"/>
          <w:lang w:val="en-GB" w:eastAsia="zh-CN"/>
        </w:rPr>
      </w:pPr>
    </w:p>
    <w:p w14:paraId="7920BAC1" w14:textId="77777777" w:rsidR="00223666" w:rsidRDefault="00223666" w:rsidP="00223666">
      <w:pPr>
        <w:tabs>
          <w:tab w:val="left" w:pos="0"/>
          <w:tab w:val="left" w:pos="708"/>
        </w:tabs>
        <w:suppressAutoHyphens/>
        <w:spacing w:after="0" w:line="240" w:lineRule="auto"/>
        <w:jc w:val="center"/>
        <w:rPr>
          <w:rFonts w:eastAsia="Arial Unicode MS" w:cstheme="minorHAnsi"/>
          <w:b/>
          <w:caps/>
          <w:sz w:val="24"/>
          <w:szCs w:val="24"/>
          <w:lang w:val="en-GB" w:eastAsia="zh-CN"/>
        </w:rPr>
      </w:pPr>
    </w:p>
    <w:p w14:paraId="77A96403" w14:textId="77777777" w:rsidR="00223666" w:rsidRDefault="00223666" w:rsidP="00223666">
      <w:pPr>
        <w:tabs>
          <w:tab w:val="left" w:pos="0"/>
          <w:tab w:val="left" w:pos="708"/>
        </w:tabs>
        <w:suppressAutoHyphens/>
        <w:spacing w:after="0" w:line="240" w:lineRule="auto"/>
        <w:jc w:val="center"/>
        <w:rPr>
          <w:rFonts w:eastAsia="Arial Unicode MS" w:cstheme="minorHAnsi"/>
          <w:b/>
          <w:caps/>
          <w:sz w:val="24"/>
          <w:szCs w:val="24"/>
          <w:lang w:val="en-GB" w:eastAsia="zh-CN"/>
        </w:rPr>
      </w:pPr>
    </w:p>
    <w:p w14:paraId="386EC87E" w14:textId="77777777" w:rsidR="00223666" w:rsidRDefault="00223666" w:rsidP="00223666">
      <w:pPr>
        <w:tabs>
          <w:tab w:val="left" w:pos="0"/>
          <w:tab w:val="left" w:pos="708"/>
        </w:tabs>
        <w:suppressAutoHyphens/>
        <w:spacing w:after="0" w:line="240" w:lineRule="auto"/>
        <w:jc w:val="center"/>
        <w:rPr>
          <w:rFonts w:eastAsia="Arial Unicode MS" w:cstheme="minorHAnsi"/>
          <w:b/>
          <w:caps/>
          <w:sz w:val="24"/>
          <w:szCs w:val="24"/>
          <w:lang w:val="en-GB" w:eastAsia="zh-CN"/>
        </w:rPr>
      </w:pPr>
    </w:p>
    <w:p w14:paraId="0D0E57ED" w14:textId="77777777" w:rsidR="00223666" w:rsidRPr="00A30A8E" w:rsidRDefault="00223666" w:rsidP="00223666">
      <w:pPr>
        <w:tabs>
          <w:tab w:val="left" w:pos="0"/>
          <w:tab w:val="left" w:pos="708"/>
        </w:tabs>
        <w:suppressAutoHyphens/>
        <w:spacing w:after="0" w:line="240" w:lineRule="auto"/>
        <w:jc w:val="center"/>
        <w:rPr>
          <w:rFonts w:eastAsia="Arial Unicode MS" w:cstheme="minorHAnsi"/>
          <w:b/>
          <w:caps/>
          <w:sz w:val="24"/>
          <w:szCs w:val="24"/>
          <w:lang w:val="en-GB" w:eastAsia="zh-CN"/>
        </w:rPr>
      </w:pPr>
    </w:p>
    <w:p w14:paraId="7A4FE3E1" w14:textId="77777777" w:rsidR="00223666" w:rsidRDefault="00223666" w:rsidP="00223666">
      <w:pPr>
        <w:tabs>
          <w:tab w:val="left" w:pos="0"/>
          <w:tab w:val="left" w:pos="708"/>
        </w:tabs>
        <w:suppressAutoHyphens/>
        <w:spacing w:after="0" w:line="240" w:lineRule="auto"/>
        <w:jc w:val="center"/>
        <w:rPr>
          <w:rFonts w:eastAsia="Arial Unicode MS" w:cstheme="minorHAnsi"/>
          <w:b/>
          <w:caps/>
          <w:sz w:val="24"/>
          <w:szCs w:val="24"/>
          <w:lang w:val="en-GB" w:eastAsia="zh-CN"/>
        </w:rPr>
      </w:pPr>
    </w:p>
    <w:p w14:paraId="65E62533" w14:textId="20215366" w:rsidR="007118C8" w:rsidRDefault="00223666" w:rsidP="007118C8">
      <w:pPr>
        <w:tabs>
          <w:tab w:val="left" w:pos="0"/>
          <w:tab w:val="left" w:pos="708"/>
        </w:tabs>
        <w:suppressAutoHyphens/>
        <w:spacing w:after="0" w:line="240" w:lineRule="auto"/>
        <w:jc w:val="center"/>
        <w:rPr>
          <w:b/>
          <w:bCs/>
          <w:caps/>
          <w:color w:val="FF0000"/>
          <w:sz w:val="28"/>
          <w:szCs w:val="28"/>
          <w:lang w:val="en-GB"/>
        </w:rPr>
      </w:pPr>
      <w:r>
        <w:rPr>
          <w:rFonts w:eastAsia="Arial Unicode MS" w:cstheme="minorHAnsi"/>
          <w:b/>
          <w:caps/>
          <w:sz w:val="24"/>
          <w:szCs w:val="24"/>
          <w:lang w:val="en-GB" w:eastAsia="zh-CN"/>
        </w:rPr>
        <w:t xml:space="preserve">For discussion at the </w:t>
      </w:r>
      <w:r w:rsidR="007118C8">
        <w:rPr>
          <w:rFonts w:eastAsia="Arial Unicode MS" w:cstheme="minorHAnsi"/>
          <w:b/>
          <w:caps/>
          <w:sz w:val="24"/>
          <w:szCs w:val="24"/>
          <w:lang w:val="en-GB" w:eastAsia="zh-CN"/>
        </w:rPr>
        <w:t>Meeting</w:t>
      </w:r>
      <w:r>
        <w:rPr>
          <w:rFonts w:eastAsia="Arial Unicode MS" w:cstheme="minorHAnsi"/>
          <w:b/>
          <w:caps/>
          <w:sz w:val="24"/>
          <w:szCs w:val="24"/>
          <w:lang w:val="en-GB" w:eastAsia="zh-CN"/>
        </w:rPr>
        <w:t xml:space="preserve"> of the committee of PERMANENT CORRESPONDENTS on </w:t>
      </w:r>
      <w:r w:rsidR="00AD348A">
        <w:rPr>
          <w:rFonts w:eastAsia="Arial Unicode MS" w:cstheme="minorHAnsi"/>
          <w:b/>
          <w:caps/>
          <w:sz w:val="24"/>
          <w:szCs w:val="24"/>
          <w:lang w:val="en-GB" w:eastAsia="zh-CN"/>
        </w:rPr>
        <w:t>16</w:t>
      </w:r>
      <w:r>
        <w:rPr>
          <w:rFonts w:eastAsia="Arial Unicode MS" w:cstheme="minorHAnsi"/>
          <w:b/>
          <w:caps/>
          <w:sz w:val="24"/>
          <w:szCs w:val="24"/>
          <w:lang w:val="en-GB" w:eastAsia="zh-CN"/>
        </w:rPr>
        <w:t xml:space="preserve"> </w:t>
      </w:r>
      <w:r w:rsidR="007118C8">
        <w:rPr>
          <w:rFonts w:eastAsia="Arial Unicode MS" w:cstheme="minorHAnsi"/>
          <w:b/>
          <w:caps/>
          <w:sz w:val="24"/>
          <w:szCs w:val="24"/>
          <w:lang w:val="en-GB" w:eastAsia="zh-CN"/>
        </w:rPr>
        <w:t>June</w:t>
      </w:r>
      <w:r>
        <w:rPr>
          <w:rFonts w:eastAsia="Arial Unicode MS" w:cstheme="minorHAnsi"/>
          <w:b/>
          <w:caps/>
          <w:sz w:val="24"/>
          <w:szCs w:val="24"/>
          <w:lang w:val="en-GB" w:eastAsia="zh-CN"/>
        </w:rPr>
        <w:t xml:space="preserve"> 2021 </w:t>
      </w:r>
    </w:p>
    <w:p w14:paraId="2E0A8E08" w14:textId="46B202A6" w:rsidR="00026E4F" w:rsidRPr="00BB00A0" w:rsidRDefault="00223666" w:rsidP="00BB00A0">
      <w:pPr>
        <w:rPr>
          <w:b/>
          <w:bCs/>
          <w:caps/>
          <w:color w:val="FF0000"/>
          <w:sz w:val="28"/>
          <w:szCs w:val="28"/>
          <w:highlight w:val="yellow"/>
          <w:lang w:val="en-GB"/>
        </w:rPr>
      </w:pPr>
      <w:r>
        <w:rPr>
          <w:b/>
          <w:bCs/>
          <w:caps/>
          <w:color w:val="FF0000"/>
          <w:sz w:val="28"/>
          <w:szCs w:val="28"/>
          <w:highlight w:val="yellow"/>
          <w:lang w:val="en-GB"/>
        </w:rPr>
        <w:br w:type="page"/>
      </w:r>
    </w:p>
    <w:p w14:paraId="439DF2EB" w14:textId="7DB741D9" w:rsidR="00C84EDD" w:rsidRPr="0014209E" w:rsidRDefault="00C84EDD" w:rsidP="00194BD5">
      <w:pPr>
        <w:jc w:val="both"/>
        <w:rPr>
          <w:lang w:val="en-GB"/>
        </w:rPr>
      </w:pPr>
      <w:r w:rsidRPr="0014209E">
        <w:rPr>
          <w:b/>
          <w:bCs/>
          <w:lang w:val="en-GB"/>
        </w:rPr>
        <w:lastRenderedPageBreak/>
        <w:t>Article 1</w:t>
      </w:r>
      <w:r w:rsidR="004A0CA4" w:rsidRPr="004A0CA4">
        <w:rPr>
          <w:b/>
          <w:bCs/>
          <w:lang w:val="en-GB"/>
        </w:rPr>
        <w:t xml:space="preserve"> – </w:t>
      </w:r>
      <w:r w:rsidRPr="0014209E">
        <w:rPr>
          <w:b/>
          <w:bCs/>
          <w:lang w:val="en-GB"/>
        </w:rPr>
        <w:t xml:space="preserve">Composition and Powers of the </w:t>
      </w:r>
      <w:r w:rsidR="0014209E" w:rsidRPr="0014209E">
        <w:rPr>
          <w:b/>
          <w:bCs/>
          <w:lang w:val="en-GB"/>
        </w:rPr>
        <w:t xml:space="preserve">Committee of </w:t>
      </w:r>
      <w:r w:rsidRPr="0014209E">
        <w:rPr>
          <w:b/>
          <w:bCs/>
          <w:lang w:val="en-GB"/>
        </w:rPr>
        <w:t>Permanent Correspondents</w:t>
      </w:r>
    </w:p>
    <w:p w14:paraId="1D7D0B66" w14:textId="3FDC2BA4" w:rsidR="00C84EDD" w:rsidRDefault="00C84EDD" w:rsidP="00194BD5">
      <w:pPr>
        <w:jc w:val="both"/>
        <w:rPr>
          <w:lang w:val="en-GB"/>
        </w:rPr>
      </w:pPr>
      <w:r w:rsidRPr="0014209E">
        <w:rPr>
          <w:lang w:val="en-GB"/>
        </w:rPr>
        <w:t>1.</w:t>
      </w:r>
      <w:r w:rsidR="009E19B3" w:rsidRPr="0014209E">
        <w:rPr>
          <w:lang w:val="en-GB"/>
        </w:rPr>
        <w:t>1</w:t>
      </w:r>
      <w:r w:rsidRPr="0014209E">
        <w:rPr>
          <w:lang w:val="en-GB"/>
        </w:rPr>
        <w:t xml:space="preserve">         The composition </w:t>
      </w:r>
      <w:r w:rsidR="001E11C2">
        <w:rPr>
          <w:lang w:val="en-GB"/>
        </w:rPr>
        <w:t xml:space="preserve">and responsibilities </w:t>
      </w:r>
      <w:r w:rsidRPr="0014209E">
        <w:rPr>
          <w:lang w:val="en-GB"/>
        </w:rPr>
        <w:t xml:space="preserve">of the Committee of Permanent Correspondents are governed by </w:t>
      </w:r>
      <w:r w:rsidR="00E85723" w:rsidRPr="0014209E">
        <w:rPr>
          <w:lang w:val="en-GB"/>
        </w:rPr>
        <w:t>Resolution CM/Res(2</w:t>
      </w:r>
      <w:r w:rsidR="00E85723" w:rsidRPr="00194BD5">
        <w:rPr>
          <w:lang w:val="en-GB"/>
        </w:rPr>
        <w:t xml:space="preserve">021)x </w:t>
      </w:r>
      <w:r w:rsidR="00B44C69" w:rsidRPr="00026E4F">
        <w:rPr>
          <w:lang w:val="en-GB"/>
        </w:rPr>
        <w:t>on the</w:t>
      </w:r>
      <w:r w:rsidR="00026E4F" w:rsidRPr="00026E4F">
        <w:rPr>
          <w:lang w:val="en-GB"/>
        </w:rPr>
        <w:t xml:space="preserve"> </w:t>
      </w:r>
      <w:r w:rsidR="00026E4F" w:rsidRPr="00026E4F">
        <w:rPr>
          <w:lang w:val="en-US"/>
        </w:rPr>
        <w:t>Enlarged Partial Agreement on the Protection against Major Natural, Technological and Biological Hazards and Strengthening Resilience in the face of Disasters (EUR-OPA Major Hazards Agreement)</w:t>
      </w:r>
      <w:r w:rsidRPr="00026E4F">
        <w:rPr>
          <w:lang w:val="en-GB"/>
        </w:rPr>
        <w:t>,</w:t>
      </w:r>
      <w:r w:rsidR="00026E4F">
        <w:rPr>
          <w:lang w:val="en-GB"/>
        </w:rPr>
        <w:t xml:space="preserve"> </w:t>
      </w:r>
      <w:r w:rsidRPr="00194BD5">
        <w:rPr>
          <w:lang w:val="en-GB"/>
        </w:rPr>
        <w:t xml:space="preserve">hereinafter referred to as </w:t>
      </w:r>
      <w:r w:rsidR="00B44C69">
        <w:rPr>
          <w:lang w:val="en-GB"/>
        </w:rPr>
        <w:t>EPA</w:t>
      </w:r>
      <w:r w:rsidRPr="00194BD5">
        <w:rPr>
          <w:lang w:val="en-GB"/>
        </w:rPr>
        <w:t>.</w:t>
      </w:r>
    </w:p>
    <w:p w14:paraId="3BA10CD3" w14:textId="77777777" w:rsidR="00377AB9" w:rsidRPr="00194BD5" w:rsidRDefault="00377AB9" w:rsidP="00194BD5">
      <w:pPr>
        <w:jc w:val="both"/>
        <w:rPr>
          <w:lang w:val="en-GB"/>
        </w:rPr>
      </w:pPr>
    </w:p>
    <w:p w14:paraId="21C93069" w14:textId="1CCB08FB" w:rsidR="001E11C2" w:rsidRDefault="00C84EDD" w:rsidP="00194BD5">
      <w:pPr>
        <w:jc w:val="both"/>
        <w:rPr>
          <w:b/>
          <w:bCs/>
          <w:lang w:val="en-GB"/>
        </w:rPr>
      </w:pPr>
      <w:r w:rsidRPr="00C706AC">
        <w:rPr>
          <w:b/>
          <w:bCs/>
          <w:lang w:val="en-GB"/>
        </w:rPr>
        <w:t>Article 2</w:t>
      </w:r>
      <w:r w:rsidR="004A0CA4" w:rsidRPr="004A0CA4">
        <w:rPr>
          <w:b/>
          <w:bCs/>
          <w:lang w:val="en-GB"/>
        </w:rPr>
        <w:t xml:space="preserve"> – </w:t>
      </w:r>
      <w:r w:rsidR="001E11C2" w:rsidRPr="0014209E">
        <w:rPr>
          <w:b/>
          <w:bCs/>
          <w:lang w:val="en-GB"/>
        </w:rPr>
        <w:t>Bureau of the Committee</w:t>
      </w:r>
    </w:p>
    <w:p w14:paraId="3E52E863" w14:textId="78FE1D58" w:rsidR="001E11C2" w:rsidRPr="0014209E" w:rsidRDefault="001E11C2" w:rsidP="00194BD5">
      <w:pPr>
        <w:jc w:val="both"/>
        <w:rPr>
          <w:lang w:val="en-GB"/>
        </w:rPr>
      </w:pPr>
      <w:r>
        <w:rPr>
          <w:lang w:val="en-GB"/>
        </w:rPr>
        <w:t>2</w:t>
      </w:r>
      <w:r w:rsidRPr="0014209E">
        <w:rPr>
          <w:lang w:val="en-GB"/>
        </w:rPr>
        <w:t>.1</w:t>
      </w:r>
      <w:r w:rsidRPr="0014209E">
        <w:rPr>
          <w:lang w:val="en-GB"/>
        </w:rPr>
        <w:tab/>
        <w:t xml:space="preserve">The Chair and the Vice-Chairs of the Committee shall be elected by a two-thirds majority of members, at first ballot, and by a simple majority, at the second ballot.  The term of office of the Chair and Vice-Chairs shall be </w:t>
      </w:r>
      <w:r w:rsidR="00E0466F">
        <w:rPr>
          <w:lang w:val="en-GB"/>
        </w:rPr>
        <w:t>two</w:t>
      </w:r>
      <w:r w:rsidRPr="0014209E">
        <w:rPr>
          <w:lang w:val="en-GB"/>
        </w:rPr>
        <w:t xml:space="preserve"> year</w:t>
      </w:r>
      <w:r w:rsidR="00E0466F">
        <w:rPr>
          <w:lang w:val="en-GB"/>
        </w:rPr>
        <w:t>s</w:t>
      </w:r>
      <w:r w:rsidRPr="0014209E">
        <w:rPr>
          <w:lang w:val="en-GB"/>
        </w:rPr>
        <w:t xml:space="preserve"> and may be renewed once.  If the candidates to the post of Chair and each post of Vice-Chair</w:t>
      </w:r>
      <w:r w:rsidRPr="0014209E">
        <w:rPr>
          <w:i/>
          <w:iCs/>
          <w:lang w:val="en-GB"/>
        </w:rPr>
        <w:t> </w:t>
      </w:r>
      <w:r w:rsidRPr="0014209E">
        <w:rPr>
          <w:lang w:val="en-GB"/>
        </w:rPr>
        <w:t>respectively are two or more, they shall be elected by secret ballot.</w:t>
      </w:r>
    </w:p>
    <w:p w14:paraId="0DA9F94E" w14:textId="1A17716B" w:rsidR="001E11C2" w:rsidRPr="0014209E" w:rsidRDefault="001E11C2" w:rsidP="00194BD5">
      <w:pPr>
        <w:jc w:val="both"/>
        <w:rPr>
          <w:lang w:val="en-GB"/>
        </w:rPr>
      </w:pPr>
      <w:r>
        <w:rPr>
          <w:lang w:val="en-GB"/>
        </w:rPr>
        <w:t>2</w:t>
      </w:r>
      <w:r w:rsidRPr="0014209E">
        <w:rPr>
          <w:lang w:val="en-GB"/>
        </w:rPr>
        <w:t>.2</w:t>
      </w:r>
      <w:r w:rsidRPr="0014209E">
        <w:rPr>
          <w:lang w:val="en-GB"/>
        </w:rPr>
        <w:tab/>
        <w:t xml:space="preserve">The Bureau comprised of </w:t>
      </w:r>
      <w:r w:rsidR="004C134D">
        <w:rPr>
          <w:lang w:val="en-GB"/>
        </w:rPr>
        <w:t>the</w:t>
      </w:r>
      <w:r w:rsidRPr="0014209E">
        <w:rPr>
          <w:lang w:val="en-GB"/>
        </w:rPr>
        <w:t xml:space="preserve"> </w:t>
      </w:r>
      <w:r w:rsidR="004C134D">
        <w:rPr>
          <w:lang w:val="en-GB"/>
        </w:rPr>
        <w:t xml:space="preserve">incumbent </w:t>
      </w:r>
      <w:r w:rsidRPr="0014209E">
        <w:rPr>
          <w:lang w:val="en-GB"/>
        </w:rPr>
        <w:t xml:space="preserve">chair, </w:t>
      </w:r>
      <w:r w:rsidR="004C134D">
        <w:rPr>
          <w:lang w:val="en-GB"/>
        </w:rPr>
        <w:t>the</w:t>
      </w:r>
      <w:r w:rsidRPr="0014209E">
        <w:rPr>
          <w:lang w:val="en-GB"/>
        </w:rPr>
        <w:t xml:space="preserve"> previous chair, one vice</w:t>
      </w:r>
      <w:r w:rsidRPr="0014209E">
        <w:rPr>
          <w:lang w:val="en-GB"/>
        </w:rPr>
        <w:noBreakHyphen/>
        <w:t>chair and two other members shall be elected by the Committee in accordance with Article 4.2 of the Statute</w:t>
      </w:r>
      <w:r w:rsidR="00E0466F">
        <w:rPr>
          <w:lang w:val="en-GB"/>
        </w:rPr>
        <w:t>.</w:t>
      </w:r>
    </w:p>
    <w:p w14:paraId="4CCDE8EC" w14:textId="2B8652C5" w:rsidR="001E11C2" w:rsidRPr="0014209E" w:rsidRDefault="001E11C2" w:rsidP="00194BD5">
      <w:pPr>
        <w:jc w:val="both"/>
        <w:rPr>
          <w:lang w:val="en-GB"/>
        </w:rPr>
      </w:pPr>
      <w:r>
        <w:rPr>
          <w:lang w:val="en-GB"/>
        </w:rPr>
        <w:t>2.</w:t>
      </w:r>
      <w:r w:rsidRPr="0014209E">
        <w:rPr>
          <w:lang w:val="en-GB"/>
        </w:rPr>
        <w:t>3</w:t>
      </w:r>
      <w:r w:rsidRPr="0014209E">
        <w:rPr>
          <w:lang w:val="en-GB"/>
        </w:rPr>
        <w:tab/>
        <w:t>The Bureau shall direct the work of the Committee and perform all other functions conferred upon it by the Statute, these Rules of Procedure or by the Committee.</w:t>
      </w:r>
    </w:p>
    <w:p w14:paraId="126D796F" w14:textId="4D98C659" w:rsidR="001E11C2" w:rsidRPr="0014209E" w:rsidRDefault="001E11C2" w:rsidP="00194BD5">
      <w:pPr>
        <w:jc w:val="both"/>
        <w:rPr>
          <w:lang w:val="en-GB"/>
        </w:rPr>
      </w:pPr>
      <w:r>
        <w:rPr>
          <w:lang w:val="en-GB"/>
        </w:rPr>
        <w:t>2</w:t>
      </w:r>
      <w:r w:rsidRPr="0014209E">
        <w:rPr>
          <w:lang w:val="en-GB"/>
        </w:rPr>
        <w:t>.4</w:t>
      </w:r>
      <w:r w:rsidRPr="0014209E">
        <w:rPr>
          <w:lang w:val="en-GB"/>
        </w:rPr>
        <w:tab/>
        <w:t xml:space="preserve">The Bureau shall meet at the request of the Chair.  It shall be responsible for taking administrative and organisational decisions between meetings.  The </w:t>
      </w:r>
      <w:r w:rsidR="009350A6">
        <w:rPr>
          <w:lang w:val="en-GB"/>
        </w:rPr>
        <w:t xml:space="preserve">Executive Secretary </w:t>
      </w:r>
      <w:r w:rsidRPr="0014209E">
        <w:rPr>
          <w:lang w:val="en-GB"/>
        </w:rPr>
        <w:t xml:space="preserve">will distribute the </w:t>
      </w:r>
      <w:r w:rsidR="009350A6">
        <w:rPr>
          <w:lang w:val="en-GB"/>
        </w:rPr>
        <w:t xml:space="preserve">Bureau </w:t>
      </w:r>
      <w:r w:rsidRPr="0014209E">
        <w:rPr>
          <w:lang w:val="en-GB"/>
        </w:rPr>
        <w:t>meeting reports to Committee members.</w:t>
      </w:r>
    </w:p>
    <w:p w14:paraId="0CD846AF" w14:textId="0D933E7D" w:rsidR="001E11C2" w:rsidRPr="0014209E" w:rsidRDefault="001E11C2" w:rsidP="00194BD5">
      <w:pPr>
        <w:jc w:val="both"/>
        <w:rPr>
          <w:lang w:val="en-GB"/>
        </w:rPr>
      </w:pPr>
      <w:r>
        <w:rPr>
          <w:lang w:val="en-GB"/>
        </w:rPr>
        <w:t>2</w:t>
      </w:r>
      <w:r w:rsidRPr="0014209E">
        <w:rPr>
          <w:lang w:val="en-GB"/>
        </w:rPr>
        <w:t>.5</w:t>
      </w:r>
      <w:r w:rsidRPr="0014209E">
        <w:rPr>
          <w:lang w:val="en-GB"/>
        </w:rPr>
        <w:tab/>
        <w:t>When the Committee is not in session, the Bureau may, in urgent cases, decide on the Committee's behalf.</w:t>
      </w:r>
    </w:p>
    <w:p w14:paraId="601C5341" w14:textId="3EABA182" w:rsidR="001E11C2" w:rsidRPr="0014209E" w:rsidRDefault="001E11C2" w:rsidP="00194BD5">
      <w:pPr>
        <w:jc w:val="both"/>
        <w:rPr>
          <w:lang w:val="en-GB"/>
        </w:rPr>
      </w:pPr>
      <w:r>
        <w:rPr>
          <w:lang w:val="en-GB"/>
        </w:rPr>
        <w:t>2</w:t>
      </w:r>
      <w:r w:rsidRPr="0014209E">
        <w:rPr>
          <w:lang w:val="en-GB"/>
        </w:rPr>
        <w:t>.6</w:t>
      </w:r>
      <w:r w:rsidRPr="0014209E">
        <w:rPr>
          <w:lang w:val="en-GB"/>
        </w:rPr>
        <w:tab/>
        <w:t>The Bureau shall inform the Committee at its next meeting of any decisions which it has taken under this paragraph.</w:t>
      </w:r>
    </w:p>
    <w:p w14:paraId="39B2E0D8" w14:textId="4CAE807A" w:rsidR="001E11C2" w:rsidRPr="0014209E" w:rsidRDefault="001E11C2" w:rsidP="00194BD5">
      <w:pPr>
        <w:jc w:val="both"/>
        <w:rPr>
          <w:lang w:val="en-GB"/>
        </w:rPr>
      </w:pPr>
      <w:r>
        <w:rPr>
          <w:lang w:val="en-GB"/>
        </w:rPr>
        <w:t>2</w:t>
      </w:r>
      <w:r w:rsidRPr="0014209E">
        <w:rPr>
          <w:lang w:val="en-GB"/>
        </w:rPr>
        <w:t>.7</w:t>
      </w:r>
      <w:r w:rsidRPr="0014209E">
        <w:rPr>
          <w:lang w:val="en-GB"/>
        </w:rPr>
        <w:tab/>
        <w:t>The Bureau shall not decide on matters subject to a vote by a qualified majority of the ordinary members of the Committee.</w:t>
      </w:r>
    </w:p>
    <w:p w14:paraId="1E689E74" w14:textId="77777777" w:rsidR="001E11C2" w:rsidRPr="0014209E" w:rsidRDefault="001E11C2" w:rsidP="00194BD5">
      <w:pPr>
        <w:jc w:val="both"/>
        <w:rPr>
          <w:lang w:val="en-GB"/>
        </w:rPr>
      </w:pPr>
    </w:p>
    <w:p w14:paraId="6EE560EF" w14:textId="1DFCF27C" w:rsidR="001E11C2" w:rsidRDefault="001E11C2" w:rsidP="00194BD5">
      <w:pPr>
        <w:jc w:val="both"/>
        <w:rPr>
          <w:b/>
          <w:bCs/>
          <w:lang w:val="en-GB"/>
        </w:rPr>
      </w:pPr>
      <w:r w:rsidRPr="0014209E">
        <w:rPr>
          <w:b/>
          <w:bCs/>
          <w:lang w:val="en-GB"/>
        </w:rPr>
        <w:t xml:space="preserve">Article </w:t>
      </w:r>
      <w:r>
        <w:rPr>
          <w:b/>
          <w:bCs/>
          <w:lang w:val="en-GB"/>
        </w:rPr>
        <w:t>3</w:t>
      </w:r>
      <w:r w:rsidR="004A0CA4" w:rsidRPr="004A0CA4">
        <w:rPr>
          <w:b/>
          <w:bCs/>
          <w:lang w:val="en-GB"/>
        </w:rPr>
        <w:t xml:space="preserve"> – </w:t>
      </w:r>
      <w:r w:rsidRPr="0014209E">
        <w:rPr>
          <w:b/>
          <w:bCs/>
          <w:lang w:val="en-GB"/>
        </w:rPr>
        <w:t>Functions of the Chair</w:t>
      </w:r>
    </w:p>
    <w:p w14:paraId="70C49DC4" w14:textId="1C71505C" w:rsidR="001E11C2" w:rsidRPr="0014209E" w:rsidRDefault="001F11AD" w:rsidP="00194BD5">
      <w:pPr>
        <w:jc w:val="both"/>
        <w:rPr>
          <w:lang w:val="en-GB"/>
        </w:rPr>
      </w:pPr>
      <w:r>
        <w:rPr>
          <w:lang w:val="en-GB"/>
        </w:rPr>
        <w:t>3</w:t>
      </w:r>
      <w:r w:rsidR="001E11C2" w:rsidRPr="0014209E">
        <w:rPr>
          <w:lang w:val="en-GB"/>
        </w:rPr>
        <w:t>.1</w:t>
      </w:r>
      <w:r w:rsidR="001E11C2" w:rsidRPr="0014209E">
        <w:rPr>
          <w:lang w:val="en-GB"/>
        </w:rPr>
        <w:tab/>
        <w:t xml:space="preserve">The </w:t>
      </w:r>
      <w:r w:rsidR="001E11C2" w:rsidRPr="00866664">
        <w:rPr>
          <w:lang w:val="en-GB"/>
        </w:rPr>
        <w:t xml:space="preserve">Chair shall </w:t>
      </w:r>
      <w:r w:rsidR="00866664" w:rsidRPr="00866664">
        <w:rPr>
          <w:lang w:val="en-GB"/>
        </w:rPr>
        <w:t>preside over</w:t>
      </w:r>
      <w:r w:rsidR="00866664">
        <w:rPr>
          <w:lang w:val="en-GB"/>
        </w:rPr>
        <w:t xml:space="preserve"> </w:t>
      </w:r>
      <w:r w:rsidR="001E11C2" w:rsidRPr="0014209E">
        <w:rPr>
          <w:lang w:val="en-GB"/>
        </w:rPr>
        <w:t>the meetings of the Committee, and perform all other functions conferred upon her or him by the Statute, these Rules of Procedure or by the Committee.</w:t>
      </w:r>
    </w:p>
    <w:p w14:paraId="41E56C9A" w14:textId="672EA478" w:rsidR="001E11C2" w:rsidRPr="0014209E" w:rsidRDefault="001F11AD" w:rsidP="00194BD5">
      <w:pPr>
        <w:jc w:val="both"/>
        <w:rPr>
          <w:lang w:val="en-GB"/>
        </w:rPr>
      </w:pPr>
      <w:r>
        <w:rPr>
          <w:lang w:val="en-GB"/>
        </w:rPr>
        <w:t>3</w:t>
      </w:r>
      <w:r w:rsidR="001E11C2" w:rsidRPr="0014209E">
        <w:rPr>
          <w:lang w:val="en-GB"/>
        </w:rPr>
        <w:t>.2</w:t>
      </w:r>
      <w:r w:rsidR="001E11C2" w:rsidRPr="0014209E">
        <w:rPr>
          <w:lang w:val="en-GB"/>
        </w:rPr>
        <w:tab/>
        <w:t>The Chair shall conduct proceedings and sum up the conclusions whenever he/she thinks necessary.  He/she may call to order a speaker who departs from the subject under discussion or from the Committee's terms of reference.  He/she shall retain the right to speak and to vote in his/her capacity as a member of the Committee.</w:t>
      </w:r>
    </w:p>
    <w:p w14:paraId="1984284A" w14:textId="5D58B72B" w:rsidR="001E11C2" w:rsidRPr="0014209E" w:rsidRDefault="001F11AD" w:rsidP="00194BD5">
      <w:pPr>
        <w:jc w:val="both"/>
        <w:rPr>
          <w:lang w:val="en-GB"/>
        </w:rPr>
      </w:pPr>
      <w:r>
        <w:rPr>
          <w:lang w:val="en-GB"/>
        </w:rPr>
        <w:t>3</w:t>
      </w:r>
      <w:r w:rsidR="001E11C2" w:rsidRPr="0014209E">
        <w:rPr>
          <w:lang w:val="en-GB"/>
        </w:rPr>
        <w:t>.3</w:t>
      </w:r>
      <w:r w:rsidR="001E11C2" w:rsidRPr="0014209E">
        <w:rPr>
          <w:lang w:val="en-GB"/>
        </w:rPr>
        <w:tab/>
        <w:t>The Vice-Chair shall take the place of the Chair if the latter is unable to carry out his or her duties or if the office of the Chair is vacant.</w:t>
      </w:r>
    </w:p>
    <w:p w14:paraId="7E0A5846" w14:textId="22CE79FA" w:rsidR="001E11C2" w:rsidRPr="0014209E" w:rsidRDefault="001F11AD" w:rsidP="00194BD5">
      <w:pPr>
        <w:jc w:val="both"/>
        <w:rPr>
          <w:lang w:val="en-GB"/>
        </w:rPr>
      </w:pPr>
      <w:r>
        <w:rPr>
          <w:lang w:val="en-GB"/>
        </w:rPr>
        <w:t>3</w:t>
      </w:r>
      <w:r w:rsidR="001E11C2" w:rsidRPr="0014209E">
        <w:rPr>
          <w:lang w:val="en-GB"/>
        </w:rPr>
        <w:t>.4</w:t>
      </w:r>
      <w:r w:rsidR="001E11C2" w:rsidRPr="0014209E">
        <w:rPr>
          <w:lang w:val="en-GB"/>
        </w:rPr>
        <w:tab/>
        <w:t>A member of the Bureau shall replace the first Vice-Chair if the latter is unable to carry out his or her duties or if the office of Vice Chair is vacant.</w:t>
      </w:r>
    </w:p>
    <w:p w14:paraId="2826879D" w14:textId="47B8B114" w:rsidR="001E11C2" w:rsidRDefault="001E11C2" w:rsidP="00194BD5">
      <w:pPr>
        <w:jc w:val="both"/>
        <w:rPr>
          <w:b/>
          <w:bCs/>
          <w:lang w:val="en-GB"/>
        </w:rPr>
      </w:pPr>
    </w:p>
    <w:p w14:paraId="136E2CB4" w14:textId="77777777" w:rsidR="00042565" w:rsidRDefault="00042565" w:rsidP="00194BD5">
      <w:pPr>
        <w:jc w:val="both"/>
        <w:rPr>
          <w:b/>
          <w:bCs/>
          <w:lang w:val="en-GB"/>
        </w:rPr>
      </w:pPr>
    </w:p>
    <w:p w14:paraId="492000A8" w14:textId="4CAB69C8" w:rsidR="00C84EDD" w:rsidRPr="0014209E" w:rsidRDefault="00377AB9" w:rsidP="00194BD5">
      <w:pPr>
        <w:jc w:val="both"/>
        <w:rPr>
          <w:lang w:val="en-GB"/>
        </w:rPr>
      </w:pPr>
      <w:r>
        <w:rPr>
          <w:b/>
          <w:bCs/>
          <w:lang w:val="en-GB"/>
        </w:rPr>
        <w:lastRenderedPageBreak/>
        <w:t>Article 4</w:t>
      </w:r>
      <w:bookmarkStart w:id="0" w:name="_Hlk64390435"/>
      <w:r>
        <w:rPr>
          <w:b/>
          <w:bCs/>
          <w:lang w:val="en-GB"/>
        </w:rPr>
        <w:t xml:space="preserve"> </w:t>
      </w:r>
      <w:r w:rsidR="00C706AC">
        <w:rPr>
          <w:b/>
          <w:bCs/>
          <w:lang w:val="en-GB"/>
        </w:rPr>
        <w:t>–</w:t>
      </w:r>
      <w:r>
        <w:rPr>
          <w:b/>
          <w:bCs/>
          <w:lang w:val="en-GB"/>
        </w:rPr>
        <w:t xml:space="preserve"> </w:t>
      </w:r>
      <w:bookmarkEnd w:id="0"/>
      <w:r w:rsidR="00C84EDD" w:rsidRPr="0014209E">
        <w:rPr>
          <w:b/>
          <w:bCs/>
          <w:lang w:val="en-GB"/>
        </w:rPr>
        <w:t>Meetings</w:t>
      </w:r>
      <w:r w:rsidR="00C706AC">
        <w:rPr>
          <w:b/>
          <w:bCs/>
          <w:lang w:val="en-GB"/>
        </w:rPr>
        <w:t xml:space="preserve"> of the </w:t>
      </w:r>
      <w:r w:rsidR="00C706AC" w:rsidRPr="00C706AC">
        <w:rPr>
          <w:b/>
          <w:bCs/>
          <w:lang w:val="en-GB"/>
        </w:rPr>
        <w:t>Committee of Permanent Correspondents</w:t>
      </w:r>
    </w:p>
    <w:p w14:paraId="6BC5FF73" w14:textId="0F0D6A69" w:rsidR="00C84EDD" w:rsidRDefault="001F11AD" w:rsidP="00194BD5">
      <w:pPr>
        <w:jc w:val="both"/>
        <w:rPr>
          <w:lang w:val="en-GB"/>
        </w:rPr>
      </w:pPr>
      <w:r>
        <w:rPr>
          <w:lang w:val="en-GB"/>
        </w:rPr>
        <w:t>4</w:t>
      </w:r>
      <w:r w:rsidR="009E19B3" w:rsidRPr="0014209E">
        <w:rPr>
          <w:lang w:val="en-GB"/>
        </w:rPr>
        <w:t>.1</w:t>
      </w:r>
      <w:r w:rsidR="00C84EDD" w:rsidRPr="0014209E">
        <w:rPr>
          <w:lang w:val="en-GB"/>
        </w:rPr>
        <w:t>         The Committee of Permanent Correspondents (hereinafter referred to as "</w:t>
      </w:r>
      <w:r w:rsidR="007238E4">
        <w:rPr>
          <w:lang w:val="en-GB"/>
        </w:rPr>
        <w:t>t</w:t>
      </w:r>
      <w:r w:rsidR="00C84EDD" w:rsidRPr="0014209E">
        <w:rPr>
          <w:lang w:val="en-GB"/>
        </w:rPr>
        <w:t xml:space="preserve">he Committee") shall meet at least </w:t>
      </w:r>
      <w:r w:rsidR="00E85723" w:rsidRPr="0014209E">
        <w:rPr>
          <w:lang w:val="en-GB"/>
        </w:rPr>
        <w:t>once a year</w:t>
      </w:r>
      <w:r w:rsidR="00C84EDD" w:rsidRPr="0014209E">
        <w:rPr>
          <w:lang w:val="en-GB"/>
        </w:rPr>
        <w:t xml:space="preserve">. The date of each meeting shall as a rule be fixed during the previous meeting. Any Permanent Correspondent may request that the Committee hold </w:t>
      </w:r>
      <w:r w:rsidR="0014209E" w:rsidRPr="0014209E">
        <w:rPr>
          <w:lang w:val="en-GB"/>
        </w:rPr>
        <w:t xml:space="preserve">a </w:t>
      </w:r>
      <w:r w:rsidR="00C84EDD" w:rsidRPr="0014209E">
        <w:rPr>
          <w:lang w:val="en-GB"/>
        </w:rPr>
        <w:t>meeting</w:t>
      </w:r>
      <w:r>
        <w:rPr>
          <w:lang w:val="en-GB"/>
        </w:rPr>
        <w:t>.</w:t>
      </w:r>
      <w:r w:rsidR="00C84EDD" w:rsidRPr="0014209E">
        <w:rPr>
          <w:lang w:val="en-GB"/>
        </w:rPr>
        <w:t xml:space="preserve"> His/her request is addressed to the Executive Secretary who shall inform all Permanent </w:t>
      </w:r>
      <w:r w:rsidR="007238E4">
        <w:rPr>
          <w:lang w:val="en-GB"/>
        </w:rPr>
        <w:t>C</w:t>
      </w:r>
      <w:r w:rsidR="00C84EDD" w:rsidRPr="0014209E">
        <w:rPr>
          <w:lang w:val="en-GB"/>
        </w:rPr>
        <w:t xml:space="preserve">orrespondents. The request is considered as accepted if </w:t>
      </w:r>
      <w:r w:rsidR="00866664" w:rsidRPr="00866664">
        <w:rPr>
          <w:lang w:val="en-GB"/>
        </w:rPr>
        <w:t xml:space="preserve">within fifteen days </w:t>
      </w:r>
      <w:r w:rsidR="00C84EDD" w:rsidRPr="0014209E">
        <w:rPr>
          <w:lang w:val="en-GB"/>
        </w:rPr>
        <w:t>two</w:t>
      </w:r>
      <w:r w:rsidR="0014209E" w:rsidRPr="0014209E">
        <w:rPr>
          <w:lang w:val="en-GB"/>
        </w:rPr>
        <w:t>-</w:t>
      </w:r>
      <w:r w:rsidR="00C84EDD" w:rsidRPr="0014209E">
        <w:rPr>
          <w:lang w:val="en-GB"/>
        </w:rPr>
        <w:t>thirds of the Permanent Correspondents inform</w:t>
      </w:r>
      <w:r>
        <w:rPr>
          <w:lang w:val="en-GB"/>
        </w:rPr>
        <w:t xml:space="preserve"> </w:t>
      </w:r>
      <w:r w:rsidR="004C134D">
        <w:rPr>
          <w:lang w:val="en-GB"/>
        </w:rPr>
        <w:t xml:space="preserve">the Executive Secretary in writing </w:t>
      </w:r>
      <w:r w:rsidR="00C84EDD" w:rsidRPr="0014209E">
        <w:rPr>
          <w:lang w:val="en-GB"/>
        </w:rPr>
        <w:t>of their agreement.</w:t>
      </w:r>
    </w:p>
    <w:p w14:paraId="5E863381" w14:textId="570DDC2D" w:rsidR="00E85723" w:rsidRPr="0014209E" w:rsidRDefault="001F11AD" w:rsidP="00194BD5">
      <w:pPr>
        <w:jc w:val="both"/>
        <w:rPr>
          <w:lang w:val="en-GB"/>
        </w:rPr>
      </w:pPr>
      <w:r>
        <w:rPr>
          <w:lang w:val="en-GB"/>
        </w:rPr>
        <w:t>4</w:t>
      </w:r>
      <w:r w:rsidR="00C84EDD" w:rsidRPr="0014209E">
        <w:rPr>
          <w:lang w:val="en-GB"/>
        </w:rPr>
        <w:t>.</w:t>
      </w:r>
      <w:r w:rsidR="009E19B3" w:rsidRPr="0014209E">
        <w:rPr>
          <w:lang w:val="en-GB"/>
        </w:rPr>
        <w:t>2</w:t>
      </w:r>
      <w:r w:rsidR="00C84EDD" w:rsidRPr="0014209E">
        <w:rPr>
          <w:lang w:val="en-GB"/>
        </w:rPr>
        <w:t xml:space="preserve">        Meetings shall be held at </w:t>
      </w:r>
      <w:r w:rsidR="004C134D">
        <w:rPr>
          <w:lang w:val="en-GB"/>
        </w:rPr>
        <w:t xml:space="preserve">the Council of Europe premises in </w:t>
      </w:r>
      <w:r w:rsidR="00C84EDD" w:rsidRPr="0014209E">
        <w:rPr>
          <w:lang w:val="en-GB"/>
        </w:rPr>
        <w:t>Strasbourg</w:t>
      </w:r>
      <w:r w:rsidR="004C134D">
        <w:rPr>
          <w:lang w:val="en-GB"/>
        </w:rPr>
        <w:t xml:space="preserve"> or Paris</w:t>
      </w:r>
      <w:r w:rsidR="00C84EDD" w:rsidRPr="0014209E">
        <w:rPr>
          <w:lang w:val="en-GB"/>
        </w:rPr>
        <w:t xml:space="preserve"> unless the Committee decides otherwise </w:t>
      </w:r>
      <w:r w:rsidR="00E85723" w:rsidRPr="0014209E">
        <w:rPr>
          <w:lang w:val="en-GB"/>
        </w:rPr>
        <w:t xml:space="preserve">in accordance with Article 4.6 of its Statute. </w:t>
      </w:r>
      <w:r w:rsidR="00C84EDD" w:rsidRPr="0014209E">
        <w:rPr>
          <w:lang w:val="en-GB"/>
        </w:rPr>
        <w:t>The Committee meetings shall be convened by letter of the Executive Secretary at least four weeks before the fixed date.</w:t>
      </w:r>
      <w:r w:rsidR="00E85723" w:rsidRPr="0014209E">
        <w:rPr>
          <w:lang w:val="en-GB"/>
        </w:rPr>
        <w:t xml:space="preserve"> </w:t>
      </w:r>
    </w:p>
    <w:p w14:paraId="7D88A1DC" w14:textId="36027EA2" w:rsidR="00C84EDD" w:rsidRPr="0014209E" w:rsidRDefault="001F11AD" w:rsidP="00194BD5">
      <w:pPr>
        <w:jc w:val="both"/>
        <w:rPr>
          <w:lang w:val="en-GB"/>
        </w:rPr>
      </w:pPr>
      <w:r>
        <w:rPr>
          <w:lang w:val="en-GB"/>
        </w:rPr>
        <w:t>4</w:t>
      </w:r>
      <w:r w:rsidR="009E19B3" w:rsidRPr="0014209E">
        <w:rPr>
          <w:lang w:val="en-GB"/>
        </w:rPr>
        <w:t>.3</w:t>
      </w:r>
      <w:r w:rsidR="00C84EDD" w:rsidRPr="0014209E">
        <w:rPr>
          <w:lang w:val="en-GB"/>
        </w:rPr>
        <w:t xml:space="preserve">        </w:t>
      </w:r>
      <w:r w:rsidR="00866664" w:rsidRPr="0014209E">
        <w:rPr>
          <w:lang w:val="en-GB"/>
        </w:rPr>
        <w:t>Whe</w:t>
      </w:r>
      <w:r w:rsidR="00866664">
        <w:rPr>
          <w:lang w:val="en-GB"/>
        </w:rPr>
        <w:t>reby</w:t>
      </w:r>
      <w:r w:rsidR="00C84EDD" w:rsidRPr="0014209E">
        <w:rPr>
          <w:lang w:val="en-GB"/>
        </w:rPr>
        <w:t xml:space="preserve"> a meeting of the Committee has been arranged in accordance with the provisions of this Article, any request for </w:t>
      </w:r>
      <w:r w:rsidR="00E85723" w:rsidRPr="0014209E">
        <w:rPr>
          <w:lang w:val="en-GB"/>
        </w:rPr>
        <w:t xml:space="preserve">advancement or a </w:t>
      </w:r>
      <w:r w:rsidR="00C84EDD" w:rsidRPr="0014209E">
        <w:rPr>
          <w:lang w:val="en-GB"/>
        </w:rPr>
        <w:t xml:space="preserve">postponement shall be made at least fifteen days </w:t>
      </w:r>
      <w:r w:rsidR="004C134D">
        <w:rPr>
          <w:lang w:val="en-GB"/>
        </w:rPr>
        <w:t>prior to the agreed</w:t>
      </w:r>
      <w:r w:rsidR="00C84EDD" w:rsidRPr="0014209E">
        <w:rPr>
          <w:lang w:val="en-GB"/>
        </w:rPr>
        <w:t xml:space="preserve"> </w:t>
      </w:r>
      <w:r w:rsidR="00E32B62">
        <w:rPr>
          <w:lang w:val="en-GB"/>
        </w:rPr>
        <w:t xml:space="preserve">meeting </w:t>
      </w:r>
      <w:r w:rsidR="00C84EDD" w:rsidRPr="0014209E">
        <w:rPr>
          <w:lang w:val="en-GB"/>
        </w:rPr>
        <w:t>date</w:t>
      </w:r>
      <w:r w:rsidR="00E85723" w:rsidRPr="0014209E">
        <w:rPr>
          <w:lang w:val="en-GB"/>
        </w:rPr>
        <w:t>. A</w:t>
      </w:r>
      <w:r w:rsidR="00C84EDD" w:rsidRPr="0014209E">
        <w:rPr>
          <w:lang w:val="en-GB"/>
        </w:rPr>
        <w:t xml:space="preserve"> decision to</w:t>
      </w:r>
      <w:r w:rsidR="00E85723" w:rsidRPr="0014209E">
        <w:rPr>
          <w:lang w:val="en-GB"/>
        </w:rPr>
        <w:t xml:space="preserve"> advance or to</w:t>
      </w:r>
      <w:r w:rsidR="00C84EDD" w:rsidRPr="0014209E">
        <w:rPr>
          <w:lang w:val="en-GB"/>
        </w:rPr>
        <w:t xml:space="preserve"> postpone the meeting shall be </w:t>
      </w:r>
      <w:r w:rsidR="00E85723" w:rsidRPr="0014209E">
        <w:rPr>
          <w:lang w:val="en-GB"/>
        </w:rPr>
        <w:t xml:space="preserve">taken in accordance with Article 4.6 of its Statute. </w:t>
      </w:r>
    </w:p>
    <w:p w14:paraId="5FE65009" w14:textId="77777777" w:rsidR="00C706AC" w:rsidRDefault="00C706AC" w:rsidP="00C706AC">
      <w:pPr>
        <w:jc w:val="both"/>
        <w:rPr>
          <w:b/>
          <w:bCs/>
          <w:lang w:val="en-GB"/>
        </w:rPr>
      </w:pPr>
    </w:p>
    <w:p w14:paraId="3391DEEB" w14:textId="2910E049" w:rsidR="00C706AC" w:rsidRPr="00C706AC" w:rsidRDefault="00C706AC" w:rsidP="00C706AC">
      <w:pPr>
        <w:jc w:val="both"/>
        <w:rPr>
          <w:b/>
          <w:bCs/>
          <w:lang w:val="en-GB"/>
        </w:rPr>
      </w:pPr>
      <w:r w:rsidRPr="00C706AC">
        <w:rPr>
          <w:b/>
          <w:bCs/>
          <w:lang w:val="en-GB"/>
        </w:rPr>
        <w:t xml:space="preserve">Article </w:t>
      </w:r>
      <w:r>
        <w:rPr>
          <w:b/>
          <w:bCs/>
          <w:lang w:val="en-GB"/>
        </w:rPr>
        <w:t>5</w:t>
      </w:r>
      <w:r w:rsidR="004A0CA4" w:rsidRPr="004A0CA4">
        <w:rPr>
          <w:b/>
          <w:bCs/>
          <w:lang w:val="en-GB"/>
        </w:rPr>
        <w:t xml:space="preserve"> – </w:t>
      </w:r>
      <w:r w:rsidRPr="00C706AC">
        <w:rPr>
          <w:b/>
          <w:bCs/>
          <w:lang w:val="en-GB"/>
        </w:rPr>
        <w:t>Meetings at Ministerial level</w:t>
      </w:r>
    </w:p>
    <w:p w14:paraId="7E21A9A5" w14:textId="4B306669" w:rsidR="00C706AC" w:rsidRPr="00C706AC" w:rsidRDefault="00C706AC" w:rsidP="00C706AC">
      <w:pPr>
        <w:jc w:val="both"/>
        <w:rPr>
          <w:lang w:val="en-GB"/>
        </w:rPr>
      </w:pPr>
      <w:r w:rsidRPr="00C706AC">
        <w:rPr>
          <w:lang w:val="en-GB"/>
        </w:rPr>
        <w:t>5.1</w:t>
      </w:r>
      <w:r w:rsidRPr="00C706AC">
        <w:rPr>
          <w:lang w:val="en-GB"/>
        </w:rPr>
        <w:tab/>
        <w:t xml:space="preserve">These Rules of Procedure also apply to the meetings of the Parties to the </w:t>
      </w:r>
      <w:r w:rsidR="0071611C">
        <w:rPr>
          <w:lang w:val="en-GB"/>
        </w:rPr>
        <w:t xml:space="preserve">EPA </w:t>
      </w:r>
      <w:r w:rsidRPr="00C706AC">
        <w:rPr>
          <w:lang w:val="en-GB"/>
        </w:rPr>
        <w:t xml:space="preserve">at </w:t>
      </w:r>
      <w:r w:rsidR="00E0466F">
        <w:rPr>
          <w:lang w:val="en-GB"/>
        </w:rPr>
        <w:t>M</w:t>
      </w:r>
      <w:r w:rsidRPr="00C706AC">
        <w:rPr>
          <w:lang w:val="en-GB"/>
        </w:rPr>
        <w:t>inisterial level, provided that the Parties decide to do so.</w:t>
      </w:r>
    </w:p>
    <w:p w14:paraId="66C4713D" w14:textId="77777777" w:rsidR="0014209E" w:rsidRPr="0014209E" w:rsidRDefault="0014209E" w:rsidP="00194BD5">
      <w:pPr>
        <w:jc w:val="both"/>
        <w:rPr>
          <w:b/>
          <w:bCs/>
          <w:lang w:val="en-GB"/>
        </w:rPr>
      </w:pPr>
    </w:p>
    <w:p w14:paraId="5B36C444" w14:textId="34F4C67C" w:rsidR="00C84EDD" w:rsidRPr="0014209E" w:rsidRDefault="00C84EDD" w:rsidP="00194BD5">
      <w:pPr>
        <w:jc w:val="both"/>
        <w:rPr>
          <w:lang w:val="en-GB"/>
        </w:rPr>
      </w:pPr>
      <w:r w:rsidRPr="0014209E">
        <w:rPr>
          <w:b/>
          <w:bCs/>
          <w:lang w:val="en-GB"/>
        </w:rPr>
        <w:t xml:space="preserve">Article </w:t>
      </w:r>
      <w:r w:rsidR="00C706AC">
        <w:rPr>
          <w:b/>
          <w:bCs/>
          <w:lang w:val="en-GB"/>
        </w:rPr>
        <w:t>6</w:t>
      </w:r>
      <w:r w:rsidR="004A0CA4" w:rsidRPr="004A0CA4">
        <w:rPr>
          <w:b/>
          <w:bCs/>
          <w:lang w:val="en-GB"/>
        </w:rPr>
        <w:t xml:space="preserve"> – </w:t>
      </w:r>
      <w:r w:rsidRPr="0014209E">
        <w:rPr>
          <w:b/>
          <w:bCs/>
          <w:lang w:val="en-GB"/>
        </w:rPr>
        <w:t>Agenda</w:t>
      </w:r>
      <w:r w:rsidR="00B75B0A" w:rsidRPr="0014209E">
        <w:rPr>
          <w:b/>
          <w:bCs/>
          <w:lang w:val="en-GB"/>
        </w:rPr>
        <w:t xml:space="preserve"> and working documents</w:t>
      </w:r>
    </w:p>
    <w:p w14:paraId="52B8B3C9" w14:textId="7C15BC5B" w:rsidR="00E85723" w:rsidRPr="0014209E" w:rsidRDefault="00C706AC" w:rsidP="00194BD5">
      <w:pPr>
        <w:jc w:val="both"/>
        <w:rPr>
          <w:lang w:val="en-GB"/>
        </w:rPr>
      </w:pPr>
      <w:r>
        <w:rPr>
          <w:lang w:val="en-GB"/>
        </w:rPr>
        <w:t>6</w:t>
      </w:r>
      <w:r w:rsidR="009E19B3" w:rsidRPr="0014209E">
        <w:rPr>
          <w:lang w:val="en-GB"/>
        </w:rPr>
        <w:t>.</w:t>
      </w:r>
      <w:r w:rsidR="00C84EDD" w:rsidRPr="0014209E">
        <w:rPr>
          <w:lang w:val="en-GB"/>
        </w:rPr>
        <w:t>1</w:t>
      </w:r>
      <w:r w:rsidR="00E85723" w:rsidRPr="0014209E">
        <w:rPr>
          <w:lang w:val="en-GB"/>
        </w:rPr>
        <w:t xml:space="preserve"> </w:t>
      </w:r>
      <w:r w:rsidR="00E85723" w:rsidRPr="0014209E">
        <w:rPr>
          <w:lang w:val="en-GB"/>
        </w:rPr>
        <w:tab/>
        <w:t>Following consultations with the Bureau, the Executive Secretary shall transmit to the members a draft agenda simultaneously with the notification of the meeting.</w:t>
      </w:r>
    </w:p>
    <w:p w14:paraId="2609FA3A" w14:textId="22D8C5DA" w:rsidR="00B75B0A" w:rsidRPr="0014209E" w:rsidRDefault="00C706AC" w:rsidP="00194BD5">
      <w:pPr>
        <w:jc w:val="both"/>
        <w:rPr>
          <w:lang w:val="en-GB"/>
        </w:rPr>
      </w:pPr>
      <w:r>
        <w:rPr>
          <w:lang w:val="en-GB"/>
        </w:rPr>
        <w:t>6</w:t>
      </w:r>
      <w:r w:rsidR="009E19B3" w:rsidRPr="0014209E">
        <w:rPr>
          <w:lang w:val="en-GB"/>
        </w:rPr>
        <w:t>.</w:t>
      </w:r>
      <w:r w:rsidR="00B75B0A" w:rsidRPr="0014209E">
        <w:rPr>
          <w:lang w:val="en-GB"/>
        </w:rPr>
        <w:t xml:space="preserve">2         Each Permanent Correspondent has the right to request the inclusion of a </w:t>
      </w:r>
      <w:r w:rsidR="001F11AD">
        <w:rPr>
          <w:lang w:val="en-GB"/>
        </w:rPr>
        <w:t>point</w:t>
      </w:r>
      <w:r w:rsidR="00B75B0A" w:rsidRPr="0014209E">
        <w:rPr>
          <w:lang w:val="en-GB"/>
        </w:rPr>
        <w:t xml:space="preserve"> in the draft agenda </w:t>
      </w:r>
      <w:r w:rsidR="001F11AD" w:rsidRPr="001F11AD">
        <w:rPr>
          <w:lang w:val="en-GB"/>
        </w:rPr>
        <w:t xml:space="preserve">fifteen days </w:t>
      </w:r>
      <w:r w:rsidR="004C134D">
        <w:rPr>
          <w:lang w:val="en-GB"/>
        </w:rPr>
        <w:t>prior to</w:t>
      </w:r>
      <w:r w:rsidR="00B75B0A" w:rsidRPr="0014209E">
        <w:rPr>
          <w:lang w:val="en-GB"/>
        </w:rPr>
        <w:t xml:space="preserve"> the meeting.</w:t>
      </w:r>
    </w:p>
    <w:p w14:paraId="67D1533E" w14:textId="17A9861E" w:rsidR="00B75B0A" w:rsidRPr="0014209E" w:rsidRDefault="00C706AC" w:rsidP="00194BD5">
      <w:pPr>
        <w:jc w:val="both"/>
        <w:rPr>
          <w:lang w:val="en-GB"/>
        </w:rPr>
      </w:pPr>
      <w:r>
        <w:rPr>
          <w:lang w:val="en-GB"/>
        </w:rPr>
        <w:t>6</w:t>
      </w:r>
      <w:r w:rsidR="009E19B3" w:rsidRPr="0014209E">
        <w:rPr>
          <w:lang w:val="en-GB"/>
        </w:rPr>
        <w:t>.3</w:t>
      </w:r>
      <w:r w:rsidR="00B75B0A" w:rsidRPr="0014209E">
        <w:rPr>
          <w:lang w:val="en-GB"/>
        </w:rPr>
        <w:t>        The Agenda shall be adopted at the beginning of each meeting.  Any supplementary items may be added only if the Committee so decides.  Decisions about the Agenda shall be taken by a simple majority of the Permanent Correspondents who are present.</w:t>
      </w:r>
    </w:p>
    <w:p w14:paraId="644C1DBD" w14:textId="709515F4" w:rsidR="00E85723" w:rsidRPr="0014209E" w:rsidRDefault="00C706AC" w:rsidP="00194BD5">
      <w:pPr>
        <w:jc w:val="both"/>
        <w:rPr>
          <w:lang w:val="en-GB"/>
        </w:rPr>
      </w:pPr>
      <w:r>
        <w:rPr>
          <w:lang w:val="en-GB"/>
        </w:rPr>
        <w:t>6</w:t>
      </w:r>
      <w:r w:rsidR="009E19B3" w:rsidRPr="0014209E">
        <w:rPr>
          <w:lang w:val="en-GB"/>
        </w:rPr>
        <w:t>.4</w:t>
      </w:r>
      <w:r w:rsidR="00B75B0A" w:rsidRPr="0014209E">
        <w:rPr>
          <w:lang w:val="en-GB"/>
        </w:rPr>
        <w:tab/>
      </w:r>
      <w:r w:rsidR="00E85723" w:rsidRPr="0014209E">
        <w:rPr>
          <w:lang w:val="en-GB"/>
        </w:rPr>
        <w:t>The Executive Secretar</w:t>
      </w:r>
      <w:r w:rsidR="009350A6">
        <w:rPr>
          <w:lang w:val="en-GB"/>
        </w:rPr>
        <w:t>y</w:t>
      </w:r>
      <w:r w:rsidR="00E85723" w:rsidRPr="0014209E">
        <w:rPr>
          <w:lang w:val="en-GB"/>
        </w:rPr>
        <w:t xml:space="preserve"> shall transmit the working documents for each meeting</w:t>
      </w:r>
      <w:r w:rsidR="004C134D" w:rsidRPr="004C134D">
        <w:rPr>
          <w:lang w:val="en-GB"/>
        </w:rPr>
        <w:t xml:space="preserve"> to the members of the Committee</w:t>
      </w:r>
      <w:r w:rsidR="00E85723" w:rsidRPr="0014209E">
        <w:rPr>
          <w:lang w:val="en-GB"/>
        </w:rPr>
        <w:t>.</w:t>
      </w:r>
      <w:r w:rsidR="009350A6" w:rsidRPr="009350A6">
        <w:rPr>
          <w:lang w:val="en-GB"/>
        </w:rPr>
        <w:t xml:space="preserve"> The Executive Secretary </w:t>
      </w:r>
      <w:r w:rsidR="009350A6">
        <w:rPr>
          <w:lang w:val="en-GB"/>
        </w:rPr>
        <w:t>shall also</w:t>
      </w:r>
      <w:r w:rsidR="009350A6" w:rsidRPr="009350A6">
        <w:rPr>
          <w:lang w:val="en-GB"/>
        </w:rPr>
        <w:t xml:space="preserve"> distribute the </w:t>
      </w:r>
      <w:r w:rsidR="009350A6">
        <w:rPr>
          <w:lang w:val="en-GB"/>
        </w:rPr>
        <w:t xml:space="preserve">reports of each </w:t>
      </w:r>
      <w:r w:rsidR="009350A6" w:rsidRPr="009350A6">
        <w:rPr>
          <w:lang w:val="en-GB"/>
        </w:rPr>
        <w:t>meeting</w:t>
      </w:r>
      <w:r w:rsidR="009350A6" w:rsidRPr="009350A6">
        <w:rPr>
          <w:b/>
          <w:bCs/>
          <w:lang w:val="en-GB"/>
        </w:rPr>
        <w:t xml:space="preserve"> </w:t>
      </w:r>
      <w:r w:rsidR="009350A6" w:rsidRPr="009350A6">
        <w:rPr>
          <w:lang w:val="en-GB"/>
        </w:rPr>
        <w:t>of the Committee of Permanent Correspondents to Committee members</w:t>
      </w:r>
      <w:r w:rsidR="009350A6">
        <w:rPr>
          <w:lang w:val="en-GB"/>
        </w:rPr>
        <w:t>.</w:t>
      </w:r>
    </w:p>
    <w:p w14:paraId="79005008" w14:textId="77777777" w:rsidR="00772A4B" w:rsidRDefault="00772A4B" w:rsidP="00194BD5">
      <w:pPr>
        <w:jc w:val="both"/>
        <w:rPr>
          <w:b/>
          <w:bCs/>
          <w:lang w:val="en-GB"/>
        </w:rPr>
      </w:pPr>
    </w:p>
    <w:p w14:paraId="3A9C1B7D" w14:textId="79BD94BF" w:rsidR="00B75B0A" w:rsidRPr="0014209E" w:rsidRDefault="009E19B3" w:rsidP="00194BD5">
      <w:pPr>
        <w:jc w:val="both"/>
        <w:rPr>
          <w:lang w:val="en-GB"/>
        </w:rPr>
      </w:pPr>
      <w:r w:rsidRPr="0014209E">
        <w:rPr>
          <w:b/>
          <w:bCs/>
          <w:lang w:val="en-GB"/>
        </w:rPr>
        <w:t>Article</w:t>
      </w:r>
      <w:r w:rsidR="00C706AC">
        <w:rPr>
          <w:b/>
          <w:bCs/>
          <w:lang w:val="en-GB"/>
        </w:rPr>
        <w:t xml:space="preserve"> 7</w:t>
      </w:r>
      <w:r w:rsidR="004A0CA4" w:rsidRPr="004A0CA4">
        <w:rPr>
          <w:b/>
          <w:bCs/>
          <w:lang w:val="en-GB"/>
        </w:rPr>
        <w:t xml:space="preserve"> – </w:t>
      </w:r>
      <w:r w:rsidR="00B75B0A" w:rsidRPr="0014209E">
        <w:rPr>
          <w:b/>
          <w:bCs/>
          <w:lang w:val="en-GB"/>
        </w:rPr>
        <w:t>Secretariat assisting the Committee</w:t>
      </w:r>
    </w:p>
    <w:p w14:paraId="11D768F9" w14:textId="09534F34" w:rsidR="00B75B0A" w:rsidRPr="0014209E" w:rsidRDefault="00C706AC" w:rsidP="00194BD5">
      <w:pPr>
        <w:jc w:val="both"/>
        <w:rPr>
          <w:lang w:val="en-GB"/>
        </w:rPr>
      </w:pPr>
      <w:r>
        <w:rPr>
          <w:lang w:val="en-GB"/>
        </w:rPr>
        <w:t>7</w:t>
      </w:r>
      <w:r w:rsidR="009E19B3" w:rsidRPr="0014209E">
        <w:rPr>
          <w:lang w:val="en-GB"/>
        </w:rPr>
        <w:t>.</w:t>
      </w:r>
      <w:r w:rsidR="00B75B0A" w:rsidRPr="0014209E">
        <w:rPr>
          <w:lang w:val="en-GB"/>
        </w:rPr>
        <w:t xml:space="preserve">1 </w:t>
      </w:r>
      <w:r w:rsidR="009E19B3" w:rsidRPr="0014209E">
        <w:rPr>
          <w:lang w:val="en-GB"/>
        </w:rPr>
        <w:tab/>
      </w:r>
      <w:r w:rsidR="00B75B0A" w:rsidRPr="0014209E">
        <w:rPr>
          <w:lang w:val="en-GB"/>
        </w:rPr>
        <w:t>The Committee shall be assisted in its functions by a Secretariat.</w:t>
      </w:r>
    </w:p>
    <w:p w14:paraId="0FE2D4C7" w14:textId="40F9D4F3" w:rsidR="00B75B0A" w:rsidRPr="0014209E" w:rsidRDefault="00C706AC" w:rsidP="00194BD5">
      <w:pPr>
        <w:jc w:val="both"/>
        <w:rPr>
          <w:lang w:val="en-GB"/>
        </w:rPr>
      </w:pPr>
      <w:r>
        <w:rPr>
          <w:lang w:val="en-GB"/>
        </w:rPr>
        <w:t>7</w:t>
      </w:r>
      <w:r w:rsidR="00B75B0A" w:rsidRPr="0014209E">
        <w:rPr>
          <w:lang w:val="en-GB"/>
        </w:rPr>
        <w:t xml:space="preserve">.2 </w:t>
      </w:r>
      <w:r w:rsidR="009E19B3" w:rsidRPr="0014209E">
        <w:rPr>
          <w:lang w:val="en-GB"/>
        </w:rPr>
        <w:tab/>
      </w:r>
      <w:r w:rsidR="00B75B0A" w:rsidRPr="0014209E">
        <w:rPr>
          <w:lang w:val="en-GB"/>
        </w:rPr>
        <w:t>The Secretariat consists of the Executive Secretary and other staff necessary for the Committee to fulfil its functions, appointed by the Secretary General of the Council of Europe.</w:t>
      </w:r>
    </w:p>
    <w:p w14:paraId="0A0FF4B8" w14:textId="6E47523B" w:rsidR="00C1060F" w:rsidRPr="0014209E" w:rsidRDefault="00C706AC" w:rsidP="00194BD5">
      <w:pPr>
        <w:jc w:val="both"/>
        <w:rPr>
          <w:lang w:val="en-GB"/>
        </w:rPr>
      </w:pPr>
      <w:r>
        <w:rPr>
          <w:lang w:val="en-GB"/>
        </w:rPr>
        <w:t>7</w:t>
      </w:r>
      <w:r w:rsidR="009E19B3" w:rsidRPr="0014209E">
        <w:rPr>
          <w:lang w:val="en-GB"/>
        </w:rPr>
        <w:t>.3</w:t>
      </w:r>
      <w:r w:rsidR="009E19B3" w:rsidRPr="0014209E">
        <w:rPr>
          <w:lang w:val="en-GB"/>
        </w:rPr>
        <w:tab/>
      </w:r>
      <w:r w:rsidR="00C1060F" w:rsidRPr="0014209E">
        <w:rPr>
          <w:lang w:val="en-GB"/>
        </w:rPr>
        <w:t>The Secretary General or his/her representative may at any time make an oral or written statement on any subject under discussion.</w:t>
      </w:r>
    </w:p>
    <w:p w14:paraId="212BE53A" w14:textId="19F26E46" w:rsidR="00C1060F" w:rsidRPr="0014209E" w:rsidRDefault="00C706AC" w:rsidP="00194BD5">
      <w:pPr>
        <w:jc w:val="both"/>
        <w:rPr>
          <w:lang w:val="en-GB"/>
        </w:rPr>
      </w:pPr>
      <w:r>
        <w:rPr>
          <w:lang w:val="en-GB"/>
        </w:rPr>
        <w:lastRenderedPageBreak/>
        <w:t>7</w:t>
      </w:r>
      <w:r w:rsidR="009E19B3" w:rsidRPr="0014209E">
        <w:rPr>
          <w:lang w:val="en-GB"/>
        </w:rPr>
        <w:t>.4</w:t>
      </w:r>
      <w:r w:rsidR="00C1060F" w:rsidRPr="0014209E">
        <w:rPr>
          <w:lang w:val="en-GB"/>
        </w:rPr>
        <w:t>         The Committee may direct the Executive Secretary to prepare a report on any question relevant to the Committee's work.</w:t>
      </w:r>
    </w:p>
    <w:p w14:paraId="38710827" w14:textId="73A4D1C0" w:rsidR="00C1060F" w:rsidRPr="0014209E" w:rsidRDefault="00C706AC" w:rsidP="00194BD5">
      <w:pPr>
        <w:jc w:val="both"/>
        <w:rPr>
          <w:lang w:val="en-GB"/>
        </w:rPr>
      </w:pPr>
      <w:r>
        <w:rPr>
          <w:lang w:val="en-GB"/>
        </w:rPr>
        <w:t>7</w:t>
      </w:r>
      <w:r w:rsidR="009E19B3" w:rsidRPr="0014209E">
        <w:rPr>
          <w:lang w:val="en-GB"/>
        </w:rPr>
        <w:t>.5</w:t>
      </w:r>
      <w:r w:rsidR="00C1060F" w:rsidRPr="0014209E">
        <w:rPr>
          <w:lang w:val="en-GB"/>
        </w:rPr>
        <w:t xml:space="preserve">         The Executive Secretary shall be responsible for preparing and circulating all documents to be examined by the Committee.  He/she shall, in particular, prepare the reports on the Committee's meeting to be submitted to the Committee for adoption. </w:t>
      </w:r>
    </w:p>
    <w:p w14:paraId="2C05A642" w14:textId="6D4021D6" w:rsidR="00C1060F" w:rsidRPr="0014209E" w:rsidRDefault="00C706AC" w:rsidP="00194BD5">
      <w:pPr>
        <w:jc w:val="both"/>
        <w:rPr>
          <w:lang w:val="en-GB"/>
        </w:rPr>
      </w:pPr>
      <w:r>
        <w:rPr>
          <w:lang w:val="en-GB"/>
        </w:rPr>
        <w:t>7</w:t>
      </w:r>
      <w:r w:rsidR="009E19B3" w:rsidRPr="0014209E">
        <w:rPr>
          <w:lang w:val="en-GB"/>
        </w:rPr>
        <w:t>.6</w:t>
      </w:r>
      <w:r w:rsidR="009E19B3" w:rsidRPr="0014209E">
        <w:rPr>
          <w:lang w:val="en-GB"/>
        </w:rPr>
        <w:tab/>
      </w:r>
      <w:r w:rsidR="004C134D">
        <w:rPr>
          <w:lang w:val="en-GB"/>
        </w:rPr>
        <w:t>T</w:t>
      </w:r>
      <w:r w:rsidR="00C1060F" w:rsidRPr="0014209E">
        <w:rPr>
          <w:lang w:val="en-GB"/>
        </w:rPr>
        <w:t>he Executive Secretary shall be responsible, in particular, for the implementation of the decisions of the Committee and, in concert with the Chair, shall take any other measure necessary to the implementation of the Work Programme of the Agreement.</w:t>
      </w:r>
    </w:p>
    <w:p w14:paraId="6FC7F0B0" w14:textId="0ECD6592" w:rsidR="00C1060F" w:rsidRPr="0014209E" w:rsidRDefault="00C706AC" w:rsidP="00194BD5">
      <w:pPr>
        <w:jc w:val="both"/>
        <w:rPr>
          <w:lang w:val="en-GB"/>
        </w:rPr>
      </w:pPr>
      <w:r>
        <w:rPr>
          <w:lang w:val="en-GB"/>
        </w:rPr>
        <w:t>7</w:t>
      </w:r>
      <w:r w:rsidR="009E19B3" w:rsidRPr="0014209E">
        <w:rPr>
          <w:lang w:val="en-GB"/>
        </w:rPr>
        <w:t>.7</w:t>
      </w:r>
      <w:r w:rsidR="00C1060F" w:rsidRPr="0014209E">
        <w:rPr>
          <w:lang w:val="en-GB"/>
        </w:rPr>
        <w:t>         The Executive Secretary shall inform the Committee of the decisions and other measures taken within the Council of Europe which present an interest for the</w:t>
      </w:r>
      <w:r w:rsidR="00B44C69">
        <w:rPr>
          <w:lang w:val="en-GB"/>
        </w:rPr>
        <w:t xml:space="preserve"> </w:t>
      </w:r>
      <w:r w:rsidR="0071611C">
        <w:rPr>
          <w:lang w:val="en-GB"/>
        </w:rPr>
        <w:t>EPA</w:t>
      </w:r>
      <w:r w:rsidR="00C1060F" w:rsidRPr="0014209E">
        <w:rPr>
          <w:lang w:val="en-GB"/>
        </w:rPr>
        <w:t>.</w:t>
      </w:r>
    </w:p>
    <w:p w14:paraId="64699169" w14:textId="5AFB8C46" w:rsidR="00C1060F" w:rsidRPr="0014209E" w:rsidRDefault="00C706AC" w:rsidP="00194BD5">
      <w:pPr>
        <w:jc w:val="both"/>
        <w:rPr>
          <w:lang w:val="en-GB"/>
        </w:rPr>
      </w:pPr>
      <w:r>
        <w:rPr>
          <w:lang w:val="en-GB"/>
        </w:rPr>
        <w:t>7</w:t>
      </w:r>
      <w:r w:rsidR="009E19B3" w:rsidRPr="0014209E">
        <w:rPr>
          <w:lang w:val="en-GB"/>
        </w:rPr>
        <w:t>.8</w:t>
      </w:r>
      <w:r w:rsidR="00C1060F" w:rsidRPr="0014209E">
        <w:rPr>
          <w:lang w:val="en-GB"/>
        </w:rPr>
        <w:t>         The Executive Secretary shall prepare</w:t>
      </w:r>
      <w:r w:rsidR="004C134D">
        <w:rPr>
          <w:lang w:val="en-GB"/>
        </w:rPr>
        <w:t xml:space="preserve"> a </w:t>
      </w:r>
      <w:r w:rsidR="00490698">
        <w:rPr>
          <w:lang w:val="en-GB"/>
        </w:rPr>
        <w:t>bian</w:t>
      </w:r>
      <w:r w:rsidR="004C134D">
        <w:rPr>
          <w:lang w:val="en-GB"/>
        </w:rPr>
        <w:t>nual activity report</w:t>
      </w:r>
      <w:r w:rsidR="00C1060F" w:rsidRPr="0014209E">
        <w:rPr>
          <w:lang w:val="en-GB"/>
        </w:rPr>
        <w:t xml:space="preserve"> in concert with the Chair.  This report shall be submitted to the Committee </w:t>
      </w:r>
      <w:r w:rsidR="00490698">
        <w:rPr>
          <w:lang w:val="en-GB"/>
        </w:rPr>
        <w:t xml:space="preserve">of </w:t>
      </w:r>
      <w:r w:rsidR="00850AC6">
        <w:rPr>
          <w:lang w:val="en-GB"/>
        </w:rPr>
        <w:t>P</w:t>
      </w:r>
      <w:r w:rsidR="00490698">
        <w:rPr>
          <w:lang w:val="en-GB"/>
        </w:rPr>
        <w:t xml:space="preserve">ermanent Correspondents </w:t>
      </w:r>
      <w:r w:rsidR="00C1060F" w:rsidRPr="0014209E">
        <w:rPr>
          <w:lang w:val="en-GB"/>
        </w:rPr>
        <w:t>for approval before transmission to the Committee of Ministers.</w:t>
      </w:r>
    </w:p>
    <w:p w14:paraId="40FC648D" w14:textId="36BCE7C8" w:rsidR="00C1060F" w:rsidRPr="0014209E" w:rsidRDefault="00C706AC" w:rsidP="00194BD5">
      <w:pPr>
        <w:jc w:val="both"/>
        <w:rPr>
          <w:lang w:val="en-GB"/>
        </w:rPr>
      </w:pPr>
      <w:r>
        <w:rPr>
          <w:lang w:val="en-GB"/>
        </w:rPr>
        <w:t>7</w:t>
      </w:r>
      <w:r w:rsidR="009E19B3" w:rsidRPr="0014209E">
        <w:rPr>
          <w:lang w:val="en-GB"/>
        </w:rPr>
        <w:t>.9</w:t>
      </w:r>
      <w:r w:rsidR="00C1060F" w:rsidRPr="0014209E">
        <w:rPr>
          <w:lang w:val="en-GB"/>
        </w:rPr>
        <w:t xml:space="preserve">         The Executive Secretary shall represent the </w:t>
      </w:r>
      <w:r w:rsidR="00002BAD">
        <w:rPr>
          <w:lang w:val="en-GB"/>
        </w:rPr>
        <w:t xml:space="preserve">EPA </w:t>
      </w:r>
      <w:r w:rsidR="004C134D">
        <w:rPr>
          <w:lang w:val="en-GB"/>
        </w:rPr>
        <w:t>before</w:t>
      </w:r>
      <w:r w:rsidR="00C1060F" w:rsidRPr="0014209E">
        <w:rPr>
          <w:lang w:val="en-GB"/>
        </w:rPr>
        <w:t xml:space="preserve"> other international organisations within the limits of his responsibilities.</w:t>
      </w:r>
    </w:p>
    <w:p w14:paraId="05C52000" w14:textId="77777777" w:rsidR="009E19B3" w:rsidRPr="0014209E" w:rsidRDefault="009E19B3" w:rsidP="00194BD5">
      <w:pPr>
        <w:jc w:val="both"/>
        <w:rPr>
          <w:b/>
          <w:bCs/>
          <w:lang w:val="en-GB"/>
        </w:rPr>
      </w:pPr>
    </w:p>
    <w:p w14:paraId="52987F31" w14:textId="0E08A108" w:rsidR="00C84EDD" w:rsidRPr="0014209E" w:rsidRDefault="00C84EDD" w:rsidP="00194BD5">
      <w:pPr>
        <w:jc w:val="both"/>
        <w:rPr>
          <w:lang w:val="en-GB"/>
        </w:rPr>
      </w:pPr>
      <w:r w:rsidRPr="0014209E">
        <w:rPr>
          <w:b/>
          <w:bCs/>
          <w:lang w:val="en-GB"/>
        </w:rPr>
        <w:t xml:space="preserve">Article </w:t>
      </w:r>
      <w:r w:rsidR="00C706AC">
        <w:rPr>
          <w:b/>
          <w:bCs/>
          <w:lang w:val="en-GB"/>
        </w:rPr>
        <w:t>8</w:t>
      </w:r>
      <w:r w:rsidR="004A0CA4" w:rsidRPr="004A0CA4">
        <w:rPr>
          <w:b/>
          <w:bCs/>
          <w:lang w:val="en-GB"/>
        </w:rPr>
        <w:t xml:space="preserve"> – </w:t>
      </w:r>
      <w:r w:rsidRPr="0014209E">
        <w:rPr>
          <w:b/>
          <w:bCs/>
          <w:lang w:val="en-GB"/>
        </w:rPr>
        <w:t>Quorum</w:t>
      </w:r>
    </w:p>
    <w:p w14:paraId="3F546A5F" w14:textId="3ECADFFD" w:rsidR="00C84EDD" w:rsidRPr="0014209E" w:rsidRDefault="00C706AC" w:rsidP="00194BD5">
      <w:pPr>
        <w:jc w:val="both"/>
        <w:rPr>
          <w:lang w:val="en-GB"/>
        </w:rPr>
      </w:pPr>
      <w:r>
        <w:rPr>
          <w:lang w:val="en-GB"/>
        </w:rPr>
        <w:t>8</w:t>
      </w:r>
      <w:r w:rsidR="009E19B3" w:rsidRPr="0014209E">
        <w:rPr>
          <w:lang w:val="en-GB"/>
        </w:rPr>
        <w:t>.1</w:t>
      </w:r>
      <w:r w:rsidR="009E19B3" w:rsidRPr="0014209E">
        <w:rPr>
          <w:lang w:val="en-GB"/>
        </w:rPr>
        <w:tab/>
      </w:r>
      <w:r w:rsidR="00C84EDD" w:rsidRPr="0014209E">
        <w:rPr>
          <w:lang w:val="en-GB"/>
        </w:rPr>
        <w:t xml:space="preserve">The Committee shall not deliberate and </w:t>
      </w:r>
      <w:r w:rsidR="00490698">
        <w:rPr>
          <w:lang w:val="en-GB"/>
        </w:rPr>
        <w:t xml:space="preserve">adopt decisions </w:t>
      </w:r>
      <w:r w:rsidR="00C84EDD" w:rsidRPr="0014209E">
        <w:rPr>
          <w:lang w:val="en-GB"/>
        </w:rPr>
        <w:t>unless two-thirds of its members are present.</w:t>
      </w:r>
    </w:p>
    <w:p w14:paraId="28AF2309" w14:textId="77777777" w:rsidR="00D30B85" w:rsidRPr="0014209E" w:rsidRDefault="00D30B85" w:rsidP="00194BD5">
      <w:pPr>
        <w:jc w:val="both"/>
        <w:rPr>
          <w:lang w:val="en-GB"/>
        </w:rPr>
      </w:pPr>
    </w:p>
    <w:p w14:paraId="17A809EF" w14:textId="16B9B29D" w:rsidR="00C84EDD" w:rsidRPr="0014209E" w:rsidRDefault="00C84EDD" w:rsidP="00194BD5">
      <w:pPr>
        <w:jc w:val="both"/>
        <w:rPr>
          <w:lang w:val="en-GB"/>
        </w:rPr>
      </w:pPr>
      <w:r w:rsidRPr="0014209E">
        <w:rPr>
          <w:b/>
          <w:bCs/>
          <w:lang w:val="en-GB"/>
        </w:rPr>
        <w:t xml:space="preserve">Article </w:t>
      </w:r>
      <w:r w:rsidR="00C706AC">
        <w:rPr>
          <w:b/>
          <w:bCs/>
          <w:lang w:val="en-GB"/>
        </w:rPr>
        <w:t>9</w:t>
      </w:r>
      <w:r w:rsidR="004A0CA4" w:rsidRPr="004A0CA4">
        <w:rPr>
          <w:b/>
          <w:bCs/>
          <w:lang w:val="en-GB"/>
        </w:rPr>
        <w:t xml:space="preserve"> – </w:t>
      </w:r>
      <w:r w:rsidRPr="0014209E">
        <w:rPr>
          <w:b/>
          <w:bCs/>
          <w:lang w:val="en-GB"/>
        </w:rPr>
        <w:t>Voting</w:t>
      </w:r>
    </w:p>
    <w:p w14:paraId="2491DD9C" w14:textId="61364EE7" w:rsidR="00C84EDD" w:rsidRPr="0014209E" w:rsidRDefault="00C706AC" w:rsidP="00194BD5">
      <w:pPr>
        <w:jc w:val="both"/>
        <w:rPr>
          <w:lang w:val="en-GB"/>
        </w:rPr>
      </w:pPr>
      <w:r>
        <w:rPr>
          <w:lang w:val="en-GB"/>
        </w:rPr>
        <w:t>9</w:t>
      </w:r>
      <w:r w:rsidR="009E19B3" w:rsidRPr="0014209E">
        <w:rPr>
          <w:lang w:val="en-GB"/>
        </w:rPr>
        <w:t>.1</w:t>
      </w:r>
      <w:r w:rsidR="00C84EDD" w:rsidRPr="0014209E">
        <w:rPr>
          <w:lang w:val="en-GB"/>
        </w:rPr>
        <w:t xml:space="preserve">         The adoption </w:t>
      </w:r>
      <w:r w:rsidR="00866664" w:rsidRPr="00866664">
        <w:rPr>
          <w:lang w:val="en-GB"/>
        </w:rPr>
        <w:t xml:space="preserve">by the Committee of Permanent Correspondents </w:t>
      </w:r>
      <w:r w:rsidR="00C84EDD" w:rsidRPr="0014209E">
        <w:rPr>
          <w:lang w:val="en-GB"/>
        </w:rPr>
        <w:t xml:space="preserve">of a </w:t>
      </w:r>
      <w:r w:rsidR="00866664">
        <w:rPr>
          <w:lang w:val="en-GB"/>
        </w:rPr>
        <w:t xml:space="preserve">Resolution or a </w:t>
      </w:r>
      <w:r w:rsidR="00C84EDD" w:rsidRPr="0014209E">
        <w:rPr>
          <w:lang w:val="en-GB"/>
        </w:rPr>
        <w:t xml:space="preserve">Recommendation </w:t>
      </w:r>
      <w:r w:rsidR="00866664">
        <w:rPr>
          <w:lang w:val="en-GB"/>
        </w:rPr>
        <w:t xml:space="preserve">addressed </w:t>
      </w:r>
      <w:r w:rsidR="00C84EDD" w:rsidRPr="0014209E">
        <w:rPr>
          <w:lang w:val="en-GB"/>
        </w:rPr>
        <w:t>to Governments shall require a unanimous vote cast and a majority of the Permanent Correspondents entitled to sit on the Committee.</w:t>
      </w:r>
    </w:p>
    <w:p w14:paraId="0AEF5D9A" w14:textId="4C58061A" w:rsidR="00C84EDD" w:rsidRPr="0014209E" w:rsidRDefault="00C706AC" w:rsidP="00194BD5">
      <w:pPr>
        <w:jc w:val="both"/>
        <w:rPr>
          <w:lang w:val="en-GB"/>
        </w:rPr>
      </w:pPr>
      <w:r>
        <w:rPr>
          <w:lang w:val="en-GB"/>
        </w:rPr>
        <w:t>9</w:t>
      </w:r>
      <w:r w:rsidR="009E19B3" w:rsidRPr="0014209E">
        <w:rPr>
          <w:lang w:val="en-GB"/>
        </w:rPr>
        <w:t>.2</w:t>
      </w:r>
      <w:r w:rsidR="00C84EDD" w:rsidRPr="0014209E">
        <w:rPr>
          <w:lang w:val="en-GB"/>
        </w:rPr>
        <w:t>         All other decisions shall require a two-third</w:t>
      </w:r>
      <w:r w:rsidR="0093243E">
        <w:rPr>
          <w:lang w:val="en-GB"/>
        </w:rPr>
        <w:t>s</w:t>
      </w:r>
      <w:r w:rsidR="00C84EDD" w:rsidRPr="0014209E">
        <w:rPr>
          <w:lang w:val="en-GB"/>
        </w:rPr>
        <w:t xml:space="preserve"> majority of the votes cast</w:t>
      </w:r>
      <w:r w:rsidR="00B44C69">
        <w:rPr>
          <w:lang w:val="en-GB"/>
        </w:rPr>
        <w:t>.</w:t>
      </w:r>
      <w:r w:rsidR="00C84EDD" w:rsidRPr="0014209E">
        <w:rPr>
          <w:lang w:val="en-GB"/>
        </w:rPr>
        <w:t xml:space="preserve"> </w:t>
      </w:r>
    </w:p>
    <w:p w14:paraId="1BE68BB4" w14:textId="4BF3A315" w:rsidR="00C84EDD" w:rsidRPr="0014209E" w:rsidRDefault="00C706AC" w:rsidP="00194BD5">
      <w:pPr>
        <w:jc w:val="both"/>
        <w:rPr>
          <w:lang w:val="en-GB"/>
        </w:rPr>
      </w:pPr>
      <w:r>
        <w:rPr>
          <w:lang w:val="en-GB"/>
        </w:rPr>
        <w:t>9</w:t>
      </w:r>
      <w:r w:rsidR="009E19B3" w:rsidRPr="0014209E">
        <w:rPr>
          <w:lang w:val="en-GB"/>
        </w:rPr>
        <w:t>.3</w:t>
      </w:r>
      <w:r w:rsidR="00C84EDD" w:rsidRPr="0014209E">
        <w:rPr>
          <w:lang w:val="en-GB"/>
        </w:rPr>
        <w:t xml:space="preserve">         </w:t>
      </w:r>
      <w:r w:rsidR="00E32B62">
        <w:rPr>
          <w:lang w:val="en-GB"/>
        </w:rPr>
        <w:t>P</w:t>
      </w:r>
      <w:r w:rsidR="00C84EDD" w:rsidRPr="0014209E">
        <w:rPr>
          <w:lang w:val="en-GB"/>
        </w:rPr>
        <w:t>rocedur</w:t>
      </w:r>
      <w:r w:rsidR="001F11AD">
        <w:rPr>
          <w:lang w:val="en-GB"/>
        </w:rPr>
        <w:t>al</w:t>
      </w:r>
      <w:r w:rsidR="00C84EDD" w:rsidRPr="0014209E">
        <w:rPr>
          <w:lang w:val="en-GB"/>
        </w:rPr>
        <w:t xml:space="preserve"> and administrative matters shall require a simple majority</w:t>
      </w:r>
      <w:r w:rsidR="00B44C69">
        <w:rPr>
          <w:lang w:val="en-GB"/>
        </w:rPr>
        <w:t>.</w:t>
      </w:r>
      <w:r w:rsidR="00C84EDD" w:rsidRPr="0014209E">
        <w:rPr>
          <w:lang w:val="en-GB"/>
        </w:rPr>
        <w:t xml:space="preserve"> </w:t>
      </w:r>
    </w:p>
    <w:p w14:paraId="768A390D" w14:textId="7540345B" w:rsidR="00C84EDD" w:rsidRPr="0014209E" w:rsidRDefault="00C706AC" w:rsidP="00194BD5">
      <w:pPr>
        <w:jc w:val="both"/>
        <w:rPr>
          <w:lang w:val="en-GB"/>
        </w:rPr>
      </w:pPr>
      <w:r>
        <w:rPr>
          <w:lang w:val="en-GB"/>
        </w:rPr>
        <w:t>9</w:t>
      </w:r>
      <w:r w:rsidR="009E19B3" w:rsidRPr="0014209E">
        <w:rPr>
          <w:lang w:val="en-GB"/>
        </w:rPr>
        <w:t>.4</w:t>
      </w:r>
      <w:r w:rsidR="00C84EDD" w:rsidRPr="0014209E">
        <w:rPr>
          <w:lang w:val="en-GB"/>
        </w:rPr>
        <w:t>         Where the question arises as to which of the preceding paragraphs shall be applicable to a given question, the Committee shall decide by a two-third</w:t>
      </w:r>
      <w:r w:rsidR="0093243E">
        <w:rPr>
          <w:lang w:val="en-GB"/>
        </w:rPr>
        <w:t>s</w:t>
      </w:r>
      <w:r w:rsidR="00C84EDD" w:rsidRPr="0014209E">
        <w:rPr>
          <w:lang w:val="en-GB"/>
        </w:rPr>
        <w:t xml:space="preserve"> majority of the votes cast whether a matter is procedural or administrative in nature.</w:t>
      </w:r>
    </w:p>
    <w:p w14:paraId="2FBB9E8F" w14:textId="07ECB56E" w:rsidR="00C84EDD" w:rsidRPr="0014209E" w:rsidRDefault="00C706AC" w:rsidP="00194BD5">
      <w:pPr>
        <w:jc w:val="both"/>
        <w:rPr>
          <w:lang w:val="en-GB"/>
        </w:rPr>
      </w:pPr>
      <w:r>
        <w:rPr>
          <w:lang w:val="en-GB"/>
        </w:rPr>
        <w:t>9</w:t>
      </w:r>
      <w:r w:rsidR="009E19B3" w:rsidRPr="0014209E">
        <w:rPr>
          <w:lang w:val="en-GB"/>
        </w:rPr>
        <w:t>.5</w:t>
      </w:r>
      <w:r w:rsidR="00C84EDD" w:rsidRPr="0014209E">
        <w:rPr>
          <w:lang w:val="en-GB"/>
        </w:rPr>
        <w:t>         Where unanimity is required, a Permanent Correspondent may, if the text is adopted, record his abstention - which may be accompanied by an explanatory statement - or approve the adoption of the text but reserve the right of his government to comply with it or not.</w:t>
      </w:r>
    </w:p>
    <w:p w14:paraId="4BBEB116" w14:textId="04B5A01B" w:rsidR="00C84EDD" w:rsidRDefault="00C706AC" w:rsidP="00194BD5">
      <w:pPr>
        <w:jc w:val="both"/>
        <w:rPr>
          <w:lang w:val="en-GB"/>
        </w:rPr>
      </w:pPr>
      <w:r>
        <w:rPr>
          <w:lang w:val="en-GB"/>
        </w:rPr>
        <w:t>9</w:t>
      </w:r>
      <w:r w:rsidR="009E19B3" w:rsidRPr="0014209E">
        <w:rPr>
          <w:lang w:val="en-GB"/>
        </w:rPr>
        <w:t>.6</w:t>
      </w:r>
      <w:r w:rsidR="00C84EDD" w:rsidRPr="0014209E">
        <w:rPr>
          <w:lang w:val="en-GB"/>
        </w:rPr>
        <w:t>       Each Permanent Correspondent shall have one vote.</w:t>
      </w:r>
    </w:p>
    <w:p w14:paraId="46CBCD74" w14:textId="77777777" w:rsidR="00042565" w:rsidRPr="0014209E" w:rsidRDefault="00042565" w:rsidP="00194BD5">
      <w:pPr>
        <w:jc w:val="both"/>
        <w:rPr>
          <w:lang w:val="en-GB"/>
        </w:rPr>
      </w:pPr>
    </w:p>
    <w:p w14:paraId="0F48398C" w14:textId="7658457C" w:rsidR="00C84EDD" w:rsidRPr="0014209E" w:rsidRDefault="00C84EDD" w:rsidP="00194BD5">
      <w:pPr>
        <w:jc w:val="both"/>
        <w:rPr>
          <w:lang w:val="en-GB"/>
        </w:rPr>
      </w:pPr>
      <w:r w:rsidRPr="0014209E">
        <w:rPr>
          <w:b/>
          <w:bCs/>
          <w:lang w:val="en-GB"/>
        </w:rPr>
        <w:t xml:space="preserve">Article </w:t>
      </w:r>
      <w:r w:rsidR="00C706AC">
        <w:rPr>
          <w:b/>
          <w:bCs/>
          <w:lang w:val="en-GB"/>
        </w:rPr>
        <w:t>10</w:t>
      </w:r>
      <w:r w:rsidR="004A0CA4" w:rsidRPr="004A0CA4">
        <w:rPr>
          <w:b/>
          <w:bCs/>
          <w:lang w:val="en-GB"/>
        </w:rPr>
        <w:t xml:space="preserve"> – </w:t>
      </w:r>
      <w:r w:rsidRPr="0014209E">
        <w:rPr>
          <w:b/>
          <w:bCs/>
          <w:lang w:val="en-GB"/>
        </w:rPr>
        <w:t>Proposals and amendments</w:t>
      </w:r>
    </w:p>
    <w:p w14:paraId="60D45AB7" w14:textId="67F21A4A" w:rsidR="00C84EDD" w:rsidRPr="0014209E" w:rsidRDefault="00C706AC" w:rsidP="00194BD5">
      <w:pPr>
        <w:jc w:val="both"/>
        <w:rPr>
          <w:lang w:val="en-GB"/>
        </w:rPr>
      </w:pPr>
      <w:r>
        <w:rPr>
          <w:lang w:val="en-GB"/>
        </w:rPr>
        <w:t>10</w:t>
      </w:r>
      <w:r w:rsidR="009E19B3" w:rsidRPr="0014209E">
        <w:rPr>
          <w:lang w:val="en-GB"/>
        </w:rPr>
        <w:t>.1</w:t>
      </w:r>
      <w:r w:rsidR="00C84EDD" w:rsidRPr="0014209E">
        <w:rPr>
          <w:lang w:val="en-GB"/>
        </w:rPr>
        <w:t>         Any proposal must be submitted in writing if a Committee member so requests.  In that case it shall not be discussed until it has been circulated.</w:t>
      </w:r>
    </w:p>
    <w:p w14:paraId="4DA91AC9" w14:textId="2AC6E3EB" w:rsidR="00C84EDD" w:rsidRPr="0014209E" w:rsidRDefault="00C706AC" w:rsidP="00194BD5">
      <w:pPr>
        <w:jc w:val="both"/>
        <w:rPr>
          <w:lang w:val="en-GB"/>
        </w:rPr>
      </w:pPr>
      <w:r>
        <w:rPr>
          <w:lang w:val="en-GB"/>
        </w:rPr>
        <w:lastRenderedPageBreak/>
        <w:t>10</w:t>
      </w:r>
      <w:r w:rsidR="009E19B3" w:rsidRPr="0014209E">
        <w:rPr>
          <w:lang w:val="en-GB"/>
        </w:rPr>
        <w:t>.2</w:t>
      </w:r>
      <w:r w:rsidR="00C84EDD" w:rsidRPr="0014209E">
        <w:rPr>
          <w:lang w:val="en-GB"/>
        </w:rPr>
        <w:t>         Where a number of proposals relate to the same subject, they shall be put to the vote in the order in which they were submitted.  In case of doubt, the Chair shall decide.</w:t>
      </w:r>
    </w:p>
    <w:p w14:paraId="6B7577F8" w14:textId="19C653BA" w:rsidR="00C84EDD" w:rsidRPr="0014209E" w:rsidRDefault="00C706AC" w:rsidP="00194BD5">
      <w:pPr>
        <w:jc w:val="both"/>
        <w:rPr>
          <w:lang w:val="en-GB"/>
        </w:rPr>
      </w:pPr>
      <w:r>
        <w:rPr>
          <w:lang w:val="en-GB"/>
        </w:rPr>
        <w:t>10</w:t>
      </w:r>
      <w:r w:rsidR="009E19B3" w:rsidRPr="0014209E">
        <w:rPr>
          <w:lang w:val="en-GB"/>
        </w:rPr>
        <w:t>.3</w:t>
      </w:r>
      <w:r w:rsidR="00C84EDD" w:rsidRPr="0014209E">
        <w:rPr>
          <w:lang w:val="en-GB"/>
        </w:rPr>
        <w:t>         Where a proposal is the subject of an amendment, the amendment shall be put to the vote first.  Where two or more amendments to the same proposal are presented, the Committee shall vote first on whichever departs furthest in substance from the original proposal. It shall then vote on the next furthest removed from the original proposal, and so on until all the amendments have been put to the vote.  However, where the acceptance of one amendment necessarily entails rejection of another, the latter shall not be put to the vote.  The final vote shall then be taken on the proposal as amended or not amended.  In case of doubt as to the order of priority, the Chair shall decide.</w:t>
      </w:r>
    </w:p>
    <w:p w14:paraId="148854F7" w14:textId="5793178D" w:rsidR="00C84EDD" w:rsidRPr="0014209E" w:rsidRDefault="00C706AC" w:rsidP="00194BD5">
      <w:pPr>
        <w:jc w:val="both"/>
        <w:rPr>
          <w:lang w:val="en-GB"/>
        </w:rPr>
      </w:pPr>
      <w:r>
        <w:rPr>
          <w:lang w:val="en-GB"/>
        </w:rPr>
        <w:t>10</w:t>
      </w:r>
      <w:r w:rsidR="009E19B3" w:rsidRPr="0014209E">
        <w:rPr>
          <w:lang w:val="en-GB"/>
        </w:rPr>
        <w:t>.4</w:t>
      </w:r>
      <w:r w:rsidR="00C84EDD" w:rsidRPr="0014209E">
        <w:rPr>
          <w:lang w:val="en-GB"/>
        </w:rPr>
        <w:t>         Parts of a proposal or amendment may be put to the vote separately.</w:t>
      </w:r>
    </w:p>
    <w:p w14:paraId="4D30428C" w14:textId="570E4350" w:rsidR="00C84EDD" w:rsidRPr="0014209E" w:rsidRDefault="00C706AC" w:rsidP="00194BD5">
      <w:pPr>
        <w:jc w:val="both"/>
        <w:rPr>
          <w:lang w:val="en-GB"/>
        </w:rPr>
      </w:pPr>
      <w:r>
        <w:rPr>
          <w:lang w:val="en-GB"/>
        </w:rPr>
        <w:t>10</w:t>
      </w:r>
      <w:r w:rsidR="009E19B3" w:rsidRPr="0014209E">
        <w:rPr>
          <w:lang w:val="en-GB"/>
        </w:rPr>
        <w:t>.5</w:t>
      </w:r>
      <w:r w:rsidR="00C84EDD" w:rsidRPr="0014209E">
        <w:rPr>
          <w:lang w:val="en-GB"/>
        </w:rPr>
        <w:t xml:space="preserve">         In the case of proposals with financial implications, the </w:t>
      </w:r>
      <w:r w:rsidR="004A0CA4" w:rsidRPr="0014209E">
        <w:rPr>
          <w:lang w:val="en-GB"/>
        </w:rPr>
        <w:t>costliest</w:t>
      </w:r>
      <w:r w:rsidR="00C84EDD" w:rsidRPr="0014209E">
        <w:rPr>
          <w:lang w:val="en-GB"/>
        </w:rPr>
        <w:t xml:space="preserve"> shall be put to the vote first.</w:t>
      </w:r>
    </w:p>
    <w:p w14:paraId="4F75E540" w14:textId="6886CEF3" w:rsidR="00C84EDD" w:rsidRPr="0014209E" w:rsidRDefault="00C706AC" w:rsidP="00194BD5">
      <w:pPr>
        <w:jc w:val="both"/>
        <w:rPr>
          <w:lang w:val="en-GB"/>
        </w:rPr>
      </w:pPr>
      <w:r>
        <w:rPr>
          <w:lang w:val="en-GB"/>
        </w:rPr>
        <w:t>10</w:t>
      </w:r>
      <w:r w:rsidR="009E19B3" w:rsidRPr="0014209E">
        <w:rPr>
          <w:lang w:val="en-GB"/>
        </w:rPr>
        <w:t>.6</w:t>
      </w:r>
      <w:r w:rsidR="00C84EDD" w:rsidRPr="0014209E">
        <w:rPr>
          <w:lang w:val="en-GB"/>
        </w:rPr>
        <w:t>         Procedural motions shall take precedence over all other proposals or motions except points of order. They shall be put to the vote in the following order:</w:t>
      </w:r>
    </w:p>
    <w:p w14:paraId="59FE3E4C" w14:textId="580086D0" w:rsidR="00E0466F" w:rsidRDefault="00C84EDD" w:rsidP="00490698">
      <w:pPr>
        <w:ind w:left="851"/>
        <w:jc w:val="both"/>
        <w:rPr>
          <w:lang w:val="en-GB"/>
        </w:rPr>
      </w:pPr>
      <w:r w:rsidRPr="0014209E">
        <w:rPr>
          <w:lang w:val="en-GB"/>
        </w:rPr>
        <w:t>a</w:t>
      </w:r>
      <w:r w:rsidR="00E0466F">
        <w:rPr>
          <w:lang w:val="en-GB"/>
        </w:rPr>
        <w:t>.</w:t>
      </w:r>
      <w:r w:rsidRPr="0014209E">
        <w:rPr>
          <w:lang w:val="en-GB"/>
        </w:rPr>
        <w:t xml:space="preserve">        </w:t>
      </w:r>
      <w:r w:rsidR="00E0466F">
        <w:rPr>
          <w:lang w:val="en-GB"/>
        </w:rPr>
        <w:tab/>
      </w:r>
      <w:r w:rsidRPr="0014209E">
        <w:rPr>
          <w:lang w:val="en-GB"/>
        </w:rPr>
        <w:t>suspension of the sitting;</w:t>
      </w:r>
    </w:p>
    <w:p w14:paraId="46A8BBFC" w14:textId="7A4B2C3B" w:rsidR="00E0466F" w:rsidRDefault="00C84EDD" w:rsidP="00490698">
      <w:pPr>
        <w:ind w:left="851"/>
        <w:jc w:val="both"/>
        <w:rPr>
          <w:lang w:val="en-GB"/>
        </w:rPr>
      </w:pPr>
      <w:r w:rsidRPr="0014209E">
        <w:rPr>
          <w:lang w:val="en-GB"/>
        </w:rPr>
        <w:t>b</w:t>
      </w:r>
      <w:r w:rsidR="00E0466F">
        <w:rPr>
          <w:lang w:val="en-GB"/>
        </w:rPr>
        <w:t>.</w:t>
      </w:r>
      <w:r w:rsidRPr="0014209E">
        <w:rPr>
          <w:lang w:val="en-GB"/>
        </w:rPr>
        <w:t>        adjournment of discussion on the item in hand;</w:t>
      </w:r>
    </w:p>
    <w:p w14:paraId="0F396A48" w14:textId="776BD0E2" w:rsidR="00C84EDD" w:rsidRPr="0014209E" w:rsidRDefault="00C84EDD" w:rsidP="00490698">
      <w:pPr>
        <w:ind w:left="851"/>
        <w:jc w:val="both"/>
        <w:rPr>
          <w:lang w:val="en-GB"/>
        </w:rPr>
      </w:pPr>
      <w:r w:rsidRPr="0014209E">
        <w:rPr>
          <w:lang w:val="en-GB"/>
        </w:rPr>
        <w:t>c</w:t>
      </w:r>
      <w:r w:rsidR="00E0466F">
        <w:rPr>
          <w:lang w:val="en-GB"/>
        </w:rPr>
        <w:t>.</w:t>
      </w:r>
      <w:r w:rsidRPr="0014209E">
        <w:rPr>
          <w:lang w:val="en-GB"/>
        </w:rPr>
        <w:t>       </w:t>
      </w:r>
      <w:r w:rsidR="00E0466F">
        <w:rPr>
          <w:lang w:val="en-GB"/>
        </w:rPr>
        <w:tab/>
      </w:r>
      <w:r w:rsidRPr="0014209E">
        <w:rPr>
          <w:lang w:val="en-GB"/>
        </w:rPr>
        <w:t xml:space="preserve"> postponement of a decision on the substance of a proposal until a specified date.</w:t>
      </w:r>
    </w:p>
    <w:p w14:paraId="28AF0DA5" w14:textId="1460CDFC" w:rsidR="00C84EDD" w:rsidRPr="0014209E" w:rsidRDefault="00C706AC" w:rsidP="00194BD5">
      <w:pPr>
        <w:jc w:val="both"/>
        <w:rPr>
          <w:lang w:val="en-GB"/>
        </w:rPr>
      </w:pPr>
      <w:r>
        <w:rPr>
          <w:lang w:val="en-GB"/>
        </w:rPr>
        <w:t>10</w:t>
      </w:r>
      <w:r w:rsidR="009E19B3" w:rsidRPr="0014209E">
        <w:rPr>
          <w:lang w:val="en-GB"/>
        </w:rPr>
        <w:t>.7</w:t>
      </w:r>
      <w:r w:rsidR="00C84EDD" w:rsidRPr="0014209E">
        <w:rPr>
          <w:lang w:val="en-GB"/>
        </w:rPr>
        <w:t>         When a decision has been taken it shall only be re-examined if a member of the Committee so requests, and if this request receives a two-thirds majority of the votes cast.</w:t>
      </w:r>
    </w:p>
    <w:p w14:paraId="488E7D68" w14:textId="77777777" w:rsidR="0014209E" w:rsidRPr="0014209E" w:rsidRDefault="0014209E" w:rsidP="00194BD5">
      <w:pPr>
        <w:jc w:val="both"/>
        <w:rPr>
          <w:b/>
          <w:bCs/>
          <w:lang w:val="en-GB"/>
        </w:rPr>
      </w:pPr>
    </w:p>
    <w:p w14:paraId="6121CEBE" w14:textId="031B57A7" w:rsidR="00D30B85" w:rsidRPr="0014209E" w:rsidRDefault="009E19B3" w:rsidP="00194BD5">
      <w:pPr>
        <w:jc w:val="both"/>
        <w:rPr>
          <w:b/>
          <w:bCs/>
          <w:lang w:val="en-GB"/>
        </w:rPr>
      </w:pPr>
      <w:r w:rsidRPr="0014209E">
        <w:rPr>
          <w:b/>
          <w:bCs/>
          <w:lang w:val="en-GB"/>
        </w:rPr>
        <w:t>Article 1</w:t>
      </w:r>
      <w:r w:rsidR="00C706AC">
        <w:rPr>
          <w:b/>
          <w:bCs/>
          <w:lang w:val="en-GB"/>
        </w:rPr>
        <w:t>1</w:t>
      </w:r>
      <w:r w:rsidR="004A0CA4" w:rsidRPr="004A0CA4">
        <w:rPr>
          <w:b/>
          <w:bCs/>
          <w:lang w:val="en-GB"/>
        </w:rPr>
        <w:t xml:space="preserve"> – </w:t>
      </w:r>
      <w:r w:rsidR="00D30B85" w:rsidRPr="0014209E">
        <w:rPr>
          <w:b/>
          <w:bCs/>
          <w:lang w:val="en-GB"/>
        </w:rPr>
        <w:t>Points of order</w:t>
      </w:r>
    </w:p>
    <w:p w14:paraId="69052F4E" w14:textId="2E4A97B8" w:rsidR="00D30B85" w:rsidRPr="0014209E" w:rsidRDefault="009E19B3" w:rsidP="00194BD5">
      <w:pPr>
        <w:jc w:val="both"/>
        <w:rPr>
          <w:lang w:val="en-GB"/>
        </w:rPr>
      </w:pPr>
      <w:r w:rsidRPr="0014209E">
        <w:rPr>
          <w:lang w:val="en-GB"/>
        </w:rPr>
        <w:t>1</w:t>
      </w:r>
      <w:r w:rsidR="00C706AC">
        <w:rPr>
          <w:lang w:val="en-GB"/>
        </w:rPr>
        <w:t>1</w:t>
      </w:r>
      <w:r w:rsidRPr="0014209E">
        <w:rPr>
          <w:lang w:val="en-GB"/>
        </w:rPr>
        <w:t>.1</w:t>
      </w:r>
      <w:r w:rsidRPr="0014209E">
        <w:rPr>
          <w:lang w:val="en-GB"/>
        </w:rPr>
        <w:tab/>
      </w:r>
      <w:r w:rsidR="00D30B85" w:rsidRPr="0014209E">
        <w:rPr>
          <w:lang w:val="en-GB"/>
        </w:rPr>
        <w:t>During the discussion of any matter, an ordinary member may at any time raise a point of order. An ordinary member may not, in raising a point of order, speak on the substance of the matter under discussion.</w:t>
      </w:r>
    </w:p>
    <w:p w14:paraId="06F4ACD7" w14:textId="0A434943" w:rsidR="00D30B85" w:rsidRPr="0014209E" w:rsidRDefault="009E19B3" w:rsidP="00194BD5">
      <w:pPr>
        <w:jc w:val="both"/>
        <w:rPr>
          <w:lang w:val="en-GB"/>
        </w:rPr>
      </w:pPr>
      <w:r w:rsidRPr="0014209E">
        <w:rPr>
          <w:lang w:val="en-GB"/>
        </w:rPr>
        <w:t>1</w:t>
      </w:r>
      <w:r w:rsidR="00C706AC">
        <w:rPr>
          <w:lang w:val="en-GB"/>
        </w:rPr>
        <w:t>1</w:t>
      </w:r>
      <w:r w:rsidRPr="0014209E">
        <w:rPr>
          <w:lang w:val="en-GB"/>
        </w:rPr>
        <w:t>.2</w:t>
      </w:r>
      <w:r w:rsidRPr="0014209E">
        <w:rPr>
          <w:lang w:val="en-GB"/>
        </w:rPr>
        <w:tab/>
      </w:r>
      <w:r w:rsidR="00D30B85" w:rsidRPr="0014209E">
        <w:rPr>
          <w:lang w:val="en-GB"/>
        </w:rPr>
        <w:t>The point of order shall immediately be decided upon by the Chair.</w:t>
      </w:r>
    </w:p>
    <w:p w14:paraId="73975DFD" w14:textId="03F42C16" w:rsidR="00D30B85" w:rsidRPr="0014209E" w:rsidRDefault="009E19B3" w:rsidP="00194BD5">
      <w:pPr>
        <w:jc w:val="both"/>
        <w:rPr>
          <w:lang w:val="en-GB"/>
        </w:rPr>
      </w:pPr>
      <w:r w:rsidRPr="0014209E">
        <w:rPr>
          <w:lang w:val="en-GB"/>
        </w:rPr>
        <w:t>1</w:t>
      </w:r>
      <w:r w:rsidR="00C706AC">
        <w:rPr>
          <w:lang w:val="en-GB"/>
        </w:rPr>
        <w:t>1</w:t>
      </w:r>
      <w:r w:rsidRPr="0014209E">
        <w:rPr>
          <w:lang w:val="en-GB"/>
        </w:rPr>
        <w:t>.3</w:t>
      </w:r>
      <w:r w:rsidRPr="0014209E">
        <w:rPr>
          <w:lang w:val="en-GB"/>
        </w:rPr>
        <w:tab/>
      </w:r>
      <w:r w:rsidR="00D30B85" w:rsidRPr="0014209E">
        <w:rPr>
          <w:lang w:val="en-GB"/>
        </w:rPr>
        <w:t>Any appeal against the ruling of the Chair shall immediately be put to the vote.</w:t>
      </w:r>
    </w:p>
    <w:p w14:paraId="2AFAD51D" w14:textId="77777777" w:rsidR="00772A4B" w:rsidRDefault="00772A4B" w:rsidP="00194BD5">
      <w:pPr>
        <w:jc w:val="both"/>
        <w:rPr>
          <w:b/>
          <w:bCs/>
          <w:lang w:val="en-GB"/>
        </w:rPr>
      </w:pPr>
    </w:p>
    <w:p w14:paraId="10FDA15C" w14:textId="2A341448" w:rsidR="00D30B85" w:rsidRPr="0014209E" w:rsidRDefault="009E19B3" w:rsidP="00194BD5">
      <w:pPr>
        <w:jc w:val="both"/>
        <w:rPr>
          <w:b/>
          <w:bCs/>
          <w:lang w:val="en-GB"/>
        </w:rPr>
      </w:pPr>
      <w:r w:rsidRPr="0014209E">
        <w:rPr>
          <w:b/>
          <w:bCs/>
          <w:lang w:val="en-GB"/>
        </w:rPr>
        <w:t>Article 1</w:t>
      </w:r>
      <w:r w:rsidR="00C706AC">
        <w:rPr>
          <w:b/>
          <w:bCs/>
          <w:lang w:val="en-GB"/>
        </w:rPr>
        <w:t>2</w:t>
      </w:r>
      <w:r w:rsidR="004A0CA4" w:rsidRPr="004A0CA4">
        <w:rPr>
          <w:b/>
          <w:bCs/>
          <w:lang w:val="en-GB"/>
        </w:rPr>
        <w:t xml:space="preserve"> – </w:t>
      </w:r>
      <w:r w:rsidR="00D30B85" w:rsidRPr="0014209E">
        <w:rPr>
          <w:b/>
          <w:bCs/>
          <w:lang w:val="en-GB"/>
        </w:rPr>
        <w:t>Use of electronic procedures</w:t>
      </w:r>
    </w:p>
    <w:p w14:paraId="6D23F001" w14:textId="260206FA" w:rsidR="00D30B85" w:rsidRPr="0014209E" w:rsidRDefault="009E19B3" w:rsidP="00194BD5">
      <w:pPr>
        <w:jc w:val="both"/>
        <w:rPr>
          <w:lang w:val="en-GB"/>
        </w:rPr>
      </w:pPr>
      <w:r w:rsidRPr="0014209E">
        <w:rPr>
          <w:lang w:val="en-GB"/>
        </w:rPr>
        <w:t>1</w:t>
      </w:r>
      <w:r w:rsidR="00C706AC">
        <w:rPr>
          <w:lang w:val="en-GB"/>
        </w:rPr>
        <w:t>2</w:t>
      </w:r>
      <w:r w:rsidRPr="0014209E">
        <w:rPr>
          <w:lang w:val="en-GB"/>
        </w:rPr>
        <w:t>.1</w:t>
      </w:r>
      <w:r w:rsidRPr="0014209E">
        <w:rPr>
          <w:lang w:val="en-GB"/>
        </w:rPr>
        <w:tab/>
      </w:r>
      <w:r w:rsidR="00D30B85" w:rsidRPr="0014209E">
        <w:rPr>
          <w:lang w:val="en-GB"/>
        </w:rPr>
        <w:t>The Committee, and its Bureau, shall make the best possible use of interactive technologies for networks and meetings, and may use electronic procedures for any aspect of its work, unless otherwise provided in the present Rules of Procedure.</w:t>
      </w:r>
    </w:p>
    <w:p w14:paraId="16BB4F4D" w14:textId="4060F876" w:rsidR="00D30B85" w:rsidRPr="0014209E" w:rsidRDefault="009E19B3" w:rsidP="00194BD5">
      <w:pPr>
        <w:jc w:val="both"/>
        <w:rPr>
          <w:lang w:val="en-GB"/>
        </w:rPr>
      </w:pPr>
      <w:r w:rsidRPr="0014209E">
        <w:rPr>
          <w:lang w:val="en-GB"/>
        </w:rPr>
        <w:t>1</w:t>
      </w:r>
      <w:r w:rsidR="00C706AC">
        <w:rPr>
          <w:lang w:val="en-GB"/>
        </w:rPr>
        <w:t>2</w:t>
      </w:r>
      <w:r w:rsidRPr="0014209E">
        <w:rPr>
          <w:lang w:val="en-GB"/>
        </w:rPr>
        <w:t>.2</w:t>
      </w:r>
      <w:r w:rsidRPr="0014209E">
        <w:rPr>
          <w:lang w:val="en-GB"/>
        </w:rPr>
        <w:tab/>
      </w:r>
      <w:r w:rsidR="00D30B85" w:rsidRPr="0014209E">
        <w:rPr>
          <w:lang w:val="en-GB"/>
        </w:rPr>
        <w:t xml:space="preserve">When a decision is taken using electronic procedures, the </w:t>
      </w:r>
      <w:r w:rsidR="001F11AD">
        <w:rPr>
          <w:lang w:val="en-GB"/>
        </w:rPr>
        <w:t>Chair</w:t>
      </w:r>
      <w:r w:rsidR="00D30B85" w:rsidRPr="0014209E">
        <w:rPr>
          <w:lang w:val="en-GB"/>
        </w:rPr>
        <w:t xml:space="preserve"> or the Secretariat, where relevant, shall indicate in which manner and by what time-limit an answer is due.</w:t>
      </w:r>
    </w:p>
    <w:p w14:paraId="0EF0EA13" w14:textId="77777777" w:rsidR="00C1060F" w:rsidRPr="0014209E" w:rsidRDefault="00C1060F" w:rsidP="00194BD5">
      <w:pPr>
        <w:jc w:val="both"/>
        <w:rPr>
          <w:lang w:val="en-GB"/>
        </w:rPr>
      </w:pPr>
    </w:p>
    <w:p w14:paraId="5E510281" w14:textId="339984C4" w:rsidR="0014209E" w:rsidRPr="0014209E" w:rsidRDefault="00C84EDD" w:rsidP="00194BD5">
      <w:pPr>
        <w:jc w:val="both"/>
        <w:rPr>
          <w:lang w:val="en-GB"/>
        </w:rPr>
      </w:pPr>
      <w:r w:rsidRPr="0014209E">
        <w:rPr>
          <w:b/>
          <w:bCs/>
          <w:lang w:val="en-GB"/>
        </w:rPr>
        <w:t>Article 1</w:t>
      </w:r>
      <w:r w:rsidR="009E19B3" w:rsidRPr="0014209E">
        <w:rPr>
          <w:b/>
          <w:bCs/>
          <w:lang w:val="en-GB"/>
        </w:rPr>
        <w:t>3</w:t>
      </w:r>
      <w:bookmarkStart w:id="1" w:name="_Hlk64032767"/>
      <w:r w:rsidR="004A0CA4" w:rsidRPr="004A0CA4">
        <w:rPr>
          <w:b/>
          <w:bCs/>
          <w:lang w:val="en-GB"/>
        </w:rPr>
        <w:t xml:space="preserve"> – </w:t>
      </w:r>
      <w:r w:rsidRPr="0014209E">
        <w:rPr>
          <w:b/>
          <w:bCs/>
          <w:lang w:val="en-GB"/>
        </w:rPr>
        <w:t>Sub-Committees and Experts' Groups</w:t>
      </w:r>
      <w:bookmarkEnd w:id="1"/>
    </w:p>
    <w:p w14:paraId="0258514D" w14:textId="04E16164" w:rsidR="00C84EDD" w:rsidRPr="0014209E" w:rsidRDefault="0014209E" w:rsidP="00194BD5">
      <w:pPr>
        <w:jc w:val="both"/>
        <w:rPr>
          <w:lang w:val="en-GB"/>
        </w:rPr>
      </w:pPr>
      <w:r w:rsidRPr="0014209E">
        <w:rPr>
          <w:lang w:val="en-GB"/>
        </w:rPr>
        <w:t>13.1</w:t>
      </w:r>
      <w:r w:rsidRPr="0014209E">
        <w:rPr>
          <w:lang w:val="en-GB"/>
        </w:rPr>
        <w:tab/>
      </w:r>
      <w:r w:rsidR="00C84EDD" w:rsidRPr="0014209E">
        <w:rPr>
          <w:lang w:val="en-GB"/>
        </w:rPr>
        <w:t>The Committee shall decide the composition and terms of reference of Sub-Committees and Experts' Groups to which it gives special tasks.</w:t>
      </w:r>
    </w:p>
    <w:p w14:paraId="4046B873" w14:textId="26D0E25B" w:rsidR="00D30B85" w:rsidRPr="0014209E" w:rsidRDefault="0014209E" w:rsidP="00194BD5">
      <w:pPr>
        <w:jc w:val="both"/>
        <w:rPr>
          <w:lang w:val="en-GB"/>
        </w:rPr>
      </w:pPr>
      <w:r w:rsidRPr="0014209E">
        <w:rPr>
          <w:lang w:val="en-GB"/>
        </w:rPr>
        <w:lastRenderedPageBreak/>
        <w:t>13.2</w:t>
      </w:r>
      <w:r w:rsidRPr="0014209E">
        <w:rPr>
          <w:lang w:val="en-GB"/>
        </w:rPr>
        <w:tab/>
      </w:r>
      <w:r w:rsidR="00D30B85" w:rsidRPr="0014209E">
        <w:rPr>
          <w:lang w:val="en-GB"/>
        </w:rPr>
        <w:t>The composition of Sub-Committees and Experts' Groups and their terms of reference shall be fixed by the Committee. The Committee may also appoint rapporteurs to consider specific questions, including periodical state reports. Subsidiary bodies and rapporteurs shall report to the Committee.</w:t>
      </w:r>
    </w:p>
    <w:p w14:paraId="08FE3E0E" w14:textId="77777777" w:rsidR="0014209E" w:rsidRPr="0014209E" w:rsidRDefault="0014209E" w:rsidP="00194BD5">
      <w:pPr>
        <w:jc w:val="both"/>
        <w:rPr>
          <w:lang w:val="en-GB"/>
        </w:rPr>
      </w:pPr>
      <w:r w:rsidRPr="0014209E">
        <w:rPr>
          <w:lang w:val="en-GB"/>
        </w:rPr>
        <w:t>13.3</w:t>
      </w:r>
      <w:r w:rsidRPr="0014209E">
        <w:rPr>
          <w:lang w:val="en-GB"/>
        </w:rPr>
        <w:tab/>
      </w:r>
      <w:r w:rsidR="00C84EDD" w:rsidRPr="0014209E">
        <w:rPr>
          <w:lang w:val="en-GB"/>
        </w:rPr>
        <w:t>The Executive Secretary shall send to the appointed experts, at least one month before the meeting, the draft agenda and any working documents.</w:t>
      </w:r>
    </w:p>
    <w:p w14:paraId="2076C3FE" w14:textId="77777777" w:rsidR="001F11AD" w:rsidRDefault="001F11AD" w:rsidP="00194BD5">
      <w:pPr>
        <w:jc w:val="both"/>
        <w:rPr>
          <w:b/>
          <w:bCs/>
          <w:lang w:val="en-GB"/>
        </w:rPr>
      </w:pPr>
    </w:p>
    <w:p w14:paraId="6EE329A3" w14:textId="3B21E3D2" w:rsidR="00C84EDD" w:rsidRPr="0014209E" w:rsidRDefault="00C84EDD" w:rsidP="00194BD5">
      <w:pPr>
        <w:jc w:val="both"/>
        <w:rPr>
          <w:lang w:val="en-GB"/>
        </w:rPr>
      </w:pPr>
      <w:r w:rsidRPr="0014209E">
        <w:rPr>
          <w:b/>
          <w:bCs/>
          <w:lang w:val="en-GB"/>
        </w:rPr>
        <w:t>Article 1</w:t>
      </w:r>
      <w:r w:rsidR="0014209E" w:rsidRPr="0014209E">
        <w:rPr>
          <w:b/>
          <w:bCs/>
          <w:lang w:val="en-GB"/>
        </w:rPr>
        <w:t>4</w:t>
      </w:r>
      <w:r w:rsidR="004A0CA4" w:rsidRPr="004A0CA4">
        <w:rPr>
          <w:b/>
          <w:bCs/>
          <w:lang w:val="en-GB"/>
        </w:rPr>
        <w:t xml:space="preserve"> – </w:t>
      </w:r>
      <w:r w:rsidR="0014209E" w:rsidRPr="0014209E">
        <w:rPr>
          <w:b/>
          <w:bCs/>
          <w:lang w:val="en-GB"/>
        </w:rPr>
        <w:t xml:space="preserve">Network of </w:t>
      </w:r>
      <w:r w:rsidRPr="0014209E">
        <w:rPr>
          <w:b/>
          <w:bCs/>
          <w:lang w:val="en-GB"/>
        </w:rPr>
        <w:t xml:space="preserve">Specialised </w:t>
      </w:r>
      <w:r w:rsidR="0014209E" w:rsidRPr="0014209E">
        <w:rPr>
          <w:b/>
          <w:bCs/>
          <w:lang w:val="en-GB"/>
        </w:rPr>
        <w:t xml:space="preserve">Scientific </w:t>
      </w:r>
      <w:r w:rsidRPr="0014209E">
        <w:rPr>
          <w:b/>
          <w:bCs/>
          <w:lang w:val="en-GB"/>
        </w:rPr>
        <w:t xml:space="preserve">Centres </w:t>
      </w:r>
    </w:p>
    <w:p w14:paraId="60337F42" w14:textId="34C24C24" w:rsidR="00C84EDD" w:rsidRPr="0014209E" w:rsidRDefault="0014209E" w:rsidP="00194BD5">
      <w:pPr>
        <w:jc w:val="both"/>
        <w:rPr>
          <w:lang w:val="en-GB"/>
        </w:rPr>
      </w:pPr>
      <w:r w:rsidRPr="0014209E">
        <w:rPr>
          <w:lang w:val="en-GB"/>
        </w:rPr>
        <w:t>14.1</w:t>
      </w:r>
      <w:r w:rsidR="00C84EDD" w:rsidRPr="0014209E">
        <w:rPr>
          <w:lang w:val="en-GB"/>
        </w:rPr>
        <w:t xml:space="preserve">         A </w:t>
      </w:r>
      <w:r w:rsidR="00C1060F" w:rsidRPr="0014209E">
        <w:rPr>
          <w:lang w:val="en-GB"/>
        </w:rPr>
        <w:t xml:space="preserve">Scientific </w:t>
      </w:r>
      <w:r w:rsidR="00C84EDD" w:rsidRPr="0014209E">
        <w:rPr>
          <w:lang w:val="en-GB"/>
        </w:rPr>
        <w:t xml:space="preserve">Centre or a research institution may be included in the </w:t>
      </w:r>
      <w:r w:rsidR="00C1060F" w:rsidRPr="0014209E">
        <w:rPr>
          <w:lang w:val="en-GB"/>
        </w:rPr>
        <w:t>N</w:t>
      </w:r>
      <w:r w:rsidR="00C84EDD" w:rsidRPr="0014209E">
        <w:rPr>
          <w:lang w:val="en-GB"/>
        </w:rPr>
        <w:t xml:space="preserve">etwork of Specialised </w:t>
      </w:r>
      <w:r w:rsidR="00C1060F" w:rsidRPr="0014209E">
        <w:rPr>
          <w:lang w:val="en-GB"/>
        </w:rPr>
        <w:t xml:space="preserve">Scientific </w:t>
      </w:r>
      <w:r w:rsidR="00C84EDD" w:rsidRPr="0014209E">
        <w:rPr>
          <w:lang w:val="en-GB"/>
        </w:rPr>
        <w:t>Centres providing that :</w:t>
      </w:r>
    </w:p>
    <w:p w14:paraId="32A5EC48" w14:textId="30ECC7F3" w:rsidR="00C84EDD" w:rsidRPr="0014209E" w:rsidRDefault="00C84EDD" w:rsidP="00490698">
      <w:pPr>
        <w:ind w:left="1418" w:hanging="567"/>
        <w:jc w:val="both"/>
        <w:rPr>
          <w:lang w:val="en-GB"/>
        </w:rPr>
      </w:pPr>
      <w:r w:rsidRPr="0014209E">
        <w:rPr>
          <w:lang w:val="en-GB"/>
        </w:rPr>
        <w:t>a</w:t>
      </w:r>
      <w:r w:rsidR="00C706AC">
        <w:rPr>
          <w:lang w:val="en-GB"/>
        </w:rPr>
        <w:t>.</w:t>
      </w:r>
      <w:r w:rsidRPr="0014209E">
        <w:rPr>
          <w:lang w:val="en-GB"/>
        </w:rPr>
        <w:t>        </w:t>
      </w:r>
      <w:r w:rsidR="00E0466F">
        <w:rPr>
          <w:lang w:val="en-GB"/>
        </w:rPr>
        <w:tab/>
      </w:r>
      <w:r w:rsidRPr="0014209E">
        <w:rPr>
          <w:lang w:val="en-GB"/>
        </w:rPr>
        <w:t xml:space="preserve">the objectives and activities of a Specialised </w:t>
      </w:r>
      <w:r w:rsidR="00C1060F" w:rsidRPr="0014209E">
        <w:rPr>
          <w:lang w:val="en-GB"/>
        </w:rPr>
        <w:t xml:space="preserve">Scientific </w:t>
      </w:r>
      <w:r w:rsidRPr="0014209E">
        <w:rPr>
          <w:lang w:val="en-GB"/>
        </w:rPr>
        <w:t xml:space="preserve">Centre are in line with </w:t>
      </w:r>
      <w:r w:rsidR="00A7430E">
        <w:rPr>
          <w:lang w:val="en-GB"/>
        </w:rPr>
        <w:t>the</w:t>
      </w:r>
      <w:r w:rsidR="00E32B62">
        <w:rPr>
          <w:lang w:val="en-GB"/>
        </w:rPr>
        <w:t xml:space="preserve"> </w:t>
      </w:r>
      <w:r w:rsidRPr="0014209E">
        <w:rPr>
          <w:lang w:val="en-GB"/>
        </w:rPr>
        <w:t xml:space="preserve">aims of the </w:t>
      </w:r>
      <w:r w:rsidR="00356BF1">
        <w:rPr>
          <w:lang w:val="en-GB"/>
        </w:rPr>
        <w:t xml:space="preserve">EPA </w:t>
      </w:r>
      <w:r w:rsidRPr="0014209E">
        <w:rPr>
          <w:lang w:val="en-GB"/>
        </w:rPr>
        <w:t>and will contribute to the implementation of the objectives of its Medium Term Plan and to its annual programme of activities;</w:t>
      </w:r>
    </w:p>
    <w:p w14:paraId="22664FD0" w14:textId="06BF7A24" w:rsidR="00C84EDD" w:rsidRPr="0014209E" w:rsidRDefault="00C84EDD" w:rsidP="00490698">
      <w:pPr>
        <w:ind w:left="1418" w:hanging="567"/>
        <w:jc w:val="both"/>
        <w:rPr>
          <w:lang w:val="en-GB"/>
        </w:rPr>
      </w:pPr>
      <w:r w:rsidRPr="0014209E">
        <w:rPr>
          <w:lang w:val="en-GB"/>
        </w:rPr>
        <w:t>b</w:t>
      </w:r>
      <w:r w:rsidR="00C706AC">
        <w:rPr>
          <w:lang w:val="en-GB"/>
        </w:rPr>
        <w:t>.</w:t>
      </w:r>
      <w:r w:rsidRPr="0014209E">
        <w:rPr>
          <w:lang w:val="en-GB"/>
        </w:rPr>
        <w:t xml:space="preserve">        the Centre has the necessary scientific expertise and sound administrative practices  to ensure the efficient implementation of its technical activities in the field covered by the </w:t>
      </w:r>
      <w:r w:rsidR="00356BF1">
        <w:rPr>
          <w:lang w:val="en-GB"/>
        </w:rPr>
        <w:t>EPA</w:t>
      </w:r>
      <w:r w:rsidRPr="0014209E">
        <w:rPr>
          <w:lang w:val="en-GB"/>
        </w:rPr>
        <w:t>;</w:t>
      </w:r>
    </w:p>
    <w:p w14:paraId="4A10A73E" w14:textId="3580A885" w:rsidR="00C84EDD" w:rsidRPr="0014209E" w:rsidRDefault="00C84EDD" w:rsidP="00490698">
      <w:pPr>
        <w:ind w:left="1418" w:hanging="567"/>
        <w:jc w:val="both"/>
        <w:rPr>
          <w:lang w:val="en-GB"/>
        </w:rPr>
      </w:pPr>
      <w:r w:rsidRPr="0014209E">
        <w:rPr>
          <w:lang w:val="en-GB"/>
        </w:rPr>
        <w:t>c</w:t>
      </w:r>
      <w:r w:rsidR="00C706AC">
        <w:rPr>
          <w:lang w:val="en-GB"/>
        </w:rPr>
        <w:t>.</w:t>
      </w:r>
      <w:r w:rsidRPr="0014209E">
        <w:rPr>
          <w:lang w:val="en-GB"/>
        </w:rPr>
        <w:t xml:space="preserve">       </w:t>
      </w:r>
      <w:r w:rsidR="00E0466F">
        <w:rPr>
          <w:lang w:val="en-GB"/>
        </w:rPr>
        <w:tab/>
      </w:r>
      <w:r w:rsidRPr="0014209E">
        <w:rPr>
          <w:lang w:val="en-GB"/>
        </w:rPr>
        <w:t>the Centre has an international projection in its programmes and activities, in the composition of its ruling bodies and in its target audiences;</w:t>
      </w:r>
    </w:p>
    <w:p w14:paraId="7BECD6B4" w14:textId="23CDD0D5" w:rsidR="00C84EDD" w:rsidRPr="0014209E" w:rsidRDefault="00C84EDD" w:rsidP="00490698">
      <w:pPr>
        <w:ind w:left="1418" w:hanging="567"/>
        <w:jc w:val="both"/>
        <w:rPr>
          <w:lang w:val="en-GB"/>
        </w:rPr>
      </w:pPr>
      <w:r w:rsidRPr="0014209E">
        <w:rPr>
          <w:lang w:val="en-GB"/>
        </w:rPr>
        <w:t>d</w:t>
      </w:r>
      <w:r w:rsidR="00C706AC">
        <w:rPr>
          <w:lang w:val="en-GB"/>
        </w:rPr>
        <w:t>.</w:t>
      </w:r>
      <w:r w:rsidRPr="0014209E">
        <w:rPr>
          <w:lang w:val="en-GB"/>
        </w:rPr>
        <w:t xml:space="preserve">       </w:t>
      </w:r>
      <w:r w:rsidR="00E0466F">
        <w:rPr>
          <w:lang w:val="en-GB"/>
        </w:rPr>
        <w:tab/>
      </w:r>
      <w:r w:rsidRPr="0014209E">
        <w:rPr>
          <w:lang w:val="en-GB"/>
        </w:rPr>
        <w:t xml:space="preserve">the Centre has the recognition from the government in </w:t>
      </w:r>
      <w:r w:rsidR="008B7E4F">
        <w:rPr>
          <w:lang w:val="en-GB"/>
        </w:rPr>
        <w:t xml:space="preserve">the State in </w:t>
      </w:r>
      <w:r w:rsidRPr="0014209E">
        <w:rPr>
          <w:lang w:val="en-GB"/>
        </w:rPr>
        <w:t>which it is established</w:t>
      </w:r>
      <w:r w:rsidRPr="008B7E4F">
        <w:rPr>
          <w:lang w:val="en-GB"/>
        </w:rPr>
        <w:t>;</w:t>
      </w:r>
    </w:p>
    <w:p w14:paraId="47F5A7C8" w14:textId="29D13F0A" w:rsidR="00C84EDD" w:rsidRPr="0014209E" w:rsidRDefault="00C706AC" w:rsidP="00490698">
      <w:pPr>
        <w:ind w:left="1418" w:hanging="567"/>
        <w:jc w:val="both"/>
        <w:rPr>
          <w:lang w:val="en-GB"/>
        </w:rPr>
      </w:pPr>
      <w:r>
        <w:rPr>
          <w:lang w:val="en-GB"/>
        </w:rPr>
        <w:t>e.</w:t>
      </w:r>
      <w:r w:rsidR="00C84EDD" w:rsidRPr="0014209E">
        <w:rPr>
          <w:lang w:val="en-GB"/>
        </w:rPr>
        <w:t>        </w:t>
      </w:r>
      <w:r w:rsidR="00E0466F">
        <w:rPr>
          <w:lang w:val="en-GB"/>
        </w:rPr>
        <w:tab/>
      </w:r>
      <w:r w:rsidR="00C84EDD" w:rsidRPr="0014209E">
        <w:rPr>
          <w:lang w:val="en-GB"/>
        </w:rPr>
        <w:t xml:space="preserve"> the Centre agrees to the following practices:</w:t>
      </w:r>
    </w:p>
    <w:p w14:paraId="3417AAA7" w14:textId="7ABD67C7" w:rsidR="00C1060F" w:rsidRPr="0014209E" w:rsidRDefault="00C84EDD" w:rsidP="00490698">
      <w:pPr>
        <w:ind w:left="1843" w:hanging="425"/>
        <w:jc w:val="both"/>
        <w:rPr>
          <w:lang w:val="en-GB"/>
        </w:rPr>
      </w:pPr>
      <w:r w:rsidRPr="0014209E">
        <w:rPr>
          <w:lang w:val="en-GB"/>
        </w:rPr>
        <w:t>i. </w:t>
      </w:r>
      <w:r w:rsidR="00C1060F" w:rsidRPr="0014209E">
        <w:rPr>
          <w:lang w:val="en-GB"/>
        </w:rPr>
        <w:tab/>
        <w:t>to</w:t>
      </w:r>
      <w:r w:rsidRPr="0014209E">
        <w:rPr>
          <w:lang w:val="en-GB"/>
        </w:rPr>
        <w:t xml:space="preserve"> send annually to the Committee the part of its programme of activities relevant to the </w:t>
      </w:r>
      <w:r w:rsidR="00356BF1">
        <w:rPr>
          <w:lang w:val="en-GB"/>
        </w:rPr>
        <w:t>EPA</w:t>
      </w:r>
    </w:p>
    <w:p w14:paraId="5B74D354" w14:textId="6F063CBC" w:rsidR="00C1060F" w:rsidRPr="0014209E" w:rsidRDefault="00C84EDD" w:rsidP="00490698">
      <w:pPr>
        <w:ind w:left="1843" w:hanging="425"/>
        <w:jc w:val="both"/>
        <w:rPr>
          <w:lang w:val="en-GB"/>
        </w:rPr>
      </w:pPr>
      <w:r w:rsidRPr="0014209E">
        <w:rPr>
          <w:lang w:val="en-GB"/>
        </w:rPr>
        <w:t>ii. </w:t>
      </w:r>
      <w:r w:rsidR="00C1060F" w:rsidRPr="0014209E">
        <w:rPr>
          <w:lang w:val="en-GB"/>
        </w:rPr>
        <w:tab/>
      </w:r>
      <w:r w:rsidRPr="0014209E">
        <w:rPr>
          <w:lang w:val="en-GB"/>
        </w:rPr>
        <w:t>to ensure appropriate collaboration with the other Specialised Centres of the network</w:t>
      </w:r>
    </w:p>
    <w:p w14:paraId="59C6F476" w14:textId="4F43400B" w:rsidR="00C1060F" w:rsidRPr="0014209E" w:rsidRDefault="00C84EDD" w:rsidP="00490698">
      <w:pPr>
        <w:ind w:left="1843" w:hanging="425"/>
        <w:jc w:val="both"/>
        <w:rPr>
          <w:lang w:val="en-GB"/>
        </w:rPr>
      </w:pPr>
      <w:r w:rsidRPr="0014209E">
        <w:rPr>
          <w:lang w:val="en-GB"/>
        </w:rPr>
        <w:t>iii.  </w:t>
      </w:r>
      <w:r w:rsidR="00C1060F" w:rsidRPr="0014209E">
        <w:rPr>
          <w:lang w:val="en-GB"/>
        </w:rPr>
        <w:tab/>
      </w:r>
      <w:r w:rsidRPr="0014209E">
        <w:rPr>
          <w:lang w:val="en-GB"/>
        </w:rPr>
        <w:t xml:space="preserve">to ensure a regular external scientific assessment of its activities to be provided to the </w:t>
      </w:r>
      <w:r w:rsidR="00356BF1">
        <w:rPr>
          <w:lang w:val="en-GB"/>
        </w:rPr>
        <w:t>EPA</w:t>
      </w:r>
    </w:p>
    <w:p w14:paraId="3D1D965A" w14:textId="1B5757A8" w:rsidR="00C1060F" w:rsidRPr="0014209E" w:rsidRDefault="00C84EDD" w:rsidP="00490698">
      <w:pPr>
        <w:ind w:left="1843" w:hanging="425"/>
        <w:jc w:val="both"/>
        <w:rPr>
          <w:lang w:val="en-GB"/>
        </w:rPr>
      </w:pPr>
      <w:r w:rsidRPr="0014209E">
        <w:rPr>
          <w:lang w:val="en-GB"/>
        </w:rPr>
        <w:t>iv.  </w:t>
      </w:r>
      <w:r w:rsidR="00C1060F" w:rsidRPr="0014209E">
        <w:rPr>
          <w:lang w:val="en-GB"/>
        </w:rPr>
        <w:tab/>
      </w:r>
      <w:r w:rsidRPr="0014209E">
        <w:rPr>
          <w:lang w:val="en-GB"/>
        </w:rPr>
        <w:t xml:space="preserve">to ensure that training courses, workshops or seminars funded by the </w:t>
      </w:r>
      <w:r w:rsidR="00356BF1">
        <w:rPr>
          <w:lang w:val="en-GB"/>
        </w:rPr>
        <w:t>EPA</w:t>
      </w:r>
      <w:r w:rsidR="00356BF1" w:rsidRPr="0014209E">
        <w:rPr>
          <w:lang w:val="en-GB"/>
        </w:rPr>
        <w:t xml:space="preserve"> </w:t>
      </w:r>
      <w:r w:rsidRPr="0014209E">
        <w:rPr>
          <w:lang w:val="en-GB"/>
        </w:rPr>
        <w:t>comprise</w:t>
      </w:r>
      <w:r w:rsidR="00490698">
        <w:rPr>
          <w:lang w:val="en-GB"/>
        </w:rPr>
        <w:t xml:space="preserve"> </w:t>
      </w:r>
      <w:r w:rsidRPr="0014209E">
        <w:rPr>
          <w:lang w:val="en-GB"/>
        </w:rPr>
        <w:t>a significant number of participants from other States</w:t>
      </w:r>
    </w:p>
    <w:p w14:paraId="23B16777" w14:textId="382488BE" w:rsidR="00C84EDD" w:rsidRPr="0014209E" w:rsidRDefault="00C84EDD" w:rsidP="00490698">
      <w:pPr>
        <w:ind w:left="1843" w:hanging="425"/>
        <w:jc w:val="both"/>
        <w:rPr>
          <w:lang w:val="en-GB"/>
        </w:rPr>
      </w:pPr>
      <w:r w:rsidRPr="0014209E">
        <w:rPr>
          <w:lang w:val="en-GB"/>
        </w:rPr>
        <w:t>v.  </w:t>
      </w:r>
      <w:r w:rsidR="00C1060F" w:rsidRPr="0014209E">
        <w:rPr>
          <w:lang w:val="en-GB"/>
        </w:rPr>
        <w:tab/>
      </w:r>
      <w:r w:rsidRPr="0014209E">
        <w:rPr>
          <w:lang w:val="en-GB"/>
        </w:rPr>
        <w:t xml:space="preserve">to ensure appropriate collaboration with the Permanent Correspondent of its country (for Centres in member States of the </w:t>
      </w:r>
      <w:r w:rsidR="00002BAD">
        <w:rPr>
          <w:lang w:val="en-GB"/>
        </w:rPr>
        <w:t>EPA</w:t>
      </w:r>
      <w:r w:rsidRPr="0014209E">
        <w:rPr>
          <w:lang w:val="en-GB"/>
        </w:rPr>
        <w:t>).</w:t>
      </w:r>
    </w:p>
    <w:p w14:paraId="67DB157F" w14:textId="1395A3F9" w:rsidR="00C84EDD" w:rsidRPr="0014209E" w:rsidRDefault="0014209E" w:rsidP="00194BD5">
      <w:pPr>
        <w:jc w:val="both"/>
        <w:rPr>
          <w:lang w:val="en-GB"/>
        </w:rPr>
      </w:pPr>
      <w:r w:rsidRPr="0014209E">
        <w:rPr>
          <w:lang w:val="en-GB"/>
        </w:rPr>
        <w:t>14.</w:t>
      </w:r>
      <w:r w:rsidR="00C84EDD" w:rsidRPr="0014209E">
        <w:rPr>
          <w:lang w:val="en-GB"/>
        </w:rPr>
        <w:t xml:space="preserve">2         The Committee, upon examination of a request by a Centre, may decide to allocate the label of Specialised </w:t>
      </w:r>
      <w:r w:rsidR="00C1060F" w:rsidRPr="0014209E">
        <w:rPr>
          <w:lang w:val="en-GB"/>
        </w:rPr>
        <w:t xml:space="preserve">Scientific </w:t>
      </w:r>
      <w:r w:rsidR="00C84EDD" w:rsidRPr="0014209E">
        <w:rPr>
          <w:lang w:val="en-GB"/>
        </w:rPr>
        <w:t xml:space="preserve">Centre for a probationary period of two years.  The Centre will acquire a permanent status at the end of the two years unless a third of the member States of the </w:t>
      </w:r>
      <w:r w:rsidR="00356BF1">
        <w:rPr>
          <w:lang w:val="en-GB"/>
        </w:rPr>
        <w:t>EPA</w:t>
      </w:r>
      <w:r w:rsidR="00356BF1" w:rsidRPr="0014209E">
        <w:rPr>
          <w:lang w:val="en-GB"/>
        </w:rPr>
        <w:t xml:space="preserve"> </w:t>
      </w:r>
      <w:r w:rsidR="00C84EDD" w:rsidRPr="0014209E">
        <w:rPr>
          <w:lang w:val="en-GB"/>
        </w:rPr>
        <w:t>present objections.</w:t>
      </w:r>
    </w:p>
    <w:p w14:paraId="5AD49E19" w14:textId="4F4CE1EB" w:rsidR="00C84EDD" w:rsidRPr="0014209E" w:rsidRDefault="0014209E" w:rsidP="00194BD5">
      <w:pPr>
        <w:jc w:val="both"/>
        <w:rPr>
          <w:lang w:val="en-GB"/>
        </w:rPr>
      </w:pPr>
      <w:r w:rsidRPr="0014209E">
        <w:rPr>
          <w:lang w:val="en-GB"/>
        </w:rPr>
        <w:t>14.3</w:t>
      </w:r>
      <w:r w:rsidR="00C84EDD" w:rsidRPr="0014209E">
        <w:rPr>
          <w:lang w:val="en-GB"/>
        </w:rPr>
        <w:t xml:space="preserve">         The Committee may, at any time, withdraw the label of Specialised Centre of the </w:t>
      </w:r>
      <w:r w:rsidR="00356BF1">
        <w:rPr>
          <w:lang w:val="en-GB"/>
        </w:rPr>
        <w:t>EPA</w:t>
      </w:r>
      <w:r w:rsidR="00C84EDD" w:rsidRPr="0014209E">
        <w:rPr>
          <w:lang w:val="en-GB"/>
        </w:rPr>
        <w:t xml:space="preserve">, on the proposal of the Executive Secretary if the Centre </w:t>
      </w:r>
      <w:r w:rsidR="00E32B62">
        <w:rPr>
          <w:lang w:val="en-GB"/>
        </w:rPr>
        <w:t>requests this</w:t>
      </w:r>
      <w:r w:rsidR="001B270C" w:rsidRPr="0014209E">
        <w:rPr>
          <w:lang w:val="en-GB"/>
        </w:rPr>
        <w:t xml:space="preserve"> in a letter addressed to the Chair of the Committee</w:t>
      </w:r>
      <w:r w:rsidR="006455B6">
        <w:rPr>
          <w:lang w:val="en-GB"/>
        </w:rPr>
        <w:t xml:space="preserve">, if it no longer enjoys recognition of a member State, </w:t>
      </w:r>
      <w:r w:rsidR="001B270C" w:rsidRPr="0014209E">
        <w:rPr>
          <w:lang w:val="en-GB"/>
        </w:rPr>
        <w:t xml:space="preserve"> if it </w:t>
      </w:r>
      <w:r w:rsidR="00C84EDD" w:rsidRPr="0014209E">
        <w:rPr>
          <w:lang w:val="en-GB"/>
        </w:rPr>
        <w:t>has ceased its activities</w:t>
      </w:r>
      <w:r w:rsidR="006455B6">
        <w:rPr>
          <w:lang w:val="en-GB"/>
        </w:rPr>
        <w:t xml:space="preserve">, </w:t>
      </w:r>
      <w:r w:rsidR="00C84EDD" w:rsidRPr="0014209E">
        <w:rPr>
          <w:lang w:val="en-GB"/>
        </w:rPr>
        <w:t xml:space="preserve">or in </w:t>
      </w:r>
      <w:r w:rsidR="00C84EDD" w:rsidRPr="0014209E">
        <w:rPr>
          <w:lang w:val="en-GB"/>
        </w:rPr>
        <w:lastRenderedPageBreak/>
        <w:t xml:space="preserve">the case of mismanagement of the funds allocated by the </w:t>
      </w:r>
      <w:r w:rsidR="00356BF1">
        <w:rPr>
          <w:lang w:val="en-GB"/>
        </w:rPr>
        <w:t>EPA</w:t>
      </w:r>
      <w:r w:rsidR="001B270C" w:rsidRPr="0014209E">
        <w:rPr>
          <w:lang w:val="en-GB"/>
        </w:rPr>
        <w:t>, confirmed by the Auditors of the Council of Europe</w:t>
      </w:r>
      <w:r w:rsidR="00C84EDD" w:rsidRPr="0014209E">
        <w:rPr>
          <w:lang w:val="en-GB"/>
        </w:rPr>
        <w:t>.</w:t>
      </w:r>
    </w:p>
    <w:p w14:paraId="6D7B8529" w14:textId="5383C18C" w:rsidR="006455B6" w:rsidRPr="006455B6" w:rsidRDefault="0014209E" w:rsidP="00194BD5">
      <w:pPr>
        <w:jc w:val="both"/>
        <w:rPr>
          <w:lang w:val="en-GB"/>
        </w:rPr>
      </w:pPr>
      <w:r w:rsidRPr="0014209E">
        <w:rPr>
          <w:lang w:val="en-GB"/>
        </w:rPr>
        <w:t>14.4</w:t>
      </w:r>
      <w:r w:rsidR="00C84EDD" w:rsidRPr="0014209E">
        <w:rPr>
          <w:lang w:val="en-GB"/>
        </w:rPr>
        <w:t>  </w:t>
      </w:r>
      <w:r w:rsidRPr="0014209E">
        <w:rPr>
          <w:lang w:val="en-GB"/>
        </w:rPr>
        <w:tab/>
      </w:r>
      <w:r w:rsidR="00C84EDD" w:rsidRPr="0014209E">
        <w:rPr>
          <w:lang w:val="en-GB"/>
        </w:rPr>
        <w:t xml:space="preserve">A decision of the Committee to allocate or to withdraw the label of Specialised </w:t>
      </w:r>
      <w:r w:rsidR="001B270C" w:rsidRPr="0014209E">
        <w:rPr>
          <w:lang w:val="en-GB"/>
        </w:rPr>
        <w:t xml:space="preserve">Scientific </w:t>
      </w:r>
      <w:r w:rsidR="00C84EDD" w:rsidRPr="0014209E">
        <w:rPr>
          <w:lang w:val="en-GB"/>
        </w:rPr>
        <w:t xml:space="preserve">Centre of the </w:t>
      </w:r>
      <w:r w:rsidR="00356BF1">
        <w:rPr>
          <w:lang w:val="en-GB"/>
        </w:rPr>
        <w:t>EPA</w:t>
      </w:r>
      <w:r w:rsidR="00356BF1" w:rsidRPr="0014209E">
        <w:rPr>
          <w:lang w:val="en-GB"/>
        </w:rPr>
        <w:t xml:space="preserve"> </w:t>
      </w:r>
      <w:r w:rsidR="00C84EDD" w:rsidRPr="0014209E">
        <w:rPr>
          <w:lang w:val="en-GB"/>
        </w:rPr>
        <w:t xml:space="preserve">shall require the majority indicated in Article </w:t>
      </w:r>
      <w:r w:rsidR="001B270C" w:rsidRPr="0014209E">
        <w:rPr>
          <w:lang w:val="en-GB"/>
        </w:rPr>
        <w:t>4</w:t>
      </w:r>
      <w:r w:rsidR="008B7E4F">
        <w:rPr>
          <w:lang w:val="en-GB"/>
        </w:rPr>
        <w:t>.6</w:t>
      </w:r>
      <w:r w:rsidR="001B270C" w:rsidRPr="0014209E">
        <w:rPr>
          <w:lang w:val="en-GB"/>
        </w:rPr>
        <w:t xml:space="preserve"> of the Statute</w:t>
      </w:r>
      <w:r w:rsidR="006455B6" w:rsidRPr="006455B6">
        <w:rPr>
          <w:lang w:val="en-GB"/>
        </w:rPr>
        <w:t xml:space="preserve"> and shall be a</w:t>
      </w:r>
      <w:r w:rsidR="006455B6">
        <w:rPr>
          <w:lang w:val="en-GB"/>
        </w:rPr>
        <w:t xml:space="preserve"> </w:t>
      </w:r>
      <w:r w:rsidR="006455B6" w:rsidRPr="006455B6">
        <w:rPr>
          <w:lang w:val="en-GB"/>
        </w:rPr>
        <w:t>responsibility of the Committee of Permanent Correspondents.</w:t>
      </w:r>
    </w:p>
    <w:p w14:paraId="29E0BEF4" w14:textId="45F1B044" w:rsidR="001B270C" w:rsidRPr="00C84EDD" w:rsidRDefault="006455B6" w:rsidP="00194BD5">
      <w:pPr>
        <w:jc w:val="both"/>
        <w:rPr>
          <w:lang w:val="en-GB"/>
        </w:rPr>
      </w:pPr>
      <w:r>
        <w:rPr>
          <w:lang w:val="en-GB"/>
        </w:rPr>
        <w:t xml:space="preserve"> </w:t>
      </w:r>
      <w:r w:rsidR="0014209E" w:rsidRPr="0014209E">
        <w:rPr>
          <w:lang w:val="en-GB"/>
        </w:rPr>
        <w:t>14.5</w:t>
      </w:r>
      <w:r w:rsidR="0014209E" w:rsidRPr="0014209E">
        <w:rPr>
          <w:lang w:val="en-GB"/>
        </w:rPr>
        <w:tab/>
      </w:r>
      <w:r w:rsidR="001B270C" w:rsidRPr="0014209E">
        <w:rPr>
          <w:lang w:val="en-GB"/>
        </w:rPr>
        <w:t xml:space="preserve">The list of Centres participating in the </w:t>
      </w:r>
      <w:r w:rsidR="00E32B62">
        <w:rPr>
          <w:lang w:val="en-GB"/>
        </w:rPr>
        <w:t xml:space="preserve">EPA’s </w:t>
      </w:r>
      <w:r w:rsidR="001B270C" w:rsidRPr="0014209E">
        <w:rPr>
          <w:lang w:val="en-GB"/>
        </w:rPr>
        <w:t>Network of Specialised Scientific Centres shall form an Annex I to the Rules of Procedure. Any change to the list should be reflected immediately following the decision of t</w:t>
      </w:r>
      <w:r w:rsidR="001B270C">
        <w:rPr>
          <w:lang w:val="en-GB"/>
        </w:rPr>
        <w:t xml:space="preserve">he Committee. </w:t>
      </w:r>
    </w:p>
    <w:p w14:paraId="0DDBE14B" w14:textId="77777777" w:rsidR="0014209E" w:rsidRDefault="0014209E" w:rsidP="00194BD5">
      <w:pPr>
        <w:jc w:val="both"/>
        <w:rPr>
          <w:b/>
          <w:bCs/>
          <w:lang w:val="en-GB"/>
        </w:rPr>
      </w:pPr>
    </w:p>
    <w:p w14:paraId="74365E5F" w14:textId="75F5409D" w:rsidR="00C84EDD" w:rsidRPr="00C84EDD" w:rsidRDefault="00C84EDD" w:rsidP="00194BD5">
      <w:pPr>
        <w:jc w:val="both"/>
        <w:rPr>
          <w:lang w:val="en-GB"/>
        </w:rPr>
      </w:pPr>
      <w:r w:rsidRPr="00C84EDD">
        <w:rPr>
          <w:b/>
          <w:bCs/>
          <w:lang w:val="en-GB"/>
        </w:rPr>
        <w:t>Article 1</w:t>
      </w:r>
      <w:r w:rsidR="0014209E">
        <w:rPr>
          <w:b/>
          <w:bCs/>
          <w:lang w:val="en-GB"/>
        </w:rPr>
        <w:t>5</w:t>
      </w:r>
      <w:r w:rsidR="004A0CA4" w:rsidRPr="004A0CA4">
        <w:rPr>
          <w:b/>
          <w:bCs/>
          <w:lang w:val="en-GB"/>
        </w:rPr>
        <w:t xml:space="preserve"> – </w:t>
      </w:r>
      <w:r w:rsidRPr="00C84EDD">
        <w:rPr>
          <w:b/>
          <w:bCs/>
          <w:lang w:val="en-GB"/>
        </w:rPr>
        <w:t>Consultants</w:t>
      </w:r>
    </w:p>
    <w:p w14:paraId="64CF6AA8" w14:textId="28E1A7E5" w:rsidR="00C84EDD" w:rsidRPr="00C84EDD" w:rsidRDefault="0014209E" w:rsidP="00194BD5">
      <w:pPr>
        <w:jc w:val="both"/>
        <w:rPr>
          <w:lang w:val="en-GB"/>
        </w:rPr>
      </w:pPr>
      <w:r>
        <w:rPr>
          <w:lang w:val="en-GB"/>
        </w:rPr>
        <w:t>15.1</w:t>
      </w:r>
      <w:r>
        <w:rPr>
          <w:lang w:val="en-GB"/>
        </w:rPr>
        <w:tab/>
      </w:r>
      <w:r w:rsidR="00C84EDD" w:rsidRPr="00C84EDD">
        <w:rPr>
          <w:lang w:val="en-GB"/>
        </w:rPr>
        <w:t>The Committee, on the basis of proposals submitted by the Permanent Correspondents, shall appoint the consultants requested to carry out studies or fulfil other tasks in relation with the Work Programme of the Agreement.  It shall specify the terms of reference of such consultants.</w:t>
      </w:r>
    </w:p>
    <w:p w14:paraId="043B8A86" w14:textId="07A9148E" w:rsidR="00C84EDD" w:rsidRPr="00C84EDD" w:rsidRDefault="0014209E" w:rsidP="00194BD5">
      <w:pPr>
        <w:jc w:val="both"/>
        <w:rPr>
          <w:lang w:val="en-GB"/>
        </w:rPr>
      </w:pPr>
      <w:r>
        <w:rPr>
          <w:lang w:val="en-GB"/>
        </w:rPr>
        <w:t>15.2</w:t>
      </w:r>
      <w:r>
        <w:rPr>
          <w:lang w:val="en-GB"/>
        </w:rPr>
        <w:tab/>
      </w:r>
      <w:r w:rsidR="00C84EDD" w:rsidRPr="00C84EDD">
        <w:rPr>
          <w:lang w:val="en-GB"/>
        </w:rPr>
        <w:t>The Executive Secretary may, in the fulfilment of his tasks, use consultants selected by him/her.  If appropriate, he/she may consult the Permanent Correspondents in order to draw up a list of experts.</w:t>
      </w:r>
    </w:p>
    <w:p w14:paraId="7B3DE1D6" w14:textId="31A7FC8C" w:rsidR="00C84EDD" w:rsidRPr="00C84EDD" w:rsidRDefault="0014209E" w:rsidP="00194BD5">
      <w:pPr>
        <w:jc w:val="both"/>
        <w:rPr>
          <w:lang w:val="en-GB"/>
        </w:rPr>
      </w:pPr>
      <w:r>
        <w:rPr>
          <w:lang w:val="en-GB"/>
        </w:rPr>
        <w:t>15.3</w:t>
      </w:r>
      <w:r>
        <w:rPr>
          <w:lang w:val="en-GB"/>
        </w:rPr>
        <w:tab/>
      </w:r>
      <w:r w:rsidR="00C84EDD" w:rsidRPr="00C84EDD">
        <w:rPr>
          <w:lang w:val="en-GB"/>
        </w:rPr>
        <w:t>The Executive Secretary shall appoint, in concert with the Chair and following the request of a member State, one or several experts able to assist this State in case of major hazards</w:t>
      </w:r>
      <w:r w:rsidR="001F11AD">
        <w:rPr>
          <w:lang w:val="en-GB"/>
        </w:rPr>
        <w:t>.</w:t>
      </w:r>
      <w:r w:rsidR="00C84EDD" w:rsidRPr="00C84EDD">
        <w:rPr>
          <w:lang w:val="en-GB"/>
        </w:rPr>
        <w:t xml:space="preserve"> </w:t>
      </w:r>
    </w:p>
    <w:p w14:paraId="34ECFAAE" w14:textId="77777777" w:rsidR="0014209E" w:rsidRDefault="0014209E" w:rsidP="00194BD5">
      <w:pPr>
        <w:jc w:val="both"/>
        <w:rPr>
          <w:b/>
          <w:bCs/>
          <w:lang w:val="en-GB"/>
        </w:rPr>
      </w:pPr>
    </w:p>
    <w:p w14:paraId="7AA1047D" w14:textId="3183E24F" w:rsidR="00C84EDD" w:rsidRPr="00C84EDD" w:rsidRDefault="00C84EDD" w:rsidP="00194BD5">
      <w:pPr>
        <w:jc w:val="both"/>
        <w:rPr>
          <w:lang w:val="en-GB"/>
        </w:rPr>
      </w:pPr>
      <w:r w:rsidRPr="00C84EDD">
        <w:rPr>
          <w:b/>
          <w:bCs/>
          <w:lang w:val="en-GB"/>
        </w:rPr>
        <w:t>Article 1</w:t>
      </w:r>
      <w:r w:rsidR="0014209E">
        <w:rPr>
          <w:b/>
          <w:bCs/>
          <w:lang w:val="en-GB"/>
        </w:rPr>
        <w:t>6</w:t>
      </w:r>
      <w:r w:rsidR="004A0CA4" w:rsidRPr="004A0CA4">
        <w:rPr>
          <w:b/>
          <w:bCs/>
          <w:lang w:val="en-GB"/>
        </w:rPr>
        <w:t xml:space="preserve"> – </w:t>
      </w:r>
      <w:r w:rsidRPr="00C84EDD">
        <w:rPr>
          <w:b/>
          <w:bCs/>
          <w:lang w:val="en-GB"/>
        </w:rPr>
        <w:t>Patronage</w:t>
      </w:r>
    </w:p>
    <w:p w14:paraId="0E3627C0" w14:textId="535D6BC0" w:rsidR="00C84EDD" w:rsidRPr="00C84EDD" w:rsidRDefault="0014209E" w:rsidP="00194BD5">
      <w:pPr>
        <w:jc w:val="both"/>
        <w:rPr>
          <w:lang w:val="en-GB"/>
        </w:rPr>
      </w:pPr>
      <w:r>
        <w:rPr>
          <w:lang w:val="en-GB"/>
        </w:rPr>
        <w:t>16.1</w:t>
      </w:r>
      <w:r>
        <w:rPr>
          <w:lang w:val="en-GB"/>
        </w:rPr>
        <w:tab/>
      </w:r>
      <w:r w:rsidR="00C84EDD" w:rsidRPr="00C84EDD">
        <w:rPr>
          <w:lang w:val="en-GB"/>
        </w:rPr>
        <w:t xml:space="preserve">The Committee may grant the </w:t>
      </w:r>
      <w:r w:rsidR="00356BF1">
        <w:rPr>
          <w:lang w:val="en-GB"/>
        </w:rPr>
        <w:t>EPA</w:t>
      </w:r>
      <w:r w:rsidR="00356BF1" w:rsidRPr="00C84EDD">
        <w:rPr>
          <w:lang w:val="en-GB"/>
        </w:rPr>
        <w:t xml:space="preserve">’s </w:t>
      </w:r>
      <w:r w:rsidR="00C84EDD" w:rsidRPr="00C84EDD">
        <w:rPr>
          <w:lang w:val="en-GB"/>
        </w:rPr>
        <w:t xml:space="preserve">patronage to national and international events which comply with </w:t>
      </w:r>
      <w:r w:rsidR="00C363CC">
        <w:rPr>
          <w:lang w:val="en-GB"/>
        </w:rPr>
        <w:t>the</w:t>
      </w:r>
      <w:r w:rsidR="00C84EDD" w:rsidRPr="00C84EDD">
        <w:rPr>
          <w:lang w:val="en-GB"/>
        </w:rPr>
        <w:t xml:space="preserve"> aims</w:t>
      </w:r>
      <w:r w:rsidR="00C363CC">
        <w:rPr>
          <w:lang w:val="en-GB"/>
        </w:rPr>
        <w:t xml:space="preserve"> of the </w:t>
      </w:r>
      <w:r w:rsidR="00356BF1">
        <w:rPr>
          <w:lang w:val="en-GB"/>
        </w:rPr>
        <w:t>EPA</w:t>
      </w:r>
      <w:r w:rsidR="00C84EDD" w:rsidRPr="00C84EDD">
        <w:rPr>
          <w:lang w:val="en-GB"/>
        </w:rPr>
        <w:t>.</w:t>
      </w:r>
    </w:p>
    <w:p w14:paraId="512D096D" w14:textId="77777777" w:rsidR="00772A4B" w:rsidRDefault="00772A4B" w:rsidP="00194BD5">
      <w:pPr>
        <w:jc w:val="both"/>
        <w:rPr>
          <w:b/>
          <w:bCs/>
          <w:lang w:val="en-GB"/>
        </w:rPr>
      </w:pPr>
    </w:p>
    <w:p w14:paraId="0F15C029" w14:textId="01F28D8D" w:rsidR="00C84EDD" w:rsidRPr="00C84EDD" w:rsidRDefault="00C84EDD" w:rsidP="00194BD5">
      <w:pPr>
        <w:jc w:val="both"/>
        <w:rPr>
          <w:lang w:val="en-GB"/>
        </w:rPr>
      </w:pPr>
      <w:r w:rsidRPr="00C84EDD">
        <w:rPr>
          <w:b/>
          <w:bCs/>
          <w:lang w:val="en-GB"/>
        </w:rPr>
        <w:t>Article 1</w:t>
      </w:r>
      <w:r w:rsidR="0014209E">
        <w:rPr>
          <w:b/>
          <w:bCs/>
          <w:lang w:val="en-GB"/>
        </w:rPr>
        <w:t>7</w:t>
      </w:r>
      <w:r w:rsidR="004A0CA4" w:rsidRPr="004A0CA4">
        <w:rPr>
          <w:b/>
          <w:bCs/>
          <w:lang w:val="en-GB"/>
        </w:rPr>
        <w:t xml:space="preserve"> – </w:t>
      </w:r>
      <w:r w:rsidRPr="00C84EDD">
        <w:rPr>
          <w:b/>
          <w:bCs/>
          <w:lang w:val="en-GB"/>
        </w:rPr>
        <w:t>Observers</w:t>
      </w:r>
    </w:p>
    <w:p w14:paraId="5079A389" w14:textId="6FE2E966" w:rsidR="00C84EDD" w:rsidRPr="00C84EDD" w:rsidRDefault="0014209E" w:rsidP="00194BD5">
      <w:pPr>
        <w:jc w:val="both"/>
        <w:rPr>
          <w:lang w:val="en-GB"/>
        </w:rPr>
      </w:pPr>
      <w:r>
        <w:rPr>
          <w:lang w:val="en-GB"/>
        </w:rPr>
        <w:t>17.1</w:t>
      </w:r>
      <w:r>
        <w:rPr>
          <w:lang w:val="en-GB"/>
        </w:rPr>
        <w:tab/>
      </w:r>
      <w:r w:rsidR="00C84EDD" w:rsidRPr="00C84EDD">
        <w:rPr>
          <w:lang w:val="en-GB"/>
        </w:rPr>
        <w:t>The Committee may</w:t>
      </w:r>
      <w:r w:rsidR="00C363CC">
        <w:rPr>
          <w:lang w:val="en-GB"/>
        </w:rPr>
        <w:t xml:space="preserve"> decide</w:t>
      </w:r>
      <w:r w:rsidR="00C84EDD" w:rsidRPr="00C84EDD">
        <w:rPr>
          <w:lang w:val="en-GB"/>
        </w:rPr>
        <w:t>, by the majority</w:t>
      </w:r>
      <w:r w:rsidR="00C363CC">
        <w:rPr>
          <w:lang w:val="en-GB"/>
        </w:rPr>
        <w:t xml:space="preserve"> </w:t>
      </w:r>
      <w:r w:rsidR="00417BD5">
        <w:rPr>
          <w:lang w:val="en-GB"/>
        </w:rPr>
        <w:t>indicated</w:t>
      </w:r>
      <w:r w:rsidR="001B270C">
        <w:rPr>
          <w:lang w:val="en-GB"/>
        </w:rPr>
        <w:t xml:space="preserve"> in Article 4.</w:t>
      </w:r>
      <w:r w:rsidR="00417BD5">
        <w:rPr>
          <w:lang w:val="en-GB"/>
        </w:rPr>
        <w:t>6</w:t>
      </w:r>
      <w:r w:rsidR="001B270C">
        <w:rPr>
          <w:lang w:val="en-GB"/>
        </w:rPr>
        <w:t xml:space="preserve"> of its </w:t>
      </w:r>
      <w:r w:rsidR="00417BD5">
        <w:rPr>
          <w:lang w:val="en-GB"/>
        </w:rPr>
        <w:t>Statute</w:t>
      </w:r>
      <w:r w:rsidR="00C84EDD" w:rsidRPr="00C84EDD">
        <w:rPr>
          <w:lang w:val="en-GB"/>
        </w:rPr>
        <w:t xml:space="preserve">, </w:t>
      </w:r>
      <w:r w:rsidR="00C363CC">
        <w:rPr>
          <w:lang w:val="en-GB"/>
        </w:rPr>
        <w:t xml:space="preserve">to </w:t>
      </w:r>
      <w:r w:rsidR="00C84EDD" w:rsidRPr="00C84EDD">
        <w:rPr>
          <w:lang w:val="en-GB"/>
        </w:rPr>
        <w:t>propose to the Committee of Ministers that the observer status be given</w:t>
      </w:r>
      <w:r w:rsidR="008B7E4F">
        <w:rPr>
          <w:lang w:val="en-GB"/>
        </w:rPr>
        <w:t>,</w:t>
      </w:r>
      <w:r w:rsidR="008B7E4F" w:rsidRPr="008B7E4F">
        <w:rPr>
          <w:lang w:val="en-GB"/>
        </w:rPr>
        <w:t xml:space="preserve"> </w:t>
      </w:r>
      <w:r w:rsidR="008B7E4F">
        <w:rPr>
          <w:lang w:val="en-GB"/>
        </w:rPr>
        <w:t xml:space="preserve">for </w:t>
      </w:r>
      <w:r w:rsidR="008B7E4F" w:rsidRPr="008B7E4F">
        <w:rPr>
          <w:lang w:val="en-GB"/>
        </w:rPr>
        <w:t>a period of maximum two years</w:t>
      </w:r>
      <w:r w:rsidR="008B7E4F">
        <w:rPr>
          <w:lang w:val="en-GB"/>
        </w:rPr>
        <w:t>,</w:t>
      </w:r>
      <w:r w:rsidR="00C84EDD" w:rsidRPr="00C84EDD">
        <w:rPr>
          <w:lang w:val="en-GB"/>
        </w:rPr>
        <w:t xml:space="preserve"> to the Council of Europe</w:t>
      </w:r>
      <w:r w:rsidR="00417BD5" w:rsidRPr="00417BD5">
        <w:rPr>
          <w:lang w:val="en-GB"/>
        </w:rPr>
        <w:t xml:space="preserve"> </w:t>
      </w:r>
      <w:r w:rsidR="00417BD5">
        <w:rPr>
          <w:lang w:val="en-GB"/>
        </w:rPr>
        <w:t xml:space="preserve">member state or </w:t>
      </w:r>
      <w:r w:rsidR="00417BD5" w:rsidRPr="00417BD5">
        <w:rPr>
          <w:lang w:val="en-GB"/>
        </w:rPr>
        <w:t xml:space="preserve">a non-member State </w:t>
      </w:r>
      <w:r w:rsidR="00417BD5">
        <w:rPr>
          <w:lang w:val="en-GB"/>
        </w:rPr>
        <w:t xml:space="preserve">participating in the work of the Global </w:t>
      </w:r>
      <w:r w:rsidR="00417BD5" w:rsidRPr="00417BD5">
        <w:rPr>
          <w:lang w:val="en-GB"/>
        </w:rPr>
        <w:t>Platform for Disaster Risk Reduction</w:t>
      </w:r>
      <w:r w:rsidR="00C84EDD" w:rsidRPr="008B7E4F">
        <w:rPr>
          <w:lang w:val="en-GB"/>
        </w:rPr>
        <w:t>.</w:t>
      </w:r>
    </w:p>
    <w:p w14:paraId="658392E9" w14:textId="22E7BFE6" w:rsidR="00C84EDD" w:rsidRPr="00C84EDD" w:rsidRDefault="00C84EDD" w:rsidP="00194BD5">
      <w:pPr>
        <w:jc w:val="both"/>
        <w:rPr>
          <w:lang w:val="en-GB"/>
        </w:rPr>
      </w:pPr>
      <w:r w:rsidRPr="00C84EDD">
        <w:rPr>
          <w:lang w:val="en-GB"/>
        </w:rPr>
        <w:t>1</w:t>
      </w:r>
      <w:r w:rsidR="0014209E">
        <w:rPr>
          <w:lang w:val="en-GB"/>
        </w:rPr>
        <w:t>7.2</w:t>
      </w:r>
      <w:r w:rsidR="0014209E">
        <w:rPr>
          <w:lang w:val="en-GB"/>
        </w:rPr>
        <w:tab/>
      </w:r>
      <w:r w:rsidRPr="00C84EDD">
        <w:rPr>
          <w:lang w:val="en-GB"/>
        </w:rPr>
        <w:t>The Parliamentary Assembly, the Congress of Local and Regional Authorities of the Council of Europe and the European Conference of Ministers responsible for Spatial Planning (CEMAT), will be invited to be represented by observers at the meetings of the Committee.</w:t>
      </w:r>
    </w:p>
    <w:p w14:paraId="6E53A82F" w14:textId="77777777" w:rsidR="0014209E" w:rsidRDefault="0014209E" w:rsidP="00194BD5">
      <w:pPr>
        <w:jc w:val="both"/>
        <w:rPr>
          <w:lang w:val="en-GB"/>
        </w:rPr>
      </w:pPr>
      <w:r>
        <w:rPr>
          <w:lang w:val="en-GB"/>
        </w:rPr>
        <w:t>17.3</w:t>
      </w:r>
      <w:r>
        <w:rPr>
          <w:lang w:val="en-GB"/>
        </w:rPr>
        <w:tab/>
      </w:r>
      <w:r w:rsidR="00C84EDD" w:rsidRPr="00C84EDD">
        <w:rPr>
          <w:lang w:val="en-GB"/>
        </w:rPr>
        <w:t>The Committee may, by a unanimous vote, decide to admit to its meetings representatives of international organisations or observers.  It can also admit to part of its meetings representatives of national organisations, prominent in the fields of activity of the Agreement or organise hearings for their intention.</w:t>
      </w:r>
    </w:p>
    <w:p w14:paraId="146A8467" w14:textId="6EC05036" w:rsidR="00C706AC" w:rsidRDefault="00C706AC" w:rsidP="00194BD5">
      <w:pPr>
        <w:jc w:val="both"/>
        <w:rPr>
          <w:lang w:val="en-GB"/>
        </w:rPr>
      </w:pPr>
    </w:p>
    <w:p w14:paraId="62D20FC4" w14:textId="2FB3BEA0" w:rsidR="00042565" w:rsidRDefault="00042565" w:rsidP="00194BD5">
      <w:pPr>
        <w:jc w:val="both"/>
        <w:rPr>
          <w:lang w:val="en-GB"/>
        </w:rPr>
      </w:pPr>
    </w:p>
    <w:p w14:paraId="1DA4D399" w14:textId="77777777" w:rsidR="00042565" w:rsidRDefault="00042565" w:rsidP="00194BD5">
      <w:pPr>
        <w:jc w:val="both"/>
        <w:rPr>
          <w:lang w:val="en-GB"/>
        </w:rPr>
      </w:pPr>
    </w:p>
    <w:p w14:paraId="7CEABA03" w14:textId="5CFB8B64" w:rsidR="00C84EDD" w:rsidRPr="00C84EDD" w:rsidRDefault="00C84EDD" w:rsidP="00194BD5">
      <w:pPr>
        <w:jc w:val="both"/>
        <w:rPr>
          <w:lang w:val="en-GB"/>
        </w:rPr>
      </w:pPr>
      <w:r w:rsidRPr="00C84EDD">
        <w:rPr>
          <w:b/>
          <w:bCs/>
          <w:lang w:val="en-GB"/>
        </w:rPr>
        <w:lastRenderedPageBreak/>
        <w:t>Article 1</w:t>
      </w:r>
      <w:r w:rsidR="0014209E">
        <w:rPr>
          <w:b/>
          <w:bCs/>
          <w:lang w:val="en-GB"/>
        </w:rPr>
        <w:t>8</w:t>
      </w:r>
      <w:r w:rsidR="004A0CA4" w:rsidRPr="004A0CA4">
        <w:rPr>
          <w:b/>
          <w:bCs/>
          <w:lang w:val="en-GB"/>
        </w:rPr>
        <w:t xml:space="preserve"> – </w:t>
      </w:r>
      <w:r w:rsidRPr="00C84EDD">
        <w:rPr>
          <w:b/>
          <w:bCs/>
          <w:lang w:val="en-GB"/>
        </w:rPr>
        <w:t>Budget</w:t>
      </w:r>
    </w:p>
    <w:p w14:paraId="53EEF089" w14:textId="41FB8064" w:rsidR="00C84EDD" w:rsidRPr="00C84EDD" w:rsidRDefault="0014209E" w:rsidP="00194BD5">
      <w:pPr>
        <w:jc w:val="both"/>
        <w:rPr>
          <w:lang w:val="en-GB"/>
        </w:rPr>
      </w:pPr>
      <w:r>
        <w:rPr>
          <w:lang w:val="en-GB"/>
        </w:rPr>
        <w:t>18.1</w:t>
      </w:r>
      <w:r>
        <w:rPr>
          <w:lang w:val="en-GB"/>
        </w:rPr>
        <w:tab/>
      </w:r>
      <w:r w:rsidR="00C84EDD" w:rsidRPr="00C84EDD">
        <w:rPr>
          <w:lang w:val="en-GB"/>
        </w:rPr>
        <w:t xml:space="preserve">The preliminary budget of the </w:t>
      </w:r>
      <w:r w:rsidR="00356BF1">
        <w:rPr>
          <w:lang w:val="en-GB"/>
        </w:rPr>
        <w:t>EPA</w:t>
      </w:r>
      <w:r w:rsidR="00356BF1" w:rsidRPr="00C84EDD">
        <w:rPr>
          <w:lang w:val="en-GB"/>
        </w:rPr>
        <w:t xml:space="preserve"> </w:t>
      </w:r>
      <w:r w:rsidR="00C84EDD" w:rsidRPr="00C84EDD">
        <w:rPr>
          <w:lang w:val="en-GB"/>
        </w:rPr>
        <w:t>shall be prepared, on the basis of the instructions of the Committee, by the Executive Secretary.</w:t>
      </w:r>
    </w:p>
    <w:p w14:paraId="108EA3E5" w14:textId="4FBEAE03" w:rsidR="00C84EDD" w:rsidRPr="00C84EDD" w:rsidRDefault="0014209E" w:rsidP="00194BD5">
      <w:pPr>
        <w:jc w:val="both"/>
        <w:rPr>
          <w:lang w:val="en-GB"/>
        </w:rPr>
      </w:pPr>
      <w:r>
        <w:rPr>
          <w:lang w:val="en-GB"/>
        </w:rPr>
        <w:t>18.2</w:t>
      </w:r>
      <w:r>
        <w:rPr>
          <w:lang w:val="en-GB"/>
        </w:rPr>
        <w:tab/>
      </w:r>
      <w:r w:rsidR="00C84EDD" w:rsidRPr="00C84EDD">
        <w:rPr>
          <w:lang w:val="en-GB"/>
        </w:rPr>
        <w:t xml:space="preserve">The Committee shall approve, by the majority indicated in </w:t>
      </w:r>
      <w:r w:rsidR="00417BD5" w:rsidRPr="00417BD5">
        <w:rPr>
          <w:lang w:val="en-GB"/>
        </w:rPr>
        <w:t>Article 4.6 of its Statute</w:t>
      </w:r>
      <w:r w:rsidR="00C84EDD" w:rsidRPr="00C84EDD">
        <w:rPr>
          <w:lang w:val="en-GB"/>
        </w:rPr>
        <w:t>, the draft budget it submits to the Secretary General for transmission to the Committee of Ministers.</w:t>
      </w:r>
    </w:p>
    <w:p w14:paraId="145E395A" w14:textId="77777777" w:rsidR="0014209E" w:rsidRDefault="0014209E" w:rsidP="00194BD5">
      <w:pPr>
        <w:jc w:val="both"/>
        <w:rPr>
          <w:b/>
          <w:bCs/>
          <w:lang w:val="en-GB"/>
        </w:rPr>
      </w:pPr>
    </w:p>
    <w:p w14:paraId="61C5F9AE" w14:textId="766CE1EF" w:rsidR="00C84EDD" w:rsidRPr="00C84EDD" w:rsidRDefault="00C84EDD" w:rsidP="00194BD5">
      <w:pPr>
        <w:jc w:val="both"/>
        <w:rPr>
          <w:lang w:val="en-GB"/>
        </w:rPr>
      </w:pPr>
      <w:r w:rsidRPr="00C84EDD">
        <w:rPr>
          <w:b/>
          <w:bCs/>
          <w:lang w:val="en-GB"/>
        </w:rPr>
        <w:t>Article 1</w:t>
      </w:r>
      <w:r w:rsidR="0014209E">
        <w:rPr>
          <w:b/>
          <w:bCs/>
          <w:lang w:val="en-GB"/>
        </w:rPr>
        <w:t>9</w:t>
      </w:r>
      <w:r w:rsidR="004A0CA4" w:rsidRPr="004A0CA4">
        <w:rPr>
          <w:b/>
          <w:bCs/>
          <w:lang w:val="en-GB"/>
        </w:rPr>
        <w:t xml:space="preserve"> – </w:t>
      </w:r>
      <w:r w:rsidRPr="00C84EDD">
        <w:rPr>
          <w:b/>
          <w:bCs/>
          <w:lang w:val="en-GB"/>
        </w:rPr>
        <w:t>Amendments to the Rules of Procedure</w:t>
      </w:r>
    </w:p>
    <w:p w14:paraId="14A28FD9" w14:textId="10299459" w:rsidR="00417BD5" w:rsidRPr="00626952" w:rsidRDefault="0014209E" w:rsidP="00194BD5">
      <w:pPr>
        <w:jc w:val="both"/>
        <w:rPr>
          <w:lang w:val="en-GB"/>
        </w:rPr>
      </w:pPr>
      <w:r>
        <w:rPr>
          <w:lang w:val="en-GB"/>
        </w:rPr>
        <w:t>19.1</w:t>
      </w:r>
      <w:r>
        <w:rPr>
          <w:lang w:val="en-GB"/>
        </w:rPr>
        <w:tab/>
      </w:r>
      <w:r w:rsidR="00417BD5" w:rsidRPr="00626952">
        <w:rPr>
          <w:lang w:val="en-GB"/>
        </w:rPr>
        <w:t xml:space="preserve">The present Rules of Procedure may be amended by a decision taken by a majority </w:t>
      </w:r>
      <w:r w:rsidR="00417BD5" w:rsidRPr="00417BD5">
        <w:rPr>
          <w:lang w:val="en-GB"/>
        </w:rPr>
        <w:t>indicated in Article 4.6 of its Statute</w:t>
      </w:r>
      <w:r w:rsidR="00417BD5" w:rsidRPr="00626952">
        <w:rPr>
          <w:lang w:val="en-GB"/>
        </w:rPr>
        <w:t>. Such amendments are subject to the approval of the Committee of Ministers and shall enter into effect on the date of such approval.</w:t>
      </w:r>
    </w:p>
    <w:p w14:paraId="731FC49E" w14:textId="77777777" w:rsidR="00194BD5" w:rsidRDefault="0014209E" w:rsidP="00194BD5">
      <w:pPr>
        <w:jc w:val="both"/>
        <w:rPr>
          <w:lang w:val="en-GB"/>
        </w:rPr>
      </w:pPr>
      <w:r>
        <w:rPr>
          <w:lang w:val="en-GB"/>
        </w:rPr>
        <w:t>19.2</w:t>
      </w:r>
      <w:r>
        <w:rPr>
          <w:lang w:val="en-GB"/>
        </w:rPr>
        <w:tab/>
      </w:r>
      <w:r w:rsidR="00417BD5" w:rsidRPr="00417BD5">
        <w:rPr>
          <w:lang w:val="en-GB"/>
        </w:rPr>
        <w:t>Prior to the approval of the Committee of Ministers, amendments to the present Rules of Procedure may be provisionally applied by the Committee.</w:t>
      </w:r>
    </w:p>
    <w:p w14:paraId="162AD1BE" w14:textId="77777777" w:rsidR="00194BD5" w:rsidRDefault="00194BD5" w:rsidP="00C84EDD">
      <w:pPr>
        <w:rPr>
          <w:b/>
          <w:bCs/>
          <w:u w:val="single"/>
          <w:lang w:val="en-GB"/>
        </w:rPr>
      </w:pPr>
    </w:p>
    <w:p w14:paraId="0A8D7DE6" w14:textId="77777777" w:rsidR="00194BD5" w:rsidRDefault="00194BD5" w:rsidP="00C84EDD">
      <w:pPr>
        <w:rPr>
          <w:b/>
          <w:bCs/>
          <w:u w:val="single"/>
          <w:lang w:val="en-GB"/>
        </w:rPr>
      </w:pPr>
    </w:p>
    <w:p w14:paraId="472D5083" w14:textId="47CF8513" w:rsidR="00C706AC" w:rsidRDefault="00C706AC">
      <w:pPr>
        <w:rPr>
          <w:b/>
          <w:bCs/>
          <w:u w:val="single"/>
          <w:lang w:val="en-GB"/>
        </w:rPr>
      </w:pPr>
    </w:p>
    <w:p w14:paraId="2DDF8EB3" w14:textId="77777777" w:rsidR="002D5DAE" w:rsidRDefault="002D5DAE">
      <w:pPr>
        <w:rPr>
          <w:b/>
          <w:bCs/>
          <w:u w:val="single"/>
          <w:lang w:val="en-GB"/>
        </w:rPr>
      </w:pPr>
      <w:r>
        <w:rPr>
          <w:b/>
          <w:bCs/>
          <w:u w:val="single"/>
          <w:lang w:val="en-GB"/>
        </w:rPr>
        <w:br w:type="page"/>
      </w:r>
    </w:p>
    <w:p w14:paraId="741C3917" w14:textId="3A7822E5" w:rsidR="00C84EDD" w:rsidRPr="00C84EDD" w:rsidRDefault="00C84EDD" w:rsidP="00C84EDD">
      <w:pPr>
        <w:rPr>
          <w:lang w:val="en-GB"/>
        </w:rPr>
      </w:pPr>
      <w:r w:rsidRPr="00C84EDD">
        <w:rPr>
          <w:b/>
          <w:bCs/>
          <w:u w:val="single"/>
          <w:lang w:val="en-GB"/>
        </w:rPr>
        <w:lastRenderedPageBreak/>
        <w:t>APPENDIX  1</w:t>
      </w:r>
    </w:p>
    <w:p w14:paraId="4CD0ECF1" w14:textId="6F20EF61" w:rsidR="001E11C2" w:rsidRDefault="00C84EDD" w:rsidP="00C84EDD">
      <w:pPr>
        <w:rPr>
          <w:b/>
          <w:bCs/>
          <w:lang w:val="en-GB"/>
        </w:rPr>
      </w:pPr>
      <w:r w:rsidRPr="00D30B85">
        <w:rPr>
          <w:b/>
          <w:bCs/>
          <w:lang w:val="en-GB"/>
        </w:rPr>
        <w:t xml:space="preserve">NETWORK OF SPECIALISED </w:t>
      </w:r>
      <w:r w:rsidR="001E11C2">
        <w:rPr>
          <w:b/>
          <w:bCs/>
          <w:lang w:val="en-GB"/>
        </w:rPr>
        <w:t xml:space="preserve">SCIENTIFIC </w:t>
      </w:r>
      <w:r w:rsidRPr="00D30B85">
        <w:rPr>
          <w:b/>
          <w:bCs/>
          <w:lang w:val="en-GB"/>
        </w:rPr>
        <w:t xml:space="preserve">CENTRES </w:t>
      </w:r>
      <w:r w:rsidR="00A7430E">
        <w:rPr>
          <w:b/>
          <w:bCs/>
          <w:lang w:val="en-GB"/>
        </w:rPr>
        <w:t xml:space="preserve"> </w:t>
      </w:r>
    </w:p>
    <w:p w14:paraId="473F4C71" w14:textId="5BB3D811" w:rsidR="00C84EDD" w:rsidRPr="001E11C2" w:rsidRDefault="00C84EDD" w:rsidP="00C84EDD">
      <w:pPr>
        <w:rPr>
          <w:i/>
          <w:iCs/>
          <w:lang w:val="en-GB"/>
        </w:rPr>
      </w:pPr>
      <w:r w:rsidRPr="001E11C2">
        <w:rPr>
          <w:i/>
          <w:iCs/>
          <w:lang w:val="en-GB"/>
        </w:rPr>
        <w:t>(</w:t>
      </w:r>
      <w:r w:rsidR="001E11C2" w:rsidRPr="001E11C2">
        <w:rPr>
          <w:i/>
          <w:iCs/>
          <w:lang w:val="en-GB"/>
        </w:rPr>
        <w:t xml:space="preserve">as of </w:t>
      </w:r>
      <w:r w:rsidR="001E11C2">
        <w:rPr>
          <w:i/>
          <w:iCs/>
          <w:lang w:val="en-GB"/>
        </w:rPr>
        <w:t>DD/MM/</w:t>
      </w:r>
      <w:r w:rsidR="00417BD5" w:rsidRPr="001E11C2">
        <w:rPr>
          <w:i/>
          <w:iCs/>
          <w:lang w:val="en-GB"/>
        </w:rPr>
        <w:t>2021</w:t>
      </w:r>
      <w:r w:rsidRPr="001E11C2">
        <w:rPr>
          <w:i/>
          <w:iCs/>
          <w:lang w:val="en-GB"/>
        </w:rPr>
        <w:t>)</w:t>
      </w:r>
    </w:p>
    <w:p w14:paraId="62646F61" w14:textId="33AAB08B" w:rsidR="00C84EDD" w:rsidRPr="00850AC6" w:rsidRDefault="00C84EDD" w:rsidP="004A0CA4">
      <w:pPr>
        <w:tabs>
          <w:tab w:val="left" w:pos="426"/>
        </w:tabs>
        <w:spacing w:after="60" w:line="240" w:lineRule="auto"/>
        <w:ind w:left="426" w:hanging="567"/>
        <w:rPr>
          <w:lang w:val="en-GB"/>
        </w:rPr>
      </w:pPr>
      <w:r w:rsidRPr="00850AC6">
        <w:rPr>
          <w:lang w:val="en-GB"/>
        </w:rPr>
        <w:t xml:space="preserve">1.      </w:t>
      </w:r>
      <w:r w:rsidR="004A0CA4" w:rsidRPr="00850AC6">
        <w:rPr>
          <w:lang w:val="en-GB"/>
        </w:rPr>
        <w:tab/>
      </w:r>
      <w:r w:rsidRPr="00850AC6">
        <w:rPr>
          <w:b/>
          <w:bCs/>
          <w:lang w:val="en-GB"/>
        </w:rPr>
        <w:t>CRSTRA</w:t>
      </w:r>
      <w:r w:rsidRPr="00850AC6">
        <w:rPr>
          <w:lang w:val="en-GB"/>
        </w:rPr>
        <w:t xml:space="preserve"> </w:t>
      </w:r>
      <w:r w:rsidR="00850AC6" w:rsidRPr="00850AC6">
        <w:rPr>
          <w:lang w:val="en-GB"/>
        </w:rPr>
        <w:t xml:space="preserve"> – </w:t>
      </w:r>
      <w:r w:rsidRPr="00850AC6">
        <w:rPr>
          <w:lang w:val="en-GB"/>
        </w:rPr>
        <w:t>Euro-Mediterranean Centre on Research in Arid Zones (Biskra, Algeria)</w:t>
      </w:r>
    </w:p>
    <w:p w14:paraId="4211BE65" w14:textId="5256A64B" w:rsidR="00C84EDD" w:rsidRPr="009B4B58" w:rsidRDefault="00C84EDD" w:rsidP="004A0CA4">
      <w:pPr>
        <w:tabs>
          <w:tab w:val="left" w:pos="426"/>
        </w:tabs>
        <w:spacing w:after="60" w:line="240" w:lineRule="auto"/>
        <w:ind w:left="426" w:hanging="567"/>
        <w:rPr>
          <w:lang w:val="en-GB"/>
        </w:rPr>
      </w:pPr>
      <w:r w:rsidRPr="00C84EDD">
        <w:rPr>
          <w:lang w:val="en-GB"/>
        </w:rPr>
        <w:t xml:space="preserve">2.      </w:t>
      </w:r>
      <w:r w:rsidR="004A0CA4">
        <w:rPr>
          <w:lang w:val="en-GB"/>
        </w:rPr>
        <w:tab/>
      </w:r>
      <w:r w:rsidRPr="00C84EDD">
        <w:rPr>
          <w:b/>
          <w:bCs/>
          <w:lang w:val="en-GB"/>
        </w:rPr>
        <w:t>E</w:t>
      </w:r>
      <w:r w:rsidR="00E32B62">
        <w:rPr>
          <w:b/>
          <w:bCs/>
          <w:lang w:val="en-GB"/>
        </w:rPr>
        <w:t>CRM</w:t>
      </w:r>
      <w:bookmarkStart w:id="2" w:name="_Hlk64467259"/>
      <w:r w:rsidRPr="00C84EDD">
        <w:rPr>
          <w:lang w:val="en-GB"/>
        </w:rPr>
        <w:t xml:space="preserve"> – </w:t>
      </w:r>
      <w:bookmarkEnd w:id="2"/>
      <w:r w:rsidRPr="00C84EDD">
        <w:rPr>
          <w:lang w:val="en-GB"/>
        </w:rPr>
        <w:t xml:space="preserve">The European </w:t>
      </w:r>
      <w:r w:rsidR="00E32B62">
        <w:rPr>
          <w:lang w:val="en-GB"/>
        </w:rPr>
        <w:t>Interregional Scientific</w:t>
      </w:r>
      <w:r w:rsidRPr="00C84EDD">
        <w:rPr>
          <w:lang w:val="en-GB"/>
        </w:rPr>
        <w:t xml:space="preserve"> and Educational Centre </w:t>
      </w:r>
      <w:r w:rsidR="00E32B62">
        <w:rPr>
          <w:lang w:val="en-GB"/>
        </w:rPr>
        <w:t>on Major Risk</w:t>
      </w:r>
      <w:r w:rsidR="004A0CA4">
        <w:rPr>
          <w:lang w:val="en-GB"/>
        </w:rPr>
        <w:t xml:space="preserve"> </w:t>
      </w:r>
      <w:r w:rsidR="00E32B62" w:rsidRPr="009B4B58">
        <w:rPr>
          <w:lang w:val="en-GB"/>
        </w:rPr>
        <w:t xml:space="preserve">Management </w:t>
      </w:r>
      <w:r w:rsidRPr="009B4B58">
        <w:rPr>
          <w:lang w:val="en-GB"/>
        </w:rPr>
        <w:t>(Yerevan, Armenia)</w:t>
      </w:r>
    </w:p>
    <w:p w14:paraId="3DC20095" w14:textId="48220F37" w:rsidR="00C84EDD" w:rsidRPr="009B4B58" w:rsidRDefault="00C84EDD" w:rsidP="004A0CA4">
      <w:pPr>
        <w:tabs>
          <w:tab w:val="left" w:pos="426"/>
        </w:tabs>
        <w:spacing w:after="60" w:line="240" w:lineRule="auto"/>
        <w:ind w:left="426" w:hanging="567"/>
        <w:rPr>
          <w:lang w:val="en-GB"/>
        </w:rPr>
      </w:pPr>
      <w:r w:rsidRPr="009B4B58">
        <w:rPr>
          <w:lang w:val="en-GB"/>
        </w:rPr>
        <w:t xml:space="preserve">3.      </w:t>
      </w:r>
      <w:r w:rsidR="004A0CA4" w:rsidRPr="009B4B58">
        <w:rPr>
          <w:lang w:val="en-GB"/>
        </w:rPr>
        <w:tab/>
      </w:r>
      <w:r w:rsidRPr="009B4B58">
        <w:rPr>
          <w:b/>
          <w:bCs/>
          <w:lang w:val="en-GB"/>
        </w:rPr>
        <w:t>ECMHT</w:t>
      </w:r>
      <w:r w:rsidRPr="009B4B58">
        <w:rPr>
          <w:lang w:val="en-GB"/>
        </w:rPr>
        <w:t xml:space="preserve"> </w:t>
      </w:r>
      <w:r w:rsidR="009B4B58" w:rsidRPr="009B4B58">
        <w:rPr>
          <w:b/>
          <w:bCs/>
          <w:lang w:val="en-GB"/>
        </w:rPr>
        <w:t xml:space="preserve"> </w:t>
      </w:r>
      <w:r w:rsidR="009B4B58" w:rsidRPr="009B4B58">
        <w:rPr>
          <w:lang w:val="en-GB"/>
        </w:rPr>
        <w:t xml:space="preserve">– </w:t>
      </w:r>
      <w:r w:rsidRPr="009B4B58">
        <w:rPr>
          <w:lang w:val="en-GB"/>
        </w:rPr>
        <w:t>European Centre on Training and Information of Local and Regional Authorities and Population in the Field of Natural and Technological Disasters (Baku, Azerbaijan)</w:t>
      </w:r>
    </w:p>
    <w:p w14:paraId="569D3071" w14:textId="388133AC" w:rsidR="00C84EDD" w:rsidRPr="009B4B58" w:rsidRDefault="00C84EDD" w:rsidP="004A0CA4">
      <w:pPr>
        <w:tabs>
          <w:tab w:val="left" w:pos="426"/>
        </w:tabs>
        <w:spacing w:after="60" w:line="240" w:lineRule="auto"/>
        <w:ind w:left="426" w:hanging="567"/>
        <w:rPr>
          <w:lang w:val="en-GB"/>
        </w:rPr>
      </w:pPr>
      <w:r w:rsidRPr="009B4B58">
        <w:rPr>
          <w:lang w:val="en-GB"/>
        </w:rPr>
        <w:t xml:space="preserve">4.      </w:t>
      </w:r>
      <w:r w:rsidR="004A0CA4" w:rsidRPr="009B4B58">
        <w:rPr>
          <w:lang w:val="en-GB"/>
        </w:rPr>
        <w:tab/>
      </w:r>
      <w:r w:rsidRPr="009B4B58">
        <w:rPr>
          <w:b/>
          <w:bCs/>
          <w:lang w:val="en-GB"/>
        </w:rPr>
        <w:t>ISPU</w:t>
      </w:r>
      <w:r w:rsidRPr="009B4B58">
        <w:rPr>
          <w:lang w:val="en-GB"/>
        </w:rPr>
        <w:t xml:space="preserve"> </w:t>
      </w:r>
      <w:r w:rsidR="00850AC6" w:rsidRPr="009B4B58">
        <w:rPr>
          <w:lang w:val="en-GB"/>
        </w:rPr>
        <w:t xml:space="preserve">– </w:t>
      </w:r>
      <w:r w:rsidRPr="009B4B58">
        <w:rPr>
          <w:lang w:val="en-GB"/>
        </w:rPr>
        <w:t>Higher Institute of Emergency Planning (Florival, Belgium)</w:t>
      </w:r>
    </w:p>
    <w:p w14:paraId="6758307F" w14:textId="001936EA" w:rsidR="00C84EDD" w:rsidRPr="009B4B58" w:rsidRDefault="00C84EDD" w:rsidP="004A0CA4">
      <w:pPr>
        <w:tabs>
          <w:tab w:val="left" w:pos="426"/>
        </w:tabs>
        <w:spacing w:after="60" w:line="240" w:lineRule="auto"/>
        <w:ind w:left="426" w:hanging="567"/>
        <w:rPr>
          <w:lang w:val="en-GB"/>
        </w:rPr>
      </w:pPr>
      <w:r w:rsidRPr="009B4B58">
        <w:rPr>
          <w:lang w:val="en-GB"/>
        </w:rPr>
        <w:t xml:space="preserve">5.      </w:t>
      </w:r>
      <w:r w:rsidR="004A0CA4" w:rsidRPr="009B4B58">
        <w:rPr>
          <w:lang w:val="en-GB"/>
        </w:rPr>
        <w:tab/>
      </w:r>
      <w:r w:rsidRPr="009B4B58">
        <w:rPr>
          <w:b/>
          <w:bCs/>
          <w:lang w:val="en-GB"/>
        </w:rPr>
        <w:t>CSLT</w:t>
      </w:r>
      <w:r w:rsidR="00850AC6" w:rsidRPr="009B4B58">
        <w:rPr>
          <w:lang w:val="en-GB"/>
        </w:rPr>
        <w:t xml:space="preserve"> –</w:t>
      </w:r>
      <w:r w:rsidR="00850AC6" w:rsidRPr="009B4B58">
        <w:rPr>
          <w:b/>
          <w:bCs/>
          <w:lang w:val="en-GB"/>
        </w:rPr>
        <w:t xml:space="preserve"> </w:t>
      </w:r>
      <w:r w:rsidRPr="009B4B58">
        <w:rPr>
          <w:lang w:val="en-GB"/>
        </w:rPr>
        <w:t>European Centre for School Level Training in Risk Prevention (Sofia, Bulgaria)</w:t>
      </w:r>
    </w:p>
    <w:p w14:paraId="3D4962FC" w14:textId="09426CF8" w:rsidR="00C84EDD" w:rsidRPr="009B4B58" w:rsidRDefault="00C84EDD" w:rsidP="004A0CA4">
      <w:pPr>
        <w:tabs>
          <w:tab w:val="left" w:pos="426"/>
        </w:tabs>
        <w:spacing w:after="60" w:line="240" w:lineRule="auto"/>
        <w:ind w:left="426" w:hanging="567"/>
        <w:rPr>
          <w:lang w:val="en-GB"/>
        </w:rPr>
      </w:pPr>
      <w:r w:rsidRPr="009B4B58">
        <w:rPr>
          <w:lang w:val="en-GB"/>
        </w:rPr>
        <w:t xml:space="preserve">6.      </w:t>
      </w:r>
      <w:r w:rsidR="004A0CA4" w:rsidRPr="009B4B58">
        <w:rPr>
          <w:lang w:val="en-GB"/>
        </w:rPr>
        <w:tab/>
      </w:r>
      <w:r w:rsidR="001E5E16" w:rsidRPr="001E5E16">
        <w:rPr>
          <w:b/>
          <w:bCs/>
          <w:lang w:val="en-GB"/>
        </w:rPr>
        <w:t xml:space="preserve">BeSafeNet </w:t>
      </w:r>
      <w:r w:rsidR="00850AC6" w:rsidRPr="009B4B58">
        <w:rPr>
          <w:lang w:val="en-GB"/>
        </w:rPr>
        <w:t xml:space="preserve">– </w:t>
      </w:r>
      <w:r w:rsidRPr="009B4B58">
        <w:rPr>
          <w:lang w:val="en-GB"/>
        </w:rPr>
        <w:t>European Centre for Disaster Awareness with the use of the Internet (Nicosia, Cyprus)</w:t>
      </w:r>
    </w:p>
    <w:p w14:paraId="43673823" w14:textId="4426205B" w:rsidR="00C84EDD" w:rsidRPr="009B4B58" w:rsidRDefault="00C84EDD" w:rsidP="004A0CA4">
      <w:pPr>
        <w:tabs>
          <w:tab w:val="left" w:pos="426"/>
        </w:tabs>
        <w:spacing w:after="60" w:line="240" w:lineRule="auto"/>
        <w:ind w:left="426" w:hanging="567"/>
        <w:rPr>
          <w:lang w:val="en-GB"/>
        </w:rPr>
      </w:pPr>
      <w:r w:rsidRPr="009B4B58">
        <w:rPr>
          <w:lang w:val="en-GB"/>
        </w:rPr>
        <w:t>7.     </w:t>
      </w:r>
      <w:r w:rsidR="004A0CA4" w:rsidRPr="009B4B58">
        <w:rPr>
          <w:lang w:val="en-GB"/>
        </w:rPr>
        <w:tab/>
      </w:r>
      <w:r w:rsidRPr="009B4B58">
        <w:rPr>
          <w:b/>
          <w:bCs/>
          <w:lang w:val="en-GB"/>
        </w:rPr>
        <w:t>ECILS</w:t>
      </w:r>
      <w:r w:rsidRPr="009B4B58">
        <w:rPr>
          <w:lang w:val="en-GB"/>
        </w:rPr>
        <w:t xml:space="preserve"> </w:t>
      </w:r>
      <w:r w:rsidR="009B4B58" w:rsidRPr="009B4B58">
        <w:rPr>
          <w:b/>
          <w:bCs/>
          <w:lang w:val="en-GB"/>
        </w:rPr>
        <w:t xml:space="preserve"> </w:t>
      </w:r>
      <w:r w:rsidR="009B4B58" w:rsidRPr="009B4B58">
        <w:rPr>
          <w:lang w:val="en-GB"/>
        </w:rPr>
        <w:t xml:space="preserve">– </w:t>
      </w:r>
      <w:r w:rsidRPr="009B4B58">
        <w:rPr>
          <w:lang w:val="en-GB"/>
        </w:rPr>
        <w:t xml:space="preserve">European Centre on  the Vulnerability of Industrial and Lifeline Systems (Skopje, </w:t>
      </w:r>
      <w:r w:rsidR="00772A4B">
        <w:rPr>
          <w:lang w:val="en-GB"/>
        </w:rPr>
        <w:t xml:space="preserve">North </w:t>
      </w:r>
      <w:r w:rsidRPr="009B4B58">
        <w:rPr>
          <w:lang w:val="en-GB"/>
        </w:rPr>
        <w:t>Macedonia)</w:t>
      </w:r>
    </w:p>
    <w:p w14:paraId="69E16157" w14:textId="04928EE4" w:rsidR="00C84EDD" w:rsidRPr="005629E5" w:rsidRDefault="00C84EDD" w:rsidP="004A0CA4">
      <w:pPr>
        <w:tabs>
          <w:tab w:val="left" w:pos="426"/>
        </w:tabs>
        <w:spacing w:after="60" w:line="240" w:lineRule="auto"/>
        <w:ind w:left="426" w:hanging="567"/>
        <w:rPr>
          <w:lang w:val="fr-FR"/>
        </w:rPr>
      </w:pPr>
      <w:r w:rsidRPr="005629E5">
        <w:rPr>
          <w:lang w:val="fr-FR"/>
        </w:rPr>
        <w:t xml:space="preserve">8.      </w:t>
      </w:r>
      <w:r w:rsidR="004A0CA4" w:rsidRPr="005629E5">
        <w:rPr>
          <w:lang w:val="fr-FR"/>
        </w:rPr>
        <w:tab/>
      </w:r>
      <w:r w:rsidRPr="005629E5">
        <w:rPr>
          <w:b/>
          <w:bCs/>
          <w:lang w:val="fr-FR"/>
        </w:rPr>
        <w:t>EMSC</w:t>
      </w:r>
      <w:r w:rsidR="009B4B58" w:rsidRPr="005629E5">
        <w:rPr>
          <w:b/>
          <w:bCs/>
          <w:lang w:val="fr-FR"/>
        </w:rPr>
        <w:t xml:space="preserve"> </w:t>
      </w:r>
      <w:r w:rsidR="009B4B58" w:rsidRPr="005629E5">
        <w:rPr>
          <w:lang w:val="fr-FR"/>
        </w:rPr>
        <w:t xml:space="preserve">– </w:t>
      </w:r>
      <w:r w:rsidRPr="005629E5">
        <w:rPr>
          <w:lang w:val="fr-FR"/>
        </w:rPr>
        <w:t>European Mediterranean Seismological Centre (Bruyères-le-Châtel, France)      </w:t>
      </w:r>
    </w:p>
    <w:p w14:paraId="06604384" w14:textId="57948EAE" w:rsidR="00C84EDD" w:rsidRPr="009B4B58" w:rsidRDefault="00C84EDD" w:rsidP="004A0CA4">
      <w:pPr>
        <w:tabs>
          <w:tab w:val="left" w:pos="426"/>
        </w:tabs>
        <w:spacing w:after="60" w:line="240" w:lineRule="auto"/>
        <w:ind w:left="426" w:hanging="567"/>
        <w:rPr>
          <w:lang w:val="en-GB"/>
        </w:rPr>
      </w:pPr>
      <w:r w:rsidRPr="009B4B58">
        <w:rPr>
          <w:lang w:val="en-GB"/>
        </w:rPr>
        <w:t>9.     </w:t>
      </w:r>
      <w:r w:rsidR="004A0CA4" w:rsidRPr="009B4B58">
        <w:rPr>
          <w:lang w:val="en-GB"/>
        </w:rPr>
        <w:tab/>
      </w:r>
      <w:r w:rsidRPr="009B4B58">
        <w:rPr>
          <w:b/>
          <w:bCs/>
          <w:lang w:val="en-GB"/>
        </w:rPr>
        <w:t>CERG</w:t>
      </w:r>
      <w:r w:rsidR="00850AC6" w:rsidRPr="009B4B58">
        <w:rPr>
          <w:lang w:val="en-GB"/>
        </w:rPr>
        <w:t xml:space="preserve"> –</w:t>
      </w:r>
      <w:r w:rsidR="00850AC6" w:rsidRPr="009B4B58">
        <w:rPr>
          <w:b/>
          <w:bCs/>
          <w:lang w:val="en-GB"/>
        </w:rPr>
        <w:t xml:space="preserve"> </w:t>
      </w:r>
      <w:r w:rsidRPr="009B4B58">
        <w:rPr>
          <w:lang w:val="en-GB"/>
        </w:rPr>
        <w:t>European Centre for Seismic and Geomorphological Hazards (Strasbourg, France)       </w:t>
      </w:r>
    </w:p>
    <w:p w14:paraId="360ACA90" w14:textId="4E3DF6A9" w:rsidR="00C84EDD" w:rsidRPr="009B4B58" w:rsidRDefault="00C84EDD" w:rsidP="004A0CA4">
      <w:pPr>
        <w:tabs>
          <w:tab w:val="left" w:pos="426"/>
        </w:tabs>
        <w:spacing w:after="60" w:line="240" w:lineRule="auto"/>
        <w:ind w:left="426" w:hanging="567"/>
        <w:rPr>
          <w:lang w:val="en-GB"/>
        </w:rPr>
      </w:pPr>
      <w:r w:rsidRPr="009B4B58">
        <w:rPr>
          <w:lang w:val="en-GB"/>
        </w:rPr>
        <w:t xml:space="preserve">10.  </w:t>
      </w:r>
      <w:r w:rsidR="004A0CA4" w:rsidRPr="009B4B58">
        <w:rPr>
          <w:lang w:val="en-GB"/>
        </w:rPr>
        <w:tab/>
      </w:r>
      <w:r w:rsidRPr="009B4B58">
        <w:rPr>
          <w:b/>
          <w:bCs/>
          <w:lang w:val="en-GB"/>
        </w:rPr>
        <w:t>CETICA</w:t>
      </w:r>
      <w:r w:rsidR="009B4B58" w:rsidRPr="009B4B58">
        <w:rPr>
          <w:b/>
          <w:bCs/>
          <w:lang w:val="en-GB"/>
        </w:rPr>
        <w:t xml:space="preserve"> </w:t>
      </w:r>
      <w:r w:rsidR="009B4B58" w:rsidRPr="009B4B58">
        <w:rPr>
          <w:lang w:val="en-GB"/>
        </w:rPr>
        <w:t xml:space="preserve">– </w:t>
      </w:r>
      <w:r w:rsidRPr="009B4B58">
        <w:rPr>
          <w:lang w:val="en-GB"/>
        </w:rPr>
        <w:t>Euro-Mediterranean Centre for Technologies of Information and Communications Applied to Risk Management (Draguignan, France)</w:t>
      </w:r>
    </w:p>
    <w:p w14:paraId="5709C536" w14:textId="7F4D4FB4" w:rsidR="00C84EDD" w:rsidRPr="009B4B58" w:rsidRDefault="00C84EDD" w:rsidP="004A0CA4">
      <w:pPr>
        <w:tabs>
          <w:tab w:val="left" w:pos="426"/>
        </w:tabs>
        <w:spacing w:after="60" w:line="240" w:lineRule="auto"/>
        <w:ind w:left="426" w:hanging="567"/>
        <w:rPr>
          <w:lang w:val="en-GB"/>
        </w:rPr>
      </w:pPr>
      <w:r w:rsidRPr="009B4B58">
        <w:rPr>
          <w:lang w:val="en-GB"/>
        </w:rPr>
        <w:t xml:space="preserve">11.  </w:t>
      </w:r>
      <w:r w:rsidR="004A0CA4" w:rsidRPr="009B4B58">
        <w:rPr>
          <w:lang w:val="en-GB"/>
        </w:rPr>
        <w:tab/>
      </w:r>
      <w:r w:rsidRPr="009B4B58">
        <w:rPr>
          <w:b/>
          <w:bCs/>
          <w:lang w:val="en-GB"/>
        </w:rPr>
        <w:t>GHHD</w:t>
      </w:r>
      <w:r w:rsidR="00850AC6" w:rsidRPr="009B4B58">
        <w:rPr>
          <w:lang w:val="en-GB"/>
        </w:rPr>
        <w:t xml:space="preserve"> – </w:t>
      </w:r>
      <w:r w:rsidRPr="009B4B58">
        <w:rPr>
          <w:lang w:val="en-GB"/>
        </w:rPr>
        <w:t>European Centre on Geodynamical Risks of High Dams (Tbilisi, Georgia)</w:t>
      </w:r>
    </w:p>
    <w:p w14:paraId="2CDF8CB9" w14:textId="455EFC05" w:rsidR="00C84EDD" w:rsidRPr="009B4B58" w:rsidRDefault="00C84EDD" w:rsidP="004A0CA4">
      <w:pPr>
        <w:tabs>
          <w:tab w:val="left" w:pos="426"/>
        </w:tabs>
        <w:spacing w:after="60" w:line="240" w:lineRule="auto"/>
        <w:ind w:left="426" w:hanging="567"/>
        <w:rPr>
          <w:lang w:val="en-GB"/>
        </w:rPr>
      </w:pPr>
      <w:r w:rsidRPr="009B4B58">
        <w:rPr>
          <w:lang w:val="en-GB"/>
        </w:rPr>
        <w:t xml:space="preserve">12.  </w:t>
      </w:r>
      <w:r w:rsidR="004A0CA4" w:rsidRPr="009B4B58">
        <w:rPr>
          <w:lang w:val="en-GB"/>
        </w:rPr>
        <w:tab/>
      </w:r>
      <w:r w:rsidRPr="009B4B58">
        <w:rPr>
          <w:b/>
          <w:bCs/>
          <w:lang w:val="en-GB"/>
        </w:rPr>
        <w:t>ECPFE</w:t>
      </w:r>
      <w:r w:rsidR="00850AC6" w:rsidRPr="009B4B58">
        <w:rPr>
          <w:lang w:val="en-GB"/>
        </w:rPr>
        <w:t xml:space="preserve"> – </w:t>
      </w:r>
      <w:r w:rsidRPr="009B4B58">
        <w:rPr>
          <w:lang w:val="en-GB"/>
        </w:rPr>
        <w:t>European Centre on Prevention and Forecasting of Earthquakes (Athens, Greece)</w:t>
      </w:r>
    </w:p>
    <w:p w14:paraId="17266276" w14:textId="4DC7EB91" w:rsidR="00C84EDD" w:rsidRPr="009B4B58" w:rsidRDefault="00C84EDD" w:rsidP="004A0CA4">
      <w:pPr>
        <w:tabs>
          <w:tab w:val="left" w:pos="426"/>
        </w:tabs>
        <w:spacing w:after="60" w:line="240" w:lineRule="auto"/>
        <w:ind w:left="426" w:hanging="567"/>
        <w:rPr>
          <w:lang w:val="en-GB"/>
        </w:rPr>
      </w:pPr>
      <w:r w:rsidRPr="009B4B58">
        <w:rPr>
          <w:lang w:val="en-GB"/>
        </w:rPr>
        <w:t xml:space="preserve">13.  </w:t>
      </w:r>
      <w:r w:rsidR="004A0CA4" w:rsidRPr="009B4B58">
        <w:rPr>
          <w:lang w:val="en-GB"/>
        </w:rPr>
        <w:tab/>
      </w:r>
      <w:r w:rsidRPr="009B4B58">
        <w:rPr>
          <w:b/>
          <w:bCs/>
          <w:lang w:val="en-GB"/>
        </w:rPr>
        <w:t>ECFF</w:t>
      </w:r>
      <w:r w:rsidR="00850AC6" w:rsidRPr="009B4B58">
        <w:rPr>
          <w:lang w:val="en-GB"/>
        </w:rPr>
        <w:t xml:space="preserve"> –</w:t>
      </w:r>
      <w:r w:rsidR="00850AC6" w:rsidRPr="009B4B58">
        <w:rPr>
          <w:b/>
          <w:bCs/>
          <w:lang w:val="en-GB"/>
        </w:rPr>
        <w:t xml:space="preserve"> </w:t>
      </w:r>
      <w:r w:rsidRPr="009B4B58">
        <w:rPr>
          <w:lang w:val="en-GB"/>
        </w:rPr>
        <w:t>European Centre on Forest Fires (Athens, Greece)</w:t>
      </w:r>
    </w:p>
    <w:p w14:paraId="369C06C2" w14:textId="1745047F" w:rsidR="00C84EDD" w:rsidRPr="009B4B58" w:rsidRDefault="00C84EDD" w:rsidP="004A0CA4">
      <w:pPr>
        <w:tabs>
          <w:tab w:val="left" w:pos="426"/>
        </w:tabs>
        <w:spacing w:after="60" w:line="240" w:lineRule="auto"/>
        <w:ind w:left="426" w:hanging="567"/>
        <w:rPr>
          <w:lang w:val="en-GB"/>
        </w:rPr>
      </w:pPr>
      <w:r w:rsidRPr="009B4B58">
        <w:rPr>
          <w:lang w:val="en-GB"/>
        </w:rPr>
        <w:t xml:space="preserve">14.  </w:t>
      </w:r>
      <w:r w:rsidR="004A0CA4" w:rsidRPr="009B4B58">
        <w:rPr>
          <w:lang w:val="en-GB"/>
        </w:rPr>
        <w:tab/>
      </w:r>
      <w:r w:rsidRPr="009B4B58">
        <w:rPr>
          <w:b/>
          <w:bCs/>
          <w:lang w:val="en-GB"/>
        </w:rPr>
        <w:t>CUEBC</w:t>
      </w:r>
      <w:r w:rsidR="00850AC6" w:rsidRPr="009B4B58">
        <w:rPr>
          <w:lang w:val="en-GB"/>
        </w:rPr>
        <w:t xml:space="preserve"> – </w:t>
      </w:r>
      <w:r w:rsidRPr="009B4B58">
        <w:rPr>
          <w:lang w:val="en-GB"/>
        </w:rPr>
        <w:t>European University Centre for the Cultural Heritage (Ravello, Italy)</w:t>
      </w:r>
    </w:p>
    <w:p w14:paraId="1ABC1BAB" w14:textId="7C722542" w:rsidR="00C84EDD" w:rsidRPr="009B4B58" w:rsidRDefault="00C84EDD" w:rsidP="004A0CA4">
      <w:pPr>
        <w:tabs>
          <w:tab w:val="left" w:pos="426"/>
        </w:tabs>
        <w:spacing w:after="60" w:line="240" w:lineRule="auto"/>
        <w:ind w:left="426" w:hanging="567"/>
        <w:rPr>
          <w:lang w:val="en-GB"/>
        </w:rPr>
      </w:pPr>
      <w:r w:rsidRPr="009B4B58">
        <w:rPr>
          <w:lang w:val="en-GB"/>
        </w:rPr>
        <w:t xml:space="preserve">15.  </w:t>
      </w:r>
      <w:r w:rsidR="004A0CA4" w:rsidRPr="009B4B58">
        <w:rPr>
          <w:lang w:val="en-GB"/>
        </w:rPr>
        <w:tab/>
      </w:r>
      <w:r w:rsidRPr="009B4B58">
        <w:rPr>
          <w:b/>
          <w:bCs/>
          <w:lang w:val="en-GB"/>
        </w:rPr>
        <w:t>ECGS</w:t>
      </w:r>
      <w:r w:rsidR="00850AC6" w:rsidRPr="009B4B58">
        <w:rPr>
          <w:lang w:val="en-GB"/>
        </w:rPr>
        <w:t xml:space="preserve"> – </w:t>
      </w:r>
      <w:r w:rsidRPr="009B4B58">
        <w:rPr>
          <w:lang w:val="en-GB"/>
        </w:rPr>
        <w:t>European Centre for Geodynamics and Seismology (Walferdange, Luxemburg)</w:t>
      </w:r>
    </w:p>
    <w:p w14:paraId="3D7E24C5" w14:textId="78B2EE72" w:rsidR="00C84EDD" w:rsidRPr="009B4B58" w:rsidRDefault="00C84EDD" w:rsidP="004A0CA4">
      <w:pPr>
        <w:tabs>
          <w:tab w:val="left" w:pos="426"/>
        </w:tabs>
        <w:spacing w:after="60" w:line="240" w:lineRule="auto"/>
        <w:ind w:left="426" w:hanging="567"/>
        <w:rPr>
          <w:lang w:val="en-GB"/>
        </w:rPr>
      </w:pPr>
      <w:r w:rsidRPr="009B4B58">
        <w:rPr>
          <w:lang w:val="en-GB"/>
        </w:rPr>
        <w:t xml:space="preserve">16.  </w:t>
      </w:r>
      <w:r w:rsidR="004A0CA4" w:rsidRPr="009B4B58">
        <w:rPr>
          <w:lang w:val="en-GB"/>
        </w:rPr>
        <w:tab/>
      </w:r>
      <w:r w:rsidRPr="009B4B58">
        <w:rPr>
          <w:b/>
          <w:bCs/>
          <w:lang w:val="en-GB"/>
        </w:rPr>
        <w:t>ICoD</w:t>
      </w:r>
      <w:r w:rsidR="00850AC6" w:rsidRPr="009B4B58">
        <w:rPr>
          <w:lang w:val="en-GB"/>
        </w:rPr>
        <w:t xml:space="preserve"> – </w:t>
      </w:r>
      <w:r w:rsidRPr="009B4B58">
        <w:rPr>
          <w:lang w:val="en-GB"/>
        </w:rPr>
        <w:t>Euro-Mediterranean  Centre on Insular Coastal Dynamics (Valletta, Malta)</w:t>
      </w:r>
    </w:p>
    <w:p w14:paraId="2B557581" w14:textId="7411DEDE" w:rsidR="00C84EDD" w:rsidRPr="009B4B58" w:rsidRDefault="00C84EDD" w:rsidP="004A0CA4">
      <w:pPr>
        <w:tabs>
          <w:tab w:val="left" w:pos="426"/>
        </w:tabs>
        <w:spacing w:after="60" w:line="240" w:lineRule="auto"/>
        <w:ind w:left="426" w:hanging="567"/>
        <w:rPr>
          <w:lang w:val="en-GB"/>
        </w:rPr>
      </w:pPr>
      <w:r w:rsidRPr="009B4B58">
        <w:rPr>
          <w:lang w:val="en-GB"/>
        </w:rPr>
        <w:t xml:space="preserve">17.  </w:t>
      </w:r>
      <w:r w:rsidR="004A0CA4" w:rsidRPr="009B4B58">
        <w:rPr>
          <w:lang w:val="en-GB"/>
        </w:rPr>
        <w:tab/>
      </w:r>
      <w:r w:rsidRPr="009B4B58">
        <w:rPr>
          <w:b/>
          <w:bCs/>
          <w:lang w:val="en-GB"/>
        </w:rPr>
        <w:t>ECMNR</w:t>
      </w:r>
      <w:r w:rsidR="00850AC6" w:rsidRPr="009B4B58">
        <w:rPr>
          <w:lang w:val="en-GB"/>
        </w:rPr>
        <w:t xml:space="preserve"> –</w:t>
      </w:r>
      <w:r w:rsidR="00850AC6" w:rsidRPr="009B4B58">
        <w:rPr>
          <w:b/>
          <w:bCs/>
          <w:lang w:val="en-GB"/>
        </w:rPr>
        <w:t xml:space="preserve"> </w:t>
      </w:r>
      <w:r w:rsidRPr="009B4B58">
        <w:rPr>
          <w:lang w:val="en-GB"/>
        </w:rPr>
        <w:t>European Centre for Mitigation of Natural Risks (Chisinau, Moldova)</w:t>
      </w:r>
    </w:p>
    <w:p w14:paraId="0889AAD6" w14:textId="2E998EB1" w:rsidR="00C84EDD" w:rsidRPr="009B4B58" w:rsidRDefault="00C84EDD" w:rsidP="004A0CA4">
      <w:pPr>
        <w:tabs>
          <w:tab w:val="left" w:pos="426"/>
        </w:tabs>
        <w:spacing w:after="60" w:line="240" w:lineRule="auto"/>
        <w:ind w:left="426" w:hanging="567"/>
        <w:rPr>
          <w:lang w:val="en-GB"/>
        </w:rPr>
      </w:pPr>
      <w:r w:rsidRPr="009B4B58">
        <w:rPr>
          <w:lang w:val="en-GB"/>
        </w:rPr>
        <w:t xml:space="preserve">18.  </w:t>
      </w:r>
      <w:r w:rsidR="004A0CA4" w:rsidRPr="009B4B58">
        <w:rPr>
          <w:lang w:val="en-GB"/>
        </w:rPr>
        <w:tab/>
      </w:r>
      <w:r w:rsidRPr="009B4B58">
        <w:rPr>
          <w:b/>
          <w:bCs/>
          <w:lang w:val="en-GB"/>
        </w:rPr>
        <w:t>CEPRIS</w:t>
      </w:r>
      <w:r w:rsidR="00850AC6" w:rsidRPr="009B4B58">
        <w:rPr>
          <w:lang w:val="en-GB"/>
        </w:rPr>
        <w:t xml:space="preserve"> – </w:t>
      </w:r>
      <w:r w:rsidRPr="009B4B58">
        <w:rPr>
          <w:lang w:val="en-GB"/>
        </w:rPr>
        <w:t>Euro-Mediterranean Centre for Evaluation and Prevention of Seismic Risk (Rabat, Morocco)</w:t>
      </w:r>
    </w:p>
    <w:p w14:paraId="246B8678" w14:textId="3FE7FC21" w:rsidR="00C84EDD" w:rsidRPr="009B4B58" w:rsidRDefault="00C84EDD" w:rsidP="004A0CA4">
      <w:pPr>
        <w:tabs>
          <w:tab w:val="left" w:pos="426"/>
        </w:tabs>
        <w:spacing w:after="60" w:line="240" w:lineRule="auto"/>
        <w:ind w:left="426" w:hanging="567"/>
        <w:rPr>
          <w:lang w:val="fr-FR"/>
        </w:rPr>
      </w:pPr>
      <w:r w:rsidRPr="009B4B58">
        <w:rPr>
          <w:lang w:val="fr-FR"/>
        </w:rPr>
        <w:t xml:space="preserve">19.  </w:t>
      </w:r>
      <w:r w:rsidR="004A0CA4" w:rsidRPr="009B4B58">
        <w:rPr>
          <w:lang w:val="fr-FR"/>
        </w:rPr>
        <w:tab/>
      </w:r>
      <w:r w:rsidRPr="009B4B58">
        <w:rPr>
          <w:b/>
          <w:bCs/>
          <w:lang w:val="fr-FR"/>
        </w:rPr>
        <w:t>CERU</w:t>
      </w:r>
      <w:r w:rsidR="00850AC6" w:rsidRPr="009B4B58">
        <w:rPr>
          <w:lang w:val="fr-FR"/>
        </w:rPr>
        <w:t xml:space="preserve"> – </w:t>
      </w:r>
      <w:r w:rsidRPr="009B4B58">
        <w:rPr>
          <w:lang w:val="fr-FR"/>
        </w:rPr>
        <w:t>European Centre on Urban Risks (Lisbon, Portugal)</w:t>
      </w:r>
    </w:p>
    <w:p w14:paraId="4C12824F" w14:textId="701AE15E" w:rsidR="00C84EDD" w:rsidRPr="009B4B58" w:rsidRDefault="00C84EDD" w:rsidP="004A0CA4">
      <w:pPr>
        <w:tabs>
          <w:tab w:val="left" w:pos="426"/>
        </w:tabs>
        <w:spacing w:after="60" w:line="240" w:lineRule="auto"/>
        <w:ind w:left="426" w:hanging="567"/>
        <w:rPr>
          <w:lang w:val="en-GB"/>
        </w:rPr>
      </w:pPr>
      <w:r w:rsidRPr="009B4B58">
        <w:rPr>
          <w:lang w:val="en-GB"/>
        </w:rPr>
        <w:t xml:space="preserve">20.  </w:t>
      </w:r>
      <w:r w:rsidR="004A0CA4" w:rsidRPr="009B4B58">
        <w:rPr>
          <w:lang w:val="en-GB"/>
        </w:rPr>
        <w:tab/>
      </w:r>
      <w:r w:rsidRPr="009B4B58">
        <w:rPr>
          <w:b/>
          <w:bCs/>
          <w:lang w:val="en-GB"/>
        </w:rPr>
        <w:t>ECBR</w:t>
      </w:r>
      <w:r w:rsidR="00850AC6" w:rsidRPr="009B4B58">
        <w:rPr>
          <w:b/>
          <w:bCs/>
          <w:lang w:val="en-GB"/>
        </w:rPr>
        <w:t xml:space="preserve"> </w:t>
      </w:r>
      <w:r w:rsidR="00850AC6" w:rsidRPr="009B4B58">
        <w:rPr>
          <w:lang w:val="en-GB"/>
        </w:rPr>
        <w:t>–</w:t>
      </w:r>
      <w:r w:rsidR="00850AC6" w:rsidRPr="009B4B58">
        <w:rPr>
          <w:b/>
          <w:bCs/>
          <w:lang w:val="en-GB"/>
        </w:rPr>
        <w:t xml:space="preserve"> </w:t>
      </w:r>
      <w:r w:rsidRPr="009B4B58">
        <w:rPr>
          <w:lang w:val="en-GB"/>
        </w:rPr>
        <w:t>European Centre for Rehabilitation of Buildings (Bucharest, Romania)</w:t>
      </w:r>
    </w:p>
    <w:p w14:paraId="7D1DECEF" w14:textId="30B38580" w:rsidR="00C84EDD" w:rsidRPr="009B4B58" w:rsidRDefault="00C84EDD" w:rsidP="004A0CA4">
      <w:pPr>
        <w:tabs>
          <w:tab w:val="left" w:pos="426"/>
        </w:tabs>
        <w:spacing w:after="60" w:line="240" w:lineRule="auto"/>
        <w:ind w:left="426" w:hanging="567"/>
        <w:rPr>
          <w:lang w:val="en-GB"/>
        </w:rPr>
      </w:pPr>
      <w:r w:rsidRPr="009B4B58">
        <w:rPr>
          <w:lang w:val="en-GB"/>
        </w:rPr>
        <w:t xml:space="preserve">21.  </w:t>
      </w:r>
      <w:r w:rsidR="004A0CA4" w:rsidRPr="009B4B58">
        <w:rPr>
          <w:lang w:val="en-GB"/>
        </w:rPr>
        <w:tab/>
      </w:r>
      <w:r w:rsidRPr="009B4B58">
        <w:rPr>
          <w:b/>
          <w:bCs/>
          <w:lang w:val="en-GB"/>
        </w:rPr>
        <w:t>ECNTRM</w:t>
      </w:r>
      <w:r w:rsidR="00850AC6" w:rsidRPr="009B4B58">
        <w:rPr>
          <w:b/>
          <w:bCs/>
          <w:lang w:val="en-GB"/>
        </w:rPr>
        <w:t xml:space="preserve"> </w:t>
      </w:r>
      <w:r w:rsidR="00850AC6" w:rsidRPr="009B4B58">
        <w:rPr>
          <w:lang w:val="en-GB"/>
        </w:rPr>
        <w:t>–</w:t>
      </w:r>
      <w:r w:rsidR="00850AC6" w:rsidRPr="009B4B58">
        <w:rPr>
          <w:b/>
          <w:bCs/>
          <w:lang w:val="en-GB"/>
        </w:rPr>
        <w:t xml:space="preserve"> </w:t>
      </w:r>
      <w:r w:rsidRPr="009B4B58">
        <w:rPr>
          <w:lang w:val="en-GB"/>
        </w:rPr>
        <w:t>European Centre of New Technologies for the Management of Natural and Technological Major Hazards (Moscow, Russian Federation)</w:t>
      </w:r>
    </w:p>
    <w:p w14:paraId="00177DAC" w14:textId="4F086ED4" w:rsidR="00C84EDD" w:rsidRPr="009B4B58" w:rsidRDefault="00C84EDD" w:rsidP="004A0CA4">
      <w:pPr>
        <w:tabs>
          <w:tab w:val="left" w:pos="426"/>
        </w:tabs>
        <w:spacing w:after="60" w:line="240" w:lineRule="auto"/>
        <w:ind w:left="426" w:hanging="567"/>
        <w:rPr>
          <w:lang w:val="en-GB"/>
        </w:rPr>
      </w:pPr>
      <w:r w:rsidRPr="009B4B58">
        <w:rPr>
          <w:lang w:val="en-GB"/>
        </w:rPr>
        <w:t xml:space="preserve">22.  </w:t>
      </w:r>
      <w:r w:rsidR="004A0CA4" w:rsidRPr="009B4B58">
        <w:rPr>
          <w:lang w:val="en-GB"/>
        </w:rPr>
        <w:tab/>
      </w:r>
      <w:r w:rsidRPr="009B4B58">
        <w:rPr>
          <w:b/>
          <w:bCs/>
          <w:lang w:val="en-GB"/>
        </w:rPr>
        <w:t>CEMEC</w:t>
      </w:r>
      <w:r w:rsidR="00850AC6" w:rsidRPr="009B4B58">
        <w:rPr>
          <w:lang w:val="en-GB"/>
        </w:rPr>
        <w:t xml:space="preserve"> – </w:t>
      </w:r>
      <w:r w:rsidRPr="009B4B58">
        <w:rPr>
          <w:lang w:val="en-GB"/>
        </w:rPr>
        <w:t>European Centre for Disaster Medicine (San-Marino)</w:t>
      </w:r>
    </w:p>
    <w:p w14:paraId="203CD1E1" w14:textId="66E98416" w:rsidR="00C84EDD" w:rsidRPr="009B4B58" w:rsidRDefault="00C84EDD" w:rsidP="004A0CA4">
      <w:pPr>
        <w:tabs>
          <w:tab w:val="left" w:pos="426"/>
        </w:tabs>
        <w:spacing w:after="60" w:line="240" w:lineRule="auto"/>
        <w:ind w:left="426" w:hanging="567"/>
        <w:rPr>
          <w:lang w:val="en-GB"/>
        </w:rPr>
      </w:pPr>
      <w:r w:rsidRPr="009B4B58">
        <w:rPr>
          <w:lang w:val="en-GB"/>
        </w:rPr>
        <w:t xml:space="preserve">23.  </w:t>
      </w:r>
      <w:r w:rsidR="004A0CA4" w:rsidRPr="009B4B58">
        <w:rPr>
          <w:lang w:val="en-GB"/>
        </w:rPr>
        <w:tab/>
      </w:r>
      <w:r w:rsidRPr="009B4B58">
        <w:rPr>
          <w:b/>
          <w:bCs/>
          <w:lang w:val="en-GB"/>
        </w:rPr>
        <w:t>CEISE</w:t>
      </w:r>
      <w:r w:rsidR="009B4B58" w:rsidRPr="009B4B58">
        <w:rPr>
          <w:b/>
          <w:bCs/>
          <w:lang w:val="en-GB"/>
        </w:rPr>
        <w:t xml:space="preserve"> </w:t>
      </w:r>
      <w:r w:rsidR="009B4B58" w:rsidRPr="009B4B58">
        <w:rPr>
          <w:lang w:val="en-GB"/>
        </w:rPr>
        <w:t xml:space="preserve">– </w:t>
      </w:r>
      <w:r w:rsidRPr="009B4B58">
        <w:rPr>
          <w:lang w:val="en-GB"/>
        </w:rPr>
        <w:t>European Centre for Social Research  in Emergency Situations (Madrid, Spain)</w:t>
      </w:r>
    </w:p>
    <w:p w14:paraId="584C6687" w14:textId="5FF0E0FB" w:rsidR="00C84EDD" w:rsidRPr="009B4B58" w:rsidRDefault="00C84EDD" w:rsidP="004A0CA4">
      <w:pPr>
        <w:tabs>
          <w:tab w:val="left" w:pos="426"/>
        </w:tabs>
        <w:spacing w:after="60" w:line="240" w:lineRule="auto"/>
        <w:ind w:left="426" w:hanging="567"/>
        <w:rPr>
          <w:lang w:val="en-GB"/>
        </w:rPr>
      </w:pPr>
      <w:r w:rsidRPr="009B4B58">
        <w:rPr>
          <w:lang w:val="en-GB"/>
        </w:rPr>
        <w:t xml:space="preserve">24.  </w:t>
      </w:r>
      <w:r w:rsidR="004A0CA4" w:rsidRPr="009B4B58">
        <w:rPr>
          <w:lang w:val="en-GB"/>
        </w:rPr>
        <w:tab/>
      </w:r>
      <w:r w:rsidRPr="009B4B58">
        <w:rPr>
          <w:b/>
          <w:bCs/>
          <w:lang w:val="en-GB"/>
        </w:rPr>
        <w:t>AFEM</w:t>
      </w:r>
      <w:r w:rsidR="009B4B58" w:rsidRPr="009B4B58">
        <w:rPr>
          <w:b/>
          <w:bCs/>
          <w:lang w:val="en-GB"/>
        </w:rPr>
        <w:t xml:space="preserve"> </w:t>
      </w:r>
      <w:r w:rsidR="009B4B58" w:rsidRPr="009B4B58">
        <w:rPr>
          <w:lang w:val="en-GB"/>
        </w:rPr>
        <w:t xml:space="preserve">– </w:t>
      </w:r>
      <w:r w:rsidRPr="009B4B58">
        <w:rPr>
          <w:lang w:val="en-GB"/>
        </w:rPr>
        <w:t>European Natural Disasters Training Centre (Ankara, Turkey)</w:t>
      </w:r>
    </w:p>
    <w:p w14:paraId="06061C98" w14:textId="4F2719D7" w:rsidR="00C84EDD" w:rsidRPr="009B4B58" w:rsidRDefault="00C84EDD" w:rsidP="004A0CA4">
      <w:pPr>
        <w:tabs>
          <w:tab w:val="left" w:pos="426"/>
        </w:tabs>
        <w:spacing w:after="60" w:line="240" w:lineRule="auto"/>
        <w:ind w:left="426" w:hanging="567"/>
        <w:rPr>
          <w:lang w:val="en-GB"/>
        </w:rPr>
      </w:pPr>
      <w:r w:rsidRPr="009B4B58">
        <w:rPr>
          <w:lang w:val="en-GB"/>
        </w:rPr>
        <w:t xml:space="preserve">25.  </w:t>
      </w:r>
      <w:r w:rsidR="004A0CA4" w:rsidRPr="009B4B58">
        <w:rPr>
          <w:lang w:val="en-GB"/>
        </w:rPr>
        <w:tab/>
      </w:r>
      <w:r w:rsidRPr="009B4B58">
        <w:rPr>
          <w:b/>
          <w:bCs/>
          <w:lang w:val="en-GB"/>
        </w:rPr>
        <w:t>TESEC</w:t>
      </w:r>
      <w:r w:rsidR="009B4B58" w:rsidRPr="009B4B58">
        <w:rPr>
          <w:b/>
          <w:bCs/>
          <w:lang w:val="en-GB"/>
        </w:rPr>
        <w:t xml:space="preserve"> </w:t>
      </w:r>
      <w:r w:rsidR="009B4B58" w:rsidRPr="009B4B58">
        <w:rPr>
          <w:lang w:val="en-GB"/>
        </w:rPr>
        <w:t xml:space="preserve">– </w:t>
      </w:r>
      <w:r w:rsidRPr="009B4B58">
        <w:rPr>
          <w:lang w:val="en-GB"/>
        </w:rPr>
        <w:t>European Centre of  Technological Safety,  (Kiev, Ukraine)</w:t>
      </w:r>
    </w:p>
    <w:p w14:paraId="338394A3" w14:textId="05889030" w:rsidR="00C84EDD" w:rsidRPr="009B4B58" w:rsidRDefault="00C84EDD" w:rsidP="004A0CA4">
      <w:pPr>
        <w:tabs>
          <w:tab w:val="left" w:pos="426"/>
        </w:tabs>
        <w:spacing w:after="60" w:line="240" w:lineRule="auto"/>
        <w:ind w:left="426" w:hanging="567"/>
        <w:rPr>
          <w:lang w:val="en-GB"/>
        </w:rPr>
      </w:pPr>
      <w:r w:rsidRPr="009B4B58">
        <w:rPr>
          <w:lang w:val="en-GB"/>
        </w:rPr>
        <w:t xml:space="preserve">26.  </w:t>
      </w:r>
      <w:r w:rsidR="004A0CA4" w:rsidRPr="009B4B58">
        <w:rPr>
          <w:lang w:val="en-GB"/>
        </w:rPr>
        <w:tab/>
      </w:r>
      <w:r w:rsidRPr="009B4B58">
        <w:rPr>
          <w:b/>
          <w:bCs/>
          <w:lang w:val="en-GB"/>
        </w:rPr>
        <w:t xml:space="preserve">GFMC </w:t>
      </w:r>
      <w:r w:rsidRPr="009B4B58">
        <w:rPr>
          <w:lang w:val="en-GB"/>
        </w:rPr>
        <w:t>– The Global Fire Monitoring Centre (Freiburg, Germany)</w:t>
      </w:r>
    </w:p>
    <w:sectPr w:rsidR="00C84EDD" w:rsidRPr="009B4B58" w:rsidSect="0022366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AF78FC" w14:textId="77777777" w:rsidR="00FE1EF6" w:rsidRDefault="00FE1EF6" w:rsidP="00C958E6">
      <w:pPr>
        <w:spacing w:after="0" w:line="240" w:lineRule="auto"/>
      </w:pPr>
      <w:r>
        <w:separator/>
      </w:r>
    </w:p>
  </w:endnote>
  <w:endnote w:type="continuationSeparator" w:id="0">
    <w:p w14:paraId="494B9BEC" w14:textId="77777777" w:rsidR="00FE1EF6" w:rsidRDefault="00FE1EF6" w:rsidP="00C958E6">
      <w:pPr>
        <w:spacing w:after="0" w:line="240" w:lineRule="auto"/>
      </w:pPr>
      <w:r>
        <w:continuationSeparator/>
      </w:r>
    </w:p>
  </w:endnote>
  <w:endnote w:id="1">
    <w:p w14:paraId="63AF9DCD" w14:textId="7B2362F8" w:rsidR="00BB00A0" w:rsidRPr="001E11C2" w:rsidRDefault="00BB00A0" w:rsidP="00BB00A0">
      <w:pPr>
        <w:pStyle w:val="EndnoteText"/>
        <w:ind w:left="284" w:hanging="284"/>
        <w:rPr>
          <w:lang w:val="en-GB"/>
        </w:rPr>
      </w:pPr>
      <w:r>
        <w:rPr>
          <w:rStyle w:val="EndnoteReference"/>
        </w:rPr>
        <w:endnoteRef/>
      </w:r>
      <w:r w:rsidRPr="001354AC">
        <w:rPr>
          <w:lang w:val="en-GB"/>
        </w:rPr>
        <w:t xml:space="preserve"> </w:t>
      </w:r>
      <w:r>
        <w:rPr>
          <w:lang w:val="en-GB"/>
        </w:rPr>
        <w:tab/>
      </w:r>
      <w:r w:rsidRPr="001354AC">
        <w:rPr>
          <w:lang w:val="en-GB"/>
        </w:rPr>
        <w:t>Cancels and replaces</w:t>
      </w:r>
      <w:r w:rsidRPr="001E11C2">
        <w:rPr>
          <w:sz w:val="22"/>
          <w:szCs w:val="22"/>
          <w:lang w:val="en-GB"/>
        </w:rPr>
        <w:t xml:space="preserve"> </w:t>
      </w:r>
      <w:r w:rsidRPr="001E11C2">
        <w:rPr>
          <w:lang w:val="en-GB"/>
        </w:rPr>
        <w:t xml:space="preserve">former </w:t>
      </w:r>
      <w:r w:rsidRPr="001354AC">
        <w:rPr>
          <w:lang w:val="en-GB"/>
        </w:rPr>
        <w:t>R</w:t>
      </w:r>
      <w:r>
        <w:rPr>
          <w:lang w:val="en-GB"/>
        </w:rPr>
        <w:t xml:space="preserve">ules of Procedure of the Committee of Permanent Correspondents of the </w:t>
      </w:r>
      <w:r w:rsidRPr="001354AC">
        <w:rPr>
          <w:lang w:val="en-GB"/>
        </w:rPr>
        <w:t>EUR-OPA M</w:t>
      </w:r>
      <w:r>
        <w:rPr>
          <w:lang w:val="en-GB"/>
        </w:rPr>
        <w:t>ajor Hazards Agreement (</w:t>
      </w:r>
      <w:r w:rsidRPr="001E11C2">
        <w:rPr>
          <w:lang w:val="en-GB"/>
        </w:rPr>
        <w:t>document</w:t>
      </w:r>
      <w:r>
        <w:rPr>
          <w:lang w:val="en-GB"/>
        </w:rPr>
        <w:t xml:space="preserve"> </w:t>
      </w:r>
      <w:hyperlink r:id="rId1" w:history="1">
        <w:r w:rsidRPr="00233EE1">
          <w:rPr>
            <w:rStyle w:val="Hyperlink"/>
            <w:lang w:val="en-GB"/>
          </w:rPr>
          <w:t>AP/CAT (2007) 32</w:t>
        </w:r>
      </w:hyperlink>
      <w:r>
        <w:rPr>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B2F4D" w14:textId="77777777" w:rsidR="00416E8D" w:rsidRDefault="00416E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4890680"/>
      <w:docPartObj>
        <w:docPartGallery w:val="Page Numbers (Bottom of Page)"/>
        <w:docPartUnique/>
      </w:docPartObj>
    </w:sdtPr>
    <w:sdtEndPr/>
    <w:sdtContent>
      <w:p w14:paraId="67615899" w14:textId="7A73883A" w:rsidR="00223666" w:rsidRDefault="00223666">
        <w:pPr>
          <w:pStyle w:val="Footer"/>
          <w:jc w:val="center"/>
        </w:pPr>
        <w:r>
          <w:fldChar w:fldCharType="begin"/>
        </w:r>
        <w:r>
          <w:instrText>PAGE   \* MERGEFORMAT</w:instrText>
        </w:r>
        <w:r>
          <w:fldChar w:fldCharType="separate"/>
        </w:r>
        <w:r>
          <w:rPr>
            <w:lang w:val="fr-FR"/>
          </w:rPr>
          <w:t>2</w:t>
        </w:r>
        <w:r>
          <w:fldChar w:fldCharType="end"/>
        </w:r>
      </w:p>
    </w:sdtContent>
  </w:sdt>
  <w:p w14:paraId="0C2A971D" w14:textId="77777777" w:rsidR="002D5DAE" w:rsidRDefault="002D5D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9372986"/>
      <w:docPartObj>
        <w:docPartGallery w:val="Page Numbers (Bottom of Page)"/>
        <w:docPartUnique/>
      </w:docPartObj>
    </w:sdtPr>
    <w:sdtEndPr/>
    <w:sdtContent>
      <w:p w14:paraId="4D525A70" w14:textId="092DCCC9" w:rsidR="00223666" w:rsidRDefault="00223666" w:rsidP="00223666">
        <w:pPr>
          <w:pStyle w:val="Footer"/>
          <w:jc w:val="center"/>
        </w:pPr>
        <w:r w:rsidRPr="00BE088C">
          <w:rPr>
            <w:rFonts w:cs="Arial"/>
            <w:i/>
            <w:sz w:val="16"/>
            <w:szCs w:val="16"/>
            <w:lang w:val="en-US"/>
          </w:rPr>
          <w:t xml:space="preserve">Document prepared by the Secretariat </w:t>
        </w:r>
        <w:r>
          <w:rPr>
            <w:rFonts w:cs="Arial"/>
            <w:i/>
            <w:sz w:val="16"/>
            <w:szCs w:val="16"/>
            <w:lang w:val="en-US"/>
          </w:rPr>
          <w:br/>
        </w:r>
        <w:r w:rsidRPr="00BE088C">
          <w:rPr>
            <w:rFonts w:cs="Arial"/>
            <w:i/>
            <w:sz w:val="16"/>
            <w:szCs w:val="16"/>
            <w:lang w:val="en-US"/>
          </w:rPr>
          <w:t xml:space="preserve">of the EUR-OPA Major Hazards Agreement </w:t>
        </w:r>
        <w:r w:rsidRPr="00BE088C">
          <w:rPr>
            <w:rFonts w:cs="Arial"/>
            <w:i/>
            <w:sz w:val="16"/>
            <w:szCs w:val="16"/>
            <w:lang w:val="en-US"/>
          </w:rPr>
          <w:br/>
        </w:r>
        <w:r>
          <w:rPr>
            <w:rFonts w:cs="Arial"/>
            <w:i/>
            <w:sz w:val="16"/>
            <w:szCs w:val="16"/>
            <w:lang w:val="en-US"/>
          </w:rPr>
          <w:br/>
        </w:r>
        <w:r w:rsidRPr="00BE088C">
          <w:rPr>
            <w:rFonts w:cs="Arial"/>
            <w:i/>
            <w:sz w:val="16"/>
            <w:szCs w:val="16"/>
            <w:lang w:val="en-US"/>
          </w:rPr>
          <w:t xml:space="preserve">This document will not be distributed at the </w:t>
        </w:r>
        <w:r>
          <w:rPr>
            <w:rFonts w:cs="Arial"/>
            <w:i/>
            <w:sz w:val="16"/>
            <w:szCs w:val="16"/>
            <w:lang w:val="en-US"/>
          </w:rPr>
          <w:t>meeting. Please bring this copy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459C7" w14:textId="77777777" w:rsidR="00FE1EF6" w:rsidRDefault="00FE1EF6" w:rsidP="00C958E6">
      <w:pPr>
        <w:spacing w:after="0" w:line="240" w:lineRule="auto"/>
      </w:pPr>
      <w:r>
        <w:separator/>
      </w:r>
    </w:p>
  </w:footnote>
  <w:footnote w:type="continuationSeparator" w:id="0">
    <w:p w14:paraId="16F997E5" w14:textId="77777777" w:rsidR="00FE1EF6" w:rsidRDefault="00FE1EF6" w:rsidP="00C958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F41EE" w14:textId="77777777" w:rsidR="00416E8D" w:rsidRDefault="00416E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6009006"/>
      <w:docPartObj>
        <w:docPartGallery w:val="Watermarks"/>
        <w:docPartUnique/>
      </w:docPartObj>
    </w:sdtPr>
    <w:sdtEndPr/>
    <w:sdtContent>
      <w:p w14:paraId="6925BE26" w14:textId="2E82B8DF" w:rsidR="00416E8D" w:rsidRDefault="00FE1EF6">
        <w:pPr>
          <w:pStyle w:val="Header"/>
        </w:pPr>
        <w:r>
          <w:rPr>
            <w:noProof/>
          </w:rPr>
          <w:pict w14:anchorId="007D2B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16864" w14:textId="33193A6E" w:rsidR="00223666" w:rsidRDefault="00223666" w:rsidP="00223666">
    <w:pPr>
      <w:pStyle w:val="Header"/>
      <w:jc w:val="center"/>
    </w:pPr>
    <w:r>
      <w:rPr>
        <w:noProof/>
        <w:lang w:val="hr-HR" w:eastAsia="hr-HR"/>
      </w:rPr>
      <w:drawing>
        <wp:inline distT="0" distB="0" distL="0" distR="0" wp14:anchorId="69E3610E" wp14:editId="530F40C8">
          <wp:extent cx="3819525" cy="12137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3452" cy="12150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EE621E"/>
    <w:multiLevelType w:val="multilevel"/>
    <w:tmpl w:val="C0565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9917E9"/>
    <w:multiLevelType w:val="multilevel"/>
    <w:tmpl w:val="DA544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0240B0"/>
    <w:multiLevelType w:val="multilevel"/>
    <w:tmpl w:val="A6549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DE5F9A"/>
    <w:multiLevelType w:val="hybridMultilevel"/>
    <w:tmpl w:val="E1F8731C"/>
    <w:lvl w:ilvl="0" w:tplc="CBAC368C">
      <w:start w:val="1"/>
      <w:numFmt w:val="decimal"/>
      <w:lvlText w:val="%1."/>
      <w:lvlJc w:val="left"/>
      <w:pPr>
        <w:ind w:left="972" w:hanging="612"/>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C6A4D88"/>
    <w:multiLevelType w:val="multilevel"/>
    <w:tmpl w:val="2F8A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C60FBD"/>
    <w:multiLevelType w:val="multilevel"/>
    <w:tmpl w:val="D5D864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E8928A0"/>
    <w:multiLevelType w:val="hybridMultilevel"/>
    <w:tmpl w:val="6E5E95A2"/>
    <w:lvl w:ilvl="0" w:tplc="040C000F">
      <w:start w:val="1"/>
      <w:numFmt w:val="decimal"/>
      <w:lvlText w:val="%1."/>
      <w:lvlJc w:val="left"/>
      <w:pPr>
        <w:ind w:left="1692" w:hanging="360"/>
      </w:pPr>
    </w:lvl>
    <w:lvl w:ilvl="1" w:tplc="040C0019" w:tentative="1">
      <w:start w:val="1"/>
      <w:numFmt w:val="lowerLetter"/>
      <w:lvlText w:val="%2."/>
      <w:lvlJc w:val="left"/>
      <w:pPr>
        <w:ind w:left="2412" w:hanging="360"/>
      </w:pPr>
    </w:lvl>
    <w:lvl w:ilvl="2" w:tplc="040C001B" w:tentative="1">
      <w:start w:val="1"/>
      <w:numFmt w:val="lowerRoman"/>
      <w:lvlText w:val="%3."/>
      <w:lvlJc w:val="right"/>
      <w:pPr>
        <w:ind w:left="3132" w:hanging="180"/>
      </w:pPr>
    </w:lvl>
    <w:lvl w:ilvl="3" w:tplc="040C000F" w:tentative="1">
      <w:start w:val="1"/>
      <w:numFmt w:val="decimal"/>
      <w:lvlText w:val="%4."/>
      <w:lvlJc w:val="left"/>
      <w:pPr>
        <w:ind w:left="3852" w:hanging="360"/>
      </w:pPr>
    </w:lvl>
    <w:lvl w:ilvl="4" w:tplc="040C0019" w:tentative="1">
      <w:start w:val="1"/>
      <w:numFmt w:val="lowerLetter"/>
      <w:lvlText w:val="%5."/>
      <w:lvlJc w:val="left"/>
      <w:pPr>
        <w:ind w:left="4572" w:hanging="360"/>
      </w:pPr>
    </w:lvl>
    <w:lvl w:ilvl="5" w:tplc="040C001B" w:tentative="1">
      <w:start w:val="1"/>
      <w:numFmt w:val="lowerRoman"/>
      <w:lvlText w:val="%6."/>
      <w:lvlJc w:val="right"/>
      <w:pPr>
        <w:ind w:left="5292" w:hanging="180"/>
      </w:pPr>
    </w:lvl>
    <w:lvl w:ilvl="6" w:tplc="040C000F" w:tentative="1">
      <w:start w:val="1"/>
      <w:numFmt w:val="decimal"/>
      <w:lvlText w:val="%7."/>
      <w:lvlJc w:val="left"/>
      <w:pPr>
        <w:ind w:left="6012" w:hanging="360"/>
      </w:pPr>
    </w:lvl>
    <w:lvl w:ilvl="7" w:tplc="040C0019" w:tentative="1">
      <w:start w:val="1"/>
      <w:numFmt w:val="lowerLetter"/>
      <w:lvlText w:val="%8."/>
      <w:lvlJc w:val="left"/>
      <w:pPr>
        <w:ind w:left="6732" w:hanging="360"/>
      </w:pPr>
    </w:lvl>
    <w:lvl w:ilvl="8" w:tplc="040C001B" w:tentative="1">
      <w:start w:val="1"/>
      <w:numFmt w:val="lowerRoman"/>
      <w:lvlText w:val="%9."/>
      <w:lvlJc w:val="right"/>
      <w:pPr>
        <w:ind w:left="7452" w:hanging="180"/>
      </w:pPr>
    </w:lvl>
  </w:abstractNum>
  <w:abstractNum w:abstractNumId="7" w15:restartNumberingAfterBreak="0">
    <w:nsid w:val="55E9043D"/>
    <w:multiLevelType w:val="multilevel"/>
    <w:tmpl w:val="8E028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8A4825"/>
    <w:multiLevelType w:val="hybridMultilevel"/>
    <w:tmpl w:val="132CDA22"/>
    <w:lvl w:ilvl="0" w:tplc="DD8E1514">
      <w:start w:val="1"/>
      <w:numFmt w:val="decimal"/>
      <w:lvlText w:val="%1."/>
      <w:lvlJc w:val="left"/>
      <w:pPr>
        <w:ind w:left="972" w:hanging="612"/>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98B4303"/>
    <w:multiLevelType w:val="hybridMultilevel"/>
    <w:tmpl w:val="9FE20E2C"/>
    <w:lvl w:ilvl="0" w:tplc="AAC6FB20">
      <w:start w:val="1"/>
      <w:numFmt w:val="decimal"/>
      <w:lvlText w:val="%1."/>
      <w:lvlJc w:val="left"/>
      <w:pPr>
        <w:ind w:left="972" w:hanging="612"/>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AB71B04"/>
    <w:multiLevelType w:val="multilevel"/>
    <w:tmpl w:val="27CC42FE"/>
    <w:name w:val="Liste numérotée 11"/>
    <w:lvl w:ilvl="0">
      <w:numFmt w:val="bullet"/>
      <w:lvlText w:val=""/>
      <w:lvlJc w:val="left"/>
      <w:pPr>
        <w:ind w:left="786" w:firstLine="0"/>
      </w:pPr>
      <w:rPr>
        <w:rFonts w:ascii="Symbol" w:hAnsi="Symbol" w:cs="Symbol"/>
      </w:rPr>
    </w:lvl>
    <w:lvl w:ilvl="1">
      <w:numFmt w:val="bullet"/>
      <w:lvlText w:val="o"/>
      <w:lvlJc w:val="left"/>
      <w:pPr>
        <w:ind w:left="1506" w:firstLine="0"/>
      </w:pPr>
      <w:rPr>
        <w:rFonts w:ascii="Courier New" w:hAnsi="Courier New" w:cs="Courier New"/>
      </w:rPr>
    </w:lvl>
    <w:lvl w:ilvl="2">
      <w:numFmt w:val="bullet"/>
      <w:lvlText w:val=""/>
      <w:lvlJc w:val="left"/>
      <w:pPr>
        <w:ind w:left="2226" w:firstLine="0"/>
      </w:pPr>
      <w:rPr>
        <w:rFonts w:ascii="Wingdings" w:eastAsia="Wingdings" w:hAnsi="Wingdings" w:cs="Wingdings"/>
      </w:rPr>
    </w:lvl>
    <w:lvl w:ilvl="3">
      <w:numFmt w:val="bullet"/>
      <w:lvlText w:val=""/>
      <w:lvlJc w:val="left"/>
      <w:pPr>
        <w:ind w:left="2946" w:firstLine="0"/>
      </w:pPr>
      <w:rPr>
        <w:rFonts w:ascii="Symbol" w:hAnsi="Symbol" w:cs="Symbol"/>
      </w:rPr>
    </w:lvl>
    <w:lvl w:ilvl="4">
      <w:numFmt w:val="bullet"/>
      <w:lvlText w:val="o"/>
      <w:lvlJc w:val="left"/>
      <w:pPr>
        <w:ind w:left="3666" w:firstLine="0"/>
      </w:pPr>
      <w:rPr>
        <w:rFonts w:ascii="Courier New" w:hAnsi="Courier New" w:cs="Courier New"/>
      </w:rPr>
    </w:lvl>
    <w:lvl w:ilvl="5">
      <w:numFmt w:val="bullet"/>
      <w:lvlText w:val=""/>
      <w:lvlJc w:val="left"/>
      <w:pPr>
        <w:ind w:left="4386" w:firstLine="0"/>
      </w:pPr>
      <w:rPr>
        <w:rFonts w:ascii="Wingdings" w:eastAsia="Wingdings" w:hAnsi="Wingdings" w:cs="Wingdings"/>
      </w:rPr>
    </w:lvl>
    <w:lvl w:ilvl="6">
      <w:numFmt w:val="bullet"/>
      <w:lvlText w:val=""/>
      <w:lvlJc w:val="left"/>
      <w:pPr>
        <w:ind w:left="5106" w:firstLine="0"/>
      </w:pPr>
      <w:rPr>
        <w:rFonts w:ascii="Symbol" w:hAnsi="Symbol" w:cs="Symbol"/>
      </w:rPr>
    </w:lvl>
    <w:lvl w:ilvl="7">
      <w:numFmt w:val="bullet"/>
      <w:lvlText w:val="o"/>
      <w:lvlJc w:val="left"/>
      <w:pPr>
        <w:ind w:left="5826" w:firstLine="0"/>
      </w:pPr>
      <w:rPr>
        <w:rFonts w:ascii="Courier New" w:hAnsi="Courier New" w:cs="Courier New"/>
      </w:rPr>
    </w:lvl>
    <w:lvl w:ilvl="8">
      <w:numFmt w:val="bullet"/>
      <w:lvlText w:val=""/>
      <w:lvlJc w:val="left"/>
      <w:pPr>
        <w:ind w:left="6546" w:firstLine="0"/>
      </w:pPr>
      <w:rPr>
        <w:rFonts w:ascii="Wingdings" w:eastAsia="Wingdings" w:hAnsi="Wingdings" w:cs="Wingdings"/>
      </w:rPr>
    </w:lvl>
  </w:abstractNum>
  <w:abstractNum w:abstractNumId="11" w15:restartNumberingAfterBreak="0">
    <w:nsid w:val="7C517417"/>
    <w:multiLevelType w:val="multilevel"/>
    <w:tmpl w:val="C7D81DE2"/>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F466988"/>
    <w:multiLevelType w:val="multilevel"/>
    <w:tmpl w:val="AC4C8788"/>
    <w:name w:val="Liste numérotée 6"/>
    <w:lvl w:ilvl="0">
      <w:numFmt w:val="bullet"/>
      <w:lvlText w:val=""/>
      <w:lvlJc w:val="left"/>
      <w:pPr>
        <w:ind w:left="360" w:firstLine="0"/>
      </w:pPr>
      <w:rPr>
        <w:rFonts w:ascii="Symbol" w:hAnsi="Symbol" w:cs="Symbol"/>
      </w:rPr>
    </w:lvl>
    <w:lvl w:ilvl="1">
      <w:numFmt w:val="bullet"/>
      <w:lvlText w:val="o"/>
      <w:lvlJc w:val="left"/>
      <w:pPr>
        <w:ind w:left="1080" w:firstLine="0"/>
      </w:pPr>
      <w:rPr>
        <w:rFonts w:ascii="Courier New" w:hAnsi="Courier New" w:cs="Courier New"/>
      </w:rPr>
    </w:lvl>
    <w:lvl w:ilvl="2">
      <w:numFmt w:val="bullet"/>
      <w:lvlText w:val=""/>
      <w:lvlJc w:val="left"/>
      <w:pPr>
        <w:ind w:left="1800" w:firstLine="0"/>
      </w:pPr>
      <w:rPr>
        <w:rFonts w:ascii="Wingdings" w:eastAsia="Wingdings" w:hAnsi="Wingdings" w:cs="Wingdings"/>
      </w:rPr>
    </w:lvl>
    <w:lvl w:ilvl="3">
      <w:numFmt w:val="bullet"/>
      <w:lvlText w:val=""/>
      <w:lvlJc w:val="left"/>
      <w:pPr>
        <w:ind w:left="2520" w:firstLine="0"/>
      </w:pPr>
      <w:rPr>
        <w:rFonts w:ascii="Symbol" w:hAnsi="Symbol" w:cs="Symbol"/>
      </w:rPr>
    </w:lvl>
    <w:lvl w:ilvl="4">
      <w:numFmt w:val="bullet"/>
      <w:lvlText w:val="o"/>
      <w:lvlJc w:val="left"/>
      <w:pPr>
        <w:ind w:left="3240" w:firstLine="0"/>
      </w:pPr>
      <w:rPr>
        <w:rFonts w:ascii="Courier New" w:hAnsi="Courier New" w:cs="Courier New"/>
      </w:rPr>
    </w:lvl>
    <w:lvl w:ilvl="5">
      <w:numFmt w:val="bullet"/>
      <w:lvlText w:val=""/>
      <w:lvlJc w:val="left"/>
      <w:pPr>
        <w:ind w:left="3960" w:firstLine="0"/>
      </w:pPr>
      <w:rPr>
        <w:rFonts w:ascii="Wingdings" w:eastAsia="Wingdings" w:hAnsi="Wingdings" w:cs="Wingdings"/>
      </w:rPr>
    </w:lvl>
    <w:lvl w:ilvl="6">
      <w:numFmt w:val="bullet"/>
      <w:lvlText w:val=""/>
      <w:lvlJc w:val="left"/>
      <w:pPr>
        <w:ind w:left="4680" w:firstLine="0"/>
      </w:pPr>
      <w:rPr>
        <w:rFonts w:ascii="Symbol" w:hAnsi="Symbol" w:cs="Symbol"/>
      </w:rPr>
    </w:lvl>
    <w:lvl w:ilvl="7">
      <w:numFmt w:val="bullet"/>
      <w:lvlText w:val="o"/>
      <w:lvlJc w:val="left"/>
      <w:pPr>
        <w:ind w:left="5400" w:firstLine="0"/>
      </w:pPr>
      <w:rPr>
        <w:rFonts w:ascii="Courier New" w:hAnsi="Courier New" w:cs="Courier New"/>
      </w:rPr>
    </w:lvl>
    <w:lvl w:ilvl="8">
      <w:numFmt w:val="bullet"/>
      <w:lvlText w:val=""/>
      <w:lvlJc w:val="left"/>
      <w:pPr>
        <w:ind w:left="6120" w:firstLine="0"/>
      </w:pPr>
      <w:rPr>
        <w:rFonts w:ascii="Wingdings" w:eastAsia="Wingdings" w:hAnsi="Wingdings" w:cs="Wingdings"/>
      </w:rPr>
    </w:lvl>
  </w:abstractNum>
  <w:num w:numId="1">
    <w:abstractNumId w:val="0"/>
  </w:num>
  <w:num w:numId="2">
    <w:abstractNumId w:val="2"/>
  </w:num>
  <w:num w:numId="3">
    <w:abstractNumId w:val="1"/>
  </w:num>
  <w:num w:numId="4">
    <w:abstractNumId w:val="7"/>
  </w:num>
  <w:num w:numId="5">
    <w:abstractNumId w:val="4"/>
  </w:num>
  <w:num w:numId="6">
    <w:abstractNumId w:val="12"/>
  </w:num>
  <w:num w:numId="7">
    <w:abstractNumId w:val="10"/>
  </w:num>
  <w:num w:numId="8">
    <w:abstractNumId w:val="3"/>
  </w:num>
  <w:num w:numId="9">
    <w:abstractNumId w:val="8"/>
  </w:num>
  <w:num w:numId="10">
    <w:abstractNumId w:val="5"/>
  </w:num>
  <w:num w:numId="11">
    <w:abstractNumId w:val="11"/>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1AE"/>
    <w:rsid w:val="00002BAD"/>
    <w:rsid w:val="00012FA3"/>
    <w:rsid w:val="0002103A"/>
    <w:rsid w:val="00022A66"/>
    <w:rsid w:val="00026E4F"/>
    <w:rsid w:val="00042565"/>
    <w:rsid w:val="00043756"/>
    <w:rsid w:val="00070574"/>
    <w:rsid w:val="000C06EB"/>
    <w:rsid w:val="0010770F"/>
    <w:rsid w:val="00111402"/>
    <w:rsid w:val="001354AC"/>
    <w:rsid w:val="00137A77"/>
    <w:rsid w:val="0014209E"/>
    <w:rsid w:val="00177953"/>
    <w:rsid w:val="00184B30"/>
    <w:rsid w:val="00191A13"/>
    <w:rsid w:val="00194BD5"/>
    <w:rsid w:val="001A639E"/>
    <w:rsid w:val="001B270C"/>
    <w:rsid w:val="001B29B0"/>
    <w:rsid w:val="001E11C2"/>
    <w:rsid w:val="001E5E16"/>
    <w:rsid w:val="001F11AD"/>
    <w:rsid w:val="00203C87"/>
    <w:rsid w:val="00211F02"/>
    <w:rsid w:val="002147CE"/>
    <w:rsid w:val="002149BB"/>
    <w:rsid w:val="002177A4"/>
    <w:rsid w:val="00223666"/>
    <w:rsid w:val="00231177"/>
    <w:rsid w:val="00233EE1"/>
    <w:rsid w:val="002523B7"/>
    <w:rsid w:val="00286860"/>
    <w:rsid w:val="00297462"/>
    <w:rsid w:val="002D5DAE"/>
    <w:rsid w:val="003162D2"/>
    <w:rsid w:val="00356BF1"/>
    <w:rsid w:val="00376313"/>
    <w:rsid w:val="00377AB9"/>
    <w:rsid w:val="00377C83"/>
    <w:rsid w:val="003C0A77"/>
    <w:rsid w:val="003D5D2D"/>
    <w:rsid w:val="00412468"/>
    <w:rsid w:val="00416E8D"/>
    <w:rsid w:val="00417BD5"/>
    <w:rsid w:val="00427578"/>
    <w:rsid w:val="0043546F"/>
    <w:rsid w:val="00460505"/>
    <w:rsid w:val="00481225"/>
    <w:rsid w:val="00490698"/>
    <w:rsid w:val="00493E3C"/>
    <w:rsid w:val="004A0CA4"/>
    <w:rsid w:val="004B5996"/>
    <w:rsid w:val="004C134D"/>
    <w:rsid w:val="005629E5"/>
    <w:rsid w:val="005A3956"/>
    <w:rsid w:val="005B01AF"/>
    <w:rsid w:val="005C61EA"/>
    <w:rsid w:val="005D3829"/>
    <w:rsid w:val="005D5A3B"/>
    <w:rsid w:val="005F105F"/>
    <w:rsid w:val="00610B19"/>
    <w:rsid w:val="00626952"/>
    <w:rsid w:val="006455B6"/>
    <w:rsid w:val="00650724"/>
    <w:rsid w:val="006579BC"/>
    <w:rsid w:val="00690E2E"/>
    <w:rsid w:val="006C0E45"/>
    <w:rsid w:val="006D4D61"/>
    <w:rsid w:val="007118C8"/>
    <w:rsid w:val="0071611C"/>
    <w:rsid w:val="007238E4"/>
    <w:rsid w:val="0074007A"/>
    <w:rsid w:val="0076319D"/>
    <w:rsid w:val="00763E6C"/>
    <w:rsid w:val="00772A4B"/>
    <w:rsid w:val="00781578"/>
    <w:rsid w:val="00782449"/>
    <w:rsid w:val="007831AE"/>
    <w:rsid w:val="007C307D"/>
    <w:rsid w:val="007E26E7"/>
    <w:rsid w:val="007F352B"/>
    <w:rsid w:val="007F4BF2"/>
    <w:rsid w:val="008213EE"/>
    <w:rsid w:val="00834785"/>
    <w:rsid w:val="00850AC6"/>
    <w:rsid w:val="00853257"/>
    <w:rsid w:val="008566FE"/>
    <w:rsid w:val="008575B7"/>
    <w:rsid w:val="008651A4"/>
    <w:rsid w:val="0086634D"/>
    <w:rsid w:val="00866664"/>
    <w:rsid w:val="008710A7"/>
    <w:rsid w:val="00887C64"/>
    <w:rsid w:val="008B7E4F"/>
    <w:rsid w:val="008D7432"/>
    <w:rsid w:val="00916FA3"/>
    <w:rsid w:val="0093243E"/>
    <w:rsid w:val="0093435D"/>
    <w:rsid w:val="009350A6"/>
    <w:rsid w:val="0098024B"/>
    <w:rsid w:val="009B4B58"/>
    <w:rsid w:val="009C3B8B"/>
    <w:rsid w:val="009E19B3"/>
    <w:rsid w:val="00A025A4"/>
    <w:rsid w:val="00A14988"/>
    <w:rsid w:val="00A7430E"/>
    <w:rsid w:val="00AD348A"/>
    <w:rsid w:val="00AE01DE"/>
    <w:rsid w:val="00B142AE"/>
    <w:rsid w:val="00B20F32"/>
    <w:rsid w:val="00B44C69"/>
    <w:rsid w:val="00B72EC4"/>
    <w:rsid w:val="00B75B0A"/>
    <w:rsid w:val="00BA39B9"/>
    <w:rsid w:val="00BB00A0"/>
    <w:rsid w:val="00BC066D"/>
    <w:rsid w:val="00BD4F93"/>
    <w:rsid w:val="00C1060F"/>
    <w:rsid w:val="00C363CC"/>
    <w:rsid w:val="00C419A4"/>
    <w:rsid w:val="00C706AC"/>
    <w:rsid w:val="00C84EDD"/>
    <w:rsid w:val="00C85A07"/>
    <w:rsid w:val="00C958E6"/>
    <w:rsid w:val="00CD5FF6"/>
    <w:rsid w:val="00CE7CA6"/>
    <w:rsid w:val="00D30B85"/>
    <w:rsid w:val="00D32659"/>
    <w:rsid w:val="00D35326"/>
    <w:rsid w:val="00D52DFC"/>
    <w:rsid w:val="00D653BB"/>
    <w:rsid w:val="00D95CE4"/>
    <w:rsid w:val="00D97BE7"/>
    <w:rsid w:val="00DC13D2"/>
    <w:rsid w:val="00DC20C6"/>
    <w:rsid w:val="00DD081F"/>
    <w:rsid w:val="00DD428F"/>
    <w:rsid w:val="00DE78A2"/>
    <w:rsid w:val="00E0466F"/>
    <w:rsid w:val="00E07298"/>
    <w:rsid w:val="00E108B8"/>
    <w:rsid w:val="00E2084E"/>
    <w:rsid w:val="00E30F75"/>
    <w:rsid w:val="00E32B62"/>
    <w:rsid w:val="00E85723"/>
    <w:rsid w:val="00EB7830"/>
    <w:rsid w:val="00ED0B0B"/>
    <w:rsid w:val="00EF3C79"/>
    <w:rsid w:val="00F31EC6"/>
    <w:rsid w:val="00F400CA"/>
    <w:rsid w:val="00F62833"/>
    <w:rsid w:val="00F96478"/>
    <w:rsid w:val="00FC3767"/>
    <w:rsid w:val="00FE1E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A3E7AE"/>
  <w15:chartTrackingRefBased/>
  <w15:docId w15:val="{AC5B6A09-63A6-4C88-9665-192446A0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l-PL"/>
    </w:rPr>
  </w:style>
  <w:style w:type="paragraph" w:styleId="Heading1">
    <w:name w:val="heading 1"/>
    <w:basedOn w:val="Normal"/>
    <w:next w:val="Normal"/>
    <w:link w:val="Heading1Char"/>
    <w:uiPriority w:val="9"/>
    <w:qFormat/>
    <w:rsid w:val="001E5E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964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31AE"/>
    <w:rPr>
      <w:color w:val="0563C1" w:themeColor="hyperlink"/>
      <w:u w:val="single"/>
    </w:rPr>
  </w:style>
  <w:style w:type="character" w:styleId="UnresolvedMention">
    <w:name w:val="Unresolved Mention"/>
    <w:basedOn w:val="DefaultParagraphFont"/>
    <w:uiPriority w:val="99"/>
    <w:semiHidden/>
    <w:unhideWhenUsed/>
    <w:rsid w:val="007831AE"/>
    <w:rPr>
      <w:color w:val="605E5C"/>
      <w:shd w:val="clear" w:color="auto" w:fill="E1DFDD"/>
    </w:rPr>
  </w:style>
  <w:style w:type="character" w:customStyle="1" w:styleId="Heading2Char">
    <w:name w:val="Heading 2 Char"/>
    <w:basedOn w:val="DefaultParagraphFont"/>
    <w:link w:val="Heading2"/>
    <w:uiPriority w:val="9"/>
    <w:semiHidden/>
    <w:rsid w:val="00F96478"/>
    <w:rPr>
      <w:rFonts w:asciiTheme="majorHAnsi" w:eastAsiaTheme="majorEastAsia" w:hAnsiTheme="majorHAnsi" w:cstheme="majorBidi"/>
      <w:color w:val="2F5496" w:themeColor="accent1" w:themeShade="BF"/>
      <w:sz w:val="26"/>
      <w:szCs w:val="26"/>
      <w:lang w:val="pl-PL"/>
    </w:rPr>
  </w:style>
  <w:style w:type="character" w:styleId="FollowedHyperlink">
    <w:name w:val="FollowedHyperlink"/>
    <w:basedOn w:val="DefaultParagraphFont"/>
    <w:uiPriority w:val="99"/>
    <w:semiHidden/>
    <w:unhideWhenUsed/>
    <w:rsid w:val="00853257"/>
    <w:rPr>
      <w:color w:val="954F72" w:themeColor="followedHyperlink"/>
      <w:u w:val="single"/>
    </w:rPr>
  </w:style>
  <w:style w:type="paragraph" w:styleId="PlainText">
    <w:name w:val="Plain Text"/>
    <w:basedOn w:val="Normal"/>
    <w:link w:val="PlainTextChar"/>
    <w:uiPriority w:val="99"/>
    <w:semiHidden/>
    <w:unhideWhenUsed/>
    <w:rsid w:val="008D743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D7432"/>
    <w:rPr>
      <w:rFonts w:ascii="Consolas" w:hAnsi="Consolas"/>
      <w:sz w:val="21"/>
      <w:szCs w:val="21"/>
      <w:lang w:val="pl-PL"/>
    </w:rPr>
  </w:style>
  <w:style w:type="paragraph" w:styleId="BalloonText">
    <w:name w:val="Balloon Text"/>
    <w:basedOn w:val="Normal"/>
    <w:link w:val="BalloonTextChar"/>
    <w:uiPriority w:val="99"/>
    <w:semiHidden/>
    <w:unhideWhenUsed/>
    <w:rsid w:val="007E2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6E7"/>
    <w:rPr>
      <w:rFonts w:ascii="Segoe UI" w:hAnsi="Segoe UI" w:cs="Segoe UI"/>
      <w:sz w:val="18"/>
      <w:szCs w:val="18"/>
      <w:lang w:val="pl-PL"/>
    </w:rPr>
  </w:style>
  <w:style w:type="paragraph" w:styleId="ListParagraph">
    <w:name w:val="List Paragraph"/>
    <w:basedOn w:val="Normal"/>
    <w:uiPriority w:val="34"/>
    <w:qFormat/>
    <w:rsid w:val="00B75B0A"/>
    <w:pPr>
      <w:ind w:left="720"/>
      <w:contextualSpacing/>
    </w:pPr>
  </w:style>
  <w:style w:type="paragraph" w:styleId="EndnoteText">
    <w:name w:val="endnote text"/>
    <w:basedOn w:val="Normal"/>
    <w:link w:val="EndnoteTextChar"/>
    <w:uiPriority w:val="99"/>
    <w:semiHidden/>
    <w:unhideWhenUsed/>
    <w:rsid w:val="00C958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58E6"/>
    <w:rPr>
      <w:sz w:val="20"/>
      <w:szCs w:val="20"/>
      <w:lang w:val="pl-PL"/>
    </w:rPr>
  </w:style>
  <w:style w:type="character" w:styleId="EndnoteReference">
    <w:name w:val="endnote reference"/>
    <w:basedOn w:val="DefaultParagraphFont"/>
    <w:uiPriority w:val="99"/>
    <w:semiHidden/>
    <w:unhideWhenUsed/>
    <w:rsid w:val="00C958E6"/>
    <w:rPr>
      <w:vertAlign w:val="superscript"/>
    </w:rPr>
  </w:style>
  <w:style w:type="paragraph" w:styleId="FootnoteText">
    <w:name w:val="footnote text"/>
    <w:basedOn w:val="Normal"/>
    <w:link w:val="FootnoteTextChar"/>
    <w:uiPriority w:val="99"/>
    <w:semiHidden/>
    <w:unhideWhenUsed/>
    <w:rsid w:val="003763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6313"/>
    <w:rPr>
      <w:sz w:val="20"/>
      <w:szCs w:val="20"/>
      <w:lang w:val="pl-PL"/>
    </w:rPr>
  </w:style>
  <w:style w:type="character" w:styleId="FootnoteReference">
    <w:name w:val="footnote reference"/>
    <w:basedOn w:val="DefaultParagraphFont"/>
    <w:uiPriority w:val="99"/>
    <w:semiHidden/>
    <w:unhideWhenUsed/>
    <w:rsid w:val="00376313"/>
    <w:rPr>
      <w:vertAlign w:val="superscript"/>
    </w:rPr>
  </w:style>
  <w:style w:type="paragraph" w:styleId="Header">
    <w:name w:val="header"/>
    <w:basedOn w:val="Normal"/>
    <w:link w:val="HeaderChar"/>
    <w:uiPriority w:val="99"/>
    <w:unhideWhenUsed/>
    <w:rsid w:val="002D5D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DAE"/>
    <w:rPr>
      <w:lang w:val="pl-PL"/>
    </w:rPr>
  </w:style>
  <w:style w:type="paragraph" w:styleId="Footer">
    <w:name w:val="footer"/>
    <w:basedOn w:val="Normal"/>
    <w:link w:val="FooterChar"/>
    <w:uiPriority w:val="99"/>
    <w:unhideWhenUsed/>
    <w:rsid w:val="002D5D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DAE"/>
    <w:rPr>
      <w:lang w:val="pl-PL"/>
    </w:rPr>
  </w:style>
  <w:style w:type="character" w:styleId="CommentReference">
    <w:name w:val="annotation reference"/>
    <w:basedOn w:val="DefaultParagraphFont"/>
    <w:uiPriority w:val="99"/>
    <w:semiHidden/>
    <w:unhideWhenUsed/>
    <w:rsid w:val="00782449"/>
    <w:rPr>
      <w:sz w:val="16"/>
      <w:szCs w:val="16"/>
    </w:rPr>
  </w:style>
  <w:style w:type="paragraph" w:styleId="CommentText">
    <w:name w:val="annotation text"/>
    <w:basedOn w:val="Normal"/>
    <w:link w:val="CommentTextChar"/>
    <w:uiPriority w:val="99"/>
    <w:semiHidden/>
    <w:unhideWhenUsed/>
    <w:rsid w:val="00782449"/>
    <w:pPr>
      <w:spacing w:line="240" w:lineRule="auto"/>
    </w:pPr>
    <w:rPr>
      <w:sz w:val="20"/>
      <w:szCs w:val="20"/>
    </w:rPr>
  </w:style>
  <w:style w:type="character" w:customStyle="1" w:styleId="CommentTextChar">
    <w:name w:val="Comment Text Char"/>
    <w:basedOn w:val="DefaultParagraphFont"/>
    <w:link w:val="CommentText"/>
    <w:uiPriority w:val="99"/>
    <w:semiHidden/>
    <w:rsid w:val="00782449"/>
    <w:rPr>
      <w:sz w:val="20"/>
      <w:szCs w:val="20"/>
      <w:lang w:val="pl-PL"/>
    </w:rPr>
  </w:style>
  <w:style w:type="paragraph" w:styleId="CommentSubject">
    <w:name w:val="annotation subject"/>
    <w:basedOn w:val="CommentText"/>
    <w:next w:val="CommentText"/>
    <w:link w:val="CommentSubjectChar"/>
    <w:uiPriority w:val="99"/>
    <w:semiHidden/>
    <w:unhideWhenUsed/>
    <w:rsid w:val="00782449"/>
    <w:rPr>
      <w:b/>
      <w:bCs/>
    </w:rPr>
  </w:style>
  <w:style w:type="character" w:customStyle="1" w:styleId="CommentSubjectChar">
    <w:name w:val="Comment Subject Char"/>
    <w:basedOn w:val="CommentTextChar"/>
    <w:link w:val="CommentSubject"/>
    <w:uiPriority w:val="99"/>
    <w:semiHidden/>
    <w:rsid w:val="00782449"/>
    <w:rPr>
      <w:b/>
      <w:bCs/>
      <w:sz w:val="20"/>
      <w:szCs w:val="20"/>
      <w:lang w:val="pl-PL"/>
    </w:rPr>
  </w:style>
  <w:style w:type="paragraph" w:customStyle="1" w:styleId="cmmainsubtitle">
    <w:name w:val="cm_mainsubtitle"/>
    <w:basedOn w:val="Normal"/>
    <w:rsid w:val="002149B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msubtitle">
    <w:name w:val="cm_subtitle"/>
    <w:basedOn w:val="Normal"/>
    <w:rsid w:val="002149B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Strong">
    <w:name w:val="Strong"/>
    <w:basedOn w:val="DefaultParagraphFont"/>
    <w:uiPriority w:val="22"/>
    <w:qFormat/>
    <w:rsid w:val="002523B7"/>
    <w:rPr>
      <w:b/>
      <w:bCs/>
    </w:rPr>
  </w:style>
  <w:style w:type="character" w:customStyle="1" w:styleId="Heading1Char">
    <w:name w:val="Heading 1 Char"/>
    <w:basedOn w:val="DefaultParagraphFont"/>
    <w:link w:val="Heading1"/>
    <w:uiPriority w:val="9"/>
    <w:rsid w:val="001E5E16"/>
    <w:rPr>
      <w:rFonts w:asciiTheme="majorHAnsi" w:eastAsiaTheme="majorEastAsia" w:hAnsiTheme="majorHAnsi" w:cstheme="majorBidi"/>
      <w:color w:val="2F5496" w:themeColor="accent1" w:themeShade="BF"/>
      <w:sz w:val="32"/>
      <w:szCs w:val="32"/>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752667">
      <w:bodyDiv w:val="1"/>
      <w:marLeft w:val="0"/>
      <w:marRight w:val="0"/>
      <w:marTop w:val="0"/>
      <w:marBottom w:val="0"/>
      <w:divBdr>
        <w:top w:val="none" w:sz="0" w:space="0" w:color="auto"/>
        <w:left w:val="none" w:sz="0" w:space="0" w:color="auto"/>
        <w:bottom w:val="none" w:sz="0" w:space="0" w:color="auto"/>
        <w:right w:val="none" w:sz="0" w:space="0" w:color="auto"/>
      </w:divBdr>
    </w:div>
    <w:div w:id="476386099">
      <w:bodyDiv w:val="1"/>
      <w:marLeft w:val="0"/>
      <w:marRight w:val="0"/>
      <w:marTop w:val="0"/>
      <w:marBottom w:val="0"/>
      <w:divBdr>
        <w:top w:val="none" w:sz="0" w:space="0" w:color="auto"/>
        <w:left w:val="none" w:sz="0" w:space="0" w:color="auto"/>
        <w:bottom w:val="none" w:sz="0" w:space="0" w:color="auto"/>
        <w:right w:val="none" w:sz="0" w:space="0" w:color="auto"/>
      </w:divBdr>
    </w:div>
    <w:div w:id="501817121">
      <w:bodyDiv w:val="1"/>
      <w:marLeft w:val="0"/>
      <w:marRight w:val="0"/>
      <w:marTop w:val="0"/>
      <w:marBottom w:val="0"/>
      <w:divBdr>
        <w:top w:val="none" w:sz="0" w:space="0" w:color="auto"/>
        <w:left w:val="none" w:sz="0" w:space="0" w:color="auto"/>
        <w:bottom w:val="none" w:sz="0" w:space="0" w:color="auto"/>
        <w:right w:val="none" w:sz="0" w:space="0" w:color="auto"/>
      </w:divBdr>
    </w:div>
    <w:div w:id="592666493">
      <w:bodyDiv w:val="1"/>
      <w:marLeft w:val="0"/>
      <w:marRight w:val="0"/>
      <w:marTop w:val="0"/>
      <w:marBottom w:val="0"/>
      <w:divBdr>
        <w:top w:val="none" w:sz="0" w:space="0" w:color="auto"/>
        <w:left w:val="none" w:sz="0" w:space="0" w:color="auto"/>
        <w:bottom w:val="none" w:sz="0" w:space="0" w:color="auto"/>
        <w:right w:val="none" w:sz="0" w:space="0" w:color="auto"/>
      </w:divBdr>
      <w:divsChild>
        <w:div w:id="970524198">
          <w:marLeft w:val="0"/>
          <w:marRight w:val="0"/>
          <w:marTop w:val="0"/>
          <w:marBottom w:val="0"/>
          <w:divBdr>
            <w:top w:val="none" w:sz="0" w:space="0" w:color="auto"/>
            <w:left w:val="none" w:sz="0" w:space="0" w:color="auto"/>
            <w:bottom w:val="none" w:sz="0" w:space="0" w:color="auto"/>
            <w:right w:val="none" w:sz="0" w:space="0" w:color="auto"/>
          </w:divBdr>
        </w:div>
        <w:div w:id="1939831697">
          <w:marLeft w:val="0"/>
          <w:marRight w:val="0"/>
          <w:marTop w:val="0"/>
          <w:marBottom w:val="0"/>
          <w:divBdr>
            <w:top w:val="none" w:sz="0" w:space="0" w:color="auto"/>
            <w:left w:val="none" w:sz="0" w:space="0" w:color="auto"/>
            <w:bottom w:val="none" w:sz="0" w:space="0" w:color="auto"/>
            <w:right w:val="none" w:sz="0" w:space="0" w:color="auto"/>
          </w:divBdr>
          <w:divsChild>
            <w:div w:id="183730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4244">
      <w:bodyDiv w:val="1"/>
      <w:marLeft w:val="0"/>
      <w:marRight w:val="0"/>
      <w:marTop w:val="0"/>
      <w:marBottom w:val="0"/>
      <w:divBdr>
        <w:top w:val="none" w:sz="0" w:space="0" w:color="auto"/>
        <w:left w:val="none" w:sz="0" w:space="0" w:color="auto"/>
        <w:bottom w:val="none" w:sz="0" w:space="0" w:color="auto"/>
        <w:right w:val="none" w:sz="0" w:space="0" w:color="auto"/>
      </w:divBdr>
    </w:div>
    <w:div w:id="914239709">
      <w:bodyDiv w:val="1"/>
      <w:marLeft w:val="0"/>
      <w:marRight w:val="0"/>
      <w:marTop w:val="0"/>
      <w:marBottom w:val="0"/>
      <w:divBdr>
        <w:top w:val="none" w:sz="0" w:space="0" w:color="auto"/>
        <w:left w:val="none" w:sz="0" w:space="0" w:color="auto"/>
        <w:bottom w:val="none" w:sz="0" w:space="0" w:color="auto"/>
        <w:right w:val="none" w:sz="0" w:space="0" w:color="auto"/>
      </w:divBdr>
    </w:div>
    <w:div w:id="1114323880">
      <w:bodyDiv w:val="1"/>
      <w:marLeft w:val="0"/>
      <w:marRight w:val="0"/>
      <w:marTop w:val="0"/>
      <w:marBottom w:val="0"/>
      <w:divBdr>
        <w:top w:val="none" w:sz="0" w:space="0" w:color="auto"/>
        <w:left w:val="none" w:sz="0" w:space="0" w:color="auto"/>
        <w:bottom w:val="none" w:sz="0" w:space="0" w:color="auto"/>
        <w:right w:val="none" w:sz="0" w:space="0" w:color="auto"/>
      </w:divBdr>
    </w:div>
    <w:div w:id="1163820011">
      <w:bodyDiv w:val="1"/>
      <w:marLeft w:val="0"/>
      <w:marRight w:val="0"/>
      <w:marTop w:val="0"/>
      <w:marBottom w:val="0"/>
      <w:divBdr>
        <w:top w:val="none" w:sz="0" w:space="0" w:color="auto"/>
        <w:left w:val="none" w:sz="0" w:space="0" w:color="auto"/>
        <w:bottom w:val="none" w:sz="0" w:space="0" w:color="auto"/>
        <w:right w:val="none" w:sz="0" w:space="0" w:color="auto"/>
      </w:divBdr>
    </w:div>
    <w:div w:id="1187788049">
      <w:bodyDiv w:val="1"/>
      <w:marLeft w:val="0"/>
      <w:marRight w:val="0"/>
      <w:marTop w:val="0"/>
      <w:marBottom w:val="0"/>
      <w:divBdr>
        <w:top w:val="none" w:sz="0" w:space="0" w:color="auto"/>
        <w:left w:val="none" w:sz="0" w:space="0" w:color="auto"/>
        <w:bottom w:val="none" w:sz="0" w:space="0" w:color="auto"/>
        <w:right w:val="none" w:sz="0" w:space="0" w:color="auto"/>
      </w:divBdr>
    </w:div>
    <w:div w:id="1430200486">
      <w:bodyDiv w:val="1"/>
      <w:marLeft w:val="0"/>
      <w:marRight w:val="0"/>
      <w:marTop w:val="0"/>
      <w:marBottom w:val="0"/>
      <w:divBdr>
        <w:top w:val="none" w:sz="0" w:space="0" w:color="auto"/>
        <w:left w:val="none" w:sz="0" w:space="0" w:color="auto"/>
        <w:bottom w:val="none" w:sz="0" w:space="0" w:color="auto"/>
        <w:right w:val="none" w:sz="0" w:space="0" w:color="auto"/>
      </w:divBdr>
    </w:div>
    <w:div w:id="1471173384">
      <w:bodyDiv w:val="1"/>
      <w:marLeft w:val="0"/>
      <w:marRight w:val="0"/>
      <w:marTop w:val="0"/>
      <w:marBottom w:val="0"/>
      <w:divBdr>
        <w:top w:val="none" w:sz="0" w:space="0" w:color="auto"/>
        <w:left w:val="none" w:sz="0" w:space="0" w:color="auto"/>
        <w:bottom w:val="none" w:sz="0" w:space="0" w:color="auto"/>
        <w:right w:val="none" w:sz="0" w:space="0" w:color="auto"/>
      </w:divBdr>
    </w:div>
    <w:div w:id="1969506089">
      <w:bodyDiv w:val="1"/>
      <w:marLeft w:val="0"/>
      <w:marRight w:val="0"/>
      <w:marTop w:val="0"/>
      <w:marBottom w:val="0"/>
      <w:divBdr>
        <w:top w:val="none" w:sz="0" w:space="0" w:color="auto"/>
        <w:left w:val="none" w:sz="0" w:space="0" w:color="auto"/>
        <w:bottom w:val="none" w:sz="0" w:space="0" w:color="auto"/>
        <w:right w:val="none" w:sz="0" w:space="0" w:color="auto"/>
      </w:divBdr>
    </w:div>
    <w:div w:id="203714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rm.coe.int/apcat-2007-32-e-rules-of-procedure-com-perm-corr-002-/168094bbe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8532D-438A-4694-8519-EDB9B1176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3008</Words>
  <Characters>16546</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ZYMAN Krzysztof</dc:creator>
  <cp:keywords/>
  <dc:description/>
  <cp:lastModifiedBy>BRAULIO Tania</cp:lastModifiedBy>
  <cp:revision>3</cp:revision>
  <cp:lastPrinted>2021-03-10T10:21:00Z</cp:lastPrinted>
  <dcterms:created xsi:type="dcterms:W3CDTF">2021-04-27T10:33:00Z</dcterms:created>
  <dcterms:modified xsi:type="dcterms:W3CDTF">2021-05-17T13:22:00Z</dcterms:modified>
</cp:coreProperties>
</file>