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9D42C42" w14:textId="77777777" w:rsidTr="00491E67">
        <w:trPr>
          <w:trHeight w:val="737"/>
        </w:trPr>
        <w:tc>
          <w:tcPr>
            <w:tcW w:w="1250" w:type="pct"/>
            <w:shd w:val="clear" w:color="auto" w:fill="auto"/>
            <w:vAlign w:val="center"/>
          </w:tcPr>
          <w:p w14:paraId="525C6BCB"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3EA0282F" w14:textId="73C60A79" w:rsidR="002D11B8" w:rsidRPr="009C5258" w:rsidRDefault="00CD3071" w:rsidP="00491E67">
            <w:pPr>
              <w:ind w:left="-108"/>
              <w:jc w:val="center"/>
              <w:rPr>
                <w:rFonts w:ascii="Arial Narrow" w:hAnsi="Arial Narrow" w:cs="Arial"/>
                <w:szCs w:val="20"/>
              </w:rPr>
            </w:pPr>
            <w:r w:rsidRPr="00CD3071">
              <w:rPr>
                <w:rFonts w:ascii="Arial Narrow" w:hAnsi="Arial Narrow" w:cs="Calibri"/>
                <w:szCs w:val="20"/>
              </w:rPr>
              <w:t>Documents d’information</w:t>
            </w:r>
          </w:p>
        </w:tc>
        <w:tc>
          <w:tcPr>
            <w:tcW w:w="1250" w:type="pct"/>
            <w:shd w:val="clear" w:color="auto" w:fill="auto"/>
            <w:vAlign w:val="center"/>
          </w:tcPr>
          <w:p w14:paraId="213259F5" w14:textId="5861894B" w:rsidR="002D11B8" w:rsidRPr="00F96689" w:rsidRDefault="003D6AC2" w:rsidP="00491E67">
            <w:pPr>
              <w:ind w:left="-40"/>
              <w:jc w:val="center"/>
              <w:rPr>
                <w:rFonts w:ascii="Arial Narrow" w:hAnsi="Arial Narrow" w:cs="Arial"/>
                <w:b/>
                <w:sz w:val="24"/>
                <w:szCs w:val="24"/>
              </w:rPr>
            </w:pPr>
            <w:r>
              <w:rPr>
                <w:rFonts w:ascii="Arial Narrow" w:hAnsi="Arial Narrow" w:cs="Calibri"/>
                <w:b/>
                <w:sz w:val="24"/>
                <w:szCs w:val="24"/>
              </w:rPr>
              <w:t>CM</w:t>
            </w:r>
            <w:r w:rsidR="004A112E">
              <w:rPr>
                <w:rFonts w:ascii="Arial Narrow" w:hAnsi="Arial Narrow" w:cs="Calibri"/>
                <w:b/>
                <w:sz w:val="24"/>
                <w:szCs w:val="24"/>
              </w:rPr>
              <w:t>/</w:t>
            </w:r>
            <w:proofErr w:type="spellStart"/>
            <w:r w:rsidR="004A112E">
              <w:rPr>
                <w:rFonts w:ascii="Arial Narrow" w:hAnsi="Arial Narrow" w:cs="Calibri"/>
                <w:b/>
                <w:sz w:val="24"/>
                <w:szCs w:val="24"/>
              </w:rPr>
              <w:t>Inf</w:t>
            </w:r>
            <w:proofErr w:type="spellEnd"/>
            <w:r w:rsidR="002C211E">
              <w:rPr>
                <w:rFonts w:ascii="Arial Narrow" w:hAnsi="Arial Narrow" w:cs="Calibri"/>
                <w:b/>
                <w:sz w:val="24"/>
                <w:szCs w:val="24"/>
              </w:rPr>
              <w:t>/</w:t>
            </w:r>
            <w:proofErr w:type="gramStart"/>
            <w:r w:rsidR="002C211E">
              <w:rPr>
                <w:rFonts w:ascii="Arial Narrow" w:hAnsi="Arial Narrow" w:cs="Calibri"/>
                <w:b/>
                <w:sz w:val="24"/>
                <w:szCs w:val="24"/>
              </w:rPr>
              <w:t>DH</w:t>
            </w:r>
            <w:r w:rsidR="00E475F9" w:rsidRPr="00F96689">
              <w:rPr>
                <w:rFonts w:ascii="Arial Narrow" w:hAnsi="Arial Narrow" w:cs="Calibri"/>
                <w:b/>
                <w:sz w:val="24"/>
                <w:szCs w:val="24"/>
              </w:rPr>
              <w:t>(</w:t>
            </w:r>
            <w:proofErr w:type="gramEnd"/>
            <w:r w:rsidR="00356993">
              <w:rPr>
                <w:rFonts w:ascii="Arial Narrow" w:hAnsi="Arial Narrow" w:cs="Calibri"/>
                <w:b/>
                <w:sz w:val="24"/>
                <w:szCs w:val="24"/>
              </w:rPr>
              <w:t>2022</w:t>
            </w:r>
            <w:r w:rsidR="00E475F9" w:rsidRPr="00F96689">
              <w:rPr>
                <w:rFonts w:ascii="Arial Narrow" w:hAnsi="Arial Narrow" w:cs="Calibri"/>
                <w:b/>
                <w:sz w:val="24"/>
                <w:szCs w:val="24"/>
              </w:rPr>
              <w:t>)</w:t>
            </w:r>
            <w:r w:rsidR="002C211E">
              <w:rPr>
                <w:rFonts w:ascii="Arial Narrow" w:hAnsi="Arial Narrow" w:cs="Calibri"/>
                <w:b/>
                <w:sz w:val="24"/>
                <w:szCs w:val="24"/>
              </w:rPr>
              <w:t>9</w:t>
            </w:r>
          </w:p>
        </w:tc>
        <w:tc>
          <w:tcPr>
            <w:tcW w:w="1250" w:type="pct"/>
            <w:shd w:val="clear" w:color="auto" w:fill="auto"/>
            <w:vAlign w:val="center"/>
          </w:tcPr>
          <w:p w14:paraId="23B1DF67" w14:textId="0B478AAF" w:rsidR="002D11B8" w:rsidRPr="00F96689" w:rsidRDefault="000A151E" w:rsidP="00491E67">
            <w:pPr>
              <w:jc w:val="right"/>
              <w:rPr>
                <w:rFonts w:ascii="Arial Narrow" w:hAnsi="Arial Narrow" w:cs="Arial"/>
                <w:sz w:val="16"/>
                <w:szCs w:val="16"/>
              </w:rPr>
            </w:pPr>
            <w:r>
              <w:rPr>
                <w:rFonts w:ascii="Arial Narrow" w:hAnsi="Arial Narrow" w:cs="Calibri"/>
                <w:sz w:val="16"/>
                <w:szCs w:val="16"/>
              </w:rPr>
              <w:t xml:space="preserve">4 </w:t>
            </w:r>
            <w:r w:rsidR="00175311">
              <w:rPr>
                <w:rFonts w:ascii="Arial Narrow" w:hAnsi="Arial Narrow" w:cs="Calibri"/>
                <w:sz w:val="16"/>
                <w:szCs w:val="16"/>
              </w:rPr>
              <w:t>mars</w:t>
            </w:r>
            <w:r w:rsidR="002D11B8" w:rsidRPr="00F96689">
              <w:rPr>
                <w:rFonts w:ascii="Arial Narrow" w:hAnsi="Arial Narrow" w:cs="Calibri"/>
                <w:sz w:val="16"/>
                <w:szCs w:val="16"/>
              </w:rPr>
              <w:t xml:space="preserve"> </w:t>
            </w:r>
            <w:r w:rsidR="00356993">
              <w:rPr>
                <w:rFonts w:ascii="Arial Narrow" w:hAnsi="Arial Narrow" w:cs="Calibri"/>
                <w:sz w:val="16"/>
                <w:szCs w:val="16"/>
              </w:rPr>
              <w:t>2022</w:t>
            </w:r>
            <w:r w:rsidR="00853C90" w:rsidRPr="00B920E4">
              <w:rPr>
                <w:rStyle w:val="FootnoteReference"/>
                <w:rFonts w:ascii="Arial Narrow" w:hAnsi="Arial Narrow" w:cs="Calibri"/>
                <w:sz w:val="16"/>
                <w:szCs w:val="16"/>
              </w:rPr>
              <w:footnoteReference w:id="1"/>
            </w:r>
          </w:p>
        </w:tc>
      </w:tr>
    </w:tbl>
    <w:p w14:paraId="5BB2E8D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6EA2E4A3" w14:textId="77777777" w:rsidTr="00491E67">
        <w:tc>
          <w:tcPr>
            <w:tcW w:w="9399" w:type="dxa"/>
            <w:shd w:val="clear" w:color="auto" w:fill="auto"/>
            <w:tcMar>
              <w:top w:w="227" w:type="dxa"/>
              <w:bottom w:w="227" w:type="dxa"/>
            </w:tcMar>
            <w:vAlign w:val="center"/>
          </w:tcPr>
          <w:p w14:paraId="19F598FC" w14:textId="77777777" w:rsidR="002C211E" w:rsidRDefault="002C211E" w:rsidP="00491E67">
            <w:pPr>
              <w:rPr>
                <w:rFonts w:ascii="Arial Narrow" w:hAnsi="Arial Narrow" w:cs="Calibri"/>
                <w:b/>
                <w:sz w:val="28"/>
                <w:szCs w:val="28"/>
              </w:rPr>
            </w:pPr>
            <w:r w:rsidRPr="002C211E">
              <w:rPr>
                <w:rFonts w:ascii="Arial Narrow" w:hAnsi="Arial Narrow" w:cs="Calibri"/>
                <w:b/>
                <w:sz w:val="28"/>
                <w:szCs w:val="28"/>
              </w:rPr>
              <w:t>Rôle de surveillance du Comité des Ministres au titre de l'article 46 de la Convention européenne des droits de l'homme à l’égard des développements postérieurs à un arrêt de la Cour européenne des droits de l'homme</w:t>
            </w:r>
          </w:p>
          <w:p w14:paraId="2ABC41F8" w14:textId="77777777" w:rsidR="000A307B" w:rsidRPr="00175311" w:rsidRDefault="000A307B" w:rsidP="00491E67">
            <w:pPr>
              <w:rPr>
                <w:rFonts w:ascii="Arial Narrow" w:hAnsi="Arial Narrow" w:cs="Calibri"/>
                <w:sz w:val="22"/>
              </w:rPr>
            </w:pPr>
          </w:p>
          <w:p w14:paraId="133B8D28" w14:textId="7B0F731A" w:rsidR="000A307B" w:rsidRPr="00AD0EFC" w:rsidRDefault="002C211E" w:rsidP="00491E67">
            <w:pPr>
              <w:rPr>
                <w:rFonts w:ascii="Arial Narrow" w:hAnsi="Arial Narrow" w:cs="Calibri"/>
                <w:b/>
                <w:szCs w:val="20"/>
              </w:rPr>
            </w:pPr>
            <w:r w:rsidRPr="002C211E">
              <w:rPr>
                <w:rFonts w:ascii="Arial Narrow" w:hAnsi="Arial Narrow" w:cs="Calibri"/>
                <w:b/>
                <w:szCs w:val="20"/>
              </w:rPr>
              <w:t>Document préparé par le Service de l'exécution des arrêts de la Cour européenne des droits de l'homme</w:t>
            </w:r>
          </w:p>
        </w:tc>
      </w:tr>
    </w:tbl>
    <w:p w14:paraId="7A2A2863" w14:textId="5F1EBEEB" w:rsidR="00491E67" w:rsidRDefault="00491E67" w:rsidP="0037200F">
      <w:pPr>
        <w:rPr>
          <w:rFonts w:eastAsia="Times New Roman"/>
          <w:szCs w:val="24"/>
        </w:rPr>
      </w:pPr>
      <w:r w:rsidRPr="00AD0EFC">
        <w:rPr>
          <w:rFonts w:eastAsia="Times New Roman"/>
          <w:szCs w:val="24"/>
        </w:rPr>
        <w:t xml:space="preserve"> </w:t>
      </w:r>
    </w:p>
    <w:p w14:paraId="605AA174" w14:textId="77777777" w:rsidR="002C211E" w:rsidRDefault="002C211E" w:rsidP="002C211E">
      <w:pPr>
        <w:numPr>
          <w:ilvl w:val="0"/>
          <w:numId w:val="6"/>
        </w:numPr>
        <w:ind w:left="0" w:firstLine="0"/>
        <w:jc w:val="both"/>
        <w:rPr>
          <w:rStyle w:val="sfbbfee58"/>
          <w:rFonts w:cs="Arial"/>
          <w:b/>
          <w:bCs/>
          <w:color w:val="000000"/>
          <w:shd w:val="clear" w:color="auto" w:fill="FFFFFF"/>
        </w:rPr>
      </w:pPr>
      <w:r>
        <w:rPr>
          <w:rStyle w:val="sfbbfee58"/>
          <w:rFonts w:cs="Arial"/>
          <w:b/>
          <w:bCs/>
          <w:color w:val="000000"/>
          <w:szCs w:val="20"/>
          <w:shd w:val="clear" w:color="auto" w:fill="FFFFFF"/>
        </w:rPr>
        <w:t>Introduction</w:t>
      </w:r>
    </w:p>
    <w:p w14:paraId="0FF0B9A8" w14:textId="77777777" w:rsidR="002C211E" w:rsidRDefault="002C211E" w:rsidP="002C211E">
      <w:pPr>
        <w:jc w:val="both"/>
        <w:rPr>
          <w:rStyle w:val="sfbbfee58"/>
          <w:rFonts w:cs="Arial"/>
          <w:color w:val="000000"/>
          <w:szCs w:val="20"/>
          <w:shd w:val="clear" w:color="auto" w:fill="FFFFFF"/>
        </w:rPr>
      </w:pPr>
    </w:p>
    <w:p w14:paraId="210F25B2" w14:textId="303AC5BE" w:rsidR="002C211E" w:rsidRPr="002C211E" w:rsidRDefault="002C211E" w:rsidP="002C211E">
      <w:pPr>
        <w:rPr>
          <w:rFonts w:cs="Arial"/>
          <w:bCs/>
          <w:szCs w:val="20"/>
        </w:rPr>
      </w:pPr>
      <w:r>
        <w:rPr>
          <w:rStyle w:val="sfbbfee58"/>
          <w:rFonts w:cs="Arial"/>
          <w:color w:val="000000"/>
          <w:szCs w:val="20"/>
          <w:shd w:val="clear" w:color="auto" w:fill="FFFFFF"/>
        </w:rPr>
        <w:t xml:space="preserve">La jurisprudence de la Cour européenne (« Cour ») et la pratique bien établie du Comité des Ministres (« Comité ») </w:t>
      </w:r>
      <w:r w:rsidRPr="002C211E">
        <w:rPr>
          <w:rStyle w:val="sfbbfee58"/>
          <w:rFonts w:cs="Arial"/>
          <w:color w:val="000000"/>
          <w:szCs w:val="20"/>
          <w:shd w:val="clear" w:color="auto" w:fill="FFFFFF"/>
        </w:rPr>
        <w:t xml:space="preserve">indiquent clairement que, dans le cadre de l'équilibre institutionnel entre ces organes en vertu de la </w:t>
      </w:r>
      <w:r w:rsidRPr="002C211E">
        <w:rPr>
          <w:rFonts w:cs="Arial"/>
          <w:color w:val="000000"/>
          <w:szCs w:val="20"/>
          <w:shd w:val="clear" w:color="auto" w:fill="FFFFFF"/>
        </w:rPr>
        <w:t>Convention européenne des droits de l'homme (« Convention »)</w:t>
      </w:r>
      <w:r w:rsidRPr="002C211E">
        <w:rPr>
          <w:rStyle w:val="sfbbfee58"/>
          <w:rFonts w:cs="Arial"/>
          <w:color w:val="000000"/>
          <w:szCs w:val="20"/>
          <w:shd w:val="clear" w:color="auto" w:fill="FFFFFF"/>
        </w:rPr>
        <w:t xml:space="preserve">, il </w:t>
      </w:r>
      <w:r w:rsidRPr="002C211E">
        <w:rPr>
          <w:rFonts w:cs="Arial"/>
          <w:bCs/>
          <w:color w:val="000000"/>
          <w:szCs w:val="20"/>
          <w:shd w:val="clear" w:color="auto" w:fill="FFFFFF"/>
        </w:rPr>
        <w:t xml:space="preserve">appartient au Comité d'évaluer si les mesures prises par les États membres en réponse aux arrêts de la Cour sont suffisantes pour mettre fin à la violation de la Convention et </w:t>
      </w:r>
      <w:r w:rsidR="006B7EA0">
        <w:rPr>
          <w:rFonts w:cs="Arial"/>
          <w:bCs/>
          <w:color w:val="000000"/>
          <w:szCs w:val="20"/>
          <w:shd w:val="clear" w:color="auto" w:fill="FFFFFF"/>
        </w:rPr>
        <w:t>prévenir</w:t>
      </w:r>
      <w:r w:rsidRPr="002C211E">
        <w:rPr>
          <w:rFonts w:cs="Arial"/>
          <w:bCs/>
          <w:color w:val="000000"/>
          <w:szCs w:val="20"/>
          <w:shd w:val="clear" w:color="auto" w:fill="FFFFFF"/>
        </w:rPr>
        <w:t xml:space="preserve"> des violations similaires</w:t>
      </w:r>
      <w:r w:rsidRPr="002C211E">
        <w:rPr>
          <w:rFonts w:cs="Arial"/>
          <w:bCs/>
          <w:color w:val="000000"/>
          <w:szCs w:val="20"/>
          <w:shd w:val="clear" w:color="auto" w:fill="FFFFFF"/>
          <w:vertAlign w:val="superscript"/>
        </w:rPr>
        <w:footnoteReference w:id="2"/>
      </w:r>
      <w:r w:rsidRPr="002C211E">
        <w:rPr>
          <w:rFonts w:cs="Arial"/>
          <w:bCs/>
          <w:color w:val="000000"/>
          <w:szCs w:val="20"/>
          <w:shd w:val="clear" w:color="auto" w:fill="FFFFFF"/>
        </w:rPr>
        <w:t>.</w:t>
      </w:r>
    </w:p>
    <w:p w14:paraId="5D25D1F6" w14:textId="77777777" w:rsidR="002C211E" w:rsidRPr="002C211E" w:rsidRDefault="002C211E" w:rsidP="002C211E">
      <w:pPr>
        <w:rPr>
          <w:rFonts w:cs="Arial"/>
          <w:bCs/>
          <w:color w:val="000000"/>
          <w:szCs w:val="20"/>
          <w:shd w:val="clear" w:color="auto" w:fill="FFFFFF"/>
        </w:rPr>
      </w:pPr>
    </w:p>
    <w:p w14:paraId="0EF4C255" w14:textId="42E54C6B" w:rsidR="002C211E" w:rsidRPr="002C211E" w:rsidRDefault="002C211E" w:rsidP="002C211E">
      <w:pPr>
        <w:rPr>
          <w:rFonts w:cs="Arial"/>
          <w:bCs/>
          <w:szCs w:val="20"/>
          <w:shd w:val="clear" w:color="auto" w:fill="FFFFFF"/>
        </w:rPr>
      </w:pPr>
      <w:r w:rsidRPr="002C211E">
        <w:rPr>
          <w:rStyle w:val="sfbbfee58"/>
          <w:rFonts w:cs="Arial"/>
          <w:color w:val="000000"/>
          <w:szCs w:val="20"/>
          <w:shd w:val="clear" w:color="auto" w:fill="FFFFFF"/>
        </w:rPr>
        <w:t xml:space="preserve">Le Comité a la compétence et le devoir de </w:t>
      </w:r>
      <w:r w:rsidR="006B7EA0">
        <w:rPr>
          <w:rFonts w:cs="Arial"/>
          <w:bCs/>
          <w:color w:val="000000"/>
          <w:szCs w:val="20"/>
          <w:shd w:val="clear" w:color="auto" w:fill="FFFFFF"/>
        </w:rPr>
        <w:t>surveiller</w:t>
      </w:r>
      <w:r w:rsidRPr="002C211E">
        <w:rPr>
          <w:rFonts w:cs="Arial"/>
          <w:bCs/>
          <w:color w:val="000000"/>
          <w:szCs w:val="20"/>
          <w:shd w:val="clear" w:color="auto" w:fill="FFFFFF"/>
        </w:rPr>
        <w:t xml:space="preserve"> l'adoption des mesures nécessaires, sur la base des informations fournies par l’État défendeur et en tenant dûment compte de l’évolution de la situation du requérant</w:t>
      </w:r>
      <w:r w:rsidRPr="002C211E">
        <w:rPr>
          <w:rFonts w:cs="Arial"/>
          <w:bCs/>
          <w:color w:val="000000"/>
          <w:szCs w:val="20"/>
          <w:shd w:val="clear" w:color="auto" w:fill="FFFFFF"/>
          <w:vertAlign w:val="superscript"/>
        </w:rPr>
        <w:t xml:space="preserve"> </w:t>
      </w:r>
      <w:r w:rsidRPr="002C211E">
        <w:rPr>
          <w:rFonts w:cs="Arial"/>
          <w:bCs/>
          <w:color w:val="000000"/>
          <w:szCs w:val="20"/>
          <w:shd w:val="clear" w:color="auto" w:fill="FFFFFF"/>
          <w:vertAlign w:val="superscript"/>
        </w:rPr>
        <w:footnoteReference w:id="3"/>
      </w:r>
      <w:r w:rsidRPr="002C211E">
        <w:rPr>
          <w:rFonts w:cs="Arial"/>
          <w:bCs/>
          <w:color w:val="000000"/>
          <w:szCs w:val="20"/>
          <w:shd w:val="clear" w:color="auto" w:fill="FFFFFF"/>
        </w:rPr>
        <w:t>. Il peut revoir tous les éléments liés à l’exécution, par exemple lorsque des éléments objectifs</w:t>
      </w:r>
      <w:r w:rsidR="00A66BA1">
        <w:rPr>
          <w:rFonts w:cs="Arial"/>
          <w:bCs/>
          <w:color w:val="000000"/>
          <w:szCs w:val="20"/>
          <w:shd w:val="clear" w:color="auto" w:fill="FFFFFF"/>
        </w:rPr>
        <w:t xml:space="preserve"> apparus </w:t>
      </w:r>
      <w:r w:rsidRPr="002C211E">
        <w:rPr>
          <w:rFonts w:cs="Arial"/>
          <w:bCs/>
          <w:color w:val="000000"/>
          <w:szCs w:val="20"/>
          <w:shd w:val="clear" w:color="auto" w:fill="FFFFFF"/>
        </w:rPr>
        <w:t xml:space="preserve">après le prononcé de l’arrêt de la Cour doivent être pris en compte dans </w:t>
      </w:r>
      <w:r w:rsidR="00F46E63">
        <w:rPr>
          <w:rFonts w:cs="Arial"/>
          <w:bCs/>
          <w:color w:val="000000"/>
          <w:szCs w:val="20"/>
          <w:shd w:val="clear" w:color="auto" w:fill="FFFFFF"/>
        </w:rPr>
        <w:t xml:space="preserve">le processus </w:t>
      </w:r>
      <w:r w:rsidRPr="002C211E">
        <w:rPr>
          <w:rFonts w:cs="Arial"/>
          <w:bCs/>
          <w:color w:val="000000"/>
          <w:szCs w:val="20"/>
          <w:shd w:val="clear" w:color="auto" w:fill="FFFFFF"/>
        </w:rPr>
        <w:t>de surveillance</w:t>
      </w:r>
      <w:r w:rsidRPr="002C211E">
        <w:rPr>
          <w:rFonts w:cs="Arial"/>
          <w:bCs/>
          <w:color w:val="000000"/>
          <w:szCs w:val="20"/>
          <w:shd w:val="clear" w:color="auto" w:fill="FFFFFF"/>
          <w:vertAlign w:val="superscript"/>
        </w:rPr>
        <w:footnoteReference w:id="4"/>
      </w:r>
      <w:r w:rsidRPr="002C211E">
        <w:rPr>
          <w:rFonts w:cs="Arial"/>
          <w:bCs/>
          <w:color w:val="000000"/>
          <w:szCs w:val="20"/>
          <w:shd w:val="clear" w:color="auto" w:fill="FFFFFF"/>
        </w:rPr>
        <w:t>.</w:t>
      </w:r>
    </w:p>
    <w:p w14:paraId="5ECFE2EF" w14:textId="77777777" w:rsidR="002C211E" w:rsidRPr="002C211E" w:rsidRDefault="002C211E" w:rsidP="002C211E">
      <w:pPr>
        <w:pStyle w:val="ListParagraph"/>
        <w:ind w:left="0"/>
        <w:rPr>
          <w:rFonts w:cs="Arial"/>
          <w:bCs/>
          <w:szCs w:val="20"/>
          <w:shd w:val="clear" w:color="auto" w:fill="FFFFFF"/>
          <w:lang w:eastAsia="fr-FR"/>
        </w:rPr>
      </w:pPr>
    </w:p>
    <w:p w14:paraId="6841E388" w14:textId="77777777" w:rsidR="002C211E" w:rsidRPr="002C211E" w:rsidRDefault="002C211E" w:rsidP="002C211E">
      <w:pPr>
        <w:rPr>
          <w:rFonts w:cs="Arial"/>
          <w:bCs/>
          <w:szCs w:val="20"/>
          <w:lang w:eastAsia="fr-FR"/>
        </w:rPr>
      </w:pPr>
      <w:r w:rsidRPr="002C211E">
        <w:rPr>
          <w:rFonts w:cs="Arial"/>
          <w:color w:val="000000"/>
          <w:szCs w:val="20"/>
          <w:shd w:val="clear" w:color="auto" w:fill="FFFFFF"/>
        </w:rPr>
        <w:t xml:space="preserve">Ces éléments peuvent comprendre l'évolution des procédures judiciaires nationales. Le </w:t>
      </w:r>
      <w:r w:rsidRPr="002C211E">
        <w:rPr>
          <w:rFonts w:cs="Arial"/>
          <w:szCs w:val="20"/>
        </w:rPr>
        <w:t xml:space="preserve">Comité a souligné que le réexamen d’une affaire par les autorités judiciaires nationales, y compris la réouverture d’une procédure, est un aspect important du processus d'exécution et, dans certains cas, le seul moyen de réaliser la </w:t>
      </w:r>
      <w:proofErr w:type="spellStart"/>
      <w:r w:rsidRPr="002C211E">
        <w:rPr>
          <w:rFonts w:cs="Arial"/>
          <w:i/>
          <w:iCs/>
          <w:szCs w:val="20"/>
        </w:rPr>
        <w:t>restitutio</w:t>
      </w:r>
      <w:proofErr w:type="spellEnd"/>
      <w:r w:rsidRPr="002C211E">
        <w:rPr>
          <w:rFonts w:cs="Arial"/>
          <w:i/>
          <w:iCs/>
          <w:szCs w:val="20"/>
        </w:rPr>
        <w:t xml:space="preserve"> in integrum</w:t>
      </w:r>
      <w:r w:rsidRPr="002C211E">
        <w:rPr>
          <w:rStyle w:val="FootnoteReference"/>
          <w:rFonts w:cs="Arial"/>
          <w:szCs w:val="20"/>
        </w:rPr>
        <w:footnoteReference w:id="5"/>
      </w:r>
      <w:r w:rsidRPr="002C211E">
        <w:rPr>
          <w:rFonts w:cs="Arial"/>
          <w:i/>
          <w:iCs/>
          <w:szCs w:val="20"/>
        </w:rPr>
        <w:t>.</w:t>
      </w:r>
      <w:r w:rsidRPr="002C211E">
        <w:rPr>
          <w:rFonts w:cs="Arial"/>
          <w:szCs w:val="20"/>
        </w:rPr>
        <w:t xml:space="preserve"> De même, la </w:t>
      </w:r>
      <w:r w:rsidRPr="002C211E">
        <w:rPr>
          <w:rFonts w:cs="Arial"/>
          <w:bCs/>
          <w:szCs w:val="20"/>
        </w:rPr>
        <w:t>Cour a souligné l'importance de veiller à ce que des procédures internes soient en place pour permettre le réexamen d'une affaire à la lumière d'un constat de violation de la Convention et a souligné que de telles procédures peuvent être considérées comme un aspect important de l'exécution de ses arrêts</w:t>
      </w:r>
      <w:r w:rsidRPr="002C211E">
        <w:rPr>
          <w:rFonts w:cs="Arial"/>
          <w:bCs/>
          <w:szCs w:val="20"/>
          <w:vertAlign w:val="superscript"/>
        </w:rPr>
        <w:footnoteReference w:id="6"/>
      </w:r>
      <w:r w:rsidRPr="002C211E">
        <w:rPr>
          <w:rFonts w:cs="Arial"/>
          <w:bCs/>
          <w:szCs w:val="20"/>
        </w:rPr>
        <w:t>.</w:t>
      </w:r>
    </w:p>
    <w:p w14:paraId="42C2CA26" w14:textId="77777777" w:rsidR="002C211E" w:rsidRPr="002C211E" w:rsidRDefault="002C211E" w:rsidP="002C211E">
      <w:pPr>
        <w:rPr>
          <w:rFonts w:cs="Arial"/>
          <w:bCs/>
          <w:szCs w:val="20"/>
        </w:rPr>
      </w:pPr>
    </w:p>
    <w:p w14:paraId="45D1E34E" w14:textId="77777777" w:rsidR="002C211E" w:rsidRPr="002C211E" w:rsidRDefault="002C211E" w:rsidP="002C211E">
      <w:pPr>
        <w:rPr>
          <w:rFonts w:cs="Arial"/>
          <w:color w:val="000000"/>
          <w:szCs w:val="20"/>
          <w:shd w:val="clear" w:color="auto" w:fill="FFFFFF"/>
        </w:rPr>
      </w:pPr>
      <w:r w:rsidRPr="002C211E">
        <w:rPr>
          <w:rFonts w:cs="Arial"/>
          <w:szCs w:val="20"/>
        </w:rPr>
        <w:t xml:space="preserve">Les procédures administratives, civiles ou pénales - qui se poursuivent, sont engagées ou sont réouvertes en </w:t>
      </w:r>
      <w:proofErr w:type="gramStart"/>
      <w:r w:rsidRPr="002C211E">
        <w:rPr>
          <w:rFonts w:cs="Arial"/>
          <w:szCs w:val="20"/>
        </w:rPr>
        <w:t>réponse</w:t>
      </w:r>
      <w:proofErr w:type="gramEnd"/>
      <w:r w:rsidRPr="002C211E">
        <w:rPr>
          <w:rFonts w:cs="Arial"/>
          <w:szCs w:val="20"/>
        </w:rPr>
        <w:t xml:space="preserve"> à des violations de la Convention établies par les arrêts de la Cour - peuvent donc constituer des mesures individuelles essentielles pour fournir une réparation adéquate aux requérants. Elles font partie de l’évolution de la </w:t>
      </w:r>
      <w:r w:rsidRPr="002C211E">
        <w:rPr>
          <w:rStyle w:val="sfbbfee58"/>
          <w:rFonts w:cs="Arial"/>
          <w:color w:val="000000"/>
          <w:szCs w:val="20"/>
          <w:shd w:val="clear" w:color="auto" w:fill="FFFFFF"/>
        </w:rPr>
        <w:t xml:space="preserve">situation factuelle que </w:t>
      </w:r>
      <w:r w:rsidRPr="002C211E">
        <w:rPr>
          <w:rFonts w:cs="Arial"/>
          <w:szCs w:val="20"/>
        </w:rPr>
        <w:t xml:space="preserve">le Comité </w:t>
      </w:r>
      <w:r w:rsidRPr="002C211E">
        <w:rPr>
          <w:rStyle w:val="sfbbfee58"/>
          <w:rFonts w:cs="Arial"/>
          <w:color w:val="000000"/>
          <w:szCs w:val="20"/>
          <w:shd w:val="clear" w:color="auto" w:fill="FFFFFF"/>
        </w:rPr>
        <w:t xml:space="preserve">doit </w:t>
      </w:r>
      <w:r w:rsidRPr="002C211E">
        <w:rPr>
          <w:rFonts w:cs="Arial"/>
          <w:szCs w:val="20"/>
        </w:rPr>
        <w:t xml:space="preserve">évaluer pour s'assurer qu'elles mettent fin à la violation et remédient, dans la mesure du possible, à ses conséquences négatives. </w:t>
      </w:r>
    </w:p>
    <w:p w14:paraId="2009F676" w14:textId="77777777" w:rsidR="002C211E" w:rsidRPr="002C211E" w:rsidRDefault="002C211E" w:rsidP="002C211E">
      <w:pPr>
        <w:rPr>
          <w:rFonts w:cs="Arial"/>
          <w:color w:val="000000"/>
          <w:szCs w:val="20"/>
          <w:shd w:val="clear" w:color="auto" w:fill="FFFFFF"/>
        </w:rPr>
      </w:pPr>
    </w:p>
    <w:p w14:paraId="55CABF51" w14:textId="422927FA" w:rsidR="002C211E" w:rsidRDefault="006B7EA0" w:rsidP="002C211E">
      <w:pPr>
        <w:rPr>
          <w:rFonts w:cs="Arial"/>
          <w:color w:val="000000"/>
          <w:szCs w:val="20"/>
          <w:shd w:val="clear" w:color="auto" w:fill="FFFFFF"/>
        </w:rPr>
      </w:pPr>
      <w:r>
        <w:rPr>
          <w:rFonts w:cs="Arial"/>
          <w:color w:val="000000"/>
          <w:szCs w:val="20"/>
          <w:shd w:val="clear" w:color="auto" w:fill="FFFFFF"/>
        </w:rPr>
        <w:t>Dans le</w:t>
      </w:r>
      <w:r w:rsidR="002C211E" w:rsidRPr="002C211E">
        <w:rPr>
          <w:rFonts w:cs="Arial"/>
          <w:color w:val="000000"/>
          <w:szCs w:val="20"/>
          <w:shd w:val="clear" w:color="auto" w:fill="FFFFFF"/>
        </w:rPr>
        <w:t xml:space="preserve"> même temps, ces procédures peuvent soulever de nouvelles questions au regard de la Convention et constituer la base de nouvelles requêtes devant la Cour. Selon la jurisprudence de la Cour, le rôle du Comité dans ce domaine ne signifie pas que les mesures prises par un État défendeur en vue de remédier à la violation constatée par la Cour ne </w:t>
      </w:r>
      <w:r>
        <w:rPr>
          <w:rFonts w:cs="Arial"/>
          <w:color w:val="000000"/>
          <w:szCs w:val="20"/>
          <w:shd w:val="clear" w:color="auto" w:fill="FFFFFF"/>
        </w:rPr>
        <w:t>peuvent</w:t>
      </w:r>
      <w:r w:rsidR="002C211E" w:rsidRPr="002C211E">
        <w:rPr>
          <w:rFonts w:cs="Arial"/>
          <w:color w:val="000000"/>
          <w:szCs w:val="20"/>
          <w:shd w:val="clear" w:color="auto" w:fill="FFFFFF"/>
        </w:rPr>
        <w:t xml:space="preserve"> pas soulever un problème nouveau, non tranché par l’arrêt et, dès lors, faire l’objet d’une nouvelle requête dont la Cour pourrait avoir à connaître</w:t>
      </w:r>
      <w:r w:rsidR="002C211E" w:rsidRPr="002C211E">
        <w:rPr>
          <w:rStyle w:val="FootnoteReference"/>
          <w:rFonts w:cs="Arial"/>
          <w:color w:val="000000"/>
          <w:szCs w:val="20"/>
          <w:shd w:val="clear" w:color="auto" w:fill="FFFFFF"/>
        </w:rPr>
        <w:footnoteReference w:id="7"/>
      </w:r>
      <w:r w:rsidR="002C211E" w:rsidRPr="002C211E">
        <w:rPr>
          <w:rFonts w:cs="Arial"/>
          <w:color w:val="000000"/>
          <w:szCs w:val="20"/>
          <w:shd w:val="clear" w:color="auto" w:fill="FFFFFF"/>
        </w:rPr>
        <w:t xml:space="preserve">. </w:t>
      </w:r>
    </w:p>
    <w:p w14:paraId="347327CF" w14:textId="77777777" w:rsidR="002C211E" w:rsidRDefault="002C211E">
      <w:pPr>
        <w:rPr>
          <w:rFonts w:cs="Arial"/>
          <w:color w:val="000000"/>
          <w:szCs w:val="20"/>
          <w:shd w:val="clear" w:color="auto" w:fill="FFFFFF"/>
        </w:rPr>
      </w:pPr>
      <w:r>
        <w:rPr>
          <w:rFonts w:cs="Arial"/>
          <w:color w:val="000000"/>
          <w:szCs w:val="20"/>
          <w:shd w:val="clear" w:color="auto" w:fill="FFFFFF"/>
        </w:rPr>
        <w:br w:type="page"/>
      </w:r>
    </w:p>
    <w:p w14:paraId="3940DF84" w14:textId="680E4557" w:rsidR="002C211E" w:rsidRPr="002C211E" w:rsidRDefault="002C211E" w:rsidP="002C211E">
      <w:pPr>
        <w:rPr>
          <w:rFonts w:cs="Arial"/>
          <w:color w:val="000000"/>
          <w:szCs w:val="20"/>
          <w:shd w:val="clear" w:color="auto" w:fill="FFFFFF"/>
        </w:rPr>
      </w:pPr>
      <w:r w:rsidRPr="002C211E">
        <w:rPr>
          <w:rFonts w:cs="Arial"/>
          <w:color w:val="000000"/>
          <w:szCs w:val="20"/>
          <w:shd w:val="clear" w:color="auto" w:fill="FFFFFF"/>
        </w:rPr>
        <w:lastRenderedPageBreak/>
        <w:t xml:space="preserve">Dans certaines circonstances, la Cour peut décider que, à la lumière du travail de </w:t>
      </w:r>
      <w:r w:rsidR="006B7EA0">
        <w:rPr>
          <w:rFonts w:cs="Arial"/>
          <w:color w:val="000000"/>
          <w:szCs w:val="20"/>
          <w:shd w:val="clear" w:color="auto" w:fill="FFFFFF"/>
        </w:rPr>
        <w:t>surveillance</w:t>
      </w:r>
      <w:r w:rsidRPr="002C211E">
        <w:rPr>
          <w:rFonts w:cs="Arial"/>
          <w:color w:val="000000"/>
          <w:szCs w:val="20"/>
          <w:shd w:val="clear" w:color="auto" w:fill="FFFFFF"/>
        </w:rPr>
        <w:t xml:space="preserve"> du Comité, la protection des droits de l'homme n'exige pas qu'elle procède à un examen</w:t>
      </w:r>
      <w:r w:rsidRPr="002C211E">
        <w:rPr>
          <w:rStyle w:val="FootnoteReference"/>
          <w:rFonts w:cs="Arial"/>
          <w:color w:val="000000"/>
          <w:szCs w:val="20"/>
          <w:shd w:val="clear" w:color="auto" w:fill="FFFFFF"/>
        </w:rPr>
        <w:footnoteReference w:id="8"/>
      </w:r>
      <w:r w:rsidRPr="002C211E">
        <w:rPr>
          <w:rFonts w:cs="Arial"/>
          <w:color w:val="000000"/>
          <w:szCs w:val="20"/>
          <w:shd w:val="clear" w:color="auto" w:fill="FFFFFF"/>
        </w:rPr>
        <w:t>. Dans d'autres</w:t>
      </w:r>
      <w:r w:rsidR="006B7EA0">
        <w:rPr>
          <w:rFonts w:cs="Arial"/>
          <w:color w:val="000000"/>
          <w:szCs w:val="20"/>
          <w:shd w:val="clear" w:color="auto" w:fill="FFFFFF"/>
        </w:rPr>
        <w:t xml:space="preserve"> circonstances</w:t>
      </w:r>
      <w:r w:rsidRPr="002C211E">
        <w:rPr>
          <w:rFonts w:cs="Arial"/>
          <w:color w:val="000000"/>
          <w:szCs w:val="20"/>
          <w:shd w:val="clear" w:color="auto" w:fill="FFFFFF"/>
        </w:rPr>
        <w:t>, elle peut procéder à son évaluation</w:t>
      </w:r>
      <w:r w:rsidRPr="002C211E">
        <w:rPr>
          <w:rStyle w:val="FootnoteReference"/>
          <w:rFonts w:cs="Arial"/>
          <w:color w:val="000000"/>
          <w:szCs w:val="20"/>
          <w:shd w:val="clear" w:color="auto" w:fill="FFFFFF"/>
        </w:rPr>
        <w:footnoteReference w:id="9"/>
      </w:r>
      <w:r w:rsidRPr="002C211E">
        <w:rPr>
          <w:rFonts w:cs="Arial"/>
          <w:color w:val="000000"/>
          <w:szCs w:val="20"/>
          <w:shd w:val="clear" w:color="auto" w:fill="FFFFFF"/>
        </w:rPr>
        <w:t>. De telles situations ne sont pas rares</w:t>
      </w:r>
      <w:r w:rsidRPr="002C211E">
        <w:rPr>
          <w:rStyle w:val="FootnoteReference"/>
          <w:rFonts w:cs="Arial"/>
          <w:color w:val="000000"/>
          <w:szCs w:val="20"/>
          <w:shd w:val="clear" w:color="auto" w:fill="FFFFFF"/>
        </w:rPr>
        <w:footnoteReference w:id="10"/>
      </w:r>
      <w:r w:rsidRPr="002C211E">
        <w:rPr>
          <w:rFonts w:cs="Arial"/>
          <w:color w:val="000000"/>
          <w:szCs w:val="20"/>
          <w:shd w:val="clear" w:color="auto" w:fill="FFFFFF"/>
        </w:rPr>
        <w:t xml:space="preserve"> et aucune des deux approches de la Cour n'affecte la compétence continue du Comité d'examiner ces mêmes développements en vertu de l'article 46 de la Convention</w:t>
      </w:r>
      <w:r w:rsidRPr="002C211E">
        <w:rPr>
          <w:rFonts w:cs="Arial"/>
          <w:color w:val="000000"/>
          <w:szCs w:val="20"/>
          <w:shd w:val="clear" w:color="auto" w:fill="FFFFFF"/>
          <w:vertAlign w:val="superscript"/>
        </w:rPr>
        <w:footnoteReference w:id="11"/>
      </w:r>
      <w:r w:rsidRPr="002C211E">
        <w:rPr>
          <w:rFonts w:cs="Arial"/>
          <w:color w:val="000000"/>
          <w:szCs w:val="20"/>
          <w:shd w:val="clear" w:color="auto" w:fill="FFFFFF"/>
        </w:rPr>
        <w:t>.</w:t>
      </w:r>
    </w:p>
    <w:p w14:paraId="08CB8BD8" w14:textId="77777777" w:rsidR="002C211E" w:rsidRPr="002C211E" w:rsidRDefault="002C211E" w:rsidP="002C211E">
      <w:pPr>
        <w:rPr>
          <w:rFonts w:cs="Arial"/>
          <w:color w:val="000000"/>
          <w:szCs w:val="20"/>
          <w:shd w:val="clear" w:color="auto" w:fill="FFFFFF"/>
        </w:rPr>
      </w:pPr>
    </w:p>
    <w:p w14:paraId="03C09C7D" w14:textId="77777777" w:rsidR="002C211E" w:rsidRPr="002C211E" w:rsidRDefault="002C211E" w:rsidP="002C211E">
      <w:pPr>
        <w:rPr>
          <w:rFonts w:cs="Arial"/>
          <w:color w:val="000000"/>
          <w:szCs w:val="20"/>
          <w:shd w:val="clear" w:color="auto" w:fill="FFFFFF"/>
        </w:rPr>
      </w:pPr>
      <w:r w:rsidRPr="002C211E">
        <w:rPr>
          <w:rFonts w:cs="Arial"/>
          <w:color w:val="000000"/>
          <w:szCs w:val="20"/>
          <w:shd w:val="clear" w:color="auto" w:fill="FFFFFF"/>
        </w:rPr>
        <w:t xml:space="preserve">Il s'ensuit que la Cour et le Comité, dans le cadre de </w:t>
      </w:r>
      <w:r w:rsidRPr="002C211E">
        <w:rPr>
          <w:rStyle w:val="sfbbfee58"/>
          <w:rFonts w:cs="Arial"/>
          <w:color w:val="000000"/>
          <w:szCs w:val="20"/>
          <w:shd w:val="clear" w:color="auto" w:fill="FFFFFF"/>
        </w:rPr>
        <w:t xml:space="preserve">leurs mandats différents, peuvent être appelés à examiner, </w:t>
      </w:r>
      <w:r w:rsidRPr="002C211E">
        <w:rPr>
          <w:rFonts w:cs="Arial"/>
          <w:color w:val="000000"/>
          <w:szCs w:val="20"/>
          <w:shd w:val="clear" w:color="auto" w:fill="FFFFFF"/>
        </w:rPr>
        <w:t xml:space="preserve">même simultanément, </w:t>
      </w:r>
      <w:r w:rsidRPr="002C211E">
        <w:rPr>
          <w:rStyle w:val="sfbbfee58"/>
          <w:rFonts w:cs="Arial"/>
          <w:color w:val="000000"/>
          <w:szCs w:val="20"/>
          <w:shd w:val="clear" w:color="auto" w:fill="FFFFFF"/>
        </w:rPr>
        <w:t xml:space="preserve">les mêmes procédures internes. Dans ces circonstances, le rôle du Comité est d'évaluer si ces procédures fournissent </w:t>
      </w:r>
      <w:r w:rsidRPr="002C211E">
        <w:rPr>
          <w:rFonts w:cs="Arial"/>
          <w:color w:val="000000"/>
          <w:szCs w:val="20"/>
          <w:shd w:val="clear" w:color="auto" w:fill="FFFFFF"/>
        </w:rPr>
        <w:t xml:space="preserve">une réparation adéquate au requérant conformément aux conclusions et à l'esprit de l'arrêt de la Cour, tandis que la perspective de la Cour est d'évaluer si elles soulèvent une question nouvelle qui révèle une violation de la Convention. </w:t>
      </w:r>
    </w:p>
    <w:p w14:paraId="0F4011AC" w14:textId="77777777" w:rsidR="002C211E" w:rsidRPr="002C211E" w:rsidRDefault="002C211E" w:rsidP="002C211E">
      <w:pPr>
        <w:pStyle w:val="ListParagraph"/>
        <w:rPr>
          <w:rFonts w:cs="Arial"/>
          <w:bCs/>
          <w:szCs w:val="20"/>
        </w:rPr>
      </w:pPr>
    </w:p>
    <w:p w14:paraId="27F2B80C" w14:textId="77777777" w:rsidR="002C211E" w:rsidRPr="002C211E" w:rsidRDefault="002C211E" w:rsidP="002C211E">
      <w:pPr>
        <w:pStyle w:val="ListParagraph"/>
        <w:numPr>
          <w:ilvl w:val="0"/>
          <w:numId w:val="6"/>
        </w:numPr>
        <w:ind w:left="0" w:firstLine="0"/>
        <w:rPr>
          <w:rFonts w:cs="Arial"/>
          <w:b/>
          <w:szCs w:val="20"/>
        </w:rPr>
      </w:pPr>
      <w:r w:rsidRPr="002C211E">
        <w:rPr>
          <w:rFonts w:cs="Arial"/>
          <w:b/>
          <w:szCs w:val="20"/>
        </w:rPr>
        <w:t>La pratique du Comité des Ministres</w:t>
      </w:r>
    </w:p>
    <w:p w14:paraId="258B5F8E" w14:textId="77777777" w:rsidR="002C211E" w:rsidRPr="002C211E" w:rsidRDefault="002C211E" w:rsidP="002C211E">
      <w:pPr>
        <w:pStyle w:val="ListParagraph"/>
        <w:ind w:left="0"/>
        <w:rPr>
          <w:rFonts w:cs="Arial"/>
          <w:b/>
          <w:szCs w:val="20"/>
        </w:rPr>
      </w:pPr>
    </w:p>
    <w:p w14:paraId="6EDD9117" w14:textId="77777777" w:rsidR="002C211E" w:rsidRPr="002C211E" w:rsidRDefault="002C211E" w:rsidP="002C211E">
      <w:pPr>
        <w:numPr>
          <w:ilvl w:val="0"/>
          <w:numId w:val="7"/>
        </w:numPr>
        <w:rPr>
          <w:rFonts w:cs="Arial"/>
          <w:i/>
          <w:iCs/>
          <w:szCs w:val="20"/>
        </w:rPr>
      </w:pPr>
      <w:r w:rsidRPr="002C211E">
        <w:rPr>
          <w:rFonts w:cs="Arial"/>
          <w:i/>
          <w:iCs/>
          <w:szCs w:val="20"/>
        </w:rPr>
        <w:t xml:space="preserve">Examen par le Comité des développements intervenus à la suite d'un arrêt de la Cour </w:t>
      </w:r>
    </w:p>
    <w:p w14:paraId="45141CA3" w14:textId="77777777" w:rsidR="002C211E" w:rsidRPr="002C211E" w:rsidRDefault="002C211E" w:rsidP="002C211E">
      <w:pPr>
        <w:rPr>
          <w:rFonts w:cs="Arial"/>
          <w:szCs w:val="20"/>
        </w:rPr>
      </w:pPr>
    </w:p>
    <w:p w14:paraId="2F9B67AB" w14:textId="604064F9" w:rsidR="002C211E" w:rsidRPr="002C211E" w:rsidRDefault="002C211E" w:rsidP="002C211E">
      <w:pPr>
        <w:rPr>
          <w:rFonts w:cs="Arial"/>
          <w:szCs w:val="20"/>
        </w:rPr>
      </w:pPr>
      <w:r w:rsidRPr="002C211E">
        <w:rPr>
          <w:rFonts w:cs="Arial"/>
          <w:szCs w:val="20"/>
        </w:rPr>
        <w:t>La pratique du Comité en matière de surveillance de l'exécution des arrêts de la Cour est basée sur le suivi et l'évaluation de tout développement postérieur à l'arrêt</w:t>
      </w:r>
      <w:r w:rsidR="00F46E63">
        <w:rPr>
          <w:rFonts w:cs="Arial"/>
          <w:szCs w:val="20"/>
        </w:rPr>
        <w:t xml:space="preserve"> et qui est</w:t>
      </w:r>
      <w:r w:rsidRPr="002C211E">
        <w:rPr>
          <w:rFonts w:cs="Arial"/>
          <w:szCs w:val="20"/>
        </w:rPr>
        <w:t xml:space="preserve"> pertinent pour l'obligation de l'État en vertu de l'article 46 de la Convention. Il s'agit d'une condition évidente et essentielle pour garantir </w:t>
      </w:r>
      <w:r w:rsidR="006B7EA0">
        <w:rPr>
          <w:rFonts w:cs="Arial"/>
          <w:szCs w:val="20"/>
        </w:rPr>
        <w:t>l’effectivité</w:t>
      </w:r>
      <w:r w:rsidRPr="002C211E">
        <w:rPr>
          <w:rFonts w:cs="Arial"/>
          <w:szCs w:val="20"/>
        </w:rPr>
        <w:t xml:space="preserve"> du processus d'exécution. </w:t>
      </w:r>
    </w:p>
    <w:p w14:paraId="77E4C56A" w14:textId="77777777" w:rsidR="002C211E" w:rsidRPr="002C211E" w:rsidRDefault="002C211E" w:rsidP="002C211E">
      <w:pPr>
        <w:rPr>
          <w:rFonts w:cs="Arial"/>
          <w:szCs w:val="20"/>
        </w:rPr>
      </w:pPr>
    </w:p>
    <w:p w14:paraId="1E76597D" w14:textId="77777777" w:rsidR="002C211E" w:rsidRPr="002C211E" w:rsidRDefault="002C211E" w:rsidP="002C211E">
      <w:pPr>
        <w:rPr>
          <w:rFonts w:cs="Arial"/>
          <w:szCs w:val="20"/>
        </w:rPr>
      </w:pPr>
      <w:r w:rsidRPr="002C211E">
        <w:rPr>
          <w:rFonts w:cs="Arial"/>
          <w:szCs w:val="20"/>
        </w:rPr>
        <w:t xml:space="preserve">Les développements postérieurs à l'arrêt peuvent prendre la forme d'une nouvelle procédure judiciaire au niveau national visant à fournir une réparation aux requérants en réponse à l'arrêt de la Cour. Bien qu'il ne s'agisse pas d'un cas particulier au regard de l'article 46, il est plus probable que, du fait de la nature du contentieux et des garanties de la Convention qui y sont attachées, il puisse également aboutir à une nouvelle requête devant la Cour. Cette circonstance n'empiète toutefois pas sur l'évaluation par le Comité de ce développement dans le cadre du processus d'exécution. </w:t>
      </w:r>
    </w:p>
    <w:p w14:paraId="3D53CC21" w14:textId="77777777" w:rsidR="002C211E" w:rsidRPr="002C211E" w:rsidRDefault="002C211E" w:rsidP="002C211E">
      <w:pPr>
        <w:rPr>
          <w:rFonts w:cs="Arial"/>
          <w:szCs w:val="20"/>
        </w:rPr>
      </w:pPr>
    </w:p>
    <w:p w14:paraId="52CADEE9" w14:textId="2879C991" w:rsidR="002C211E" w:rsidRPr="002C211E" w:rsidRDefault="002C211E" w:rsidP="002C211E">
      <w:pPr>
        <w:rPr>
          <w:rFonts w:cs="Arial"/>
          <w:szCs w:val="20"/>
        </w:rPr>
      </w:pPr>
      <w:r w:rsidRPr="002C211E">
        <w:rPr>
          <w:rFonts w:cs="Arial"/>
          <w:szCs w:val="20"/>
        </w:rPr>
        <w:t>Les exemples présentés ci-dessous sont représentatifs de la pratique bien établie du Comité qui reflète sa compétence pour évaluer des situations factuelles</w:t>
      </w:r>
      <w:r w:rsidR="000A151E">
        <w:rPr>
          <w:rFonts w:cs="Arial"/>
          <w:szCs w:val="20"/>
        </w:rPr>
        <w:t xml:space="preserve"> </w:t>
      </w:r>
      <w:r w:rsidR="000A68AD">
        <w:rPr>
          <w:rFonts w:cs="Arial"/>
          <w:szCs w:val="20"/>
        </w:rPr>
        <w:t>qui évoluent</w:t>
      </w:r>
      <w:r w:rsidRPr="002C211E">
        <w:rPr>
          <w:rFonts w:cs="Arial"/>
          <w:szCs w:val="20"/>
        </w:rPr>
        <w:t>, y compris des procédures nationales engagées, poursuivies ou réouvertes</w:t>
      </w:r>
      <w:r w:rsidR="006B7EA0">
        <w:rPr>
          <w:rFonts w:cs="Arial"/>
          <w:szCs w:val="20"/>
        </w:rPr>
        <w:t>,</w:t>
      </w:r>
      <w:r w:rsidRPr="002C211E">
        <w:rPr>
          <w:rFonts w:cs="Arial"/>
          <w:szCs w:val="20"/>
        </w:rPr>
        <w:t xml:space="preserve"> en réponse à des arrêts de la Cour établissant des violations de différentes dispositions de la Convention.</w:t>
      </w:r>
    </w:p>
    <w:p w14:paraId="4BD67114" w14:textId="77777777" w:rsidR="002C211E" w:rsidRPr="002C211E" w:rsidRDefault="002C211E" w:rsidP="002C211E">
      <w:pPr>
        <w:rPr>
          <w:rFonts w:cs="Arial"/>
          <w:szCs w:val="20"/>
        </w:rPr>
      </w:pPr>
    </w:p>
    <w:p w14:paraId="7CBCDD56" w14:textId="63367D91" w:rsidR="002C211E" w:rsidRPr="002C211E" w:rsidRDefault="002C211E" w:rsidP="002C211E">
      <w:pPr>
        <w:rPr>
          <w:rFonts w:cs="Arial"/>
          <w:szCs w:val="20"/>
        </w:rPr>
      </w:pPr>
      <w:r w:rsidRPr="002C211E">
        <w:rPr>
          <w:rFonts w:cs="Arial"/>
          <w:szCs w:val="20"/>
        </w:rPr>
        <w:t xml:space="preserve">Lors de la surveillance de l'exécution d’arrêts concluant à des </w:t>
      </w:r>
      <w:r w:rsidRPr="002C211E">
        <w:rPr>
          <w:rFonts w:cs="Arial"/>
          <w:szCs w:val="20"/>
          <w:u w:val="single"/>
        </w:rPr>
        <w:t xml:space="preserve">violations </w:t>
      </w:r>
      <w:r w:rsidRPr="002C211E">
        <w:rPr>
          <w:rFonts w:cs="Arial"/>
          <w:szCs w:val="20"/>
        </w:rPr>
        <w:t xml:space="preserve">potentielles </w:t>
      </w:r>
      <w:r w:rsidRPr="002C211E">
        <w:rPr>
          <w:rFonts w:cs="Arial"/>
          <w:szCs w:val="20"/>
          <w:u w:val="single"/>
        </w:rPr>
        <w:t xml:space="preserve">de l'article 2 et/ou 3 de la Convention </w:t>
      </w:r>
      <w:r w:rsidRPr="002C211E">
        <w:rPr>
          <w:rFonts w:cs="Arial"/>
          <w:szCs w:val="20"/>
        </w:rPr>
        <w:t xml:space="preserve">en raison de lacunes dans le processus menant à l'expulsion proposée des requérants, le Comité a </w:t>
      </w:r>
      <w:r w:rsidR="006B7EA0">
        <w:rPr>
          <w:rFonts w:cs="Arial"/>
          <w:szCs w:val="20"/>
        </w:rPr>
        <w:t>surveillé</w:t>
      </w:r>
      <w:r w:rsidRPr="002C211E">
        <w:rPr>
          <w:rFonts w:cs="Arial"/>
          <w:szCs w:val="20"/>
        </w:rPr>
        <w:t xml:space="preserve"> la réévaluation de la situation des requérants par les autorités nationales pour </w:t>
      </w:r>
      <w:r w:rsidR="000A68AD">
        <w:rPr>
          <w:rFonts w:cs="Arial"/>
          <w:szCs w:val="20"/>
        </w:rPr>
        <w:t>s’</w:t>
      </w:r>
      <w:r w:rsidRPr="002C211E">
        <w:rPr>
          <w:rFonts w:cs="Arial"/>
          <w:szCs w:val="20"/>
        </w:rPr>
        <w:t xml:space="preserve">assurer </w:t>
      </w:r>
      <w:r w:rsidR="006B7EA0">
        <w:rPr>
          <w:rFonts w:cs="Arial"/>
          <w:szCs w:val="20"/>
        </w:rPr>
        <w:t>de sa</w:t>
      </w:r>
      <w:r w:rsidRPr="002C211E">
        <w:rPr>
          <w:rFonts w:cs="Arial"/>
          <w:szCs w:val="20"/>
        </w:rPr>
        <w:t xml:space="preserve"> conform</w:t>
      </w:r>
      <w:r w:rsidR="006B7EA0">
        <w:rPr>
          <w:rFonts w:cs="Arial"/>
          <w:szCs w:val="20"/>
        </w:rPr>
        <w:t>ité</w:t>
      </w:r>
      <w:r w:rsidRPr="002C211E">
        <w:rPr>
          <w:rFonts w:cs="Arial"/>
          <w:szCs w:val="20"/>
        </w:rPr>
        <w:t xml:space="preserve"> </w:t>
      </w:r>
      <w:r w:rsidR="006B7EA0">
        <w:rPr>
          <w:rFonts w:cs="Arial"/>
          <w:szCs w:val="20"/>
        </w:rPr>
        <w:t>avec les</w:t>
      </w:r>
      <w:r w:rsidRPr="002C211E">
        <w:rPr>
          <w:rFonts w:cs="Arial"/>
          <w:szCs w:val="20"/>
        </w:rPr>
        <w:t xml:space="preserve"> exigences strictes de la Convention. </w:t>
      </w:r>
    </w:p>
    <w:p w14:paraId="74841A9C" w14:textId="77777777" w:rsidR="002C211E" w:rsidRPr="002C211E" w:rsidRDefault="002C211E" w:rsidP="002C211E">
      <w:pPr>
        <w:rPr>
          <w:rFonts w:cs="Arial"/>
          <w:szCs w:val="20"/>
        </w:rPr>
      </w:pPr>
    </w:p>
    <w:p w14:paraId="0AFDC1F2" w14:textId="72F6365F" w:rsidR="002C211E" w:rsidRPr="002C211E" w:rsidRDefault="002C211E" w:rsidP="002C211E">
      <w:pPr>
        <w:rPr>
          <w:rFonts w:cs="Arial"/>
          <w:szCs w:val="20"/>
        </w:rPr>
      </w:pPr>
      <w:r w:rsidRPr="002C211E">
        <w:rPr>
          <w:rFonts w:cs="Arial"/>
          <w:szCs w:val="20"/>
        </w:rPr>
        <w:t xml:space="preserve">Dans l'affaire </w:t>
      </w:r>
      <w:r w:rsidRPr="002C211E">
        <w:rPr>
          <w:rFonts w:cs="Arial"/>
          <w:i/>
          <w:iCs/>
          <w:szCs w:val="20"/>
        </w:rPr>
        <w:t>F.G. c. Suède</w:t>
      </w:r>
      <w:r w:rsidRPr="002C211E">
        <w:rPr>
          <w:rFonts w:cs="Arial"/>
          <w:szCs w:val="20"/>
        </w:rPr>
        <w:t xml:space="preserve">, le Comité a suivi le réexamen </w:t>
      </w:r>
      <w:r w:rsidR="00FA0AF4">
        <w:rPr>
          <w:rFonts w:cs="Arial"/>
          <w:szCs w:val="20"/>
        </w:rPr>
        <w:t>de</w:t>
      </w:r>
      <w:r w:rsidRPr="002C211E">
        <w:rPr>
          <w:rFonts w:cs="Arial"/>
          <w:szCs w:val="20"/>
        </w:rPr>
        <w:t xml:space="preserve"> </w:t>
      </w:r>
      <w:r w:rsidR="00FA0AF4">
        <w:rPr>
          <w:rFonts w:cs="Arial"/>
          <w:szCs w:val="20"/>
        </w:rPr>
        <w:t>l</w:t>
      </w:r>
      <w:r w:rsidRPr="002C211E">
        <w:rPr>
          <w:rFonts w:cs="Arial"/>
          <w:szCs w:val="20"/>
        </w:rPr>
        <w:t xml:space="preserve">'expulsion </w:t>
      </w:r>
      <w:r w:rsidR="00FA0AF4">
        <w:rPr>
          <w:rFonts w:cs="Arial"/>
          <w:szCs w:val="20"/>
        </w:rPr>
        <w:t xml:space="preserve">envisagée </w:t>
      </w:r>
      <w:r w:rsidRPr="002C211E">
        <w:rPr>
          <w:rFonts w:cs="Arial"/>
          <w:szCs w:val="20"/>
        </w:rPr>
        <w:t>du requérant vers l'Iran</w:t>
      </w:r>
      <w:r w:rsidR="00714E66">
        <w:rPr>
          <w:rFonts w:cs="Arial"/>
          <w:szCs w:val="20"/>
        </w:rPr>
        <w:t>,</w:t>
      </w:r>
      <w:r w:rsidRPr="002C211E">
        <w:rPr>
          <w:rFonts w:cs="Arial"/>
          <w:szCs w:val="20"/>
        </w:rPr>
        <w:t xml:space="preserve"> effectué </w:t>
      </w:r>
      <w:r w:rsidRPr="002C211E">
        <w:rPr>
          <w:rFonts w:cs="Arial"/>
          <w:i/>
          <w:iCs/>
          <w:szCs w:val="20"/>
        </w:rPr>
        <w:t xml:space="preserve">d'office </w:t>
      </w:r>
      <w:r w:rsidRPr="002C211E">
        <w:rPr>
          <w:rFonts w:cs="Arial"/>
          <w:szCs w:val="20"/>
        </w:rPr>
        <w:t>par les autorités suédoises. La Cour avait estimé que l’exécution de cette décision, sans enquête adéquate sur la réalité et les implications de la conversion du requérant au christianisme après son arrivée en Europe, constituerait une violation de la Convention</w:t>
      </w:r>
      <w:r w:rsidRPr="002C211E">
        <w:rPr>
          <w:rStyle w:val="FootnoteReference"/>
          <w:rFonts w:cs="Arial"/>
          <w:szCs w:val="20"/>
        </w:rPr>
        <w:footnoteReference w:id="12"/>
      </w:r>
      <w:r w:rsidRPr="002C211E">
        <w:rPr>
          <w:rFonts w:cs="Arial"/>
          <w:szCs w:val="20"/>
        </w:rPr>
        <w:t>.</w:t>
      </w:r>
    </w:p>
    <w:p w14:paraId="44060A59" w14:textId="77777777" w:rsidR="002C211E" w:rsidRPr="002C211E" w:rsidRDefault="002C211E" w:rsidP="002C211E">
      <w:pPr>
        <w:rPr>
          <w:rFonts w:cs="Arial"/>
          <w:szCs w:val="20"/>
        </w:rPr>
      </w:pPr>
    </w:p>
    <w:p w14:paraId="36C7E355" w14:textId="019BA523" w:rsidR="002C211E" w:rsidRPr="002C211E" w:rsidRDefault="002C211E" w:rsidP="002C211E">
      <w:pPr>
        <w:rPr>
          <w:rFonts w:cs="Arial"/>
          <w:color w:val="000000"/>
          <w:szCs w:val="20"/>
          <w:shd w:val="clear" w:color="auto" w:fill="FFFFFF"/>
        </w:rPr>
      </w:pPr>
      <w:r w:rsidRPr="002C211E">
        <w:rPr>
          <w:rFonts w:cs="Arial"/>
          <w:szCs w:val="20"/>
        </w:rPr>
        <w:t>Dans l'exécution des arrêts concluant à une violation de l'</w:t>
      </w:r>
      <w:r w:rsidRPr="002C211E">
        <w:rPr>
          <w:rFonts w:cs="Arial"/>
          <w:szCs w:val="20"/>
          <w:u w:val="single"/>
        </w:rPr>
        <w:t xml:space="preserve">article 6 de la Convention </w:t>
      </w:r>
      <w:r w:rsidRPr="002C211E">
        <w:rPr>
          <w:rFonts w:cs="Arial"/>
          <w:szCs w:val="20"/>
        </w:rPr>
        <w:t xml:space="preserve">en raison de </w:t>
      </w:r>
      <w:r w:rsidR="00714E66">
        <w:rPr>
          <w:rFonts w:cs="Arial"/>
          <w:szCs w:val="20"/>
        </w:rPr>
        <w:t>lacunes</w:t>
      </w:r>
      <w:r w:rsidRPr="002C211E">
        <w:rPr>
          <w:rFonts w:cs="Arial"/>
          <w:szCs w:val="20"/>
        </w:rPr>
        <w:t xml:space="preserve"> </w:t>
      </w:r>
      <w:r w:rsidR="00714E66">
        <w:rPr>
          <w:rFonts w:cs="Arial"/>
          <w:szCs w:val="20"/>
        </w:rPr>
        <w:t>procédurales</w:t>
      </w:r>
      <w:r w:rsidRPr="002C211E">
        <w:rPr>
          <w:rFonts w:cs="Arial"/>
          <w:szCs w:val="20"/>
        </w:rPr>
        <w:t xml:space="preserve"> jetant un doute sérieux sur </w:t>
      </w:r>
      <w:r w:rsidR="00714E66">
        <w:rPr>
          <w:rFonts w:cs="Arial"/>
          <w:szCs w:val="20"/>
        </w:rPr>
        <w:t>l’issue</w:t>
      </w:r>
      <w:r w:rsidRPr="002C211E">
        <w:rPr>
          <w:rFonts w:cs="Arial"/>
          <w:szCs w:val="20"/>
        </w:rPr>
        <w:t xml:space="preserve"> de la procédure pénale contre les requérants, le Comité a surveillé la réouverture de la procédure pénale à la demande des requérants afin de s’assurer que ces défaillances </w:t>
      </w:r>
      <w:r w:rsidR="00714E66">
        <w:rPr>
          <w:rFonts w:cs="Arial"/>
          <w:szCs w:val="20"/>
        </w:rPr>
        <w:t>soient</w:t>
      </w:r>
      <w:r w:rsidRPr="002C211E">
        <w:rPr>
          <w:rFonts w:cs="Arial"/>
          <w:szCs w:val="20"/>
        </w:rPr>
        <w:t xml:space="preserve"> corrigées de manière adéquate. Un tel exemple peut être observé dans l'affaire </w:t>
      </w:r>
      <w:proofErr w:type="spellStart"/>
      <w:r w:rsidRPr="002C211E">
        <w:rPr>
          <w:rFonts w:cs="Arial"/>
          <w:i/>
          <w:iCs/>
          <w:color w:val="000000"/>
          <w:szCs w:val="20"/>
          <w:shd w:val="clear" w:color="auto" w:fill="FFFFFF"/>
        </w:rPr>
        <w:t>Cafagna</w:t>
      </w:r>
      <w:proofErr w:type="spellEnd"/>
      <w:r w:rsidRPr="002C211E">
        <w:rPr>
          <w:rFonts w:cs="Arial"/>
          <w:i/>
          <w:iCs/>
          <w:color w:val="000000"/>
          <w:szCs w:val="20"/>
          <w:shd w:val="clear" w:color="auto" w:fill="FFFFFF"/>
        </w:rPr>
        <w:t xml:space="preserve"> c. Italie</w:t>
      </w:r>
      <w:r w:rsidRPr="002C211E">
        <w:rPr>
          <w:rFonts w:cs="Arial"/>
          <w:color w:val="000000"/>
          <w:szCs w:val="20"/>
          <w:shd w:val="clear" w:color="auto" w:fill="FFFFFF"/>
        </w:rPr>
        <w:t>, dans laquelle la Cour a conclu à une violation de la Convention en raison de la condamnation du requérant fondée sur la déclaration d'un témoin qui n'a</w:t>
      </w:r>
      <w:r w:rsidR="00714E66">
        <w:rPr>
          <w:rFonts w:cs="Arial"/>
          <w:color w:val="000000"/>
          <w:szCs w:val="20"/>
          <w:shd w:val="clear" w:color="auto" w:fill="FFFFFF"/>
        </w:rPr>
        <w:t>vait</w:t>
      </w:r>
      <w:r w:rsidRPr="002C211E">
        <w:rPr>
          <w:rFonts w:cs="Arial"/>
          <w:color w:val="000000"/>
          <w:szCs w:val="20"/>
          <w:shd w:val="clear" w:color="auto" w:fill="FFFFFF"/>
        </w:rPr>
        <w:t xml:space="preserve"> pas été entendu pendant le procès. Le Comité a suivi et évalué la procédure nationale rouverte en réponse à l'arrêt de la Cour, dans laquelle les tribunaux nationaux ont </w:t>
      </w:r>
      <w:proofErr w:type="gramStart"/>
      <w:r w:rsidRPr="002C211E">
        <w:rPr>
          <w:rFonts w:cs="Arial"/>
          <w:color w:val="000000"/>
          <w:szCs w:val="20"/>
          <w:shd w:val="clear" w:color="auto" w:fill="FFFFFF"/>
        </w:rPr>
        <w:t>fait</w:t>
      </w:r>
      <w:proofErr w:type="gramEnd"/>
      <w:r w:rsidRPr="002C211E">
        <w:rPr>
          <w:rFonts w:cs="Arial"/>
          <w:color w:val="000000"/>
          <w:szCs w:val="20"/>
          <w:shd w:val="clear" w:color="auto" w:fill="FFFFFF"/>
        </w:rPr>
        <w:t xml:space="preserve"> des efforts pour assurer l'audition du témoin en question, ce qui s'est avéré impossible et a conduit à l'acquittement du requérant</w:t>
      </w:r>
      <w:r w:rsidRPr="002C211E">
        <w:rPr>
          <w:rStyle w:val="FootnoteReference"/>
          <w:rFonts w:cs="Arial"/>
          <w:color w:val="000000"/>
          <w:szCs w:val="20"/>
          <w:shd w:val="clear" w:color="auto" w:fill="FFFFFF"/>
        </w:rPr>
        <w:footnoteReference w:id="13"/>
      </w:r>
      <w:r w:rsidRPr="002C211E">
        <w:rPr>
          <w:rFonts w:cs="Arial"/>
          <w:color w:val="000000"/>
          <w:szCs w:val="20"/>
          <w:shd w:val="clear" w:color="auto" w:fill="FFFFFF"/>
        </w:rPr>
        <w:t>.</w:t>
      </w:r>
    </w:p>
    <w:p w14:paraId="2D68F60B" w14:textId="77777777" w:rsidR="002C211E" w:rsidRPr="002C211E" w:rsidRDefault="002C211E" w:rsidP="002C211E">
      <w:pPr>
        <w:rPr>
          <w:rFonts w:cs="Arial"/>
          <w:color w:val="000000"/>
          <w:szCs w:val="20"/>
          <w:shd w:val="clear" w:color="auto" w:fill="FFFFFF"/>
        </w:rPr>
      </w:pPr>
    </w:p>
    <w:p w14:paraId="2EB3C662" w14:textId="4B1AEC08" w:rsidR="002C211E" w:rsidRPr="002C211E" w:rsidRDefault="002C211E" w:rsidP="002C211E">
      <w:pPr>
        <w:rPr>
          <w:rFonts w:cs="Arial"/>
          <w:szCs w:val="20"/>
        </w:rPr>
      </w:pPr>
      <w:r w:rsidRPr="002C211E">
        <w:rPr>
          <w:rFonts w:cs="Arial"/>
          <w:szCs w:val="20"/>
        </w:rPr>
        <w:t xml:space="preserve">De même, dans les affaires dans lesquelles la Cour a conclu à des violations du droit à la vie familiale des requérants en raison de lacunes dans le processus de décision menant à l'adoption des enfants des requérants, le Comité suit de près le réexamen de ces situations afin de garantir sa pleine </w:t>
      </w:r>
      <w:r w:rsidRPr="002C211E">
        <w:rPr>
          <w:rFonts w:cs="Arial"/>
          <w:color w:val="000000"/>
          <w:szCs w:val="20"/>
          <w:shd w:val="clear" w:color="auto" w:fill="FFFFFF"/>
        </w:rPr>
        <w:t>conformité à toutes les exigences pertinentes de l'</w:t>
      </w:r>
      <w:r w:rsidRPr="002C211E">
        <w:rPr>
          <w:rFonts w:cs="Arial"/>
          <w:color w:val="000000"/>
          <w:szCs w:val="20"/>
          <w:u w:val="single"/>
          <w:shd w:val="clear" w:color="auto" w:fill="FFFFFF"/>
        </w:rPr>
        <w:t>article 8 de la Convention</w:t>
      </w:r>
      <w:r w:rsidRPr="002C211E">
        <w:rPr>
          <w:rFonts w:cs="Arial"/>
          <w:color w:val="000000"/>
          <w:szCs w:val="20"/>
          <w:shd w:val="clear" w:color="auto" w:fill="FFFFFF"/>
        </w:rPr>
        <w:t xml:space="preserve">. </w:t>
      </w:r>
    </w:p>
    <w:p w14:paraId="41CE74E5" w14:textId="77777777" w:rsidR="002C211E" w:rsidRPr="002C211E" w:rsidRDefault="002C211E" w:rsidP="002C211E">
      <w:pPr>
        <w:rPr>
          <w:rFonts w:cs="Arial"/>
          <w:szCs w:val="20"/>
        </w:rPr>
      </w:pPr>
    </w:p>
    <w:p w14:paraId="2867401F" w14:textId="5827EB39" w:rsidR="002C211E" w:rsidRPr="002C211E" w:rsidRDefault="002C211E" w:rsidP="002C211E">
      <w:pPr>
        <w:rPr>
          <w:rFonts w:cs="Arial"/>
          <w:szCs w:val="20"/>
        </w:rPr>
      </w:pPr>
      <w:r w:rsidRPr="002C211E">
        <w:rPr>
          <w:rFonts w:cs="Arial"/>
          <w:szCs w:val="20"/>
        </w:rPr>
        <w:t xml:space="preserve">Dans l'affaire </w:t>
      </w:r>
      <w:r w:rsidRPr="002C211E">
        <w:rPr>
          <w:rFonts w:cs="Arial"/>
          <w:i/>
          <w:iCs/>
          <w:szCs w:val="20"/>
        </w:rPr>
        <w:t xml:space="preserve">Strand </w:t>
      </w:r>
      <w:proofErr w:type="spellStart"/>
      <w:r w:rsidRPr="002C211E">
        <w:rPr>
          <w:rFonts w:cs="Arial"/>
          <w:i/>
          <w:iCs/>
          <w:szCs w:val="20"/>
        </w:rPr>
        <w:t>Lobben</w:t>
      </w:r>
      <w:proofErr w:type="spellEnd"/>
      <w:r w:rsidRPr="002C211E">
        <w:rPr>
          <w:rFonts w:cs="Arial"/>
          <w:i/>
          <w:iCs/>
          <w:szCs w:val="20"/>
        </w:rPr>
        <w:t xml:space="preserve"> et autres c. Norvège</w:t>
      </w:r>
      <w:r w:rsidRPr="002C211E">
        <w:rPr>
          <w:rFonts w:cs="Arial"/>
          <w:szCs w:val="20"/>
        </w:rPr>
        <w:t xml:space="preserve">, le Comité surveille les procédures d'adoption rouvertes à la demande des requérants à la suite de l'arrêt de la Cour pour s'assurer qu'elles soient traitées rapidement, en tenant en compte de </w:t>
      </w:r>
      <w:r w:rsidRPr="002C211E">
        <w:rPr>
          <w:rFonts w:cs="Arial"/>
          <w:color w:val="000000"/>
          <w:szCs w:val="20"/>
          <w:shd w:val="clear" w:color="auto" w:fill="FFFFFF"/>
        </w:rPr>
        <w:t>l'importance primordiale de l'intérêt supérieur des enfants et des droits garantis par la Convention à toutes les parties concernées</w:t>
      </w:r>
      <w:r w:rsidRPr="002C211E">
        <w:rPr>
          <w:rStyle w:val="FootnoteReference"/>
          <w:rFonts w:cs="Arial"/>
          <w:color w:val="000000"/>
          <w:szCs w:val="20"/>
          <w:shd w:val="clear" w:color="auto" w:fill="FFFFFF"/>
        </w:rPr>
        <w:footnoteReference w:id="14"/>
      </w:r>
      <w:r w:rsidRPr="002C211E">
        <w:rPr>
          <w:rFonts w:cs="Arial"/>
          <w:szCs w:val="20"/>
        </w:rPr>
        <w:t>.</w:t>
      </w:r>
    </w:p>
    <w:p w14:paraId="1C13B151" w14:textId="77777777" w:rsidR="002C211E" w:rsidRPr="002C211E" w:rsidRDefault="002C211E" w:rsidP="002C211E">
      <w:pPr>
        <w:rPr>
          <w:rFonts w:cs="Arial"/>
          <w:szCs w:val="20"/>
        </w:rPr>
      </w:pPr>
    </w:p>
    <w:p w14:paraId="3A8631EA" w14:textId="77777777" w:rsidR="002C211E" w:rsidRPr="002C211E" w:rsidRDefault="002C211E" w:rsidP="002C211E">
      <w:pPr>
        <w:rPr>
          <w:rFonts w:cs="Arial"/>
          <w:szCs w:val="20"/>
        </w:rPr>
      </w:pPr>
      <w:r w:rsidRPr="002C211E">
        <w:rPr>
          <w:rFonts w:cs="Arial"/>
          <w:szCs w:val="20"/>
        </w:rPr>
        <w:t>Cette approche peut également être observée dans les affaires dans lesquelles la Cour a conclu à une violation du droit à la liberté d'expression des requérants au titre de l'</w:t>
      </w:r>
      <w:r w:rsidRPr="002C211E">
        <w:rPr>
          <w:rFonts w:cs="Arial"/>
          <w:szCs w:val="20"/>
          <w:u w:val="single"/>
        </w:rPr>
        <w:t>article 10 de la Convention</w:t>
      </w:r>
      <w:r w:rsidRPr="002C211E">
        <w:rPr>
          <w:rFonts w:cs="Arial"/>
          <w:szCs w:val="20"/>
        </w:rPr>
        <w:t xml:space="preserve"> en raison de leur condamnation pénale. Dans ces affaires, le Comité a veillé à ce que, lors de la réouverture de la procédure interne à la demande des requérants, leur condamnation et ses conséquences soient effacées.  </w:t>
      </w:r>
    </w:p>
    <w:p w14:paraId="4935AE68" w14:textId="77777777" w:rsidR="002C211E" w:rsidRPr="002C211E" w:rsidRDefault="002C211E" w:rsidP="002C211E">
      <w:pPr>
        <w:rPr>
          <w:rFonts w:cs="Arial"/>
          <w:szCs w:val="20"/>
        </w:rPr>
      </w:pPr>
    </w:p>
    <w:p w14:paraId="2B70A1CD" w14:textId="77777777" w:rsidR="002C211E" w:rsidRPr="002C211E" w:rsidRDefault="002C211E" w:rsidP="002C211E">
      <w:pPr>
        <w:rPr>
          <w:rFonts w:cs="Arial"/>
          <w:szCs w:val="20"/>
          <w:vertAlign w:val="superscript"/>
        </w:rPr>
      </w:pPr>
      <w:r w:rsidRPr="002C211E">
        <w:rPr>
          <w:rFonts w:cs="Arial"/>
          <w:szCs w:val="20"/>
        </w:rPr>
        <w:t xml:space="preserve">Dans l'affaire </w:t>
      </w:r>
      <w:r w:rsidRPr="002C211E">
        <w:rPr>
          <w:rFonts w:cs="Arial"/>
          <w:i/>
          <w:iCs/>
          <w:szCs w:val="20"/>
        </w:rPr>
        <w:t>Morice c. France</w:t>
      </w:r>
      <w:r w:rsidRPr="002C211E">
        <w:rPr>
          <w:rFonts w:cs="Arial"/>
          <w:szCs w:val="20"/>
        </w:rPr>
        <w:t>, par exemple, dans laquelle le requérant - un avocat - avait été condamné pour diffamation envers des juges d'instruction, le Comité a suivi la réouverture de la procédure pénale au niveau national, au cours de laquelle la condamnation pénale du requérant a été annulée et effacée de son casier judiciaire</w:t>
      </w:r>
      <w:r w:rsidRPr="002C211E">
        <w:rPr>
          <w:rFonts w:cs="Arial"/>
          <w:szCs w:val="20"/>
          <w:vertAlign w:val="superscript"/>
        </w:rPr>
        <w:footnoteReference w:id="15"/>
      </w:r>
      <w:r w:rsidRPr="002C211E">
        <w:rPr>
          <w:rFonts w:cs="Arial"/>
          <w:szCs w:val="20"/>
        </w:rPr>
        <w:t>.</w:t>
      </w:r>
      <w:r w:rsidRPr="002C211E">
        <w:rPr>
          <w:rFonts w:cs="Arial"/>
          <w:szCs w:val="20"/>
          <w:vertAlign w:val="superscript"/>
        </w:rPr>
        <w:t xml:space="preserve">   </w:t>
      </w:r>
    </w:p>
    <w:p w14:paraId="1AFBFD08" w14:textId="77777777" w:rsidR="002C211E" w:rsidRPr="002C211E" w:rsidRDefault="002C211E" w:rsidP="002C211E">
      <w:pPr>
        <w:rPr>
          <w:rFonts w:cs="Arial"/>
          <w:szCs w:val="20"/>
        </w:rPr>
      </w:pPr>
    </w:p>
    <w:p w14:paraId="5026E14A" w14:textId="77777777" w:rsidR="002C211E" w:rsidRPr="002C211E" w:rsidRDefault="002C211E" w:rsidP="002C211E">
      <w:pPr>
        <w:rPr>
          <w:rFonts w:cs="Arial"/>
          <w:szCs w:val="20"/>
        </w:rPr>
      </w:pPr>
      <w:r w:rsidRPr="002C211E">
        <w:rPr>
          <w:rFonts w:cs="Arial"/>
          <w:szCs w:val="20"/>
        </w:rPr>
        <w:t>Dans les affaires où la Cour a constaté des violations du droit à la liberté d'association en raison de dissolutions ou de refus d'enregistrement d'organisations, de partis politiques et d'églises (</w:t>
      </w:r>
      <w:r w:rsidRPr="002C211E">
        <w:rPr>
          <w:rFonts w:cs="Arial"/>
          <w:szCs w:val="20"/>
          <w:u w:val="single"/>
        </w:rPr>
        <w:t>articles 9 et 11 de la Convention</w:t>
      </w:r>
      <w:r w:rsidRPr="002C211E">
        <w:rPr>
          <w:rFonts w:cs="Arial"/>
          <w:szCs w:val="20"/>
        </w:rPr>
        <w:t>), le Comité des Ministres a veillé à ce que les requérants se voient offrir la possibilité de faire enregistrer à nouveau leurs entités dans le cadre d'une procédure conforme à la Convention.</w:t>
      </w:r>
    </w:p>
    <w:p w14:paraId="7E9DB55C" w14:textId="77777777" w:rsidR="002C211E" w:rsidRPr="002C211E" w:rsidRDefault="002C211E" w:rsidP="002C211E">
      <w:pPr>
        <w:rPr>
          <w:rFonts w:cs="Arial"/>
          <w:szCs w:val="20"/>
        </w:rPr>
      </w:pPr>
    </w:p>
    <w:p w14:paraId="034396B1" w14:textId="77777777" w:rsidR="002C211E" w:rsidRPr="002C211E" w:rsidRDefault="002C211E" w:rsidP="002C211E">
      <w:pPr>
        <w:rPr>
          <w:rFonts w:cs="Arial"/>
          <w:szCs w:val="20"/>
        </w:rPr>
      </w:pPr>
      <w:r w:rsidRPr="002C211E">
        <w:rPr>
          <w:rFonts w:cs="Arial"/>
          <w:szCs w:val="20"/>
        </w:rPr>
        <w:t xml:space="preserve">Dans le groupe d'affaires </w:t>
      </w:r>
      <w:proofErr w:type="spellStart"/>
      <w:r w:rsidRPr="002C211E">
        <w:rPr>
          <w:rFonts w:cs="Arial"/>
          <w:i/>
          <w:iCs/>
          <w:szCs w:val="20"/>
        </w:rPr>
        <w:t>Bekir</w:t>
      </w:r>
      <w:proofErr w:type="spellEnd"/>
      <w:r w:rsidRPr="002C211E">
        <w:rPr>
          <w:rFonts w:cs="Arial"/>
          <w:i/>
          <w:iCs/>
          <w:szCs w:val="20"/>
        </w:rPr>
        <w:t xml:space="preserve"> </w:t>
      </w:r>
      <w:proofErr w:type="spellStart"/>
      <w:r w:rsidRPr="002C211E">
        <w:rPr>
          <w:rFonts w:cs="Arial"/>
          <w:i/>
          <w:iCs/>
          <w:szCs w:val="20"/>
        </w:rPr>
        <w:t>Ousta</w:t>
      </w:r>
      <w:proofErr w:type="spellEnd"/>
      <w:r w:rsidRPr="002C211E">
        <w:rPr>
          <w:rFonts w:cs="Arial"/>
          <w:i/>
          <w:iCs/>
          <w:szCs w:val="20"/>
        </w:rPr>
        <w:t xml:space="preserve"> c. Grèce</w:t>
      </w:r>
      <w:r w:rsidRPr="002C211E">
        <w:rPr>
          <w:rStyle w:val="FootnoteReference"/>
          <w:rFonts w:cs="Arial"/>
          <w:i/>
          <w:iCs/>
          <w:szCs w:val="20"/>
        </w:rPr>
        <w:footnoteReference w:id="16"/>
      </w:r>
      <w:r w:rsidRPr="002C211E">
        <w:rPr>
          <w:rFonts w:cs="Arial"/>
          <w:szCs w:val="20"/>
        </w:rPr>
        <w:t xml:space="preserve">, le Comité a évalué en détail l'examen au fond par la Cour de cassation de la procédure réouverte dans l'affaire </w:t>
      </w:r>
      <w:proofErr w:type="spellStart"/>
      <w:r w:rsidRPr="002C211E">
        <w:rPr>
          <w:rFonts w:cs="Arial"/>
          <w:i/>
          <w:iCs/>
          <w:szCs w:val="20"/>
        </w:rPr>
        <w:t>Tourkiki</w:t>
      </w:r>
      <w:proofErr w:type="spellEnd"/>
      <w:r w:rsidRPr="002C211E">
        <w:rPr>
          <w:rFonts w:cs="Arial"/>
          <w:i/>
          <w:iCs/>
          <w:szCs w:val="20"/>
        </w:rPr>
        <w:t xml:space="preserve"> </w:t>
      </w:r>
      <w:proofErr w:type="spellStart"/>
      <w:r w:rsidRPr="002C211E">
        <w:rPr>
          <w:rFonts w:cs="Arial"/>
          <w:i/>
          <w:iCs/>
          <w:szCs w:val="20"/>
        </w:rPr>
        <w:t>Enosi</w:t>
      </w:r>
      <w:proofErr w:type="spellEnd"/>
      <w:r w:rsidRPr="002C211E">
        <w:rPr>
          <w:rFonts w:cs="Arial"/>
          <w:i/>
          <w:iCs/>
          <w:szCs w:val="20"/>
        </w:rPr>
        <w:t xml:space="preserve"> </w:t>
      </w:r>
      <w:proofErr w:type="spellStart"/>
      <w:r w:rsidRPr="002C211E">
        <w:rPr>
          <w:rFonts w:cs="Arial"/>
          <w:i/>
          <w:iCs/>
          <w:szCs w:val="20"/>
        </w:rPr>
        <w:t>Xanthis</w:t>
      </w:r>
      <w:proofErr w:type="spellEnd"/>
      <w:r w:rsidRPr="002C211E">
        <w:rPr>
          <w:rFonts w:cs="Arial"/>
          <w:i/>
          <w:iCs/>
          <w:szCs w:val="20"/>
        </w:rPr>
        <w:t xml:space="preserve"> et autres, </w:t>
      </w:r>
      <w:r w:rsidRPr="002C211E">
        <w:rPr>
          <w:rFonts w:cs="Arial"/>
          <w:szCs w:val="20"/>
        </w:rPr>
        <w:t xml:space="preserve">et a déploré qu'il n'ait pas conduit à la </w:t>
      </w:r>
      <w:proofErr w:type="spellStart"/>
      <w:r w:rsidRPr="002C211E">
        <w:rPr>
          <w:rFonts w:cs="Arial"/>
          <w:i/>
          <w:iCs/>
          <w:szCs w:val="20"/>
        </w:rPr>
        <w:t>restitutio</w:t>
      </w:r>
      <w:proofErr w:type="spellEnd"/>
      <w:r w:rsidRPr="002C211E">
        <w:rPr>
          <w:rFonts w:cs="Arial"/>
          <w:i/>
          <w:iCs/>
          <w:szCs w:val="20"/>
        </w:rPr>
        <w:t xml:space="preserve"> in integrum </w:t>
      </w:r>
      <w:r w:rsidRPr="002C211E">
        <w:rPr>
          <w:rFonts w:cs="Arial"/>
          <w:szCs w:val="20"/>
        </w:rPr>
        <w:t xml:space="preserve">de l'association requérante. </w:t>
      </w:r>
    </w:p>
    <w:p w14:paraId="52F8B8F9" w14:textId="77777777" w:rsidR="002C211E" w:rsidRPr="002C211E" w:rsidRDefault="002C211E" w:rsidP="002C211E">
      <w:pPr>
        <w:rPr>
          <w:rFonts w:cs="Arial"/>
          <w:szCs w:val="20"/>
        </w:rPr>
      </w:pPr>
    </w:p>
    <w:p w14:paraId="2ADD1CE6" w14:textId="3DB545A4" w:rsidR="002C211E" w:rsidRPr="002C211E" w:rsidRDefault="002C211E" w:rsidP="002C211E">
      <w:pPr>
        <w:rPr>
          <w:rFonts w:cs="Arial"/>
          <w:szCs w:val="20"/>
        </w:rPr>
      </w:pPr>
      <w:r w:rsidRPr="002C211E">
        <w:rPr>
          <w:rFonts w:cs="Arial"/>
          <w:szCs w:val="20"/>
        </w:rPr>
        <w:t xml:space="preserve">Dans l'affaire </w:t>
      </w:r>
      <w:proofErr w:type="spellStart"/>
      <w:r w:rsidRPr="002C211E">
        <w:rPr>
          <w:rFonts w:cs="Arial"/>
          <w:i/>
          <w:iCs/>
          <w:szCs w:val="20"/>
        </w:rPr>
        <w:t>Partidul</w:t>
      </w:r>
      <w:proofErr w:type="spellEnd"/>
      <w:r w:rsidRPr="002C211E">
        <w:rPr>
          <w:rFonts w:cs="Arial"/>
          <w:i/>
          <w:iCs/>
          <w:szCs w:val="20"/>
        </w:rPr>
        <w:t xml:space="preserve"> </w:t>
      </w:r>
      <w:proofErr w:type="spellStart"/>
      <w:r w:rsidRPr="002C211E">
        <w:rPr>
          <w:rFonts w:cs="Arial"/>
          <w:i/>
          <w:iCs/>
          <w:szCs w:val="20"/>
        </w:rPr>
        <w:t>Comunistilor</w:t>
      </w:r>
      <w:proofErr w:type="spellEnd"/>
      <w:r w:rsidRPr="002C211E">
        <w:rPr>
          <w:rFonts w:cs="Arial"/>
          <w:i/>
          <w:iCs/>
          <w:szCs w:val="20"/>
        </w:rPr>
        <w:t xml:space="preserve"> (</w:t>
      </w:r>
      <w:proofErr w:type="spellStart"/>
      <w:r w:rsidRPr="002C211E">
        <w:rPr>
          <w:rFonts w:cs="Arial"/>
          <w:i/>
          <w:iCs/>
          <w:szCs w:val="20"/>
        </w:rPr>
        <w:t>Nepeceristi</w:t>
      </w:r>
      <w:proofErr w:type="spellEnd"/>
      <w:r w:rsidRPr="002C211E">
        <w:rPr>
          <w:rFonts w:cs="Arial"/>
          <w:i/>
          <w:iCs/>
          <w:szCs w:val="20"/>
        </w:rPr>
        <w:t xml:space="preserve">) et Ungureanu c. Roumanie, </w:t>
      </w:r>
      <w:r w:rsidRPr="002C211E">
        <w:rPr>
          <w:rFonts w:cs="Arial"/>
          <w:szCs w:val="20"/>
        </w:rPr>
        <w:t xml:space="preserve">le Comité a </w:t>
      </w:r>
      <w:r w:rsidR="00714E66">
        <w:rPr>
          <w:rFonts w:cs="Arial"/>
          <w:szCs w:val="20"/>
        </w:rPr>
        <w:t>surveillé</w:t>
      </w:r>
      <w:r w:rsidRPr="002C211E">
        <w:rPr>
          <w:rFonts w:cs="Arial"/>
          <w:szCs w:val="20"/>
        </w:rPr>
        <w:t xml:space="preserve"> l'issue d'une procédure interne visant à obtenir l'enregistrement du groupe requérant en tant que parti politique</w:t>
      </w:r>
      <w:r w:rsidRPr="002C211E">
        <w:rPr>
          <w:rFonts w:cs="Arial"/>
          <w:szCs w:val="20"/>
          <w:vertAlign w:val="superscript"/>
        </w:rPr>
        <w:footnoteReference w:id="17"/>
      </w:r>
      <w:r w:rsidRPr="002C211E">
        <w:rPr>
          <w:rFonts w:cs="Arial"/>
          <w:szCs w:val="20"/>
        </w:rPr>
        <w:t>. Cette procédure avait été engagée à la suite de l'arrêt de la Cour concluant à une violation de la Convention en raison du refus injustifié des autorités d'autoriser cet enregistrement. La demande de révision du groupe requérant a été acceptée.</w:t>
      </w:r>
    </w:p>
    <w:p w14:paraId="7FAA785F" w14:textId="77777777" w:rsidR="002C211E" w:rsidRPr="002C211E" w:rsidRDefault="002C211E" w:rsidP="002C211E">
      <w:pPr>
        <w:rPr>
          <w:rFonts w:cs="Arial"/>
          <w:szCs w:val="20"/>
        </w:rPr>
      </w:pPr>
    </w:p>
    <w:p w14:paraId="49D8C607" w14:textId="3C8D7A4E" w:rsidR="002C211E" w:rsidRPr="002C211E" w:rsidRDefault="002C211E" w:rsidP="002C211E">
      <w:pPr>
        <w:rPr>
          <w:rFonts w:cs="Arial"/>
          <w:szCs w:val="20"/>
        </w:rPr>
      </w:pPr>
      <w:r w:rsidRPr="002C211E">
        <w:rPr>
          <w:rFonts w:cs="Arial"/>
          <w:szCs w:val="20"/>
        </w:rPr>
        <w:t>Dans l'</w:t>
      </w:r>
      <w:r w:rsidRPr="002C211E">
        <w:rPr>
          <w:rFonts w:cs="Arial"/>
          <w:i/>
          <w:iCs/>
          <w:szCs w:val="20"/>
        </w:rPr>
        <w:t xml:space="preserve">affaire Parti communiste unifié de Turquie c. Turquie, </w:t>
      </w:r>
      <w:r w:rsidRPr="002C211E">
        <w:rPr>
          <w:rFonts w:cs="Arial"/>
          <w:szCs w:val="20"/>
        </w:rPr>
        <w:t xml:space="preserve">concernant les dissolutions injustifiées des partis politiques requérants, le Comité a veillé à ce que les interdictions </w:t>
      </w:r>
      <w:r w:rsidR="00714E66">
        <w:rPr>
          <w:rFonts w:cs="Arial"/>
          <w:szCs w:val="20"/>
        </w:rPr>
        <w:t xml:space="preserve">de mener </w:t>
      </w:r>
      <w:r w:rsidRPr="002C211E">
        <w:rPr>
          <w:rFonts w:cs="Arial"/>
          <w:szCs w:val="20"/>
        </w:rPr>
        <w:t>d</w:t>
      </w:r>
      <w:r w:rsidR="00714E66">
        <w:rPr>
          <w:rFonts w:cs="Arial"/>
          <w:szCs w:val="20"/>
        </w:rPr>
        <w:t xml:space="preserve">es </w:t>
      </w:r>
      <w:r w:rsidRPr="002C211E">
        <w:rPr>
          <w:rFonts w:cs="Arial"/>
          <w:szCs w:val="20"/>
        </w:rPr>
        <w:t>activités politiques imposées aux responsables des partis concernés à la suite de leur dissolution soient levées et que ces personnes aient la possibilité de réenregistrer des partis politiques si elles le souhaitent</w:t>
      </w:r>
      <w:r w:rsidRPr="002C211E">
        <w:rPr>
          <w:rFonts w:cs="Arial"/>
          <w:szCs w:val="20"/>
          <w:vertAlign w:val="superscript"/>
        </w:rPr>
        <w:footnoteReference w:id="18"/>
      </w:r>
      <w:r w:rsidRPr="002C211E">
        <w:rPr>
          <w:rFonts w:cs="Arial"/>
          <w:szCs w:val="20"/>
        </w:rPr>
        <w:t>.</w:t>
      </w:r>
    </w:p>
    <w:p w14:paraId="1C31DB94" w14:textId="77777777" w:rsidR="002C211E" w:rsidRPr="002C211E" w:rsidRDefault="002C211E" w:rsidP="002C211E">
      <w:pPr>
        <w:rPr>
          <w:rFonts w:cs="Arial"/>
          <w:szCs w:val="20"/>
        </w:rPr>
      </w:pPr>
    </w:p>
    <w:p w14:paraId="3FC178DC" w14:textId="6C0D18B8" w:rsidR="002C211E" w:rsidRPr="002C211E" w:rsidRDefault="002C211E" w:rsidP="002C211E">
      <w:pPr>
        <w:rPr>
          <w:rFonts w:cs="Arial"/>
          <w:szCs w:val="20"/>
        </w:rPr>
      </w:pPr>
      <w:r w:rsidRPr="002C211E">
        <w:rPr>
          <w:rFonts w:cs="Arial"/>
          <w:szCs w:val="20"/>
        </w:rPr>
        <w:t xml:space="preserve">De même, dans l'affaire </w:t>
      </w:r>
      <w:proofErr w:type="spellStart"/>
      <w:r w:rsidRPr="002C211E">
        <w:rPr>
          <w:rFonts w:cs="Arial"/>
          <w:i/>
          <w:iCs/>
          <w:szCs w:val="20"/>
        </w:rPr>
        <w:t>Metropolitan</w:t>
      </w:r>
      <w:proofErr w:type="spellEnd"/>
      <w:r w:rsidRPr="002C211E">
        <w:rPr>
          <w:rFonts w:cs="Arial"/>
          <w:i/>
          <w:iCs/>
          <w:szCs w:val="20"/>
        </w:rPr>
        <w:t xml:space="preserve"> Church of </w:t>
      </w:r>
      <w:proofErr w:type="spellStart"/>
      <w:r w:rsidRPr="002C211E">
        <w:rPr>
          <w:rFonts w:cs="Arial"/>
          <w:i/>
          <w:iCs/>
          <w:szCs w:val="20"/>
        </w:rPr>
        <w:t>Bessarabia</w:t>
      </w:r>
      <w:proofErr w:type="spellEnd"/>
      <w:r w:rsidRPr="002C211E">
        <w:rPr>
          <w:rFonts w:cs="Arial"/>
          <w:i/>
          <w:iCs/>
          <w:szCs w:val="20"/>
        </w:rPr>
        <w:t xml:space="preserve"> and </w:t>
      </w:r>
      <w:proofErr w:type="spellStart"/>
      <w:r w:rsidRPr="002C211E">
        <w:rPr>
          <w:rFonts w:cs="Arial"/>
          <w:i/>
          <w:iCs/>
          <w:szCs w:val="20"/>
        </w:rPr>
        <w:t>Others</w:t>
      </w:r>
      <w:proofErr w:type="spellEnd"/>
      <w:r w:rsidRPr="002C211E">
        <w:rPr>
          <w:rFonts w:cs="Arial"/>
          <w:i/>
          <w:iCs/>
          <w:szCs w:val="20"/>
        </w:rPr>
        <w:t xml:space="preserve"> c. </w:t>
      </w:r>
      <w:r w:rsidR="00714E66">
        <w:rPr>
          <w:rFonts w:cs="Arial"/>
          <w:i/>
          <w:iCs/>
          <w:szCs w:val="20"/>
        </w:rPr>
        <w:t xml:space="preserve">République de </w:t>
      </w:r>
      <w:r w:rsidRPr="002C211E">
        <w:rPr>
          <w:rFonts w:cs="Arial"/>
          <w:i/>
          <w:iCs/>
          <w:szCs w:val="20"/>
        </w:rPr>
        <w:t xml:space="preserve">Moldova, </w:t>
      </w:r>
      <w:r w:rsidRPr="002C211E">
        <w:rPr>
          <w:rFonts w:cs="Arial"/>
          <w:szCs w:val="20"/>
        </w:rPr>
        <w:t>le Comité a évalué la procédure interne engagée par l'église des requérants pour obtenir sa reconnaissance officielle, précédemment refusée par les autorités en violation de la Convention</w:t>
      </w:r>
      <w:r w:rsidRPr="002C211E">
        <w:rPr>
          <w:rFonts w:cs="Arial"/>
          <w:szCs w:val="20"/>
          <w:vertAlign w:val="superscript"/>
        </w:rPr>
        <w:footnoteReference w:id="19"/>
      </w:r>
      <w:r w:rsidRPr="002C211E">
        <w:rPr>
          <w:rFonts w:cs="Arial"/>
          <w:szCs w:val="20"/>
        </w:rPr>
        <w:t>.</w:t>
      </w:r>
    </w:p>
    <w:p w14:paraId="2A6F4EEF" w14:textId="77777777" w:rsidR="00714E66" w:rsidRDefault="00714E66" w:rsidP="002C211E">
      <w:pPr>
        <w:rPr>
          <w:rFonts w:cs="Arial"/>
          <w:szCs w:val="20"/>
        </w:rPr>
      </w:pPr>
    </w:p>
    <w:p w14:paraId="327704FB" w14:textId="42D87F27" w:rsidR="002C211E" w:rsidRPr="002C211E" w:rsidRDefault="00714E66" w:rsidP="002C211E">
      <w:pPr>
        <w:rPr>
          <w:rFonts w:cs="Arial"/>
          <w:szCs w:val="20"/>
        </w:rPr>
      </w:pPr>
      <w:r>
        <w:rPr>
          <w:rFonts w:cs="Arial"/>
          <w:szCs w:val="20"/>
        </w:rPr>
        <w:t>Enfin, il convient de</w:t>
      </w:r>
      <w:r w:rsidR="002C211E" w:rsidRPr="002C211E">
        <w:rPr>
          <w:rFonts w:cs="Arial"/>
          <w:szCs w:val="20"/>
        </w:rPr>
        <w:t xml:space="preserve"> noter que l'issue des procédures internes peut également être pertinente pour l'évaluation par le Comité de l'efficacité des </w:t>
      </w:r>
      <w:r w:rsidR="002C211E" w:rsidRPr="002C211E">
        <w:rPr>
          <w:rFonts w:cs="Arial"/>
          <w:szCs w:val="20"/>
          <w:u w:val="single"/>
        </w:rPr>
        <w:t>mesures générales</w:t>
      </w:r>
      <w:r w:rsidR="002C211E" w:rsidRPr="000A151E">
        <w:rPr>
          <w:rFonts w:cs="Arial"/>
          <w:szCs w:val="20"/>
        </w:rPr>
        <w:t xml:space="preserve"> </w:t>
      </w:r>
      <w:r w:rsidR="002C211E" w:rsidRPr="002C211E">
        <w:rPr>
          <w:rFonts w:cs="Arial"/>
          <w:szCs w:val="20"/>
        </w:rPr>
        <w:t xml:space="preserve">adoptées par l'État pour éviter la répétition de la violation.  </w:t>
      </w:r>
    </w:p>
    <w:p w14:paraId="1B06E422" w14:textId="77777777" w:rsidR="002C211E" w:rsidRPr="002C211E" w:rsidRDefault="002C211E" w:rsidP="002C211E">
      <w:pPr>
        <w:rPr>
          <w:rFonts w:cs="Arial"/>
          <w:szCs w:val="20"/>
        </w:rPr>
      </w:pPr>
    </w:p>
    <w:p w14:paraId="726AA2BF" w14:textId="77777777" w:rsidR="002C211E" w:rsidRPr="002C211E" w:rsidRDefault="002C211E" w:rsidP="002C211E">
      <w:pPr>
        <w:rPr>
          <w:rFonts w:cs="Arial"/>
          <w:szCs w:val="20"/>
        </w:rPr>
      </w:pPr>
      <w:r w:rsidRPr="002C211E">
        <w:rPr>
          <w:rFonts w:cs="Arial"/>
          <w:szCs w:val="20"/>
        </w:rPr>
        <w:t xml:space="preserve">Par exemple, </w:t>
      </w:r>
      <w:bookmarkStart w:id="0" w:name="_Hlk95384962"/>
      <w:r w:rsidRPr="002C211E">
        <w:rPr>
          <w:rFonts w:cs="Arial"/>
          <w:szCs w:val="20"/>
        </w:rPr>
        <w:t xml:space="preserve">dans l'affaire </w:t>
      </w:r>
      <w:r w:rsidRPr="002C211E">
        <w:rPr>
          <w:rFonts w:cs="Arial"/>
          <w:i/>
          <w:iCs/>
          <w:szCs w:val="20"/>
        </w:rPr>
        <w:t xml:space="preserve">Umo </w:t>
      </w:r>
      <w:proofErr w:type="spellStart"/>
      <w:r w:rsidRPr="002C211E">
        <w:rPr>
          <w:rFonts w:cs="Arial"/>
          <w:i/>
          <w:iCs/>
          <w:szCs w:val="20"/>
        </w:rPr>
        <w:t>Ilinden</w:t>
      </w:r>
      <w:proofErr w:type="spellEnd"/>
      <w:r w:rsidRPr="002C211E">
        <w:rPr>
          <w:rFonts w:cs="Arial"/>
          <w:i/>
          <w:iCs/>
          <w:szCs w:val="20"/>
        </w:rPr>
        <w:t xml:space="preserve"> et autres c. Bulgarie, </w:t>
      </w:r>
      <w:r w:rsidRPr="002C211E">
        <w:rPr>
          <w:rFonts w:cs="Arial"/>
          <w:szCs w:val="20"/>
        </w:rPr>
        <w:t>qui concerne les refus persistants et injustifiés des tribunaux nationaux d'enregistrer l'association requérante,</w:t>
      </w:r>
      <w:bookmarkEnd w:id="0"/>
      <w:r w:rsidRPr="002C211E">
        <w:rPr>
          <w:rFonts w:cs="Arial"/>
          <w:szCs w:val="20"/>
        </w:rPr>
        <w:t xml:space="preserve"> l'issue insatisfaisante des multiples procédures d'enregistrement engagées par la requérante après l'arrêt de la Cour a été prise en compte par le Comité dans le cadre de ses indications concernant également les mesures générales encore nécessaires pour que la Bulgarie puisse se conformer à son obligation de prévenir de nouvelles violations similaires</w:t>
      </w:r>
      <w:r w:rsidRPr="002C211E">
        <w:rPr>
          <w:rFonts w:cs="Arial"/>
          <w:szCs w:val="20"/>
          <w:vertAlign w:val="superscript"/>
        </w:rPr>
        <w:footnoteReference w:id="20"/>
      </w:r>
      <w:r w:rsidRPr="002C211E">
        <w:rPr>
          <w:rFonts w:cs="Arial"/>
          <w:szCs w:val="20"/>
        </w:rPr>
        <w:t>.</w:t>
      </w:r>
    </w:p>
    <w:p w14:paraId="7FF274A4" w14:textId="77777777" w:rsidR="002C211E" w:rsidRPr="002C211E" w:rsidRDefault="002C211E" w:rsidP="002C211E">
      <w:pPr>
        <w:rPr>
          <w:rFonts w:cs="Arial"/>
          <w:szCs w:val="20"/>
          <w:vertAlign w:val="superscript"/>
        </w:rPr>
      </w:pPr>
    </w:p>
    <w:p w14:paraId="456D1469" w14:textId="77777777" w:rsidR="002C211E" w:rsidRDefault="002C211E">
      <w:pPr>
        <w:rPr>
          <w:rFonts w:cs="Arial"/>
          <w:i/>
          <w:iCs/>
          <w:szCs w:val="20"/>
        </w:rPr>
      </w:pPr>
      <w:r>
        <w:rPr>
          <w:rFonts w:cs="Arial"/>
          <w:i/>
          <w:iCs/>
          <w:szCs w:val="20"/>
        </w:rPr>
        <w:br w:type="page"/>
      </w:r>
    </w:p>
    <w:p w14:paraId="1371B024" w14:textId="40CAF6DB" w:rsidR="002C211E" w:rsidRPr="002C211E" w:rsidRDefault="002C211E" w:rsidP="002C211E">
      <w:pPr>
        <w:numPr>
          <w:ilvl w:val="0"/>
          <w:numId w:val="7"/>
        </w:numPr>
        <w:rPr>
          <w:rFonts w:cs="Arial"/>
          <w:i/>
          <w:iCs/>
          <w:szCs w:val="20"/>
        </w:rPr>
      </w:pPr>
      <w:r w:rsidRPr="002C211E">
        <w:rPr>
          <w:rFonts w:cs="Arial"/>
          <w:i/>
          <w:iCs/>
          <w:szCs w:val="20"/>
        </w:rPr>
        <w:lastRenderedPageBreak/>
        <w:t>Examen par le Comité et la Cour d'une même procédure interne se déroulant en réponse à un arrêt de la Cour</w:t>
      </w:r>
    </w:p>
    <w:p w14:paraId="0B7F1299" w14:textId="77777777" w:rsidR="002C211E" w:rsidRPr="002C211E" w:rsidRDefault="002C211E" w:rsidP="002C211E">
      <w:pPr>
        <w:rPr>
          <w:rFonts w:cs="Arial"/>
          <w:szCs w:val="20"/>
        </w:rPr>
      </w:pPr>
    </w:p>
    <w:p w14:paraId="24F92FEE" w14:textId="77777777" w:rsidR="002C211E" w:rsidRPr="002C211E" w:rsidRDefault="002C211E" w:rsidP="002C211E">
      <w:pPr>
        <w:rPr>
          <w:rFonts w:cs="Arial"/>
          <w:szCs w:val="20"/>
        </w:rPr>
      </w:pPr>
      <w:r w:rsidRPr="002C211E">
        <w:rPr>
          <w:rFonts w:cs="Arial"/>
          <w:szCs w:val="20"/>
        </w:rPr>
        <w:t xml:space="preserve">Le Comité a réaffirmé dans plusieurs décisions sa compétence pour évaluer les procédures internes se déroulant en réponse à une violation établie de la Convention, même lorsque ces procédures sont simultanément, bien que sous un angle différent, soumises au contrôle de la Cour européenne. </w:t>
      </w:r>
    </w:p>
    <w:p w14:paraId="06B087B8" w14:textId="77777777" w:rsidR="002C211E" w:rsidRPr="002C211E" w:rsidRDefault="002C211E" w:rsidP="002C211E">
      <w:pPr>
        <w:rPr>
          <w:rFonts w:cs="Arial"/>
          <w:szCs w:val="20"/>
        </w:rPr>
      </w:pPr>
    </w:p>
    <w:p w14:paraId="3D53518B" w14:textId="6D771602" w:rsidR="002C211E" w:rsidRPr="002C211E" w:rsidRDefault="002C211E" w:rsidP="002C211E">
      <w:pPr>
        <w:pStyle w:val="ListParagraph"/>
        <w:ind w:left="0"/>
        <w:rPr>
          <w:rFonts w:cs="Arial"/>
          <w:color w:val="000000"/>
          <w:szCs w:val="20"/>
          <w:shd w:val="clear" w:color="auto" w:fill="FFFFFF"/>
        </w:rPr>
      </w:pPr>
      <w:r w:rsidRPr="002C211E">
        <w:rPr>
          <w:rStyle w:val="sfbbfee58"/>
          <w:rFonts w:cs="Arial"/>
          <w:color w:val="000000"/>
          <w:szCs w:val="20"/>
          <w:shd w:val="clear" w:color="auto" w:fill="FFFFFF"/>
        </w:rPr>
        <w:t xml:space="preserve">Dans l'affaire </w:t>
      </w:r>
      <w:r w:rsidRPr="002C211E">
        <w:rPr>
          <w:rFonts w:cs="Arial"/>
          <w:i/>
          <w:iCs/>
          <w:color w:val="000000"/>
          <w:szCs w:val="20"/>
          <w:shd w:val="clear" w:color="auto" w:fill="FFFFFF"/>
        </w:rPr>
        <w:t xml:space="preserve">Témoins de Jéhovah de Moscou et autres c. </w:t>
      </w:r>
      <w:r w:rsidR="008D6809">
        <w:rPr>
          <w:rFonts w:cs="Arial"/>
          <w:i/>
          <w:iCs/>
          <w:color w:val="000000"/>
          <w:szCs w:val="20"/>
          <w:shd w:val="clear" w:color="auto" w:fill="FFFFFF"/>
        </w:rPr>
        <w:t xml:space="preserve">Fédération de </w:t>
      </w:r>
      <w:r w:rsidRPr="002C211E">
        <w:rPr>
          <w:rFonts w:cs="Arial"/>
          <w:i/>
          <w:iCs/>
          <w:color w:val="000000"/>
          <w:szCs w:val="20"/>
          <w:shd w:val="clear" w:color="auto" w:fill="FFFFFF"/>
        </w:rPr>
        <w:t xml:space="preserve">Russie, </w:t>
      </w:r>
      <w:r w:rsidRPr="002C211E">
        <w:rPr>
          <w:rFonts w:cs="Arial"/>
          <w:color w:val="000000"/>
          <w:szCs w:val="20"/>
          <w:shd w:val="clear" w:color="auto" w:fill="FFFFFF"/>
        </w:rPr>
        <w:t xml:space="preserve">le </w:t>
      </w:r>
      <w:r w:rsidRPr="002C211E">
        <w:rPr>
          <w:rStyle w:val="sfbbfee58"/>
          <w:rFonts w:cs="Arial"/>
          <w:color w:val="000000"/>
          <w:szCs w:val="20"/>
          <w:shd w:val="clear" w:color="auto" w:fill="FFFFFF"/>
        </w:rPr>
        <w:t xml:space="preserve">Comité a </w:t>
      </w:r>
      <w:r w:rsidRPr="002C211E">
        <w:rPr>
          <w:rFonts w:cs="Arial"/>
          <w:color w:val="000000"/>
          <w:szCs w:val="20"/>
          <w:shd w:val="clear" w:color="auto" w:fill="FFFFFF"/>
        </w:rPr>
        <w:t xml:space="preserve">regretté profondément que les autorités </w:t>
      </w:r>
      <w:r w:rsidR="008D6809">
        <w:rPr>
          <w:rFonts w:cs="Arial"/>
          <w:color w:val="000000"/>
          <w:szCs w:val="20"/>
          <w:shd w:val="clear" w:color="auto" w:fill="FFFFFF"/>
        </w:rPr>
        <w:t>continuent</w:t>
      </w:r>
      <w:r w:rsidRPr="002C211E">
        <w:rPr>
          <w:rFonts w:cs="Arial"/>
          <w:color w:val="000000"/>
          <w:szCs w:val="20"/>
          <w:shd w:val="clear" w:color="auto" w:fill="FFFFFF"/>
        </w:rPr>
        <w:t xml:space="preserve"> d’objecter à l'examen par le Comité d'une nouvelle restriction à la liberté d'association de la requérante et de ses conséquences, puisque cette évolution était examinée par la Cour à la suite d'une nouvelle requête. Le Comité a également réaffirmé sa compétence, au titre de l'article 46 de la Convention, pour examiner si les mesures prises ont mis un terme aux violations en cause et permettront de prévenir des nouvelles violations. En l'espèce, les Délégués ont souligné les différentes missions du Comité et de la Cour, et que le fait que le Comité surveille l’exécution des arrêts de la Cour par les </w:t>
      </w:r>
      <w:r w:rsidR="00896B3B">
        <w:rPr>
          <w:rFonts w:cs="Arial"/>
          <w:color w:val="000000"/>
          <w:szCs w:val="20"/>
          <w:shd w:val="clear" w:color="auto" w:fill="FFFFFF"/>
        </w:rPr>
        <w:t>É</w:t>
      </w:r>
      <w:r w:rsidRPr="002C211E">
        <w:rPr>
          <w:rFonts w:cs="Arial"/>
          <w:color w:val="000000"/>
          <w:szCs w:val="20"/>
          <w:shd w:val="clear" w:color="auto" w:fill="FFFFFF"/>
        </w:rPr>
        <w:t>tats défendeurs ne préjuge en rien de l'examen par la Cour de requêtes éventuelles concernant des développements ultérieurs</w:t>
      </w:r>
      <w:r w:rsidRPr="002C211E">
        <w:rPr>
          <w:rStyle w:val="FootnoteReference"/>
          <w:rFonts w:cs="Arial"/>
          <w:color w:val="000000"/>
          <w:szCs w:val="20"/>
          <w:shd w:val="clear" w:color="auto" w:fill="FFFFFF"/>
        </w:rPr>
        <w:footnoteReference w:id="21"/>
      </w:r>
      <w:r w:rsidRPr="002C211E">
        <w:rPr>
          <w:rFonts w:cs="Arial"/>
          <w:color w:val="000000"/>
          <w:szCs w:val="20"/>
          <w:shd w:val="clear" w:color="auto" w:fill="FFFFFF"/>
        </w:rPr>
        <w:t>.</w:t>
      </w:r>
    </w:p>
    <w:p w14:paraId="406C2813" w14:textId="77777777" w:rsidR="002C211E" w:rsidRPr="002C211E" w:rsidRDefault="002C211E" w:rsidP="002C211E">
      <w:pPr>
        <w:pStyle w:val="ListParagraph"/>
        <w:ind w:left="0"/>
        <w:rPr>
          <w:rFonts w:cs="Arial"/>
          <w:color w:val="000000"/>
          <w:szCs w:val="20"/>
          <w:shd w:val="clear" w:color="auto" w:fill="FFFFFF"/>
        </w:rPr>
      </w:pPr>
    </w:p>
    <w:p w14:paraId="104A2DEF" w14:textId="33B40217" w:rsidR="002C211E" w:rsidRPr="002C211E" w:rsidRDefault="002C211E" w:rsidP="002C211E">
      <w:pPr>
        <w:rPr>
          <w:rFonts w:cs="Arial"/>
          <w:szCs w:val="20"/>
        </w:rPr>
      </w:pPr>
      <w:r w:rsidRPr="002C211E">
        <w:rPr>
          <w:rFonts w:cs="Arial"/>
          <w:szCs w:val="20"/>
        </w:rPr>
        <w:t xml:space="preserve">Dans l'affaire </w:t>
      </w:r>
      <w:r w:rsidRPr="002C211E">
        <w:rPr>
          <w:rFonts w:cs="Arial"/>
          <w:i/>
          <w:iCs/>
          <w:szCs w:val="20"/>
        </w:rPr>
        <w:t>Parti socialiste et autres contre Turquie</w:t>
      </w:r>
      <w:r w:rsidRPr="002C211E">
        <w:rPr>
          <w:rFonts w:cs="Arial"/>
          <w:szCs w:val="20"/>
        </w:rPr>
        <w:t xml:space="preserve">, peu après l'adoption de l'arrêt de la Cour européenne constatant que la dissolution du Parti socialiste était injustifiée, le dirigeant de ce parti avait été condamné sur la base des mêmes faits qui avaient servi de fondement à cette dissolution injustifiée (certaines déclarations faites lors d'une campagne politique). Le Comité a demandé à la Turquie d'effacer les conséquences de cette dernière condamnation, alors même que l'affaire était pendante </w:t>
      </w:r>
      <w:r w:rsidR="008D6809" w:rsidRPr="002C211E">
        <w:rPr>
          <w:rFonts w:cs="Arial"/>
          <w:szCs w:val="20"/>
        </w:rPr>
        <w:t xml:space="preserve">à ce titre </w:t>
      </w:r>
      <w:r w:rsidRPr="002C211E">
        <w:rPr>
          <w:rFonts w:cs="Arial"/>
          <w:szCs w:val="20"/>
        </w:rPr>
        <w:t>devant la Cour</w:t>
      </w:r>
      <w:r w:rsidRPr="002C211E">
        <w:rPr>
          <w:rStyle w:val="FootnoteReference"/>
          <w:rFonts w:cs="Arial"/>
          <w:szCs w:val="20"/>
        </w:rPr>
        <w:footnoteReference w:id="22"/>
      </w:r>
      <w:r w:rsidRPr="002C211E">
        <w:rPr>
          <w:rFonts w:cs="Arial"/>
          <w:szCs w:val="20"/>
        </w:rPr>
        <w:t>.</w:t>
      </w:r>
    </w:p>
    <w:p w14:paraId="08D0D2D0" w14:textId="77777777" w:rsidR="002C211E" w:rsidRPr="002C211E" w:rsidRDefault="002C211E" w:rsidP="002C211E">
      <w:pPr>
        <w:rPr>
          <w:rFonts w:cs="Arial"/>
          <w:szCs w:val="20"/>
        </w:rPr>
      </w:pPr>
    </w:p>
    <w:p w14:paraId="4E3436C0" w14:textId="7E8E3A20" w:rsidR="002C211E" w:rsidRPr="002C211E" w:rsidRDefault="002C211E" w:rsidP="002C211E">
      <w:pPr>
        <w:pStyle w:val="ListParagraph"/>
        <w:ind w:left="0"/>
        <w:rPr>
          <w:rFonts w:cs="Arial"/>
          <w:bCs/>
          <w:szCs w:val="20"/>
        </w:rPr>
      </w:pPr>
      <w:r w:rsidRPr="002C211E">
        <w:rPr>
          <w:rFonts w:cs="Arial"/>
          <w:bCs/>
          <w:szCs w:val="20"/>
        </w:rPr>
        <w:t xml:space="preserve">Dans l'affaire </w:t>
      </w:r>
      <w:proofErr w:type="spellStart"/>
      <w:r w:rsidRPr="002C211E">
        <w:rPr>
          <w:rFonts w:cs="Arial"/>
          <w:bCs/>
          <w:i/>
          <w:iCs/>
          <w:szCs w:val="20"/>
        </w:rPr>
        <w:t>Navalnyy</w:t>
      </w:r>
      <w:proofErr w:type="spellEnd"/>
      <w:r w:rsidRPr="002C211E">
        <w:rPr>
          <w:rFonts w:cs="Arial"/>
          <w:bCs/>
          <w:i/>
          <w:iCs/>
          <w:szCs w:val="20"/>
        </w:rPr>
        <w:t xml:space="preserve"> et </w:t>
      </w:r>
      <w:proofErr w:type="spellStart"/>
      <w:r w:rsidRPr="002C211E">
        <w:rPr>
          <w:rFonts w:cs="Arial"/>
          <w:bCs/>
          <w:i/>
          <w:iCs/>
          <w:szCs w:val="20"/>
        </w:rPr>
        <w:t>Ofitserov</w:t>
      </w:r>
      <w:proofErr w:type="spellEnd"/>
      <w:r w:rsidRPr="002C211E">
        <w:rPr>
          <w:rFonts w:cs="Arial"/>
          <w:bCs/>
          <w:i/>
          <w:iCs/>
          <w:szCs w:val="20"/>
        </w:rPr>
        <w:t xml:space="preserve"> c. </w:t>
      </w:r>
      <w:r w:rsidR="008D6809">
        <w:rPr>
          <w:rFonts w:cs="Arial"/>
          <w:bCs/>
          <w:i/>
          <w:iCs/>
          <w:szCs w:val="20"/>
        </w:rPr>
        <w:t xml:space="preserve">Fédération de </w:t>
      </w:r>
      <w:r w:rsidRPr="002C211E">
        <w:rPr>
          <w:rFonts w:cs="Arial"/>
          <w:bCs/>
          <w:i/>
          <w:iCs/>
          <w:szCs w:val="20"/>
        </w:rPr>
        <w:t>Russie</w:t>
      </w:r>
      <w:r w:rsidRPr="002C211E">
        <w:rPr>
          <w:rFonts w:cs="Arial"/>
          <w:bCs/>
          <w:szCs w:val="20"/>
        </w:rPr>
        <w:t>, le Comité a noté qu'une nouvelle requête était pendante devant la Cour concernant la nouvelle procédure pénale qui a eu lieu après que l’affaire a été rouverte en réponse à l’arrêt de la Cour, et a affirmé sa compétence, en vertu de l’article 46 de la Convention, pour examiner si les violations établies par la Cour ont été réparées dans le cadre de cette nouvelle procédure pénale</w:t>
      </w:r>
      <w:r w:rsidRPr="002C211E">
        <w:rPr>
          <w:rFonts w:cs="Arial"/>
          <w:bCs/>
          <w:szCs w:val="20"/>
          <w:vertAlign w:val="superscript"/>
        </w:rPr>
        <w:footnoteReference w:id="23"/>
      </w:r>
      <w:r w:rsidRPr="002C211E">
        <w:rPr>
          <w:rFonts w:cs="Arial"/>
          <w:bCs/>
          <w:szCs w:val="20"/>
        </w:rPr>
        <w:t xml:space="preserve">. </w:t>
      </w:r>
      <w:r w:rsidR="008D6809">
        <w:rPr>
          <w:rFonts w:cs="Arial"/>
          <w:bCs/>
          <w:szCs w:val="20"/>
        </w:rPr>
        <w:t>D</w:t>
      </w:r>
      <w:r w:rsidR="008D6809" w:rsidRPr="002C211E">
        <w:rPr>
          <w:rFonts w:cs="Arial"/>
          <w:bCs/>
          <w:szCs w:val="20"/>
        </w:rPr>
        <w:t>ans cette affaire</w:t>
      </w:r>
      <w:r w:rsidR="008D6809">
        <w:rPr>
          <w:rFonts w:cs="Arial"/>
          <w:bCs/>
          <w:szCs w:val="20"/>
        </w:rPr>
        <w:t>,</w:t>
      </w:r>
      <w:r w:rsidR="008D6809" w:rsidRPr="002C211E">
        <w:rPr>
          <w:rFonts w:cs="Arial"/>
          <w:bCs/>
          <w:szCs w:val="20"/>
        </w:rPr>
        <w:t xml:space="preserve"> </w:t>
      </w:r>
      <w:r w:rsidR="008D6809">
        <w:rPr>
          <w:rFonts w:cs="Arial"/>
          <w:bCs/>
          <w:szCs w:val="20"/>
        </w:rPr>
        <w:t>l</w:t>
      </w:r>
      <w:r w:rsidRPr="002C211E">
        <w:rPr>
          <w:rFonts w:cs="Arial"/>
          <w:bCs/>
          <w:szCs w:val="20"/>
        </w:rPr>
        <w:t>es autorités avaient réitéré leur argument selon lequel le Comité n'est pas compétent pour examiner les décisions judiciaires internes définitives qui font l'objet d'une requête pendante devant la Cour</w:t>
      </w:r>
      <w:r w:rsidRPr="002C211E">
        <w:rPr>
          <w:rStyle w:val="FootnoteReference"/>
          <w:rFonts w:cs="Arial"/>
          <w:bCs/>
          <w:szCs w:val="20"/>
        </w:rPr>
        <w:footnoteReference w:id="24"/>
      </w:r>
      <w:r w:rsidRPr="002C211E">
        <w:rPr>
          <w:rFonts w:cs="Arial"/>
          <w:bCs/>
          <w:szCs w:val="20"/>
        </w:rPr>
        <w:t>.</w:t>
      </w:r>
    </w:p>
    <w:p w14:paraId="44253EA3" w14:textId="77777777" w:rsidR="002C211E" w:rsidRPr="002C211E" w:rsidRDefault="002C211E" w:rsidP="002C211E">
      <w:pPr>
        <w:pStyle w:val="ListParagraph"/>
        <w:ind w:left="0"/>
        <w:rPr>
          <w:rFonts w:cs="Arial"/>
          <w:bCs/>
          <w:szCs w:val="20"/>
        </w:rPr>
      </w:pPr>
    </w:p>
    <w:p w14:paraId="63E0D9B7" w14:textId="68FF9317" w:rsidR="002C211E" w:rsidRPr="002C211E" w:rsidRDefault="002C211E" w:rsidP="002C211E">
      <w:pPr>
        <w:rPr>
          <w:rFonts w:cs="Arial"/>
          <w:szCs w:val="20"/>
        </w:rPr>
      </w:pPr>
      <w:r w:rsidRPr="002C211E">
        <w:rPr>
          <w:rFonts w:cs="Arial"/>
          <w:szCs w:val="20"/>
        </w:rPr>
        <w:t xml:space="preserve">Dans les affaires </w:t>
      </w:r>
      <w:proofErr w:type="spellStart"/>
      <w:r w:rsidRPr="002C211E">
        <w:rPr>
          <w:rFonts w:cs="Arial"/>
          <w:i/>
          <w:iCs/>
          <w:szCs w:val="20"/>
        </w:rPr>
        <w:t>Bochan</w:t>
      </w:r>
      <w:proofErr w:type="spellEnd"/>
      <w:r w:rsidRPr="002C211E">
        <w:rPr>
          <w:rFonts w:cs="Arial"/>
          <w:i/>
          <w:iCs/>
          <w:szCs w:val="20"/>
        </w:rPr>
        <w:t xml:space="preserve"> c. Ukraine</w:t>
      </w:r>
      <w:r w:rsidRPr="002C211E">
        <w:rPr>
          <w:rStyle w:val="FootnoteReference"/>
          <w:rFonts w:cs="Arial"/>
          <w:szCs w:val="20"/>
        </w:rPr>
        <w:footnoteReference w:id="25"/>
      </w:r>
      <w:r w:rsidRPr="002C211E">
        <w:rPr>
          <w:rFonts w:cs="Arial"/>
          <w:szCs w:val="20"/>
        </w:rPr>
        <w:t>, le Comité a poursuivi sa surveillance de l'exécution du premier arrêt alors que la Cour avait été saisie d'une nouvelle requête par le même requérant</w:t>
      </w:r>
      <w:r w:rsidRPr="002C211E">
        <w:rPr>
          <w:rStyle w:val="FootnoteReference"/>
          <w:rFonts w:cs="Arial"/>
          <w:szCs w:val="20"/>
        </w:rPr>
        <w:footnoteReference w:id="26"/>
      </w:r>
      <w:r w:rsidRPr="002C211E">
        <w:rPr>
          <w:rFonts w:cs="Arial"/>
          <w:szCs w:val="20"/>
        </w:rPr>
        <w:t>. Le Comité a évalué les procédures internes se déroulant en réponse aux deux arrêts et a finalement noté avec satisfaction que dans la procédure réouverte à la suite du second arrêt de la Cour, l</w:t>
      </w:r>
      <w:r w:rsidRPr="002C211E">
        <w:rPr>
          <w:rFonts w:cs="Arial"/>
          <w:color w:val="000000"/>
          <w:szCs w:val="20"/>
          <w:shd w:val="clear" w:color="auto" w:fill="FFFFFF"/>
        </w:rPr>
        <w:t xml:space="preserve">es tribunaux nationaux </w:t>
      </w:r>
      <w:r w:rsidR="0088292D">
        <w:rPr>
          <w:rFonts w:cs="Arial"/>
          <w:color w:val="000000"/>
          <w:szCs w:val="20"/>
          <w:shd w:val="clear" w:color="auto" w:fill="FFFFFF"/>
        </w:rPr>
        <w:t>avaient</w:t>
      </w:r>
      <w:r w:rsidRPr="002C211E">
        <w:rPr>
          <w:rFonts w:cs="Arial"/>
          <w:color w:val="000000"/>
          <w:szCs w:val="20"/>
          <w:shd w:val="clear" w:color="auto" w:fill="FFFFFF"/>
        </w:rPr>
        <w:t xml:space="preserve"> pris en compte de manière complète et adéquate les exigences de </w:t>
      </w:r>
      <w:proofErr w:type="spellStart"/>
      <w:r w:rsidRPr="002C211E">
        <w:rPr>
          <w:rStyle w:val="s9776b88b"/>
          <w:rFonts w:cs="Arial"/>
          <w:i/>
          <w:iCs/>
          <w:color w:val="000000"/>
          <w:szCs w:val="20"/>
          <w:shd w:val="clear" w:color="auto" w:fill="FFFFFF"/>
        </w:rPr>
        <w:t>restitutio</w:t>
      </w:r>
      <w:proofErr w:type="spellEnd"/>
      <w:r w:rsidRPr="002C211E">
        <w:rPr>
          <w:rStyle w:val="s9776b88b"/>
          <w:rFonts w:cs="Arial"/>
          <w:i/>
          <w:iCs/>
          <w:color w:val="000000"/>
          <w:szCs w:val="20"/>
          <w:shd w:val="clear" w:color="auto" w:fill="FFFFFF"/>
        </w:rPr>
        <w:t xml:space="preserve"> in integrum </w:t>
      </w:r>
      <w:r w:rsidRPr="002C211E">
        <w:rPr>
          <w:rFonts w:cs="Arial"/>
          <w:color w:val="000000"/>
          <w:szCs w:val="20"/>
          <w:shd w:val="clear" w:color="auto" w:fill="FFFFFF"/>
        </w:rPr>
        <w:t>découlant des arrêts de la Cour européenne</w:t>
      </w:r>
      <w:r w:rsidRPr="002C211E">
        <w:rPr>
          <w:rStyle w:val="FootnoteReference"/>
          <w:rFonts w:cs="Arial"/>
          <w:szCs w:val="20"/>
        </w:rPr>
        <w:footnoteReference w:id="27"/>
      </w:r>
      <w:r w:rsidRPr="002C211E">
        <w:rPr>
          <w:rFonts w:cs="Arial"/>
          <w:szCs w:val="20"/>
        </w:rPr>
        <w:t>.</w:t>
      </w:r>
    </w:p>
    <w:p w14:paraId="440D2DE7" w14:textId="77777777" w:rsidR="002C211E" w:rsidRPr="002C211E" w:rsidRDefault="002C211E" w:rsidP="002C211E">
      <w:pPr>
        <w:rPr>
          <w:rFonts w:cs="Arial"/>
          <w:szCs w:val="20"/>
        </w:rPr>
      </w:pPr>
    </w:p>
    <w:sectPr w:rsidR="002C211E" w:rsidRPr="002C211E"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DF6F" w14:textId="77777777" w:rsidR="003955AD" w:rsidRDefault="003955AD" w:rsidP="00FD6043">
      <w:r>
        <w:separator/>
      </w:r>
    </w:p>
  </w:endnote>
  <w:endnote w:type="continuationSeparator" w:id="0">
    <w:p w14:paraId="7375E084" w14:textId="77777777" w:rsidR="003955AD" w:rsidRDefault="003955A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A0E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D049"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9E51" w14:textId="77777777" w:rsidR="003955AD" w:rsidRDefault="003955AD" w:rsidP="00FD6043">
      <w:r>
        <w:separator/>
      </w:r>
    </w:p>
  </w:footnote>
  <w:footnote w:type="continuationSeparator" w:id="0">
    <w:p w14:paraId="7465C164" w14:textId="77777777" w:rsidR="003955AD" w:rsidRDefault="003955AD" w:rsidP="00FD6043">
      <w:r>
        <w:continuationSeparator/>
      </w:r>
    </w:p>
  </w:footnote>
  <w:footnote w:id="1">
    <w:p w14:paraId="534F2DCD" w14:textId="6A439FEC" w:rsidR="004D1C0F" w:rsidRPr="00A03387" w:rsidRDefault="00853C90" w:rsidP="002C211E">
      <w:pPr>
        <w:pStyle w:val="FootnoteText"/>
        <w:rPr>
          <w:szCs w:val="16"/>
        </w:rPr>
      </w:pPr>
      <w:r w:rsidRPr="00175311">
        <w:rPr>
          <w:rStyle w:val="FootnoteReference"/>
          <w:szCs w:val="16"/>
        </w:rPr>
        <w:footnoteRef/>
      </w:r>
      <w:r w:rsidRPr="00175311">
        <w:rPr>
          <w:szCs w:val="16"/>
        </w:rPr>
        <w:t xml:space="preserve"> </w:t>
      </w:r>
      <w:r w:rsidR="004728F8" w:rsidRPr="00175311">
        <w:rPr>
          <w:szCs w:val="16"/>
        </w:rPr>
        <w:t xml:space="preserve">Ce document </w:t>
      </w:r>
      <w:r w:rsidR="00175311" w:rsidRPr="00175311">
        <w:rPr>
          <w:szCs w:val="16"/>
        </w:rPr>
        <w:t>est publié pour information. Il ne donnera pas lieu à l’inscription d’un point à l’ordre du jour, sauf demande expresse d’une délégation à cet égard.</w:t>
      </w:r>
    </w:p>
  </w:footnote>
  <w:footnote w:id="2">
    <w:p w14:paraId="41AF1F24" w14:textId="77777777" w:rsidR="002C211E" w:rsidRPr="006B7EA0" w:rsidRDefault="002C211E" w:rsidP="002C211E">
      <w:pPr>
        <w:pStyle w:val="FootnoteText"/>
        <w:rPr>
          <w:rFonts w:cs="Arial"/>
        </w:rPr>
      </w:pPr>
      <w:r>
        <w:rPr>
          <w:rStyle w:val="FootnoteReference"/>
        </w:rPr>
        <w:footnoteRef/>
      </w:r>
      <w:r>
        <w:rPr>
          <w:i/>
          <w:iCs/>
        </w:rPr>
        <w:t xml:space="preserve"> </w:t>
      </w:r>
      <w:proofErr w:type="spellStart"/>
      <w:r w:rsidRPr="006B7EA0">
        <w:rPr>
          <w:rFonts w:cs="Arial"/>
          <w:i/>
          <w:iCs/>
        </w:rPr>
        <w:t>Ilgar</w:t>
      </w:r>
      <w:proofErr w:type="spellEnd"/>
      <w:r w:rsidRPr="006B7EA0">
        <w:rPr>
          <w:rFonts w:cs="Arial"/>
          <w:i/>
          <w:iCs/>
        </w:rPr>
        <w:t xml:space="preserve"> </w:t>
      </w:r>
      <w:proofErr w:type="spellStart"/>
      <w:r w:rsidRPr="006B7EA0">
        <w:rPr>
          <w:rFonts w:cs="Arial"/>
          <w:i/>
          <w:iCs/>
        </w:rPr>
        <w:t>Mammadov</w:t>
      </w:r>
      <w:proofErr w:type="spellEnd"/>
      <w:r w:rsidRPr="006B7EA0">
        <w:rPr>
          <w:rFonts w:cs="Arial"/>
          <w:i/>
          <w:iCs/>
        </w:rPr>
        <w:t xml:space="preserve"> c. Azerbaïdjan (article 46 § 4), n° </w:t>
      </w:r>
      <w:hyperlink r:id="rId1" w:anchor="{%22EXECDocumentTypeCollection%22:[%22CEC%22],%22EXECAppno%22:[%2215172/13%22]}" w:tgtFrame="_blank" w:history="1">
        <w:r w:rsidRPr="006B7EA0">
          <w:rPr>
            <w:rStyle w:val="Hyperlink"/>
            <w:rFonts w:cs="Arial"/>
            <w:i/>
            <w:iCs/>
          </w:rPr>
          <w:t>15172/13</w:t>
        </w:r>
      </w:hyperlink>
      <w:r w:rsidRPr="006B7EA0">
        <w:rPr>
          <w:rFonts w:cs="Arial"/>
          <w:i/>
          <w:iCs/>
        </w:rPr>
        <w:t xml:space="preserve">, arrêt du 29 mai 2019 (GC) </w:t>
      </w:r>
      <w:r w:rsidRPr="006B7EA0">
        <w:rPr>
          <w:rFonts w:cs="Arial"/>
        </w:rPr>
        <w:t xml:space="preserve">§§ 147-155, 161-164. Voir également </w:t>
      </w:r>
      <w:r w:rsidRPr="006B7EA0">
        <w:rPr>
          <w:rFonts w:cs="Arial"/>
          <w:i/>
          <w:iCs/>
        </w:rPr>
        <w:t xml:space="preserve">Moreira Ferreira c. Portugal (n° 2), n° </w:t>
      </w:r>
      <w:hyperlink r:id="rId2" w:anchor="{%22EXECDocumentTypeCollection%22:[%22CEC%22],%22EXECAppno%22:[%2219867/12%22]}" w:tgtFrame="_blank" w:history="1">
        <w:r w:rsidRPr="006B7EA0">
          <w:rPr>
            <w:rStyle w:val="Hyperlink"/>
            <w:rFonts w:cs="Arial"/>
            <w:i/>
            <w:iCs/>
          </w:rPr>
          <w:t>19867/12</w:t>
        </w:r>
      </w:hyperlink>
      <w:r w:rsidRPr="006B7EA0">
        <w:rPr>
          <w:rFonts w:cs="Arial"/>
          <w:i/>
          <w:iCs/>
        </w:rPr>
        <w:t>, arrêt du 11 juillet 2017, (GC), § 47</w:t>
      </w:r>
      <w:r w:rsidRPr="006B7EA0">
        <w:rPr>
          <w:rFonts w:cs="Arial"/>
        </w:rPr>
        <w:t xml:space="preserve">, et </w:t>
      </w:r>
      <w:proofErr w:type="spellStart"/>
      <w:r w:rsidRPr="006B7EA0">
        <w:rPr>
          <w:rFonts w:cs="Arial"/>
          <w:i/>
          <w:iCs/>
        </w:rPr>
        <w:t>Barabanov</w:t>
      </w:r>
      <w:proofErr w:type="spellEnd"/>
      <w:r w:rsidRPr="006B7EA0">
        <w:rPr>
          <w:rFonts w:cs="Arial"/>
          <w:i/>
          <w:iCs/>
        </w:rPr>
        <w:t xml:space="preserve"> c. Fédération de Russie</w:t>
      </w:r>
      <w:r w:rsidRPr="006B7EA0">
        <w:rPr>
          <w:rFonts w:cs="Arial"/>
        </w:rPr>
        <w:t>, n° </w:t>
      </w:r>
      <w:hyperlink r:id="rId3" w:anchor="{%22EXECDocumentTypeCollection%22:[%22CEC%22],%22EXECAppno%22:[%224966/13%22]}" w:tgtFrame="_blank" w:history="1">
        <w:r w:rsidRPr="006B7EA0">
          <w:rPr>
            <w:rStyle w:val="Hyperlink"/>
            <w:rFonts w:cs="Arial"/>
          </w:rPr>
          <w:t>4966/13</w:t>
        </w:r>
      </w:hyperlink>
      <w:r w:rsidRPr="006B7EA0">
        <w:rPr>
          <w:rFonts w:cs="Arial"/>
        </w:rPr>
        <w:t>, arrêt définitif du 2 juillet 2018, § 88, avec d'autres références.</w:t>
      </w:r>
    </w:p>
  </w:footnote>
  <w:footnote w:id="3">
    <w:p w14:paraId="764A867C" w14:textId="52A0072F" w:rsidR="002C211E" w:rsidRDefault="002C211E" w:rsidP="002C211E">
      <w:pPr>
        <w:pStyle w:val="FootnoteText"/>
        <w:rPr>
          <w:lang w:val="es-ES"/>
        </w:rPr>
      </w:pPr>
      <w:r>
        <w:rPr>
          <w:rStyle w:val="FootnoteReference"/>
        </w:rPr>
        <w:footnoteRef/>
      </w:r>
      <w:r>
        <w:rPr>
          <w:i/>
          <w:iCs/>
          <w:lang w:val="es-ES"/>
        </w:rPr>
        <w:t xml:space="preserve"> </w:t>
      </w:r>
      <w:proofErr w:type="spellStart"/>
      <w:r>
        <w:rPr>
          <w:i/>
          <w:iCs/>
          <w:lang w:val="es-ES"/>
        </w:rPr>
        <w:t>Ilgar</w:t>
      </w:r>
      <w:proofErr w:type="spellEnd"/>
      <w:r>
        <w:rPr>
          <w:i/>
          <w:iCs/>
          <w:lang w:val="es-ES"/>
        </w:rPr>
        <w:t xml:space="preserve"> </w:t>
      </w:r>
      <w:proofErr w:type="spellStart"/>
      <w:r>
        <w:rPr>
          <w:i/>
          <w:iCs/>
          <w:lang w:val="es-ES"/>
        </w:rPr>
        <w:t>Mammadov</w:t>
      </w:r>
      <w:proofErr w:type="spellEnd"/>
      <w:r>
        <w:rPr>
          <w:i/>
          <w:iCs/>
          <w:lang w:val="es-ES"/>
        </w:rPr>
        <w:t xml:space="preserve"> c. </w:t>
      </w:r>
      <w:proofErr w:type="spellStart"/>
      <w:r>
        <w:rPr>
          <w:i/>
          <w:iCs/>
          <w:lang w:val="es-ES"/>
        </w:rPr>
        <w:t>Azerbaïdjan</w:t>
      </w:r>
      <w:proofErr w:type="spellEnd"/>
      <w:r>
        <w:rPr>
          <w:i/>
          <w:iCs/>
          <w:lang w:val="es-ES"/>
        </w:rPr>
        <w:t xml:space="preserve"> (</w:t>
      </w:r>
      <w:proofErr w:type="spellStart"/>
      <w:r>
        <w:rPr>
          <w:i/>
          <w:iCs/>
          <w:lang w:val="es-ES"/>
        </w:rPr>
        <w:t>article</w:t>
      </w:r>
      <w:proofErr w:type="spellEnd"/>
      <w:r>
        <w:rPr>
          <w:i/>
          <w:iCs/>
          <w:lang w:val="es-ES"/>
        </w:rPr>
        <w:t xml:space="preserve"> 46 § 4), </w:t>
      </w:r>
      <w:r>
        <w:rPr>
          <w:lang w:val="es-ES"/>
        </w:rPr>
        <w:t>§ 184.</w:t>
      </w:r>
    </w:p>
  </w:footnote>
  <w:footnote w:id="4">
    <w:p w14:paraId="24163E28" w14:textId="77777777" w:rsidR="002C211E" w:rsidRDefault="002C211E" w:rsidP="002C211E">
      <w:pPr>
        <w:pStyle w:val="FootnoteText"/>
        <w:rPr>
          <w:lang w:val="es-ES"/>
        </w:rPr>
      </w:pPr>
      <w:r>
        <w:rPr>
          <w:rStyle w:val="FootnoteReference"/>
        </w:rPr>
        <w:footnoteRef/>
      </w:r>
      <w:r>
        <w:rPr>
          <w:i/>
          <w:iCs/>
          <w:lang w:val="es-ES"/>
        </w:rPr>
        <w:t xml:space="preserve"> </w:t>
      </w:r>
      <w:proofErr w:type="spellStart"/>
      <w:r>
        <w:rPr>
          <w:i/>
          <w:iCs/>
          <w:lang w:val="es-ES"/>
        </w:rPr>
        <w:t>Ilgar</w:t>
      </w:r>
      <w:proofErr w:type="spellEnd"/>
      <w:r>
        <w:rPr>
          <w:i/>
          <w:iCs/>
          <w:lang w:val="es-ES"/>
        </w:rPr>
        <w:t xml:space="preserve"> </w:t>
      </w:r>
      <w:proofErr w:type="spellStart"/>
      <w:r>
        <w:rPr>
          <w:i/>
          <w:iCs/>
          <w:lang w:val="es-ES"/>
        </w:rPr>
        <w:t>Mammadov</w:t>
      </w:r>
      <w:proofErr w:type="spellEnd"/>
      <w:r>
        <w:rPr>
          <w:i/>
          <w:iCs/>
          <w:lang w:val="es-ES"/>
        </w:rPr>
        <w:t xml:space="preserve"> c. </w:t>
      </w:r>
      <w:proofErr w:type="spellStart"/>
      <w:r>
        <w:rPr>
          <w:i/>
          <w:iCs/>
          <w:lang w:val="es-ES"/>
        </w:rPr>
        <w:t>Azerbaïdjan</w:t>
      </w:r>
      <w:proofErr w:type="spellEnd"/>
      <w:r>
        <w:rPr>
          <w:i/>
          <w:iCs/>
          <w:lang w:val="es-ES"/>
        </w:rPr>
        <w:t xml:space="preserve"> (</w:t>
      </w:r>
      <w:proofErr w:type="spellStart"/>
      <w:r>
        <w:rPr>
          <w:i/>
          <w:iCs/>
          <w:lang w:val="es-ES"/>
        </w:rPr>
        <w:t>article</w:t>
      </w:r>
      <w:proofErr w:type="spellEnd"/>
      <w:r>
        <w:rPr>
          <w:i/>
          <w:iCs/>
          <w:lang w:val="es-ES"/>
        </w:rPr>
        <w:t xml:space="preserve"> 46 § 4), </w:t>
      </w:r>
      <w:r>
        <w:rPr>
          <w:lang w:val="es-ES"/>
        </w:rPr>
        <w:t>§ 183.</w:t>
      </w:r>
    </w:p>
  </w:footnote>
  <w:footnote w:id="5">
    <w:p w14:paraId="045B48CB" w14:textId="77777777" w:rsidR="002C211E" w:rsidRDefault="002C211E" w:rsidP="002C211E">
      <w:pPr>
        <w:pStyle w:val="FootnoteText"/>
      </w:pPr>
      <w:r>
        <w:rPr>
          <w:rStyle w:val="FootnoteReference"/>
        </w:rPr>
        <w:footnoteRef/>
      </w:r>
      <w:r>
        <w:t xml:space="preserve"> Voir les Recommandations du Comité des Ministres aux </w:t>
      </w:r>
      <w:r>
        <w:rPr>
          <w:rFonts w:cs="Arial"/>
        </w:rPr>
        <w:t>É</w:t>
      </w:r>
      <w:r>
        <w:t>tats membres sur le réexamen ou la réouverture de certaines affaires au niveau interne suite à des arrêts de la Cour européenne des droits de l'homme (</w:t>
      </w:r>
      <w:hyperlink r:id="rId4" w:tgtFrame="_blank" w:tooltip="Rec(2000)2" w:history="1">
        <w:r>
          <w:rPr>
            <w:rStyle w:val="Hyperlink"/>
          </w:rPr>
          <w:t>Rec(2000)2</w:t>
        </w:r>
      </w:hyperlink>
      <w:r>
        <w:t>) et sur l'amélioration des recours internes (</w:t>
      </w:r>
      <w:hyperlink r:id="rId5" w:tgtFrame="_blank" w:tooltip="Rec(2004)6" w:history="1">
        <w:r>
          <w:rPr>
            <w:rStyle w:val="Hyperlink"/>
          </w:rPr>
          <w:t>Rec(2004)6</w:t>
        </w:r>
      </w:hyperlink>
      <w:r>
        <w:t>).</w:t>
      </w:r>
    </w:p>
  </w:footnote>
  <w:footnote w:id="6">
    <w:p w14:paraId="3D04596E" w14:textId="77777777" w:rsidR="002C211E" w:rsidRDefault="002C211E" w:rsidP="002C211E">
      <w:pPr>
        <w:pStyle w:val="FootnoteText"/>
      </w:pPr>
      <w:r>
        <w:rPr>
          <w:rStyle w:val="FootnoteReference"/>
        </w:rPr>
        <w:footnoteRef/>
      </w:r>
      <w:r>
        <w:rPr>
          <w:i/>
          <w:iCs/>
        </w:rPr>
        <w:t xml:space="preserve"> </w:t>
      </w:r>
      <w:proofErr w:type="spellStart"/>
      <w:r>
        <w:rPr>
          <w:i/>
          <w:iCs/>
        </w:rPr>
        <w:t>Bekir-Ousta</w:t>
      </w:r>
      <w:proofErr w:type="spellEnd"/>
      <w:r>
        <w:rPr>
          <w:i/>
          <w:iCs/>
        </w:rPr>
        <w:t xml:space="preserve"> et autres c. Grèce, </w:t>
      </w:r>
      <w:r>
        <w:t xml:space="preserve">n° 7050/14, (déc. ) 13 décembre 2016, § 25 et </w:t>
      </w:r>
      <w:proofErr w:type="spellStart"/>
      <w:r>
        <w:rPr>
          <w:i/>
          <w:iCs/>
        </w:rPr>
        <w:t>Xanti</w:t>
      </w:r>
      <w:proofErr w:type="spellEnd"/>
      <w:r>
        <w:rPr>
          <w:i/>
          <w:iCs/>
        </w:rPr>
        <w:t xml:space="preserve"> Turkish Union et autres c. Grèce</w:t>
      </w:r>
      <w:r>
        <w:t>, n° </w:t>
      </w:r>
      <w:hyperlink r:id="rId6" w:anchor="%7B%2522EXECDocumentTypeCollection%2522:%5B%2522CEC%2522%5D,%2522EXECAppno%2522:%5B%252255557/12%2522%5D%7D" w:tgtFrame="_blank" w:history="1">
        <w:r>
          <w:rPr>
            <w:rStyle w:val="Hyperlink"/>
          </w:rPr>
          <w:t>55557/12</w:t>
        </w:r>
      </w:hyperlink>
      <w:r>
        <w:t xml:space="preserve"> et </w:t>
      </w:r>
      <w:hyperlink r:id="rId7" w:anchor="%7B%2522EXECDocumentTypeCollection%2522:%5B%2522CEC%2522%5D,%2522EXECAppno%2522:%5B%252273646/13%2522%5D%7D" w:tgtFrame="_blank" w:history="1">
        <w:r>
          <w:rPr>
            <w:rStyle w:val="Hyperlink"/>
          </w:rPr>
          <w:t>73646/13</w:t>
        </w:r>
      </w:hyperlink>
      <w:r>
        <w:t xml:space="preserve">, (déc.) 17 novembre 2015, § 32 ; </w:t>
      </w:r>
      <w:proofErr w:type="spellStart"/>
      <w:r>
        <w:rPr>
          <w:i/>
          <w:iCs/>
        </w:rPr>
        <w:t>Verein</w:t>
      </w:r>
      <w:proofErr w:type="spellEnd"/>
      <w:r>
        <w:rPr>
          <w:i/>
          <w:iCs/>
        </w:rPr>
        <w:t xml:space="preserve"> </w:t>
      </w:r>
      <w:proofErr w:type="spellStart"/>
      <w:r>
        <w:rPr>
          <w:i/>
          <w:iCs/>
        </w:rPr>
        <w:t>Gegen</w:t>
      </w:r>
      <w:proofErr w:type="spellEnd"/>
      <w:r>
        <w:rPr>
          <w:i/>
          <w:iCs/>
        </w:rPr>
        <w:t xml:space="preserve"> </w:t>
      </w:r>
      <w:proofErr w:type="spellStart"/>
      <w:r>
        <w:rPr>
          <w:i/>
          <w:iCs/>
        </w:rPr>
        <w:t>Tierfabriken</w:t>
      </w:r>
      <w:proofErr w:type="spellEnd"/>
      <w:r>
        <w:rPr>
          <w:i/>
          <w:iCs/>
        </w:rPr>
        <w:t xml:space="preserve"> Schweiz (</w:t>
      </w:r>
      <w:proofErr w:type="spellStart"/>
      <w:r>
        <w:rPr>
          <w:i/>
          <w:iCs/>
        </w:rPr>
        <w:t>VgT</w:t>
      </w:r>
      <w:proofErr w:type="spellEnd"/>
      <w:r>
        <w:rPr>
          <w:i/>
          <w:iCs/>
        </w:rPr>
        <w:t xml:space="preserve">) c. Suisse (n° 2), </w:t>
      </w:r>
      <w:r>
        <w:t>n° </w:t>
      </w:r>
      <w:hyperlink r:id="rId8" w:anchor="{%22appno%22:[%2232772/02%22]}" w:tgtFrame="_blank" w:history="1">
        <w:r>
          <w:rPr>
            <w:rStyle w:val="Hyperlink"/>
          </w:rPr>
          <w:t>32772/02</w:t>
        </w:r>
      </w:hyperlink>
      <w:r>
        <w:t xml:space="preserve">, arrêt du 30 juin 2009 (GC), § 90. </w:t>
      </w:r>
    </w:p>
  </w:footnote>
  <w:footnote w:id="7">
    <w:p w14:paraId="6AE7A7F3" w14:textId="77777777" w:rsidR="002C211E" w:rsidRDefault="002C211E" w:rsidP="002C211E">
      <w:pPr>
        <w:pStyle w:val="FootnoteText"/>
      </w:pPr>
      <w:r>
        <w:rPr>
          <w:rStyle w:val="FootnoteReference"/>
        </w:rPr>
        <w:footnoteRef/>
      </w:r>
      <w:r>
        <w:rPr>
          <w:i/>
          <w:iCs/>
        </w:rPr>
        <w:t xml:space="preserve"> Moreira Ferreira c. Portugal (n° 2), </w:t>
      </w:r>
      <w:r>
        <w:t>n° </w:t>
      </w:r>
      <w:hyperlink r:id="rId9" w:anchor="{%22EXECDocumentTypeCollection%22:[%22CEC%22],%22EXECAppno%22:[%2219867/12%22]}" w:tgtFrame="_blank" w:history="1">
        <w:r>
          <w:rPr>
            <w:rStyle w:val="Hyperlink"/>
          </w:rPr>
          <w:t>19867/12</w:t>
        </w:r>
      </w:hyperlink>
      <w:r>
        <w:t>, arrêt du 11 juillet 2017, (GC), § 47.</w:t>
      </w:r>
    </w:p>
  </w:footnote>
  <w:footnote w:id="8">
    <w:p w14:paraId="5423110F" w14:textId="77777777" w:rsidR="002C211E" w:rsidRDefault="002C211E" w:rsidP="002C211E">
      <w:pPr>
        <w:pStyle w:val="FootnoteText"/>
      </w:pPr>
      <w:r>
        <w:rPr>
          <w:rStyle w:val="FootnoteReference"/>
        </w:rPr>
        <w:footnoteRef/>
      </w:r>
      <w:r>
        <w:rPr>
          <w:i/>
          <w:iCs/>
        </w:rPr>
        <w:t xml:space="preserve"> Rooney c. Irlande, </w:t>
      </w:r>
      <w:r>
        <w:t xml:space="preserve">§ 34, </w:t>
      </w:r>
      <w:hyperlink r:id="rId10" w:anchor="{%22EXECDocumentTypeCollection%22:[%22CEC%22],%22EXECAppno%22:[%226870/18%22]}" w:tgtFrame="_blank" w:history="1">
        <w:r>
          <w:rPr>
            <w:rStyle w:val="Hyperlink"/>
          </w:rPr>
          <w:t>6870/18</w:t>
        </w:r>
      </w:hyperlink>
      <w:r>
        <w:t xml:space="preserve"> (déc.) 17 mars 2020 ou </w:t>
      </w:r>
      <w:proofErr w:type="spellStart"/>
      <w:r>
        <w:rPr>
          <w:i/>
          <w:iCs/>
        </w:rPr>
        <w:t>Egmez</w:t>
      </w:r>
      <w:proofErr w:type="spellEnd"/>
      <w:r>
        <w:rPr>
          <w:i/>
          <w:iCs/>
        </w:rPr>
        <w:t xml:space="preserve"> c. Chypre</w:t>
      </w:r>
      <w:r>
        <w:t>, n° 12214/07, (déc.) 18 septembre 2012.</w:t>
      </w:r>
    </w:p>
  </w:footnote>
  <w:footnote w:id="9">
    <w:p w14:paraId="605248FC" w14:textId="77777777" w:rsidR="002C211E" w:rsidRDefault="002C211E" w:rsidP="002C211E">
      <w:pPr>
        <w:pStyle w:val="FootnoteText"/>
      </w:pPr>
      <w:r>
        <w:rPr>
          <w:rStyle w:val="FootnoteReference"/>
        </w:rPr>
        <w:footnoteRef/>
      </w:r>
      <w:r>
        <w:rPr>
          <w:i/>
          <w:iCs/>
        </w:rPr>
        <w:t xml:space="preserve"> </w:t>
      </w:r>
      <w:proofErr w:type="spellStart"/>
      <w:r>
        <w:rPr>
          <w:i/>
          <w:iCs/>
        </w:rPr>
        <w:t>Emre</w:t>
      </w:r>
      <w:proofErr w:type="spellEnd"/>
      <w:r>
        <w:rPr>
          <w:i/>
          <w:iCs/>
        </w:rPr>
        <w:t xml:space="preserve"> c. Suisse (n° 2), </w:t>
      </w:r>
      <w:r>
        <w:t>n° </w:t>
      </w:r>
      <w:hyperlink r:id="rId11" w:anchor="{%22appno%22:[%225056/10%22]}" w:tgtFrame="_blank" w:history="1">
        <w:r>
          <w:rPr>
            <w:rStyle w:val="Hyperlink"/>
          </w:rPr>
          <w:t>5056/10</w:t>
        </w:r>
      </w:hyperlink>
      <w:r>
        <w:t>, arrêt définitif du 11 janvier 2012.</w:t>
      </w:r>
    </w:p>
  </w:footnote>
  <w:footnote w:id="10">
    <w:p w14:paraId="4FC6D1E6" w14:textId="77777777" w:rsidR="002C211E" w:rsidRDefault="002C211E" w:rsidP="002C211E">
      <w:pPr>
        <w:pStyle w:val="FootnoteText"/>
      </w:pPr>
      <w:r>
        <w:rPr>
          <w:rStyle w:val="FootnoteReference"/>
        </w:rPr>
        <w:footnoteRef/>
      </w:r>
      <w:r>
        <w:t xml:space="preserve"> Voir par exemple </w:t>
      </w:r>
      <w:r>
        <w:rPr>
          <w:i/>
          <w:iCs/>
        </w:rPr>
        <w:t xml:space="preserve">Liu c. Russie (n° 2), </w:t>
      </w:r>
      <w:r>
        <w:t>n° 29157/09, arrêt définitif du 8 mars 2012 dans lequel le Comité a poursuivi sa surveillance de l'affaire en mars 2010, alors que la même question était déjà parallèlement soumise à l'examen de la Cour. Dans cette affaire, les autorités russes ont contesté la compétence de la Cour, affirmant que la question devait être tranchée par le Comité.</w:t>
      </w:r>
    </w:p>
  </w:footnote>
  <w:footnote w:id="11">
    <w:p w14:paraId="196F430B" w14:textId="77777777" w:rsidR="002C211E" w:rsidRDefault="002C211E" w:rsidP="002C211E">
      <w:pPr>
        <w:pStyle w:val="FootnoteText"/>
      </w:pPr>
      <w:r>
        <w:rPr>
          <w:rStyle w:val="FootnoteReference"/>
        </w:rPr>
        <w:footnoteRef/>
      </w:r>
      <w:r>
        <w:rPr>
          <w:i/>
          <w:iCs/>
        </w:rPr>
        <w:t xml:space="preserve"> Moreira Ferreira c. Portugal (n° 2), précité</w:t>
      </w:r>
      <w:r>
        <w:t>, § 47 d).</w:t>
      </w:r>
    </w:p>
  </w:footnote>
  <w:footnote w:id="12">
    <w:p w14:paraId="5C6BB258" w14:textId="77777777" w:rsidR="002C211E" w:rsidRDefault="002C211E" w:rsidP="002C211E">
      <w:pPr>
        <w:pStyle w:val="FootnoteText"/>
      </w:pPr>
      <w:r>
        <w:rPr>
          <w:rStyle w:val="FootnoteReference"/>
        </w:rPr>
        <w:footnoteRef/>
      </w:r>
      <w:r>
        <w:rPr>
          <w:i/>
          <w:iCs/>
        </w:rPr>
        <w:t xml:space="preserve"> F.G. c. Suède</w:t>
      </w:r>
      <w:r>
        <w:t xml:space="preserve">, n° 43611/11, arrêt du 23 mars 2016, (GC), résolution finale </w:t>
      </w:r>
      <w:hyperlink r:id="rId12" w:anchor="{%22display%22:[2],%22EXECIdentifier%22:[%22001-170007%22],%22EXECDocumentTypeCollection%22:[%22CEC%22],%22EXECTitle%22:[%22F.G.%22]}" w:tgtFrame="_blank" w:history="1">
        <w:r>
          <w:rPr>
            <w:rStyle w:val="Hyperlink"/>
          </w:rPr>
          <w:t>CM/</w:t>
        </w:r>
        <w:proofErr w:type="spellStart"/>
        <w:proofErr w:type="gramStart"/>
        <w:r>
          <w:rPr>
            <w:rStyle w:val="Hyperlink"/>
          </w:rPr>
          <w:t>ResDH</w:t>
        </w:r>
        <w:proofErr w:type="spellEnd"/>
        <w:r>
          <w:rPr>
            <w:rStyle w:val="Hyperlink"/>
          </w:rPr>
          <w:t>(</w:t>
        </w:r>
        <w:proofErr w:type="gramEnd"/>
        <w:r>
          <w:rPr>
            <w:rStyle w:val="Hyperlink"/>
          </w:rPr>
          <w:t>2016)355</w:t>
        </w:r>
      </w:hyperlink>
      <w:r>
        <w:t>.</w:t>
      </w:r>
    </w:p>
  </w:footnote>
  <w:footnote w:id="13">
    <w:p w14:paraId="2AA5C066" w14:textId="72AFF5E8" w:rsidR="002C211E" w:rsidRDefault="002C211E" w:rsidP="002C211E">
      <w:pPr>
        <w:pStyle w:val="FootnoteText"/>
      </w:pPr>
      <w:r>
        <w:rPr>
          <w:rStyle w:val="FootnoteReference"/>
        </w:rPr>
        <w:footnoteRef/>
      </w:r>
      <w:r>
        <w:rPr>
          <w:i/>
          <w:iCs/>
        </w:rPr>
        <w:t xml:space="preserve"> </w:t>
      </w:r>
      <w:proofErr w:type="spellStart"/>
      <w:r>
        <w:rPr>
          <w:i/>
          <w:iCs/>
        </w:rPr>
        <w:t>Cafagna</w:t>
      </w:r>
      <w:proofErr w:type="spellEnd"/>
      <w:r>
        <w:rPr>
          <w:i/>
          <w:iCs/>
        </w:rPr>
        <w:t xml:space="preserve"> c. Italie</w:t>
      </w:r>
      <w:r>
        <w:t xml:space="preserve">, n° 26073/13, arrêt définitif du 12 janvier 2018, résolution finale </w:t>
      </w:r>
      <w:hyperlink r:id="rId13" w:anchor="{%22display%22:[2],%22EXECIdentifier%22:[%22001-211336%22],%22EXECDocumentTypeCollection%22:[%22CEC%22],%22EXECTitle%22:[%22cafagna%22]}" w:tgtFrame="_blank" w:history="1">
        <w:r>
          <w:rPr>
            <w:rStyle w:val="Hyperlink"/>
          </w:rPr>
          <w:t>CM/</w:t>
        </w:r>
        <w:proofErr w:type="spellStart"/>
        <w:proofErr w:type="gramStart"/>
        <w:r>
          <w:rPr>
            <w:rStyle w:val="Hyperlink"/>
          </w:rPr>
          <w:t>ResDH</w:t>
        </w:r>
        <w:proofErr w:type="spellEnd"/>
        <w:r>
          <w:rPr>
            <w:rStyle w:val="Hyperlink"/>
          </w:rPr>
          <w:t>(</w:t>
        </w:r>
        <w:proofErr w:type="gramEnd"/>
        <w:r>
          <w:rPr>
            <w:rStyle w:val="Hyperlink"/>
          </w:rPr>
          <w:t>2021)118</w:t>
        </w:r>
      </w:hyperlink>
      <w:r>
        <w:t xml:space="preserve">. Voir également </w:t>
      </w:r>
      <w:proofErr w:type="spellStart"/>
      <w:r>
        <w:rPr>
          <w:i/>
          <w:iCs/>
        </w:rPr>
        <w:t>Lorefice</w:t>
      </w:r>
      <w:proofErr w:type="spellEnd"/>
      <w:r>
        <w:rPr>
          <w:i/>
          <w:iCs/>
        </w:rPr>
        <w:t xml:space="preserve"> c. Italie</w:t>
      </w:r>
      <w:r>
        <w:t xml:space="preserve">, n° 63446/13, arrêt définitif du 29 septembre 2017, </w:t>
      </w:r>
      <w:r w:rsidR="00714E66">
        <w:t>R</w:t>
      </w:r>
      <w:r>
        <w:t xml:space="preserve">ésolution finale </w:t>
      </w:r>
      <w:hyperlink r:id="rId14" w:anchor="{%22display%22:[2],%22EXECIdentifier%22:[%22001-211337%22],%22EXECDocumentTypeCollection%22:[%22CEC%22],%22EXECTitle%22:[%22lorefice%22]}" w:tgtFrame="_blank" w:history="1">
        <w:r>
          <w:rPr>
            <w:rStyle w:val="Hyperlink"/>
          </w:rPr>
          <w:t>CM/</w:t>
        </w:r>
        <w:proofErr w:type="spellStart"/>
        <w:proofErr w:type="gramStart"/>
        <w:r>
          <w:rPr>
            <w:rStyle w:val="Hyperlink"/>
          </w:rPr>
          <w:t>ResDH</w:t>
        </w:r>
        <w:proofErr w:type="spellEnd"/>
        <w:r>
          <w:rPr>
            <w:rStyle w:val="Hyperlink"/>
          </w:rPr>
          <w:t>(</w:t>
        </w:r>
        <w:proofErr w:type="gramEnd"/>
        <w:r>
          <w:rPr>
            <w:rStyle w:val="Hyperlink"/>
          </w:rPr>
          <w:t>2021)119</w:t>
        </w:r>
      </w:hyperlink>
      <w:r>
        <w:t>.</w:t>
      </w:r>
    </w:p>
  </w:footnote>
  <w:footnote w:id="14">
    <w:p w14:paraId="33D2C825" w14:textId="77777777" w:rsidR="002C211E" w:rsidRDefault="002C211E" w:rsidP="002C211E">
      <w:pPr>
        <w:pStyle w:val="FootnoteText"/>
      </w:pPr>
      <w:r>
        <w:rPr>
          <w:rStyle w:val="FootnoteReference"/>
        </w:rPr>
        <w:footnoteRef/>
      </w:r>
      <w:r>
        <w:rPr>
          <w:i/>
          <w:iCs/>
        </w:rPr>
        <w:t xml:space="preserve"> Strand </w:t>
      </w:r>
      <w:proofErr w:type="spellStart"/>
      <w:r>
        <w:rPr>
          <w:i/>
          <w:iCs/>
        </w:rPr>
        <w:t>Lobben</w:t>
      </w:r>
      <w:proofErr w:type="spellEnd"/>
      <w:r>
        <w:rPr>
          <w:i/>
          <w:iCs/>
        </w:rPr>
        <w:t xml:space="preserve"> et autres c. Norvège</w:t>
      </w:r>
      <w:r>
        <w:t xml:space="preserve">, n° 37283/13, arrêt du 10 septembre 2019 (GC), </w:t>
      </w:r>
      <w:hyperlink r:id="rId15" w:anchor="{%22display%22:[2],%22EXECIdentifier%22:[%22CM/Del/Dec(2021)1398/H46-17E%22],%22EXECDocumentTypeCollection%22:[%22CEC%22],%22EXECTitle%22:[%22strand%22]}" w:tgtFrame="_blank" w:history="1">
        <w:r>
          <w:rPr>
            <w:rStyle w:val="Hyperlink"/>
          </w:rPr>
          <w:t>CM/Del/</w:t>
        </w:r>
        <w:proofErr w:type="spellStart"/>
        <w:r>
          <w:rPr>
            <w:rStyle w:val="Hyperlink"/>
          </w:rPr>
          <w:t>Dec</w:t>
        </w:r>
        <w:proofErr w:type="spellEnd"/>
        <w:r>
          <w:rPr>
            <w:rStyle w:val="Hyperlink"/>
          </w:rPr>
          <w:t>(2021)1398/H46-17</w:t>
        </w:r>
      </w:hyperlink>
      <w:r>
        <w:t>.</w:t>
      </w:r>
    </w:p>
  </w:footnote>
  <w:footnote w:id="15">
    <w:p w14:paraId="38550B09" w14:textId="77777777" w:rsidR="002C211E" w:rsidRDefault="002C211E" w:rsidP="002C211E">
      <w:pPr>
        <w:pStyle w:val="FootnoteText"/>
      </w:pPr>
      <w:r>
        <w:rPr>
          <w:rStyle w:val="FootnoteReference"/>
        </w:rPr>
        <w:footnoteRef/>
      </w:r>
      <w:r>
        <w:rPr>
          <w:i/>
          <w:iCs/>
        </w:rPr>
        <w:t xml:space="preserve"> Morice c. France</w:t>
      </w:r>
      <w:r>
        <w:t>, n° 29369/10, arrêt du 23 avril 2015 (GC)</w:t>
      </w:r>
      <w:r>
        <w:rPr>
          <w:szCs w:val="16"/>
        </w:rPr>
        <w:t xml:space="preserve">, résolution finale </w:t>
      </w:r>
      <w:hyperlink r:id="rId16" w:anchor="{%22EXECDocumentTypeCollection%22:[%22EXECUTION%22],%22EXECLanguage%22:[%22ENG%22],%22EXECIsClosed%22:[%22True%22],%22EXECType%22:[%22L%22],%22EXECThemeDomain%22:[%2256%22],%22EXECIdentifier%22:[%22001-192966%22]}" w:history="1">
        <w:r>
          <w:rPr>
            <w:rStyle w:val="Hyperlink"/>
            <w:szCs w:val="16"/>
          </w:rPr>
          <w:t>CM/</w:t>
        </w:r>
        <w:proofErr w:type="spellStart"/>
        <w:r>
          <w:rPr>
            <w:rStyle w:val="Hyperlink"/>
            <w:szCs w:val="16"/>
          </w:rPr>
          <w:t>ResDH</w:t>
        </w:r>
        <w:proofErr w:type="spellEnd"/>
        <w:r>
          <w:rPr>
            <w:rStyle w:val="Hyperlink"/>
            <w:szCs w:val="16"/>
          </w:rPr>
          <w:t>(2019)88</w:t>
        </w:r>
      </w:hyperlink>
      <w:r>
        <w:rPr>
          <w:szCs w:val="16"/>
        </w:rPr>
        <w:t xml:space="preserve"> dans le groupe d'affaires </w:t>
      </w:r>
      <w:proofErr w:type="spellStart"/>
      <w:r>
        <w:rPr>
          <w:i/>
          <w:iCs/>
          <w:szCs w:val="16"/>
        </w:rPr>
        <w:t>Jean-Jaques</w:t>
      </w:r>
      <w:proofErr w:type="spellEnd"/>
      <w:r>
        <w:rPr>
          <w:i/>
          <w:iCs/>
          <w:szCs w:val="16"/>
        </w:rPr>
        <w:t xml:space="preserve"> Morel</w:t>
      </w:r>
      <w:r>
        <w:rPr>
          <w:szCs w:val="16"/>
        </w:rPr>
        <w:t>.</w:t>
      </w:r>
    </w:p>
  </w:footnote>
  <w:footnote w:id="16">
    <w:p w14:paraId="319518B6" w14:textId="77777777" w:rsidR="002C211E" w:rsidRDefault="002C211E" w:rsidP="002C211E">
      <w:pPr>
        <w:pStyle w:val="FootnoteText"/>
      </w:pPr>
      <w:r>
        <w:rPr>
          <w:rStyle w:val="FootnoteReference"/>
        </w:rPr>
        <w:footnoteRef/>
      </w:r>
      <w:r>
        <w:rPr>
          <w:i/>
          <w:iCs/>
        </w:rPr>
        <w:t xml:space="preserve"> </w:t>
      </w:r>
      <w:proofErr w:type="spellStart"/>
      <w:r>
        <w:rPr>
          <w:i/>
          <w:iCs/>
        </w:rPr>
        <w:t>Bekir-Ousta</w:t>
      </w:r>
      <w:proofErr w:type="spellEnd"/>
      <w:r>
        <w:rPr>
          <w:i/>
          <w:iCs/>
        </w:rPr>
        <w:t xml:space="preserve"> et autres c. Grèce, </w:t>
      </w:r>
      <w:r>
        <w:t xml:space="preserve">n° 35151/05, arrêt définitif du 11 janvier 2008, </w:t>
      </w:r>
      <w:hyperlink r:id="rId17" w:anchor="{%22display%22:[2],%22EXECIdentifier%22:[%22CM/Del/Dec(2021)1411/H46-14E%22],%22EXECDocumentTypeCollection%22:[%22CEC%22],%22EXECTitle%22:[%22bekir%22]}" w:tgtFrame="_blank" w:history="1">
        <w:r>
          <w:rPr>
            <w:rStyle w:val="Hyperlink"/>
            <w:i/>
            <w:iCs/>
          </w:rPr>
          <w:t>CM/Del/</w:t>
        </w:r>
        <w:proofErr w:type="spellStart"/>
        <w:r>
          <w:rPr>
            <w:rStyle w:val="Hyperlink"/>
            <w:i/>
            <w:iCs/>
          </w:rPr>
          <w:t>Dec</w:t>
        </w:r>
        <w:proofErr w:type="spellEnd"/>
        <w:r>
          <w:rPr>
            <w:rStyle w:val="Hyperlink"/>
            <w:i/>
            <w:iCs/>
          </w:rPr>
          <w:t>(2021)1411/H46-14</w:t>
        </w:r>
      </w:hyperlink>
      <w:r>
        <w:rPr>
          <w:i/>
          <w:iCs/>
        </w:rPr>
        <w:t>.</w:t>
      </w:r>
    </w:p>
  </w:footnote>
  <w:footnote w:id="17">
    <w:p w14:paraId="3FE1B9AF" w14:textId="77777777" w:rsidR="002C211E" w:rsidRDefault="002C211E" w:rsidP="002C211E">
      <w:pPr>
        <w:pStyle w:val="FootnoteText"/>
      </w:pPr>
      <w:r>
        <w:rPr>
          <w:rStyle w:val="FootnoteReference"/>
        </w:rPr>
        <w:footnoteRef/>
      </w:r>
      <w:r>
        <w:rPr>
          <w:i/>
          <w:iCs/>
        </w:rPr>
        <w:t xml:space="preserve"> </w:t>
      </w:r>
      <w:proofErr w:type="spellStart"/>
      <w:r>
        <w:rPr>
          <w:i/>
          <w:iCs/>
        </w:rPr>
        <w:t>Partidul</w:t>
      </w:r>
      <w:proofErr w:type="spellEnd"/>
      <w:r>
        <w:rPr>
          <w:i/>
          <w:iCs/>
        </w:rPr>
        <w:t xml:space="preserve"> </w:t>
      </w:r>
      <w:proofErr w:type="spellStart"/>
      <w:r>
        <w:rPr>
          <w:i/>
          <w:iCs/>
        </w:rPr>
        <w:t>Comunistilor</w:t>
      </w:r>
      <w:proofErr w:type="spellEnd"/>
      <w:r>
        <w:rPr>
          <w:i/>
          <w:iCs/>
        </w:rPr>
        <w:t xml:space="preserve"> (</w:t>
      </w:r>
      <w:proofErr w:type="spellStart"/>
      <w:r>
        <w:rPr>
          <w:i/>
          <w:iCs/>
        </w:rPr>
        <w:t>Nepeceristi</w:t>
      </w:r>
      <w:proofErr w:type="spellEnd"/>
      <w:r>
        <w:rPr>
          <w:i/>
          <w:iCs/>
        </w:rPr>
        <w:t>) et Ungureanu c. Roumanie</w:t>
      </w:r>
      <w:r>
        <w:t xml:space="preserve">, n° 46626/99, arrêt définitif du 6 juillet 2005, Résolution finale </w:t>
      </w:r>
      <w:hyperlink r:id="rId18" w:anchor="{%22display%22:[2],%22EXECIdentifier%22:[%22001-85921%22],%22EXECDocumentTypeCollection%22:[%22CEC%22],%22EXECAppno%22:[%2246626/99%22]}" w:tgtFrame="_blank" w:history="1">
        <w:r>
          <w:rPr>
            <w:rStyle w:val="Hyperlink"/>
          </w:rPr>
          <w:t>CM/</w:t>
        </w:r>
        <w:proofErr w:type="spellStart"/>
        <w:r>
          <w:rPr>
            <w:rStyle w:val="Hyperlink"/>
          </w:rPr>
          <w:t>ResDH</w:t>
        </w:r>
        <w:proofErr w:type="spellEnd"/>
        <w:r>
          <w:rPr>
            <w:rStyle w:val="Hyperlink"/>
          </w:rPr>
          <w:t>(2008)16</w:t>
        </w:r>
      </w:hyperlink>
      <w:r>
        <w:t xml:space="preserve">. Voir également </w:t>
      </w:r>
      <w:r>
        <w:rPr>
          <w:i/>
          <w:iCs/>
        </w:rPr>
        <w:t>Parti présidentiel de Mordovie c. Russie</w:t>
      </w:r>
      <w:r>
        <w:t xml:space="preserve">, n° 65659/01, arrêt définitif du 5 janvier 2005, Résolution finale </w:t>
      </w:r>
      <w:hyperlink r:id="rId19" w:anchor="{%22display%22:[2],%22EXECIdentifier%22:[%22001-85941%22],%22EXECDocumentTypeCollection%22:[%22CEC%22],%22EXECAppno%22:[%2265659/01%22]}" w:tgtFrame="_blank" w:history="1">
        <w:r>
          <w:rPr>
            <w:rStyle w:val="Hyperlink"/>
          </w:rPr>
          <w:t>CM/</w:t>
        </w:r>
        <w:proofErr w:type="spellStart"/>
        <w:r>
          <w:rPr>
            <w:rStyle w:val="Hyperlink"/>
          </w:rPr>
          <w:t>ResDH</w:t>
        </w:r>
        <w:proofErr w:type="spellEnd"/>
        <w:r>
          <w:rPr>
            <w:rStyle w:val="Hyperlink"/>
          </w:rPr>
          <w:t>(2008)20</w:t>
        </w:r>
      </w:hyperlink>
      <w:r>
        <w:t xml:space="preserve">. </w:t>
      </w:r>
    </w:p>
  </w:footnote>
  <w:footnote w:id="18">
    <w:p w14:paraId="519D57EC" w14:textId="77777777" w:rsidR="002C211E" w:rsidRDefault="002C211E" w:rsidP="002C211E">
      <w:pPr>
        <w:pStyle w:val="FootnoteText"/>
      </w:pPr>
      <w:r>
        <w:rPr>
          <w:rStyle w:val="FootnoteReference"/>
        </w:rPr>
        <w:footnoteRef/>
      </w:r>
      <w:r>
        <w:rPr>
          <w:i/>
          <w:iCs/>
        </w:rPr>
        <w:t xml:space="preserve"> Parti communiste unifié de Turquie et autres c. Turquie</w:t>
      </w:r>
      <w:r>
        <w:t xml:space="preserve">, n° 19392/92, arrêt du 30 janvier 1998 (GC), Résolution finale </w:t>
      </w:r>
      <w:hyperlink r:id="rId20" w:anchor="{%22display%22:[2],%22EXECIdentifier%22:[%22001-81572%22],%22EXECDocumentTypeCollection%22:[%22CEC%22],%22EXECTitle%22:[%22United%20Communist%20Party%20of%20Turkey%22]}" w:tgtFrame="_blank" w:history="1">
        <w:r>
          <w:rPr>
            <w:rStyle w:val="Hyperlink"/>
          </w:rPr>
          <w:t>CM/</w:t>
        </w:r>
        <w:proofErr w:type="spellStart"/>
        <w:r>
          <w:rPr>
            <w:rStyle w:val="Hyperlink"/>
          </w:rPr>
          <w:t>ResDH</w:t>
        </w:r>
        <w:proofErr w:type="spellEnd"/>
        <w:r>
          <w:rPr>
            <w:rStyle w:val="Hyperlink"/>
          </w:rPr>
          <w:t>(2007)100</w:t>
        </w:r>
      </w:hyperlink>
      <w:r>
        <w:t>.</w:t>
      </w:r>
    </w:p>
  </w:footnote>
  <w:footnote w:id="19">
    <w:p w14:paraId="1C42E169" w14:textId="0A48E183" w:rsidR="002C211E" w:rsidRDefault="002C211E" w:rsidP="002C211E">
      <w:pPr>
        <w:pStyle w:val="FootnoteText"/>
      </w:pPr>
      <w:r>
        <w:rPr>
          <w:rStyle w:val="FootnoteReference"/>
        </w:rPr>
        <w:footnoteRef/>
      </w:r>
      <w:r>
        <w:rPr>
          <w:i/>
          <w:iCs/>
        </w:rPr>
        <w:t xml:space="preserve"> Eglise métropolitaine de Bessarabie et autres c. </w:t>
      </w:r>
      <w:r w:rsidR="00714E66">
        <w:rPr>
          <w:i/>
          <w:iCs/>
        </w:rPr>
        <w:t xml:space="preserve">République de </w:t>
      </w:r>
      <w:r>
        <w:rPr>
          <w:i/>
          <w:iCs/>
        </w:rPr>
        <w:t xml:space="preserve">Moldova, </w:t>
      </w:r>
      <w:r>
        <w:t xml:space="preserve">n° 45701/99, arrêt définitif du 27 mars 2002, Résolution finale </w:t>
      </w:r>
      <w:hyperlink r:id="rId21" w:anchor="{%22display%22:[2],%22EXECIdentifier%22:[%22001-98240%22],%22EXECDocumentTypeCollection%22:[%22CEC%22],%22EXECAppno%22:[%2245701/99%22]}" w:tgtFrame="_blank" w:history="1">
        <w:r>
          <w:rPr>
            <w:rStyle w:val="Hyperlink"/>
          </w:rPr>
          <w:t>CM/</w:t>
        </w:r>
        <w:proofErr w:type="spellStart"/>
        <w:r>
          <w:rPr>
            <w:rStyle w:val="Hyperlink"/>
          </w:rPr>
          <w:t>ResDH</w:t>
        </w:r>
        <w:proofErr w:type="spellEnd"/>
        <w:r>
          <w:rPr>
            <w:rStyle w:val="Hyperlink"/>
          </w:rPr>
          <w:t>(2010)8</w:t>
        </w:r>
      </w:hyperlink>
      <w:r>
        <w:t>.</w:t>
      </w:r>
    </w:p>
  </w:footnote>
  <w:footnote w:id="20">
    <w:p w14:paraId="4CCE4978" w14:textId="77777777" w:rsidR="002C211E" w:rsidRDefault="002C211E" w:rsidP="002C211E">
      <w:pPr>
        <w:pStyle w:val="FootnoteText"/>
      </w:pPr>
      <w:r>
        <w:rPr>
          <w:rStyle w:val="FootnoteReference"/>
        </w:rPr>
        <w:footnoteRef/>
      </w:r>
      <w:r>
        <w:rPr>
          <w:i/>
          <w:iCs/>
        </w:rPr>
        <w:t xml:space="preserve"> Umo </w:t>
      </w:r>
      <w:proofErr w:type="spellStart"/>
      <w:r>
        <w:rPr>
          <w:i/>
          <w:iCs/>
        </w:rPr>
        <w:t>Ilinden</w:t>
      </w:r>
      <w:proofErr w:type="spellEnd"/>
      <w:r>
        <w:rPr>
          <w:i/>
          <w:iCs/>
        </w:rPr>
        <w:t xml:space="preserve"> et autres c. Bulgarie</w:t>
      </w:r>
      <w:r>
        <w:t xml:space="preserve">, n° 59491/00, arrêt définitif du 19 avril 2006, Résolution intérimaire </w:t>
      </w:r>
      <w:hyperlink r:id="rId22" w:tgtFrame="_blank" w:tooltip="Interim Resolution CM/ResDH(2020)197 - Execution of the judgments of the European Court of Human Rights - United Macedonian Organisation Ilinden and Others group against Bulgaria (Application No. 59491/00)" w:history="1">
        <w:r>
          <w:rPr>
            <w:rStyle w:val="Hyperlink"/>
          </w:rPr>
          <w:t>CM/</w:t>
        </w:r>
        <w:proofErr w:type="spellStart"/>
        <w:r>
          <w:rPr>
            <w:rStyle w:val="Hyperlink"/>
          </w:rPr>
          <w:t>ResDH</w:t>
        </w:r>
        <w:proofErr w:type="spellEnd"/>
        <w:r>
          <w:rPr>
            <w:rStyle w:val="Hyperlink"/>
          </w:rPr>
          <w:t>(2020)197</w:t>
        </w:r>
      </w:hyperlink>
      <w:r>
        <w:t xml:space="preserve"> et </w:t>
      </w:r>
      <w:hyperlink r:id="rId23" w:anchor="{%22display%22:[2],%22EXECIdentifier%22:[%22CM/Del/Dec(2021)1406/H46-9E%22],%22EXECDocumentTypeCollection%22:[%22CEC%22],%22EXECTitle%22:[%22umo%22]}" w:history="1">
        <w:r>
          <w:rPr>
            <w:rStyle w:val="Hyperlink"/>
          </w:rPr>
          <w:t>CM/Del/</w:t>
        </w:r>
        <w:proofErr w:type="spellStart"/>
        <w:r>
          <w:rPr>
            <w:rStyle w:val="Hyperlink"/>
          </w:rPr>
          <w:t>Dec</w:t>
        </w:r>
        <w:proofErr w:type="spellEnd"/>
        <w:r>
          <w:rPr>
            <w:rStyle w:val="Hyperlink"/>
          </w:rPr>
          <w:t>(2021)1406/H46-9</w:t>
        </w:r>
      </w:hyperlink>
      <w:r>
        <w:t>.</w:t>
      </w:r>
    </w:p>
  </w:footnote>
  <w:footnote w:id="21">
    <w:p w14:paraId="20E54FA5" w14:textId="77777777" w:rsidR="002C211E" w:rsidRDefault="002C211E" w:rsidP="002C211E">
      <w:pPr>
        <w:jc w:val="both"/>
      </w:pPr>
      <w:r>
        <w:rPr>
          <w:rStyle w:val="FootnoteReference"/>
          <w:sz w:val="16"/>
          <w:szCs w:val="16"/>
        </w:rPr>
        <w:footnoteRef/>
      </w:r>
      <w:r>
        <w:rPr>
          <w:i/>
          <w:iCs/>
          <w:sz w:val="16"/>
          <w:szCs w:val="16"/>
        </w:rPr>
        <w:t xml:space="preserve"> Témoins de Jéhovah de Moscou et autres c. Russie, </w:t>
      </w:r>
      <w:r>
        <w:rPr>
          <w:sz w:val="16"/>
          <w:szCs w:val="16"/>
        </w:rPr>
        <w:t xml:space="preserve">n° 302/02, </w:t>
      </w:r>
      <w:hyperlink r:id="rId24" w:anchor="{%22EXECIdentifier%22:[%22CM/Del/Dec(2020)1383/H46-17E%22]}" w:history="1">
        <w:r>
          <w:rPr>
            <w:rStyle w:val="Hyperlink"/>
            <w:sz w:val="16"/>
            <w:szCs w:val="16"/>
          </w:rPr>
          <w:t>CM/Del/</w:t>
        </w:r>
        <w:proofErr w:type="spellStart"/>
        <w:r>
          <w:rPr>
            <w:rStyle w:val="Hyperlink"/>
            <w:sz w:val="16"/>
            <w:szCs w:val="16"/>
          </w:rPr>
          <w:t>Dec</w:t>
        </w:r>
        <w:proofErr w:type="spellEnd"/>
        <w:r>
          <w:rPr>
            <w:rStyle w:val="Hyperlink"/>
            <w:sz w:val="16"/>
            <w:szCs w:val="16"/>
          </w:rPr>
          <w:t>(2020)1383/H46-17</w:t>
        </w:r>
      </w:hyperlink>
      <w:r>
        <w:rPr>
          <w:sz w:val="16"/>
          <w:szCs w:val="16"/>
        </w:rPr>
        <w:t xml:space="preserve"> et </w:t>
      </w:r>
      <w:hyperlink r:id="rId25" w:anchor="{%22EXECIdentifier%22:[%22CM/Del/Dec(2019)1355/H46-19E%22]}" w:history="1">
        <w:r>
          <w:rPr>
            <w:rStyle w:val="Hyperlink"/>
            <w:sz w:val="16"/>
            <w:szCs w:val="16"/>
          </w:rPr>
          <w:t>CM/Del/</w:t>
        </w:r>
        <w:proofErr w:type="spellStart"/>
        <w:r>
          <w:rPr>
            <w:rStyle w:val="Hyperlink"/>
            <w:sz w:val="16"/>
            <w:szCs w:val="16"/>
          </w:rPr>
          <w:t>Dec</w:t>
        </w:r>
        <w:proofErr w:type="spellEnd"/>
        <w:r>
          <w:rPr>
            <w:rStyle w:val="Hyperlink"/>
            <w:sz w:val="16"/>
            <w:szCs w:val="16"/>
          </w:rPr>
          <w:t>(2019)135/H46-195</w:t>
        </w:r>
      </w:hyperlink>
      <w:r>
        <w:rPr>
          <w:sz w:val="16"/>
          <w:szCs w:val="16"/>
        </w:rPr>
        <w:t xml:space="preserve">. </w:t>
      </w:r>
    </w:p>
  </w:footnote>
  <w:footnote w:id="22">
    <w:p w14:paraId="182D389F" w14:textId="77777777" w:rsidR="002C211E" w:rsidRDefault="002C211E" w:rsidP="002C211E">
      <w:pPr>
        <w:pStyle w:val="FootnoteText"/>
      </w:pPr>
      <w:r>
        <w:rPr>
          <w:rStyle w:val="FootnoteReference"/>
        </w:rPr>
        <w:footnoteRef/>
      </w:r>
      <w:r>
        <w:rPr>
          <w:i/>
          <w:iCs/>
        </w:rPr>
        <w:t xml:space="preserve"> Parti socialiste et autres c. Turquie</w:t>
      </w:r>
      <w:r>
        <w:t>, n° 21237/93, arrêt définitif du 25 mai 1998, Résolution intérimaire (</w:t>
      </w:r>
      <w:hyperlink r:id="rId26" w:anchor="{%22display%22:[2],%22EXECIdentifier%22:[%22001-55723%22],%22EXECDocumentTypeCollection%22:[%22CEC%22],%22EXECTitle%22:[%22Socialist%20Party%22]}" w:history="1">
        <w:proofErr w:type="gramStart"/>
        <w:r>
          <w:rPr>
            <w:rStyle w:val="Hyperlink"/>
          </w:rPr>
          <w:t>DH(</w:t>
        </w:r>
        <w:proofErr w:type="gramEnd"/>
        <w:r>
          <w:rPr>
            <w:rStyle w:val="Hyperlink"/>
          </w:rPr>
          <w:t>99)245</w:t>
        </w:r>
      </w:hyperlink>
      <w:r>
        <w:t>).</w:t>
      </w:r>
    </w:p>
  </w:footnote>
  <w:footnote w:id="23">
    <w:p w14:paraId="19E1F0C6" w14:textId="77777777" w:rsidR="002C211E" w:rsidRDefault="002C211E" w:rsidP="002C211E">
      <w:pPr>
        <w:pStyle w:val="FootnoteText"/>
      </w:pPr>
      <w:r>
        <w:rPr>
          <w:rStyle w:val="FootnoteReference"/>
        </w:rPr>
        <w:footnoteRef/>
      </w:r>
      <w:r>
        <w:rPr>
          <w:bCs/>
          <w:i/>
          <w:iCs/>
        </w:rPr>
        <w:t xml:space="preserve"> </w:t>
      </w:r>
      <w:proofErr w:type="spellStart"/>
      <w:r>
        <w:rPr>
          <w:bCs/>
          <w:i/>
          <w:iCs/>
        </w:rPr>
        <w:t>Navalnyy</w:t>
      </w:r>
      <w:proofErr w:type="spellEnd"/>
      <w:r>
        <w:rPr>
          <w:bCs/>
          <w:i/>
          <w:iCs/>
        </w:rPr>
        <w:t xml:space="preserve"> et </w:t>
      </w:r>
      <w:proofErr w:type="spellStart"/>
      <w:r>
        <w:rPr>
          <w:bCs/>
          <w:i/>
          <w:iCs/>
        </w:rPr>
        <w:t>Ofitserov</w:t>
      </w:r>
      <w:proofErr w:type="spellEnd"/>
      <w:r>
        <w:rPr>
          <w:bCs/>
          <w:i/>
          <w:iCs/>
        </w:rPr>
        <w:t xml:space="preserve"> c. Russie, </w:t>
      </w:r>
      <w:r>
        <w:rPr>
          <w:bCs/>
        </w:rPr>
        <w:t xml:space="preserve">n° 46632/13, arrêt définitif du 4 juillet 2016, </w:t>
      </w:r>
      <w:hyperlink r:id="rId27" w:anchor="{%22display%22:[2],%22EXECIdentifier%22:[%22CM/Del/Dec(2021)1419/H46-34E%22],%22EXECDocumentTypeCollection%22:[%22CEC%22],%22EXECLanguage%22:[%22ENG%22],%22EXECState%22:[%22RUS%22],%22EXECSupervision%22:[%22ENHA%22],%22EXECIsClosed%22:[%22False%22],%22EXECType%22:[%22L%22]}" w:tgtFrame="_blank" w:history="1">
        <w:r>
          <w:rPr>
            <w:rStyle w:val="Hyperlink"/>
            <w:bCs/>
          </w:rPr>
          <w:t>CM/Del/</w:t>
        </w:r>
        <w:proofErr w:type="spellStart"/>
        <w:r>
          <w:rPr>
            <w:rStyle w:val="Hyperlink"/>
            <w:bCs/>
          </w:rPr>
          <w:t>Dec</w:t>
        </w:r>
        <w:proofErr w:type="spellEnd"/>
        <w:r>
          <w:rPr>
            <w:rStyle w:val="Hyperlink"/>
            <w:bCs/>
          </w:rPr>
          <w:t>(2021)1419/H46-34</w:t>
        </w:r>
      </w:hyperlink>
      <w:r>
        <w:rPr>
          <w:bCs/>
        </w:rPr>
        <w:t>.</w:t>
      </w:r>
    </w:p>
  </w:footnote>
  <w:footnote w:id="24">
    <w:p w14:paraId="0BDE9A93" w14:textId="77777777" w:rsidR="002C211E" w:rsidRDefault="002C211E" w:rsidP="002C211E">
      <w:pPr>
        <w:pStyle w:val="FootnoteText"/>
      </w:pPr>
      <w:r>
        <w:rPr>
          <w:rStyle w:val="FootnoteReference"/>
        </w:rPr>
        <w:footnoteRef/>
      </w:r>
      <w:r>
        <w:t xml:space="preserve"> Voir le bilan d'action soumis par les autorités de la Fédération de Russie le 19 octobre 2021 (</w:t>
      </w:r>
      <w:hyperlink r:id="rId28" w:anchor="{%22fulltext%22:[%22\%22well-established%20practice\%22%22],%22display%22:[2],%22EXECIdentifier%22:[%22DH-DD(2021)1076E%22],%22EXECDocumentTypeCollection%22:[%22CEC%22,%22CMDEC%22,%22CMINF%22,%22CMNOT%22,%22res%22]}" w:tgtFrame="_blank" w:history="1">
        <w:r>
          <w:rPr>
            <w:rStyle w:val="Hyperlink"/>
          </w:rPr>
          <w:t>DH-DD(2021)1076</w:t>
        </w:r>
      </w:hyperlink>
      <w:r>
        <w:t>).</w:t>
      </w:r>
    </w:p>
  </w:footnote>
  <w:footnote w:id="25">
    <w:p w14:paraId="75DCA72E" w14:textId="77777777" w:rsidR="002C211E" w:rsidRDefault="002C211E" w:rsidP="002C211E">
      <w:pPr>
        <w:pStyle w:val="FootnoteText"/>
      </w:pPr>
      <w:r>
        <w:rPr>
          <w:rStyle w:val="FootnoteReference"/>
        </w:rPr>
        <w:footnoteRef/>
      </w:r>
      <w:bookmarkStart w:id="1" w:name="_Hlk95299558"/>
      <w:r>
        <w:rPr>
          <w:i/>
          <w:iCs/>
        </w:rPr>
        <w:t xml:space="preserve"> </w:t>
      </w:r>
      <w:proofErr w:type="spellStart"/>
      <w:r>
        <w:rPr>
          <w:i/>
          <w:iCs/>
        </w:rPr>
        <w:t>Bochan</w:t>
      </w:r>
      <w:proofErr w:type="spellEnd"/>
      <w:r>
        <w:rPr>
          <w:i/>
          <w:iCs/>
        </w:rPr>
        <w:t xml:space="preserve"> c. Ukraine (n° 1), </w:t>
      </w:r>
      <w:r>
        <w:t xml:space="preserve">n° 7577/02, arrêt définitif du 3 août 2008 et </w:t>
      </w:r>
      <w:proofErr w:type="spellStart"/>
      <w:r>
        <w:rPr>
          <w:i/>
          <w:iCs/>
        </w:rPr>
        <w:t>Bochan</w:t>
      </w:r>
      <w:proofErr w:type="spellEnd"/>
      <w:r>
        <w:rPr>
          <w:i/>
          <w:iCs/>
        </w:rPr>
        <w:t xml:space="preserve"> c. Ukraine (n° 2)</w:t>
      </w:r>
      <w:r>
        <w:t>, n° 22251/08</w:t>
      </w:r>
      <w:bookmarkEnd w:id="1"/>
      <w:r>
        <w:t xml:space="preserve">, arrêt du 5 février 2015 (GC). </w:t>
      </w:r>
    </w:p>
  </w:footnote>
  <w:footnote w:id="26">
    <w:p w14:paraId="2D068F3E" w14:textId="77777777" w:rsidR="002C211E" w:rsidRDefault="002C211E" w:rsidP="002C211E">
      <w:pPr>
        <w:pStyle w:val="FootnoteText"/>
      </w:pPr>
      <w:r>
        <w:rPr>
          <w:rStyle w:val="FootnoteReference"/>
        </w:rPr>
        <w:footnoteRef/>
      </w:r>
      <w:r>
        <w:t xml:space="preserve"> La même approche avait été précédemment suivie par le Comité dans le cadre des deux affaires </w:t>
      </w:r>
      <w:proofErr w:type="spellStart"/>
      <w:r>
        <w:rPr>
          <w:i/>
          <w:iCs/>
        </w:rPr>
        <w:t>Emre</w:t>
      </w:r>
      <w:proofErr w:type="spellEnd"/>
      <w:r>
        <w:rPr>
          <w:i/>
          <w:iCs/>
        </w:rPr>
        <w:t xml:space="preserve"> </w:t>
      </w:r>
      <w:r>
        <w:t xml:space="preserve">contre la Suisse : </w:t>
      </w:r>
      <w:proofErr w:type="spellStart"/>
      <w:r>
        <w:rPr>
          <w:i/>
          <w:iCs/>
        </w:rPr>
        <w:t>Emre</w:t>
      </w:r>
      <w:proofErr w:type="spellEnd"/>
      <w:r>
        <w:rPr>
          <w:i/>
          <w:iCs/>
        </w:rPr>
        <w:t xml:space="preserve"> c. Suisse (n° 1), </w:t>
      </w:r>
      <w:r>
        <w:t xml:space="preserve">n° 42034/04, arrêt définitif du 22 août 2008 et </w:t>
      </w:r>
      <w:proofErr w:type="spellStart"/>
      <w:r>
        <w:rPr>
          <w:i/>
          <w:iCs/>
        </w:rPr>
        <w:t>Emre</w:t>
      </w:r>
      <w:proofErr w:type="spellEnd"/>
      <w:r>
        <w:rPr>
          <w:i/>
          <w:iCs/>
        </w:rPr>
        <w:t xml:space="preserve"> c. Suisse (n° 2), </w:t>
      </w:r>
      <w:r>
        <w:t>n° </w:t>
      </w:r>
      <w:hyperlink r:id="rId29" w:anchor="{%22appno%22:[%225056/10%22]}" w:tgtFrame="_blank" w:history="1">
        <w:r>
          <w:rPr>
            <w:rStyle w:val="Hyperlink"/>
          </w:rPr>
          <w:t>5056/10</w:t>
        </w:r>
      </w:hyperlink>
      <w:r>
        <w:t>, arrêt définitif du 11 janvier 2012.</w:t>
      </w:r>
    </w:p>
  </w:footnote>
  <w:footnote w:id="27">
    <w:p w14:paraId="6FB1F6FE" w14:textId="77777777" w:rsidR="002C211E" w:rsidRDefault="002C211E" w:rsidP="002C211E">
      <w:pPr>
        <w:pStyle w:val="FootnoteText"/>
      </w:pPr>
      <w:r>
        <w:rPr>
          <w:rStyle w:val="FootnoteReference"/>
        </w:rPr>
        <w:footnoteRef/>
      </w:r>
      <w:r>
        <w:t xml:space="preserve"> Cette évolution a contribué à la décision du Comité de transférer le groupe d'affaires </w:t>
      </w:r>
      <w:proofErr w:type="spellStart"/>
      <w:r>
        <w:rPr>
          <w:i/>
          <w:iCs/>
        </w:rPr>
        <w:t>Bochan</w:t>
      </w:r>
      <w:proofErr w:type="spellEnd"/>
      <w:r>
        <w:rPr>
          <w:i/>
          <w:iCs/>
        </w:rPr>
        <w:t xml:space="preserve"> (n° 2) </w:t>
      </w:r>
      <w:r>
        <w:t xml:space="preserve">à la procédure de surveillance standard en mars 2020 et de clore l'affaire </w:t>
      </w:r>
      <w:proofErr w:type="spellStart"/>
      <w:r>
        <w:rPr>
          <w:i/>
          <w:iCs/>
        </w:rPr>
        <w:t>Bochan</w:t>
      </w:r>
      <w:proofErr w:type="spellEnd"/>
      <w:r>
        <w:rPr>
          <w:i/>
          <w:iCs/>
        </w:rPr>
        <w:t xml:space="preserve"> (n° 1) </w:t>
      </w:r>
      <w:r>
        <w:t xml:space="preserve">en septembre 2020. Voir </w:t>
      </w:r>
      <w:hyperlink r:id="rId30" w:tgtFrame="_blank" w:history="1">
        <w:r>
          <w:rPr>
            <w:rStyle w:val="Hyperlink"/>
          </w:rPr>
          <w:t>CM/Del/</w:t>
        </w:r>
        <w:proofErr w:type="spellStart"/>
        <w:r>
          <w:rPr>
            <w:rStyle w:val="Hyperlink"/>
          </w:rPr>
          <w:t>Dec</w:t>
        </w:r>
        <w:proofErr w:type="spellEnd"/>
        <w:r>
          <w:rPr>
            <w:rStyle w:val="Hyperlink"/>
          </w:rPr>
          <w:t>(2020)1369/H46-35</w:t>
        </w:r>
      </w:hyperlink>
      <w:r>
        <w:t xml:space="preserve"> et </w:t>
      </w:r>
      <w:hyperlink r:id="rId31" w:anchor="{%22display%22:[2],%22EXECIdentifier%22:[%22001-204889%22],%22EXECDocumentTypeCollection%22:[%22CEC%22],%22EXECTitle%22:[%22bochan%22]}" w:history="1">
        <w:r>
          <w:rPr>
            <w:rStyle w:val="Hyperlink"/>
          </w:rPr>
          <w:t>CM/</w:t>
        </w:r>
        <w:proofErr w:type="spellStart"/>
        <w:r>
          <w:rPr>
            <w:rStyle w:val="Hyperlink"/>
          </w:rPr>
          <w:t>ResDH</w:t>
        </w:r>
        <w:proofErr w:type="spellEnd"/>
        <w:r>
          <w:rPr>
            <w:rStyle w:val="Hyperlink"/>
          </w:rPr>
          <w:t>(2020)176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E72A" w14:textId="07411494" w:rsidR="00E24C57" w:rsidRPr="00491E67" w:rsidRDefault="009342FF" w:rsidP="00491E67">
    <w:pPr>
      <w:pStyle w:val="Header"/>
    </w:pPr>
    <w:r w:rsidRPr="00491E67">
      <w:t>CM</w:t>
    </w:r>
    <w:r w:rsidR="00175311">
      <w:t>/</w:t>
    </w:r>
    <w:proofErr w:type="spellStart"/>
    <w:r w:rsidR="00175311">
      <w:t>Inf</w:t>
    </w:r>
    <w:proofErr w:type="spellEnd"/>
    <w:r w:rsidR="002C211E">
      <w:t>/</w:t>
    </w:r>
    <w:proofErr w:type="gramStart"/>
    <w:r w:rsidR="002C211E">
      <w:t>DH</w:t>
    </w:r>
    <w:r w:rsidRPr="00491E67">
      <w:t>(</w:t>
    </w:r>
    <w:proofErr w:type="gramEnd"/>
    <w:r w:rsidR="00356993">
      <w:t>2022</w:t>
    </w:r>
    <w:r w:rsidRPr="00491E67">
      <w:t>)</w:t>
    </w:r>
    <w:r w:rsidR="002C211E">
      <w:t>9</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7EA6" w14:textId="02BCE0FB"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r w:rsidR="009342FF" w:rsidRPr="00491E67">
      <w:t>CM</w:t>
    </w:r>
    <w:r w:rsidR="00175311">
      <w:t>/</w:t>
    </w:r>
    <w:proofErr w:type="spellStart"/>
    <w:r w:rsidR="00175311">
      <w:t>Inf</w:t>
    </w:r>
    <w:proofErr w:type="spellEnd"/>
    <w:r w:rsidR="002C211E">
      <w:t>/</w:t>
    </w:r>
    <w:proofErr w:type="gramStart"/>
    <w:r w:rsidR="002C211E">
      <w:t>DH</w:t>
    </w:r>
    <w:r w:rsidR="00175311">
      <w:t>(</w:t>
    </w:r>
    <w:proofErr w:type="gramEnd"/>
    <w:r w:rsidR="00356993">
      <w:t>2022</w:t>
    </w:r>
    <w:r w:rsidR="00175311">
      <w:t>)</w:t>
    </w:r>
    <w:r w:rsidR="002C211E">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7A13"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56DC35A1" wp14:editId="590255A0">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2FC"/>
    <w:multiLevelType w:val="hybridMultilevel"/>
    <w:tmpl w:val="C6E6FF2C"/>
    <w:lvl w:ilvl="0" w:tplc="9056D102">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EBB5720"/>
    <w:multiLevelType w:val="hybridMultilevel"/>
    <w:tmpl w:val="662E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B576E1"/>
    <w:multiLevelType w:val="hybridMultilevel"/>
    <w:tmpl w:val="47364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8B15AF"/>
    <w:multiLevelType w:val="hybridMultilevel"/>
    <w:tmpl w:val="90B61580"/>
    <w:lvl w:ilvl="0" w:tplc="54E42804">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D0E21DF"/>
    <w:multiLevelType w:val="hybridMultilevel"/>
    <w:tmpl w:val="38382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F7274AC"/>
    <w:multiLevelType w:val="hybridMultilevel"/>
    <w:tmpl w:val="95B60330"/>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6" w15:restartNumberingAfterBreak="0">
    <w:nsid w:val="68EF66CD"/>
    <w:multiLevelType w:val="hybridMultilevel"/>
    <w:tmpl w:val="32DA5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98"/>
    <w:rsid w:val="00001BF1"/>
    <w:rsid w:val="00027B2B"/>
    <w:rsid w:val="00035FDF"/>
    <w:rsid w:val="00042A16"/>
    <w:rsid w:val="00071EA7"/>
    <w:rsid w:val="00072CBD"/>
    <w:rsid w:val="00082CEE"/>
    <w:rsid w:val="000A151E"/>
    <w:rsid w:val="000A307B"/>
    <w:rsid w:val="000A68AD"/>
    <w:rsid w:val="000B5C6D"/>
    <w:rsid w:val="000C52A6"/>
    <w:rsid w:val="000C5E2A"/>
    <w:rsid w:val="000E50A4"/>
    <w:rsid w:val="000F4CF2"/>
    <w:rsid w:val="000F58C3"/>
    <w:rsid w:val="000F5ADA"/>
    <w:rsid w:val="000F708C"/>
    <w:rsid w:val="00106141"/>
    <w:rsid w:val="00110729"/>
    <w:rsid w:val="00113EB0"/>
    <w:rsid w:val="00117121"/>
    <w:rsid w:val="00123CDD"/>
    <w:rsid w:val="00134D9A"/>
    <w:rsid w:val="00135BDB"/>
    <w:rsid w:val="00137BB4"/>
    <w:rsid w:val="0014266D"/>
    <w:rsid w:val="00145B98"/>
    <w:rsid w:val="00146A1E"/>
    <w:rsid w:val="00147EF4"/>
    <w:rsid w:val="00153BB3"/>
    <w:rsid w:val="00156DC1"/>
    <w:rsid w:val="00160B03"/>
    <w:rsid w:val="00171115"/>
    <w:rsid w:val="00175311"/>
    <w:rsid w:val="001A6076"/>
    <w:rsid w:val="001B7E0B"/>
    <w:rsid w:val="001B7FEE"/>
    <w:rsid w:val="001E7C29"/>
    <w:rsid w:val="001F297D"/>
    <w:rsid w:val="001F4F04"/>
    <w:rsid w:val="00214299"/>
    <w:rsid w:val="002250DD"/>
    <w:rsid w:val="0023437D"/>
    <w:rsid w:val="00242ABB"/>
    <w:rsid w:val="00251353"/>
    <w:rsid w:val="00262B36"/>
    <w:rsid w:val="00265917"/>
    <w:rsid w:val="002861FB"/>
    <w:rsid w:val="00293EE6"/>
    <w:rsid w:val="002A7FC7"/>
    <w:rsid w:val="002B1EAE"/>
    <w:rsid w:val="002C0872"/>
    <w:rsid w:val="002C20BA"/>
    <w:rsid w:val="002C211E"/>
    <w:rsid w:val="002C43B5"/>
    <w:rsid w:val="002C4704"/>
    <w:rsid w:val="002D0655"/>
    <w:rsid w:val="002D11B8"/>
    <w:rsid w:val="002E4089"/>
    <w:rsid w:val="002F3006"/>
    <w:rsid w:val="002F405C"/>
    <w:rsid w:val="002F6BB7"/>
    <w:rsid w:val="00303712"/>
    <w:rsid w:val="003354C4"/>
    <w:rsid w:val="00335CAF"/>
    <w:rsid w:val="003364D1"/>
    <w:rsid w:val="003451AD"/>
    <w:rsid w:val="00356993"/>
    <w:rsid w:val="00367084"/>
    <w:rsid w:val="0037200F"/>
    <w:rsid w:val="00373957"/>
    <w:rsid w:val="003765CC"/>
    <w:rsid w:val="00381C50"/>
    <w:rsid w:val="00385587"/>
    <w:rsid w:val="00392D1D"/>
    <w:rsid w:val="003955AD"/>
    <w:rsid w:val="003A5509"/>
    <w:rsid w:val="003B2C8C"/>
    <w:rsid w:val="003B345B"/>
    <w:rsid w:val="003C212E"/>
    <w:rsid w:val="003D3B17"/>
    <w:rsid w:val="003D48AE"/>
    <w:rsid w:val="003D6AC2"/>
    <w:rsid w:val="003F3D4B"/>
    <w:rsid w:val="0040027C"/>
    <w:rsid w:val="00400868"/>
    <w:rsid w:val="004256CB"/>
    <w:rsid w:val="004329B7"/>
    <w:rsid w:val="00440CB1"/>
    <w:rsid w:val="00443709"/>
    <w:rsid w:val="00447D22"/>
    <w:rsid w:val="004553F6"/>
    <w:rsid w:val="004728F8"/>
    <w:rsid w:val="00480D8B"/>
    <w:rsid w:val="00491E67"/>
    <w:rsid w:val="004A112E"/>
    <w:rsid w:val="004A37E1"/>
    <w:rsid w:val="004C0C2F"/>
    <w:rsid w:val="004C11B3"/>
    <w:rsid w:val="004D1C0F"/>
    <w:rsid w:val="004F1D8B"/>
    <w:rsid w:val="0050115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056B"/>
    <w:rsid w:val="00671684"/>
    <w:rsid w:val="00671EA2"/>
    <w:rsid w:val="00675ED0"/>
    <w:rsid w:val="006908C5"/>
    <w:rsid w:val="006B7EA0"/>
    <w:rsid w:val="006F0318"/>
    <w:rsid w:val="006F6B48"/>
    <w:rsid w:val="00712E65"/>
    <w:rsid w:val="00714E66"/>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17D8F"/>
    <w:rsid w:val="0082394F"/>
    <w:rsid w:val="00853C90"/>
    <w:rsid w:val="008575F2"/>
    <w:rsid w:val="0087380A"/>
    <w:rsid w:val="0088292D"/>
    <w:rsid w:val="00896B3B"/>
    <w:rsid w:val="008B07D4"/>
    <w:rsid w:val="008C12CC"/>
    <w:rsid w:val="008D6809"/>
    <w:rsid w:val="008E3D3C"/>
    <w:rsid w:val="00915AB1"/>
    <w:rsid w:val="00916BF5"/>
    <w:rsid w:val="009215B8"/>
    <w:rsid w:val="00923554"/>
    <w:rsid w:val="009270C4"/>
    <w:rsid w:val="009342FF"/>
    <w:rsid w:val="00940F14"/>
    <w:rsid w:val="00950D67"/>
    <w:rsid w:val="009527D7"/>
    <w:rsid w:val="00955512"/>
    <w:rsid w:val="00963962"/>
    <w:rsid w:val="00974C41"/>
    <w:rsid w:val="00990722"/>
    <w:rsid w:val="009B3AB7"/>
    <w:rsid w:val="009C5258"/>
    <w:rsid w:val="009D2822"/>
    <w:rsid w:val="009D28F3"/>
    <w:rsid w:val="009D28F7"/>
    <w:rsid w:val="00A03387"/>
    <w:rsid w:val="00A12DEC"/>
    <w:rsid w:val="00A13FA3"/>
    <w:rsid w:val="00A161B3"/>
    <w:rsid w:val="00A22D53"/>
    <w:rsid w:val="00A474E5"/>
    <w:rsid w:val="00A66BA1"/>
    <w:rsid w:val="00A842D4"/>
    <w:rsid w:val="00A93CA3"/>
    <w:rsid w:val="00AB6552"/>
    <w:rsid w:val="00AB67F8"/>
    <w:rsid w:val="00AB7727"/>
    <w:rsid w:val="00AC73AA"/>
    <w:rsid w:val="00AD0EFC"/>
    <w:rsid w:val="00AE76B8"/>
    <w:rsid w:val="00B06133"/>
    <w:rsid w:val="00B129D8"/>
    <w:rsid w:val="00B227AE"/>
    <w:rsid w:val="00B41B03"/>
    <w:rsid w:val="00B41EC3"/>
    <w:rsid w:val="00B509CE"/>
    <w:rsid w:val="00B63F08"/>
    <w:rsid w:val="00B81BAC"/>
    <w:rsid w:val="00B849E0"/>
    <w:rsid w:val="00B90246"/>
    <w:rsid w:val="00B920E4"/>
    <w:rsid w:val="00BA79A3"/>
    <w:rsid w:val="00BB7DCE"/>
    <w:rsid w:val="00BD25C0"/>
    <w:rsid w:val="00C049EE"/>
    <w:rsid w:val="00C0554B"/>
    <w:rsid w:val="00C109FD"/>
    <w:rsid w:val="00C14C2C"/>
    <w:rsid w:val="00C409C2"/>
    <w:rsid w:val="00C74E6F"/>
    <w:rsid w:val="00C8348A"/>
    <w:rsid w:val="00C92F89"/>
    <w:rsid w:val="00CC39DC"/>
    <w:rsid w:val="00CD3071"/>
    <w:rsid w:val="00CE1FF8"/>
    <w:rsid w:val="00CE4890"/>
    <w:rsid w:val="00CE6FD2"/>
    <w:rsid w:val="00D0182E"/>
    <w:rsid w:val="00D0265B"/>
    <w:rsid w:val="00D24A57"/>
    <w:rsid w:val="00D53526"/>
    <w:rsid w:val="00D554E6"/>
    <w:rsid w:val="00D63508"/>
    <w:rsid w:val="00D70628"/>
    <w:rsid w:val="00DA175F"/>
    <w:rsid w:val="00DA7643"/>
    <w:rsid w:val="00DB029C"/>
    <w:rsid w:val="00DC162E"/>
    <w:rsid w:val="00DC4A39"/>
    <w:rsid w:val="00DD2E68"/>
    <w:rsid w:val="00DE0A21"/>
    <w:rsid w:val="00DF6796"/>
    <w:rsid w:val="00E1258A"/>
    <w:rsid w:val="00E125C6"/>
    <w:rsid w:val="00E15639"/>
    <w:rsid w:val="00E1656D"/>
    <w:rsid w:val="00E173B5"/>
    <w:rsid w:val="00E24C57"/>
    <w:rsid w:val="00E26730"/>
    <w:rsid w:val="00E33306"/>
    <w:rsid w:val="00E475F9"/>
    <w:rsid w:val="00E50974"/>
    <w:rsid w:val="00E86611"/>
    <w:rsid w:val="00E940BF"/>
    <w:rsid w:val="00EA643A"/>
    <w:rsid w:val="00EE34E3"/>
    <w:rsid w:val="00EF0BE4"/>
    <w:rsid w:val="00F01885"/>
    <w:rsid w:val="00F168A4"/>
    <w:rsid w:val="00F2380B"/>
    <w:rsid w:val="00F24713"/>
    <w:rsid w:val="00F40699"/>
    <w:rsid w:val="00F40B8D"/>
    <w:rsid w:val="00F433D6"/>
    <w:rsid w:val="00F46E63"/>
    <w:rsid w:val="00F61D34"/>
    <w:rsid w:val="00F76BBD"/>
    <w:rsid w:val="00F96689"/>
    <w:rsid w:val="00FA0AF4"/>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B4DEAA"/>
  <w15:docId w15:val="{7DEFE164-617F-4244-9CBD-3BCF0A46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2,Footnote Text Char3 Char,Footnote Text Char Char Char2,Footnote Text Char2 Char Char Char2,Footnote Text Char1 Char2 Char Char Char,Footnote Text Char Char Char Char2 Char Char,Footnote Text Char3,fn"/>
    <w:basedOn w:val="Normal"/>
    <w:link w:val="FootnoteTextChar"/>
    <w:unhideWhenUsed/>
    <w:qFormat/>
    <w:rsid w:val="009C5258"/>
    <w:rPr>
      <w:sz w:val="16"/>
      <w:szCs w:val="20"/>
    </w:rPr>
  </w:style>
  <w:style w:type="character" w:customStyle="1" w:styleId="FootnoteTextChar">
    <w:name w:val="Footnote Text Char"/>
    <w:aliases w:val="Footnote Text Char2 Char,Footnote Text Char3 Char Char,Footnote Text Char Char Char2 Char,Footnote Text Char2 Char Char Char2 Char,Footnote Text Char1 Char2 Char Char Char Char,Footnote Text Char Char Char Char2 Char Char Char,fn Char"/>
    <w:link w:val="FootnoteText"/>
    <w:rsid w:val="009C5258"/>
    <w:rPr>
      <w:rFonts w:ascii="Arial" w:hAnsi="Arial"/>
      <w:sz w:val="16"/>
      <w:lang w:val="fr-FR" w:eastAsia="en-US"/>
    </w:rPr>
  </w:style>
  <w:style w:type="character" w:styleId="FootnoteReference">
    <w:name w:val="footnote reference"/>
    <w:aliases w:val="Footnotes refss,callout,a Footnote Reference,FZ,Texto de nota al pie,Appel note de bas de page,BVI fnr,16 Point,Superscript 6 Point,nota pié di pagina,ftref,Footnote Refernece,BVI fnr Char Char Char Char Char,Footnote number,4_G"/>
    <w:link w:val="Appelnotedebasdep"/>
    <w:uiPriority w:val="99"/>
    <w:unhideWhenUsed/>
    <w:qFormat/>
    <w:rsid w:val="00853C90"/>
    <w:rPr>
      <w:vertAlign w:val="superscript"/>
    </w:rPr>
  </w:style>
  <w:style w:type="character" w:styleId="UnresolvedMention">
    <w:name w:val="Unresolved Mention"/>
    <w:basedOn w:val="DefaultParagraphFont"/>
    <w:uiPriority w:val="99"/>
    <w:semiHidden/>
    <w:unhideWhenUsed/>
    <w:rsid w:val="00145B98"/>
    <w:rPr>
      <w:color w:val="605E5C"/>
      <w:shd w:val="clear" w:color="auto" w:fill="E1DFDD"/>
    </w:rPr>
  </w:style>
  <w:style w:type="paragraph" w:styleId="ListParagraph">
    <w:name w:val="List Paragraph"/>
    <w:basedOn w:val="Normal"/>
    <w:uiPriority w:val="34"/>
    <w:qFormat/>
    <w:rsid w:val="00145B98"/>
    <w:pPr>
      <w:ind w:left="720"/>
      <w:contextualSpacing/>
    </w:pPr>
  </w:style>
  <w:style w:type="paragraph" w:customStyle="1" w:styleId="Appelnotedebasdep">
    <w:name w:val="Appel note de bas de p"/>
    <w:aliases w:val="Footnotes refss Car Char Char Char,callout Car Char Char Char,Zchn Zchn Char Char Char Char Car Char Char Char Char Char Char Char Char Char Car Char Car Char Char Char"/>
    <w:basedOn w:val="Normal"/>
    <w:link w:val="FootnoteReference"/>
    <w:uiPriority w:val="99"/>
    <w:rsid w:val="002C211E"/>
    <w:pPr>
      <w:spacing w:after="160" w:line="240" w:lineRule="exact"/>
    </w:pPr>
    <w:rPr>
      <w:rFonts w:ascii="Calibri" w:hAnsi="Calibri"/>
      <w:szCs w:val="20"/>
      <w:vertAlign w:val="superscript"/>
      <w:lang w:val="en-GB" w:eastAsia="en-GB"/>
    </w:rPr>
  </w:style>
  <w:style w:type="character" w:customStyle="1" w:styleId="sfbbfee58">
    <w:name w:val="sfbbfee58"/>
    <w:basedOn w:val="DefaultParagraphFont"/>
    <w:rsid w:val="002C211E"/>
  </w:style>
  <w:style w:type="character" w:customStyle="1" w:styleId="s9776b88b">
    <w:name w:val="s9776b88b"/>
    <w:basedOn w:val="DefaultParagraphFont"/>
    <w:rsid w:val="002C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4458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xec.coe.int/ENG" TargetMode="External"/><Relationship Id="rId18" Type="http://schemas.openxmlformats.org/officeDocument/2006/relationships/hyperlink" Target="https://hudoc.exec.coe.int/ENG" TargetMode="External"/><Relationship Id="rId26" Type="http://schemas.openxmlformats.org/officeDocument/2006/relationships/hyperlink" Target="https://hudoc.exec.coe.int/ENG" TargetMode="External"/><Relationship Id="rId3" Type="http://schemas.openxmlformats.org/officeDocument/2006/relationships/hyperlink" Target="https://hudoc.exec.coe.int/eng" TargetMode="External"/><Relationship Id="rId21" Type="http://schemas.openxmlformats.org/officeDocument/2006/relationships/hyperlink" Target="https://hudoc.exec.coe.int/ENG" TargetMode="External"/><Relationship Id="rId7" Type="http://schemas.openxmlformats.org/officeDocument/2006/relationships/hyperlink" Target="https://hudoc.exec.coe.int/eng" TargetMode="External"/><Relationship Id="rId12" Type="http://schemas.openxmlformats.org/officeDocument/2006/relationships/hyperlink" Target="https://hudoc.exec.coe.int/ENG" TargetMode="External"/><Relationship Id="rId17" Type="http://schemas.openxmlformats.org/officeDocument/2006/relationships/hyperlink" Target="https://hudoc.exec.coe.int/ENG" TargetMode="External"/><Relationship Id="rId25" Type="http://schemas.openxmlformats.org/officeDocument/2006/relationships/hyperlink" Target="https://hudoc.exec.coe.int/eng" TargetMode="External"/><Relationship Id="rId2" Type="http://schemas.openxmlformats.org/officeDocument/2006/relationships/hyperlink" Target="https://hudoc.exec.coe.int/eng" TargetMode="External"/><Relationship Id="rId16" Type="http://schemas.openxmlformats.org/officeDocument/2006/relationships/hyperlink" Target="https://hudoc.exec.coe.int/ENG" TargetMode="External"/><Relationship Id="rId20" Type="http://schemas.openxmlformats.org/officeDocument/2006/relationships/hyperlink" Target="https://hudoc.exec.coe.int/ENG" TargetMode="External"/><Relationship Id="rId29" Type="http://schemas.openxmlformats.org/officeDocument/2006/relationships/hyperlink" Target="https://hudoc.echr.coe.int/eng" TargetMode="External"/><Relationship Id="rId1" Type="http://schemas.openxmlformats.org/officeDocument/2006/relationships/hyperlink" Target="https://hudoc.exec.coe.int/eng" TargetMode="External"/><Relationship Id="rId6" Type="http://schemas.openxmlformats.org/officeDocument/2006/relationships/hyperlink" Target="https://hudoc.exec.coe.int/eng" TargetMode="External"/><Relationship Id="rId11" Type="http://schemas.openxmlformats.org/officeDocument/2006/relationships/hyperlink" Target="https://hudoc.echr.coe.int/eng" TargetMode="External"/><Relationship Id="rId24" Type="http://schemas.openxmlformats.org/officeDocument/2006/relationships/hyperlink" Target="https://hudoc.exec.coe.int/eng" TargetMode="External"/><Relationship Id="rId5" Type="http://schemas.openxmlformats.org/officeDocument/2006/relationships/hyperlink" Target="https://search.coe.int/cm/Pages/result_details.aspx?ObjectId=09000016805dd18e" TargetMode="External"/><Relationship Id="rId15" Type="http://schemas.openxmlformats.org/officeDocument/2006/relationships/hyperlink" Target="https://hudoc.exec.coe.int/ENG" TargetMode="External"/><Relationship Id="rId23" Type="http://schemas.openxmlformats.org/officeDocument/2006/relationships/hyperlink" Target="https://hudoc.exec.coe.int/ENG" TargetMode="External"/><Relationship Id="rId28" Type="http://schemas.openxmlformats.org/officeDocument/2006/relationships/hyperlink" Target="https://hudoc.exec.coe.int/ENG" TargetMode="External"/><Relationship Id="rId10" Type="http://schemas.openxmlformats.org/officeDocument/2006/relationships/hyperlink" Target="https://hudoc.exec.coe.int/eng" TargetMode="External"/><Relationship Id="rId19" Type="http://schemas.openxmlformats.org/officeDocument/2006/relationships/hyperlink" Target="https://hudoc.exec.coe.int/ENG" TargetMode="External"/><Relationship Id="rId31" Type="http://schemas.openxmlformats.org/officeDocument/2006/relationships/hyperlink" Target="https://hudoc.exec.coe.int/ENG" TargetMode="External"/><Relationship Id="rId4" Type="http://schemas.openxmlformats.org/officeDocument/2006/relationships/hyperlink" Target="https://search.coe.int/cm/Pages/result_details.aspx?ObjectId=09000016805e2f06" TargetMode="External"/><Relationship Id="rId9" Type="http://schemas.openxmlformats.org/officeDocument/2006/relationships/hyperlink" Target="https://hudoc.exec.coe.int/eng" TargetMode="External"/><Relationship Id="rId14" Type="http://schemas.openxmlformats.org/officeDocument/2006/relationships/hyperlink" Target="https://hudoc.exec.coe.int/ENG" TargetMode="External"/><Relationship Id="rId22" Type="http://schemas.openxmlformats.org/officeDocument/2006/relationships/hyperlink" Target="https://search.coe.int/cm/Pages/result_details.aspx?Reference=CM/ResDH(2020)197" TargetMode="External"/><Relationship Id="rId27" Type="http://schemas.openxmlformats.org/officeDocument/2006/relationships/hyperlink" Target="https://hudoc.exec.coe.int/ENG" TargetMode="External"/><Relationship Id="rId30" Type="http://schemas.openxmlformats.org/officeDocument/2006/relationships/hyperlink" Target="https://search.coe.int/cm/Pages/result_details.aspx?Reference=CM/Del/Dec(2020)1369/H46-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arne\Desktop\F_CM-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(1)</Template>
  <TotalTime>82</TotalTime>
  <Pages>4</Pages>
  <Words>2202</Words>
  <Characters>12116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14290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TREHARNE Gareth</dc:creator>
  <cp:lastModifiedBy>HUBER Dominique</cp:lastModifiedBy>
  <cp:revision>21</cp:revision>
  <cp:lastPrinted>2016-03-16T18:37:00Z</cp:lastPrinted>
  <dcterms:created xsi:type="dcterms:W3CDTF">2022-02-28T14:40:00Z</dcterms:created>
  <dcterms:modified xsi:type="dcterms:W3CDTF">2022-03-04T08:58:00Z</dcterms:modified>
</cp:coreProperties>
</file>