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A0A776" w14:textId="2AF0C51C" w:rsidR="00D553F8" w:rsidRDefault="00D553F8">
      <w:pPr>
        <w:rPr>
          <w:lang w:val="en-GB"/>
        </w:rPr>
      </w:pPr>
    </w:p>
    <w:p w14:paraId="71C693B8" w14:textId="77777777" w:rsidR="00530E6A" w:rsidRDefault="00530E6A">
      <w:pPr>
        <w:rPr>
          <w:lang w:val="en-GB"/>
        </w:rPr>
      </w:pPr>
    </w:p>
    <w:p w14:paraId="5A2017FB" w14:textId="7798C180" w:rsidR="00D553F8" w:rsidRPr="002E5761" w:rsidRDefault="00D553F8" w:rsidP="00D553F8">
      <w:pPr>
        <w:ind w:left="6372" w:hanging="6372"/>
        <w:jc w:val="both"/>
        <w:rPr>
          <w:rFonts w:ascii="Arial" w:hAnsi="Arial"/>
          <w:color w:val="000000"/>
          <w:spacing w:val="-2"/>
          <w:sz w:val="20"/>
          <w:lang w:val="en-GB"/>
        </w:rPr>
      </w:pPr>
      <w:r>
        <w:rPr>
          <w:rFonts w:ascii="Arial" w:hAnsi="Arial"/>
          <w:color w:val="000000"/>
          <w:spacing w:val="-2"/>
          <w:sz w:val="20"/>
          <w:lang w:val="en-GB"/>
        </w:rPr>
        <w:t>Strasbourg, 11 March 2021</w:t>
      </w:r>
      <w:r w:rsidRPr="002E5761">
        <w:rPr>
          <w:rFonts w:ascii="Arial" w:hAnsi="Arial"/>
          <w:color w:val="000000"/>
          <w:spacing w:val="-2"/>
          <w:sz w:val="20"/>
          <w:lang w:val="en-GB"/>
        </w:rPr>
        <w:tab/>
      </w:r>
      <w:r w:rsidRPr="002E5761">
        <w:rPr>
          <w:rFonts w:ascii="Arial" w:hAnsi="Arial"/>
          <w:color w:val="000000"/>
          <w:spacing w:val="-2"/>
          <w:sz w:val="20"/>
          <w:lang w:val="en-GB"/>
        </w:rPr>
        <w:tab/>
      </w:r>
      <w:r>
        <w:rPr>
          <w:rFonts w:ascii="Arial" w:hAnsi="Arial"/>
          <w:color w:val="000000"/>
          <w:spacing w:val="-2"/>
          <w:sz w:val="20"/>
          <w:lang w:val="en-GB"/>
        </w:rPr>
        <w:t>AP/CAT</w:t>
      </w:r>
      <w:r w:rsidRPr="002E5761">
        <w:rPr>
          <w:rFonts w:ascii="Arial" w:hAnsi="Arial"/>
          <w:color w:val="000000"/>
          <w:spacing w:val="-2"/>
          <w:sz w:val="20"/>
          <w:lang w:val="en-GB"/>
        </w:rPr>
        <w:t>(20</w:t>
      </w:r>
      <w:r>
        <w:rPr>
          <w:rFonts w:ascii="Arial" w:hAnsi="Arial"/>
          <w:color w:val="000000"/>
          <w:spacing w:val="-2"/>
          <w:sz w:val="20"/>
          <w:lang w:val="en-GB"/>
        </w:rPr>
        <w:t>21)04</w:t>
      </w:r>
      <w:r>
        <w:rPr>
          <w:rFonts w:ascii="Arial" w:hAnsi="Arial"/>
          <w:color w:val="000000"/>
          <w:spacing w:val="-2"/>
          <w:sz w:val="20"/>
          <w:lang w:val="en-GB"/>
        </w:rPr>
        <w:br/>
      </w:r>
      <w:r>
        <w:rPr>
          <w:rFonts w:ascii="Arial" w:hAnsi="Arial"/>
          <w:color w:val="000000"/>
          <w:spacing w:val="-2"/>
          <w:sz w:val="20"/>
          <w:lang w:val="en-GB"/>
        </w:rPr>
        <w:tab/>
      </w:r>
      <w:r w:rsidRPr="002E5761">
        <w:rPr>
          <w:rFonts w:ascii="Arial" w:hAnsi="Arial"/>
          <w:color w:val="000000"/>
          <w:spacing w:val="-2"/>
          <w:sz w:val="20"/>
          <w:lang w:val="en-GB"/>
        </w:rPr>
        <w:t>Or. English</w:t>
      </w:r>
    </w:p>
    <w:p w14:paraId="1C44D9AB" w14:textId="77777777" w:rsidR="00D553F8" w:rsidRDefault="00D553F8" w:rsidP="00D553F8">
      <w:pPr>
        <w:tabs>
          <w:tab w:val="left" w:pos="0"/>
          <w:tab w:val="left" w:pos="708"/>
        </w:tabs>
        <w:suppressAutoHyphens/>
        <w:spacing w:after="0" w:line="240" w:lineRule="auto"/>
        <w:jc w:val="center"/>
        <w:rPr>
          <w:rFonts w:eastAsia="Arial Unicode MS" w:cstheme="minorHAnsi"/>
          <w:b/>
          <w:caps/>
          <w:color w:val="FF0000"/>
          <w:sz w:val="56"/>
          <w:szCs w:val="56"/>
          <w:lang w:val="en-GB" w:eastAsia="zh-CN"/>
        </w:rPr>
      </w:pPr>
    </w:p>
    <w:p w14:paraId="185F34AA" w14:textId="77777777" w:rsidR="00D553F8" w:rsidRDefault="00D553F8" w:rsidP="00D553F8">
      <w:pPr>
        <w:tabs>
          <w:tab w:val="right" w:pos="9638"/>
        </w:tabs>
        <w:jc w:val="center"/>
        <w:rPr>
          <w:rFonts w:ascii="Arial" w:hAnsi="Arial"/>
          <w:b/>
          <w:color w:val="000000"/>
          <w:lang w:val="en-GB"/>
        </w:rPr>
      </w:pPr>
    </w:p>
    <w:p w14:paraId="1774126F" w14:textId="77777777" w:rsidR="00D553F8" w:rsidRDefault="00D553F8" w:rsidP="00D553F8">
      <w:pPr>
        <w:tabs>
          <w:tab w:val="right" w:pos="9638"/>
        </w:tabs>
        <w:jc w:val="center"/>
        <w:rPr>
          <w:rFonts w:ascii="Arial" w:hAnsi="Arial"/>
          <w:b/>
          <w:color w:val="000000"/>
          <w:lang w:val="en-GB"/>
        </w:rPr>
      </w:pPr>
    </w:p>
    <w:p w14:paraId="5AF3FA66" w14:textId="77777777" w:rsidR="00D553F8" w:rsidRPr="002E5761" w:rsidRDefault="00D553F8" w:rsidP="00D553F8">
      <w:pPr>
        <w:tabs>
          <w:tab w:val="right" w:pos="9638"/>
        </w:tabs>
        <w:jc w:val="center"/>
        <w:rPr>
          <w:rFonts w:ascii="Arial" w:hAnsi="Arial"/>
          <w:b/>
          <w:color w:val="000000"/>
          <w:lang w:val="en-GB"/>
        </w:rPr>
      </w:pPr>
      <w:r w:rsidRPr="002E5761">
        <w:rPr>
          <w:rFonts w:ascii="Arial" w:hAnsi="Arial"/>
          <w:b/>
          <w:color w:val="000000"/>
          <w:lang w:val="en-GB"/>
        </w:rPr>
        <w:t xml:space="preserve">EUROPEAN AND MEDITERRANEAN MAJOR HAZARDS AGREEMENT </w:t>
      </w:r>
      <w:r>
        <w:rPr>
          <w:rFonts w:ascii="Arial" w:hAnsi="Arial"/>
          <w:b/>
          <w:color w:val="000000"/>
          <w:lang w:val="en-GB"/>
        </w:rPr>
        <w:br/>
      </w:r>
      <w:r w:rsidRPr="002E5761">
        <w:rPr>
          <w:rFonts w:ascii="Arial" w:hAnsi="Arial"/>
          <w:b/>
          <w:color w:val="000000"/>
          <w:lang w:val="en-GB"/>
        </w:rPr>
        <w:t>(EUR-OPA)</w:t>
      </w:r>
    </w:p>
    <w:p w14:paraId="5CD9FF3B" w14:textId="77777777" w:rsidR="00D553F8" w:rsidRDefault="00D553F8" w:rsidP="00D553F8">
      <w:pPr>
        <w:tabs>
          <w:tab w:val="left" w:pos="0"/>
          <w:tab w:val="left" w:pos="708"/>
        </w:tabs>
        <w:suppressAutoHyphens/>
        <w:spacing w:after="0" w:line="240" w:lineRule="auto"/>
        <w:jc w:val="center"/>
        <w:rPr>
          <w:rFonts w:eastAsia="Arial Unicode MS" w:cstheme="minorHAnsi"/>
          <w:b/>
          <w:caps/>
          <w:color w:val="FF0000"/>
          <w:sz w:val="56"/>
          <w:szCs w:val="56"/>
          <w:lang w:val="en-GB" w:eastAsia="zh-CN"/>
        </w:rPr>
      </w:pPr>
    </w:p>
    <w:p w14:paraId="32217504" w14:textId="77777777" w:rsidR="00D553F8" w:rsidRDefault="00D553F8" w:rsidP="00D553F8">
      <w:pPr>
        <w:tabs>
          <w:tab w:val="left" w:pos="0"/>
          <w:tab w:val="left" w:pos="708"/>
        </w:tabs>
        <w:suppressAutoHyphens/>
        <w:spacing w:after="0" w:line="240" w:lineRule="auto"/>
        <w:jc w:val="center"/>
        <w:rPr>
          <w:rFonts w:ascii="Arial" w:eastAsia="Arial Unicode MS" w:hAnsi="Arial" w:cs="Arial"/>
          <w:b/>
          <w:caps/>
          <w:sz w:val="24"/>
          <w:szCs w:val="24"/>
          <w:lang w:val="en-GB" w:eastAsia="zh-CN"/>
        </w:rPr>
      </w:pPr>
    </w:p>
    <w:p w14:paraId="4892FA96" w14:textId="77777777" w:rsidR="00D553F8" w:rsidRDefault="00D553F8" w:rsidP="00D553F8">
      <w:pPr>
        <w:tabs>
          <w:tab w:val="left" w:pos="0"/>
          <w:tab w:val="left" w:pos="708"/>
        </w:tabs>
        <w:suppressAutoHyphens/>
        <w:spacing w:after="0" w:line="240" w:lineRule="auto"/>
        <w:jc w:val="center"/>
        <w:rPr>
          <w:rFonts w:ascii="Arial" w:eastAsia="Arial Unicode MS" w:hAnsi="Arial" w:cs="Arial"/>
          <w:b/>
          <w:caps/>
          <w:sz w:val="24"/>
          <w:szCs w:val="24"/>
          <w:lang w:val="en-GB" w:eastAsia="zh-CN"/>
        </w:rPr>
      </w:pPr>
    </w:p>
    <w:p w14:paraId="49A4280E" w14:textId="77777777" w:rsidR="00D553F8" w:rsidRDefault="00D553F8" w:rsidP="00D553F8">
      <w:pPr>
        <w:tabs>
          <w:tab w:val="left" w:pos="0"/>
          <w:tab w:val="left" w:pos="708"/>
        </w:tabs>
        <w:suppressAutoHyphens/>
        <w:spacing w:after="0" w:line="240" w:lineRule="auto"/>
        <w:jc w:val="center"/>
        <w:rPr>
          <w:rFonts w:ascii="Arial" w:eastAsia="Arial Unicode MS" w:hAnsi="Arial" w:cs="Arial"/>
          <w:b/>
          <w:caps/>
          <w:sz w:val="24"/>
          <w:szCs w:val="24"/>
          <w:lang w:val="en-GB" w:eastAsia="zh-CN"/>
        </w:rPr>
      </w:pPr>
    </w:p>
    <w:p w14:paraId="02C1EA1A" w14:textId="4DF261AC" w:rsidR="00D553F8" w:rsidRPr="00BB00A0" w:rsidRDefault="00187296" w:rsidP="00D553F8">
      <w:pPr>
        <w:spacing w:line="240" w:lineRule="auto"/>
        <w:jc w:val="center"/>
        <w:rPr>
          <w:rFonts w:ascii="Arial" w:hAnsi="Arial" w:cs="Arial"/>
          <w:b/>
          <w:bCs/>
          <w:caps/>
          <w:sz w:val="24"/>
          <w:szCs w:val="24"/>
          <w:lang w:val="en-US"/>
        </w:rPr>
      </w:pPr>
      <w:r w:rsidRPr="00187296">
        <w:rPr>
          <w:rFonts w:ascii="Arial" w:hAnsi="Arial" w:cs="Arial"/>
          <w:b/>
          <w:bCs/>
          <w:caps/>
          <w:color w:val="FF0000"/>
          <w:sz w:val="24"/>
          <w:szCs w:val="24"/>
          <w:highlight w:val="yellow"/>
          <w:lang w:val="en-US"/>
        </w:rPr>
        <w:t>Draft</w:t>
      </w:r>
      <w:r w:rsidRPr="00187296">
        <w:rPr>
          <w:rFonts w:ascii="Arial" w:hAnsi="Arial" w:cs="Arial"/>
          <w:b/>
          <w:bCs/>
          <w:caps/>
          <w:sz w:val="24"/>
          <w:szCs w:val="24"/>
          <w:lang w:val="en-US"/>
        </w:rPr>
        <w:t xml:space="preserve"> Revised Statute of the Enlarged Partial Agreement on the Protection against Major Natural, Technological and Biological Hazards and Strengthening Resilience in the face of Disasters</w:t>
      </w:r>
      <w:r w:rsidR="00D553F8" w:rsidRPr="00BB00A0">
        <w:rPr>
          <w:rFonts w:ascii="Arial" w:hAnsi="Arial" w:cs="Arial"/>
          <w:b/>
          <w:bCs/>
          <w:caps/>
          <w:sz w:val="24"/>
          <w:szCs w:val="24"/>
          <w:lang w:val="en-US"/>
        </w:rPr>
        <w:t xml:space="preserve"> </w:t>
      </w:r>
    </w:p>
    <w:p w14:paraId="643E97EC" w14:textId="77777777" w:rsidR="00D553F8" w:rsidRPr="00181E1B" w:rsidRDefault="00D553F8" w:rsidP="00D553F8">
      <w:pPr>
        <w:tabs>
          <w:tab w:val="left" w:pos="0"/>
          <w:tab w:val="left" w:pos="708"/>
        </w:tabs>
        <w:suppressAutoHyphens/>
        <w:spacing w:after="0" w:line="240" w:lineRule="auto"/>
        <w:jc w:val="center"/>
        <w:rPr>
          <w:rFonts w:eastAsia="Arial Unicode MS" w:cstheme="minorHAnsi"/>
          <w:b/>
          <w:caps/>
          <w:sz w:val="20"/>
          <w:szCs w:val="20"/>
          <w:lang w:val="en-GB" w:eastAsia="zh-CN"/>
        </w:rPr>
      </w:pPr>
      <w:r w:rsidRPr="00BB00A0">
        <w:rPr>
          <w:rFonts w:ascii="Arial" w:hAnsi="Arial" w:cs="Arial"/>
          <w:b/>
          <w:bCs/>
          <w:caps/>
          <w:sz w:val="24"/>
          <w:szCs w:val="24"/>
          <w:lang w:val="en-US"/>
        </w:rPr>
        <w:t>(EUR-OPA Major Hazards Agreement)</w:t>
      </w:r>
    </w:p>
    <w:p w14:paraId="50572695" w14:textId="77777777" w:rsidR="00D553F8" w:rsidRDefault="00D553F8" w:rsidP="00D553F8">
      <w:pPr>
        <w:tabs>
          <w:tab w:val="left" w:pos="0"/>
          <w:tab w:val="left" w:pos="708"/>
        </w:tabs>
        <w:suppressAutoHyphens/>
        <w:spacing w:after="0" w:line="240" w:lineRule="auto"/>
        <w:jc w:val="center"/>
        <w:rPr>
          <w:rFonts w:eastAsia="Arial Unicode MS" w:cstheme="minorHAnsi"/>
          <w:b/>
          <w:caps/>
          <w:sz w:val="24"/>
          <w:szCs w:val="24"/>
          <w:lang w:val="en-GB" w:eastAsia="zh-CN"/>
        </w:rPr>
      </w:pPr>
    </w:p>
    <w:p w14:paraId="3A6FF78C" w14:textId="77777777" w:rsidR="00D553F8" w:rsidRDefault="00D553F8" w:rsidP="00D553F8">
      <w:pPr>
        <w:tabs>
          <w:tab w:val="left" w:pos="0"/>
          <w:tab w:val="left" w:pos="708"/>
        </w:tabs>
        <w:suppressAutoHyphens/>
        <w:spacing w:after="0" w:line="240" w:lineRule="auto"/>
        <w:jc w:val="center"/>
        <w:rPr>
          <w:rFonts w:eastAsia="Arial Unicode MS" w:cstheme="minorHAnsi"/>
          <w:b/>
          <w:caps/>
          <w:sz w:val="24"/>
          <w:szCs w:val="24"/>
          <w:lang w:val="en-GB" w:eastAsia="zh-CN"/>
        </w:rPr>
      </w:pPr>
    </w:p>
    <w:p w14:paraId="74789265" w14:textId="77777777" w:rsidR="00D553F8" w:rsidRDefault="00D553F8" w:rsidP="00D553F8">
      <w:pPr>
        <w:tabs>
          <w:tab w:val="left" w:pos="0"/>
          <w:tab w:val="left" w:pos="708"/>
        </w:tabs>
        <w:suppressAutoHyphens/>
        <w:spacing w:after="0" w:line="240" w:lineRule="auto"/>
        <w:jc w:val="center"/>
        <w:rPr>
          <w:rFonts w:eastAsia="Arial Unicode MS" w:cstheme="minorHAnsi"/>
          <w:b/>
          <w:caps/>
          <w:sz w:val="24"/>
          <w:szCs w:val="24"/>
          <w:lang w:val="en-GB" w:eastAsia="zh-CN"/>
        </w:rPr>
      </w:pPr>
    </w:p>
    <w:p w14:paraId="5095130B" w14:textId="77777777" w:rsidR="00D553F8" w:rsidRDefault="00D553F8" w:rsidP="00D553F8">
      <w:pPr>
        <w:tabs>
          <w:tab w:val="left" w:pos="0"/>
          <w:tab w:val="left" w:pos="708"/>
        </w:tabs>
        <w:suppressAutoHyphens/>
        <w:spacing w:after="0" w:line="240" w:lineRule="auto"/>
        <w:jc w:val="center"/>
        <w:rPr>
          <w:rFonts w:eastAsia="Arial Unicode MS" w:cstheme="minorHAnsi"/>
          <w:b/>
          <w:caps/>
          <w:sz w:val="24"/>
          <w:szCs w:val="24"/>
          <w:lang w:val="en-GB" w:eastAsia="zh-CN"/>
        </w:rPr>
      </w:pPr>
    </w:p>
    <w:p w14:paraId="02086BA2" w14:textId="77777777" w:rsidR="00D553F8" w:rsidRPr="00A30A8E" w:rsidRDefault="00D553F8" w:rsidP="00D553F8">
      <w:pPr>
        <w:tabs>
          <w:tab w:val="left" w:pos="0"/>
          <w:tab w:val="left" w:pos="708"/>
        </w:tabs>
        <w:suppressAutoHyphens/>
        <w:spacing w:after="0" w:line="240" w:lineRule="auto"/>
        <w:jc w:val="center"/>
        <w:rPr>
          <w:rFonts w:eastAsia="Arial Unicode MS" w:cstheme="minorHAnsi"/>
          <w:b/>
          <w:caps/>
          <w:sz w:val="24"/>
          <w:szCs w:val="24"/>
          <w:lang w:val="en-GB" w:eastAsia="zh-CN"/>
        </w:rPr>
      </w:pPr>
    </w:p>
    <w:p w14:paraId="1815E924" w14:textId="77777777" w:rsidR="00D553F8" w:rsidRDefault="00D553F8" w:rsidP="00D553F8">
      <w:pPr>
        <w:tabs>
          <w:tab w:val="left" w:pos="0"/>
          <w:tab w:val="left" w:pos="708"/>
        </w:tabs>
        <w:suppressAutoHyphens/>
        <w:spacing w:after="0" w:line="240" w:lineRule="auto"/>
        <w:jc w:val="center"/>
        <w:rPr>
          <w:rFonts w:eastAsia="Arial Unicode MS" w:cstheme="minorHAnsi"/>
          <w:b/>
          <w:caps/>
          <w:sz w:val="24"/>
          <w:szCs w:val="24"/>
          <w:lang w:val="en-GB" w:eastAsia="zh-CN"/>
        </w:rPr>
      </w:pPr>
    </w:p>
    <w:p w14:paraId="0A4D26F6" w14:textId="1AAEF14B" w:rsidR="00D553F8" w:rsidRDefault="00D553F8" w:rsidP="00D553F8">
      <w:pPr>
        <w:jc w:val="center"/>
        <w:rPr>
          <w:i/>
          <w:iCs/>
          <w:lang w:val="en-GB"/>
        </w:rPr>
      </w:pPr>
      <w:r>
        <w:rPr>
          <w:rFonts w:eastAsia="Arial Unicode MS" w:cstheme="minorHAnsi"/>
          <w:b/>
          <w:caps/>
          <w:sz w:val="24"/>
          <w:szCs w:val="24"/>
          <w:lang w:val="en-GB" w:eastAsia="zh-CN"/>
        </w:rPr>
        <w:t xml:space="preserve">For discussion at the Meeting of the committee of PERMANENT CORRESPONDENTS on </w:t>
      </w:r>
      <w:r w:rsidR="006F7F71">
        <w:rPr>
          <w:rFonts w:eastAsia="Arial Unicode MS" w:cstheme="minorHAnsi"/>
          <w:b/>
          <w:caps/>
          <w:sz w:val="24"/>
          <w:szCs w:val="24"/>
          <w:lang w:val="en-GB" w:eastAsia="zh-CN"/>
        </w:rPr>
        <w:t>16</w:t>
      </w:r>
      <w:r>
        <w:rPr>
          <w:rFonts w:eastAsia="Arial Unicode MS" w:cstheme="minorHAnsi"/>
          <w:b/>
          <w:caps/>
          <w:sz w:val="24"/>
          <w:szCs w:val="24"/>
          <w:lang w:val="en-GB" w:eastAsia="zh-CN"/>
        </w:rPr>
        <w:t xml:space="preserve"> June 2021</w:t>
      </w:r>
      <w:r>
        <w:rPr>
          <w:i/>
          <w:iCs/>
          <w:lang w:val="en-GB"/>
        </w:rPr>
        <w:br w:type="page"/>
      </w:r>
    </w:p>
    <w:p w14:paraId="67DB913C" w14:textId="77777777" w:rsidR="007831AE" w:rsidRPr="0014209E" w:rsidRDefault="007831AE" w:rsidP="00194BD5">
      <w:pPr>
        <w:jc w:val="both"/>
        <w:rPr>
          <w:lang w:val="en-GB"/>
        </w:rPr>
      </w:pPr>
      <w:r w:rsidRPr="0014209E">
        <w:rPr>
          <w:i/>
          <w:iCs/>
          <w:lang w:val="en-GB"/>
        </w:rPr>
        <w:lastRenderedPageBreak/>
        <w:t>Appendix to Resolution CM/Res(20</w:t>
      </w:r>
      <w:r w:rsidR="005F105F" w:rsidRPr="0014209E">
        <w:rPr>
          <w:i/>
          <w:iCs/>
          <w:lang w:val="en-GB"/>
        </w:rPr>
        <w:t>21</w:t>
      </w:r>
      <w:r w:rsidRPr="0014209E">
        <w:rPr>
          <w:i/>
          <w:iCs/>
          <w:lang w:val="en-GB"/>
        </w:rPr>
        <w:t>)</w:t>
      </w:r>
      <w:r w:rsidR="005F105F" w:rsidRPr="0014209E">
        <w:rPr>
          <w:i/>
          <w:iCs/>
          <w:lang w:val="en-GB"/>
        </w:rPr>
        <w:t>x</w:t>
      </w:r>
    </w:p>
    <w:p w14:paraId="0D9BAAD5" w14:textId="77777777" w:rsidR="00255B99" w:rsidRDefault="00DF156A" w:rsidP="00194BD5">
      <w:pPr>
        <w:jc w:val="both"/>
        <w:rPr>
          <w:b/>
          <w:bCs/>
          <w:lang w:val="en-US"/>
        </w:rPr>
      </w:pPr>
      <w:r w:rsidRPr="00255B99">
        <w:rPr>
          <w:b/>
          <w:bCs/>
          <w:color w:val="FF0000"/>
          <w:highlight w:val="yellow"/>
          <w:lang w:val="en-GB"/>
        </w:rPr>
        <w:t>Draft</w:t>
      </w:r>
      <w:r>
        <w:rPr>
          <w:b/>
          <w:bCs/>
          <w:lang w:val="en-GB"/>
        </w:rPr>
        <w:t xml:space="preserve"> </w:t>
      </w:r>
      <w:r w:rsidR="00070574">
        <w:rPr>
          <w:b/>
          <w:bCs/>
          <w:lang w:val="en-GB"/>
        </w:rPr>
        <w:t xml:space="preserve">Revised </w:t>
      </w:r>
      <w:r w:rsidR="007831AE" w:rsidRPr="0014209E">
        <w:rPr>
          <w:b/>
          <w:bCs/>
          <w:lang w:val="en-GB"/>
        </w:rPr>
        <w:t xml:space="preserve">Statute of the </w:t>
      </w:r>
      <w:r w:rsidR="00255B99" w:rsidRPr="00255B99">
        <w:rPr>
          <w:b/>
          <w:bCs/>
          <w:lang w:val="en-US"/>
        </w:rPr>
        <w:t>Enlarged Partial Agreement on the Protection against Major Natural, Technological and Biological Hazards and Strengthening Resilience in the face of Disasters (in short: EUR-OPA Major Hazards Agreement)</w:t>
      </w:r>
    </w:p>
    <w:p w14:paraId="0960F9FD" w14:textId="502E2257" w:rsidR="007831AE" w:rsidRPr="0014209E" w:rsidRDefault="007831AE" w:rsidP="00194BD5">
      <w:pPr>
        <w:jc w:val="both"/>
        <w:rPr>
          <w:lang w:val="en-GB"/>
        </w:rPr>
      </w:pPr>
      <w:r w:rsidRPr="0014209E">
        <w:rPr>
          <w:b/>
          <w:bCs/>
          <w:lang w:val="en-GB"/>
        </w:rPr>
        <w:t>Article 1 – Aims and tasks</w:t>
      </w:r>
    </w:p>
    <w:p w14:paraId="686307E5" w14:textId="77777777" w:rsidR="007831AE" w:rsidRPr="0014209E" w:rsidRDefault="007831AE" w:rsidP="00194BD5">
      <w:pPr>
        <w:jc w:val="both"/>
        <w:rPr>
          <w:b/>
          <w:bCs/>
          <w:lang w:val="en-GB"/>
        </w:rPr>
      </w:pPr>
      <w:r w:rsidRPr="0014209E">
        <w:rPr>
          <w:b/>
          <w:bCs/>
          <w:lang w:val="en-GB"/>
        </w:rPr>
        <w:t>1.1       Aims</w:t>
      </w:r>
    </w:p>
    <w:p w14:paraId="60439E6E" w14:textId="2778F882" w:rsidR="00022A66" w:rsidRPr="0014209E" w:rsidRDefault="007831AE" w:rsidP="00194BD5">
      <w:pPr>
        <w:jc w:val="both"/>
        <w:rPr>
          <w:lang w:val="en-GB"/>
        </w:rPr>
      </w:pPr>
      <w:r w:rsidRPr="0014209E">
        <w:rPr>
          <w:lang w:val="en-GB"/>
        </w:rPr>
        <w:t xml:space="preserve">The Enlarged Partial Agreement (EPA) shall contribute to the </w:t>
      </w:r>
      <w:r w:rsidR="00022A66" w:rsidRPr="0014209E">
        <w:rPr>
          <w:lang w:val="en-GB"/>
        </w:rPr>
        <w:t xml:space="preserve">co-operation among its parties in the field of </w:t>
      </w:r>
      <w:r w:rsidR="006C0E45" w:rsidRPr="0014209E">
        <w:rPr>
          <w:lang w:val="en-GB"/>
        </w:rPr>
        <w:t xml:space="preserve">prevention, </w:t>
      </w:r>
      <w:r w:rsidR="00377AB9" w:rsidRPr="0014209E">
        <w:rPr>
          <w:lang w:val="en-GB"/>
        </w:rPr>
        <w:t>preparedness,</w:t>
      </w:r>
      <w:r w:rsidR="00D95CE4">
        <w:rPr>
          <w:lang w:val="en-GB"/>
        </w:rPr>
        <w:t xml:space="preserve"> and</w:t>
      </w:r>
      <w:r w:rsidR="006C0E45" w:rsidRPr="0014209E">
        <w:rPr>
          <w:lang w:val="en-GB"/>
        </w:rPr>
        <w:t xml:space="preserve"> response in the face of major natural</w:t>
      </w:r>
      <w:r w:rsidR="00850AC6">
        <w:rPr>
          <w:lang w:val="en-GB"/>
        </w:rPr>
        <w:t>,</w:t>
      </w:r>
      <w:r w:rsidR="006C0E45" w:rsidRPr="0014209E">
        <w:rPr>
          <w:lang w:val="en-GB"/>
        </w:rPr>
        <w:t xml:space="preserve"> technological </w:t>
      </w:r>
      <w:r w:rsidR="00850AC6" w:rsidRPr="00850AC6">
        <w:rPr>
          <w:lang w:val="en-GB"/>
        </w:rPr>
        <w:t xml:space="preserve">and </w:t>
      </w:r>
      <w:r w:rsidR="00850AC6">
        <w:rPr>
          <w:lang w:val="en-GB"/>
        </w:rPr>
        <w:t>b</w:t>
      </w:r>
      <w:r w:rsidR="00850AC6" w:rsidRPr="00850AC6">
        <w:rPr>
          <w:lang w:val="en-GB"/>
        </w:rPr>
        <w:t xml:space="preserve">iological </w:t>
      </w:r>
      <w:r w:rsidR="006C0E45" w:rsidRPr="0014209E">
        <w:rPr>
          <w:lang w:val="en-GB"/>
        </w:rPr>
        <w:t xml:space="preserve">disasters. </w:t>
      </w:r>
      <w:r w:rsidR="00022A66" w:rsidRPr="0014209E">
        <w:rPr>
          <w:lang w:val="en-GB"/>
        </w:rPr>
        <w:t xml:space="preserve">To achieve </w:t>
      </w:r>
      <w:r w:rsidR="00DD081F" w:rsidRPr="0014209E">
        <w:rPr>
          <w:lang w:val="en-GB"/>
        </w:rPr>
        <w:t>this,</w:t>
      </w:r>
      <w:r w:rsidR="00022A66" w:rsidRPr="0014209E">
        <w:rPr>
          <w:lang w:val="en-GB"/>
        </w:rPr>
        <w:t xml:space="preserve"> it shall develop knowledge-based instruments to assess and reduce vulnerability through science, technology, education and training</w:t>
      </w:r>
      <w:r w:rsidR="004C134D">
        <w:rPr>
          <w:lang w:val="en-GB"/>
        </w:rPr>
        <w:t xml:space="preserve">. It shall offer guidance on </w:t>
      </w:r>
      <w:r w:rsidR="00022A66" w:rsidRPr="0014209E">
        <w:rPr>
          <w:lang w:val="en-GB"/>
        </w:rPr>
        <w:t xml:space="preserve">disaster risk reduction to inspire and promote appropriate policies aimed at improving prevention and response governance and </w:t>
      </w:r>
      <w:r w:rsidR="00CD5FF6" w:rsidRPr="0014209E">
        <w:rPr>
          <w:lang w:val="en-GB"/>
        </w:rPr>
        <w:t>address</w:t>
      </w:r>
      <w:r w:rsidR="00022A66" w:rsidRPr="0014209E">
        <w:rPr>
          <w:lang w:val="en-GB"/>
        </w:rPr>
        <w:t>, through a co-ordinated regional approach, often neglected important issues and defining adequate mechanisms to cope with them.</w:t>
      </w:r>
    </w:p>
    <w:p w14:paraId="7124D064" w14:textId="033F9081" w:rsidR="00CD5FF6" w:rsidRPr="0014209E" w:rsidRDefault="00CD5FF6" w:rsidP="00194BD5">
      <w:pPr>
        <w:jc w:val="both"/>
        <w:rPr>
          <w:lang w:val="en-GB"/>
        </w:rPr>
      </w:pPr>
      <w:r w:rsidRPr="0014209E">
        <w:rPr>
          <w:lang w:val="en-GB"/>
        </w:rPr>
        <w:t xml:space="preserve">The Network of Specialised Scientific Centres, operating in the framework of </w:t>
      </w:r>
      <w:r w:rsidR="00A14988">
        <w:rPr>
          <w:lang w:val="en-GB"/>
        </w:rPr>
        <w:t xml:space="preserve">the </w:t>
      </w:r>
      <w:r w:rsidRPr="0014209E">
        <w:rPr>
          <w:lang w:val="en-GB"/>
        </w:rPr>
        <w:t>EPA shall develop projects, both at national and regional levels with an aim to share know-how and best practices and improve the awareness of and resilience to major risks within the population. </w:t>
      </w:r>
    </w:p>
    <w:p w14:paraId="7CB64488" w14:textId="77777777" w:rsidR="007831AE" w:rsidRPr="0014209E" w:rsidRDefault="007831AE" w:rsidP="00194BD5">
      <w:pPr>
        <w:jc w:val="both"/>
        <w:rPr>
          <w:lang w:val="en-GB"/>
        </w:rPr>
      </w:pPr>
      <w:r w:rsidRPr="0014209E">
        <w:rPr>
          <w:b/>
          <w:bCs/>
          <w:lang w:val="en-GB"/>
        </w:rPr>
        <w:t>1.2       Tasks</w:t>
      </w:r>
    </w:p>
    <w:p w14:paraId="77700173" w14:textId="77777777" w:rsidR="007831AE" w:rsidRPr="0014209E" w:rsidRDefault="007831AE" w:rsidP="00194BD5">
      <w:pPr>
        <w:jc w:val="both"/>
        <w:rPr>
          <w:lang w:val="en-GB"/>
        </w:rPr>
      </w:pPr>
      <w:r w:rsidRPr="0014209E">
        <w:rPr>
          <w:b/>
          <w:bCs/>
          <w:lang w:val="en-GB"/>
        </w:rPr>
        <w:t>Policy making and standard setting</w:t>
      </w:r>
    </w:p>
    <w:p w14:paraId="11E5D1B9" w14:textId="2BDAB7FA" w:rsidR="0086634D" w:rsidRPr="0014209E" w:rsidRDefault="007831AE" w:rsidP="00194BD5">
      <w:pPr>
        <w:jc w:val="both"/>
        <w:rPr>
          <w:lang w:val="en-GB"/>
        </w:rPr>
      </w:pPr>
      <w:r w:rsidRPr="0014209E">
        <w:rPr>
          <w:lang w:val="en-GB"/>
        </w:rPr>
        <w:t>The EPA, drawing in particular on the expertise</w:t>
      </w:r>
      <w:r w:rsidR="006C0E45" w:rsidRPr="0014209E">
        <w:rPr>
          <w:lang w:val="en-GB"/>
        </w:rPr>
        <w:t xml:space="preserve"> of its member </w:t>
      </w:r>
      <w:r w:rsidR="004C134D">
        <w:rPr>
          <w:lang w:val="en-GB"/>
        </w:rPr>
        <w:t>S</w:t>
      </w:r>
      <w:r w:rsidR="006C0E45" w:rsidRPr="0014209E">
        <w:rPr>
          <w:lang w:val="en-GB"/>
        </w:rPr>
        <w:t xml:space="preserve">tates and specialised scientific centres, the UNDRR, as well as that accumulated during the 34 years of operation of the </w:t>
      </w:r>
      <w:r w:rsidRPr="0014209E">
        <w:rPr>
          <w:lang w:val="en-GB"/>
        </w:rPr>
        <w:t>E</w:t>
      </w:r>
      <w:r w:rsidR="006C0E45" w:rsidRPr="0014209E">
        <w:rPr>
          <w:lang w:val="en-GB"/>
        </w:rPr>
        <w:t>UR-OPA Major Hazards Agreement</w:t>
      </w:r>
      <w:r w:rsidRPr="0014209E">
        <w:rPr>
          <w:lang w:val="en-GB"/>
        </w:rPr>
        <w:t xml:space="preserve">, shall provide advice and expert assistance for the </w:t>
      </w:r>
      <w:r w:rsidR="006C0E45" w:rsidRPr="0014209E">
        <w:rPr>
          <w:lang w:val="en-GB"/>
        </w:rPr>
        <w:t>prevention, preparedness</w:t>
      </w:r>
      <w:r w:rsidR="0093243E">
        <w:rPr>
          <w:lang w:val="en-GB"/>
        </w:rPr>
        <w:t xml:space="preserve"> and </w:t>
      </w:r>
      <w:r w:rsidR="006C0E45" w:rsidRPr="0014209E">
        <w:rPr>
          <w:lang w:val="en-GB"/>
        </w:rPr>
        <w:t xml:space="preserve"> response in the face of major natural</w:t>
      </w:r>
      <w:r w:rsidR="00850AC6">
        <w:rPr>
          <w:lang w:val="en-GB"/>
        </w:rPr>
        <w:t>,</w:t>
      </w:r>
      <w:r w:rsidR="006C0E45" w:rsidRPr="0014209E">
        <w:rPr>
          <w:lang w:val="en-GB"/>
        </w:rPr>
        <w:t xml:space="preserve"> technological </w:t>
      </w:r>
      <w:r w:rsidR="00850AC6">
        <w:rPr>
          <w:lang w:val="en-GB"/>
        </w:rPr>
        <w:t xml:space="preserve">and biological </w:t>
      </w:r>
      <w:r w:rsidR="006C0E45" w:rsidRPr="0014209E">
        <w:rPr>
          <w:lang w:val="en-GB"/>
        </w:rPr>
        <w:t>disasters.</w:t>
      </w:r>
      <w:r w:rsidRPr="0014209E">
        <w:rPr>
          <w:lang w:val="en-GB"/>
        </w:rPr>
        <w:t xml:space="preserve"> </w:t>
      </w:r>
    </w:p>
    <w:p w14:paraId="1EF49649" w14:textId="436F7EE6" w:rsidR="007831AE" w:rsidRPr="0014209E" w:rsidRDefault="007831AE" w:rsidP="00194BD5">
      <w:pPr>
        <w:jc w:val="both"/>
        <w:rPr>
          <w:lang w:val="en-GB"/>
        </w:rPr>
      </w:pPr>
      <w:r w:rsidRPr="0014209E">
        <w:rPr>
          <w:lang w:val="en-GB"/>
        </w:rPr>
        <w:t>This involves:</w:t>
      </w:r>
    </w:p>
    <w:p w14:paraId="2CE50738" w14:textId="6930AC65" w:rsidR="0086634D" w:rsidRPr="0014209E" w:rsidRDefault="0086634D" w:rsidP="0093243E">
      <w:pPr>
        <w:numPr>
          <w:ilvl w:val="0"/>
          <w:numId w:val="6"/>
        </w:numPr>
        <w:spacing w:line="256" w:lineRule="auto"/>
        <w:ind w:left="709" w:hanging="283"/>
        <w:jc w:val="both"/>
        <w:rPr>
          <w:rFonts w:eastAsia="Arial Unicode MS" w:cstheme="minorHAnsi"/>
          <w:spacing w:val="-5"/>
          <w:lang w:val="en-GB" w:eastAsia="zh-CN"/>
        </w:rPr>
      </w:pPr>
      <w:r w:rsidRPr="0014209E">
        <w:rPr>
          <w:rFonts w:eastAsia="Arial Unicode MS" w:cstheme="minorHAnsi"/>
          <w:spacing w:val="-5"/>
          <w:lang w:val="en-GB" w:eastAsia="zh-CN"/>
        </w:rPr>
        <w:t xml:space="preserve">knowledge-based instruments to assess and reduce vulnerability through science, technology, </w:t>
      </w:r>
      <w:r w:rsidR="00377AB9" w:rsidRPr="0014209E">
        <w:rPr>
          <w:rFonts w:eastAsia="Arial Unicode MS" w:cstheme="minorHAnsi"/>
          <w:spacing w:val="-5"/>
          <w:lang w:val="en-GB" w:eastAsia="zh-CN"/>
        </w:rPr>
        <w:t>education,</w:t>
      </w:r>
      <w:r w:rsidRPr="0014209E">
        <w:rPr>
          <w:rFonts w:eastAsia="Arial Unicode MS" w:cstheme="minorHAnsi"/>
          <w:spacing w:val="-5"/>
          <w:lang w:val="en-GB" w:eastAsia="zh-CN"/>
        </w:rPr>
        <w:t xml:space="preserve"> and training;</w:t>
      </w:r>
    </w:p>
    <w:p w14:paraId="6952B6AC" w14:textId="77777777" w:rsidR="0086634D" w:rsidRPr="0014209E" w:rsidRDefault="0086634D" w:rsidP="0093243E">
      <w:pPr>
        <w:numPr>
          <w:ilvl w:val="0"/>
          <w:numId w:val="6"/>
        </w:numPr>
        <w:spacing w:line="256" w:lineRule="auto"/>
        <w:ind w:left="709" w:hanging="283"/>
        <w:jc w:val="both"/>
        <w:rPr>
          <w:rFonts w:eastAsia="Arial Unicode MS" w:cstheme="minorHAnsi"/>
          <w:spacing w:val="-5"/>
          <w:lang w:val="en-GB" w:eastAsia="zh-CN"/>
        </w:rPr>
      </w:pPr>
      <w:r w:rsidRPr="0014209E">
        <w:rPr>
          <w:rFonts w:eastAsia="Arial Unicode MS" w:cstheme="minorHAnsi"/>
          <w:spacing w:val="-5"/>
          <w:lang w:val="en-GB" w:eastAsia="zh-CN"/>
        </w:rPr>
        <w:t>disaster risk reduction guidance to inspire and promote appropriate policies aimed at improving prevention and response governance;</w:t>
      </w:r>
    </w:p>
    <w:p w14:paraId="2536E1B1" w14:textId="3A5C55A0" w:rsidR="0086634D" w:rsidRPr="0014209E" w:rsidRDefault="0086634D" w:rsidP="0093243E">
      <w:pPr>
        <w:numPr>
          <w:ilvl w:val="0"/>
          <w:numId w:val="6"/>
        </w:numPr>
        <w:spacing w:line="256" w:lineRule="auto"/>
        <w:ind w:left="709" w:hanging="283"/>
        <w:jc w:val="both"/>
        <w:rPr>
          <w:rFonts w:eastAsia="Arial Unicode MS" w:cstheme="minorHAnsi"/>
          <w:spacing w:val="-5"/>
          <w:lang w:val="en-GB" w:eastAsia="zh-CN"/>
        </w:rPr>
      </w:pPr>
      <w:r w:rsidRPr="0014209E">
        <w:rPr>
          <w:rFonts w:eastAsia="Arial Unicode MS" w:cstheme="minorHAnsi"/>
          <w:spacing w:val="-5"/>
          <w:lang w:val="en-GB" w:eastAsia="zh-CN"/>
        </w:rPr>
        <w:t>a co-ordinated regional approach in addressing often</w:t>
      </w:r>
      <w:r w:rsidR="004A0CA4">
        <w:rPr>
          <w:rFonts w:eastAsia="Arial Unicode MS" w:cstheme="minorHAnsi"/>
          <w:spacing w:val="-5"/>
          <w:lang w:val="en-GB" w:eastAsia="zh-CN"/>
        </w:rPr>
        <w:t xml:space="preserve"> </w:t>
      </w:r>
      <w:r w:rsidRPr="0014209E">
        <w:rPr>
          <w:rFonts w:eastAsia="Arial Unicode MS" w:cstheme="minorHAnsi"/>
          <w:spacing w:val="-5"/>
          <w:lang w:val="en-GB" w:eastAsia="zh-CN"/>
        </w:rPr>
        <w:t>neglected important issues and defining adequate mechanisms to cope with them.</w:t>
      </w:r>
    </w:p>
    <w:p w14:paraId="7C969DEA" w14:textId="66D4441F" w:rsidR="007831AE" w:rsidRPr="0014209E" w:rsidRDefault="007831AE" w:rsidP="0093243E">
      <w:pPr>
        <w:jc w:val="both"/>
        <w:rPr>
          <w:lang w:val="en-GB"/>
        </w:rPr>
      </w:pPr>
      <w:r w:rsidRPr="0014209E">
        <w:rPr>
          <w:lang w:val="en-GB"/>
        </w:rPr>
        <w:t xml:space="preserve">The EPA shall support networking and exchange </w:t>
      </w:r>
      <w:r w:rsidR="0086634D" w:rsidRPr="0014209E">
        <w:rPr>
          <w:lang w:val="en-GB"/>
        </w:rPr>
        <w:t>among member States</w:t>
      </w:r>
      <w:r w:rsidR="00137A77" w:rsidRPr="0014209E">
        <w:rPr>
          <w:lang w:val="en-GB"/>
        </w:rPr>
        <w:t>,</w:t>
      </w:r>
      <w:r w:rsidRPr="0014209E">
        <w:rPr>
          <w:lang w:val="en-GB"/>
        </w:rPr>
        <w:t xml:space="preserve"> in particular </w:t>
      </w:r>
      <w:r w:rsidR="0086634D" w:rsidRPr="0014209E">
        <w:rPr>
          <w:lang w:val="en-GB"/>
        </w:rPr>
        <w:t>with a view to fostering:</w:t>
      </w:r>
    </w:p>
    <w:p w14:paraId="5427EF8E" w14:textId="57A558CA" w:rsidR="0086634D" w:rsidRPr="0014209E" w:rsidRDefault="0086634D" w:rsidP="00E0466F">
      <w:pPr>
        <w:numPr>
          <w:ilvl w:val="0"/>
          <w:numId w:val="7"/>
        </w:numPr>
        <w:ind w:left="709" w:hanging="283"/>
        <w:jc w:val="both"/>
        <w:rPr>
          <w:lang w:val="en-GB"/>
        </w:rPr>
      </w:pPr>
      <w:r w:rsidRPr="0014209E">
        <w:rPr>
          <w:lang w:val="en-GB"/>
        </w:rPr>
        <w:t xml:space="preserve">scientific and technical projects developed by the Network of Specialised Scientific Centres of the </w:t>
      </w:r>
      <w:r w:rsidR="00002BAD">
        <w:rPr>
          <w:lang w:val="en-GB"/>
        </w:rPr>
        <w:t xml:space="preserve">EPA </w:t>
      </w:r>
      <w:r w:rsidR="00002BAD" w:rsidRPr="0014209E">
        <w:rPr>
          <w:lang w:val="en-GB"/>
        </w:rPr>
        <w:t xml:space="preserve"> </w:t>
      </w:r>
      <w:r w:rsidRPr="0014209E">
        <w:rPr>
          <w:lang w:val="en-GB"/>
        </w:rPr>
        <w:t>integrating all specialised centres to better assess evolving risks and adapt the resilience strategies accordingly;</w:t>
      </w:r>
    </w:p>
    <w:p w14:paraId="1B1DF8C6" w14:textId="085AAB1E" w:rsidR="0086634D" w:rsidRPr="0014209E" w:rsidRDefault="0086634D" w:rsidP="00E0466F">
      <w:pPr>
        <w:numPr>
          <w:ilvl w:val="0"/>
          <w:numId w:val="7"/>
        </w:numPr>
        <w:ind w:left="709" w:hanging="283"/>
        <w:jc w:val="both"/>
        <w:rPr>
          <w:lang w:val="en-GB"/>
        </w:rPr>
      </w:pPr>
      <w:r w:rsidRPr="0014209E">
        <w:rPr>
          <w:lang w:val="en-GB"/>
        </w:rPr>
        <w:t>reports prepared by consultants to meet the specific requests;</w:t>
      </w:r>
    </w:p>
    <w:p w14:paraId="67DD83C4" w14:textId="77777777" w:rsidR="0086634D" w:rsidRPr="0014209E" w:rsidRDefault="0086634D" w:rsidP="00E0466F">
      <w:pPr>
        <w:numPr>
          <w:ilvl w:val="0"/>
          <w:numId w:val="7"/>
        </w:numPr>
        <w:ind w:left="709" w:hanging="283"/>
        <w:jc w:val="both"/>
        <w:rPr>
          <w:lang w:val="en-GB"/>
        </w:rPr>
      </w:pPr>
      <w:r w:rsidRPr="0014209E">
        <w:rPr>
          <w:lang w:val="en-GB"/>
        </w:rPr>
        <w:t>contributions from governments of member States to projects or research of particular relevance to other States;</w:t>
      </w:r>
    </w:p>
    <w:p w14:paraId="56E99439" w14:textId="3A8C6018" w:rsidR="00137A77" w:rsidRPr="0014209E" w:rsidRDefault="0086634D" w:rsidP="00E0466F">
      <w:pPr>
        <w:numPr>
          <w:ilvl w:val="0"/>
          <w:numId w:val="7"/>
        </w:numPr>
        <w:ind w:left="709" w:hanging="283"/>
        <w:jc w:val="both"/>
        <w:rPr>
          <w:lang w:val="en-GB"/>
        </w:rPr>
      </w:pPr>
      <w:r w:rsidRPr="0014209E">
        <w:rPr>
          <w:lang w:val="en-GB"/>
        </w:rPr>
        <w:lastRenderedPageBreak/>
        <w:t xml:space="preserve">information compiled by working groups created under the </w:t>
      </w:r>
      <w:r w:rsidR="00002BAD">
        <w:rPr>
          <w:lang w:val="en-GB"/>
        </w:rPr>
        <w:t>EPA</w:t>
      </w:r>
      <w:r w:rsidR="00002BAD" w:rsidRPr="0014209E">
        <w:rPr>
          <w:lang w:val="en-GB"/>
        </w:rPr>
        <w:t xml:space="preserve"> </w:t>
      </w:r>
      <w:r w:rsidRPr="0014209E">
        <w:rPr>
          <w:lang w:val="en-GB"/>
        </w:rPr>
        <w:t>to examine technical matters of common interest</w:t>
      </w:r>
      <w:r w:rsidR="00DD428F" w:rsidRPr="0014209E">
        <w:rPr>
          <w:lang w:val="en-GB"/>
        </w:rPr>
        <w:t>.</w:t>
      </w:r>
    </w:p>
    <w:p w14:paraId="74FB4052" w14:textId="77777777" w:rsidR="007831AE" w:rsidRPr="0014209E" w:rsidRDefault="007831AE" w:rsidP="00194BD5">
      <w:pPr>
        <w:jc w:val="both"/>
        <w:rPr>
          <w:lang w:val="en-GB"/>
        </w:rPr>
      </w:pPr>
      <w:r w:rsidRPr="0014209E">
        <w:rPr>
          <w:b/>
          <w:bCs/>
          <w:lang w:val="en-GB"/>
        </w:rPr>
        <w:t>1.3       Programme of activities</w:t>
      </w:r>
    </w:p>
    <w:p w14:paraId="65DF7E9A" w14:textId="293DF235" w:rsidR="007831AE" w:rsidRPr="0014209E" w:rsidRDefault="00A14988" w:rsidP="00194BD5">
      <w:pPr>
        <w:jc w:val="both"/>
        <w:rPr>
          <w:lang w:val="en-GB"/>
        </w:rPr>
      </w:pPr>
      <w:r>
        <w:rPr>
          <w:lang w:val="en-GB"/>
        </w:rPr>
        <w:t xml:space="preserve">The </w:t>
      </w:r>
      <w:r w:rsidR="00002BAD">
        <w:rPr>
          <w:lang w:val="en-GB"/>
        </w:rPr>
        <w:t>EPA</w:t>
      </w:r>
      <w:r w:rsidR="00002BAD" w:rsidRPr="0014209E">
        <w:rPr>
          <w:lang w:val="en-GB"/>
        </w:rPr>
        <w:t xml:space="preserve"> </w:t>
      </w:r>
      <w:r w:rsidR="007831AE" w:rsidRPr="0014209E">
        <w:rPr>
          <w:lang w:val="en-GB"/>
        </w:rPr>
        <w:t xml:space="preserve">shall implement a programme of activities as </w:t>
      </w:r>
      <w:r w:rsidR="0093243E">
        <w:rPr>
          <w:lang w:val="en-GB"/>
        </w:rPr>
        <w:t xml:space="preserve">agreed upon </w:t>
      </w:r>
      <w:r w:rsidR="007831AE" w:rsidRPr="0014209E">
        <w:rPr>
          <w:lang w:val="en-GB"/>
        </w:rPr>
        <w:t xml:space="preserve">by the </w:t>
      </w:r>
      <w:r w:rsidR="005F105F" w:rsidRPr="0014209E">
        <w:rPr>
          <w:lang w:val="en-GB"/>
        </w:rPr>
        <w:t>Committee of Permanent Correspondents</w:t>
      </w:r>
      <w:r w:rsidR="007831AE" w:rsidRPr="0014209E">
        <w:rPr>
          <w:lang w:val="en-GB"/>
        </w:rPr>
        <w:t>.</w:t>
      </w:r>
    </w:p>
    <w:p w14:paraId="5A2FFDAF" w14:textId="77777777" w:rsidR="00DD428F" w:rsidRPr="0014209E" w:rsidRDefault="00DD428F" w:rsidP="00194BD5">
      <w:pPr>
        <w:jc w:val="both"/>
        <w:rPr>
          <w:lang w:val="en-GB"/>
        </w:rPr>
      </w:pPr>
    </w:p>
    <w:p w14:paraId="4BEE6BCB" w14:textId="77777777" w:rsidR="007831AE" w:rsidRPr="0014209E" w:rsidRDefault="007831AE" w:rsidP="00194BD5">
      <w:pPr>
        <w:jc w:val="both"/>
        <w:rPr>
          <w:lang w:val="en-GB"/>
        </w:rPr>
      </w:pPr>
      <w:r w:rsidRPr="0014209E">
        <w:rPr>
          <w:b/>
          <w:bCs/>
          <w:lang w:val="en-GB"/>
        </w:rPr>
        <w:t>Article 2 – Accession and participation</w:t>
      </w:r>
    </w:p>
    <w:p w14:paraId="14AA28A2" w14:textId="5C07BC98" w:rsidR="007831AE" w:rsidRPr="0014209E" w:rsidRDefault="007831AE" w:rsidP="00194BD5">
      <w:pPr>
        <w:jc w:val="both"/>
        <w:rPr>
          <w:i/>
          <w:iCs/>
          <w:lang w:val="en-GB"/>
        </w:rPr>
      </w:pPr>
      <w:r w:rsidRPr="0014209E">
        <w:rPr>
          <w:lang w:val="en-GB"/>
        </w:rPr>
        <w:t xml:space="preserve">2.1       Any member State of the Council of Europe </w:t>
      </w:r>
      <w:bookmarkStart w:id="0" w:name="_Hlk64026761"/>
      <w:r w:rsidRPr="0014209E">
        <w:rPr>
          <w:lang w:val="en-GB"/>
        </w:rPr>
        <w:t xml:space="preserve">or </w:t>
      </w:r>
      <w:r w:rsidR="00137A77" w:rsidRPr="0014209E">
        <w:rPr>
          <w:lang w:val="en-GB"/>
        </w:rPr>
        <w:t>of the</w:t>
      </w:r>
      <w:r w:rsidRPr="0014209E">
        <w:rPr>
          <w:lang w:val="en-GB"/>
        </w:rPr>
        <w:t xml:space="preserve"> </w:t>
      </w:r>
      <w:r w:rsidR="00F96478" w:rsidRPr="0014209E">
        <w:rPr>
          <w:lang w:val="en-GB"/>
        </w:rPr>
        <w:t>Global Platform for Disaster Risk Reduction</w:t>
      </w:r>
      <w:r w:rsidRPr="0014209E">
        <w:rPr>
          <w:lang w:val="en-GB"/>
        </w:rPr>
        <w:t xml:space="preserve">, as </w:t>
      </w:r>
      <w:bookmarkEnd w:id="0"/>
      <w:r w:rsidRPr="0014209E">
        <w:rPr>
          <w:lang w:val="en-GB"/>
        </w:rPr>
        <w:t xml:space="preserve">well as the European Union, may </w:t>
      </w:r>
      <w:r w:rsidR="00427578">
        <w:rPr>
          <w:lang w:val="en-GB"/>
        </w:rPr>
        <w:t xml:space="preserve">become Member of </w:t>
      </w:r>
      <w:r w:rsidRPr="0014209E">
        <w:rPr>
          <w:lang w:val="en-GB"/>
        </w:rPr>
        <w:t>the EPA by notification addressed to the Secretary General of the Council of Europe.</w:t>
      </w:r>
    </w:p>
    <w:p w14:paraId="5EE5992E" w14:textId="30752944" w:rsidR="007831AE" w:rsidRPr="0014209E" w:rsidRDefault="007831AE" w:rsidP="00194BD5">
      <w:pPr>
        <w:jc w:val="both"/>
        <w:rPr>
          <w:lang w:val="en-GB"/>
        </w:rPr>
      </w:pPr>
      <w:r w:rsidRPr="0014209E">
        <w:rPr>
          <w:lang w:val="en-GB"/>
        </w:rPr>
        <w:t>2.2       The Committee of Ministers, in its composition restricted to the representatives of the member States of the EPA, may, by the majority stipulated in Article 20.</w:t>
      </w:r>
      <w:r w:rsidRPr="0014209E">
        <w:rPr>
          <w:i/>
          <w:iCs/>
          <w:lang w:val="en-GB"/>
        </w:rPr>
        <w:t>d</w:t>
      </w:r>
      <w:r w:rsidRPr="0014209E">
        <w:rPr>
          <w:lang w:val="en-GB"/>
        </w:rPr>
        <w:t xml:space="preserve"> of the Statute of the Council of Europe, </w:t>
      </w:r>
      <w:r w:rsidR="001B270C" w:rsidRPr="0014209E">
        <w:rPr>
          <w:lang w:val="en-GB"/>
        </w:rPr>
        <w:t xml:space="preserve">after consulting the Committee of Permanent Correspondents of the </w:t>
      </w:r>
      <w:r w:rsidR="00002BAD">
        <w:rPr>
          <w:lang w:val="en-GB"/>
        </w:rPr>
        <w:t>EPA</w:t>
      </w:r>
      <w:r w:rsidR="001B270C" w:rsidRPr="0014209E">
        <w:rPr>
          <w:lang w:val="en-GB"/>
        </w:rPr>
        <w:t xml:space="preserve">, </w:t>
      </w:r>
      <w:r w:rsidRPr="0014209E">
        <w:rPr>
          <w:lang w:val="en-GB"/>
        </w:rPr>
        <w:t xml:space="preserve">invite any non-member State of the Council of Europe to join the EPA, following consultation of </w:t>
      </w:r>
      <w:r w:rsidR="00A14988">
        <w:rPr>
          <w:lang w:val="en-GB"/>
        </w:rPr>
        <w:t xml:space="preserve">the </w:t>
      </w:r>
      <w:r w:rsidRPr="0014209E">
        <w:rPr>
          <w:lang w:val="en-GB"/>
        </w:rPr>
        <w:t>EPA members which are not members of the Council of Europe. A non-member State which receives such an invitation shall notify the Secretary General of its intention to become a member of the EPA.</w:t>
      </w:r>
    </w:p>
    <w:p w14:paraId="122055DB" w14:textId="75F3790D" w:rsidR="0093243E" w:rsidRPr="0093243E" w:rsidRDefault="007831AE" w:rsidP="0093243E">
      <w:pPr>
        <w:jc w:val="both"/>
        <w:rPr>
          <w:lang w:val="en-GB"/>
        </w:rPr>
      </w:pPr>
      <w:r w:rsidRPr="0014209E">
        <w:rPr>
          <w:lang w:val="en-GB"/>
        </w:rPr>
        <w:t xml:space="preserve">2.3       Member States of the Council of Europe </w:t>
      </w:r>
      <w:r w:rsidR="00137A77" w:rsidRPr="0014209E">
        <w:rPr>
          <w:lang w:val="en-GB"/>
        </w:rPr>
        <w:t xml:space="preserve">or of the Global Platform for Disaster Risk Reduction </w:t>
      </w:r>
      <w:r w:rsidR="004C134D">
        <w:rPr>
          <w:lang w:val="en-GB"/>
        </w:rPr>
        <w:t xml:space="preserve">that have </w:t>
      </w:r>
      <w:r w:rsidRPr="0014209E">
        <w:rPr>
          <w:lang w:val="en-GB"/>
        </w:rPr>
        <w:t>not join</w:t>
      </w:r>
      <w:r w:rsidR="004C134D">
        <w:rPr>
          <w:lang w:val="en-GB"/>
        </w:rPr>
        <w:t>ed</w:t>
      </w:r>
      <w:r w:rsidRPr="0014209E">
        <w:rPr>
          <w:lang w:val="en-GB"/>
        </w:rPr>
        <w:t xml:space="preserve"> the EPA may request the status of observer with </w:t>
      </w:r>
      <w:r w:rsidR="00A14988">
        <w:rPr>
          <w:lang w:val="en-GB"/>
        </w:rPr>
        <w:t xml:space="preserve">the </w:t>
      </w:r>
      <w:r w:rsidRPr="0014209E">
        <w:rPr>
          <w:lang w:val="en-GB"/>
        </w:rPr>
        <w:t xml:space="preserve">EPA for a period of maximum </w:t>
      </w:r>
      <w:r w:rsidR="00137A77" w:rsidRPr="0014209E">
        <w:rPr>
          <w:lang w:val="en-GB"/>
        </w:rPr>
        <w:t>two</w:t>
      </w:r>
      <w:r w:rsidRPr="0014209E">
        <w:rPr>
          <w:lang w:val="en-GB"/>
        </w:rPr>
        <w:t xml:space="preserve"> year</w:t>
      </w:r>
      <w:r w:rsidR="00137A77" w:rsidRPr="0014209E">
        <w:rPr>
          <w:lang w:val="en-GB"/>
        </w:rPr>
        <w:t>s</w:t>
      </w:r>
      <w:r w:rsidRPr="0014209E">
        <w:rPr>
          <w:lang w:val="en-GB"/>
        </w:rPr>
        <w:t xml:space="preserve">, without any financial contribution. </w:t>
      </w:r>
      <w:r w:rsidR="0093243E" w:rsidRPr="0093243E">
        <w:rPr>
          <w:lang w:val="en-GB"/>
        </w:rPr>
        <w:t xml:space="preserve">The Committee of Ministers, in its composition restricted to the representatives of the member States of the EPA, after consulting the </w:t>
      </w:r>
      <w:r w:rsidR="00490698" w:rsidRPr="00490698">
        <w:rPr>
          <w:lang w:val="en-GB"/>
        </w:rPr>
        <w:t xml:space="preserve">EPA members which are not members of the Council of Europe </w:t>
      </w:r>
      <w:r w:rsidR="00490698">
        <w:rPr>
          <w:lang w:val="en-GB"/>
        </w:rPr>
        <w:t xml:space="preserve">and the </w:t>
      </w:r>
      <w:r w:rsidR="0093243E" w:rsidRPr="0093243E">
        <w:rPr>
          <w:lang w:val="en-GB"/>
        </w:rPr>
        <w:t xml:space="preserve">Committee of Permanent Correspondents of the </w:t>
      </w:r>
      <w:r w:rsidR="00002BAD">
        <w:rPr>
          <w:lang w:val="en-GB"/>
        </w:rPr>
        <w:t xml:space="preserve">EPA </w:t>
      </w:r>
      <w:r w:rsidR="0093243E">
        <w:rPr>
          <w:lang w:val="en-GB"/>
        </w:rPr>
        <w:t xml:space="preserve">will make a decision on such request. </w:t>
      </w:r>
    </w:p>
    <w:p w14:paraId="47A1F516" w14:textId="5DEF0B9A" w:rsidR="007831AE" w:rsidRPr="0014209E" w:rsidRDefault="007831AE" w:rsidP="00194BD5">
      <w:pPr>
        <w:jc w:val="both"/>
        <w:rPr>
          <w:lang w:val="en-GB"/>
        </w:rPr>
      </w:pPr>
      <w:r w:rsidRPr="0014209E">
        <w:rPr>
          <w:lang w:val="en-GB"/>
        </w:rPr>
        <w:t>2.</w:t>
      </w:r>
      <w:r w:rsidR="00F31EC6">
        <w:rPr>
          <w:lang w:val="en-GB"/>
        </w:rPr>
        <w:t>4</w:t>
      </w:r>
      <w:r w:rsidRPr="0014209E">
        <w:rPr>
          <w:lang w:val="en-GB"/>
        </w:rPr>
        <w:t>       In accordance with Statutory Resolution </w:t>
      </w:r>
      <w:hyperlink r:id="rId8" w:history="1">
        <w:r w:rsidR="00255B99" w:rsidRPr="00255B99">
          <w:rPr>
            <w:rStyle w:val="Hyperlink"/>
            <w:lang w:val="en-GB"/>
          </w:rPr>
          <w:t>Res (93) 28</w:t>
        </w:r>
      </w:hyperlink>
      <w:r w:rsidR="00412468">
        <w:rPr>
          <w:lang w:val="en-GB"/>
        </w:rPr>
        <w:t xml:space="preserve"> </w:t>
      </w:r>
      <w:r w:rsidRPr="0014209E">
        <w:rPr>
          <w:lang w:val="en-GB"/>
        </w:rPr>
        <w:t>on partial and enlarged agreements and at their request, the United Nations</w:t>
      </w:r>
      <w:r w:rsidR="00853257" w:rsidRPr="0014209E">
        <w:rPr>
          <w:lang w:val="en-GB"/>
        </w:rPr>
        <w:t xml:space="preserve"> Office for Disaster Risk Reduction (UNDRR)</w:t>
      </w:r>
      <w:r w:rsidRPr="0014209E">
        <w:rPr>
          <w:lang w:val="en-GB"/>
        </w:rPr>
        <w:t xml:space="preserve">, </w:t>
      </w:r>
      <w:r w:rsidR="00137A77" w:rsidRPr="0014209E">
        <w:rPr>
          <w:lang w:val="en-GB"/>
        </w:rPr>
        <w:t xml:space="preserve">and </w:t>
      </w:r>
      <w:r w:rsidRPr="0014209E">
        <w:rPr>
          <w:lang w:val="en-GB"/>
        </w:rPr>
        <w:t>the</w:t>
      </w:r>
      <w:r w:rsidR="00137A77" w:rsidRPr="0014209E">
        <w:rPr>
          <w:lang w:val="en-GB"/>
        </w:rPr>
        <w:t xml:space="preserve"> </w:t>
      </w:r>
      <w:r w:rsidR="008D7432" w:rsidRPr="0014209E">
        <w:rPr>
          <w:lang w:val="en-GB"/>
        </w:rPr>
        <w:t xml:space="preserve">Disaster Preparedness and Prevention Initiative for South-Eastern Europe (DPPI SEE) </w:t>
      </w:r>
      <w:r w:rsidRPr="0014209E">
        <w:rPr>
          <w:lang w:val="en-GB"/>
        </w:rPr>
        <w:t>will be invited to participate in meetings of the EPA as observers without the right to vote.</w:t>
      </w:r>
    </w:p>
    <w:p w14:paraId="2B4418D2" w14:textId="24298DA4" w:rsidR="007831AE" w:rsidRPr="0014209E" w:rsidRDefault="007831AE" w:rsidP="00194BD5">
      <w:pPr>
        <w:jc w:val="both"/>
        <w:rPr>
          <w:lang w:val="en-GB"/>
        </w:rPr>
      </w:pPr>
      <w:r w:rsidRPr="0014209E">
        <w:rPr>
          <w:lang w:val="en-GB"/>
        </w:rPr>
        <w:t>2.</w:t>
      </w:r>
      <w:r w:rsidR="00F31EC6">
        <w:rPr>
          <w:lang w:val="en-GB"/>
        </w:rPr>
        <w:t>5</w:t>
      </w:r>
      <w:r w:rsidRPr="0014209E">
        <w:rPr>
          <w:lang w:val="en-GB"/>
        </w:rPr>
        <w:t xml:space="preserve">       The Committee of Ministers, in its composition restricted to the representatives of the</w:t>
      </w:r>
      <w:r w:rsidR="004C134D">
        <w:rPr>
          <w:lang w:val="en-GB"/>
        </w:rPr>
        <w:t xml:space="preserve"> member</w:t>
      </w:r>
      <w:r w:rsidRPr="0014209E">
        <w:rPr>
          <w:lang w:val="en-GB"/>
        </w:rPr>
        <w:t xml:space="preserve"> States of the E</w:t>
      </w:r>
      <w:r w:rsidR="004C134D">
        <w:rPr>
          <w:lang w:val="en-GB"/>
        </w:rPr>
        <w:t>PA</w:t>
      </w:r>
      <w:r w:rsidRPr="0014209E">
        <w:rPr>
          <w:lang w:val="en-GB"/>
        </w:rPr>
        <w:t>, may, by the majority stipulated in Article 20.</w:t>
      </w:r>
      <w:r w:rsidRPr="0014209E">
        <w:rPr>
          <w:i/>
          <w:iCs/>
          <w:lang w:val="en-GB"/>
        </w:rPr>
        <w:t>d</w:t>
      </w:r>
      <w:r w:rsidRPr="0014209E">
        <w:rPr>
          <w:lang w:val="en-GB"/>
        </w:rPr>
        <w:t xml:space="preserve"> of the Statute of the Council of Europe, following consultation of </w:t>
      </w:r>
      <w:r w:rsidR="00A14988">
        <w:rPr>
          <w:lang w:val="en-GB"/>
        </w:rPr>
        <w:t xml:space="preserve">the </w:t>
      </w:r>
      <w:r w:rsidRPr="0014209E">
        <w:rPr>
          <w:lang w:val="en-GB"/>
        </w:rPr>
        <w:t>EPA members which are not members of the Council of Europe, authorise the EPA to invite other international intergovernmental organisations</w:t>
      </w:r>
      <w:r w:rsidR="008D7432" w:rsidRPr="0014209E">
        <w:rPr>
          <w:lang w:val="en-GB"/>
        </w:rPr>
        <w:t>,</w:t>
      </w:r>
      <w:r w:rsidRPr="0014209E">
        <w:rPr>
          <w:lang w:val="en-GB"/>
        </w:rPr>
        <w:t xml:space="preserve"> NGOs or other bodies who contribute to EPA’s objectives, to participate in its work, without the right to vote.</w:t>
      </w:r>
    </w:p>
    <w:p w14:paraId="6E79033B" w14:textId="692B88E5" w:rsidR="007831AE" w:rsidRPr="0014209E" w:rsidRDefault="007831AE" w:rsidP="00194BD5">
      <w:pPr>
        <w:jc w:val="both"/>
        <w:rPr>
          <w:lang w:val="en-GB"/>
        </w:rPr>
      </w:pPr>
      <w:r w:rsidRPr="0014209E">
        <w:rPr>
          <w:lang w:val="en-GB"/>
        </w:rPr>
        <w:t>2.</w:t>
      </w:r>
      <w:r w:rsidR="00F31EC6">
        <w:rPr>
          <w:lang w:val="en-GB"/>
        </w:rPr>
        <w:t>6</w:t>
      </w:r>
      <w:r w:rsidRPr="0014209E">
        <w:rPr>
          <w:lang w:val="en-GB"/>
        </w:rPr>
        <w:t>       The Parliamentary Assembly, the Congress of Local and Regional Authorities of the Council of Europe</w:t>
      </w:r>
      <w:r w:rsidR="00417BD5" w:rsidRPr="0014209E">
        <w:rPr>
          <w:lang w:val="en-GB"/>
        </w:rPr>
        <w:t xml:space="preserve"> and the European Conference of Ministers responsible for Spatial Planning (CEMAT), </w:t>
      </w:r>
      <w:r w:rsidRPr="0014209E">
        <w:rPr>
          <w:lang w:val="en-GB"/>
        </w:rPr>
        <w:t>may participate in the work of the EPA</w:t>
      </w:r>
      <w:r w:rsidR="00417BD5" w:rsidRPr="0014209E">
        <w:rPr>
          <w:lang w:val="en-GB"/>
        </w:rPr>
        <w:t>.</w:t>
      </w:r>
    </w:p>
    <w:p w14:paraId="44C289C0" w14:textId="77777777" w:rsidR="00DD428F" w:rsidRPr="0014209E" w:rsidRDefault="00DD428F" w:rsidP="00194BD5">
      <w:pPr>
        <w:jc w:val="both"/>
        <w:rPr>
          <w:lang w:val="en-GB"/>
        </w:rPr>
      </w:pPr>
    </w:p>
    <w:p w14:paraId="398F3151" w14:textId="450D690C" w:rsidR="00E30F75" w:rsidRPr="0014209E" w:rsidRDefault="00E30F75" w:rsidP="00194BD5">
      <w:pPr>
        <w:jc w:val="both"/>
        <w:rPr>
          <w:b/>
          <w:bCs/>
          <w:lang w:val="en-GB"/>
        </w:rPr>
      </w:pPr>
      <w:r w:rsidRPr="0014209E">
        <w:rPr>
          <w:b/>
          <w:bCs/>
          <w:lang w:val="en-GB"/>
        </w:rPr>
        <w:t xml:space="preserve">Article 3 – Ministerial Meetings </w:t>
      </w:r>
    </w:p>
    <w:p w14:paraId="4A478AC3" w14:textId="462F9B7F" w:rsidR="00203C87" w:rsidRPr="0014209E" w:rsidRDefault="00E30F75" w:rsidP="00194BD5">
      <w:pPr>
        <w:jc w:val="both"/>
        <w:rPr>
          <w:lang w:val="en-GB"/>
        </w:rPr>
      </w:pPr>
      <w:r w:rsidRPr="0014209E">
        <w:rPr>
          <w:lang w:val="en-GB"/>
        </w:rPr>
        <w:t>3.1</w:t>
      </w:r>
      <w:r w:rsidRPr="0014209E">
        <w:rPr>
          <w:lang w:val="en-GB"/>
        </w:rPr>
        <w:tab/>
      </w:r>
      <w:r w:rsidR="00203C87" w:rsidRPr="0014209E">
        <w:rPr>
          <w:lang w:val="en-GB"/>
        </w:rPr>
        <w:t xml:space="preserve">Meetings of Ministers competent for natural and technological hazards shall be held every </w:t>
      </w:r>
      <w:r w:rsidR="009350A6">
        <w:rPr>
          <w:lang w:val="en-GB"/>
        </w:rPr>
        <w:t xml:space="preserve"> four</w:t>
      </w:r>
      <w:r w:rsidR="00203C87" w:rsidRPr="0014209E">
        <w:rPr>
          <w:lang w:val="en-GB"/>
        </w:rPr>
        <w:t xml:space="preserve"> years. </w:t>
      </w:r>
      <w:r w:rsidRPr="0014209E">
        <w:rPr>
          <w:lang w:val="en-GB"/>
        </w:rPr>
        <w:t>The</w:t>
      </w:r>
      <w:r w:rsidR="00203C87" w:rsidRPr="0014209E">
        <w:rPr>
          <w:lang w:val="en-GB"/>
        </w:rPr>
        <w:t xml:space="preserve">y shall </w:t>
      </w:r>
      <w:r w:rsidRPr="0014209E">
        <w:rPr>
          <w:lang w:val="en-GB"/>
        </w:rPr>
        <w:t>take place in camera</w:t>
      </w:r>
      <w:r w:rsidR="00203C87" w:rsidRPr="0014209E">
        <w:rPr>
          <w:lang w:val="en-GB"/>
        </w:rPr>
        <w:t>.</w:t>
      </w:r>
    </w:p>
    <w:p w14:paraId="175E9620" w14:textId="05FFC639" w:rsidR="00203C87" w:rsidRPr="0014209E" w:rsidRDefault="00203C87" w:rsidP="00194BD5">
      <w:pPr>
        <w:jc w:val="both"/>
        <w:rPr>
          <w:lang w:val="en-GB"/>
        </w:rPr>
      </w:pPr>
      <w:r w:rsidRPr="0014209E">
        <w:rPr>
          <w:lang w:val="en-GB"/>
        </w:rPr>
        <w:t xml:space="preserve">3.2 </w:t>
      </w:r>
      <w:r w:rsidR="00E30F75" w:rsidRPr="0014209E">
        <w:rPr>
          <w:lang w:val="en-GB"/>
        </w:rPr>
        <w:t xml:space="preserve"> </w:t>
      </w:r>
      <w:r w:rsidRPr="0014209E">
        <w:rPr>
          <w:lang w:val="en-GB"/>
        </w:rPr>
        <w:tab/>
        <w:t xml:space="preserve">The Committee of Permanent Correspondents of the EPA may decide by a two-thirds majority of the votes cast to convene an extraordinary Ministerial meeting. </w:t>
      </w:r>
    </w:p>
    <w:p w14:paraId="21C47793" w14:textId="32D1BBD2" w:rsidR="00203C87" w:rsidRPr="0014209E" w:rsidRDefault="00203C87" w:rsidP="00194BD5">
      <w:pPr>
        <w:jc w:val="both"/>
        <w:rPr>
          <w:lang w:val="en-GB"/>
        </w:rPr>
      </w:pPr>
      <w:r w:rsidRPr="0014209E">
        <w:rPr>
          <w:lang w:val="en-GB"/>
        </w:rPr>
        <w:lastRenderedPageBreak/>
        <w:t>3.3</w:t>
      </w:r>
      <w:r w:rsidRPr="0014209E">
        <w:rPr>
          <w:lang w:val="en-GB"/>
        </w:rPr>
        <w:tab/>
      </w:r>
      <w:r w:rsidR="00E30F75" w:rsidRPr="0014209E">
        <w:rPr>
          <w:lang w:val="en-GB"/>
        </w:rPr>
        <w:t xml:space="preserve">Each State </w:t>
      </w:r>
      <w:r w:rsidRPr="0014209E">
        <w:rPr>
          <w:lang w:val="en-GB"/>
        </w:rPr>
        <w:t xml:space="preserve">shall be </w:t>
      </w:r>
      <w:r w:rsidR="00E30F75" w:rsidRPr="0014209E">
        <w:rPr>
          <w:lang w:val="en-GB"/>
        </w:rPr>
        <w:t xml:space="preserve">represented </w:t>
      </w:r>
      <w:r w:rsidRPr="0014209E">
        <w:rPr>
          <w:lang w:val="en-GB"/>
        </w:rPr>
        <w:t>at</w:t>
      </w:r>
      <w:r w:rsidR="00E30F75" w:rsidRPr="0014209E">
        <w:rPr>
          <w:lang w:val="en-GB"/>
        </w:rPr>
        <w:t xml:space="preserve"> </w:t>
      </w:r>
      <w:r w:rsidRPr="0014209E">
        <w:rPr>
          <w:lang w:val="en-GB"/>
        </w:rPr>
        <w:t xml:space="preserve">Ministerial </w:t>
      </w:r>
      <w:r w:rsidR="00E30F75" w:rsidRPr="0014209E">
        <w:rPr>
          <w:lang w:val="en-GB"/>
        </w:rPr>
        <w:t xml:space="preserve">meetings </w:t>
      </w:r>
      <w:r w:rsidR="004C134D">
        <w:rPr>
          <w:lang w:val="en-GB"/>
        </w:rPr>
        <w:t>by</w:t>
      </w:r>
      <w:r w:rsidR="00E30F75" w:rsidRPr="0014209E">
        <w:rPr>
          <w:lang w:val="en-GB"/>
        </w:rPr>
        <w:t xml:space="preserve"> the minister(s) </w:t>
      </w:r>
      <w:r w:rsidR="00E0466F" w:rsidRPr="00E0466F">
        <w:rPr>
          <w:lang w:val="en-GB"/>
        </w:rPr>
        <w:t xml:space="preserve">competent for natural and technological hazards </w:t>
      </w:r>
      <w:r w:rsidRPr="0014209E">
        <w:rPr>
          <w:lang w:val="en-GB"/>
        </w:rPr>
        <w:t xml:space="preserve">and </w:t>
      </w:r>
      <w:r w:rsidR="00E30F75" w:rsidRPr="0014209E">
        <w:rPr>
          <w:lang w:val="en-GB"/>
        </w:rPr>
        <w:t>a Permanent Correspondent</w:t>
      </w:r>
      <w:r w:rsidRPr="0014209E">
        <w:rPr>
          <w:lang w:val="en-GB"/>
        </w:rPr>
        <w:t>.</w:t>
      </w:r>
    </w:p>
    <w:p w14:paraId="797D8A8C" w14:textId="2B6D3CF7" w:rsidR="00E30F75" w:rsidRPr="0014209E" w:rsidRDefault="00203C87" w:rsidP="00194BD5">
      <w:pPr>
        <w:jc w:val="both"/>
        <w:rPr>
          <w:lang w:val="en-GB"/>
        </w:rPr>
      </w:pPr>
      <w:r w:rsidRPr="0014209E">
        <w:rPr>
          <w:lang w:val="en-GB"/>
        </w:rPr>
        <w:t>3.4</w:t>
      </w:r>
      <w:r w:rsidRPr="0014209E">
        <w:rPr>
          <w:lang w:val="en-GB"/>
        </w:rPr>
        <w:tab/>
        <w:t xml:space="preserve">The Ministers shall adopt a Medium Term Plan </w:t>
      </w:r>
      <w:r w:rsidRPr="006D4D61">
        <w:rPr>
          <w:lang w:val="en-GB"/>
        </w:rPr>
        <w:t>for the following</w:t>
      </w:r>
      <w:r w:rsidR="00412468" w:rsidRPr="006D4D61">
        <w:rPr>
          <w:lang w:val="en-GB"/>
        </w:rPr>
        <w:t xml:space="preserve"> four</w:t>
      </w:r>
      <w:r w:rsidRPr="006D4D61">
        <w:rPr>
          <w:lang w:val="en-GB"/>
        </w:rPr>
        <w:t xml:space="preserve"> years,</w:t>
      </w:r>
      <w:r w:rsidRPr="0014209E">
        <w:rPr>
          <w:lang w:val="en-GB"/>
        </w:rPr>
        <w:t xml:space="preserve"> giving general directions to the activities of the EPA</w:t>
      </w:r>
      <w:r w:rsidR="00137A77" w:rsidRPr="0014209E">
        <w:rPr>
          <w:lang w:val="en-GB"/>
        </w:rPr>
        <w:t xml:space="preserve">. They may also </w:t>
      </w:r>
      <w:r w:rsidRPr="0014209E">
        <w:rPr>
          <w:lang w:val="en-GB"/>
        </w:rPr>
        <w:t>take other decisions</w:t>
      </w:r>
      <w:r w:rsidR="00137A77" w:rsidRPr="0014209E">
        <w:rPr>
          <w:lang w:val="en-GB"/>
        </w:rPr>
        <w:t xml:space="preserve"> listed </w:t>
      </w:r>
      <w:r w:rsidR="004C134D">
        <w:rPr>
          <w:lang w:val="en-GB"/>
        </w:rPr>
        <w:t>under</w:t>
      </w:r>
      <w:r w:rsidR="00137A77" w:rsidRPr="0014209E">
        <w:rPr>
          <w:lang w:val="en-GB"/>
        </w:rPr>
        <w:t xml:space="preserve"> Article 4</w:t>
      </w:r>
      <w:r w:rsidRPr="0014209E">
        <w:rPr>
          <w:lang w:val="en-GB"/>
        </w:rPr>
        <w:t>.</w:t>
      </w:r>
      <w:r w:rsidR="005B01AF">
        <w:rPr>
          <w:lang w:val="en-GB"/>
        </w:rPr>
        <w:t>3.</w:t>
      </w:r>
      <w:r w:rsidRPr="0014209E">
        <w:rPr>
          <w:lang w:val="en-GB"/>
        </w:rPr>
        <w:t xml:space="preserve"> </w:t>
      </w:r>
    </w:p>
    <w:p w14:paraId="0FBB0F6B" w14:textId="77777777" w:rsidR="0010770F" w:rsidRPr="0014209E" w:rsidRDefault="0010770F" w:rsidP="00194BD5">
      <w:pPr>
        <w:jc w:val="both"/>
        <w:rPr>
          <w:b/>
          <w:bCs/>
          <w:lang w:val="en-GB"/>
        </w:rPr>
      </w:pPr>
    </w:p>
    <w:p w14:paraId="337DF18F" w14:textId="2B5FA7F4" w:rsidR="007831AE" w:rsidRPr="0014209E" w:rsidRDefault="007831AE" w:rsidP="00194BD5">
      <w:pPr>
        <w:jc w:val="both"/>
        <w:rPr>
          <w:lang w:val="en-GB"/>
        </w:rPr>
      </w:pPr>
      <w:r w:rsidRPr="0014209E">
        <w:rPr>
          <w:b/>
          <w:bCs/>
          <w:lang w:val="en-GB"/>
        </w:rPr>
        <w:t xml:space="preserve">Article </w:t>
      </w:r>
      <w:r w:rsidR="00203C87" w:rsidRPr="0014209E">
        <w:rPr>
          <w:b/>
          <w:bCs/>
          <w:lang w:val="en-GB"/>
        </w:rPr>
        <w:t>4</w:t>
      </w:r>
      <w:r w:rsidRPr="0014209E">
        <w:rPr>
          <w:b/>
          <w:bCs/>
          <w:lang w:val="en-GB"/>
        </w:rPr>
        <w:t xml:space="preserve"> – </w:t>
      </w:r>
      <w:r w:rsidR="008D7432" w:rsidRPr="0014209E">
        <w:rPr>
          <w:b/>
          <w:bCs/>
          <w:lang w:val="en-GB"/>
        </w:rPr>
        <w:t>Committee of Permanent Correspondents</w:t>
      </w:r>
    </w:p>
    <w:p w14:paraId="44402355" w14:textId="14856F20" w:rsidR="007831AE" w:rsidRPr="0014209E" w:rsidRDefault="00203C87" w:rsidP="00194BD5">
      <w:pPr>
        <w:jc w:val="both"/>
        <w:rPr>
          <w:b/>
          <w:bCs/>
          <w:lang w:val="en-GB"/>
        </w:rPr>
      </w:pPr>
      <w:r w:rsidRPr="0014209E">
        <w:rPr>
          <w:lang w:val="en-GB"/>
        </w:rPr>
        <w:t>4</w:t>
      </w:r>
      <w:r w:rsidR="007831AE" w:rsidRPr="0014209E">
        <w:rPr>
          <w:lang w:val="en-GB"/>
        </w:rPr>
        <w:t xml:space="preserve">.1       The </w:t>
      </w:r>
      <w:r w:rsidR="008D7432" w:rsidRPr="0014209E">
        <w:rPr>
          <w:lang w:val="en-GB"/>
        </w:rPr>
        <w:t xml:space="preserve">Committee of Permanent Correspondents </w:t>
      </w:r>
      <w:r w:rsidR="007831AE" w:rsidRPr="0014209E">
        <w:rPr>
          <w:lang w:val="en-GB"/>
        </w:rPr>
        <w:t xml:space="preserve">of the EPA shall be composed of one representative appointed by </w:t>
      </w:r>
      <w:r w:rsidR="00C85A07">
        <w:rPr>
          <w:lang w:val="en-GB"/>
        </w:rPr>
        <w:t>each member of the EPA</w:t>
      </w:r>
      <w:r w:rsidR="007831AE" w:rsidRPr="0014209E">
        <w:rPr>
          <w:lang w:val="en-GB"/>
        </w:rPr>
        <w:t>.</w:t>
      </w:r>
    </w:p>
    <w:p w14:paraId="6B984879" w14:textId="29F5F54A" w:rsidR="007831AE" w:rsidRPr="0014209E" w:rsidRDefault="00203C87" w:rsidP="00194BD5">
      <w:pPr>
        <w:jc w:val="both"/>
        <w:rPr>
          <w:lang w:val="en-GB"/>
        </w:rPr>
      </w:pPr>
      <w:r w:rsidRPr="0014209E">
        <w:rPr>
          <w:lang w:val="en-GB"/>
        </w:rPr>
        <w:t>4</w:t>
      </w:r>
      <w:r w:rsidR="007831AE" w:rsidRPr="0014209E">
        <w:rPr>
          <w:lang w:val="en-GB"/>
        </w:rPr>
        <w:t>.</w:t>
      </w:r>
      <w:r w:rsidR="005D3829" w:rsidRPr="0014209E">
        <w:rPr>
          <w:lang w:val="en-GB"/>
        </w:rPr>
        <w:t>2</w:t>
      </w:r>
      <w:r w:rsidR="007831AE" w:rsidRPr="0014209E">
        <w:rPr>
          <w:lang w:val="en-GB"/>
        </w:rPr>
        <w:t xml:space="preserve">       The </w:t>
      </w:r>
      <w:r w:rsidR="008D7432" w:rsidRPr="0014209E">
        <w:rPr>
          <w:lang w:val="en-GB"/>
        </w:rPr>
        <w:t xml:space="preserve">Committee of Permanent Correspondents </w:t>
      </w:r>
      <w:r w:rsidR="007831AE" w:rsidRPr="0014209E">
        <w:rPr>
          <w:lang w:val="en-GB"/>
        </w:rPr>
        <w:t xml:space="preserve">shall elect from among its members a Bureau comprised of a chair, </w:t>
      </w:r>
      <w:r w:rsidR="004B5996" w:rsidRPr="0014209E">
        <w:rPr>
          <w:lang w:val="en-GB"/>
        </w:rPr>
        <w:t xml:space="preserve">a previous chair, </w:t>
      </w:r>
      <w:r w:rsidR="007831AE" w:rsidRPr="0014209E">
        <w:rPr>
          <w:lang w:val="en-GB"/>
        </w:rPr>
        <w:t>one vice</w:t>
      </w:r>
      <w:r w:rsidR="007831AE" w:rsidRPr="0014209E">
        <w:rPr>
          <w:lang w:val="en-GB"/>
        </w:rPr>
        <w:noBreakHyphen/>
        <w:t>chair</w:t>
      </w:r>
      <w:r w:rsidR="004B5996" w:rsidRPr="0014209E">
        <w:rPr>
          <w:lang w:val="en-GB"/>
        </w:rPr>
        <w:t xml:space="preserve"> and </w:t>
      </w:r>
      <w:r w:rsidR="007831AE" w:rsidRPr="0014209E">
        <w:rPr>
          <w:lang w:val="en-GB"/>
        </w:rPr>
        <w:t>t</w:t>
      </w:r>
      <w:r w:rsidR="004B5996" w:rsidRPr="0014209E">
        <w:rPr>
          <w:lang w:val="en-GB"/>
        </w:rPr>
        <w:t xml:space="preserve">wo </w:t>
      </w:r>
      <w:r w:rsidR="007831AE" w:rsidRPr="0014209E">
        <w:rPr>
          <w:lang w:val="en-GB"/>
        </w:rPr>
        <w:t>other members, for a term of office of two years, renewable only once.</w:t>
      </w:r>
      <w:r w:rsidR="004B5996" w:rsidRPr="0014209E">
        <w:rPr>
          <w:lang w:val="en-GB"/>
        </w:rPr>
        <w:t xml:space="preserve"> </w:t>
      </w:r>
      <w:r w:rsidR="001A639E" w:rsidRPr="0014209E">
        <w:rPr>
          <w:lang w:val="en-GB"/>
        </w:rPr>
        <w:t>Election of the Chair, Vice-Chair and two Bureau members shall require a two-thirds majority of the votes cast at the first ballot and a simple majority of the votes cast at the second ballot. The election shall be held by secret ballot.</w:t>
      </w:r>
      <w:r w:rsidR="001A639E" w:rsidRPr="0014209E">
        <w:rPr>
          <w:lang w:val="en-GB"/>
        </w:rPr>
        <w:tab/>
      </w:r>
    </w:p>
    <w:p w14:paraId="4C213208" w14:textId="36280BDA" w:rsidR="007831AE" w:rsidRPr="0014209E" w:rsidRDefault="003C0A77" w:rsidP="00194BD5">
      <w:pPr>
        <w:jc w:val="both"/>
        <w:rPr>
          <w:lang w:val="en-GB"/>
        </w:rPr>
      </w:pPr>
      <w:r w:rsidRPr="0014209E">
        <w:rPr>
          <w:lang w:val="en-GB"/>
        </w:rPr>
        <w:t>4</w:t>
      </w:r>
      <w:r w:rsidR="007831AE" w:rsidRPr="0014209E">
        <w:rPr>
          <w:lang w:val="en-GB"/>
        </w:rPr>
        <w:t>.</w:t>
      </w:r>
      <w:r w:rsidR="005D3829" w:rsidRPr="0014209E">
        <w:rPr>
          <w:lang w:val="en-GB"/>
        </w:rPr>
        <w:t>3</w:t>
      </w:r>
      <w:r w:rsidR="007831AE" w:rsidRPr="0014209E">
        <w:rPr>
          <w:lang w:val="en-GB"/>
        </w:rPr>
        <w:t xml:space="preserve">       The </w:t>
      </w:r>
      <w:r w:rsidR="001A639E" w:rsidRPr="0014209E">
        <w:rPr>
          <w:lang w:val="en-GB"/>
        </w:rPr>
        <w:t xml:space="preserve">Committee of Permanent Correspondents </w:t>
      </w:r>
      <w:r w:rsidR="007831AE" w:rsidRPr="0014209E">
        <w:rPr>
          <w:lang w:val="en-GB"/>
        </w:rPr>
        <w:t>shall:</w:t>
      </w:r>
    </w:p>
    <w:p w14:paraId="30894249" w14:textId="11E3E8C6" w:rsidR="007831AE" w:rsidRDefault="007831AE" w:rsidP="00194BD5">
      <w:pPr>
        <w:numPr>
          <w:ilvl w:val="0"/>
          <w:numId w:val="3"/>
        </w:numPr>
        <w:jc w:val="both"/>
        <w:rPr>
          <w:lang w:val="en-GB"/>
        </w:rPr>
      </w:pPr>
      <w:r w:rsidRPr="0014209E">
        <w:rPr>
          <w:lang w:val="en-GB"/>
        </w:rPr>
        <w:t>be responsible for the general implementation of the tasks conferred to the EPA;</w:t>
      </w:r>
    </w:p>
    <w:p w14:paraId="6F65A6F4" w14:textId="7D7405A9" w:rsidR="006455B6" w:rsidRPr="0014209E" w:rsidRDefault="006455B6" w:rsidP="00194BD5">
      <w:pPr>
        <w:numPr>
          <w:ilvl w:val="0"/>
          <w:numId w:val="3"/>
        </w:numPr>
        <w:jc w:val="both"/>
        <w:rPr>
          <w:lang w:val="en-GB"/>
        </w:rPr>
      </w:pPr>
      <w:r>
        <w:rPr>
          <w:lang w:val="en-GB"/>
        </w:rPr>
        <w:t>adopt</w:t>
      </w:r>
      <w:r w:rsidR="005B01AF">
        <w:rPr>
          <w:lang w:val="en-GB"/>
        </w:rPr>
        <w:t>, by</w:t>
      </w:r>
      <w:r w:rsidR="00D95CE4">
        <w:rPr>
          <w:lang w:val="en-GB"/>
        </w:rPr>
        <w:t xml:space="preserve"> a</w:t>
      </w:r>
      <w:r w:rsidR="005B01AF">
        <w:rPr>
          <w:lang w:val="en-GB"/>
        </w:rPr>
        <w:t xml:space="preserve"> unanimous vote, </w:t>
      </w:r>
      <w:r>
        <w:rPr>
          <w:lang w:val="en-GB"/>
        </w:rPr>
        <w:t>resolutions and recommendations addressed to member States</w:t>
      </w:r>
      <w:r w:rsidR="00D95CE4">
        <w:rPr>
          <w:lang w:val="en-GB"/>
        </w:rPr>
        <w:t>;</w:t>
      </w:r>
    </w:p>
    <w:p w14:paraId="28D83F01" w14:textId="52C2AFED" w:rsidR="007831AE" w:rsidRPr="0014209E" w:rsidRDefault="007831AE" w:rsidP="00194BD5">
      <w:pPr>
        <w:numPr>
          <w:ilvl w:val="0"/>
          <w:numId w:val="3"/>
        </w:numPr>
        <w:jc w:val="both"/>
        <w:rPr>
          <w:strike/>
          <w:lang w:val="en-GB"/>
        </w:rPr>
      </w:pPr>
      <w:r w:rsidRPr="0014209E">
        <w:rPr>
          <w:lang w:val="en-GB"/>
        </w:rPr>
        <w:t xml:space="preserve">adopt the draft </w:t>
      </w:r>
      <w:r w:rsidR="005D3829" w:rsidRPr="00690E2E">
        <w:rPr>
          <w:lang w:val="en-GB"/>
        </w:rPr>
        <w:t>bi-</w:t>
      </w:r>
      <w:r w:rsidRPr="00690E2E">
        <w:rPr>
          <w:lang w:val="en-GB"/>
        </w:rPr>
        <w:t>annual programme of activities</w:t>
      </w:r>
      <w:r w:rsidRPr="0014209E">
        <w:rPr>
          <w:lang w:val="en-GB"/>
        </w:rPr>
        <w:t xml:space="preserve"> </w:t>
      </w:r>
      <w:r w:rsidR="006455B6">
        <w:rPr>
          <w:lang w:val="en-GB"/>
        </w:rPr>
        <w:t xml:space="preserve">and the overall budget </w:t>
      </w:r>
      <w:r w:rsidRPr="0014209E">
        <w:rPr>
          <w:lang w:val="en-GB"/>
        </w:rPr>
        <w:t xml:space="preserve">of the EPA and submit it, in conformity with the Financial Regulations of the Council of Europe, to the Secretary General of the Council of Europe relating to the elaboration of the draft </w:t>
      </w:r>
      <w:r w:rsidR="005D3829" w:rsidRPr="0014209E">
        <w:rPr>
          <w:lang w:val="en-GB"/>
        </w:rPr>
        <w:t>bi-</w:t>
      </w:r>
      <w:r w:rsidRPr="0014209E">
        <w:rPr>
          <w:lang w:val="en-GB"/>
        </w:rPr>
        <w:t>annual budget</w:t>
      </w:r>
      <w:r w:rsidR="005D3829" w:rsidRPr="0014209E">
        <w:rPr>
          <w:lang w:val="en-GB"/>
        </w:rPr>
        <w:t xml:space="preserve">; </w:t>
      </w:r>
    </w:p>
    <w:p w14:paraId="0AF5C48F" w14:textId="77777777" w:rsidR="007831AE" w:rsidRPr="0014209E" w:rsidRDefault="007831AE" w:rsidP="00194BD5">
      <w:pPr>
        <w:numPr>
          <w:ilvl w:val="0"/>
          <w:numId w:val="3"/>
        </w:numPr>
        <w:jc w:val="both"/>
        <w:rPr>
          <w:lang w:val="en-GB"/>
        </w:rPr>
      </w:pPr>
      <w:r w:rsidRPr="0014209E">
        <w:rPr>
          <w:lang w:val="en-GB"/>
        </w:rPr>
        <w:t>decide on projects consistent with the Council of Europe’s political priorities;</w:t>
      </w:r>
    </w:p>
    <w:p w14:paraId="79E8C02E" w14:textId="319F26D3" w:rsidR="003C0A77" w:rsidRPr="0014209E" w:rsidRDefault="007831AE" w:rsidP="00194BD5">
      <w:pPr>
        <w:numPr>
          <w:ilvl w:val="0"/>
          <w:numId w:val="3"/>
        </w:numPr>
        <w:jc w:val="both"/>
        <w:rPr>
          <w:lang w:val="en-GB"/>
        </w:rPr>
      </w:pPr>
      <w:r w:rsidRPr="0014209E">
        <w:rPr>
          <w:lang w:val="en-GB"/>
        </w:rPr>
        <w:t>monitor the implementation of the programme of activities;</w:t>
      </w:r>
    </w:p>
    <w:p w14:paraId="6B63E73A" w14:textId="77777777" w:rsidR="003C0A77" w:rsidRPr="0014209E" w:rsidRDefault="007831AE" w:rsidP="00194BD5">
      <w:pPr>
        <w:numPr>
          <w:ilvl w:val="0"/>
          <w:numId w:val="3"/>
        </w:numPr>
        <w:jc w:val="both"/>
        <w:rPr>
          <w:lang w:val="en-GB"/>
        </w:rPr>
      </w:pPr>
      <w:r w:rsidRPr="0014209E">
        <w:rPr>
          <w:lang w:val="en-GB"/>
        </w:rPr>
        <w:t>adopt and transmit a</w:t>
      </w:r>
      <w:r w:rsidR="005D3829" w:rsidRPr="0014209E">
        <w:rPr>
          <w:lang w:val="en-GB"/>
        </w:rPr>
        <w:t xml:space="preserve"> bi-</w:t>
      </w:r>
      <w:r w:rsidRPr="0014209E">
        <w:rPr>
          <w:lang w:val="en-GB"/>
        </w:rPr>
        <w:t>annual activity report to the Committee of Ministers</w:t>
      </w:r>
      <w:r w:rsidR="003C0A77" w:rsidRPr="0014209E">
        <w:rPr>
          <w:lang w:val="en-GB"/>
        </w:rPr>
        <w:t>;</w:t>
      </w:r>
    </w:p>
    <w:p w14:paraId="7768ADE4" w14:textId="77777777" w:rsidR="003C0A77" w:rsidRPr="0014209E" w:rsidRDefault="003C0A77" w:rsidP="00194BD5">
      <w:pPr>
        <w:numPr>
          <w:ilvl w:val="0"/>
          <w:numId w:val="3"/>
        </w:numPr>
        <w:jc w:val="both"/>
        <w:rPr>
          <w:lang w:val="en-GB"/>
        </w:rPr>
      </w:pPr>
      <w:r w:rsidRPr="0014209E">
        <w:rPr>
          <w:lang w:val="en-GB"/>
        </w:rPr>
        <w:t>decide on establishment of sub-committees and experts’ groups</w:t>
      </w:r>
    </w:p>
    <w:p w14:paraId="156B28B0" w14:textId="3F020E31" w:rsidR="007831AE" w:rsidRPr="0014209E" w:rsidRDefault="003C0A77" w:rsidP="00194BD5">
      <w:pPr>
        <w:numPr>
          <w:ilvl w:val="0"/>
          <w:numId w:val="3"/>
        </w:numPr>
        <w:jc w:val="both"/>
        <w:rPr>
          <w:lang w:val="en-GB"/>
        </w:rPr>
      </w:pPr>
      <w:r w:rsidRPr="0014209E">
        <w:rPr>
          <w:lang w:val="en-GB"/>
        </w:rPr>
        <w:t xml:space="preserve">decide on inclusion and exclusion of a specialised </w:t>
      </w:r>
      <w:r w:rsidR="00137A77" w:rsidRPr="0014209E">
        <w:rPr>
          <w:lang w:val="en-GB"/>
        </w:rPr>
        <w:t xml:space="preserve">scientific </w:t>
      </w:r>
      <w:r w:rsidRPr="0014209E">
        <w:rPr>
          <w:lang w:val="en-GB"/>
        </w:rPr>
        <w:t xml:space="preserve">centre in the </w:t>
      </w:r>
      <w:r w:rsidR="00137A77" w:rsidRPr="0014209E">
        <w:rPr>
          <w:lang w:val="en-GB"/>
        </w:rPr>
        <w:t>N</w:t>
      </w:r>
      <w:r w:rsidRPr="0014209E">
        <w:rPr>
          <w:lang w:val="en-GB"/>
        </w:rPr>
        <w:t xml:space="preserve">etwork of Specialised </w:t>
      </w:r>
      <w:r w:rsidR="00137A77" w:rsidRPr="0014209E">
        <w:rPr>
          <w:lang w:val="en-GB"/>
        </w:rPr>
        <w:t xml:space="preserve">Scientific </w:t>
      </w:r>
      <w:r w:rsidRPr="0014209E">
        <w:rPr>
          <w:lang w:val="en-GB"/>
        </w:rPr>
        <w:t>Centres</w:t>
      </w:r>
      <w:r w:rsidR="007831AE" w:rsidRPr="0014209E">
        <w:rPr>
          <w:lang w:val="en-GB"/>
        </w:rPr>
        <w:t>.</w:t>
      </w:r>
    </w:p>
    <w:p w14:paraId="4B04A23B" w14:textId="5333BE1B" w:rsidR="007831AE" w:rsidRPr="0014209E" w:rsidRDefault="003C0A77" w:rsidP="00194BD5">
      <w:pPr>
        <w:jc w:val="both"/>
        <w:rPr>
          <w:lang w:val="en-GB"/>
        </w:rPr>
      </w:pPr>
      <w:r w:rsidRPr="0014209E">
        <w:rPr>
          <w:lang w:val="en-GB"/>
        </w:rPr>
        <w:t>4</w:t>
      </w:r>
      <w:r w:rsidR="007831AE" w:rsidRPr="0014209E">
        <w:rPr>
          <w:lang w:val="en-GB"/>
        </w:rPr>
        <w:t>.</w:t>
      </w:r>
      <w:r w:rsidRPr="0014209E">
        <w:rPr>
          <w:lang w:val="en-GB"/>
        </w:rPr>
        <w:t>4</w:t>
      </w:r>
      <w:r w:rsidR="007831AE" w:rsidRPr="0014209E">
        <w:rPr>
          <w:lang w:val="en-GB"/>
        </w:rPr>
        <w:t xml:space="preserve">       The </w:t>
      </w:r>
      <w:r w:rsidR="001A639E" w:rsidRPr="0014209E">
        <w:rPr>
          <w:lang w:val="en-GB"/>
        </w:rPr>
        <w:t xml:space="preserve">Committee of Permanent Correspondents </w:t>
      </w:r>
      <w:r w:rsidR="007831AE" w:rsidRPr="0014209E">
        <w:rPr>
          <w:lang w:val="en-GB"/>
        </w:rPr>
        <w:t xml:space="preserve">shall meet </w:t>
      </w:r>
      <w:r w:rsidR="006455B6">
        <w:rPr>
          <w:lang w:val="en-GB"/>
        </w:rPr>
        <w:t xml:space="preserve">at least </w:t>
      </w:r>
      <w:r w:rsidR="007831AE" w:rsidRPr="0014209E">
        <w:rPr>
          <w:lang w:val="en-GB"/>
        </w:rPr>
        <w:t>once a year. It may invite representatives of the relevant Council of Europe bodies to attend its meetings, without voting rights, according to the items on its agenda.</w:t>
      </w:r>
    </w:p>
    <w:p w14:paraId="0BD0976A" w14:textId="0C7C6349" w:rsidR="007831AE" w:rsidRPr="0014209E" w:rsidRDefault="003C0A77" w:rsidP="00194BD5">
      <w:pPr>
        <w:jc w:val="both"/>
        <w:rPr>
          <w:lang w:val="en-GB"/>
        </w:rPr>
      </w:pPr>
      <w:r w:rsidRPr="0014209E">
        <w:rPr>
          <w:lang w:val="en-GB"/>
        </w:rPr>
        <w:t>4</w:t>
      </w:r>
      <w:r w:rsidR="007831AE" w:rsidRPr="0014209E">
        <w:rPr>
          <w:lang w:val="en-GB"/>
        </w:rPr>
        <w:t>.</w:t>
      </w:r>
      <w:r w:rsidRPr="0014209E">
        <w:rPr>
          <w:lang w:val="en-GB"/>
        </w:rPr>
        <w:t>5</w:t>
      </w:r>
      <w:r w:rsidR="007831AE" w:rsidRPr="0014209E">
        <w:rPr>
          <w:lang w:val="en-GB"/>
        </w:rPr>
        <w:t xml:space="preserve">       The </w:t>
      </w:r>
      <w:r w:rsidR="00E30F75" w:rsidRPr="0014209E">
        <w:rPr>
          <w:lang w:val="en-GB"/>
        </w:rPr>
        <w:t xml:space="preserve">Committee of Permanent Correspondents </w:t>
      </w:r>
      <w:r w:rsidR="007831AE" w:rsidRPr="0014209E">
        <w:rPr>
          <w:lang w:val="en-GB"/>
        </w:rPr>
        <w:t>may assign operational tasks to its Bureau by a two</w:t>
      </w:r>
      <w:r w:rsidR="0093243E">
        <w:rPr>
          <w:lang w:val="en-GB"/>
        </w:rPr>
        <w:t>-</w:t>
      </w:r>
      <w:r w:rsidR="007831AE" w:rsidRPr="0014209E">
        <w:rPr>
          <w:lang w:val="en-GB"/>
        </w:rPr>
        <w:t xml:space="preserve">thirds majority. The Bureau shall be convened by the chair of the </w:t>
      </w:r>
      <w:r w:rsidR="00E30F75" w:rsidRPr="0014209E">
        <w:rPr>
          <w:lang w:val="en-GB"/>
        </w:rPr>
        <w:t xml:space="preserve">Committee of Permanent Correspondents </w:t>
      </w:r>
      <w:r w:rsidR="007831AE" w:rsidRPr="0014209E">
        <w:rPr>
          <w:lang w:val="en-GB"/>
        </w:rPr>
        <w:t>at least once a year.</w:t>
      </w:r>
    </w:p>
    <w:p w14:paraId="72809B93" w14:textId="77777777" w:rsidR="00E0466F" w:rsidRDefault="003C0A77" w:rsidP="00194BD5">
      <w:pPr>
        <w:jc w:val="both"/>
        <w:rPr>
          <w:lang w:val="en-GB"/>
        </w:rPr>
      </w:pPr>
      <w:r w:rsidRPr="0014209E">
        <w:rPr>
          <w:lang w:val="en-GB"/>
        </w:rPr>
        <w:t>4.6</w:t>
      </w:r>
      <w:r w:rsidR="007831AE" w:rsidRPr="0014209E">
        <w:rPr>
          <w:lang w:val="en-GB"/>
        </w:rPr>
        <w:t xml:space="preserve">       The </w:t>
      </w:r>
      <w:r w:rsidR="00E30F75" w:rsidRPr="0014209E">
        <w:rPr>
          <w:lang w:val="en-GB"/>
        </w:rPr>
        <w:t xml:space="preserve">Committee of Permanent Correspondents </w:t>
      </w:r>
      <w:r w:rsidR="007831AE" w:rsidRPr="0014209E">
        <w:rPr>
          <w:lang w:val="en-GB"/>
        </w:rPr>
        <w:t xml:space="preserve">shall adopt its decisions by a two-thirds majority of the votes cast, with each member having one vote. Procedural matters shall be settled by a majority of the votes cast. </w:t>
      </w:r>
    </w:p>
    <w:p w14:paraId="5C4D7926" w14:textId="737CC27F" w:rsidR="007831AE" w:rsidRPr="0014209E" w:rsidRDefault="00E0466F" w:rsidP="00194BD5">
      <w:pPr>
        <w:jc w:val="both"/>
        <w:rPr>
          <w:lang w:val="en-GB"/>
        </w:rPr>
      </w:pPr>
      <w:r>
        <w:rPr>
          <w:lang w:val="en-GB"/>
        </w:rPr>
        <w:t>4.7</w:t>
      </w:r>
      <w:r>
        <w:rPr>
          <w:lang w:val="en-GB"/>
        </w:rPr>
        <w:tab/>
        <w:t>T</w:t>
      </w:r>
      <w:r w:rsidR="007831AE" w:rsidRPr="0014209E">
        <w:rPr>
          <w:lang w:val="en-GB"/>
        </w:rPr>
        <w:t xml:space="preserve">he </w:t>
      </w:r>
      <w:r w:rsidR="003C0A77" w:rsidRPr="0014209E">
        <w:rPr>
          <w:lang w:val="en-GB"/>
        </w:rPr>
        <w:t xml:space="preserve">Committee of Permanent Correspondents </w:t>
      </w:r>
      <w:r w:rsidR="007831AE" w:rsidRPr="0014209E">
        <w:rPr>
          <w:lang w:val="en-GB"/>
        </w:rPr>
        <w:t>shall adopt its own rules of procedure and any other arrangements for the implementation of its activities.</w:t>
      </w:r>
    </w:p>
    <w:p w14:paraId="232D9720" w14:textId="15510770" w:rsidR="007831AE" w:rsidRPr="0014209E" w:rsidRDefault="007831AE" w:rsidP="00194BD5">
      <w:pPr>
        <w:jc w:val="both"/>
        <w:rPr>
          <w:lang w:val="en-GB"/>
        </w:rPr>
      </w:pPr>
      <w:r w:rsidRPr="0014209E">
        <w:rPr>
          <w:b/>
          <w:bCs/>
          <w:lang w:val="en-GB"/>
        </w:rPr>
        <w:lastRenderedPageBreak/>
        <w:t xml:space="preserve">Article </w:t>
      </w:r>
      <w:r w:rsidR="0010770F" w:rsidRPr="0014209E">
        <w:rPr>
          <w:b/>
          <w:bCs/>
          <w:lang w:val="en-GB"/>
        </w:rPr>
        <w:t>5</w:t>
      </w:r>
      <w:r w:rsidRPr="0014209E">
        <w:rPr>
          <w:b/>
          <w:bCs/>
          <w:lang w:val="en-GB"/>
        </w:rPr>
        <w:t xml:space="preserve"> – </w:t>
      </w:r>
      <w:r w:rsidR="003C0A77" w:rsidRPr="0014209E">
        <w:rPr>
          <w:b/>
          <w:bCs/>
          <w:lang w:val="en-GB"/>
        </w:rPr>
        <w:t xml:space="preserve">Network of Specialised </w:t>
      </w:r>
      <w:r w:rsidR="00137A77" w:rsidRPr="0014209E">
        <w:rPr>
          <w:b/>
          <w:bCs/>
          <w:lang w:val="en-GB"/>
        </w:rPr>
        <w:t xml:space="preserve">Scientific </w:t>
      </w:r>
      <w:r w:rsidR="003C0A77" w:rsidRPr="0014209E">
        <w:rPr>
          <w:b/>
          <w:bCs/>
          <w:lang w:val="en-GB"/>
        </w:rPr>
        <w:t xml:space="preserve">Centres </w:t>
      </w:r>
    </w:p>
    <w:p w14:paraId="6CDC3EF5" w14:textId="0177EEE8" w:rsidR="003C0A77" w:rsidRPr="0014209E" w:rsidRDefault="0010770F" w:rsidP="00194BD5">
      <w:pPr>
        <w:jc w:val="both"/>
        <w:rPr>
          <w:lang w:val="en-GB"/>
        </w:rPr>
      </w:pPr>
      <w:r w:rsidRPr="0014209E">
        <w:rPr>
          <w:lang w:val="en-GB"/>
        </w:rPr>
        <w:t>5</w:t>
      </w:r>
      <w:r w:rsidR="007831AE" w:rsidRPr="0014209E">
        <w:rPr>
          <w:lang w:val="en-GB"/>
        </w:rPr>
        <w:t xml:space="preserve">.1       The </w:t>
      </w:r>
      <w:r w:rsidR="003C0A77" w:rsidRPr="0014209E">
        <w:rPr>
          <w:lang w:val="en-GB"/>
        </w:rPr>
        <w:t xml:space="preserve">Network of Specialised </w:t>
      </w:r>
      <w:r w:rsidR="00137A77" w:rsidRPr="0014209E">
        <w:rPr>
          <w:lang w:val="en-GB"/>
        </w:rPr>
        <w:t xml:space="preserve">Scientific </w:t>
      </w:r>
      <w:r w:rsidR="003C0A77" w:rsidRPr="0014209E">
        <w:rPr>
          <w:lang w:val="en-GB"/>
        </w:rPr>
        <w:t xml:space="preserve">Centres </w:t>
      </w:r>
      <w:r w:rsidR="007831AE" w:rsidRPr="0014209E">
        <w:rPr>
          <w:lang w:val="en-GB"/>
        </w:rPr>
        <w:t xml:space="preserve">shall be composed of </w:t>
      </w:r>
      <w:r w:rsidRPr="0014209E">
        <w:rPr>
          <w:lang w:val="en-GB"/>
        </w:rPr>
        <w:t>scientific research institutions holding expertise in a specific field of disaster risk reduction, in particular</w:t>
      </w:r>
      <w:r w:rsidR="0014209E">
        <w:rPr>
          <w:lang w:val="en-GB"/>
        </w:rPr>
        <w:t>:</w:t>
      </w:r>
      <w:r w:rsidRPr="0014209E">
        <w:rPr>
          <w:lang w:val="en-GB"/>
        </w:rPr>
        <w:t xml:space="preserve"> knowledge, prevention, preparedness, risk management and post-crisis analysis.</w:t>
      </w:r>
    </w:p>
    <w:p w14:paraId="7B1D321A" w14:textId="77777777" w:rsidR="00D95CE4" w:rsidRDefault="0010770F" w:rsidP="00194BD5">
      <w:pPr>
        <w:jc w:val="both"/>
        <w:rPr>
          <w:lang w:val="en-GB"/>
        </w:rPr>
      </w:pPr>
      <w:r w:rsidRPr="0014209E">
        <w:rPr>
          <w:lang w:val="en-GB"/>
        </w:rPr>
        <w:t>5</w:t>
      </w:r>
      <w:r w:rsidR="003C0A77" w:rsidRPr="0014209E">
        <w:rPr>
          <w:lang w:val="en-GB"/>
        </w:rPr>
        <w:t>.2.</w:t>
      </w:r>
      <w:r w:rsidR="003C0A77" w:rsidRPr="0014209E">
        <w:rPr>
          <w:lang w:val="en-GB"/>
        </w:rPr>
        <w:tab/>
        <w:t>The criteria for inclusion of a specialised</w:t>
      </w:r>
      <w:r w:rsidR="00137A77" w:rsidRPr="0014209E">
        <w:rPr>
          <w:lang w:val="en-GB"/>
        </w:rPr>
        <w:t xml:space="preserve"> scientific</w:t>
      </w:r>
      <w:r w:rsidR="003C0A77" w:rsidRPr="0014209E">
        <w:rPr>
          <w:lang w:val="en-GB"/>
        </w:rPr>
        <w:t xml:space="preserve"> centre in the Network shall be established in the rules of procedure of the Committee of Permanent Correspondents</w:t>
      </w:r>
      <w:r w:rsidRPr="0014209E">
        <w:rPr>
          <w:lang w:val="en-GB"/>
        </w:rPr>
        <w:t xml:space="preserve">. The Executive Secretary shall inform the Committee about </w:t>
      </w:r>
      <w:r w:rsidR="006C0E45" w:rsidRPr="0014209E">
        <w:rPr>
          <w:lang w:val="en-GB"/>
        </w:rPr>
        <w:t>a c</w:t>
      </w:r>
      <w:r w:rsidRPr="0014209E">
        <w:rPr>
          <w:lang w:val="en-GB"/>
        </w:rPr>
        <w:t xml:space="preserve">entre no longer meeting the criteria with the view to enabling it to take a decision </w:t>
      </w:r>
      <w:r w:rsidR="006C0E45" w:rsidRPr="0014209E">
        <w:rPr>
          <w:lang w:val="en-GB"/>
        </w:rPr>
        <w:t>on its</w:t>
      </w:r>
      <w:r w:rsidRPr="0014209E">
        <w:rPr>
          <w:lang w:val="en-GB"/>
        </w:rPr>
        <w:t xml:space="preserve"> continued membership in the Network.  </w:t>
      </w:r>
    </w:p>
    <w:p w14:paraId="165427D9" w14:textId="1E541D36" w:rsidR="006455B6" w:rsidRPr="006455B6" w:rsidRDefault="00D95CE4" w:rsidP="00194BD5">
      <w:pPr>
        <w:jc w:val="both"/>
        <w:rPr>
          <w:lang w:val="en-GB"/>
        </w:rPr>
      </w:pPr>
      <w:r>
        <w:rPr>
          <w:lang w:val="en-GB"/>
        </w:rPr>
        <w:t>5.3</w:t>
      </w:r>
      <w:r>
        <w:rPr>
          <w:lang w:val="en-GB"/>
        </w:rPr>
        <w:tab/>
      </w:r>
      <w:r w:rsidR="006455B6" w:rsidRPr="006455B6">
        <w:rPr>
          <w:lang w:val="en-GB"/>
        </w:rPr>
        <w:t>The inclusion or exclusion of a scientific research institution in the Network of Specialised Scientific Centres shall be a</w:t>
      </w:r>
      <w:r w:rsidR="006455B6">
        <w:rPr>
          <w:lang w:val="en-GB"/>
        </w:rPr>
        <w:t xml:space="preserve"> </w:t>
      </w:r>
      <w:r w:rsidR="006455B6" w:rsidRPr="006455B6">
        <w:rPr>
          <w:lang w:val="en-GB"/>
        </w:rPr>
        <w:t>responsibility of the Committee of Permanent Correspondents.</w:t>
      </w:r>
    </w:p>
    <w:p w14:paraId="4EEF5E7E" w14:textId="14AF88D5" w:rsidR="0010770F" w:rsidRPr="0014209E" w:rsidRDefault="0010770F" w:rsidP="00194BD5">
      <w:pPr>
        <w:jc w:val="both"/>
        <w:rPr>
          <w:lang w:val="en-GB"/>
        </w:rPr>
      </w:pPr>
      <w:r w:rsidRPr="0014209E">
        <w:rPr>
          <w:lang w:val="en-GB"/>
        </w:rPr>
        <w:t>5.</w:t>
      </w:r>
      <w:r w:rsidR="00D95CE4">
        <w:rPr>
          <w:lang w:val="en-GB"/>
        </w:rPr>
        <w:t>4</w:t>
      </w:r>
      <w:r w:rsidRPr="0014209E">
        <w:rPr>
          <w:lang w:val="en-GB"/>
        </w:rPr>
        <w:tab/>
        <w:t xml:space="preserve">Representatives of Specialised Centres shall meet at least once a year to present outcomes of projects funded by the EPA and make proposals for </w:t>
      </w:r>
      <w:r w:rsidR="00E32B62">
        <w:rPr>
          <w:lang w:val="en-GB"/>
        </w:rPr>
        <w:t xml:space="preserve">future </w:t>
      </w:r>
      <w:r w:rsidRPr="0014209E">
        <w:rPr>
          <w:lang w:val="en-GB"/>
        </w:rPr>
        <w:t xml:space="preserve">projects. </w:t>
      </w:r>
    </w:p>
    <w:p w14:paraId="2522BBF1" w14:textId="10CE0535" w:rsidR="007831AE" w:rsidRPr="0014209E" w:rsidRDefault="007831AE" w:rsidP="00194BD5">
      <w:pPr>
        <w:jc w:val="both"/>
        <w:rPr>
          <w:lang w:val="en-GB"/>
        </w:rPr>
      </w:pPr>
    </w:p>
    <w:p w14:paraId="4090DB3A" w14:textId="3B3A0B16" w:rsidR="007831AE" w:rsidRDefault="007831AE" w:rsidP="00194BD5">
      <w:pPr>
        <w:jc w:val="both"/>
        <w:rPr>
          <w:b/>
          <w:bCs/>
          <w:lang w:val="en-GB"/>
        </w:rPr>
      </w:pPr>
      <w:r w:rsidRPr="0014209E">
        <w:rPr>
          <w:b/>
          <w:bCs/>
          <w:lang w:val="en-GB"/>
        </w:rPr>
        <w:t>Article 6 – Budget</w:t>
      </w:r>
    </w:p>
    <w:p w14:paraId="63346854" w14:textId="368FD47A" w:rsidR="006455B6" w:rsidRPr="00D95CE4" w:rsidRDefault="006455B6" w:rsidP="00194BD5">
      <w:pPr>
        <w:jc w:val="both"/>
        <w:rPr>
          <w:lang w:val="en-GB"/>
        </w:rPr>
      </w:pPr>
      <w:r w:rsidRPr="00D95CE4">
        <w:rPr>
          <w:lang w:val="en-GB"/>
        </w:rPr>
        <w:t>6.1       The EPA’s budget shall be adopted</w:t>
      </w:r>
      <w:r w:rsidR="00286860" w:rsidRPr="006D4D61">
        <w:rPr>
          <w:rFonts w:ascii="Helvetica Neue" w:hAnsi="Helvetica Neue"/>
          <w:color w:val="333333"/>
          <w:sz w:val="20"/>
          <w:szCs w:val="20"/>
          <w:shd w:val="clear" w:color="auto" w:fill="FFFFFF"/>
          <w:lang w:val="en-GB"/>
        </w:rPr>
        <w:t xml:space="preserve"> annually by the Committee of Ministers, in its composition restricted to the representatives of the States members of the EPA</w:t>
      </w:r>
      <w:r w:rsidR="002177A4" w:rsidRPr="006D4D61">
        <w:rPr>
          <w:rFonts w:ascii="Helvetica Neue" w:hAnsi="Helvetica Neue"/>
          <w:color w:val="333333"/>
          <w:sz w:val="20"/>
          <w:szCs w:val="20"/>
          <w:shd w:val="clear" w:color="auto" w:fill="FFFFFF"/>
          <w:lang w:val="en-GB"/>
        </w:rPr>
        <w:t>,</w:t>
      </w:r>
      <w:r w:rsidR="002177A4" w:rsidRPr="006D4D61">
        <w:rPr>
          <w:rFonts w:ascii="Helvetica Neue" w:hAnsi="Helvetica Neue" w:hint="eastAsia"/>
          <w:color w:val="333333"/>
          <w:sz w:val="20"/>
          <w:szCs w:val="20"/>
          <w:shd w:val="clear" w:color="auto" w:fill="FFFFFF"/>
          <w:lang w:val="en-GB"/>
        </w:rPr>
        <w:t> </w:t>
      </w:r>
      <w:r w:rsidR="002177A4" w:rsidRPr="006D4D61">
        <w:rPr>
          <w:rFonts w:ascii="Helvetica Neue" w:hAnsi="Helvetica Neue"/>
          <w:color w:val="333333"/>
          <w:sz w:val="20"/>
          <w:szCs w:val="20"/>
          <w:shd w:val="clear" w:color="auto" w:fill="FFFFFF"/>
          <w:lang w:val="en-GB"/>
        </w:rPr>
        <w:t>in accordance with the rules and procedures in force within the Organisation</w:t>
      </w:r>
      <w:r w:rsidRPr="00D95CE4">
        <w:rPr>
          <w:lang w:val="en-GB"/>
        </w:rPr>
        <w:t>.</w:t>
      </w:r>
    </w:p>
    <w:p w14:paraId="6C9344CA" w14:textId="77777777" w:rsidR="006455B6" w:rsidRPr="00D95CE4" w:rsidRDefault="006455B6" w:rsidP="00194BD5">
      <w:pPr>
        <w:jc w:val="both"/>
        <w:rPr>
          <w:lang w:val="en-GB"/>
        </w:rPr>
      </w:pPr>
      <w:r w:rsidRPr="00D95CE4">
        <w:rPr>
          <w:lang w:val="en-GB"/>
        </w:rPr>
        <w:t>6.2</w:t>
      </w:r>
      <w:r w:rsidRPr="00D95CE4">
        <w:rPr>
          <w:lang w:val="en-GB"/>
        </w:rPr>
        <w:tab/>
        <w:t>The EPA resources shall comprise:</w:t>
      </w:r>
    </w:p>
    <w:p w14:paraId="68C2F743" w14:textId="46D72E7A" w:rsidR="006455B6" w:rsidRPr="00D95CE4" w:rsidRDefault="006455B6" w:rsidP="00194BD5">
      <w:pPr>
        <w:ind w:left="1134" w:hanging="425"/>
        <w:jc w:val="both"/>
        <w:rPr>
          <w:lang w:val="en-GB"/>
        </w:rPr>
      </w:pPr>
      <w:r w:rsidRPr="00D95CE4">
        <w:rPr>
          <w:lang w:val="en-GB"/>
        </w:rPr>
        <w:t xml:space="preserve">a. </w:t>
      </w:r>
      <w:r w:rsidR="00D95CE4">
        <w:rPr>
          <w:lang w:val="en-GB"/>
        </w:rPr>
        <w:tab/>
      </w:r>
      <w:r w:rsidRPr="00D95CE4">
        <w:rPr>
          <w:lang w:val="en-GB"/>
        </w:rPr>
        <w:t>the annual compulsory contributions of members of the</w:t>
      </w:r>
      <w:bookmarkStart w:id="1" w:name="_Hlk64282389"/>
      <w:r w:rsidR="00286860">
        <w:rPr>
          <w:lang w:val="en-GB"/>
        </w:rPr>
        <w:t xml:space="preserve"> EPA</w:t>
      </w:r>
      <w:r w:rsidRPr="00D95CE4">
        <w:rPr>
          <w:lang w:val="en-GB"/>
        </w:rPr>
        <w:t>;</w:t>
      </w:r>
      <w:bookmarkEnd w:id="1"/>
      <w:r w:rsidRPr="00D95CE4">
        <w:rPr>
          <w:lang w:val="en-GB"/>
        </w:rPr>
        <w:t xml:space="preserve"> </w:t>
      </w:r>
    </w:p>
    <w:p w14:paraId="1A94A52D" w14:textId="481ED636" w:rsidR="006455B6" w:rsidRPr="00D95CE4" w:rsidRDefault="006455B6" w:rsidP="00194BD5">
      <w:pPr>
        <w:ind w:left="1134" w:hanging="425"/>
        <w:jc w:val="both"/>
        <w:rPr>
          <w:lang w:val="en-GB"/>
        </w:rPr>
      </w:pPr>
      <w:r w:rsidRPr="00D95CE4">
        <w:rPr>
          <w:lang w:val="en-GB"/>
        </w:rPr>
        <w:t xml:space="preserve">b. </w:t>
      </w:r>
      <w:r w:rsidR="00D95CE4">
        <w:rPr>
          <w:lang w:val="en-GB"/>
        </w:rPr>
        <w:tab/>
      </w:r>
      <w:r w:rsidRPr="00D95CE4">
        <w:rPr>
          <w:lang w:val="en-GB"/>
        </w:rPr>
        <w:t xml:space="preserve">additional voluntary contributions of members of the </w:t>
      </w:r>
      <w:r w:rsidR="00286860">
        <w:rPr>
          <w:lang w:val="en-GB"/>
        </w:rPr>
        <w:t xml:space="preserve"> EPA</w:t>
      </w:r>
      <w:r w:rsidRPr="00D95CE4">
        <w:rPr>
          <w:lang w:val="en-GB"/>
        </w:rPr>
        <w:t xml:space="preserve">; </w:t>
      </w:r>
    </w:p>
    <w:p w14:paraId="53916F09" w14:textId="620CB1ED" w:rsidR="006455B6" w:rsidRPr="00D95CE4" w:rsidRDefault="006455B6" w:rsidP="00194BD5">
      <w:pPr>
        <w:ind w:left="1134" w:hanging="425"/>
        <w:jc w:val="both"/>
        <w:rPr>
          <w:lang w:val="en-GB"/>
        </w:rPr>
      </w:pPr>
      <w:r w:rsidRPr="00D95CE4">
        <w:rPr>
          <w:lang w:val="en-GB"/>
        </w:rPr>
        <w:t xml:space="preserve">c. </w:t>
      </w:r>
      <w:r w:rsidR="00D95CE4">
        <w:rPr>
          <w:lang w:val="en-GB"/>
        </w:rPr>
        <w:tab/>
      </w:r>
      <w:r w:rsidRPr="00D95CE4">
        <w:rPr>
          <w:lang w:val="en-GB"/>
        </w:rPr>
        <w:t>payments for services provided by the</w:t>
      </w:r>
      <w:r w:rsidR="00286860">
        <w:rPr>
          <w:lang w:val="en-GB"/>
        </w:rPr>
        <w:t xml:space="preserve"> EPA</w:t>
      </w:r>
      <w:r w:rsidRPr="00D95CE4">
        <w:rPr>
          <w:lang w:val="en-GB"/>
        </w:rPr>
        <w:t xml:space="preserve">; </w:t>
      </w:r>
    </w:p>
    <w:p w14:paraId="0D5D953F" w14:textId="1355F5FA" w:rsidR="006455B6" w:rsidRPr="00D95CE4" w:rsidRDefault="006455B6" w:rsidP="00194BD5">
      <w:pPr>
        <w:ind w:left="1134" w:hanging="425"/>
        <w:jc w:val="both"/>
        <w:rPr>
          <w:lang w:val="en-GB"/>
        </w:rPr>
      </w:pPr>
      <w:r w:rsidRPr="00D95CE4">
        <w:rPr>
          <w:lang w:val="en-GB"/>
        </w:rPr>
        <w:t xml:space="preserve">d. </w:t>
      </w:r>
      <w:r w:rsidR="00D95CE4">
        <w:rPr>
          <w:lang w:val="en-GB"/>
        </w:rPr>
        <w:tab/>
      </w:r>
      <w:r w:rsidRPr="00D95CE4">
        <w:rPr>
          <w:lang w:val="en-GB"/>
        </w:rPr>
        <w:t xml:space="preserve">any other payments, gifts or legacies, subject to paragraph 6.3 below; </w:t>
      </w:r>
    </w:p>
    <w:p w14:paraId="5A3357B8" w14:textId="32EE170F" w:rsidR="006455B6" w:rsidRPr="006455B6" w:rsidRDefault="006455B6" w:rsidP="00194BD5">
      <w:pPr>
        <w:ind w:left="1134" w:hanging="425"/>
        <w:jc w:val="both"/>
        <w:rPr>
          <w:b/>
          <w:bCs/>
          <w:lang w:val="en-GB"/>
        </w:rPr>
      </w:pPr>
      <w:r w:rsidRPr="00D95CE4">
        <w:rPr>
          <w:lang w:val="en-GB"/>
        </w:rPr>
        <w:t xml:space="preserve">e. </w:t>
      </w:r>
      <w:r w:rsidR="00D95CE4">
        <w:rPr>
          <w:lang w:val="en-GB"/>
        </w:rPr>
        <w:tab/>
      </w:r>
      <w:r w:rsidRPr="00D95CE4">
        <w:rPr>
          <w:lang w:val="en-GB"/>
        </w:rPr>
        <w:t>the credit balance of the last closed and approved financial exercise</w:t>
      </w:r>
      <w:r w:rsidR="00D95CE4">
        <w:rPr>
          <w:lang w:val="en-GB"/>
        </w:rPr>
        <w:t>.</w:t>
      </w:r>
    </w:p>
    <w:p w14:paraId="2635485C" w14:textId="30768AE8" w:rsidR="007831AE" w:rsidRPr="0014209E" w:rsidRDefault="00D95CE4" w:rsidP="00194BD5">
      <w:pPr>
        <w:jc w:val="both"/>
        <w:rPr>
          <w:lang w:val="en-GB"/>
        </w:rPr>
      </w:pPr>
      <w:r>
        <w:rPr>
          <w:lang w:val="en-GB"/>
        </w:rPr>
        <w:t>6.</w:t>
      </w:r>
      <w:r w:rsidR="00377AB9">
        <w:rPr>
          <w:lang w:val="en-GB"/>
        </w:rPr>
        <w:t>3</w:t>
      </w:r>
      <w:r>
        <w:rPr>
          <w:lang w:val="en-GB"/>
        </w:rPr>
        <w:tab/>
      </w:r>
      <w:r w:rsidR="007831AE" w:rsidRPr="0014209E">
        <w:rPr>
          <w:lang w:val="en-GB"/>
        </w:rPr>
        <w:t>The EPA may receive contributions by the European Union.</w:t>
      </w:r>
    </w:p>
    <w:p w14:paraId="6525BEAC" w14:textId="4EBBAD8A" w:rsidR="007831AE" w:rsidRPr="0014209E" w:rsidRDefault="007831AE" w:rsidP="00194BD5">
      <w:pPr>
        <w:jc w:val="both"/>
        <w:rPr>
          <w:lang w:val="en-GB"/>
        </w:rPr>
      </w:pPr>
      <w:r w:rsidRPr="0014209E">
        <w:rPr>
          <w:lang w:val="en-GB"/>
        </w:rPr>
        <w:t>6.</w:t>
      </w:r>
      <w:r w:rsidR="00377AB9">
        <w:rPr>
          <w:lang w:val="en-GB"/>
        </w:rPr>
        <w:t>4</w:t>
      </w:r>
      <w:r w:rsidRPr="0014209E">
        <w:rPr>
          <w:lang w:val="en-GB"/>
        </w:rPr>
        <w:t>       Expenditure related to the implementation of the programme of activities and common secretariat expenditure shall be covered by the partial agreement budget funded by the member</w:t>
      </w:r>
      <w:r w:rsidR="004C134D">
        <w:rPr>
          <w:lang w:val="en-GB"/>
        </w:rPr>
        <w:t xml:space="preserve"> State</w:t>
      </w:r>
      <w:r w:rsidRPr="0014209E">
        <w:rPr>
          <w:lang w:val="en-GB"/>
        </w:rPr>
        <w:t xml:space="preserve">s of the EPA. </w:t>
      </w:r>
    </w:p>
    <w:p w14:paraId="7410B0BC" w14:textId="1C12C8E9" w:rsidR="007831AE" w:rsidRPr="0014209E" w:rsidRDefault="007831AE" w:rsidP="00194BD5">
      <w:pPr>
        <w:jc w:val="both"/>
        <w:rPr>
          <w:lang w:val="en-GB"/>
        </w:rPr>
      </w:pPr>
      <w:r w:rsidRPr="0014209E">
        <w:rPr>
          <w:lang w:val="en-GB"/>
        </w:rPr>
        <w:t>6.</w:t>
      </w:r>
      <w:r w:rsidR="00377AB9">
        <w:rPr>
          <w:lang w:val="en-GB"/>
        </w:rPr>
        <w:t>5</w:t>
      </w:r>
      <w:r w:rsidR="00D95CE4">
        <w:rPr>
          <w:lang w:val="en-GB"/>
        </w:rPr>
        <w:tab/>
      </w:r>
      <w:r w:rsidR="00866664">
        <w:rPr>
          <w:lang w:val="en-GB"/>
        </w:rPr>
        <w:t>V</w:t>
      </w:r>
      <w:r w:rsidRPr="0014209E">
        <w:rPr>
          <w:lang w:val="en-GB"/>
        </w:rPr>
        <w:t xml:space="preserve">oluntary and other contributions connected with the work of the </w:t>
      </w:r>
      <w:r w:rsidR="00002BAD">
        <w:rPr>
          <w:lang w:val="en-GB"/>
        </w:rPr>
        <w:t>EPA</w:t>
      </w:r>
      <w:r w:rsidRPr="0014209E">
        <w:rPr>
          <w:lang w:val="en-GB"/>
        </w:rPr>
        <w:t xml:space="preserve">, </w:t>
      </w:r>
      <w:r w:rsidR="00866664">
        <w:rPr>
          <w:lang w:val="en-GB"/>
        </w:rPr>
        <w:t xml:space="preserve">may be accepted, </w:t>
      </w:r>
      <w:r w:rsidRPr="0014209E">
        <w:rPr>
          <w:lang w:val="en-GB"/>
        </w:rPr>
        <w:t xml:space="preserve">subject to the </w:t>
      </w:r>
      <w:r w:rsidR="00866664">
        <w:rPr>
          <w:lang w:val="en-GB"/>
        </w:rPr>
        <w:t xml:space="preserve">prior </w:t>
      </w:r>
      <w:r w:rsidRPr="0014209E">
        <w:rPr>
          <w:lang w:val="en-GB"/>
        </w:rPr>
        <w:t xml:space="preserve">authorisation of the </w:t>
      </w:r>
      <w:r w:rsidR="0010770F" w:rsidRPr="0014209E">
        <w:rPr>
          <w:lang w:val="en-GB"/>
        </w:rPr>
        <w:t>Committee of Permanent Correspondents</w:t>
      </w:r>
      <w:r w:rsidR="00866664">
        <w:rPr>
          <w:lang w:val="en-GB"/>
        </w:rPr>
        <w:t>.</w:t>
      </w:r>
      <w:r w:rsidRPr="0014209E">
        <w:rPr>
          <w:lang w:val="en-GB"/>
        </w:rPr>
        <w:t xml:space="preserve"> These contributions shall be paid into a special account, opened under the terms of Article 4.2 of the Financial Regulations of the Council of Europe, monitored by the </w:t>
      </w:r>
      <w:r w:rsidR="0010770F" w:rsidRPr="0014209E">
        <w:rPr>
          <w:lang w:val="en-GB"/>
        </w:rPr>
        <w:t xml:space="preserve">Committee of Permanent Correspondents </w:t>
      </w:r>
      <w:r w:rsidRPr="0014209E">
        <w:rPr>
          <w:lang w:val="en-GB"/>
        </w:rPr>
        <w:t xml:space="preserve">and shall be earmarked for the objectives and tasks specified, provided that they are consistent with the aims of the </w:t>
      </w:r>
      <w:r w:rsidR="00866664">
        <w:rPr>
          <w:lang w:val="en-GB"/>
        </w:rPr>
        <w:t>S</w:t>
      </w:r>
      <w:r w:rsidRPr="0014209E">
        <w:rPr>
          <w:lang w:val="en-GB"/>
        </w:rPr>
        <w:t>tatute.</w:t>
      </w:r>
    </w:p>
    <w:p w14:paraId="3F591DD9" w14:textId="61FFB354" w:rsidR="007831AE" w:rsidRPr="0014209E" w:rsidRDefault="007831AE" w:rsidP="00194BD5">
      <w:pPr>
        <w:jc w:val="both"/>
        <w:rPr>
          <w:lang w:val="en-GB"/>
        </w:rPr>
      </w:pPr>
      <w:r w:rsidRPr="0014209E">
        <w:rPr>
          <w:lang w:val="en-GB"/>
        </w:rPr>
        <w:t>6.</w:t>
      </w:r>
      <w:r w:rsidR="00377AB9">
        <w:rPr>
          <w:lang w:val="en-GB"/>
        </w:rPr>
        <w:t>6</w:t>
      </w:r>
      <w:r w:rsidRPr="0014209E">
        <w:rPr>
          <w:lang w:val="en-GB"/>
        </w:rPr>
        <w:t>       The EPA assets shall be acquired and held on behalf of the Council of Europe and shall benefit as such from the privileges and immunities applicable to the Council's assets under existing agreements.</w:t>
      </w:r>
    </w:p>
    <w:p w14:paraId="58DAE9EB" w14:textId="298F81EC" w:rsidR="007831AE" w:rsidRPr="0014209E" w:rsidRDefault="007831AE" w:rsidP="00194BD5">
      <w:pPr>
        <w:jc w:val="both"/>
        <w:rPr>
          <w:lang w:val="en-GB"/>
        </w:rPr>
      </w:pPr>
      <w:r w:rsidRPr="0014209E">
        <w:rPr>
          <w:lang w:val="en-GB"/>
        </w:rPr>
        <w:t>6.</w:t>
      </w:r>
      <w:r w:rsidR="00377AB9">
        <w:rPr>
          <w:lang w:val="en-GB"/>
        </w:rPr>
        <w:t>7</w:t>
      </w:r>
      <w:r w:rsidRPr="0014209E">
        <w:rPr>
          <w:lang w:val="en-GB"/>
        </w:rPr>
        <w:t xml:space="preserve">       Travel and subsistence expenses of persons attending meetings of the </w:t>
      </w:r>
      <w:r w:rsidR="0010770F" w:rsidRPr="0014209E">
        <w:rPr>
          <w:lang w:val="en-GB"/>
        </w:rPr>
        <w:t xml:space="preserve">Committee of Permanent Correspondents </w:t>
      </w:r>
      <w:r w:rsidRPr="0014209E">
        <w:rPr>
          <w:lang w:val="en-GB"/>
        </w:rPr>
        <w:t xml:space="preserve">and its Bureau and, where appropriate, the </w:t>
      </w:r>
      <w:r w:rsidR="0010770F" w:rsidRPr="0014209E">
        <w:rPr>
          <w:lang w:val="en-GB"/>
        </w:rPr>
        <w:t>Ministerial Meeting</w:t>
      </w:r>
      <w:r w:rsidR="0086634D" w:rsidRPr="0014209E">
        <w:rPr>
          <w:lang w:val="en-GB"/>
        </w:rPr>
        <w:t>s</w:t>
      </w:r>
      <w:r w:rsidR="0093435D" w:rsidRPr="0014209E">
        <w:rPr>
          <w:lang w:val="en-GB"/>
        </w:rPr>
        <w:t xml:space="preserve"> </w:t>
      </w:r>
      <w:r w:rsidRPr="0014209E">
        <w:rPr>
          <w:lang w:val="en-GB"/>
        </w:rPr>
        <w:t xml:space="preserve">shall be </w:t>
      </w:r>
      <w:r w:rsidRPr="0014209E">
        <w:rPr>
          <w:lang w:val="en-GB"/>
        </w:rPr>
        <w:lastRenderedPageBreak/>
        <w:t>borne by the State or the organisation concerned</w:t>
      </w:r>
      <w:r w:rsidR="004C134D">
        <w:rPr>
          <w:lang w:val="en-GB"/>
        </w:rPr>
        <w:t>, unless otherwise decided by the Committee of Permanent Correspondents</w:t>
      </w:r>
      <w:r w:rsidRPr="0014209E">
        <w:rPr>
          <w:lang w:val="en-GB"/>
        </w:rPr>
        <w:t>.</w:t>
      </w:r>
    </w:p>
    <w:p w14:paraId="614CBF46" w14:textId="0177FD80" w:rsidR="007831AE" w:rsidRPr="0014209E" w:rsidRDefault="007831AE" w:rsidP="00194BD5">
      <w:pPr>
        <w:jc w:val="both"/>
        <w:rPr>
          <w:lang w:val="en-GB"/>
        </w:rPr>
      </w:pPr>
      <w:r w:rsidRPr="0014209E">
        <w:rPr>
          <w:lang w:val="en-GB"/>
        </w:rPr>
        <w:t>6.</w:t>
      </w:r>
      <w:r w:rsidR="00377AB9">
        <w:rPr>
          <w:lang w:val="en-GB"/>
        </w:rPr>
        <w:t>8</w:t>
      </w:r>
      <w:r w:rsidRPr="0014209E">
        <w:rPr>
          <w:lang w:val="en-GB"/>
        </w:rPr>
        <w:t xml:space="preserve">       The travel and subsistence expenses of persons attending the </w:t>
      </w:r>
      <w:r w:rsidR="0093435D" w:rsidRPr="0014209E">
        <w:rPr>
          <w:lang w:val="en-GB"/>
        </w:rPr>
        <w:t xml:space="preserve">meeting of the Network of Specialised </w:t>
      </w:r>
      <w:r w:rsidR="006C0E45" w:rsidRPr="0014209E">
        <w:rPr>
          <w:lang w:val="en-GB"/>
        </w:rPr>
        <w:t xml:space="preserve">Scientific </w:t>
      </w:r>
      <w:r w:rsidR="0093435D" w:rsidRPr="0014209E">
        <w:rPr>
          <w:lang w:val="en-GB"/>
        </w:rPr>
        <w:t xml:space="preserve">Centres </w:t>
      </w:r>
      <w:r w:rsidRPr="0014209E">
        <w:rPr>
          <w:lang w:val="en-GB"/>
        </w:rPr>
        <w:t xml:space="preserve">shall be paid by the participants, unless otherwise decided by the </w:t>
      </w:r>
      <w:r w:rsidR="0093435D" w:rsidRPr="0014209E">
        <w:rPr>
          <w:lang w:val="en-GB"/>
        </w:rPr>
        <w:t xml:space="preserve">Committee of Permanent Correspondents </w:t>
      </w:r>
      <w:r w:rsidRPr="0014209E">
        <w:rPr>
          <w:lang w:val="en-GB"/>
        </w:rPr>
        <w:t>on the basis of allocations specified in the operational budget of the EPA.</w:t>
      </w:r>
    </w:p>
    <w:p w14:paraId="5852D7A4" w14:textId="7344C4E7" w:rsidR="007831AE" w:rsidRPr="0014209E" w:rsidRDefault="007831AE" w:rsidP="00194BD5">
      <w:pPr>
        <w:jc w:val="both"/>
        <w:rPr>
          <w:lang w:val="en-GB"/>
        </w:rPr>
      </w:pPr>
      <w:r w:rsidRPr="0014209E">
        <w:rPr>
          <w:lang w:val="en-GB"/>
        </w:rPr>
        <w:t>6.</w:t>
      </w:r>
      <w:r w:rsidR="00377AB9">
        <w:rPr>
          <w:lang w:val="en-GB"/>
        </w:rPr>
        <w:t>9</w:t>
      </w:r>
      <w:r w:rsidRPr="0014209E">
        <w:rPr>
          <w:lang w:val="en-GB"/>
        </w:rPr>
        <w:t>       The Financial Regulations of the Council of Europe shall apply, </w:t>
      </w:r>
      <w:r w:rsidRPr="0014209E">
        <w:rPr>
          <w:i/>
          <w:iCs/>
          <w:lang w:val="en-GB"/>
        </w:rPr>
        <w:t>mutatis mutandis</w:t>
      </w:r>
      <w:r w:rsidRPr="0014209E">
        <w:rPr>
          <w:lang w:val="en-GB"/>
        </w:rPr>
        <w:t>, to the adoption and management of the EPA budget.</w:t>
      </w:r>
    </w:p>
    <w:p w14:paraId="7962CAAA" w14:textId="77777777" w:rsidR="00DD428F" w:rsidRPr="0014209E" w:rsidRDefault="00DD428F" w:rsidP="00194BD5">
      <w:pPr>
        <w:jc w:val="both"/>
        <w:rPr>
          <w:lang w:val="en-GB"/>
        </w:rPr>
      </w:pPr>
    </w:p>
    <w:p w14:paraId="7D27880A" w14:textId="77777777" w:rsidR="007831AE" w:rsidRPr="0014209E" w:rsidRDefault="007831AE" w:rsidP="00194BD5">
      <w:pPr>
        <w:jc w:val="both"/>
        <w:rPr>
          <w:lang w:val="en-GB"/>
        </w:rPr>
      </w:pPr>
      <w:r w:rsidRPr="0014209E">
        <w:rPr>
          <w:b/>
          <w:bCs/>
          <w:lang w:val="en-GB"/>
        </w:rPr>
        <w:t>Article 7 – Secretariat</w:t>
      </w:r>
    </w:p>
    <w:p w14:paraId="709AE330" w14:textId="09D03A8E" w:rsidR="007831AE" w:rsidRPr="0014209E" w:rsidRDefault="007831AE" w:rsidP="00194BD5">
      <w:pPr>
        <w:jc w:val="both"/>
        <w:rPr>
          <w:lang w:val="en-GB"/>
        </w:rPr>
      </w:pPr>
      <w:r w:rsidRPr="0014209E">
        <w:rPr>
          <w:lang w:val="en-GB"/>
        </w:rPr>
        <w:t xml:space="preserve">7.1       The Secretariat of the EPA, headed by an Executive Secretary, </w:t>
      </w:r>
      <w:r w:rsidR="00427578">
        <w:rPr>
          <w:lang w:val="en-GB"/>
        </w:rPr>
        <w:t xml:space="preserve">is </w:t>
      </w:r>
      <w:r w:rsidRPr="0014209E">
        <w:rPr>
          <w:lang w:val="en-GB"/>
        </w:rPr>
        <w:t>provided by the Secretary General of the Council of Europe.</w:t>
      </w:r>
    </w:p>
    <w:p w14:paraId="39CDDDBF" w14:textId="77777777" w:rsidR="00866664" w:rsidRDefault="00866664" w:rsidP="00194BD5">
      <w:pPr>
        <w:jc w:val="both"/>
        <w:rPr>
          <w:b/>
          <w:bCs/>
          <w:lang w:val="en-GB"/>
        </w:rPr>
      </w:pPr>
    </w:p>
    <w:p w14:paraId="18235E1D" w14:textId="2DAF5147" w:rsidR="006455B6" w:rsidRPr="00866664" w:rsidRDefault="00866664" w:rsidP="00194BD5">
      <w:pPr>
        <w:jc w:val="both"/>
        <w:rPr>
          <w:b/>
          <w:bCs/>
          <w:lang w:val="en-GB"/>
        </w:rPr>
      </w:pPr>
      <w:r w:rsidRPr="00866664">
        <w:rPr>
          <w:b/>
          <w:bCs/>
          <w:lang w:val="en-GB"/>
        </w:rPr>
        <w:t xml:space="preserve">Article 8 –  </w:t>
      </w:r>
      <w:r w:rsidR="006455B6" w:rsidRPr="00866664">
        <w:rPr>
          <w:b/>
          <w:bCs/>
          <w:lang w:val="en-GB"/>
        </w:rPr>
        <w:t>Headquarters</w:t>
      </w:r>
    </w:p>
    <w:p w14:paraId="1FDE401A" w14:textId="6BCB777F" w:rsidR="006455B6" w:rsidRPr="006455B6" w:rsidRDefault="00866664" w:rsidP="00194BD5">
      <w:pPr>
        <w:jc w:val="both"/>
        <w:rPr>
          <w:lang w:val="en-GB"/>
        </w:rPr>
      </w:pPr>
      <w:r>
        <w:rPr>
          <w:lang w:val="en-GB"/>
        </w:rPr>
        <w:t>8.1</w:t>
      </w:r>
      <w:r w:rsidR="006455B6" w:rsidRPr="006455B6">
        <w:rPr>
          <w:lang w:val="en-GB"/>
        </w:rPr>
        <w:t>     The EPA premises shall be in Strasbourg, the seat  of the Council of Europe.</w:t>
      </w:r>
    </w:p>
    <w:p w14:paraId="7918DEF5" w14:textId="77777777" w:rsidR="00490698" w:rsidRDefault="00490698" w:rsidP="00490698">
      <w:pPr>
        <w:jc w:val="both"/>
        <w:rPr>
          <w:b/>
          <w:bCs/>
          <w:lang w:val="en-GB"/>
        </w:rPr>
      </w:pPr>
    </w:p>
    <w:p w14:paraId="17455C60" w14:textId="69799A14" w:rsidR="00490698" w:rsidRPr="00490698" w:rsidRDefault="00490698" w:rsidP="00490698">
      <w:pPr>
        <w:jc w:val="both"/>
        <w:rPr>
          <w:lang w:val="en-GB"/>
        </w:rPr>
      </w:pPr>
      <w:r w:rsidRPr="00490698">
        <w:rPr>
          <w:b/>
          <w:bCs/>
          <w:lang w:val="en-GB"/>
        </w:rPr>
        <w:t xml:space="preserve">Article </w:t>
      </w:r>
      <w:r>
        <w:rPr>
          <w:b/>
          <w:bCs/>
          <w:lang w:val="en-GB"/>
        </w:rPr>
        <w:t>9</w:t>
      </w:r>
      <w:r w:rsidRPr="00490698">
        <w:rPr>
          <w:b/>
          <w:bCs/>
          <w:lang w:val="en-GB"/>
        </w:rPr>
        <w:t xml:space="preserve"> – Withdrawal</w:t>
      </w:r>
    </w:p>
    <w:p w14:paraId="5AF58280" w14:textId="279930BC" w:rsidR="00490698" w:rsidRPr="00490698" w:rsidRDefault="00490698" w:rsidP="00490698">
      <w:pPr>
        <w:jc w:val="both"/>
        <w:rPr>
          <w:lang w:val="en-GB"/>
        </w:rPr>
      </w:pPr>
      <w:r w:rsidRPr="00490698">
        <w:rPr>
          <w:lang w:val="en-GB"/>
        </w:rPr>
        <w:t> </w:t>
      </w:r>
      <w:r>
        <w:rPr>
          <w:lang w:val="en-GB"/>
        </w:rPr>
        <w:t>9</w:t>
      </w:r>
      <w:r w:rsidRPr="00490698">
        <w:rPr>
          <w:lang w:val="en-GB"/>
        </w:rPr>
        <w:t>.1       A member State may withdraw from the EPA by means of a declaration sent to the Secretary General of the Council of Europe.</w:t>
      </w:r>
    </w:p>
    <w:p w14:paraId="179C481C" w14:textId="78F461F6" w:rsidR="00490698" w:rsidRPr="00490698" w:rsidRDefault="00490698" w:rsidP="00490698">
      <w:pPr>
        <w:jc w:val="both"/>
        <w:rPr>
          <w:lang w:val="en-GB"/>
        </w:rPr>
      </w:pPr>
      <w:r>
        <w:rPr>
          <w:lang w:val="en-GB"/>
        </w:rPr>
        <w:t>9</w:t>
      </w:r>
      <w:r w:rsidRPr="00490698">
        <w:rPr>
          <w:lang w:val="en-GB"/>
        </w:rPr>
        <w:t>.2       The Secretary General shall acknowledge receipt of the declaration and so inform the members of the EPA.</w:t>
      </w:r>
    </w:p>
    <w:p w14:paraId="61872B51" w14:textId="139D6595" w:rsidR="00490698" w:rsidRPr="00490698" w:rsidRDefault="00490698" w:rsidP="00490698">
      <w:pPr>
        <w:jc w:val="both"/>
        <w:rPr>
          <w:lang w:val="en-GB"/>
        </w:rPr>
      </w:pPr>
      <w:r>
        <w:rPr>
          <w:lang w:val="en-GB"/>
        </w:rPr>
        <w:t>9</w:t>
      </w:r>
      <w:r w:rsidRPr="00490698">
        <w:rPr>
          <w:lang w:val="en-GB"/>
        </w:rPr>
        <w:t>.3       By analogy with Article 7 of the Statute of the Council of Europe, withdrawal shall take effect:</w:t>
      </w:r>
    </w:p>
    <w:p w14:paraId="1995B7C4" w14:textId="77777777" w:rsidR="00490698" w:rsidRPr="00490698" w:rsidRDefault="00490698" w:rsidP="00490698">
      <w:pPr>
        <w:numPr>
          <w:ilvl w:val="0"/>
          <w:numId w:val="5"/>
        </w:numPr>
        <w:jc w:val="both"/>
        <w:rPr>
          <w:lang w:val="en-GB"/>
        </w:rPr>
      </w:pPr>
      <w:r w:rsidRPr="00490698">
        <w:rPr>
          <w:lang w:val="en-GB"/>
        </w:rPr>
        <w:t>at the end of the financial year in which it is notified, if such notification is given before 1 June of that financial year;</w:t>
      </w:r>
    </w:p>
    <w:p w14:paraId="1FB79EEA" w14:textId="77777777" w:rsidR="00490698" w:rsidRPr="00490698" w:rsidRDefault="00490698" w:rsidP="00490698">
      <w:pPr>
        <w:numPr>
          <w:ilvl w:val="0"/>
          <w:numId w:val="5"/>
        </w:numPr>
        <w:jc w:val="both"/>
        <w:rPr>
          <w:lang w:val="en-GB"/>
        </w:rPr>
      </w:pPr>
      <w:r w:rsidRPr="00490698">
        <w:rPr>
          <w:lang w:val="en-GB"/>
        </w:rPr>
        <w:t>at the end of the following financial year, if notification of withdrawal is given on or after 1 June of the financial year.</w:t>
      </w:r>
    </w:p>
    <w:p w14:paraId="62584023" w14:textId="38220960" w:rsidR="00490698" w:rsidRPr="00490698" w:rsidRDefault="00490698" w:rsidP="00490698">
      <w:pPr>
        <w:jc w:val="both"/>
        <w:rPr>
          <w:lang w:val="en-GB"/>
        </w:rPr>
      </w:pPr>
      <w:r>
        <w:rPr>
          <w:lang w:val="en-GB"/>
        </w:rPr>
        <w:t>9</w:t>
      </w:r>
      <w:r w:rsidRPr="00490698">
        <w:rPr>
          <w:lang w:val="en-GB"/>
        </w:rPr>
        <w:t xml:space="preserve">.4       In accordance with the Council of Europe’s Financial Regulations, the </w:t>
      </w:r>
      <w:r w:rsidR="002149BB" w:rsidRPr="0014209E">
        <w:rPr>
          <w:lang w:val="en-GB"/>
        </w:rPr>
        <w:t xml:space="preserve">Committee of Permanent Correspondents </w:t>
      </w:r>
      <w:r w:rsidRPr="00490698">
        <w:rPr>
          <w:lang w:val="en-GB"/>
        </w:rPr>
        <w:t>shall examine the financial consequences of the withdrawal of a member State and shall make the appropriate arrangements.</w:t>
      </w:r>
    </w:p>
    <w:p w14:paraId="6EA16357" w14:textId="67AFB609" w:rsidR="00490698" w:rsidRPr="00490698" w:rsidRDefault="00490698" w:rsidP="00490698">
      <w:pPr>
        <w:jc w:val="both"/>
        <w:rPr>
          <w:b/>
          <w:bCs/>
          <w:lang w:val="en-GB"/>
        </w:rPr>
      </w:pPr>
      <w:r>
        <w:rPr>
          <w:lang w:val="en-GB"/>
        </w:rPr>
        <w:t>9</w:t>
      </w:r>
      <w:r w:rsidRPr="00490698">
        <w:rPr>
          <w:lang w:val="en-GB"/>
        </w:rPr>
        <w:t>.5       The Secretary General shall immediately inform the member State concerned of the consequences of its withdrawal.</w:t>
      </w:r>
    </w:p>
    <w:p w14:paraId="1E8CE3E1" w14:textId="77777777" w:rsidR="00DD428F" w:rsidRPr="0014209E" w:rsidRDefault="00DD428F" w:rsidP="00194BD5">
      <w:pPr>
        <w:jc w:val="both"/>
        <w:rPr>
          <w:lang w:val="en-GB"/>
        </w:rPr>
      </w:pPr>
    </w:p>
    <w:p w14:paraId="4D82CFF8" w14:textId="5A1F3F04" w:rsidR="007831AE" w:rsidRPr="0014209E" w:rsidRDefault="007831AE" w:rsidP="00194BD5">
      <w:pPr>
        <w:jc w:val="both"/>
        <w:rPr>
          <w:lang w:val="en-GB"/>
        </w:rPr>
      </w:pPr>
      <w:r w:rsidRPr="0014209E">
        <w:rPr>
          <w:b/>
          <w:bCs/>
          <w:lang w:val="en-GB"/>
        </w:rPr>
        <w:t xml:space="preserve">Article </w:t>
      </w:r>
      <w:r w:rsidR="00490698">
        <w:rPr>
          <w:b/>
          <w:bCs/>
          <w:lang w:val="en-GB"/>
        </w:rPr>
        <w:t>10</w:t>
      </w:r>
      <w:r w:rsidRPr="0014209E">
        <w:rPr>
          <w:b/>
          <w:bCs/>
          <w:lang w:val="en-GB"/>
        </w:rPr>
        <w:t xml:space="preserve"> – Amendments</w:t>
      </w:r>
    </w:p>
    <w:p w14:paraId="2E714B21" w14:textId="0066F75B" w:rsidR="007831AE" w:rsidRPr="0014209E" w:rsidRDefault="00490698" w:rsidP="00194BD5">
      <w:pPr>
        <w:jc w:val="both"/>
        <w:rPr>
          <w:lang w:val="en-GB"/>
        </w:rPr>
      </w:pPr>
      <w:r>
        <w:rPr>
          <w:lang w:val="en-GB"/>
        </w:rPr>
        <w:t>10</w:t>
      </w:r>
      <w:r w:rsidR="00866664">
        <w:rPr>
          <w:lang w:val="en-GB"/>
        </w:rPr>
        <w:t>.1</w:t>
      </w:r>
      <w:r w:rsidR="00866664">
        <w:rPr>
          <w:lang w:val="en-GB"/>
        </w:rPr>
        <w:tab/>
      </w:r>
      <w:r w:rsidR="007831AE" w:rsidRPr="0014209E">
        <w:rPr>
          <w:lang w:val="en-GB"/>
        </w:rPr>
        <w:t>The Committee of Ministers, in its composition restricted to the representatives of the States members of the EPA</w:t>
      </w:r>
      <w:r w:rsidR="00E0466F">
        <w:rPr>
          <w:lang w:val="en-GB"/>
        </w:rPr>
        <w:t>,</w:t>
      </w:r>
      <w:r w:rsidR="007831AE" w:rsidRPr="0014209E">
        <w:rPr>
          <w:lang w:val="en-GB"/>
        </w:rPr>
        <w:t xml:space="preserve"> and after consultation with </w:t>
      </w:r>
      <w:r w:rsidR="00A14988">
        <w:rPr>
          <w:lang w:val="en-GB"/>
        </w:rPr>
        <w:t xml:space="preserve">the </w:t>
      </w:r>
      <w:r w:rsidR="007831AE" w:rsidRPr="0014209E">
        <w:rPr>
          <w:lang w:val="en-GB"/>
        </w:rPr>
        <w:t>EPA members that are not members of the Council of Europe, may adopt amendments to this statute by the majority provided for under Article 20.</w:t>
      </w:r>
      <w:r w:rsidR="007831AE" w:rsidRPr="0014209E">
        <w:rPr>
          <w:i/>
          <w:iCs/>
          <w:lang w:val="en-GB"/>
        </w:rPr>
        <w:t>d</w:t>
      </w:r>
      <w:r w:rsidR="007831AE" w:rsidRPr="0014209E">
        <w:rPr>
          <w:lang w:val="en-GB"/>
        </w:rPr>
        <w:t> of the Statute of the Council of Europe.</w:t>
      </w:r>
    </w:p>
    <w:sectPr w:rsidR="007831AE" w:rsidRPr="0014209E" w:rsidSect="00D553F8">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6F1453" w14:textId="77777777" w:rsidR="00AC2CF4" w:rsidRDefault="00AC2CF4" w:rsidP="00C958E6">
      <w:pPr>
        <w:spacing w:after="0" w:line="240" w:lineRule="auto"/>
      </w:pPr>
      <w:r>
        <w:separator/>
      </w:r>
    </w:p>
  </w:endnote>
  <w:endnote w:type="continuationSeparator" w:id="0">
    <w:p w14:paraId="5F6EF5B3" w14:textId="77777777" w:rsidR="00AC2CF4" w:rsidRDefault="00AC2CF4" w:rsidP="00C958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default"/>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3CB054" w14:textId="77777777" w:rsidR="00E57C86" w:rsidRDefault="00E57C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64896998"/>
      <w:docPartObj>
        <w:docPartGallery w:val="Page Numbers (Bottom of Page)"/>
        <w:docPartUnique/>
      </w:docPartObj>
    </w:sdtPr>
    <w:sdtEndPr/>
    <w:sdtContent>
      <w:p w14:paraId="14B3EBDC" w14:textId="2F5E7FA1" w:rsidR="00D553F8" w:rsidRDefault="00D553F8">
        <w:pPr>
          <w:pStyle w:val="Footer"/>
          <w:jc w:val="center"/>
        </w:pPr>
        <w:r>
          <w:fldChar w:fldCharType="begin"/>
        </w:r>
        <w:r>
          <w:instrText>PAGE   \* MERGEFORMAT</w:instrText>
        </w:r>
        <w:r>
          <w:fldChar w:fldCharType="separate"/>
        </w:r>
        <w:r>
          <w:rPr>
            <w:lang w:val="fr-FR"/>
          </w:rPr>
          <w:t>2</w:t>
        </w:r>
        <w:r>
          <w:fldChar w:fldCharType="end"/>
        </w:r>
      </w:p>
    </w:sdtContent>
  </w:sdt>
  <w:p w14:paraId="0C2A971D" w14:textId="77777777" w:rsidR="002D5DAE" w:rsidRDefault="002D5DA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39372986"/>
      <w:docPartObj>
        <w:docPartGallery w:val="Page Numbers (Bottom of Page)"/>
        <w:docPartUnique/>
      </w:docPartObj>
    </w:sdtPr>
    <w:sdtEndPr/>
    <w:sdtContent>
      <w:p w14:paraId="7B942F9A" w14:textId="1EF1C43E" w:rsidR="00D553F8" w:rsidRDefault="00D553F8" w:rsidP="00D553F8">
        <w:pPr>
          <w:pStyle w:val="Footer"/>
          <w:jc w:val="center"/>
        </w:pPr>
        <w:r w:rsidRPr="00BE088C">
          <w:rPr>
            <w:rFonts w:cs="Arial"/>
            <w:i/>
            <w:sz w:val="16"/>
            <w:szCs w:val="16"/>
            <w:lang w:val="en-US"/>
          </w:rPr>
          <w:t xml:space="preserve">Document prepared by the Secretariat </w:t>
        </w:r>
        <w:r>
          <w:rPr>
            <w:rFonts w:cs="Arial"/>
            <w:i/>
            <w:sz w:val="16"/>
            <w:szCs w:val="16"/>
            <w:lang w:val="en-US"/>
          </w:rPr>
          <w:br/>
        </w:r>
        <w:r w:rsidRPr="00BE088C">
          <w:rPr>
            <w:rFonts w:cs="Arial"/>
            <w:i/>
            <w:sz w:val="16"/>
            <w:szCs w:val="16"/>
            <w:lang w:val="en-US"/>
          </w:rPr>
          <w:t xml:space="preserve">of the EUR-OPA Major Hazards Agreement </w:t>
        </w:r>
        <w:r w:rsidRPr="00BE088C">
          <w:rPr>
            <w:rFonts w:cs="Arial"/>
            <w:i/>
            <w:sz w:val="16"/>
            <w:szCs w:val="16"/>
            <w:lang w:val="en-US"/>
          </w:rPr>
          <w:br/>
        </w:r>
        <w:r>
          <w:rPr>
            <w:rFonts w:cs="Arial"/>
            <w:i/>
            <w:sz w:val="16"/>
            <w:szCs w:val="16"/>
            <w:lang w:val="en-US"/>
          </w:rPr>
          <w:br/>
        </w:r>
        <w:r w:rsidRPr="00BE088C">
          <w:rPr>
            <w:rFonts w:cs="Arial"/>
            <w:i/>
            <w:sz w:val="16"/>
            <w:szCs w:val="16"/>
            <w:lang w:val="en-US"/>
          </w:rPr>
          <w:t xml:space="preserve">This document will not be distributed at the </w:t>
        </w:r>
        <w:r>
          <w:rPr>
            <w:rFonts w:cs="Arial"/>
            <w:i/>
            <w:sz w:val="16"/>
            <w:szCs w:val="16"/>
            <w:lang w:val="en-US"/>
          </w:rPr>
          <w:t>meeting. Please bring this copy</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F600D0" w14:textId="77777777" w:rsidR="00AC2CF4" w:rsidRDefault="00AC2CF4" w:rsidP="00C958E6">
      <w:pPr>
        <w:spacing w:after="0" w:line="240" w:lineRule="auto"/>
      </w:pPr>
      <w:r>
        <w:separator/>
      </w:r>
    </w:p>
  </w:footnote>
  <w:footnote w:type="continuationSeparator" w:id="0">
    <w:p w14:paraId="3514BA09" w14:textId="77777777" w:rsidR="00AC2CF4" w:rsidRDefault="00AC2CF4" w:rsidP="00C958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CAF916" w14:textId="77777777" w:rsidR="00E57C86" w:rsidRDefault="00E57C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25035770"/>
      <w:docPartObj>
        <w:docPartGallery w:val="Watermarks"/>
        <w:docPartUnique/>
      </w:docPartObj>
    </w:sdtPr>
    <w:sdtEndPr/>
    <w:sdtContent>
      <w:p w14:paraId="66A3020B" w14:textId="69C35C32" w:rsidR="00E57C86" w:rsidRDefault="00AC2CF4">
        <w:pPr>
          <w:pStyle w:val="Header"/>
        </w:pPr>
        <w:r>
          <w:rPr>
            <w:noProof/>
          </w:rPr>
          <w:pict w14:anchorId="1F7F6CC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5DADBF" w14:textId="5C740B5D" w:rsidR="00D553F8" w:rsidRDefault="00D553F8" w:rsidP="00D553F8">
    <w:pPr>
      <w:pStyle w:val="Header"/>
      <w:tabs>
        <w:tab w:val="clear" w:pos="4513"/>
        <w:tab w:val="clear" w:pos="9026"/>
        <w:tab w:val="left" w:pos="2745"/>
      </w:tabs>
      <w:jc w:val="center"/>
    </w:pPr>
    <w:r>
      <w:rPr>
        <w:noProof/>
        <w:lang w:val="hr-HR" w:eastAsia="hr-HR"/>
      </w:rPr>
      <w:drawing>
        <wp:inline distT="0" distB="0" distL="0" distR="0" wp14:anchorId="3952BD90" wp14:editId="363F15F4">
          <wp:extent cx="3819525" cy="121376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23452" cy="121500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EE621E"/>
    <w:multiLevelType w:val="multilevel"/>
    <w:tmpl w:val="C0565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E9917E9"/>
    <w:multiLevelType w:val="multilevel"/>
    <w:tmpl w:val="DA544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A0240B0"/>
    <w:multiLevelType w:val="multilevel"/>
    <w:tmpl w:val="A6549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1DE5F9A"/>
    <w:multiLevelType w:val="hybridMultilevel"/>
    <w:tmpl w:val="E1F8731C"/>
    <w:lvl w:ilvl="0" w:tplc="CBAC368C">
      <w:start w:val="1"/>
      <w:numFmt w:val="decimal"/>
      <w:lvlText w:val="%1."/>
      <w:lvlJc w:val="left"/>
      <w:pPr>
        <w:ind w:left="972" w:hanging="612"/>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4C6A4D88"/>
    <w:multiLevelType w:val="multilevel"/>
    <w:tmpl w:val="2F8A2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CC60FBD"/>
    <w:multiLevelType w:val="multilevel"/>
    <w:tmpl w:val="D5D864B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4E8928A0"/>
    <w:multiLevelType w:val="hybridMultilevel"/>
    <w:tmpl w:val="6E5E95A2"/>
    <w:lvl w:ilvl="0" w:tplc="040C000F">
      <w:start w:val="1"/>
      <w:numFmt w:val="decimal"/>
      <w:lvlText w:val="%1."/>
      <w:lvlJc w:val="left"/>
      <w:pPr>
        <w:ind w:left="1692" w:hanging="360"/>
      </w:pPr>
    </w:lvl>
    <w:lvl w:ilvl="1" w:tplc="040C0019" w:tentative="1">
      <w:start w:val="1"/>
      <w:numFmt w:val="lowerLetter"/>
      <w:lvlText w:val="%2."/>
      <w:lvlJc w:val="left"/>
      <w:pPr>
        <w:ind w:left="2412" w:hanging="360"/>
      </w:pPr>
    </w:lvl>
    <w:lvl w:ilvl="2" w:tplc="040C001B" w:tentative="1">
      <w:start w:val="1"/>
      <w:numFmt w:val="lowerRoman"/>
      <w:lvlText w:val="%3."/>
      <w:lvlJc w:val="right"/>
      <w:pPr>
        <w:ind w:left="3132" w:hanging="180"/>
      </w:pPr>
    </w:lvl>
    <w:lvl w:ilvl="3" w:tplc="040C000F" w:tentative="1">
      <w:start w:val="1"/>
      <w:numFmt w:val="decimal"/>
      <w:lvlText w:val="%4."/>
      <w:lvlJc w:val="left"/>
      <w:pPr>
        <w:ind w:left="3852" w:hanging="360"/>
      </w:pPr>
    </w:lvl>
    <w:lvl w:ilvl="4" w:tplc="040C0019" w:tentative="1">
      <w:start w:val="1"/>
      <w:numFmt w:val="lowerLetter"/>
      <w:lvlText w:val="%5."/>
      <w:lvlJc w:val="left"/>
      <w:pPr>
        <w:ind w:left="4572" w:hanging="360"/>
      </w:pPr>
    </w:lvl>
    <w:lvl w:ilvl="5" w:tplc="040C001B" w:tentative="1">
      <w:start w:val="1"/>
      <w:numFmt w:val="lowerRoman"/>
      <w:lvlText w:val="%6."/>
      <w:lvlJc w:val="right"/>
      <w:pPr>
        <w:ind w:left="5292" w:hanging="180"/>
      </w:pPr>
    </w:lvl>
    <w:lvl w:ilvl="6" w:tplc="040C000F" w:tentative="1">
      <w:start w:val="1"/>
      <w:numFmt w:val="decimal"/>
      <w:lvlText w:val="%7."/>
      <w:lvlJc w:val="left"/>
      <w:pPr>
        <w:ind w:left="6012" w:hanging="360"/>
      </w:pPr>
    </w:lvl>
    <w:lvl w:ilvl="7" w:tplc="040C0019" w:tentative="1">
      <w:start w:val="1"/>
      <w:numFmt w:val="lowerLetter"/>
      <w:lvlText w:val="%8."/>
      <w:lvlJc w:val="left"/>
      <w:pPr>
        <w:ind w:left="6732" w:hanging="360"/>
      </w:pPr>
    </w:lvl>
    <w:lvl w:ilvl="8" w:tplc="040C001B" w:tentative="1">
      <w:start w:val="1"/>
      <w:numFmt w:val="lowerRoman"/>
      <w:lvlText w:val="%9."/>
      <w:lvlJc w:val="right"/>
      <w:pPr>
        <w:ind w:left="7452" w:hanging="180"/>
      </w:pPr>
    </w:lvl>
  </w:abstractNum>
  <w:abstractNum w:abstractNumId="7" w15:restartNumberingAfterBreak="0">
    <w:nsid w:val="55E9043D"/>
    <w:multiLevelType w:val="multilevel"/>
    <w:tmpl w:val="8E028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18A4825"/>
    <w:multiLevelType w:val="hybridMultilevel"/>
    <w:tmpl w:val="132CDA22"/>
    <w:lvl w:ilvl="0" w:tplc="DD8E1514">
      <w:start w:val="1"/>
      <w:numFmt w:val="decimal"/>
      <w:lvlText w:val="%1."/>
      <w:lvlJc w:val="left"/>
      <w:pPr>
        <w:ind w:left="972" w:hanging="612"/>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698B4303"/>
    <w:multiLevelType w:val="hybridMultilevel"/>
    <w:tmpl w:val="9FE20E2C"/>
    <w:lvl w:ilvl="0" w:tplc="AAC6FB20">
      <w:start w:val="1"/>
      <w:numFmt w:val="decimal"/>
      <w:lvlText w:val="%1."/>
      <w:lvlJc w:val="left"/>
      <w:pPr>
        <w:ind w:left="972" w:hanging="612"/>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7AB71B04"/>
    <w:multiLevelType w:val="multilevel"/>
    <w:tmpl w:val="27CC42FE"/>
    <w:name w:val="Liste numérotée 11"/>
    <w:lvl w:ilvl="0">
      <w:numFmt w:val="bullet"/>
      <w:lvlText w:val=""/>
      <w:lvlJc w:val="left"/>
      <w:pPr>
        <w:ind w:left="786" w:firstLine="0"/>
      </w:pPr>
      <w:rPr>
        <w:rFonts w:ascii="Symbol" w:hAnsi="Symbol" w:cs="Symbol"/>
      </w:rPr>
    </w:lvl>
    <w:lvl w:ilvl="1">
      <w:numFmt w:val="bullet"/>
      <w:lvlText w:val="o"/>
      <w:lvlJc w:val="left"/>
      <w:pPr>
        <w:ind w:left="1506" w:firstLine="0"/>
      </w:pPr>
      <w:rPr>
        <w:rFonts w:ascii="Courier New" w:hAnsi="Courier New" w:cs="Courier New"/>
      </w:rPr>
    </w:lvl>
    <w:lvl w:ilvl="2">
      <w:numFmt w:val="bullet"/>
      <w:lvlText w:val=""/>
      <w:lvlJc w:val="left"/>
      <w:pPr>
        <w:ind w:left="2226" w:firstLine="0"/>
      </w:pPr>
      <w:rPr>
        <w:rFonts w:ascii="Wingdings" w:eastAsia="Wingdings" w:hAnsi="Wingdings" w:cs="Wingdings"/>
      </w:rPr>
    </w:lvl>
    <w:lvl w:ilvl="3">
      <w:numFmt w:val="bullet"/>
      <w:lvlText w:val=""/>
      <w:lvlJc w:val="left"/>
      <w:pPr>
        <w:ind w:left="2946" w:firstLine="0"/>
      </w:pPr>
      <w:rPr>
        <w:rFonts w:ascii="Symbol" w:hAnsi="Symbol" w:cs="Symbol"/>
      </w:rPr>
    </w:lvl>
    <w:lvl w:ilvl="4">
      <w:numFmt w:val="bullet"/>
      <w:lvlText w:val="o"/>
      <w:lvlJc w:val="left"/>
      <w:pPr>
        <w:ind w:left="3666" w:firstLine="0"/>
      </w:pPr>
      <w:rPr>
        <w:rFonts w:ascii="Courier New" w:hAnsi="Courier New" w:cs="Courier New"/>
      </w:rPr>
    </w:lvl>
    <w:lvl w:ilvl="5">
      <w:numFmt w:val="bullet"/>
      <w:lvlText w:val=""/>
      <w:lvlJc w:val="left"/>
      <w:pPr>
        <w:ind w:left="4386" w:firstLine="0"/>
      </w:pPr>
      <w:rPr>
        <w:rFonts w:ascii="Wingdings" w:eastAsia="Wingdings" w:hAnsi="Wingdings" w:cs="Wingdings"/>
      </w:rPr>
    </w:lvl>
    <w:lvl w:ilvl="6">
      <w:numFmt w:val="bullet"/>
      <w:lvlText w:val=""/>
      <w:lvlJc w:val="left"/>
      <w:pPr>
        <w:ind w:left="5106" w:firstLine="0"/>
      </w:pPr>
      <w:rPr>
        <w:rFonts w:ascii="Symbol" w:hAnsi="Symbol" w:cs="Symbol"/>
      </w:rPr>
    </w:lvl>
    <w:lvl w:ilvl="7">
      <w:numFmt w:val="bullet"/>
      <w:lvlText w:val="o"/>
      <w:lvlJc w:val="left"/>
      <w:pPr>
        <w:ind w:left="5826" w:firstLine="0"/>
      </w:pPr>
      <w:rPr>
        <w:rFonts w:ascii="Courier New" w:hAnsi="Courier New" w:cs="Courier New"/>
      </w:rPr>
    </w:lvl>
    <w:lvl w:ilvl="8">
      <w:numFmt w:val="bullet"/>
      <w:lvlText w:val=""/>
      <w:lvlJc w:val="left"/>
      <w:pPr>
        <w:ind w:left="6546" w:firstLine="0"/>
      </w:pPr>
      <w:rPr>
        <w:rFonts w:ascii="Wingdings" w:eastAsia="Wingdings" w:hAnsi="Wingdings" w:cs="Wingdings"/>
      </w:rPr>
    </w:lvl>
  </w:abstractNum>
  <w:abstractNum w:abstractNumId="11" w15:restartNumberingAfterBreak="0">
    <w:nsid w:val="7C517417"/>
    <w:multiLevelType w:val="multilevel"/>
    <w:tmpl w:val="C7D81DE2"/>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7F466988"/>
    <w:multiLevelType w:val="multilevel"/>
    <w:tmpl w:val="AC4C8788"/>
    <w:name w:val="Liste numérotée 6"/>
    <w:lvl w:ilvl="0">
      <w:numFmt w:val="bullet"/>
      <w:lvlText w:val=""/>
      <w:lvlJc w:val="left"/>
      <w:pPr>
        <w:ind w:left="360" w:firstLine="0"/>
      </w:pPr>
      <w:rPr>
        <w:rFonts w:ascii="Symbol" w:hAnsi="Symbol" w:cs="Symbol"/>
      </w:rPr>
    </w:lvl>
    <w:lvl w:ilvl="1">
      <w:numFmt w:val="bullet"/>
      <w:lvlText w:val="o"/>
      <w:lvlJc w:val="left"/>
      <w:pPr>
        <w:ind w:left="1080" w:firstLine="0"/>
      </w:pPr>
      <w:rPr>
        <w:rFonts w:ascii="Courier New" w:hAnsi="Courier New" w:cs="Courier New"/>
      </w:rPr>
    </w:lvl>
    <w:lvl w:ilvl="2">
      <w:numFmt w:val="bullet"/>
      <w:lvlText w:val=""/>
      <w:lvlJc w:val="left"/>
      <w:pPr>
        <w:ind w:left="1800" w:firstLine="0"/>
      </w:pPr>
      <w:rPr>
        <w:rFonts w:ascii="Wingdings" w:eastAsia="Wingdings" w:hAnsi="Wingdings" w:cs="Wingdings"/>
      </w:rPr>
    </w:lvl>
    <w:lvl w:ilvl="3">
      <w:numFmt w:val="bullet"/>
      <w:lvlText w:val=""/>
      <w:lvlJc w:val="left"/>
      <w:pPr>
        <w:ind w:left="2520" w:firstLine="0"/>
      </w:pPr>
      <w:rPr>
        <w:rFonts w:ascii="Symbol" w:hAnsi="Symbol" w:cs="Symbol"/>
      </w:rPr>
    </w:lvl>
    <w:lvl w:ilvl="4">
      <w:numFmt w:val="bullet"/>
      <w:lvlText w:val="o"/>
      <w:lvlJc w:val="left"/>
      <w:pPr>
        <w:ind w:left="3240" w:firstLine="0"/>
      </w:pPr>
      <w:rPr>
        <w:rFonts w:ascii="Courier New" w:hAnsi="Courier New" w:cs="Courier New"/>
      </w:rPr>
    </w:lvl>
    <w:lvl w:ilvl="5">
      <w:numFmt w:val="bullet"/>
      <w:lvlText w:val=""/>
      <w:lvlJc w:val="left"/>
      <w:pPr>
        <w:ind w:left="3960" w:firstLine="0"/>
      </w:pPr>
      <w:rPr>
        <w:rFonts w:ascii="Wingdings" w:eastAsia="Wingdings" w:hAnsi="Wingdings" w:cs="Wingdings"/>
      </w:rPr>
    </w:lvl>
    <w:lvl w:ilvl="6">
      <w:numFmt w:val="bullet"/>
      <w:lvlText w:val=""/>
      <w:lvlJc w:val="left"/>
      <w:pPr>
        <w:ind w:left="4680" w:firstLine="0"/>
      </w:pPr>
      <w:rPr>
        <w:rFonts w:ascii="Symbol" w:hAnsi="Symbol" w:cs="Symbol"/>
      </w:rPr>
    </w:lvl>
    <w:lvl w:ilvl="7">
      <w:numFmt w:val="bullet"/>
      <w:lvlText w:val="o"/>
      <w:lvlJc w:val="left"/>
      <w:pPr>
        <w:ind w:left="5400" w:firstLine="0"/>
      </w:pPr>
      <w:rPr>
        <w:rFonts w:ascii="Courier New" w:hAnsi="Courier New" w:cs="Courier New"/>
      </w:rPr>
    </w:lvl>
    <w:lvl w:ilvl="8">
      <w:numFmt w:val="bullet"/>
      <w:lvlText w:val=""/>
      <w:lvlJc w:val="left"/>
      <w:pPr>
        <w:ind w:left="6120" w:firstLine="0"/>
      </w:pPr>
      <w:rPr>
        <w:rFonts w:ascii="Wingdings" w:eastAsia="Wingdings" w:hAnsi="Wingdings" w:cs="Wingdings"/>
      </w:rPr>
    </w:lvl>
  </w:abstractNum>
  <w:num w:numId="1">
    <w:abstractNumId w:val="0"/>
  </w:num>
  <w:num w:numId="2">
    <w:abstractNumId w:val="2"/>
  </w:num>
  <w:num w:numId="3">
    <w:abstractNumId w:val="1"/>
  </w:num>
  <w:num w:numId="4">
    <w:abstractNumId w:val="7"/>
  </w:num>
  <w:num w:numId="5">
    <w:abstractNumId w:val="4"/>
  </w:num>
  <w:num w:numId="6">
    <w:abstractNumId w:val="12"/>
  </w:num>
  <w:num w:numId="7">
    <w:abstractNumId w:val="10"/>
  </w:num>
  <w:num w:numId="8">
    <w:abstractNumId w:val="3"/>
  </w:num>
  <w:num w:numId="9">
    <w:abstractNumId w:val="8"/>
  </w:num>
  <w:num w:numId="10">
    <w:abstractNumId w:val="5"/>
  </w:num>
  <w:num w:numId="11">
    <w:abstractNumId w:val="11"/>
  </w:num>
  <w:num w:numId="12">
    <w:abstractNumId w:val="9"/>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1AE"/>
    <w:rsid w:val="00002BAD"/>
    <w:rsid w:val="00012FA3"/>
    <w:rsid w:val="0002103A"/>
    <w:rsid w:val="00022A66"/>
    <w:rsid w:val="00043756"/>
    <w:rsid w:val="00070574"/>
    <w:rsid w:val="0010770F"/>
    <w:rsid w:val="00111402"/>
    <w:rsid w:val="001354AC"/>
    <w:rsid w:val="00137A77"/>
    <w:rsid w:val="0014209E"/>
    <w:rsid w:val="00177953"/>
    <w:rsid w:val="00184B30"/>
    <w:rsid w:val="00187296"/>
    <w:rsid w:val="00191A13"/>
    <w:rsid w:val="00194BD5"/>
    <w:rsid w:val="001A639E"/>
    <w:rsid w:val="001B270C"/>
    <w:rsid w:val="001B29B0"/>
    <w:rsid w:val="001E11C2"/>
    <w:rsid w:val="001F11AD"/>
    <w:rsid w:val="00203C87"/>
    <w:rsid w:val="00211F02"/>
    <w:rsid w:val="002149BB"/>
    <w:rsid w:val="002177A4"/>
    <w:rsid w:val="00231177"/>
    <w:rsid w:val="00233EE1"/>
    <w:rsid w:val="002523B7"/>
    <w:rsid w:val="00255B99"/>
    <w:rsid w:val="00286860"/>
    <w:rsid w:val="00297462"/>
    <w:rsid w:val="002D5DAE"/>
    <w:rsid w:val="003162D2"/>
    <w:rsid w:val="00352FA1"/>
    <w:rsid w:val="00356BF1"/>
    <w:rsid w:val="00376313"/>
    <w:rsid w:val="00377AB9"/>
    <w:rsid w:val="00377C83"/>
    <w:rsid w:val="003C0A77"/>
    <w:rsid w:val="003D5D2D"/>
    <w:rsid w:val="00412468"/>
    <w:rsid w:val="00417BD5"/>
    <w:rsid w:val="00427578"/>
    <w:rsid w:val="0043546F"/>
    <w:rsid w:val="00460505"/>
    <w:rsid w:val="00481225"/>
    <w:rsid w:val="00490698"/>
    <w:rsid w:val="00493E3C"/>
    <w:rsid w:val="004A0CA4"/>
    <w:rsid w:val="004B5996"/>
    <w:rsid w:val="004C134D"/>
    <w:rsid w:val="00530E6A"/>
    <w:rsid w:val="005A3956"/>
    <w:rsid w:val="005B01AF"/>
    <w:rsid w:val="005D3829"/>
    <w:rsid w:val="005F105F"/>
    <w:rsid w:val="00626952"/>
    <w:rsid w:val="006455B6"/>
    <w:rsid w:val="006579BC"/>
    <w:rsid w:val="00690E2E"/>
    <w:rsid w:val="006A7844"/>
    <w:rsid w:val="006C0E45"/>
    <w:rsid w:val="006D4D61"/>
    <w:rsid w:val="006F7F71"/>
    <w:rsid w:val="0071611C"/>
    <w:rsid w:val="007238E4"/>
    <w:rsid w:val="0074007A"/>
    <w:rsid w:val="0076319D"/>
    <w:rsid w:val="00763E6C"/>
    <w:rsid w:val="00772A4B"/>
    <w:rsid w:val="00781578"/>
    <w:rsid w:val="00782449"/>
    <w:rsid w:val="007831AE"/>
    <w:rsid w:val="007E26E7"/>
    <w:rsid w:val="007F352B"/>
    <w:rsid w:val="007F4BF2"/>
    <w:rsid w:val="00815B18"/>
    <w:rsid w:val="008213EE"/>
    <w:rsid w:val="00834122"/>
    <w:rsid w:val="00834785"/>
    <w:rsid w:val="00850AC6"/>
    <w:rsid w:val="00853257"/>
    <w:rsid w:val="008575B7"/>
    <w:rsid w:val="008651A4"/>
    <w:rsid w:val="0086634D"/>
    <w:rsid w:val="00866664"/>
    <w:rsid w:val="00887C64"/>
    <w:rsid w:val="008B7E4F"/>
    <w:rsid w:val="008D7432"/>
    <w:rsid w:val="00916FA3"/>
    <w:rsid w:val="0093243E"/>
    <w:rsid w:val="0093435D"/>
    <w:rsid w:val="009350A6"/>
    <w:rsid w:val="0098024B"/>
    <w:rsid w:val="009B4B58"/>
    <w:rsid w:val="009E19B3"/>
    <w:rsid w:val="00A025A4"/>
    <w:rsid w:val="00A14988"/>
    <w:rsid w:val="00A20D8E"/>
    <w:rsid w:val="00A7430E"/>
    <w:rsid w:val="00AC2CF4"/>
    <w:rsid w:val="00AE01DE"/>
    <w:rsid w:val="00B142AE"/>
    <w:rsid w:val="00B20F32"/>
    <w:rsid w:val="00B44C69"/>
    <w:rsid w:val="00B72EC4"/>
    <w:rsid w:val="00B75B0A"/>
    <w:rsid w:val="00BA39B9"/>
    <w:rsid w:val="00BC066D"/>
    <w:rsid w:val="00C1060F"/>
    <w:rsid w:val="00C363CC"/>
    <w:rsid w:val="00C419A4"/>
    <w:rsid w:val="00C706AC"/>
    <w:rsid w:val="00C84EDD"/>
    <w:rsid w:val="00C85A07"/>
    <w:rsid w:val="00C87F1F"/>
    <w:rsid w:val="00C958E6"/>
    <w:rsid w:val="00CD5FF6"/>
    <w:rsid w:val="00CE7CA6"/>
    <w:rsid w:val="00D30B85"/>
    <w:rsid w:val="00D32659"/>
    <w:rsid w:val="00D35326"/>
    <w:rsid w:val="00D52DFC"/>
    <w:rsid w:val="00D553F8"/>
    <w:rsid w:val="00D95CE4"/>
    <w:rsid w:val="00DC13D2"/>
    <w:rsid w:val="00DC20C6"/>
    <w:rsid w:val="00DD081F"/>
    <w:rsid w:val="00DD428F"/>
    <w:rsid w:val="00DE7775"/>
    <w:rsid w:val="00DE78A2"/>
    <w:rsid w:val="00DF156A"/>
    <w:rsid w:val="00E0466F"/>
    <w:rsid w:val="00E07298"/>
    <w:rsid w:val="00E108B8"/>
    <w:rsid w:val="00E2084E"/>
    <w:rsid w:val="00E30F75"/>
    <w:rsid w:val="00E32B62"/>
    <w:rsid w:val="00E57C86"/>
    <w:rsid w:val="00E85723"/>
    <w:rsid w:val="00F31EC6"/>
    <w:rsid w:val="00F400CA"/>
    <w:rsid w:val="00F62833"/>
    <w:rsid w:val="00F96478"/>
    <w:rsid w:val="00FC376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AA3E7AE"/>
  <w15:chartTrackingRefBased/>
  <w15:docId w15:val="{AC5B6A09-63A6-4C88-9665-192446A0B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pl-PL"/>
    </w:rPr>
  </w:style>
  <w:style w:type="paragraph" w:styleId="Heading2">
    <w:name w:val="heading 2"/>
    <w:basedOn w:val="Normal"/>
    <w:next w:val="Normal"/>
    <w:link w:val="Heading2Char"/>
    <w:uiPriority w:val="9"/>
    <w:semiHidden/>
    <w:unhideWhenUsed/>
    <w:qFormat/>
    <w:rsid w:val="00F9647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831AE"/>
    <w:rPr>
      <w:color w:val="0563C1" w:themeColor="hyperlink"/>
      <w:u w:val="single"/>
    </w:rPr>
  </w:style>
  <w:style w:type="character" w:styleId="UnresolvedMention">
    <w:name w:val="Unresolved Mention"/>
    <w:basedOn w:val="DefaultParagraphFont"/>
    <w:uiPriority w:val="99"/>
    <w:semiHidden/>
    <w:unhideWhenUsed/>
    <w:rsid w:val="007831AE"/>
    <w:rPr>
      <w:color w:val="605E5C"/>
      <w:shd w:val="clear" w:color="auto" w:fill="E1DFDD"/>
    </w:rPr>
  </w:style>
  <w:style w:type="character" w:customStyle="1" w:styleId="Heading2Char">
    <w:name w:val="Heading 2 Char"/>
    <w:basedOn w:val="DefaultParagraphFont"/>
    <w:link w:val="Heading2"/>
    <w:uiPriority w:val="9"/>
    <w:semiHidden/>
    <w:rsid w:val="00F96478"/>
    <w:rPr>
      <w:rFonts w:asciiTheme="majorHAnsi" w:eastAsiaTheme="majorEastAsia" w:hAnsiTheme="majorHAnsi" w:cstheme="majorBidi"/>
      <w:color w:val="2F5496" w:themeColor="accent1" w:themeShade="BF"/>
      <w:sz w:val="26"/>
      <w:szCs w:val="26"/>
      <w:lang w:val="pl-PL"/>
    </w:rPr>
  </w:style>
  <w:style w:type="character" w:styleId="FollowedHyperlink">
    <w:name w:val="FollowedHyperlink"/>
    <w:basedOn w:val="DefaultParagraphFont"/>
    <w:uiPriority w:val="99"/>
    <w:semiHidden/>
    <w:unhideWhenUsed/>
    <w:rsid w:val="00853257"/>
    <w:rPr>
      <w:color w:val="954F72" w:themeColor="followedHyperlink"/>
      <w:u w:val="single"/>
    </w:rPr>
  </w:style>
  <w:style w:type="paragraph" w:styleId="PlainText">
    <w:name w:val="Plain Text"/>
    <w:basedOn w:val="Normal"/>
    <w:link w:val="PlainTextChar"/>
    <w:uiPriority w:val="99"/>
    <w:semiHidden/>
    <w:unhideWhenUsed/>
    <w:rsid w:val="008D7432"/>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8D7432"/>
    <w:rPr>
      <w:rFonts w:ascii="Consolas" w:hAnsi="Consolas"/>
      <w:sz w:val="21"/>
      <w:szCs w:val="21"/>
      <w:lang w:val="pl-PL"/>
    </w:rPr>
  </w:style>
  <w:style w:type="paragraph" w:styleId="BalloonText">
    <w:name w:val="Balloon Text"/>
    <w:basedOn w:val="Normal"/>
    <w:link w:val="BalloonTextChar"/>
    <w:uiPriority w:val="99"/>
    <w:semiHidden/>
    <w:unhideWhenUsed/>
    <w:rsid w:val="007E26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26E7"/>
    <w:rPr>
      <w:rFonts w:ascii="Segoe UI" w:hAnsi="Segoe UI" w:cs="Segoe UI"/>
      <w:sz w:val="18"/>
      <w:szCs w:val="18"/>
      <w:lang w:val="pl-PL"/>
    </w:rPr>
  </w:style>
  <w:style w:type="paragraph" w:styleId="ListParagraph">
    <w:name w:val="List Paragraph"/>
    <w:basedOn w:val="Normal"/>
    <w:uiPriority w:val="34"/>
    <w:qFormat/>
    <w:rsid w:val="00B75B0A"/>
    <w:pPr>
      <w:ind w:left="720"/>
      <w:contextualSpacing/>
    </w:pPr>
  </w:style>
  <w:style w:type="paragraph" w:styleId="EndnoteText">
    <w:name w:val="endnote text"/>
    <w:basedOn w:val="Normal"/>
    <w:link w:val="EndnoteTextChar"/>
    <w:uiPriority w:val="99"/>
    <w:semiHidden/>
    <w:unhideWhenUsed/>
    <w:rsid w:val="00C958E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958E6"/>
    <w:rPr>
      <w:sz w:val="20"/>
      <w:szCs w:val="20"/>
      <w:lang w:val="pl-PL"/>
    </w:rPr>
  </w:style>
  <w:style w:type="character" w:styleId="EndnoteReference">
    <w:name w:val="endnote reference"/>
    <w:basedOn w:val="DefaultParagraphFont"/>
    <w:uiPriority w:val="99"/>
    <w:semiHidden/>
    <w:unhideWhenUsed/>
    <w:rsid w:val="00C958E6"/>
    <w:rPr>
      <w:vertAlign w:val="superscript"/>
    </w:rPr>
  </w:style>
  <w:style w:type="paragraph" w:styleId="FootnoteText">
    <w:name w:val="footnote text"/>
    <w:basedOn w:val="Normal"/>
    <w:link w:val="FootnoteTextChar"/>
    <w:uiPriority w:val="99"/>
    <w:semiHidden/>
    <w:unhideWhenUsed/>
    <w:rsid w:val="0037631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6313"/>
    <w:rPr>
      <w:sz w:val="20"/>
      <w:szCs w:val="20"/>
      <w:lang w:val="pl-PL"/>
    </w:rPr>
  </w:style>
  <w:style w:type="character" w:styleId="FootnoteReference">
    <w:name w:val="footnote reference"/>
    <w:basedOn w:val="DefaultParagraphFont"/>
    <w:uiPriority w:val="99"/>
    <w:semiHidden/>
    <w:unhideWhenUsed/>
    <w:rsid w:val="00376313"/>
    <w:rPr>
      <w:vertAlign w:val="superscript"/>
    </w:rPr>
  </w:style>
  <w:style w:type="paragraph" w:styleId="Header">
    <w:name w:val="header"/>
    <w:basedOn w:val="Normal"/>
    <w:link w:val="HeaderChar"/>
    <w:uiPriority w:val="99"/>
    <w:unhideWhenUsed/>
    <w:rsid w:val="002D5D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5DAE"/>
    <w:rPr>
      <w:lang w:val="pl-PL"/>
    </w:rPr>
  </w:style>
  <w:style w:type="paragraph" w:styleId="Footer">
    <w:name w:val="footer"/>
    <w:basedOn w:val="Normal"/>
    <w:link w:val="FooterChar"/>
    <w:uiPriority w:val="99"/>
    <w:unhideWhenUsed/>
    <w:rsid w:val="002D5DA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5DAE"/>
    <w:rPr>
      <w:lang w:val="pl-PL"/>
    </w:rPr>
  </w:style>
  <w:style w:type="character" w:styleId="CommentReference">
    <w:name w:val="annotation reference"/>
    <w:basedOn w:val="DefaultParagraphFont"/>
    <w:uiPriority w:val="99"/>
    <w:semiHidden/>
    <w:unhideWhenUsed/>
    <w:rsid w:val="00782449"/>
    <w:rPr>
      <w:sz w:val="16"/>
      <w:szCs w:val="16"/>
    </w:rPr>
  </w:style>
  <w:style w:type="paragraph" w:styleId="CommentText">
    <w:name w:val="annotation text"/>
    <w:basedOn w:val="Normal"/>
    <w:link w:val="CommentTextChar"/>
    <w:uiPriority w:val="99"/>
    <w:semiHidden/>
    <w:unhideWhenUsed/>
    <w:rsid w:val="00782449"/>
    <w:pPr>
      <w:spacing w:line="240" w:lineRule="auto"/>
    </w:pPr>
    <w:rPr>
      <w:sz w:val="20"/>
      <w:szCs w:val="20"/>
    </w:rPr>
  </w:style>
  <w:style w:type="character" w:customStyle="1" w:styleId="CommentTextChar">
    <w:name w:val="Comment Text Char"/>
    <w:basedOn w:val="DefaultParagraphFont"/>
    <w:link w:val="CommentText"/>
    <w:uiPriority w:val="99"/>
    <w:semiHidden/>
    <w:rsid w:val="00782449"/>
    <w:rPr>
      <w:sz w:val="20"/>
      <w:szCs w:val="20"/>
      <w:lang w:val="pl-PL"/>
    </w:rPr>
  </w:style>
  <w:style w:type="paragraph" w:styleId="CommentSubject">
    <w:name w:val="annotation subject"/>
    <w:basedOn w:val="CommentText"/>
    <w:next w:val="CommentText"/>
    <w:link w:val="CommentSubjectChar"/>
    <w:uiPriority w:val="99"/>
    <w:semiHidden/>
    <w:unhideWhenUsed/>
    <w:rsid w:val="00782449"/>
    <w:rPr>
      <w:b/>
      <w:bCs/>
    </w:rPr>
  </w:style>
  <w:style w:type="character" w:customStyle="1" w:styleId="CommentSubjectChar">
    <w:name w:val="Comment Subject Char"/>
    <w:basedOn w:val="CommentTextChar"/>
    <w:link w:val="CommentSubject"/>
    <w:uiPriority w:val="99"/>
    <w:semiHidden/>
    <w:rsid w:val="00782449"/>
    <w:rPr>
      <w:b/>
      <w:bCs/>
      <w:sz w:val="20"/>
      <w:szCs w:val="20"/>
      <w:lang w:val="pl-PL"/>
    </w:rPr>
  </w:style>
  <w:style w:type="paragraph" w:customStyle="1" w:styleId="cmmainsubtitle">
    <w:name w:val="cm_mainsubtitle"/>
    <w:basedOn w:val="Normal"/>
    <w:rsid w:val="002149BB"/>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msubtitle">
    <w:name w:val="cm_subtitle"/>
    <w:basedOn w:val="Normal"/>
    <w:rsid w:val="002149BB"/>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styleId="Strong">
    <w:name w:val="Strong"/>
    <w:basedOn w:val="DefaultParagraphFont"/>
    <w:uiPriority w:val="22"/>
    <w:qFormat/>
    <w:rsid w:val="002523B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1752667">
      <w:bodyDiv w:val="1"/>
      <w:marLeft w:val="0"/>
      <w:marRight w:val="0"/>
      <w:marTop w:val="0"/>
      <w:marBottom w:val="0"/>
      <w:divBdr>
        <w:top w:val="none" w:sz="0" w:space="0" w:color="auto"/>
        <w:left w:val="none" w:sz="0" w:space="0" w:color="auto"/>
        <w:bottom w:val="none" w:sz="0" w:space="0" w:color="auto"/>
        <w:right w:val="none" w:sz="0" w:space="0" w:color="auto"/>
      </w:divBdr>
    </w:div>
    <w:div w:id="476386099">
      <w:bodyDiv w:val="1"/>
      <w:marLeft w:val="0"/>
      <w:marRight w:val="0"/>
      <w:marTop w:val="0"/>
      <w:marBottom w:val="0"/>
      <w:divBdr>
        <w:top w:val="none" w:sz="0" w:space="0" w:color="auto"/>
        <w:left w:val="none" w:sz="0" w:space="0" w:color="auto"/>
        <w:bottom w:val="none" w:sz="0" w:space="0" w:color="auto"/>
        <w:right w:val="none" w:sz="0" w:space="0" w:color="auto"/>
      </w:divBdr>
    </w:div>
    <w:div w:id="592666493">
      <w:bodyDiv w:val="1"/>
      <w:marLeft w:val="0"/>
      <w:marRight w:val="0"/>
      <w:marTop w:val="0"/>
      <w:marBottom w:val="0"/>
      <w:divBdr>
        <w:top w:val="none" w:sz="0" w:space="0" w:color="auto"/>
        <w:left w:val="none" w:sz="0" w:space="0" w:color="auto"/>
        <w:bottom w:val="none" w:sz="0" w:space="0" w:color="auto"/>
        <w:right w:val="none" w:sz="0" w:space="0" w:color="auto"/>
      </w:divBdr>
      <w:divsChild>
        <w:div w:id="970524198">
          <w:marLeft w:val="0"/>
          <w:marRight w:val="0"/>
          <w:marTop w:val="0"/>
          <w:marBottom w:val="0"/>
          <w:divBdr>
            <w:top w:val="none" w:sz="0" w:space="0" w:color="auto"/>
            <w:left w:val="none" w:sz="0" w:space="0" w:color="auto"/>
            <w:bottom w:val="none" w:sz="0" w:space="0" w:color="auto"/>
            <w:right w:val="none" w:sz="0" w:space="0" w:color="auto"/>
          </w:divBdr>
        </w:div>
        <w:div w:id="1939831697">
          <w:marLeft w:val="0"/>
          <w:marRight w:val="0"/>
          <w:marTop w:val="0"/>
          <w:marBottom w:val="0"/>
          <w:divBdr>
            <w:top w:val="none" w:sz="0" w:space="0" w:color="auto"/>
            <w:left w:val="none" w:sz="0" w:space="0" w:color="auto"/>
            <w:bottom w:val="none" w:sz="0" w:space="0" w:color="auto"/>
            <w:right w:val="none" w:sz="0" w:space="0" w:color="auto"/>
          </w:divBdr>
          <w:divsChild>
            <w:div w:id="183730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184244">
      <w:bodyDiv w:val="1"/>
      <w:marLeft w:val="0"/>
      <w:marRight w:val="0"/>
      <w:marTop w:val="0"/>
      <w:marBottom w:val="0"/>
      <w:divBdr>
        <w:top w:val="none" w:sz="0" w:space="0" w:color="auto"/>
        <w:left w:val="none" w:sz="0" w:space="0" w:color="auto"/>
        <w:bottom w:val="none" w:sz="0" w:space="0" w:color="auto"/>
        <w:right w:val="none" w:sz="0" w:space="0" w:color="auto"/>
      </w:divBdr>
    </w:div>
    <w:div w:id="914239709">
      <w:bodyDiv w:val="1"/>
      <w:marLeft w:val="0"/>
      <w:marRight w:val="0"/>
      <w:marTop w:val="0"/>
      <w:marBottom w:val="0"/>
      <w:divBdr>
        <w:top w:val="none" w:sz="0" w:space="0" w:color="auto"/>
        <w:left w:val="none" w:sz="0" w:space="0" w:color="auto"/>
        <w:bottom w:val="none" w:sz="0" w:space="0" w:color="auto"/>
        <w:right w:val="none" w:sz="0" w:space="0" w:color="auto"/>
      </w:divBdr>
    </w:div>
    <w:div w:id="1114323880">
      <w:bodyDiv w:val="1"/>
      <w:marLeft w:val="0"/>
      <w:marRight w:val="0"/>
      <w:marTop w:val="0"/>
      <w:marBottom w:val="0"/>
      <w:divBdr>
        <w:top w:val="none" w:sz="0" w:space="0" w:color="auto"/>
        <w:left w:val="none" w:sz="0" w:space="0" w:color="auto"/>
        <w:bottom w:val="none" w:sz="0" w:space="0" w:color="auto"/>
        <w:right w:val="none" w:sz="0" w:space="0" w:color="auto"/>
      </w:divBdr>
    </w:div>
    <w:div w:id="1163820011">
      <w:bodyDiv w:val="1"/>
      <w:marLeft w:val="0"/>
      <w:marRight w:val="0"/>
      <w:marTop w:val="0"/>
      <w:marBottom w:val="0"/>
      <w:divBdr>
        <w:top w:val="none" w:sz="0" w:space="0" w:color="auto"/>
        <w:left w:val="none" w:sz="0" w:space="0" w:color="auto"/>
        <w:bottom w:val="none" w:sz="0" w:space="0" w:color="auto"/>
        <w:right w:val="none" w:sz="0" w:space="0" w:color="auto"/>
      </w:divBdr>
    </w:div>
    <w:div w:id="1187788049">
      <w:bodyDiv w:val="1"/>
      <w:marLeft w:val="0"/>
      <w:marRight w:val="0"/>
      <w:marTop w:val="0"/>
      <w:marBottom w:val="0"/>
      <w:divBdr>
        <w:top w:val="none" w:sz="0" w:space="0" w:color="auto"/>
        <w:left w:val="none" w:sz="0" w:space="0" w:color="auto"/>
        <w:bottom w:val="none" w:sz="0" w:space="0" w:color="auto"/>
        <w:right w:val="none" w:sz="0" w:space="0" w:color="auto"/>
      </w:divBdr>
    </w:div>
    <w:div w:id="1430200486">
      <w:bodyDiv w:val="1"/>
      <w:marLeft w:val="0"/>
      <w:marRight w:val="0"/>
      <w:marTop w:val="0"/>
      <w:marBottom w:val="0"/>
      <w:divBdr>
        <w:top w:val="none" w:sz="0" w:space="0" w:color="auto"/>
        <w:left w:val="none" w:sz="0" w:space="0" w:color="auto"/>
        <w:bottom w:val="none" w:sz="0" w:space="0" w:color="auto"/>
        <w:right w:val="none" w:sz="0" w:space="0" w:color="auto"/>
      </w:divBdr>
    </w:div>
    <w:div w:id="1471173384">
      <w:bodyDiv w:val="1"/>
      <w:marLeft w:val="0"/>
      <w:marRight w:val="0"/>
      <w:marTop w:val="0"/>
      <w:marBottom w:val="0"/>
      <w:divBdr>
        <w:top w:val="none" w:sz="0" w:space="0" w:color="auto"/>
        <w:left w:val="none" w:sz="0" w:space="0" w:color="auto"/>
        <w:bottom w:val="none" w:sz="0" w:space="0" w:color="auto"/>
        <w:right w:val="none" w:sz="0" w:space="0" w:color="auto"/>
      </w:divBdr>
    </w:div>
    <w:div w:id="1969506089">
      <w:bodyDiv w:val="1"/>
      <w:marLeft w:val="0"/>
      <w:marRight w:val="0"/>
      <w:marTop w:val="0"/>
      <w:marBottom w:val="0"/>
      <w:divBdr>
        <w:top w:val="none" w:sz="0" w:space="0" w:color="auto"/>
        <w:left w:val="none" w:sz="0" w:space="0" w:color="auto"/>
        <w:bottom w:val="none" w:sz="0" w:space="0" w:color="auto"/>
        <w:right w:val="none" w:sz="0" w:space="0" w:color="auto"/>
      </w:divBdr>
    </w:div>
    <w:div w:id="2037149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arch.coe.int/cm/Pages/result_details.aspx?ObjectId=0900001680534828"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48532D-438A-4694-8519-EDB9B11761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2159</Words>
  <Characters>11880</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ZYMAN Krzysztof</dc:creator>
  <cp:keywords/>
  <dc:description/>
  <cp:lastModifiedBy>BRAULIO Tania</cp:lastModifiedBy>
  <cp:revision>6</cp:revision>
  <cp:lastPrinted>2021-02-16T16:43:00Z</cp:lastPrinted>
  <dcterms:created xsi:type="dcterms:W3CDTF">2021-03-12T09:47:00Z</dcterms:created>
  <dcterms:modified xsi:type="dcterms:W3CDTF">2021-05-17T13:25:00Z</dcterms:modified>
</cp:coreProperties>
</file>