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388"/>
        <w:gridCol w:w="2389"/>
        <w:gridCol w:w="2389"/>
        <w:gridCol w:w="2389"/>
      </w:tblGrid>
      <w:tr w:rsidR="00E475F9" w:rsidRPr="00F96689" w14:paraId="2111E2AE" w14:textId="77777777" w:rsidTr="00E54322">
        <w:trPr>
          <w:trHeight w:val="737"/>
        </w:trPr>
        <w:tc>
          <w:tcPr>
            <w:tcW w:w="1250" w:type="pct"/>
            <w:vAlign w:val="center"/>
          </w:tcPr>
          <w:p w14:paraId="06FC2C61" w14:textId="77777777" w:rsidR="002D11B8" w:rsidRPr="00B920E4" w:rsidRDefault="003D6AC2" w:rsidP="00E54322">
            <w:pPr>
              <w:widowControl w:val="0"/>
              <w:autoSpaceDE w:val="0"/>
              <w:autoSpaceDN w:val="0"/>
              <w:adjustRightInd w:val="0"/>
              <w:rPr>
                <w:rFonts w:ascii="Arial Narrow" w:hAnsi="Arial Narrow" w:cs="Calibri"/>
                <w:szCs w:val="20"/>
              </w:rPr>
            </w:pPr>
            <w:r w:rsidRPr="003D6AC2">
              <w:rPr>
                <w:rFonts w:ascii="Arial Narrow" w:hAnsi="Arial Narrow" w:cs="Calibri"/>
                <w:b/>
                <w:bCs/>
                <w:szCs w:val="20"/>
              </w:rPr>
              <w:t>MINISTERS’ DEPUTIES</w:t>
            </w:r>
          </w:p>
        </w:tc>
        <w:tc>
          <w:tcPr>
            <w:tcW w:w="1250" w:type="pct"/>
            <w:vAlign w:val="center"/>
          </w:tcPr>
          <w:p w14:paraId="133F3412" w14:textId="77777777" w:rsidR="00CF3820" w:rsidRPr="009C5258" w:rsidRDefault="00D506B8" w:rsidP="00CF3820">
            <w:pPr>
              <w:ind w:left="-108"/>
              <w:jc w:val="center"/>
              <w:rPr>
                <w:rFonts w:ascii="Arial Narrow" w:hAnsi="Arial Narrow" w:cs="Arial"/>
                <w:szCs w:val="20"/>
              </w:rPr>
            </w:pPr>
            <w:r>
              <w:rPr>
                <w:rFonts w:ascii="Arial Narrow" w:hAnsi="Arial Narrow" w:cs="Calibri"/>
                <w:szCs w:val="20"/>
              </w:rPr>
              <w:t>Recommendations</w:t>
            </w:r>
          </w:p>
        </w:tc>
        <w:tc>
          <w:tcPr>
            <w:tcW w:w="1250" w:type="pct"/>
            <w:vAlign w:val="center"/>
          </w:tcPr>
          <w:p w14:paraId="7ABD5E2B" w14:textId="1E027565" w:rsidR="002D11B8" w:rsidRPr="002B0A38" w:rsidRDefault="002B0A38" w:rsidP="003A1131">
            <w:pPr>
              <w:ind w:left="-40"/>
              <w:jc w:val="center"/>
              <w:rPr>
                <w:rFonts w:ascii="Arial Narrow" w:hAnsi="Arial Narrow" w:cs="Arial"/>
                <w:b/>
                <w:sz w:val="24"/>
                <w:szCs w:val="24"/>
              </w:rPr>
            </w:pPr>
            <w:r w:rsidRPr="002B0A38">
              <w:rPr>
                <w:rFonts w:ascii="Arial Narrow" w:hAnsi="Arial Narrow" w:cs="Calibri"/>
                <w:b/>
                <w:sz w:val="24"/>
                <w:szCs w:val="24"/>
              </w:rPr>
              <w:t>CM/</w:t>
            </w:r>
            <w:proofErr w:type="gramStart"/>
            <w:r w:rsidRPr="002B0A38">
              <w:rPr>
                <w:rFonts w:ascii="Arial Narrow" w:hAnsi="Arial Narrow" w:cs="Calibri"/>
                <w:b/>
                <w:sz w:val="24"/>
                <w:szCs w:val="24"/>
              </w:rPr>
              <w:t>Rec(</w:t>
            </w:r>
            <w:proofErr w:type="gramEnd"/>
            <w:r w:rsidRPr="002B0A38">
              <w:rPr>
                <w:rFonts w:ascii="Arial Narrow" w:hAnsi="Arial Narrow" w:cs="Calibri"/>
                <w:b/>
                <w:sz w:val="24"/>
                <w:szCs w:val="24"/>
              </w:rPr>
              <w:t>2026)13</w:t>
            </w:r>
          </w:p>
        </w:tc>
        <w:tc>
          <w:tcPr>
            <w:tcW w:w="1250" w:type="pct"/>
            <w:vAlign w:val="center"/>
          </w:tcPr>
          <w:p w14:paraId="4DD28A56" w14:textId="533B6F8F" w:rsidR="002D11B8" w:rsidRPr="00F96689" w:rsidRDefault="00D603E6" w:rsidP="003A1131">
            <w:pPr>
              <w:jc w:val="right"/>
              <w:rPr>
                <w:rFonts w:ascii="Arial Narrow" w:hAnsi="Arial Narrow" w:cs="Arial"/>
                <w:sz w:val="16"/>
                <w:szCs w:val="16"/>
              </w:rPr>
            </w:pPr>
            <w:r>
              <w:rPr>
                <w:rFonts w:ascii="Arial Narrow" w:hAnsi="Arial Narrow" w:cs="Calibri"/>
                <w:sz w:val="16"/>
                <w:szCs w:val="16"/>
              </w:rPr>
              <w:t>7 October</w:t>
            </w:r>
            <w:r w:rsidR="002D11B8" w:rsidRPr="00F96689">
              <w:rPr>
                <w:rFonts w:ascii="Arial Narrow" w:hAnsi="Arial Narrow" w:cs="Calibri"/>
                <w:sz w:val="16"/>
                <w:szCs w:val="16"/>
              </w:rPr>
              <w:t xml:space="preserve"> </w:t>
            </w:r>
            <w:r w:rsidR="007C1B86">
              <w:rPr>
                <w:rFonts w:ascii="Arial Narrow" w:hAnsi="Arial Narrow" w:cs="Calibri"/>
                <w:sz w:val="16"/>
                <w:szCs w:val="16"/>
              </w:rPr>
              <w:t>2026</w:t>
            </w:r>
          </w:p>
        </w:tc>
      </w:tr>
    </w:tbl>
    <w:p w14:paraId="4631F418" w14:textId="77777777" w:rsidR="00D554E6" w:rsidRPr="00F96689"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555"/>
      </w:tblGrid>
      <w:tr w:rsidR="00E24C57" w:rsidRPr="00A12DEC" w14:paraId="232D72F5" w14:textId="77777777" w:rsidTr="00E54322">
        <w:tc>
          <w:tcPr>
            <w:tcW w:w="9399" w:type="dxa"/>
            <w:tcMar>
              <w:top w:w="227" w:type="dxa"/>
              <w:bottom w:w="227" w:type="dxa"/>
            </w:tcMar>
            <w:vAlign w:val="center"/>
          </w:tcPr>
          <w:p w14:paraId="6A6D08BE" w14:textId="41D85791" w:rsidR="00A916FF" w:rsidRDefault="008662D3" w:rsidP="00CF3820">
            <w:pPr>
              <w:rPr>
                <w:rFonts w:ascii="Arial Narrow" w:hAnsi="Arial Narrow" w:cs="Calibri"/>
                <w:b/>
                <w:sz w:val="28"/>
                <w:szCs w:val="28"/>
              </w:rPr>
            </w:pPr>
            <w:r w:rsidRPr="008662D3">
              <w:rPr>
                <w:rFonts w:ascii="Arial Narrow" w:hAnsi="Arial Narrow" w:cs="Calibri"/>
                <w:b/>
                <w:sz w:val="28"/>
                <w:szCs w:val="28"/>
              </w:rPr>
              <w:t xml:space="preserve">Recommendation </w:t>
            </w:r>
            <w:r w:rsidR="002B0A38" w:rsidRPr="002B0A38">
              <w:rPr>
                <w:rFonts w:ascii="Arial Narrow" w:hAnsi="Arial Narrow" w:cs="Calibri"/>
                <w:b/>
                <w:sz w:val="28"/>
                <w:szCs w:val="28"/>
              </w:rPr>
              <w:t>CM/</w:t>
            </w:r>
            <w:proofErr w:type="gramStart"/>
            <w:r w:rsidR="002B0A38" w:rsidRPr="002B0A38">
              <w:rPr>
                <w:rFonts w:ascii="Arial Narrow" w:hAnsi="Arial Narrow" w:cs="Calibri"/>
                <w:b/>
                <w:sz w:val="28"/>
                <w:szCs w:val="28"/>
              </w:rPr>
              <w:t>Rec(</w:t>
            </w:r>
            <w:proofErr w:type="gramEnd"/>
            <w:r w:rsidR="002B0A38" w:rsidRPr="002B0A38">
              <w:rPr>
                <w:rFonts w:ascii="Arial Narrow" w:hAnsi="Arial Narrow" w:cs="Calibri"/>
                <w:b/>
                <w:sz w:val="28"/>
                <w:szCs w:val="28"/>
              </w:rPr>
              <w:t>2026)13</w:t>
            </w:r>
            <w:r w:rsidR="0028024D">
              <w:rPr>
                <w:rFonts w:ascii="Arial Narrow" w:hAnsi="Arial Narrow" w:cs="Calibri"/>
                <w:b/>
                <w:sz w:val="28"/>
                <w:szCs w:val="28"/>
              </w:rPr>
              <w:br/>
            </w:r>
            <w:r w:rsidRPr="008662D3">
              <w:rPr>
                <w:rFonts w:ascii="Arial Narrow" w:hAnsi="Arial Narrow" w:cs="Calibri"/>
                <w:b/>
                <w:sz w:val="28"/>
                <w:szCs w:val="28"/>
              </w:rPr>
              <w:t xml:space="preserve">of the Committee of Ministers to member States </w:t>
            </w:r>
            <w:r w:rsidR="0028024D">
              <w:rPr>
                <w:rFonts w:ascii="Arial Narrow" w:hAnsi="Arial Narrow" w:cs="Calibri"/>
                <w:b/>
                <w:sz w:val="28"/>
                <w:szCs w:val="28"/>
              </w:rPr>
              <w:br/>
            </w:r>
            <w:r w:rsidRPr="008662D3">
              <w:rPr>
                <w:rFonts w:ascii="Arial Narrow" w:hAnsi="Arial Narrow" w:cs="Calibri"/>
                <w:b/>
                <w:sz w:val="28"/>
                <w:szCs w:val="28"/>
              </w:rPr>
              <w:t xml:space="preserve">on prosecuting terrorist offences, serious violations of international humanitarian law and other core international crimes committed in the context of a non-international armed conflict </w:t>
            </w:r>
          </w:p>
          <w:p w14:paraId="259424E5" w14:textId="77777777" w:rsidR="008662D3" w:rsidRPr="00A916FF" w:rsidRDefault="008662D3" w:rsidP="00CF3820">
            <w:pPr>
              <w:rPr>
                <w:rFonts w:ascii="Arial Narrow" w:hAnsi="Arial Narrow" w:cs="Calibri"/>
                <w:sz w:val="22"/>
              </w:rPr>
            </w:pPr>
          </w:p>
          <w:p w14:paraId="73F5438D" w14:textId="74EA6FD7" w:rsidR="00E457C3" w:rsidRPr="00CF3820" w:rsidRDefault="00CF3820" w:rsidP="00CF3820">
            <w:pPr>
              <w:rPr>
                <w:rFonts w:ascii="Arial Narrow" w:hAnsi="Arial Narrow" w:cs="Calibri"/>
                <w:b/>
                <w:i/>
                <w:szCs w:val="20"/>
              </w:rPr>
            </w:pPr>
            <w:r w:rsidRPr="00015C19">
              <w:rPr>
                <w:rFonts w:ascii="Arial Narrow" w:hAnsi="Arial Narrow" w:cs="Calibri"/>
                <w:i/>
                <w:sz w:val="22"/>
              </w:rPr>
              <w:t xml:space="preserve">(Adopted by the Committee of Ministers on </w:t>
            </w:r>
            <w:r w:rsidR="003F4930">
              <w:rPr>
                <w:rFonts w:ascii="Arial Narrow" w:hAnsi="Arial Narrow" w:cs="Calibri"/>
                <w:i/>
                <w:sz w:val="22"/>
              </w:rPr>
              <w:t>7 October 2026</w:t>
            </w:r>
            <w:r w:rsidRPr="00015C19">
              <w:rPr>
                <w:rFonts w:ascii="Arial Narrow" w:hAnsi="Arial Narrow" w:cs="Calibri"/>
                <w:i/>
                <w:sz w:val="22"/>
              </w:rPr>
              <w:br/>
              <w:t xml:space="preserve">at the </w:t>
            </w:r>
            <w:r w:rsidR="003F4930">
              <w:rPr>
                <w:rFonts w:ascii="Arial Narrow" w:hAnsi="Arial Narrow" w:cs="Calibri"/>
                <w:i/>
                <w:sz w:val="22"/>
              </w:rPr>
              <w:t>1571</w:t>
            </w:r>
            <w:r w:rsidR="003F4930" w:rsidRPr="003F4930">
              <w:rPr>
                <w:rFonts w:ascii="Arial Narrow" w:hAnsi="Arial Narrow" w:cs="Calibri"/>
                <w:i/>
                <w:sz w:val="22"/>
                <w:vertAlign w:val="superscript"/>
              </w:rPr>
              <w:t>st</w:t>
            </w:r>
            <w:r w:rsidR="003F4930">
              <w:rPr>
                <w:rFonts w:ascii="Arial Narrow" w:hAnsi="Arial Narrow" w:cs="Calibri"/>
                <w:i/>
                <w:sz w:val="22"/>
              </w:rPr>
              <w:t xml:space="preserve"> </w:t>
            </w:r>
            <w:r w:rsidRPr="00015C19">
              <w:rPr>
                <w:rFonts w:ascii="Arial Narrow" w:hAnsi="Arial Narrow" w:cs="Calibri"/>
                <w:i/>
                <w:sz w:val="22"/>
              </w:rPr>
              <w:t>meeting of the Ministers' Deputies)</w:t>
            </w:r>
          </w:p>
        </w:tc>
      </w:tr>
    </w:tbl>
    <w:p w14:paraId="4E7B240A" w14:textId="351404DE" w:rsidR="007B632B" w:rsidRPr="007B632B" w:rsidRDefault="00E54322" w:rsidP="007B632B">
      <w:pPr>
        <w:rPr>
          <w:rFonts w:eastAsia="Times New Roman"/>
          <w:szCs w:val="24"/>
        </w:rPr>
      </w:pPr>
      <w:r>
        <w:rPr>
          <w:rFonts w:eastAsia="Times New Roman"/>
          <w:szCs w:val="24"/>
        </w:rPr>
        <w:t xml:space="preserve"> </w:t>
      </w:r>
    </w:p>
    <w:p w14:paraId="65226048" w14:textId="77777777" w:rsidR="007B632B" w:rsidRPr="0008790F" w:rsidRDefault="007B632B" w:rsidP="005842DF">
      <w:pPr>
        <w:ind w:right="-84"/>
        <w:rPr>
          <w:rFonts w:eastAsia="Times New Roman" w:cs="Arial"/>
          <w:bCs/>
          <w:snapToGrid w:val="0"/>
          <w:szCs w:val="20"/>
          <w:lang w:eastAsia="fr-FR"/>
        </w:rPr>
      </w:pPr>
    </w:p>
    <w:p w14:paraId="14FFD63D" w14:textId="77777777" w:rsidR="007B0381" w:rsidRPr="009922A4" w:rsidRDefault="007B0381" w:rsidP="005842DF">
      <w:pPr>
        <w:pStyle w:val="Heading1"/>
        <w:contextualSpacing/>
        <w:rPr>
          <w:rFonts w:cs="Arial"/>
          <w:szCs w:val="20"/>
        </w:rPr>
      </w:pPr>
      <w:bookmarkStart w:id="0" w:name="_Hlk215328626"/>
      <w:r w:rsidRPr="009922A4">
        <w:rPr>
          <w:rFonts w:cs="Arial"/>
          <w:szCs w:val="20"/>
        </w:rPr>
        <w:t>Preamble</w:t>
      </w:r>
    </w:p>
    <w:bookmarkEnd w:id="0"/>
    <w:p w14:paraId="35CA9FE7" w14:textId="77777777" w:rsidR="007B0381" w:rsidRPr="009922A4" w:rsidRDefault="007B0381" w:rsidP="005842DF">
      <w:pPr>
        <w:contextualSpacing/>
        <w:rPr>
          <w:rFonts w:cs="Arial"/>
          <w:szCs w:val="20"/>
        </w:rPr>
      </w:pPr>
    </w:p>
    <w:p w14:paraId="39652E2B" w14:textId="5BFA95D9" w:rsidR="007B0381" w:rsidRPr="009922A4" w:rsidRDefault="007B0381" w:rsidP="005842DF">
      <w:pPr>
        <w:contextualSpacing/>
        <w:rPr>
          <w:rFonts w:cs="Arial"/>
          <w:color w:val="000000" w:themeColor="text1"/>
          <w:szCs w:val="20"/>
        </w:rPr>
      </w:pPr>
      <w:r w:rsidRPr="009922A4">
        <w:rPr>
          <w:rFonts w:cs="Arial"/>
          <w:color w:val="000000" w:themeColor="text1"/>
          <w:szCs w:val="20"/>
        </w:rPr>
        <w:t>The Committee of Ministers, under the terms of Article 15.</w:t>
      </w:r>
      <w:r w:rsidRPr="009922A4">
        <w:rPr>
          <w:rFonts w:cs="Arial"/>
          <w:i/>
          <w:iCs/>
          <w:color w:val="000000" w:themeColor="text1"/>
          <w:szCs w:val="20"/>
        </w:rPr>
        <w:t xml:space="preserve">b </w:t>
      </w:r>
      <w:r w:rsidRPr="009922A4">
        <w:rPr>
          <w:rFonts w:cs="Arial"/>
          <w:color w:val="000000" w:themeColor="text1"/>
          <w:szCs w:val="20"/>
        </w:rPr>
        <w:t xml:space="preserve">of the Statute of the Council of Europe </w:t>
      </w:r>
      <w:r w:rsidRPr="009922A4">
        <w:rPr>
          <w:rFonts w:eastAsia="Times New Roman" w:cs="Arial"/>
          <w:szCs w:val="20"/>
        </w:rPr>
        <w:t>(ETS</w:t>
      </w:r>
      <w:r w:rsidR="00DA02ED">
        <w:rPr>
          <w:rFonts w:eastAsia="Times New Roman" w:cs="Arial"/>
          <w:szCs w:val="20"/>
        </w:rPr>
        <w:t> </w:t>
      </w:r>
      <w:r w:rsidRPr="009922A4">
        <w:rPr>
          <w:rFonts w:eastAsia="Times New Roman" w:cs="Arial"/>
          <w:szCs w:val="20"/>
        </w:rPr>
        <w:t>No. 1)</w:t>
      </w:r>
      <w:r w:rsidRPr="009922A4">
        <w:rPr>
          <w:rFonts w:cs="Arial"/>
          <w:color w:val="000000" w:themeColor="text1"/>
          <w:szCs w:val="20"/>
        </w:rPr>
        <w:t>,</w:t>
      </w:r>
    </w:p>
    <w:p w14:paraId="79A90BDF" w14:textId="77777777" w:rsidR="007B0381" w:rsidRPr="009922A4" w:rsidRDefault="007B0381" w:rsidP="005842DF">
      <w:pPr>
        <w:contextualSpacing/>
        <w:rPr>
          <w:rFonts w:cs="Arial"/>
          <w:color w:val="000000" w:themeColor="text1"/>
          <w:szCs w:val="20"/>
        </w:rPr>
      </w:pPr>
    </w:p>
    <w:p w14:paraId="65396B90" w14:textId="77777777" w:rsidR="007B0381" w:rsidRPr="009922A4" w:rsidRDefault="007B0381" w:rsidP="005842DF">
      <w:pPr>
        <w:contextualSpacing/>
        <w:rPr>
          <w:rFonts w:cs="Arial"/>
          <w:color w:val="000000" w:themeColor="text1"/>
          <w:szCs w:val="20"/>
        </w:rPr>
      </w:pPr>
      <w:r w:rsidRPr="009922A4">
        <w:rPr>
          <w:rFonts w:cs="Arial"/>
          <w:color w:val="000000" w:themeColor="text1"/>
          <w:szCs w:val="20"/>
        </w:rPr>
        <w:t>Considering that the aim of the Council of Europe is to achieve greater unity among its members;</w:t>
      </w:r>
    </w:p>
    <w:p w14:paraId="66E04F66" w14:textId="77777777" w:rsidR="007B0381" w:rsidRPr="009922A4" w:rsidRDefault="007B0381" w:rsidP="005842DF">
      <w:pPr>
        <w:contextualSpacing/>
        <w:rPr>
          <w:rFonts w:cs="Arial"/>
          <w:color w:val="000000" w:themeColor="text1"/>
          <w:szCs w:val="20"/>
        </w:rPr>
      </w:pPr>
    </w:p>
    <w:p w14:paraId="4652DEF6" w14:textId="77777777" w:rsidR="007B0381" w:rsidRPr="009922A4" w:rsidRDefault="007B0381" w:rsidP="005842DF">
      <w:pPr>
        <w:contextualSpacing/>
        <w:rPr>
          <w:rFonts w:cs="Arial"/>
          <w:color w:val="000000" w:themeColor="text1"/>
          <w:szCs w:val="20"/>
        </w:rPr>
      </w:pPr>
      <w:r w:rsidRPr="009922A4">
        <w:rPr>
          <w:rFonts w:cs="Arial"/>
          <w:color w:val="000000" w:themeColor="text1"/>
          <w:szCs w:val="20"/>
        </w:rPr>
        <w:t>Recognising that terrorism, in all its forms and manifestations, constitutes one of the most serious threats to international peace and security;</w:t>
      </w:r>
    </w:p>
    <w:p w14:paraId="74405436" w14:textId="77777777" w:rsidR="007B0381" w:rsidRPr="009922A4" w:rsidRDefault="007B0381" w:rsidP="005842DF">
      <w:pPr>
        <w:contextualSpacing/>
        <w:rPr>
          <w:rFonts w:cs="Arial"/>
          <w:color w:val="000000" w:themeColor="text1"/>
          <w:szCs w:val="20"/>
        </w:rPr>
      </w:pPr>
    </w:p>
    <w:p w14:paraId="62EB9B71" w14:textId="77777777" w:rsidR="007B0381" w:rsidRPr="009922A4" w:rsidRDefault="007B0381" w:rsidP="005842DF">
      <w:pPr>
        <w:contextualSpacing/>
        <w:rPr>
          <w:rFonts w:cs="Arial"/>
          <w:szCs w:val="20"/>
        </w:rPr>
      </w:pPr>
      <w:r w:rsidRPr="009922A4">
        <w:rPr>
          <w:rFonts w:cs="Arial"/>
          <w:szCs w:val="20"/>
        </w:rPr>
        <w:t>Reaffirming that the fight against terrorism and the protection of human rights, the rule of law and democratic principles are not conflicting but complementary and mutually reinforcing goals;</w:t>
      </w:r>
    </w:p>
    <w:p w14:paraId="03B739C3" w14:textId="77777777" w:rsidR="007B0381" w:rsidRPr="009922A4" w:rsidRDefault="007B0381" w:rsidP="005842DF">
      <w:pPr>
        <w:contextualSpacing/>
        <w:rPr>
          <w:rFonts w:cs="Arial"/>
          <w:color w:val="000000" w:themeColor="text1"/>
          <w:szCs w:val="20"/>
        </w:rPr>
      </w:pPr>
    </w:p>
    <w:p w14:paraId="272F9D0C" w14:textId="77777777" w:rsidR="007B0381" w:rsidRPr="009922A4" w:rsidRDefault="007B0381" w:rsidP="005842DF">
      <w:pPr>
        <w:contextualSpacing/>
        <w:rPr>
          <w:rFonts w:cs="Arial"/>
          <w:color w:val="000000" w:themeColor="text1"/>
          <w:szCs w:val="20"/>
        </w:rPr>
      </w:pPr>
      <w:r w:rsidRPr="009922A4">
        <w:rPr>
          <w:rFonts w:cs="Arial"/>
          <w:color w:val="000000" w:themeColor="text1"/>
          <w:szCs w:val="20"/>
        </w:rPr>
        <w:t xml:space="preserve">Underlining that member States and their competent authorities have the primary role in and responsibility for preventing and countering terrorism, and holding </w:t>
      </w:r>
      <w:r w:rsidRPr="009922A4">
        <w:rPr>
          <w:rFonts w:cs="Arial"/>
          <w:szCs w:val="20"/>
          <w:lang w:eastAsia="fr-FR"/>
        </w:rPr>
        <w:t xml:space="preserve">persons under their jurisdiction who commit terrorist offences, including in the context of an armed conflict, </w:t>
      </w:r>
      <w:r w:rsidRPr="009922A4">
        <w:rPr>
          <w:rFonts w:cs="Arial"/>
          <w:color w:val="000000" w:themeColor="text1"/>
          <w:szCs w:val="20"/>
        </w:rPr>
        <w:t>criminally liable</w:t>
      </w:r>
      <w:r w:rsidRPr="009922A4">
        <w:rPr>
          <w:rFonts w:cs="Arial"/>
          <w:szCs w:val="20"/>
          <w:lang w:eastAsia="fr-FR"/>
        </w:rPr>
        <w:t>;</w:t>
      </w:r>
      <w:r w:rsidRPr="009922A4">
        <w:rPr>
          <w:rFonts w:cs="Arial"/>
          <w:color w:val="000000" w:themeColor="text1"/>
          <w:szCs w:val="20"/>
        </w:rPr>
        <w:t xml:space="preserve"> </w:t>
      </w:r>
    </w:p>
    <w:p w14:paraId="68A89978" w14:textId="77777777" w:rsidR="007B0381" w:rsidRPr="009922A4" w:rsidRDefault="007B0381" w:rsidP="005842DF">
      <w:pPr>
        <w:contextualSpacing/>
        <w:rPr>
          <w:rFonts w:cs="Arial"/>
          <w:color w:val="000000" w:themeColor="text1"/>
          <w:szCs w:val="20"/>
        </w:rPr>
      </w:pPr>
    </w:p>
    <w:p w14:paraId="27146EB5" w14:textId="77777777" w:rsidR="007B0381" w:rsidRPr="009922A4" w:rsidRDefault="007B0381" w:rsidP="005842DF">
      <w:pPr>
        <w:contextualSpacing/>
        <w:rPr>
          <w:rFonts w:cs="Arial"/>
          <w:szCs w:val="20"/>
        </w:rPr>
      </w:pPr>
      <w:r w:rsidRPr="009922A4">
        <w:rPr>
          <w:rFonts w:cs="Arial"/>
          <w:szCs w:val="20"/>
        </w:rPr>
        <w:t xml:space="preserve">Considering that by adopting the Council of Europe Counter-Terrorism Strategy (2023-2027) on 8 February 2023, the Committee of Ministers agreed on the need to “support national efforts to find common approaches and enhanced legal procedures to prosecuting individuals suspected of committing these offences” </w:t>
      </w:r>
      <w:r w:rsidRPr="009922A4">
        <w:rPr>
          <w:rFonts w:cs="Arial"/>
          <w:szCs w:val="20"/>
          <w:lang w:eastAsia="fr-FR"/>
        </w:rPr>
        <w:t>while complying with the obligation to respect</w:t>
      </w:r>
      <w:r w:rsidRPr="009922A4">
        <w:rPr>
          <w:rFonts w:cs="Arial"/>
          <w:color w:val="000000" w:themeColor="text1"/>
          <w:szCs w:val="20"/>
        </w:rPr>
        <w:t xml:space="preserve"> and ensure respect for international humanitarian law</w:t>
      </w:r>
      <w:r w:rsidRPr="009922A4">
        <w:rPr>
          <w:rFonts w:cs="Arial"/>
          <w:szCs w:val="20"/>
        </w:rPr>
        <w:t>;</w:t>
      </w:r>
    </w:p>
    <w:p w14:paraId="55E7CEA0" w14:textId="77777777" w:rsidR="007B0381" w:rsidRPr="009922A4" w:rsidRDefault="007B0381" w:rsidP="005842DF">
      <w:pPr>
        <w:contextualSpacing/>
        <w:rPr>
          <w:rFonts w:cs="Arial"/>
          <w:color w:val="000000" w:themeColor="text1"/>
          <w:szCs w:val="20"/>
        </w:rPr>
      </w:pPr>
    </w:p>
    <w:p w14:paraId="38EEA4CB" w14:textId="77777777" w:rsidR="007B0381" w:rsidRPr="009922A4" w:rsidRDefault="007B0381" w:rsidP="005842DF">
      <w:pPr>
        <w:contextualSpacing/>
        <w:rPr>
          <w:rFonts w:cs="Arial"/>
          <w:color w:val="000000" w:themeColor="text1"/>
          <w:szCs w:val="20"/>
        </w:rPr>
      </w:pPr>
      <w:r w:rsidRPr="009922A4">
        <w:rPr>
          <w:rFonts w:cs="Arial"/>
          <w:color w:val="000000" w:themeColor="text1"/>
          <w:szCs w:val="20"/>
        </w:rPr>
        <w:t xml:space="preserve">Concerned that </w:t>
      </w:r>
      <w:r w:rsidRPr="009922A4">
        <w:rPr>
          <w:rFonts w:cs="Arial"/>
          <w:szCs w:val="20"/>
        </w:rPr>
        <w:t>difficulties in obtaining admissible evidence from conflict zones</w:t>
      </w:r>
      <w:r w:rsidRPr="009922A4">
        <w:rPr>
          <w:rFonts w:cs="Arial"/>
          <w:color w:val="000000" w:themeColor="text1"/>
          <w:szCs w:val="20"/>
        </w:rPr>
        <w:t xml:space="preserve"> could hamper accountability for serious violations of international humanitarian law and other core international crimes committed by members and affiliates of terrorist associations or groups in the context of an armed conflict;</w:t>
      </w:r>
    </w:p>
    <w:p w14:paraId="3634E354" w14:textId="77777777" w:rsidR="007B0381" w:rsidRPr="009922A4" w:rsidRDefault="007B0381" w:rsidP="005842DF">
      <w:pPr>
        <w:contextualSpacing/>
        <w:rPr>
          <w:rFonts w:cs="Arial"/>
          <w:color w:val="000000" w:themeColor="text1"/>
          <w:szCs w:val="20"/>
        </w:rPr>
      </w:pPr>
    </w:p>
    <w:p w14:paraId="2601D05B" w14:textId="77777777" w:rsidR="007B0381" w:rsidRPr="009922A4" w:rsidRDefault="007B0381" w:rsidP="005842DF">
      <w:pPr>
        <w:contextualSpacing/>
        <w:rPr>
          <w:rFonts w:cs="Arial"/>
          <w:color w:val="000000" w:themeColor="text1"/>
          <w:szCs w:val="20"/>
        </w:rPr>
      </w:pPr>
      <w:r w:rsidRPr="009922A4">
        <w:rPr>
          <w:rFonts w:cs="Arial"/>
          <w:color w:val="000000" w:themeColor="text1"/>
          <w:szCs w:val="20"/>
        </w:rPr>
        <w:t xml:space="preserve">Mindful of the international law requirement to ensure that counter-terrorism frameworks are compatible with international humanitarian law, the objective of which is to regulate armed conflicts, and underlining that any action in accordance with international humanitarian law should not be criminalised under counter-terrorism frameworks; </w:t>
      </w:r>
    </w:p>
    <w:p w14:paraId="2EA2E76F" w14:textId="77777777" w:rsidR="007B0381" w:rsidRPr="009922A4" w:rsidRDefault="007B0381" w:rsidP="005842DF">
      <w:pPr>
        <w:contextualSpacing/>
        <w:rPr>
          <w:rFonts w:cs="Arial"/>
          <w:color w:val="000000" w:themeColor="text1"/>
          <w:szCs w:val="20"/>
        </w:rPr>
      </w:pPr>
    </w:p>
    <w:p w14:paraId="3A9565E4" w14:textId="77777777" w:rsidR="007B0381" w:rsidRPr="009922A4" w:rsidRDefault="007B0381" w:rsidP="005842DF">
      <w:pPr>
        <w:contextualSpacing/>
        <w:rPr>
          <w:rFonts w:cs="Arial"/>
          <w:szCs w:val="20"/>
        </w:rPr>
      </w:pPr>
      <w:r w:rsidRPr="009922A4">
        <w:rPr>
          <w:rFonts w:cs="Arial"/>
          <w:color w:val="000000" w:themeColor="text1"/>
          <w:szCs w:val="20"/>
        </w:rPr>
        <w:t xml:space="preserve">Being aware that </w:t>
      </w:r>
      <w:r w:rsidRPr="009922A4">
        <w:rPr>
          <w:rFonts w:cs="Arial"/>
          <w:szCs w:val="20"/>
        </w:rPr>
        <w:t xml:space="preserve">the lack of clear and consistent approaches in member States towards ensuring criminal liability for breaches of counter-terrorism laws and serious violations of international humanitarian law requires greater investment in understanding the </w:t>
      </w:r>
      <w:r w:rsidRPr="009922A4">
        <w:rPr>
          <w:rFonts w:cs="Arial"/>
          <w:color w:val="000000" w:themeColor="text1"/>
          <w:szCs w:val="20"/>
        </w:rPr>
        <w:t xml:space="preserve">interplay of the two legal regimes </w:t>
      </w:r>
      <w:r w:rsidRPr="009922A4">
        <w:rPr>
          <w:rFonts w:cs="Arial"/>
          <w:szCs w:val="20"/>
        </w:rPr>
        <w:t>and in identifying legal means capable of guaranteeing that no accountability gaps exist and that perpetrators are brought to justice for the full spectrum of their criminal conduct;</w:t>
      </w:r>
    </w:p>
    <w:p w14:paraId="1072AA22" w14:textId="77777777" w:rsidR="007B0381" w:rsidRDefault="007B0381" w:rsidP="005842DF">
      <w:pPr>
        <w:rPr>
          <w:rFonts w:cs="Arial"/>
          <w:szCs w:val="20"/>
        </w:rPr>
      </w:pPr>
      <w:r>
        <w:rPr>
          <w:rFonts w:cs="Arial"/>
          <w:szCs w:val="20"/>
        </w:rPr>
        <w:br w:type="page"/>
      </w:r>
    </w:p>
    <w:p w14:paraId="19F586B6" w14:textId="77777777" w:rsidR="007B0381" w:rsidRPr="009922A4" w:rsidRDefault="007B0381" w:rsidP="005842DF">
      <w:pPr>
        <w:contextualSpacing/>
        <w:rPr>
          <w:rFonts w:cs="Arial"/>
          <w:szCs w:val="20"/>
        </w:rPr>
      </w:pPr>
      <w:r w:rsidRPr="009922A4">
        <w:rPr>
          <w:rFonts w:cs="Arial"/>
          <w:szCs w:val="20"/>
        </w:rPr>
        <w:lastRenderedPageBreak/>
        <w:t>Recognising the need to develop resources that facilitate the application of effective investigation tools to terrorist offences, serious violations of international humanitarian law and other core international crimes committed in the context of an armed conflict and the adoption of appropriate prosecution strategies to leave none of these offences and crimes unpunished;</w:t>
      </w:r>
    </w:p>
    <w:p w14:paraId="7B3DBBF8" w14:textId="77777777" w:rsidR="007B0381" w:rsidRPr="009922A4" w:rsidRDefault="007B0381" w:rsidP="005842DF">
      <w:pPr>
        <w:contextualSpacing/>
        <w:rPr>
          <w:rFonts w:cs="Arial"/>
          <w:szCs w:val="20"/>
        </w:rPr>
      </w:pPr>
    </w:p>
    <w:p w14:paraId="0A6120B8" w14:textId="77777777" w:rsidR="007B0381" w:rsidRPr="009922A4" w:rsidRDefault="007B0381" w:rsidP="005842DF">
      <w:pPr>
        <w:keepLines/>
        <w:contextualSpacing/>
        <w:rPr>
          <w:rFonts w:cs="Arial"/>
          <w:szCs w:val="20"/>
        </w:rPr>
      </w:pPr>
      <w:r w:rsidRPr="009922A4">
        <w:rPr>
          <w:rFonts w:cs="Arial"/>
          <w:szCs w:val="20"/>
        </w:rPr>
        <w:t>Underlining the great importance of co-operation between member States and between those States and international organisations and non-governmental actors in the fight against impunity for the above offences and crimes perpetrated by terrorist associations or groups in that context;</w:t>
      </w:r>
    </w:p>
    <w:p w14:paraId="4B30DDA1" w14:textId="77777777" w:rsidR="007B0381" w:rsidRPr="009922A4" w:rsidRDefault="007B0381" w:rsidP="005842DF">
      <w:pPr>
        <w:keepLines/>
        <w:contextualSpacing/>
        <w:rPr>
          <w:rFonts w:cs="Arial"/>
          <w:szCs w:val="20"/>
        </w:rPr>
      </w:pPr>
    </w:p>
    <w:p w14:paraId="2CB33877" w14:textId="77777777" w:rsidR="007B0381" w:rsidRPr="009922A4" w:rsidRDefault="007B0381" w:rsidP="005842DF">
      <w:pPr>
        <w:keepLines/>
        <w:contextualSpacing/>
        <w:rPr>
          <w:rFonts w:cs="Arial"/>
          <w:szCs w:val="20"/>
        </w:rPr>
      </w:pPr>
      <w:r w:rsidRPr="009922A4">
        <w:rPr>
          <w:rFonts w:cs="Arial"/>
          <w:szCs w:val="20"/>
        </w:rPr>
        <w:t>Understanding the need of victims of terrorism and core international crimes to be fully recognised and the positive impact of comprehensive prosecution strategies on securing justice and appropriate support for victims to compensate for the harm suffered;</w:t>
      </w:r>
    </w:p>
    <w:p w14:paraId="7289F1F0" w14:textId="77777777" w:rsidR="007B0381" w:rsidRPr="009922A4" w:rsidRDefault="007B0381" w:rsidP="005842DF">
      <w:pPr>
        <w:keepLines/>
        <w:contextualSpacing/>
        <w:rPr>
          <w:rFonts w:cs="Arial"/>
          <w:szCs w:val="20"/>
        </w:rPr>
      </w:pPr>
    </w:p>
    <w:p w14:paraId="311373AF" w14:textId="77777777" w:rsidR="007B0381" w:rsidRPr="009922A4" w:rsidRDefault="007B0381" w:rsidP="005842DF">
      <w:pPr>
        <w:keepLines/>
        <w:contextualSpacing/>
        <w:rPr>
          <w:rFonts w:cs="Arial"/>
          <w:szCs w:val="20"/>
        </w:rPr>
      </w:pPr>
      <w:r w:rsidRPr="009922A4">
        <w:rPr>
          <w:rFonts w:cs="Arial"/>
          <w:szCs w:val="20"/>
        </w:rPr>
        <w:t>Recognising that the return and relocation of foreign terrorist fighters continue to affect a considerable number of member States and that the intersection of armed conflict and terrorist activity in which they have engaged has raised significant issues of criminal liability, due to the potential overlap of international humanitarian law and the legal framework governing the fight against terrorism;</w:t>
      </w:r>
    </w:p>
    <w:p w14:paraId="5249BED7" w14:textId="77777777" w:rsidR="007B0381" w:rsidRPr="009922A4" w:rsidRDefault="007B0381" w:rsidP="005842DF">
      <w:pPr>
        <w:keepLines/>
        <w:contextualSpacing/>
        <w:rPr>
          <w:rFonts w:cs="Arial"/>
          <w:szCs w:val="20"/>
        </w:rPr>
      </w:pPr>
    </w:p>
    <w:p w14:paraId="722B15C5" w14:textId="77777777" w:rsidR="007B0381" w:rsidRPr="009922A4" w:rsidRDefault="007B0381" w:rsidP="005842DF">
      <w:pPr>
        <w:keepLines/>
        <w:contextualSpacing/>
        <w:rPr>
          <w:rFonts w:cs="Arial"/>
          <w:szCs w:val="20"/>
        </w:rPr>
      </w:pPr>
      <w:r w:rsidRPr="009922A4">
        <w:rPr>
          <w:rFonts w:cs="Arial"/>
          <w:szCs w:val="20"/>
        </w:rPr>
        <w:t>Emphasising that it is essential to safeguard exclusively humanitarian activities carried out by impartial humanitarian organisations, such as the International Committee of the Red Cross, and aimed at alleviating human suffering, protecting life and health and upholding human dignity during armed conflict;</w:t>
      </w:r>
    </w:p>
    <w:p w14:paraId="79EF1455" w14:textId="77777777" w:rsidR="007B0381" w:rsidRPr="009922A4" w:rsidRDefault="007B0381" w:rsidP="005842DF">
      <w:pPr>
        <w:contextualSpacing/>
        <w:rPr>
          <w:rFonts w:cs="Arial"/>
          <w:szCs w:val="20"/>
        </w:rPr>
      </w:pPr>
    </w:p>
    <w:p w14:paraId="63EC0520" w14:textId="77777777" w:rsidR="007B0381" w:rsidRPr="009922A4" w:rsidRDefault="007B0381" w:rsidP="005842DF">
      <w:pPr>
        <w:contextualSpacing/>
        <w:rPr>
          <w:rFonts w:cs="Arial"/>
          <w:szCs w:val="20"/>
        </w:rPr>
      </w:pPr>
      <w:r w:rsidRPr="009922A4">
        <w:rPr>
          <w:rFonts w:cs="Arial"/>
          <w:szCs w:val="20"/>
        </w:rPr>
        <w:t>Bearing in mind the provisions of the European Convention on Human Rights (ETS No. 5, the Convention), especially Articles 2 (right to life), 3 (prohibition of torture), 5 (right to liberty and security), 6 (right to a fair trial), 7 (no punishment without law), 8 (right to respect for private and family life) and 13 (right to an effective remedy), and Article 4 of Protocol No. 7 to the Convention (ETS No. 117) (right not to be tried or punished twice);</w:t>
      </w:r>
    </w:p>
    <w:p w14:paraId="708D8D64" w14:textId="77777777" w:rsidR="007B0381" w:rsidRPr="009922A4" w:rsidRDefault="007B0381" w:rsidP="005842DF">
      <w:pPr>
        <w:contextualSpacing/>
        <w:rPr>
          <w:rFonts w:cs="Arial"/>
          <w:szCs w:val="20"/>
        </w:rPr>
      </w:pPr>
    </w:p>
    <w:p w14:paraId="01761D55" w14:textId="77777777" w:rsidR="007B0381" w:rsidRDefault="007B0381" w:rsidP="005842DF">
      <w:pPr>
        <w:contextualSpacing/>
        <w:rPr>
          <w:rFonts w:cs="Arial"/>
          <w:szCs w:val="20"/>
        </w:rPr>
      </w:pPr>
      <w:r w:rsidRPr="009922A4">
        <w:rPr>
          <w:rFonts w:cs="Arial"/>
          <w:szCs w:val="20"/>
        </w:rPr>
        <w:t>Having regard to the following Council of Europe conventions, recommendations and guidelines:</w:t>
      </w:r>
    </w:p>
    <w:p w14:paraId="2B4FFDDA" w14:textId="77777777" w:rsidR="007B0381" w:rsidRPr="009922A4" w:rsidRDefault="007B0381" w:rsidP="005842DF">
      <w:pPr>
        <w:ind w:left="709" w:hanging="709"/>
        <w:contextualSpacing/>
        <w:rPr>
          <w:rFonts w:cs="Arial"/>
          <w:color w:val="000000" w:themeColor="text1"/>
          <w:szCs w:val="20"/>
        </w:rPr>
      </w:pPr>
    </w:p>
    <w:p w14:paraId="36CA61F9" w14:textId="77777777" w:rsidR="007B0381" w:rsidRPr="009922A4" w:rsidRDefault="007B0381" w:rsidP="005842DF">
      <w:pPr>
        <w:pStyle w:val="ListParagraph"/>
        <w:numPr>
          <w:ilvl w:val="0"/>
          <w:numId w:val="3"/>
        </w:numPr>
        <w:ind w:left="709" w:hanging="709"/>
        <w:rPr>
          <w:rFonts w:cs="Arial"/>
          <w:szCs w:val="20"/>
        </w:rPr>
      </w:pPr>
      <w:r w:rsidRPr="009922A4">
        <w:rPr>
          <w:rFonts w:cs="Arial"/>
          <w:szCs w:val="20"/>
        </w:rPr>
        <w:t>the European Convention on Extradition (ETS No. 24, 1957);</w:t>
      </w:r>
    </w:p>
    <w:p w14:paraId="0D1D6145" w14:textId="4F87C442" w:rsidR="007B0381" w:rsidRPr="009922A4" w:rsidRDefault="007B0381" w:rsidP="005842DF">
      <w:pPr>
        <w:pStyle w:val="ListParagraph"/>
        <w:numPr>
          <w:ilvl w:val="0"/>
          <w:numId w:val="3"/>
        </w:numPr>
        <w:ind w:left="709" w:hanging="709"/>
        <w:rPr>
          <w:rFonts w:cs="Arial"/>
          <w:szCs w:val="20"/>
        </w:rPr>
      </w:pPr>
      <w:r w:rsidRPr="009922A4">
        <w:rPr>
          <w:rFonts w:cs="Arial"/>
          <w:szCs w:val="20"/>
        </w:rPr>
        <w:t>the European Convention on Mutual Assistance in Criminal Matters (ETS No. 30, 1959), the Additional Protocol to the European Convention on Mutual Assistance in Criminal Matters</w:t>
      </w:r>
      <w:r w:rsidR="00DA02ED">
        <w:rPr>
          <w:rFonts w:cs="Arial"/>
          <w:szCs w:val="20"/>
        </w:rPr>
        <w:t xml:space="preserve"> </w:t>
      </w:r>
      <w:r w:rsidRPr="009922A4">
        <w:rPr>
          <w:rFonts w:cs="Arial"/>
          <w:szCs w:val="20"/>
        </w:rPr>
        <w:t>(ETS</w:t>
      </w:r>
      <w:r w:rsidR="00DA02ED">
        <w:rPr>
          <w:rFonts w:cs="Arial"/>
          <w:szCs w:val="20"/>
        </w:rPr>
        <w:t> </w:t>
      </w:r>
      <w:r w:rsidRPr="009922A4">
        <w:rPr>
          <w:rFonts w:cs="Arial"/>
          <w:szCs w:val="20"/>
        </w:rPr>
        <w:t>No. 99, 1978), the Second Additional Protocol to the European Convention on Mutual Assistance in Criminal Matters (ETS No. 182, 2001) and the Third Additional Protocol to the European Convention on Mutual Assistance in Criminal Matters (CETS No. 227, 2025);</w:t>
      </w:r>
    </w:p>
    <w:p w14:paraId="3B293ABB" w14:textId="77777777" w:rsidR="007B0381" w:rsidRPr="009922A4" w:rsidRDefault="007B0381" w:rsidP="005842DF">
      <w:pPr>
        <w:pStyle w:val="ListParagraph"/>
        <w:numPr>
          <w:ilvl w:val="0"/>
          <w:numId w:val="3"/>
        </w:numPr>
        <w:ind w:left="709" w:hanging="709"/>
        <w:rPr>
          <w:rFonts w:cs="Arial"/>
          <w:szCs w:val="20"/>
        </w:rPr>
      </w:pPr>
      <w:r w:rsidRPr="009922A4">
        <w:rPr>
          <w:rFonts w:cs="Arial"/>
          <w:szCs w:val="20"/>
        </w:rPr>
        <w:t>the European Convention on the Non-Applicability of Statutory Limitation to Crimes against Humanity and War Crimes (ETS No. 82, 1974);</w:t>
      </w:r>
    </w:p>
    <w:p w14:paraId="37BEE749" w14:textId="673A1D67" w:rsidR="007B0381" w:rsidRPr="009922A4" w:rsidRDefault="007B0381" w:rsidP="005842DF">
      <w:pPr>
        <w:pStyle w:val="ListParagraph"/>
        <w:numPr>
          <w:ilvl w:val="0"/>
          <w:numId w:val="3"/>
        </w:numPr>
        <w:ind w:left="709" w:hanging="709"/>
        <w:rPr>
          <w:rFonts w:cs="Arial"/>
          <w:szCs w:val="20"/>
        </w:rPr>
      </w:pPr>
      <w:r w:rsidRPr="009922A4">
        <w:rPr>
          <w:rFonts w:cs="Arial"/>
          <w:szCs w:val="20"/>
        </w:rPr>
        <w:t>the Convention on the Prevention of Terrorism (CETS No. 196, 2005), the Additional Protocol to the Council of Europe Convention on the Prevention of Terrorism (CETS No. 217, 2015) and the Protocol amending the Council of Europe Convention on the Prevention of Terrorism (CETS</w:t>
      </w:r>
      <w:r w:rsidR="00DA02ED">
        <w:rPr>
          <w:rFonts w:cs="Arial"/>
          <w:szCs w:val="20"/>
        </w:rPr>
        <w:t> </w:t>
      </w:r>
      <w:r w:rsidRPr="009922A4">
        <w:rPr>
          <w:rFonts w:cs="Arial"/>
          <w:szCs w:val="20"/>
        </w:rPr>
        <w:t>No. 231, 2026);</w:t>
      </w:r>
    </w:p>
    <w:p w14:paraId="31BB9CB5" w14:textId="77777777" w:rsidR="007B0381" w:rsidRPr="009922A4" w:rsidRDefault="007B0381" w:rsidP="005842DF">
      <w:pPr>
        <w:pStyle w:val="ListParagraph"/>
        <w:numPr>
          <w:ilvl w:val="0"/>
          <w:numId w:val="3"/>
        </w:numPr>
        <w:ind w:left="709" w:hanging="709"/>
        <w:rPr>
          <w:rFonts w:cs="Arial"/>
          <w:szCs w:val="20"/>
        </w:rPr>
      </w:pPr>
      <w:r w:rsidRPr="009922A4">
        <w:rPr>
          <w:rFonts w:cs="Arial"/>
          <w:szCs w:val="20"/>
        </w:rPr>
        <w:t>the Convention on Laundering, Search, Seizure and Confiscation of the Proceeds from Crime and on the Financing of Terrorism (CETS No. 198, 2005);</w:t>
      </w:r>
    </w:p>
    <w:p w14:paraId="0577A6A5" w14:textId="3EF590DF" w:rsidR="007B0381" w:rsidRPr="009922A4" w:rsidRDefault="007B0381" w:rsidP="005842DF">
      <w:pPr>
        <w:pStyle w:val="ListParagraph"/>
        <w:numPr>
          <w:ilvl w:val="0"/>
          <w:numId w:val="3"/>
        </w:numPr>
        <w:ind w:left="709" w:hanging="709"/>
        <w:rPr>
          <w:rFonts w:cs="Arial"/>
          <w:szCs w:val="20"/>
        </w:rPr>
      </w:pPr>
      <w:r w:rsidRPr="00A02296">
        <w:rPr>
          <w:rFonts w:cs="Arial"/>
          <w:szCs w:val="20"/>
        </w:rPr>
        <w:t xml:space="preserve">Recommendation </w:t>
      </w:r>
      <w:bookmarkStart w:id="1" w:name="_ML_000000000002_VALID"/>
      <w:r w:rsidR="002B0A38" w:rsidRPr="002B0A38">
        <w:rPr>
          <w:rFonts w:cs="Arial"/>
          <w:szCs w:val="20"/>
        </w:rPr>
        <w:fldChar w:fldCharType="begin"/>
      </w:r>
      <w:r w:rsidR="002B0A38" w:rsidRPr="002B0A38">
        <w:rPr>
          <w:rFonts w:cs="Arial"/>
          <w:szCs w:val="20"/>
        </w:rPr>
        <w:instrText>HYPERLINK "https://search.coe.int/cm/eng#%7B%22CoEReference%22:[%22Rec(2005)9%22],%22CoELanguageId%22:[%22eng%22],%22CoECollection%22:[%22COE_DOC%22],%22po%22:%7B%22ref%22:%22=%22%7D%7D" \o "Recommendation Rec(2005)9 of the Committee of Ministers to member states on the protection of witnesses and collaborators of justice, (Adopted by the Committee of Ministers on 20 April 2005 at the 924th meeting of the Ministers’ Deputies)"</w:instrText>
      </w:r>
      <w:r w:rsidR="002B0A38" w:rsidRPr="002B0A38">
        <w:rPr>
          <w:rFonts w:cs="Arial"/>
          <w:szCs w:val="20"/>
        </w:rPr>
      </w:r>
      <w:r w:rsidR="002B0A38" w:rsidRPr="002B0A38">
        <w:rPr>
          <w:rFonts w:cs="Arial"/>
          <w:szCs w:val="20"/>
        </w:rPr>
        <w:fldChar w:fldCharType="separate"/>
      </w:r>
      <w:bookmarkEnd w:id="1"/>
      <w:r w:rsidR="002B0A38" w:rsidRPr="002B0A38">
        <w:rPr>
          <w:rStyle w:val="Hyperlink"/>
          <w:rFonts w:cs="Arial"/>
          <w:szCs w:val="20"/>
        </w:rPr>
        <w:t>Rec(2005)9</w:t>
      </w:r>
      <w:r w:rsidR="002B0A38" w:rsidRPr="002B0A38">
        <w:rPr>
          <w:rFonts w:cs="Arial"/>
          <w:szCs w:val="20"/>
        </w:rPr>
        <w:fldChar w:fldCharType="end"/>
      </w:r>
      <w:r w:rsidRPr="009922A4">
        <w:rPr>
          <w:rFonts w:cs="Arial"/>
          <w:szCs w:val="20"/>
        </w:rPr>
        <w:t xml:space="preserve"> of the Committee of Ministers to member States on the protection of witnesses and collaborators of justice;</w:t>
      </w:r>
    </w:p>
    <w:p w14:paraId="5A40C814" w14:textId="33CD3F8C" w:rsidR="007B0381" w:rsidRPr="009922A4" w:rsidRDefault="007B0381" w:rsidP="005842DF">
      <w:pPr>
        <w:pStyle w:val="ListParagraph"/>
        <w:numPr>
          <w:ilvl w:val="0"/>
          <w:numId w:val="3"/>
        </w:numPr>
        <w:ind w:left="709" w:hanging="709"/>
        <w:rPr>
          <w:rFonts w:cs="Arial"/>
          <w:szCs w:val="20"/>
        </w:rPr>
      </w:pPr>
      <w:r w:rsidRPr="00A02296">
        <w:rPr>
          <w:rFonts w:cs="Arial"/>
          <w:szCs w:val="20"/>
        </w:rPr>
        <w:t xml:space="preserve">Recommendation </w:t>
      </w:r>
      <w:bookmarkStart w:id="2" w:name="_ML_000000000003_VALID"/>
      <w:r w:rsidR="002B0A38" w:rsidRPr="002B0A38">
        <w:rPr>
          <w:rFonts w:cs="Arial"/>
          <w:szCs w:val="20"/>
        </w:rPr>
        <w:fldChar w:fldCharType="begin"/>
      </w:r>
      <w:r w:rsidR="002B0A38" w:rsidRPr="002B0A38">
        <w:rPr>
          <w:rFonts w:cs="Arial"/>
          <w:szCs w:val="20"/>
        </w:rPr>
        <w:instrText>HYPERLINK "https://search.coe.int/cm/eng#%7B%22CoEReference%22:[%22CM/Rec(2017)6%22],%22CoELanguageId%22:[%22eng%22],%22CoECollection%22:[%22COE_DOC%22],%22po%22:%7B%22ref%22:%22=%22%7D%7D" \o "Recommendation of the Committee of Ministers to member States on \“special investigation techniques\” in relation to serious crimes including acts of terrorism (Adopted by the Committee of Ministers on 5 July 2017 at the 1291st meeting of the Ministers' Deputies)"</w:instrText>
      </w:r>
      <w:r w:rsidR="002B0A38" w:rsidRPr="002B0A38">
        <w:rPr>
          <w:rFonts w:cs="Arial"/>
          <w:szCs w:val="20"/>
        </w:rPr>
      </w:r>
      <w:r w:rsidR="002B0A38" w:rsidRPr="002B0A38">
        <w:rPr>
          <w:rFonts w:cs="Arial"/>
          <w:szCs w:val="20"/>
        </w:rPr>
        <w:fldChar w:fldCharType="separate"/>
      </w:r>
      <w:bookmarkEnd w:id="2"/>
      <w:r w:rsidR="002B0A38" w:rsidRPr="002B0A38">
        <w:rPr>
          <w:rStyle w:val="Hyperlink"/>
          <w:rFonts w:cs="Arial"/>
          <w:szCs w:val="20"/>
        </w:rPr>
        <w:t>CM/Rec(2017)6</w:t>
      </w:r>
      <w:r w:rsidR="002B0A38" w:rsidRPr="002B0A38">
        <w:rPr>
          <w:rFonts w:cs="Arial"/>
          <w:szCs w:val="20"/>
        </w:rPr>
        <w:fldChar w:fldCharType="end"/>
      </w:r>
      <w:r w:rsidRPr="009922A4">
        <w:rPr>
          <w:rFonts w:cs="Arial"/>
          <w:szCs w:val="20"/>
        </w:rPr>
        <w:t xml:space="preserve"> of the Committee of Ministers to member States on “special investigation techniques” in relation to serious crimes including acts of terrorism;</w:t>
      </w:r>
    </w:p>
    <w:p w14:paraId="024893B1" w14:textId="41289791" w:rsidR="007B0381" w:rsidRPr="009922A4" w:rsidRDefault="007B0381" w:rsidP="005842DF">
      <w:pPr>
        <w:pStyle w:val="ListParagraph"/>
        <w:numPr>
          <w:ilvl w:val="0"/>
          <w:numId w:val="3"/>
        </w:numPr>
        <w:ind w:left="709" w:hanging="709"/>
        <w:rPr>
          <w:rFonts w:cs="Arial"/>
          <w:szCs w:val="20"/>
        </w:rPr>
      </w:pPr>
      <w:r w:rsidRPr="00A02296">
        <w:rPr>
          <w:rFonts w:cs="Arial"/>
          <w:szCs w:val="20"/>
        </w:rPr>
        <w:t xml:space="preserve">Recommendation </w:t>
      </w:r>
      <w:bookmarkStart w:id="3" w:name="_ML_000000000004_VALID"/>
      <w:r w:rsidR="002B0A38" w:rsidRPr="002B0A38">
        <w:rPr>
          <w:rFonts w:cs="Arial"/>
          <w:szCs w:val="20"/>
        </w:rPr>
        <w:fldChar w:fldCharType="begin"/>
      </w:r>
      <w:r w:rsidR="002B0A38" w:rsidRPr="002B0A38">
        <w:rPr>
          <w:rFonts w:cs="Arial"/>
          <w:szCs w:val="20"/>
        </w:rPr>
        <w:instrText>HYPERLINK "https://search.coe.int/cm/eng#%7B%22CoEReference%22:[%22CM/Rec(2018)6%22],%22CoELanguageId%22:[%22eng%22],%22CoECollection%22:[%22COE_DOC%22],%22po%22:%7B%22ref%22:%22=%22%7D%7D" \o "Recommendation of the Committee of Ministers to member States on terrorists acting alone (Adopted by the Committee of Ministers on 4 April 2018 at the 1312th meeting of the Ministers' Deputies)"</w:instrText>
      </w:r>
      <w:r w:rsidR="002B0A38" w:rsidRPr="002B0A38">
        <w:rPr>
          <w:rFonts w:cs="Arial"/>
          <w:szCs w:val="20"/>
        </w:rPr>
      </w:r>
      <w:r w:rsidR="002B0A38" w:rsidRPr="002B0A38">
        <w:rPr>
          <w:rFonts w:cs="Arial"/>
          <w:szCs w:val="20"/>
        </w:rPr>
        <w:fldChar w:fldCharType="separate"/>
      </w:r>
      <w:bookmarkEnd w:id="3"/>
      <w:r w:rsidR="002B0A38" w:rsidRPr="002B0A38">
        <w:rPr>
          <w:rStyle w:val="Hyperlink"/>
          <w:rFonts w:cs="Arial"/>
          <w:szCs w:val="20"/>
        </w:rPr>
        <w:t>CM/</w:t>
      </w:r>
      <w:proofErr w:type="gramStart"/>
      <w:r w:rsidR="002B0A38" w:rsidRPr="002B0A38">
        <w:rPr>
          <w:rStyle w:val="Hyperlink"/>
          <w:rFonts w:cs="Arial"/>
          <w:szCs w:val="20"/>
        </w:rPr>
        <w:t>Rec(</w:t>
      </w:r>
      <w:proofErr w:type="gramEnd"/>
      <w:r w:rsidR="002B0A38" w:rsidRPr="002B0A38">
        <w:rPr>
          <w:rStyle w:val="Hyperlink"/>
          <w:rFonts w:cs="Arial"/>
          <w:szCs w:val="20"/>
        </w:rPr>
        <w:t>2018)6</w:t>
      </w:r>
      <w:r w:rsidR="002B0A38" w:rsidRPr="002B0A38">
        <w:rPr>
          <w:rFonts w:cs="Arial"/>
          <w:szCs w:val="20"/>
        </w:rPr>
        <w:fldChar w:fldCharType="end"/>
      </w:r>
      <w:r w:rsidRPr="009922A4">
        <w:rPr>
          <w:rFonts w:cs="Arial"/>
          <w:szCs w:val="20"/>
        </w:rPr>
        <w:t xml:space="preserve"> of the Committee of Ministers to member States on terrorists acting alone;</w:t>
      </w:r>
    </w:p>
    <w:p w14:paraId="35569A69" w14:textId="1CD2C22A" w:rsidR="007B0381" w:rsidRPr="009922A4" w:rsidRDefault="007B0381" w:rsidP="005842DF">
      <w:pPr>
        <w:pStyle w:val="ListParagraph"/>
        <w:numPr>
          <w:ilvl w:val="0"/>
          <w:numId w:val="3"/>
        </w:numPr>
        <w:ind w:left="709" w:hanging="709"/>
        <w:rPr>
          <w:rFonts w:cs="Arial"/>
          <w:szCs w:val="20"/>
        </w:rPr>
      </w:pPr>
      <w:r w:rsidRPr="00A02296">
        <w:rPr>
          <w:rFonts w:cs="Arial"/>
          <w:szCs w:val="20"/>
        </w:rPr>
        <w:t xml:space="preserve">Recommendation </w:t>
      </w:r>
      <w:bookmarkStart w:id="4" w:name="_ML_000000000005_VALID"/>
      <w:r w:rsidR="002B0A38" w:rsidRPr="002B0A38">
        <w:rPr>
          <w:rFonts w:cs="Arial"/>
          <w:szCs w:val="20"/>
        </w:rPr>
        <w:fldChar w:fldCharType="begin"/>
      </w:r>
      <w:r w:rsidR="002B0A38" w:rsidRPr="002B0A38">
        <w:rPr>
          <w:rFonts w:cs="Arial"/>
          <w:szCs w:val="20"/>
        </w:rPr>
        <w:instrText>HYPERLINK "https://search.coe.int/cm/eng#%7B%22CoEReference%22:[%22CM/Rec(2022)8%22],%22CoELanguageId%22:[%22eng%22],%22CoECollection%22:[%22COE_DOC%22],%22po%22:%7B%22ref%22:%22=%22%7D%7D" \o "Recommendation of the Committee of Ministers to member States on the use of information collected in conflict zones as evidence in criminal proceedings related to terrorist offences (Adopted by the Committee of Ministers on 30 March 2022 at the 1430th meeting of the Ministers' Deputies)"</w:instrText>
      </w:r>
      <w:r w:rsidR="002B0A38" w:rsidRPr="002B0A38">
        <w:rPr>
          <w:rFonts w:cs="Arial"/>
          <w:szCs w:val="20"/>
        </w:rPr>
      </w:r>
      <w:r w:rsidR="002B0A38" w:rsidRPr="002B0A38">
        <w:rPr>
          <w:rFonts w:cs="Arial"/>
          <w:szCs w:val="20"/>
        </w:rPr>
        <w:fldChar w:fldCharType="separate"/>
      </w:r>
      <w:bookmarkEnd w:id="4"/>
      <w:r w:rsidR="002B0A38" w:rsidRPr="002B0A38">
        <w:rPr>
          <w:rStyle w:val="Hyperlink"/>
          <w:rFonts w:cs="Arial"/>
          <w:szCs w:val="20"/>
        </w:rPr>
        <w:t>CM/Rec(2022)8</w:t>
      </w:r>
      <w:r w:rsidR="002B0A38" w:rsidRPr="002B0A38">
        <w:rPr>
          <w:rFonts w:cs="Arial"/>
          <w:szCs w:val="20"/>
        </w:rPr>
        <w:fldChar w:fldCharType="end"/>
      </w:r>
      <w:r w:rsidRPr="009922A4">
        <w:rPr>
          <w:rFonts w:cs="Arial"/>
          <w:szCs w:val="20"/>
        </w:rPr>
        <w:t xml:space="preserve"> of the Committee of Ministers to member States on the use of information collected in conflict zones as evidence in criminal proceedings related to terrorist offences;</w:t>
      </w:r>
    </w:p>
    <w:p w14:paraId="566E6EF5" w14:textId="3603FC5B" w:rsidR="007B0381" w:rsidRPr="009922A4" w:rsidRDefault="007B0381" w:rsidP="005842DF">
      <w:pPr>
        <w:pStyle w:val="ListParagraph"/>
        <w:numPr>
          <w:ilvl w:val="0"/>
          <w:numId w:val="3"/>
        </w:numPr>
        <w:ind w:left="709" w:hanging="709"/>
        <w:rPr>
          <w:rFonts w:cs="Arial"/>
          <w:szCs w:val="20"/>
        </w:rPr>
      </w:pPr>
      <w:r w:rsidRPr="00A02296">
        <w:rPr>
          <w:rFonts w:cs="Arial"/>
          <w:szCs w:val="20"/>
        </w:rPr>
        <w:t xml:space="preserve">Recommendation </w:t>
      </w:r>
      <w:bookmarkStart w:id="5" w:name="_ML_000000000006_VALID"/>
      <w:r w:rsidR="002B0A38" w:rsidRPr="002B0A38">
        <w:rPr>
          <w:rFonts w:cs="Arial"/>
          <w:szCs w:val="20"/>
        </w:rPr>
        <w:fldChar w:fldCharType="begin"/>
      </w:r>
      <w:r w:rsidR="002B0A38" w:rsidRPr="002B0A38">
        <w:rPr>
          <w:rFonts w:cs="Arial"/>
          <w:szCs w:val="20"/>
        </w:rPr>
        <w:instrText>HYPERLINK "https://search.coe.int/cm/eng#%7B%22CoEReference%22:[%22CM/Rec(2023)2%22],%22CoELanguageId%22:[%22eng%22],%22CoECollection%22:[%22COE_DOC%22],%22po%22:%7B%22ref%22:%22=%22%7D%7D" \o "Recommendation of the Committee of Ministers to member States on rights, services and support for victims of crime (Adopted by the Committee of Ministers on 15 March 2023 at the 1460th meeting of the Ministers' Deputies)"</w:instrText>
      </w:r>
      <w:r w:rsidR="002B0A38" w:rsidRPr="002B0A38">
        <w:rPr>
          <w:rFonts w:cs="Arial"/>
          <w:szCs w:val="20"/>
        </w:rPr>
      </w:r>
      <w:r w:rsidR="002B0A38" w:rsidRPr="002B0A38">
        <w:rPr>
          <w:rFonts w:cs="Arial"/>
          <w:szCs w:val="20"/>
        </w:rPr>
        <w:fldChar w:fldCharType="separate"/>
      </w:r>
      <w:bookmarkEnd w:id="5"/>
      <w:r w:rsidR="002B0A38" w:rsidRPr="002B0A38">
        <w:rPr>
          <w:rStyle w:val="Hyperlink"/>
          <w:rFonts w:cs="Arial"/>
          <w:szCs w:val="20"/>
        </w:rPr>
        <w:t>CM/Rec(2023)2</w:t>
      </w:r>
      <w:r w:rsidR="002B0A38" w:rsidRPr="002B0A38">
        <w:rPr>
          <w:rFonts w:cs="Arial"/>
          <w:szCs w:val="20"/>
        </w:rPr>
        <w:fldChar w:fldCharType="end"/>
      </w:r>
      <w:r w:rsidRPr="009922A4">
        <w:rPr>
          <w:rFonts w:cs="Arial"/>
          <w:szCs w:val="20"/>
        </w:rPr>
        <w:t xml:space="preserve"> of the Committee of Ministers to member States on rights, services and support for victims of crime;</w:t>
      </w:r>
    </w:p>
    <w:p w14:paraId="65A3A26A" w14:textId="77777777" w:rsidR="007B0381" w:rsidRPr="009922A4" w:rsidRDefault="007B0381" w:rsidP="005842DF">
      <w:pPr>
        <w:pStyle w:val="ListParagraph"/>
        <w:numPr>
          <w:ilvl w:val="0"/>
          <w:numId w:val="3"/>
        </w:numPr>
        <w:ind w:left="709" w:hanging="709"/>
        <w:rPr>
          <w:rFonts w:eastAsia="Times New Roman" w:cs="Arial"/>
          <w:b/>
          <w:bCs/>
          <w:szCs w:val="20"/>
        </w:rPr>
      </w:pPr>
      <w:r w:rsidRPr="009922A4">
        <w:rPr>
          <w:rFonts w:eastAsia="Times New Roman" w:cs="Arial"/>
          <w:szCs w:val="20"/>
        </w:rPr>
        <w:t xml:space="preserve">the </w:t>
      </w:r>
      <w:hyperlink r:id="rId8" w:history="1">
        <w:r w:rsidRPr="009922A4">
          <w:rPr>
            <w:rStyle w:val="Hyperlink"/>
            <w:rFonts w:eastAsia="Times New Roman" w:cs="Arial"/>
            <w:szCs w:val="20"/>
          </w:rPr>
          <w:t>Guidelines on eradicating impunity for serious human rights violations</w:t>
        </w:r>
      </w:hyperlink>
      <w:r w:rsidRPr="009922A4">
        <w:rPr>
          <w:rFonts w:eastAsia="Times New Roman" w:cs="Arial"/>
          <w:szCs w:val="20"/>
        </w:rPr>
        <w:t xml:space="preserve"> adopted by the Committee of Ministers on 30 March 2011;</w:t>
      </w:r>
    </w:p>
    <w:p w14:paraId="519AAE8C" w14:textId="77777777" w:rsidR="007B0381" w:rsidRPr="009922A4" w:rsidRDefault="007B0381" w:rsidP="005842DF">
      <w:pPr>
        <w:pStyle w:val="ListParagraph"/>
        <w:numPr>
          <w:ilvl w:val="0"/>
          <w:numId w:val="3"/>
        </w:numPr>
        <w:ind w:left="709" w:hanging="709"/>
        <w:rPr>
          <w:rFonts w:cs="Arial"/>
          <w:szCs w:val="20"/>
        </w:rPr>
      </w:pPr>
      <w:r w:rsidRPr="009922A4">
        <w:rPr>
          <w:rFonts w:cs="Arial"/>
          <w:szCs w:val="20"/>
        </w:rPr>
        <w:t xml:space="preserve">the </w:t>
      </w:r>
      <w:hyperlink r:id="rId9" w:history="1">
        <w:r w:rsidRPr="009922A4">
          <w:rPr>
            <w:rStyle w:val="Hyperlink"/>
            <w:rFonts w:cs="Arial"/>
            <w:szCs w:val="20"/>
          </w:rPr>
          <w:t>Comparative practices on the use of information collected in conflict zones as evidence in criminal proceedings</w:t>
        </w:r>
      </w:hyperlink>
      <w:r w:rsidRPr="009922A4">
        <w:rPr>
          <w:rFonts w:cs="Arial"/>
          <w:szCs w:val="20"/>
        </w:rPr>
        <w:t xml:space="preserve"> of the Council of Europe Committee on </w:t>
      </w:r>
      <w:proofErr w:type="gramStart"/>
      <w:r w:rsidRPr="009922A4">
        <w:rPr>
          <w:rFonts w:cs="Arial"/>
          <w:szCs w:val="20"/>
        </w:rPr>
        <w:t>Counter-Terrorism</w:t>
      </w:r>
      <w:proofErr w:type="gramEnd"/>
      <w:r w:rsidRPr="009922A4">
        <w:rPr>
          <w:rFonts w:cs="Arial"/>
          <w:szCs w:val="20"/>
        </w:rPr>
        <w:t xml:space="preserve"> (CDCT) (2024); and</w:t>
      </w:r>
    </w:p>
    <w:p w14:paraId="36271C3C" w14:textId="77777777" w:rsidR="007B0381" w:rsidRDefault="007B0381" w:rsidP="005842DF">
      <w:pPr>
        <w:rPr>
          <w:rFonts w:eastAsia="Arial Unicode MS" w:cs="Arial"/>
          <w:szCs w:val="20"/>
          <w:bdr w:val="nil"/>
          <w:lang w:val="en-US"/>
        </w:rPr>
      </w:pPr>
      <w:r>
        <w:rPr>
          <w:rFonts w:cs="Arial"/>
          <w:szCs w:val="20"/>
        </w:rPr>
        <w:br w:type="page"/>
      </w:r>
    </w:p>
    <w:p w14:paraId="1572E871" w14:textId="77777777" w:rsidR="007B0381" w:rsidRPr="009922A4" w:rsidRDefault="007B0381" w:rsidP="005842DF">
      <w:pPr>
        <w:pStyle w:val="ListParagraph"/>
        <w:numPr>
          <w:ilvl w:val="0"/>
          <w:numId w:val="3"/>
        </w:numPr>
        <w:ind w:left="709" w:hanging="709"/>
        <w:rPr>
          <w:rFonts w:cs="Arial"/>
          <w:szCs w:val="20"/>
        </w:rPr>
      </w:pPr>
      <w:r w:rsidRPr="009922A4">
        <w:rPr>
          <w:rFonts w:cs="Arial"/>
          <w:szCs w:val="20"/>
        </w:rPr>
        <w:lastRenderedPageBreak/>
        <w:t xml:space="preserve">the </w:t>
      </w:r>
      <w:hyperlink r:id="rId10" w:history="1">
        <w:r w:rsidRPr="009922A4">
          <w:rPr>
            <w:rStyle w:val="Hyperlink"/>
            <w:rFonts w:cs="Arial"/>
            <w:szCs w:val="20"/>
          </w:rPr>
          <w:t>Guidelines on support services and other measures for victims of terrorism</w:t>
        </w:r>
      </w:hyperlink>
      <w:r w:rsidRPr="009922A4">
        <w:rPr>
          <w:rFonts w:cs="Arial"/>
          <w:szCs w:val="20"/>
        </w:rPr>
        <w:t xml:space="preserve"> of the CDCT (2026);</w:t>
      </w:r>
    </w:p>
    <w:p w14:paraId="744BE4D4" w14:textId="77777777" w:rsidR="007B0381" w:rsidRPr="009922A4" w:rsidRDefault="007B0381" w:rsidP="005842DF">
      <w:pPr>
        <w:ind w:left="709" w:hanging="709"/>
        <w:contextualSpacing/>
        <w:rPr>
          <w:rFonts w:cs="Arial"/>
          <w:szCs w:val="20"/>
        </w:rPr>
      </w:pPr>
    </w:p>
    <w:p w14:paraId="1E96988C" w14:textId="77777777" w:rsidR="007B0381" w:rsidRPr="009922A4" w:rsidRDefault="007B0381" w:rsidP="005842DF">
      <w:pPr>
        <w:keepNext/>
        <w:contextualSpacing/>
        <w:rPr>
          <w:rFonts w:cs="Arial"/>
          <w:color w:val="000000" w:themeColor="text1"/>
          <w:szCs w:val="20"/>
        </w:rPr>
      </w:pPr>
      <w:r w:rsidRPr="009922A4">
        <w:rPr>
          <w:rFonts w:cs="Arial"/>
          <w:szCs w:val="20"/>
        </w:rPr>
        <w:t xml:space="preserve">Having regard to and </w:t>
      </w:r>
      <w:proofErr w:type="gramStart"/>
      <w:r w:rsidRPr="009922A4">
        <w:rPr>
          <w:rFonts w:cs="Arial"/>
          <w:szCs w:val="20"/>
        </w:rPr>
        <w:t>taking into account</w:t>
      </w:r>
      <w:proofErr w:type="gramEnd"/>
      <w:r w:rsidRPr="009922A4">
        <w:rPr>
          <w:rFonts w:cs="Arial"/>
          <w:szCs w:val="20"/>
        </w:rPr>
        <w:t xml:space="preserve"> the following international treaties</w:t>
      </w:r>
      <w:r w:rsidRPr="009922A4">
        <w:rPr>
          <w:rFonts w:cs="Arial"/>
          <w:color w:val="000000" w:themeColor="text1"/>
          <w:szCs w:val="20"/>
        </w:rPr>
        <w:t>:</w:t>
      </w:r>
    </w:p>
    <w:p w14:paraId="1266EC55" w14:textId="77777777" w:rsidR="007B0381" w:rsidRPr="009922A4" w:rsidRDefault="007B0381" w:rsidP="005842DF">
      <w:pPr>
        <w:keepNext/>
        <w:contextualSpacing/>
        <w:rPr>
          <w:rFonts w:cs="Arial"/>
          <w:szCs w:val="20"/>
        </w:rPr>
      </w:pPr>
    </w:p>
    <w:p w14:paraId="11853892" w14:textId="77777777" w:rsidR="007B0381" w:rsidRPr="009922A4" w:rsidRDefault="007B0381" w:rsidP="005842DF">
      <w:pPr>
        <w:pStyle w:val="ListParagraph"/>
        <w:keepNext/>
        <w:numPr>
          <w:ilvl w:val="0"/>
          <w:numId w:val="3"/>
        </w:numPr>
        <w:ind w:hanging="720"/>
        <w:rPr>
          <w:rFonts w:cs="Arial"/>
          <w:szCs w:val="20"/>
        </w:rPr>
      </w:pPr>
      <w:r w:rsidRPr="009922A4">
        <w:rPr>
          <w:rFonts w:cs="Arial"/>
          <w:szCs w:val="20"/>
        </w:rPr>
        <w:t>the Convention on the Prevention and Punishment of the Crime of Genocide (1948);</w:t>
      </w:r>
    </w:p>
    <w:p w14:paraId="3ED7FBA7" w14:textId="77777777" w:rsidR="007B0381" w:rsidRPr="009922A4" w:rsidRDefault="007B0381" w:rsidP="005842DF">
      <w:pPr>
        <w:pStyle w:val="ListParagraph"/>
        <w:numPr>
          <w:ilvl w:val="0"/>
          <w:numId w:val="3"/>
        </w:numPr>
        <w:ind w:hanging="720"/>
        <w:rPr>
          <w:rFonts w:cs="Arial"/>
          <w:szCs w:val="20"/>
        </w:rPr>
      </w:pPr>
      <w:r w:rsidRPr="009922A4">
        <w:rPr>
          <w:rFonts w:cs="Arial"/>
          <w:szCs w:val="20"/>
        </w:rPr>
        <w:t>the Geneva Conventions I to IV (1949) and their additional protocol relating to the protection of victims of non-international armed conflicts (Protocol II, 1977);</w:t>
      </w:r>
    </w:p>
    <w:p w14:paraId="7EDDFB7F" w14:textId="77777777" w:rsidR="007B0381" w:rsidRPr="009922A4" w:rsidRDefault="007B0381" w:rsidP="005842DF">
      <w:pPr>
        <w:pStyle w:val="ListParagraph"/>
        <w:numPr>
          <w:ilvl w:val="0"/>
          <w:numId w:val="3"/>
        </w:numPr>
        <w:ind w:hanging="720"/>
        <w:rPr>
          <w:rFonts w:cs="Arial"/>
          <w:szCs w:val="20"/>
        </w:rPr>
      </w:pPr>
      <w:r w:rsidRPr="009922A4">
        <w:rPr>
          <w:rFonts w:cs="Arial"/>
          <w:szCs w:val="20"/>
        </w:rPr>
        <w:t>the Rome Statute of the International Criminal Court (1998);</w:t>
      </w:r>
    </w:p>
    <w:p w14:paraId="2506426E" w14:textId="1A4CBDA6" w:rsidR="007B0381" w:rsidRPr="009922A4" w:rsidRDefault="007B0381" w:rsidP="005842DF">
      <w:pPr>
        <w:pStyle w:val="ListParagraph"/>
        <w:numPr>
          <w:ilvl w:val="0"/>
          <w:numId w:val="3"/>
        </w:numPr>
        <w:ind w:hanging="720"/>
        <w:rPr>
          <w:rFonts w:cs="Arial"/>
          <w:szCs w:val="20"/>
        </w:rPr>
      </w:pPr>
      <w:r w:rsidRPr="009922A4">
        <w:rPr>
          <w:rFonts w:cs="Arial"/>
          <w:szCs w:val="20"/>
        </w:rPr>
        <w:t>the Ljubljana</w:t>
      </w:r>
      <w:r w:rsidR="005842DF">
        <w:rPr>
          <w:rFonts w:cs="Arial"/>
          <w:szCs w:val="20"/>
        </w:rPr>
        <w:t>-</w:t>
      </w:r>
      <w:r w:rsidRPr="009922A4">
        <w:rPr>
          <w:rFonts w:cs="Arial"/>
          <w:szCs w:val="20"/>
        </w:rPr>
        <w:t>The Hague Convention on International Co</w:t>
      </w:r>
      <w:r w:rsidR="005842DF">
        <w:rPr>
          <w:rFonts w:cs="Arial"/>
          <w:szCs w:val="20"/>
        </w:rPr>
        <w:t>-</w:t>
      </w:r>
      <w:r w:rsidRPr="009922A4">
        <w:rPr>
          <w:rFonts w:cs="Arial"/>
          <w:szCs w:val="20"/>
        </w:rPr>
        <w:t>operation in the Investigation and Prosecution of the Crime of Genocide, Crimes against Humanity, War Crimes and other International Crimes (2023);</w:t>
      </w:r>
    </w:p>
    <w:p w14:paraId="7C2F4335" w14:textId="77777777" w:rsidR="007B0381" w:rsidRPr="009922A4" w:rsidRDefault="007B0381" w:rsidP="005842DF">
      <w:pPr>
        <w:pStyle w:val="ListParagraph"/>
        <w:ind w:hanging="720"/>
        <w:rPr>
          <w:rFonts w:cs="Arial"/>
          <w:szCs w:val="20"/>
        </w:rPr>
      </w:pPr>
    </w:p>
    <w:p w14:paraId="3C3252DF" w14:textId="77777777" w:rsidR="007B0381" w:rsidRPr="009922A4" w:rsidRDefault="007B0381" w:rsidP="005842DF">
      <w:pPr>
        <w:contextualSpacing/>
        <w:rPr>
          <w:rFonts w:cs="Arial"/>
          <w:szCs w:val="20"/>
        </w:rPr>
      </w:pPr>
      <w:r w:rsidRPr="009922A4">
        <w:rPr>
          <w:rFonts w:cs="Arial"/>
          <w:szCs w:val="20"/>
        </w:rPr>
        <w:t xml:space="preserve">Having regard to and </w:t>
      </w:r>
      <w:proofErr w:type="gramStart"/>
      <w:r w:rsidRPr="009922A4">
        <w:rPr>
          <w:rFonts w:cs="Arial"/>
          <w:szCs w:val="20"/>
        </w:rPr>
        <w:t>taking into account</w:t>
      </w:r>
      <w:proofErr w:type="gramEnd"/>
      <w:r w:rsidRPr="009922A4">
        <w:rPr>
          <w:rFonts w:cs="Arial"/>
          <w:szCs w:val="20"/>
        </w:rPr>
        <w:t xml:space="preserve"> the following United Nations Security Council resolutions:</w:t>
      </w:r>
    </w:p>
    <w:p w14:paraId="71A21059" w14:textId="77777777" w:rsidR="007B0381" w:rsidRPr="009922A4" w:rsidRDefault="007B0381" w:rsidP="005842DF">
      <w:pPr>
        <w:ind w:left="360"/>
        <w:contextualSpacing/>
        <w:rPr>
          <w:rFonts w:cs="Arial"/>
          <w:szCs w:val="20"/>
        </w:rPr>
      </w:pPr>
    </w:p>
    <w:p w14:paraId="715A1047" w14:textId="77777777" w:rsidR="007B0381" w:rsidRPr="009922A4" w:rsidRDefault="007B0381" w:rsidP="005842DF">
      <w:pPr>
        <w:pStyle w:val="ListParagraph"/>
        <w:numPr>
          <w:ilvl w:val="0"/>
          <w:numId w:val="3"/>
        </w:numPr>
        <w:ind w:hanging="720"/>
        <w:rPr>
          <w:rFonts w:cs="Arial"/>
          <w:szCs w:val="20"/>
        </w:rPr>
      </w:pPr>
      <w:r w:rsidRPr="009922A4">
        <w:rPr>
          <w:rFonts w:cs="Arial"/>
          <w:szCs w:val="20"/>
        </w:rPr>
        <w:t xml:space="preserve">Resolution 1373 (2001) on threats to international peace and security caused by terrorist acts; </w:t>
      </w:r>
    </w:p>
    <w:p w14:paraId="272F6E01" w14:textId="77777777" w:rsidR="007B0381" w:rsidRPr="009922A4" w:rsidRDefault="007B0381" w:rsidP="005842DF">
      <w:pPr>
        <w:pStyle w:val="ListParagraph"/>
        <w:numPr>
          <w:ilvl w:val="0"/>
          <w:numId w:val="3"/>
        </w:numPr>
        <w:ind w:hanging="720"/>
        <w:rPr>
          <w:rFonts w:cs="Arial"/>
          <w:szCs w:val="20"/>
        </w:rPr>
      </w:pPr>
      <w:r w:rsidRPr="009922A4">
        <w:rPr>
          <w:rFonts w:cs="Arial"/>
          <w:szCs w:val="20"/>
        </w:rPr>
        <w:t>Resolution 2178 (2014) on threats to international peace and security caused by terrorist acts;</w:t>
      </w:r>
    </w:p>
    <w:p w14:paraId="619BD9BA" w14:textId="77777777" w:rsidR="007B0381" w:rsidRPr="009922A4" w:rsidRDefault="007B0381" w:rsidP="005842DF">
      <w:pPr>
        <w:pStyle w:val="ListParagraph"/>
        <w:numPr>
          <w:ilvl w:val="0"/>
          <w:numId w:val="3"/>
        </w:numPr>
        <w:ind w:hanging="720"/>
        <w:rPr>
          <w:rFonts w:cs="Arial"/>
          <w:szCs w:val="20"/>
        </w:rPr>
      </w:pPr>
      <w:r w:rsidRPr="009922A4">
        <w:rPr>
          <w:rFonts w:cs="Arial"/>
          <w:szCs w:val="20"/>
        </w:rPr>
        <w:t xml:space="preserve">Resolution 2322 (2016) on threats to international peace and security caused by terrorist acts; </w:t>
      </w:r>
    </w:p>
    <w:p w14:paraId="32FCABB5" w14:textId="77777777" w:rsidR="007B0381" w:rsidRPr="009922A4" w:rsidRDefault="007B0381" w:rsidP="005842DF">
      <w:pPr>
        <w:pStyle w:val="ListParagraph"/>
        <w:numPr>
          <w:ilvl w:val="0"/>
          <w:numId w:val="3"/>
        </w:numPr>
        <w:ind w:hanging="720"/>
        <w:rPr>
          <w:rFonts w:cs="Arial"/>
          <w:szCs w:val="20"/>
        </w:rPr>
      </w:pPr>
      <w:r w:rsidRPr="009922A4">
        <w:rPr>
          <w:rFonts w:cs="Arial"/>
          <w:szCs w:val="20"/>
        </w:rPr>
        <w:t>Resolution 2396 (2017) on threats to international peace and security caused by terrorist acts;</w:t>
      </w:r>
    </w:p>
    <w:p w14:paraId="22541141" w14:textId="77777777" w:rsidR="007B0381" w:rsidRPr="009922A4" w:rsidRDefault="007B0381" w:rsidP="005842DF">
      <w:pPr>
        <w:pStyle w:val="ListParagraph"/>
        <w:numPr>
          <w:ilvl w:val="0"/>
          <w:numId w:val="3"/>
        </w:numPr>
        <w:ind w:hanging="720"/>
        <w:rPr>
          <w:rFonts w:cs="Arial"/>
          <w:szCs w:val="20"/>
        </w:rPr>
      </w:pPr>
      <w:r w:rsidRPr="009922A4">
        <w:rPr>
          <w:rFonts w:cs="Arial"/>
          <w:szCs w:val="20"/>
        </w:rPr>
        <w:t>Resolution 2462 (2019) on preventing and combating the financing of terrorism;</w:t>
      </w:r>
    </w:p>
    <w:p w14:paraId="0E269D91" w14:textId="77777777" w:rsidR="007B0381" w:rsidRPr="009922A4" w:rsidRDefault="007B0381" w:rsidP="005842DF">
      <w:pPr>
        <w:pStyle w:val="ListParagraph"/>
        <w:numPr>
          <w:ilvl w:val="0"/>
          <w:numId w:val="3"/>
        </w:numPr>
        <w:ind w:hanging="720"/>
        <w:rPr>
          <w:rFonts w:cs="Arial"/>
          <w:szCs w:val="20"/>
        </w:rPr>
      </w:pPr>
      <w:r w:rsidRPr="009922A4">
        <w:rPr>
          <w:rFonts w:cs="Arial"/>
          <w:szCs w:val="20"/>
        </w:rPr>
        <w:t>Resolution 2664 (2022) on general issues relating to sanctions;</w:t>
      </w:r>
    </w:p>
    <w:p w14:paraId="7A778AEE" w14:textId="77777777" w:rsidR="007B0381" w:rsidRPr="009922A4" w:rsidRDefault="007B0381" w:rsidP="005842DF">
      <w:pPr>
        <w:pStyle w:val="ListParagraph"/>
        <w:numPr>
          <w:ilvl w:val="0"/>
          <w:numId w:val="3"/>
        </w:numPr>
        <w:ind w:hanging="720"/>
        <w:rPr>
          <w:rFonts w:cs="Arial"/>
          <w:szCs w:val="20"/>
        </w:rPr>
      </w:pPr>
      <w:r w:rsidRPr="009922A4">
        <w:rPr>
          <w:rFonts w:cs="Arial"/>
          <w:szCs w:val="20"/>
        </w:rPr>
        <w:t>Resolution 2761 (2024) on general issues relating to sanctions;</w:t>
      </w:r>
    </w:p>
    <w:p w14:paraId="5719C2B2" w14:textId="77777777" w:rsidR="007B0381" w:rsidRPr="009922A4" w:rsidRDefault="007B0381" w:rsidP="005842DF">
      <w:pPr>
        <w:pStyle w:val="ListParagraph"/>
        <w:rPr>
          <w:rFonts w:cs="Arial"/>
          <w:szCs w:val="20"/>
        </w:rPr>
      </w:pPr>
    </w:p>
    <w:p w14:paraId="124F18C8" w14:textId="77777777" w:rsidR="007B0381" w:rsidRPr="009922A4" w:rsidRDefault="007B0381" w:rsidP="005842DF">
      <w:pPr>
        <w:contextualSpacing/>
        <w:rPr>
          <w:rFonts w:cs="Arial"/>
          <w:szCs w:val="20"/>
        </w:rPr>
      </w:pPr>
      <w:r w:rsidRPr="009922A4">
        <w:rPr>
          <w:rFonts w:cs="Arial"/>
          <w:szCs w:val="20"/>
        </w:rPr>
        <w:t xml:space="preserve">Having regard to and </w:t>
      </w:r>
      <w:proofErr w:type="gramStart"/>
      <w:r w:rsidRPr="009922A4">
        <w:rPr>
          <w:rFonts w:cs="Arial"/>
          <w:szCs w:val="20"/>
        </w:rPr>
        <w:t>taking into account</w:t>
      </w:r>
      <w:proofErr w:type="gramEnd"/>
      <w:r w:rsidRPr="009922A4">
        <w:rPr>
          <w:rFonts w:cs="Arial"/>
          <w:szCs w:val="20"/>
        </w:rPr>
        <w:t xml:space="preserve"> United Nations General Assembly Resolution 60/288 (2006) on the United Nations Global Counter-Terrorism Strategy and biennial reviews (eighth review, Resolution 77/298 (2023));</w:t>
      </w:r>
    </w:p>
    <w:p w14:paraId="7F767CA1" w14:textId="77777777" w:rsidR="007B0381" w:rsidRPr="009922A4" w:rsidRDefault="007B0381" w:rsidP="005842DF">
      <w:pPr>
        <w:ind w:left="360"/>
        <w:contextualSpacing/>
        <w:rPr>
          <w:rFonts w:cs="Arial"/>
          <w:szCs w:val="20"/>
        </w:rPr>
      </w:pPr>
    </w:p>
    <w:p w14:paraId="7F9833BB" w14:textId="77777777" w:rsidR="007B0381" w:rsidRPr="009922A4" w:rsidRDefault="007B0381" w:rsidP="005842DF">
      <w:pPr>
        <w:keepNext/>
        <w:keepLines/>
        <w:contextualSpacing/>
        <w:rPr>
          <w:rFonts w:cs="Arial"/>
          <w:szCs w:val="20"/>
        </w:rPr>
      </w:pPr>
      <w:r w:rsidRPr="009922A4">
        <w:rPr>
          <w:rFonts w:cs="Arial"/>
          <w:szCs w:val="20"/>
        </w:rPr>
        <w:t>Recommends that the governments of the member States:</w:t>
      </w:r>
    </w:p>
    <w:p w14:paraId="0D0587E5" w14:textId="77777777" w:rsidR="007B0381" w:rsidRPr="009922A4" w:rsidRDefault="007B0381" w:rsidP="005842DF">
      <w:pPr>
        <w:keepNext/>
        <w:keepLines/>
        <w:contextualSpacing/>
        <w:rPr>
          <w:rFonts w:cs="Arial"/>
          <w:szCs w:val="20"/>
        </w:rPr>
      </w:pPr>
    </w:p>
    <w:p w14:paraId="283B1284" w14:textId="5D8089E9" w:rsidR="007B0381" w:rsidRPr="009922A4" w:rsidRDefault="007B0381" w:rsidP="005842DF">
      <w:pPr>
        <w:keepNext/>
        <w:keepLines/>
        <w:contextualSpacing/>
        <w:rPr>
          <w:rFonts w:cs="Arial"/>
          <w:szCs w:val="20"/>
        </w:rPr>
      </w:pPr>
      <w:proofErr w:type="spellStart"/>
      <w:r w:rsidRPr="009922A4">
        <w:rPr>
          <w:rFonts w:cs="Arial"/>
          <w:szCs w:val="20"/>
        </w:rPr>
        <w:t>i</w:t>
      </w:r>
      <w:proofErr w:type="spellEnd"/>
      <w:r w:rsidRPr="009922A4">
        <w:rPr>
          <w:rFonts w:cs="Arial"/>
          <w:szCs w:val="20"/>
        </w:rPr>
        <w:t>.</w:t>
      </w:r>
      <w:r w:rsidRPr="009922A4">
        <w:rPr>
          <w:rFonts w:cs="Arial"/>
          <w:szCs w:val="20"/>
        </w:rPr>
        <w:tab/>
        <w:t xml:space="preserve">be guided, in reviewing their legislation, policies and practices, by the principles and measures contained in the appendix to this </w:t>
      </w:r>
      <w:r w:rsidR="005842DF">
        <w:rPr>
          <w:rFonts w:cs="Arial"/>
          <w:szCs w:val="20"/>
        </w:rPr>
        <w:t>r</w:t>
      </w:r>
      <w:r w:rsidRPr="009922A4">
        <w:rPr>
          <w:rFonts w:cs="Arial"/>
          <w:szCs w:val="20"/>
        </w:rPr>
        <w:t>ecommendation;</w:t>
      </w:r>
    </w:p>
    <w:p w14:paraId="7D421FE0" w14:textId="77777777" w:rsidR="007B0381" w:rsidRPr="009922A4" w:rsidRDefault="007B0381" w:rsidP="005842DF">
      <w:pPr>
        <w:keepNext/>
        <w:keepLines/>
        <w:contextualSpacing/>
        <w:rPr>
          <w:rFonts w:cs="Arial"/>
          <w:szCs w:val="20"/>
        </w:rPr>
      </w:pPr>
    </w:p>
    <w:p w14:paraId="6CCDD0FA" w14:textId="459BE31C" w:rsidR="007B0381" w:rsidRPr="009922A4" w:rsidRDefault="00DA02ED" w:rsidP="005842DF">
      <w:pPr>
        <w:contextualSpacing/>
        <w:rPr>
          <w:rFonts w:cs="Arial"/>
          <w:szCs w:val="20"/>
        </w:rPr>
      </w:pPr>
      <w:r w:rsidRPr="009922A4">
        <w:rPr>
          <w:rFonts w:cs="Arial"/>
          <w:szCs w:val="20"/>
        </w:rPr>
        <w:t>ii.</w:t>
      </w:r>
      <w:r w:rsidRPr="009922A4">
        <w:rPr>
          <w:rFonts w:cs="Arial"/>
          <w:szCs w:val="20"/>
        </w:rPr>
        <w:tab/>
        <w:t xml:space="preserve">ensure that this </w:t>
      </w:r>
      <w:r>
        <w:rPr>
          <w:rFonts w:cs="Arial"/>
          <w:szCs w:val="20"/>
        </w:rPr>
        <w:t>r</w:t>
      </w:r>
      <w:r w:rsidRPr="009922A4">
        <w:rPr>
          <w:rFonts w:cs="Arial"/>
          <w:szCs w:val="20"/>
        </w:rPr>
        <w:t xml:space="preserve">ecommendation and the accompanying </w:t>
      </w:r>
      <w:r>
        <w:rPr>
          <w:rFonts w:cs="Arial"/>
          <w:szCs w:val="20"/>
        </w:rPr>
        <w:t>e</w:t>
      </w:r>
      <w:r w:rsidRPr="009922A4">
        <w:rPr>
          <w:rFonts w:cs="Arial"/>
          <w:szCs w:val="20"/>
        </w:rPr>
        <w:t xml:space="preserve">xplanatory </w:t>
      </w:r>
      <w:r>
        <w:rPr>
          <w:rFonts w:cs="Arial"/>
          <w:szCs w:val="20"/>
        </w:rPr>
        <w:t>m</w:t>
      </w:r>
      <w:r w:rsidR="007B0381" w:rsidRPr="009922A4">
        <w:rPr>
          <w:rFonts w:cs="Arial"/>
          <w:szCs w:val="20"/>
        </w:rPr>
        <w:t>emorandum are translated and disseminated as widely as possible among the competent authorities and more specifically among those involved in the investigation and prosecution of terrorist offences, serious violations of international humanitarian law and other core international crimes;</w:t>
      </w:r>
    </w:p>
    <w:p w14:paraId="2ED709B9" w14:textId="77777777" w:rsidR="007B0381" w:rsidRPr="009922A4" w:rsidRDefault="007B0381" w:rsidP="005842DF">
      <w:pPr>
        <w:contextualSpacing/>
        <w:rPr>
          <w:rFonts w:cs="Arial"/>
          <w:szCs w:val="20"/>
        </w:rPr>
      </w:pPr>
    </w:p>
    <w:p w14:paraId="0A9CBE46" w14:textId="77777777" w:rsidR="007B0381" w:rsidRPr="009922A4" w:rsidRDefault="007B0381" w:rsidP="005842DF">
      <w:pPr>
        <w:contextualSpacing/>
        <w:rPr>
          <w:rFonts w:cs="Arial"/>
          <w:szCs w:val="20"/>
        </w:rPr>
      </w:pPr>
      <w:r w:rsidRPr="009922A4">
        <w:rPr>
          <w:rFonts w:cs="Arial"/>
          <w:szCs w:val="20"/>
        </w:rPr>
        <w:t>iii.</w:t>
      </w:r>
      <w:r w:rsidRPr="009922A4">
        <w:rPr>
          <w:rFonts w:cs="Arial"/>
          <w:szCs w:val="20"/>
        </w:rPr>
        <w:tab/>
        <w:t>further strengthen international co-operation and domestic co-ordination on prosecuting terrorist offences, serious violations of international humanitarian law and other core international crimes committed in the context of a non-international armed conflict to enhance the exchange of information and the use of good and promising practices;</w:t>
      </w:r>
    </w:p>
    <w:p w14:paraId="3A3C4285" w14:textId="77777777" w:rsidR="007B0381" w:rsidRPr="009922A4" w:rsidRDefault="007B0381" w:rsidP="005842DF">
      <w:pPr>
        <w:contextualSpacing/>
        <w:rPr>
          <w:rFonts w:cs="Arial"/>
          <w:szCs w:val="20"/>
        </w:rPr>
      </w:pPr>
    </w:p>
    <w:p w14:paraId="34D0BFE9" w14:textId="3D626CA2" w:rsidR="007B0381" w:rsidRPr="009922A4" w:rsidRDefault="007B0381" w:rsidP="005842DF">
      <w:pPr>
        <w:contextualSpacing/>
        <w:rPr>
          <w:rFonts w:cs="Arial"/>
          <w:szCs w:val="20"/>
        </w:rPr>
      </w:pPr>
      <w:r w:rsidRPr="009922A4">
        <w:rPr>
          <w:rFonts w:cs="Arial"/>
          <w:szCs w:val="20"/>
        </w:rPr>
        <w:t>iv.</w:t>
      </w:r>
      <w:r w:rsidRPr="009922A4">
        <w:rPr>
          <w:rFonts w:cs="Arial"/>
          <w:szCs w:val="20"/>
        </w:rPr>
        <w:tab/>
        <w:t xml:space="preserve">examine regularly, within the Committee of Ministers, the implementation of this </w:t>
      </w:r>
      <w:r w:rsidR="003969B3">
        <w:rPr>
          <w:rFonts w:cs="Arial"/>
          <w:szCs w:val="20"/>
        </w:rPr>
        <w:t>r</w:t>
      </w:r>
      <w:r w:rsidRPr="009922A4">
        <w:rPr>
          <w:rFonts w:cs="Arial"/>
          <w:szCs w:val="20"/>
        </w:rPr>
        <w:t>ecommendation and, if necessary, revise the text in the light of any significant developments in the relevant area.</w:t>
      </w:r>
    </w:p>
    <w:p w14:paraId="475F0E15" w14:textId="77777777" w:rsidR="007B0381" w:rsidRPr="009922A4" w:rsidRDefault="007B0381" w:rsidP="005842DF">
      <w:pPr>
        <w:contextualSpacing/>
        <w:rPr>
          <w:rFonts w:cs="Arial"/>
          <w:szCs w:val="20"/>
        </w:rPr>
      </w:pPr>
      <w:r w:rsidRPr="009922A4">
        <w:rPr>
          <w:rFonts w:cs="Arial"/>
          <w:szCs w:val="20"/>
        </w:rPr>
        <w:br w:type="page"/>
      </w:r>
    </w:p>
    <w:p w14:paraId="24AC1D90" w14:textId="6F0FD1FB" w:rsidR="007B0381" w:rsidRPr="009922A4" w:rsidRDefault="007B0381" w:rsidP="005842DF">
      <w:pPr>
        <w:contextualSpacing/>
        <w:rPr>
          <w:rFonts w:cs="Arial"/>
          <w:i/>
          <w:iCs/>
          <w:szCs w:val="20"/>
        </w:rPr>
      </w:pPr>
      <w:r w:rsidRPr="009922A4">
        <w:rPr>
          <w:rFonts w:cs="Arial"/>
          <w:i/>
          <w:iCs/>
          <w:szCs w:val="20"/>
        </w:rPr>
        <w:lastRenderedPageBreak/>
        <w:t xml:space="preserve">Appendix to Recommendation </w:t>
      </w:r>
      <w:r w:rsidR="002B0A38" w:rsidRPr="002B0A38">
        <w:rPr>
          <w:rFonts w:cs="Arial"/>
          <w:i/>
          <w:iCs/>
          <w:szCs w:val="20"/>
        </w:rPr>
        <w:t>CM/</w:t>
      </w:r>
      <w:proofErr w:type="gramStart"/>
      <w:r w:rsidR="002B0A38" w:rsidRPr="002B0A38">
        <w:rPr>
          <w:rFonts w:cs="Arial"/>
          <w:i/>
          <w:iCs/>
          <w:szCs w:val="20"/>
        </w:rPr>
        <w:t>Rec(</w:t>
      </w:r>
      <w:proofErr w:type="gramEnd"/>
      <w:r w:rsidR="002B0A38" w:rsidRPr="002B0A38">
        <w:rPr>
          <w:rFonts w:cs="Arial"/>
          <w:i/>
          <w:iCs/>
          <w:szCs w:val="20"/>
        </w:rPr>
        <w:t>2026)13</w:t>
      </w:r>
    </w:p>
    <w:p w14:paraId="79F6E04C" w14:textId="77777777" w:rsidR="007B0381" w:rsidRPr="009922A4" w:rsidRDefault="007B0381" w:rsidP="005842DF">
      <w:pPr>
        <w:contextualSpacing/>
        <w:rPr>
          <w:rFonts w:cs="Arial"/>
          <w:i/>
          <w:iCs/>
          <w:szCs w:val="20"/>
        </w:rPr>
      </w:pPr>
    </w:p>
    <w:p w14:paraId="0F07AC4A" w14:textId="77777777" w:rsidR="007B0381" w:rsidRPr="009922A4" w:rsidRDefault="007B0381" w:rsidP="005842DF">
      <w:pPr>
        <w:pStyle w:val="Heading1"/>
        <w:contextualSpacing/>
        <w:rPr>
          <w:rFonts w:cs="Arial"/>
          <w:szCs w:val="20"/>
        </w:rPr>
      </w:pPr>
      <w:r w:rsidRPr="009922A4">
        <w:rPr>
          <w:rFonts w:cs="Arial"/>
          <w:szCs w:val="20"/>
        </w:rPr>
        <w:t xml:space="preserve">Chapter I – Purpose, scope and terminology </w:t>
      </w:r>
    </w:p>
    <w:p w14:paraId="34693CEB" w14:textId="77777777" w:rsidR="007B0381" w:rsidRPr="009922A4" w:rsidRDefault="007B0381" w:rsidP="005842DF">
      <w:pPr>
        <w:contextualSpacing/>
        <w:rPr>
          <w:rFonts w:eastAsia="Times New Roman" w:cs="Arial"/>
          <w:szCs w:val="20"/>
        </w:rPr>
      </w:pPr>
    </w:p>
    <w:p w14:paraId="4452D964" w14:textId="55E406D8" w:rsidR="007B0381" w:rsidRPr="009922A4" w:rsidRDefault="007B0381" w:rsidP="005842DF">
      <w:pPr>
        <w:pStyle w:val="ListParagraph"/>
        <w:numPr>
          <w:ilvl w:val="0"/>
          <w:numId w:val="4"/>
        </w:numPr>
        <w:ind w:left="0" w:firstLine="4"/>
        <w:rPr>
          <w:rFonts w:eastAsia="Times New Roman" w:cs="Arial"/>
          <w:szCs w:val="20"/>
        </w:rPr>
      </w:pPr>
      <w:r w:rsidRPr="009922A4">
        <w:rPr>
          <w:rFonts w:eastAsia="Times New Roman" w:cs="Arial"/>
          <w:szCs w:val="20"/>
        </w:rPr>
        <w:t xml:space="preserve">This </w:t>
      </w:r>
      <w:r w:rsidR="0004419A">
        <w:rPr>
          <w:rFonts w:eastAsia="Times New Roman" w:cs="Arial"/>
          <w:szCs w:val="20"/>
        </w:rPr>
        <w:t>r</w:t>
      </w:r>
      <w:r w:rsidRPr="009922A4">
        <w:rPr>
          <w:rFonts w:eastAsia="Times New Roman" w:cs="Arial"/>
          <w:szCs w:val="20"/>
        </w:rPr>
        <w:t>ecommendation aims to assist</w:t>
      </w:r>
      <w:r w:rsidRPr="009922A4">
        <w:rPr>
          <w:rFonts w:cs="Arial"/>
          <w:szCs w:val="20"/>
        </w:rPr>
        <w:t xml:space="preserve"> member States and their competent authorities in providing a comprehensive criminal justice response to the full range of criminal conduct in which foreign terrorist fighters and other terrorist suspects under their jurisdiction have engaged during an armed conflict, while respecting international law, in particular international humanitarian law and human rights standards, and relevant domestic law. </w:t>
      </w:r>
    </w:p>
    <w:p w14:paraId="396A98E3" w14:textId="77777777" w:rsidR="007B0381" w:rsidRPr="009922A4" w:rsidRDefault="007B0381" w:rsidP="005842DF">
      <w:pPr>
        <w:pStyle w:val="ListParagraph"/>
        <w:ind w:left="0" w:firstLine="4"/>
        <w:rPr>
          <w:rFonts w:eastAsia="Times New Roman" w:cs="Arial"/>
          <w:szCs w:val="20"/>
        </w:rPr>
      </w:pPr>
    </w:p>
    <w:p w14:paraId="497801D9" w14:textId="4ED9D3FE" w:rsidR="007B0381" w:rsidRPr="009922A4" w:rsidRDefault="007B0381" w:rsidP="005842DF">
      <w:pPr>
        <w:pStyle w:val="ListParagraph"/>
        <w:numPr>
          <w:ilvl w:val="0"/>
          <w:numId w:val="4"/>
        </w:numPr>
        <w:ind w:left="0" w:firstLine="4"/>
        <w:rPr>
          <w:rFonts w:eastAsia="Times New Roman" w:cs="Arial"/>
          <w:szCs w:val="20"/>
        </w:rPr>
      </w:pPr>
      <w:r w:rsidRPr="009922A4">
        <w:rPr>
          <w:rFonts w:cs="Arial"/>
          <w:szCs w:val="20"/>
        </w:rPr>
        <w:t xml:space="preserve">The </w:t>
      </w:r>
      <w:r w:rsidR="0004419A">
        <w:rPr>
          <w:rFonts w:cs="Arial"/>
          <w:szCs w:val="20"/>
        </w:rPr>
        <w:t>r</w:t>
      </w:r>
      <w:r w:rsidRPr="009922A4">
        <w:rPr>
          <w:rFonts w:cs="Arial"/>
          <w:szCs w:val="20"/>
        </w:rPr>
        <w:t xml:space="preserve">ecommendation applies to cases involving individuals and, where applicable under national legislation, legal persons, who are believed to have participated in acts of terrorism and serious violations of international humanitarian law, including as members of non-state armed groups. The military forces of member States are excluded from the scope of this </w:t>
      </w:r>
      <w:r w:rsidR="0004419A">
        <w:rPr>
          <w:rFonts w:cs="Arial"/>
          <w:szCs w:val="20"/>
        </w:rPr>
        <w:t>r</w:t>
      </w:r>
      <w:r w:rsidRPr="009922A4">
        <w:rPr>
          <w:rFonts w:cs="Arial"/>
          <w:szCs w:val="20"/>
        </w:rPr>
        <w:t>ecommendation.</w:t>
      </w:r>
    </w:p>
    <w:p w14:paraId="1BEBC351" w14:textId="77777777" w:rsidR="007B0381" w:rsidRPr="009922A4" w:rsidRDefault="007B0381" w:rsidP="005842DF">
      <w:pPr>
        <w:pStyle w:val="ListParagraph"/>
        <w:ind w:left="0" w:firstLine="4"/>
        <w:rPr>
          <w:rFonts w:eastAsia="Times New Roman" w:cs="Arial"/>
          <w:szCs w:val="20"/>
        </w:rPr>
      </w:pPr>
    </w:p>
    <w:p w14:paraId="3EB0B9F7" w14:textId="106AD9A4" w:rsidR="007B0381" w:rsidRPr="009922A4" w:rsidRDefault="007B0381" w:rsidP="005842DF">
      <w:pPr>
        <w:pStyle w:val="ListParagraph"/>
        <w:numPr>
          <w:ilvl w:val="0"/>
          <w:numId w:val="4"/>
        </w:numPr>
        <w:ind w:left="0" w:firstLine="4"/>
        <w:rPr>
          <w:rFonts w:eastAsia="Times New Roman" w:cs="Arial"/>
          <w:szCs w:val="20"/>
        </w:rPr>
      </w:pPr>
      <w:r w:rsidRPr="009922A4">
        <w:rPr>
          <w:rFonts w:cs="Arial"/>
          <w:szCs w:val="20"/>
        </w:rPr>
        <w:t xml:space="preserve">Since non-state armed groups also designated as terrorist are most commonly parties to a non-international armed conflict, the </w:t>
      </w:r>
      <w:r w:rsidR="00DA02ED">
        <w:rPr>
          <w:rFonts w:cs="Arial"/>
          <w:szCs w:val="20"/>
        </w:rPr>
        <w:t>r</w:t>
      </w:r>
      <w:r w:rsidRPr="009922A4">
        <w:rPr>
          <w:rFonts w:cs="Arial"/>
          <w:szCs w:val="20"/>
        </w:rPr>
        <w:t>ecommendation covers only this type of armed conflict. In terms of unlawful conduct, its scope extends beyond terrorist offences and serious violations of international humanitarian law to the other core international crimes, as defined below, when they have been committed during a non-international armed conflict.</w:t>
      </w:r>
    </w:p>
    <w:p w14:paraId="1CDB13C5" w14:textId="77777777" w:rsidR="007B0381" w:rsidRPr="009922A4" w:rsidRDefault="007B0381" w:rsidP="005842DF">
      <w:pPr>
        <w:pStyle w:val="ListParagraph"/>
        <w:ind w:left="0" w:firstLine="4"/>
        <w:rPr>
          <w:rFonts w:eastAsia="Times New Roman" w:cs="Arial"/>
          <w:szCs w:val="20"/>
        </w:rPr>
      </w:pPr>
    </w:p>
    <w:p w14:paraId="1B923AA5" w14:textId="2C1AC3D2" w:rsidR="007B0381" w:rsidRPr="009922A4" w:rsidRDefault="007B0381" w:rsidP="005842DF">
      <w:pPr>
        <w:pStyle w:val="ListParagraph"/>
        <w:keepNext/>
        <w:keepLines/>
        <w:numPr>
          <w:ilvl w:val="0"/>
          <w:numId w:val="4"/>
        </w:numPr>
        <w:ind w:left="0" w:firstLine="4"/>
        <w:rPr>
          <w:rFonts w:eastAsia="Times New Roman" w:cs="Arial"/>
          <w:szCs w:val="20"/>
        </w:rPr>
      </w:pPr>
      <w:proofErr w:type="gramStart"/>
      <w:r w:rsidRPr="009922A4">
        <w:rPr>
          <w:rFonts w:eastAsia="Times New Roman" w:cs="Arial"/>
          <w:szCs w:val="20"/>
        </w:rPr>
        <w:t>For the purpose of</w:t>
      </w:r>
      <w:proofErr w:type="gramEnd"/>
      <w:r w:rsidRPr="009922A4">
        <w:rPr>
          <w:rFonts w:eastAsia="Times New Roman" w:cs="Arial"/>
          <w:szCs w:val="20"/>
        </w:rPr>
        <w:t xml:space="preserve"> this </w:t>
      </w:r>
      <w:r w:rsidR="00DA02ED">
        <w:rPr>
          <w:rFonts w:eastAsia="Times New Roman" w:cs="Arial"/>
          <w:szCs w:val="20"/>
        </w:rPr>
        <w:t>r</w:t>
      </w:r>
      <w:r w:rsidRPr="009922A4">
        <w:rPr>
          <w:rFonts w:eastAsia="Times New Roman" w:cs="Arial"/>
          <w:szCs w:val="20"/>
        </w:rPr>
        <w:t>ecommendation:</w:t>
      </w:r>
    </w:p>
    <w:p w14:paraId="53E089C2" w14:textId="77777777" w:rsidR="007B0381" w:rsidRPr="009922A4" w:rsidRDefault="007B0381" w:rsidP="005842DF">
      <w:pPr>
        <w:keepNext/>
        <w:keepLines/>
        <w:ind w:firstLine="4"/>
        <w:contextualSpacing/>
        <w:rPr>
          <w:rFonts w:eastAsia="Times New Roman" w:cs="Arial"/>
          <w:szCs w:val="20"/>
        </w:rPr>
      </w:pPr>
    </w:p>
    <w:p w14:paraId="6811ABB2" w14:textId="77777777" w:rsidR="007B0381" w:rsidRPr="009922A4" w:rsidRDefault="007B0381" w:rsidP="005842DF">
      <w:pPr>
        <w:pStyle w:val="ListParagraph"/>
        <w:keepNext/>
        <w:keepLines/>
        <w:numPr>
          <w:ilvl w:val="0"/>
          <w:numId w:val="3"/>
        </w:numPr>
        <w:ind w:hanging="720"/>
        <w:rPr>
          <w:rFonts w:eastAsia="Times New Roman" w:cs="Arial"/>
          <w:szCs w:val="20"/>
        </w:rPr>
      </w:pPr>
      <w:r w:rsidRPr="009922A4">
        <w:rPr>
          <w:rFonts w:eastAsia="Times New Roman" w:cs="Arial"/>
          <w:szCs w:val="20"/>
        </w:rPr>
        <w:t>the term “non-international armed conflict” refers to armed conflicts that reach a certain level of intensity in which one or more organised non-state armed groups are involved</w:t>
      </w:r>
      <w:bookmarkStart w:id="6" w:name="_Hlk209090970"/>
      <w:r w:rsidRPr="009922A4">
        <w:rPr>
          <w:rFonts w:eastAsia="Times New Roman" w:cs="Arial"/>
          <w:szCs w:val="20"/>
        </w:rPr>
        <w:t xml:space="preserve"> as party/parties thereto. </w:t>
      </w:r>
      <w:bookmarkEnd w:id="6"/>
      <w:r w:rsidRPr="009922A4">
        <w:rPr>
          <w:rFonts w:eastAsia="Times New Roman" w:cs="Arial"/>
          <w:szCs w:val="20"/>
        </w:rPr>
        <w:t>Depending on the situation</w:t>
      </w:r>
      <w:bookmarkStart w:id="7" w:name="_Hlk209091061"/>
      <w:r w:rsidRPr="009922A4">
        <w:rPr>
          <w:rFonts w:eastAsia="Times New Roman" w:cs="Arial"/>
          <w:szCs w:val="20"/>
        </w:rPr>
        <w:t xml:space="preserve">, </w:t>
      </w:r>
      <w:bookmarkEnd w:id="7"/>
      <w:r w:rsidRPr="009922A4">
        <w:rPr>
          <w:rFonts w:eastAsia="Times New Roman" w:cs="Arial"/>
          <w:szCs w:val="20"/>
        </w:rPr>
        <w:t xml:space="preserve">non-international armed conflicts may occur between governmental armed forces and non-state armed groups within a State or between such groups only; </w:t>
      </w:r>
    </w:p>
    <w:p w14:paraId="08F4ABCD" w14:textId="77777777" w:rsidR="007B0381" w:rsidRPr="009922A4" w:rsidRDefault="007B0381" w:rsidP="005842DF">
      <w:pPr>
        <w:pStyle w:val="ListParagraph"/>
        <w:keepNext/>
        <w:keepLines/>
        <w:rPr>
          <w:rFonts w:eastAsia="Times New Roman" w:cs="Arial"/>
          <w:szCs w:val="20"/>
        </w:rPr>
      </w:pPr>
    </w:p>
    <w:p w14:paraId="2D6F8CAC" w14:textId="77777777" w:rsidR="007B0381" w:rsidRPr="009922A4" w:rsidRDefault="007B0381" w:rsidP="005842DF">
      <w:pPr>
        <w:pStyle w:val="ListParagraph"/>
        <w:keepNext/>
        <w:keepLines/>
        <w:numPr>
          <w:ilvl w:val="0"/>
          <w:numId w:val="3"/>
        </w:numPr>
        <w:ind w:hanging="720"/>
        <w:rPr>
          <w:rFonts w:eastAsia="Times New Roman" w:cs="Arial"/>
          <w:szCs w:val="20"/>
        </w:rPr>
      </w:pPr>
      <w:r w:rsidRPr="009922A4">
        <w:rPr>
          <w:rFonts w:eastAsia="Times New Roman" w:cs="Arial"/>
          <w:szCs w:val="20"/>
        </w:rPr>
        <w:t>the term “non-state armed group” indicates, within the meaning of international humanitarian law, an organised armed group that possesses a minimum level of organisation and that is involved in armed violence of sufficient intensity;</w:t>
      </w:r>
    </w:p>
    <w:p w14:paraId="2B747AFA" w14:textId="77777777" w:rsidR="007B0381" w:rsidRPr="009922A4" w:rsidRDefault="007B0381" w:rsidP="005842DF">
      <w:pPr>
        <w:pStyle w:val="ListParagraph"/>
        <w:keepNext/>
        <w:keepLines/>
        <w:rPr>
          <w:rFonts w:eastAsia="Times New Roman" w:cs="Arial"/>
          <w:szCs w:val="20"/>
        </w:rPr>
      </w:pPr>
    </w:p>
    <w:p w14:paraId="2E9E9027" w14:textId="77777777" w:rsidR="007B0381" w:rsidRPr="009922A4" w:rsidRDefault="007B0381" w:rsidP="005842DF">
      <w:pPr>
        <w:pStyle w:val="ListParagraph"/>
        <w:numPr>
          <w:ilvl w:val="0"/>
          <w:numId w:val="3"/>
        </w:numPr>
        <w:ind w:hanging="720"/>
        <w:rPr>
          <w:rFonts w:eastAsia="Times New Roman" w:cs="Arial"/>
          <w:szCs w:val="20"/>
        </w:rPr>
      </w:pPr>
      <w:r w:rsidRPr="009922A4">
        <w:rPr>
          <w:rFonts w:cs="Arial"/>
          <w:szCs w:val="20"/>
        </w:rPr>
        <w:t>as far as the gathering of evidence is concerned, “conflict zone” means an area affected by a non-international armed conflict, where terrorism-related offences have been perpetrated;</w:t>
      </w:r>
    </w:p>
    <w:p w14:paraId="140CFF03" w14:textId="77777777" w:rsidR="007B0381" w:rsidRPr="009922A4" w:rsidRDefault="007B0381" w:rsidP="005842DF">
      <w:pPr>
        <w:pStyle w:val="ListParagraph"/>
        <w:rPr>
          <w:rFonts w:eastAsia="Times New Roman" w:cs="Arial"/>
          <w:szCs w:val="20"/>
        </w:rPr>
      </w:pPr>
    </w:p>
    <w:p w14:paraId="519FDD92" w14:textId="77777777" w:rsidR="007B0381" w:rsidRPr="009922A4" w:rsidRDefault="007B0381" w:rsidP="005842DF">
      <w:pPr>
        <w:pStyle w:val="ListParagraph"/>
        <w:numPr>
          <w:ilvl w:val="0"/>
          <w:numId w:val="3"/>
        </w:numPr>
        <w:ind w:hanging="720"/>
        <w:rPr>
          <w:rFonts w:eastAsia="Times New Roman" w:cs="Arial"/>
          <w:szCs w:val="20"/>
        </w:rPr>
      </w:pPr>
      <w:r w:rsidRPr="009922A4">
        <w:rPr>
          <w:rFonts w:cs="Arial"/>
          <w:szCs w:val="20"/>
        </w:rPr>
        <w:t>the term “foreign terrorist fighters” means individuals who travel to a State other than their States of residence or nationality with the intent to engage in terrorist activities, as outlined in United Nations Security Council Resolution 2178 (2014);</w:t>
      </w:r>
    </w:p>
    <w:p w14:paraId="7D040ED0" w14:textId="77777777" w:rsidR="007B0381" w:rsidRPr="009922A4" w:rsidRDefault="007B0381" w:rsidP="005842DF">
      <w:pPr>
        <w:pStyle w:val="ListParagraph"/>
        <w:rPr>
          <w:rFonts w:eastAsia="Times New Roman" w:cs="Arial"/>
          <w:szCs w:val="20"/>
        </w:rPr>
      </w:pPr>
    </w:p>
    <w:p w14:paraId="1FB94D88" w14:textId="77777777" w:rsidR="007B0381" w:rsidRPr="009922A4" w:rsidRDefault="007B0381" w:rsidP="005842DF">
      <w:pPr>
        <w:pStyle w:val="ListParagraph"/>
        <w:numPr>
          <w:ilvl w:val="0"/>
          <w:numId w:val="3"/>
        </w:numPr>
        <w:ind w:hanging="720"/>
        <w:rPr>
          <w:rFonts w:eastAsia="Times New Roman" w:cs="Arial"/>
          <w:szCs w:val="20"/>
        </w:rPr>
      </w:pPr>
      <w:r w:rsidRPr="009922A4">
        <w:rPr>
          <w:rFonts w:eastAsia="Times New Roman" w:cs="Arial"/>
          <w:szCs w:val="20"/>
        </w:rPr>
        <w:t>the term “terrorist associations or groups” means associations and groups designated as terrorist on the relevant lists of the United Nations or the European Union or designated as such by relevant member States, in accordance with domestic law;</w:t>
      </w:r>
    </w:p>
    <w:p w14:paraId="22E01993" w14:textId="77777777" w:rsidR="007B0381" w:rsidRPr="009922A4" w:rsidRDefault="007B0381" w:rsidP="005842DF">
      <w:pPr>
        <w:pStyle w:val="ListParagraph"/>
        <w:rPr>
          <w:rFonts w:eastAsia="Times New Roman" w:cs="Arial"/>
          <w:szCs w:val="20"/>
        </w:rPr>
      </w:pPr>
    </w:p>
    <w:p w14:paraId="0A41D49A" w14:textId="77777777" w:rsidR="007B0381" w:rsidRPr="009922A4" w:rsidRDefault="007B0381" w:rsidP="005842DF">
      <w:pPr>
        <w:pStyle w:val="ListParagraph"/>
        <w:numPr>
          <w:ilvl w:val="0"/>
          <w:numId w:val="3"/>
        </w:numPr>
        <w:ind w:hanging="720"/>
        <w:rPr>
          <w:rFonts w:eastAsia="Times New Roman" w:cs="Arial"/>
          <w:szCs w:val="20"/>
        </w:rPr>
      </w:pPr>
      <w:r w:rsidRPr="009922A4">
        <w:rPr>
          <w:rFonts w:cs="Arial"/>
          <w:szCs w:val="20"/>
        </w:rPr>
        <w:t>“terrorism” or “terrorist offence” refers to any activity criminalised under Article 1 of the Council of Europe Convention on the Prevention of Terrorism (CETS No. 196) and its amending protocol (CETS No. 231);</w:t>
      </w:r>
    </w:p>
    <w:p w14:paraId="1A85D444" w14:textId="77777777" w:rsidR="007B0381" w:rsidRPr="009922A4" w:rsidRDefault="007B0381" w:rsidP="005842DF">
      <w:pPr>
        <w:pStyle w:val="ListParagraph"/>
        <w:rPr>
          <w:rFonts w:eastAsia="Times New Roman" w:cs="Arial"/>
          <w:szCs w:val="20"/>
        </w:rPr>
      </w:pPr>
    </w:p>
    <w:p w14:paraId="1B2CF0A6" w14:textId="77777777" w:rsidR="007B0381" w:rsidRPr="009922A4" w:rsidRDefault="007B0381" w:rsidP="005842DF">
      <w:pPr>
        <w:pStyle w:val="ListParagraph"/>
        <w:numPr>
          <w:ilvl w:val="0"/>
          <w:numId w:val="3"/>
        </w:numPr>
        <w:ind w:hanging="720"/>
        <w:rPr>
          <w:rFonts w:eastAsia="Times New Roman" w:cs="Arial"/>
          <w:szCs w:val="20"/>
        </w:rPr>
      </w:pPr>
      <w:r w:rsidRPr="009922A4">
        <w:rPr>
          <w:rFonts w:eastAsia="Times New Roman" w:cs="Arial"/>
          <w:szCs w:val="20"/>
        </w:rPr>
        <w:t>“</w:t>
      </w:r>
      <w:proofErr w:type="gramStart"/>
      <w:r w:rsidRPr="009922A4">
        <w:rPr>
          <w:rFonts w:eastAsia="Times New Roman" w:cs="Arial"/>
          <w:szCs w:val="20"/>
        </w:rPr>
        <w:t>core</w:t>
      </w:r>
      <w:proofErr w:type="gramEnd"/>
      <w:r w:rsidRPr="009922A4">
        <w:rPr>
          <w:rFonts w:eastAsia="Times New Roman" w:cs="Arial"/>
          <w:szCs w:val="20"/>
        </w:rPr>
        <w:t xml:space="preserve"> international crimes” are serious violations of international humanitarian law (war crimes), crimes against humanity and the crime of genocide;</w:t>
      </w:r>
    </w:p>
    <w:p w14:paraId="2618CFC5" w14:textId="77777777" w:rsidR="007B0381" w:rsidRPr="009922A4" w:rsidRDefault="007B0381" w:rsidP="005842DF">
      <w:pPr>
        <w:pStyle w:val="ListParagraph"/>
        <w:rPr>
          <w:rFonts w:eastAsia="Times New Roman" w:cs="Arial"/>
          <w:szCs w:val="20"/>
        </w:rPr>
      </w:pPr>
    </w:p>
    <w:p w14:paraId="20E78CA3" w14:textId="77777777" w:rsidR="007B0381" w:rsidRPr="009922A4" w:rsidRDefault="007B0381" w:rsidP="005842DF">
      <w:pPr>
        <w:pStyle w:val="ListParagraph"/>
        <w:keepLines/>
        <w:numPr>
          <w:ilvl w:val="0"/>
          <w:numId w:val="3"/>
        </w:numPr>
        <w:ind w:hanging="720"/>
        <w:rPr>
          <w:rFonts w:eastAsia="Times New Roman" w:cs="Arial"/>
          <w:szCs w:val="20"/>
        </w:rPr>
      </w:pPr>
      <w:r w:rsidRPr="009922A4">
        <w:rPr>
          <w:rFonts w:cs="Arial"/>
          <w:szCs w:val="20"/>
        </w:rPr>
        <w:t xml:space="preserve">the principle </w:t>
      </w:r>
      <w:bookmarkStart w:id="8" w:name="_Hlk209346311"/>
      <w:r w:rsidRPr="009922A4">
        <w:rPr>
          <w:rFonts w:cs="Arial"/>
          <w:szCs w:val="20"/>
        </w:rPr>
        <w:t xml:space="preserve">of “universal jurisdiction” </w:t>
      </w:r>
      <w:bookmarkEnd w:id="8"/>
      <w:r w:rsidRPr="009922A4">
        <w:rPr>
          <w:rFonts w:cs="Arial"/>
          <w:szCs w:val="20"/>
        </w:rPr>
        <w:t>provides that a State may exercise jurisdiction over certain crimes even when the crimes did not occur on that State’s territory and neither the victim nor the perpetrator is a national of that State, in the interest of the international community;</w:t>
      </w:r>
    </w:p>
    <w:p w14:paraId="6E0B1B69" w14:textId="77777777" w:rsidR="007B0381" w:rsidRPr="009922A4" w:rsidRDefault="007B0381" w:rsidP="005842DF">
      <w:pPr>
        <w:contextualSpacing/>
        <w:rPr>
          <w:rFonts w:eastAsia="Times New Roman" w:cs="Arial"/>
          <w:szCs w:val="20"/>
        </w:rPr>
      </w:pPr>
    </w:p>
    <w:p w14:paraId="3B276EF3" w14:textId="77777777" w:rsidR="007B0381" w:rsidRPr="009922A4" w:rsidRDefault="007B0381" w:rsidP="005842DF">
      <w:pPr>
        <w:pStyle w:val="ListParagraph"/>
        <w:numPr>
          <w:ilvl w:val="0"/>
          <w:numId w:val="3"/>
        </w:numPr>
        <w:ind w:hanging="720"/>
        <w:rPr>
          <w:rFonts w:eastAsia="Times New Roman" w:cs="Arial"/>
          <w:szCs w:val="20"/>
        </w:rPr>
      </w:pPr>
      <w:r w:rsidRPr="009922A4">
        <w:rPr>
          <w:rFonts w:eastAsia="Times New Roman" w:cs="Arial"/>
          <w:szCs w:val="20"/>
        </w:rPr>
        <w:t>the expression “special investigation techniques” means techniques applied by the competent authorities in the context of criminal investigations for the purpose of preventing, detecting, investigating, prosecuting and suppressing serious crimes, aiming at gathering information in such a way as not to alert the target persons;</w:t>
      </w:r>
    </w:p>
    <w:p w14:paraId="72D83804" w14:textId="77777777" w:rsidR="007B0381" w:rsidRPr="009922A4" w:rsidRDefault="007B0381" w:rsidP="005842DF">
      <w:pPr>
        <w:pStyle w:val="ListParagraph"/>
        <w:rPr>
          <w:rFonts w:eastAsia="Times New Roman" w:cs="Arial"/>
          <w:szCs w:val="20"/>
        </w:rPr>
      </w:pPr>
    </w:p>
    <w:p w14:paraId="6BE9E630" w14:textId="77777777" w:rsidR="007B0381" w:rsidRDefault="007B0381" w:rsidP="005842DF">
      <w:pPr>
        <w:rPr>
          <w:rFonts w:eastAsia="Times New Roman" w:cs="Arial"/>
          <w:szCs w:val="20"/>
          <w:bdr w:val="nil"/>
          <w:lang w:val="en-US"/>
        </w:rPr>
      </w:pPr>
      <w:r>
        <w:rPr>
          <w:rFonts w:eastAsia="Times New Roman" w:cs="Arial"/>
          <w:szCs w:val="20"/>
        </w:rPr>
        <w:br w:type="page"/>
      </w:r>
    </w:p>
    <w:p w14:paraId="0730BFA5" w14:textId="77777777" w:rsidR="007B0381" w:rsidRPr="009922A4" w:rsidRDefault="007B0381" w:rsidP="005842DF">
      <w:pPr>
        <w:pStyle w:val="ListParagraph"/>
        <w:numPr>
          <w:ilvl w:val="0"/>
          <w:numId w:val="3"/>
        </w:numPr>
        <w:ind w:hanging="720"/>
        <w:rPr>
          <w:rFonts w:eastAsia="Times New Roman" w:cs="Arial"/>
          <w:szCs w:val="20"/>
        </w:rPr>
      </w:pPr>
      <w:r w:rsidRPr="009922A4">
        <w:rPr>
          <w:rFonts w:eastAsia="Times New Roman" w:cs="Arial"/>
          <w:szCs w:val="20"/>
        </w:rPr>
        <w:lastRenderedPageBreak/>
        <w:t xml:space="preserve">the term “cumulative prosecution” covers three different approaches: </w:t>
      </w:r>
      <w:proofErr w:type="spellStart"/>
      <w:r w:rsidRPr="009922A4">
        <w:rPr>
          <w:rFonts w:eastAsia="Times New Roman" w:cs="Arial"/>
          <w:szCs w:val="20"/>
        </w:rPr>
        <w:t>i</w:t>
      </w:r>
      <w:proofErr w:type="spellEnd"/>
      <w:r w:rsidRPr="009922A4">
        <w:rPr>
          <w:rFonts w:eastAsia="Times New Roman" w:cs="Arial"/>
          <w:szCs w:val="20"/>
        </w:rPr>
        <w:t>. dual legal qualification and prosecution of the same fact as a terrorist offence and core international crime; ii. cumulative charging for and prosecution of different facts simultaneously under counter-terrorism legislation and international humanitarian law; and iii. prosecution of different facts as terrorist offences and core international crimes, respectively, at separate moments in time, in accordance with domestic legislation;</w:t>
      </w:r>
    </w:p>
    <w:p w14:paraId="7434C852" w14:textId="77777777" w:rsidR="007B0381" w:rsidRPr="009922A4" w:rsidRDefault="007B0381" w:rsidP="005842DF">
      <w:pPr>
        <w:pStyle w:val="ListParagraph"/>
        <w:rPr>
          <w:rFonts w:eastAsia="Times New Roman" w:cs="Arial"/>
          <w:szCs w:val="20"/>
        </w:rPr>
      </w:pPr>
    </w:p>
    <w:p w14:paraId="27F5F883" w14:textId="77777777" w:rsidR="007B0381" w:rsidRPr="009922A4" w:rsidRDefault="007B0381" w:rsidP="005842DF">
      <w:pPr>
        <w:pStyle w:val="ListParagraph"/>
        <w:numPr>
          <w:ilvl w:val="0"/>
          <w:numId w:val="3"/>
        </w:numPr>
        <w:ind w:hanging="720"/>
        <w:rPr>
          <w:rFonts w:eastAsia="Times New Roman" w:cs="Arial"/>
          <w:szCs w:val="20"/>
        </w:rPr>
      </w:pPr>
      <w:r w:rsidRPr="009922A4">
        <w:rPr>
          <w:rFonts w:eastAsia="Times New Roman" w:cs="Arial"/>
          <w:szCs w:val="20"/>
        </w:rPr>
        <w:t>the term “concurrent offences” refers either to a single act or omission constituting more than one offence, or to several acts or omissions constituting each a distinct offence, committed by the same individual before being finally convicted for one of them;</w:t>
      </w:r>
    </w:p>
    <w:p w14:paraId="224B83D9" w14:textId="77777777" w:rsidR="007B0381" w:rsidRPr="009922A4" w:rsidRDefault="007B0381" w:rsidP="005842DF">
      <w:pPr>
        <w:pStyle w:val="ListParagraph"/>
        <w:rPr>
          <w:rFonts w:eastAsia="Times New Roman" w:cs="Arial"/>
          <w:szCs w:val="20"/>
        </w:rPr>
      </w:pPr>
    </w:p>
    <w:p w14:paraId="460DCF88" w14:textId="77777777" w:rsidR="007B0381" w:rsidRPr="009922A4" w:rsidRDefault="007B0381" w:rsidP="005842DF">
      <w:pPr>
        <w:pStyle w:val="ListParagraph"/>
        <w:numPr>
          <w:ilvl w:val="0"/>
          <w:numId w:val="3"/>
        </w:numPr>
        <w:ind w:hanging="720"/>
        <w:rPr>
          <w:rFonts w:eastAsia="Times New Roman" w:cs="Arial"/>
          <w:szCs w:val="20"/>
        </w:rPr>
      </w:pPr>
      <w:r w:rsidRPr="009922A4">
        <w:rPr>
          <w:rFonts w:eastAsia="Times New Roman" w:cs="Arial"/>
          <w:szCs w:val="20"/>
        </w:rPr>
        <w:t xml:space="preserve">a </w:t>
      </w:r>
      <w:r>
        <w:rPr>
          <w:rFonts w:eastAsia="Times New Roman" w:cs="Arial"/>
          <w:szCs w:val="20"/>
        </w:rPr>
        <w:t>“</w:t>
      </w:r>
      <w:r w:rsidRPr="009922A4">
        <w:rPr>
          <w:rFonts w:eastAsia="Times New Roman" w:cs="Arial"/>
          <w:szCs w:val="20"/>
        </w:rPr>
        <w:t xml:space="preserve">joint investigation team” refers to an international co-operation mechanism that may be set up by mutual agreement by the competent authorities of two or more member States for a specific purpose and a limited period, which may be extended by mutual consent, to carry out criminal investigations in one or more of the member States setting up the team. The composition of the team shall be set out in the agreement. </w:t>
      </w:r>
    </w:p>
    <w:p w14:paraId="1ADF7AFC" w14:textId="77777777" w:rsidR="007B0381" w:rsidRPr="009922A4" w:rsidRDefault="007B0381" w:rsidP="005842DF">
      <w:pPr>
        <w:contextualSpacing/>
        <w:rPr>
          <w:rFonts w:eastAsia="Times New Roman" w:cs="Arial"/>
          <w:szCs w:val="20"/>
        </w:rPr>
      </w:pPr>
    </w:p>
    <w:p w14:paraId="0A7DE294" w14:textId="77777777" w:rsidR="007B0381" w:rsidRPr="009922A4" w:rsidRDefault="007B0381" w:rsidP="005842DF">
      <w:pPr>
        <w:pStyle w:val="Heading1"/>
        <w:contextualSpacing/>
        <w:rPr>
          <w:rFonts w:eastAsia="Times New Roman" w:cs="Arial"/>
          <w:szCs w:val="20"/>
        </w:rPr>
      </w:pPr>
      <w:r w:rsidRPr="009922A4">
        <w:rPr>
          <w:rFonts w:eastAsia="Times New Roman" w:cs="Arial"/>
          <w:szCs w:val="20"/>
        </w:rPr>
        <w:t>Chapter II – Establishing jurisdiction over the full spectrum of the alleged criminal conduct</w:t>
      </w:r>
    </w:p>
    <w:p w14:paraId="1A69F0C1" w14:textId="77777777" w:rsidR="007B0381" w:rsidRPr="009922A4" w:rsidRDefault="007B0381" w:rsidP="005842DF">
      <w:pPr>
        <w:keepNext/>
        <w:keepLines/>
        <w:contextualSpacing/>
        <w:rPr>
          <w:rFonts w:cs="Arial"/>
          <w:szCs w:val="20"/>
        </w:rPr>
      </w:pPr>
    </w:p>
    <w:p w14:paraId="6D45DD4C" w14:textId="77777777"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Member States should adopt counter-terrorism measures that are grounded in a clear, precise and foreseeable legal framework and that are at all times in compliance with the applicable rules and principles of international humanitarian law, including making every effort to grant the broadest possible amnesty for lawful acts of war upon the cessation of hostilities. Member States should take all measures that may be necessary to allow terrorists to be brought to justice for the full spectrum of the alleged criminal conduct in the context of a non-international armed conflict over which they have jurisdiction, in accordance with their domestic law.</w:t>
      </w:r>
    </w:p>
    <w:p w14:paraId="2C47ADDD" w14:textId="77777777" w:rsidR="007B0381" w:rsidRPr="009922A4" w:rsidRDefault="007B0381" w:rsidP="005842DF">
      <w:pPr>
        <w:pStyle w:val="ListParagraph"/>
        <w:keepNext/>
        <w:keepLines/>
        <w:ind w:left="0"/>
        <w:rPr>
          <w:rFonts w:eastAsia="Times New Roman" w:cs="Arial"/>
          <w:szCs w:val="20"/>
        </w:rPr>
      </w:pPr>
    </w:p>
    <w:p w14:paraId="54E5B77F" w14:textId="77777777"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In establishing jurisdiction, member States should focus on the objective of ensuring accountability both for terrorist offences and for serious violations of international humanitarian law and other core international crimes perpetrated in a non-international armed conflict in which non-state armed groups designated as terrorist are engaged. To achieve this objective, member States have the right to vest universal jurisdiction in their domestic courts over those crimes. Where universal jurisdiction applies to terrorist offences in addition to core international crimes, the law should indicate which specific offences are covered and whether there are any conditions for exercising this jurisdiction.</w:t>
      </w:r>
    </w:p>
    <w:p w14:paraId="0BBD7688" w14:textId="77777777" w:rsidR="007B0381" w:rsidRPr="009922A4" w:rsidRDefault="007B0381" w:rsidP="005842DF">
      <w:pPr>
        <w:pStyle w:val="ListParagraph"/>
        <w:ind w:left="0"/>
        <w:rPr>
          <w:rFonts w:eastAsia="Times New Roman" w:cs="Arial"/>
          <w:szCs w:val="20"/>
        </w:rPr>
      </w:pPr>
    </w:p>
    <w:p w14:paraId="7E78E863" w14:textId="77777777"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The conditions for prosecution based on universal jurisdiction, in particular procedural filters such as prior request or, if necessary, authorisation by a responsible governmental authority, should be interpreted and applied in the light of the object and purpose of international humanitarian law and the other international obligations of member States. Those conditions should aim to increase the effectiveness of universal jurisdiction and should not unduly restrict the possibility of prosecuting the suspects.</w:t>
      </w:r>
    </w:p>
    <w:p w14:paraId="7F782BE0" w14:textId="77777777" w:rsidR="007B0381" w:rsidRPr="009922A4" w:rsidRDefault="007B0381" w:rsidP="005842DF">
      <w:pPr>
        <w:pStyle w:val="ListParagraph"/>
        <w:ind w:left="0"/>
        <w:rPr>
          <w:rFonts w:eastAsia="Times New Roman" w:cs="Arial"/>
          <w:szCs w:val="20"/>
        </w:rPr>
      </w:pPr>
    </w:p>
    <w:p w14:paraId="403831C7" w14:textId="77777777"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 xml:space="preserve">To this end, member States should consider implementing the substantive provisions of the Rome Statute of the International Criminal Court (ICC), which provide precise definitions of relevant crimes and establish the legal basis needed to prosecute them domestically, in accordance with the principle of complementarity. Alternatively, the few member States that are not party to the ICC Rome Statute are encouraged to incorporate serious violations of international humanitarian law and other core international crimes into their domestic legal frameworks. This would enable cumulative prosecutions where criminal conduct may fall under both counter-terrorism laws and international humanitarian </w:t>
      </w:r>
      <w:proofErr w:type="gramStart"/>
      <w:r w:rsidRPr="009922A4">
        <w:rPr>
          <w:rFonts w:eastAsia="Times New Roman" w:cs="Arial"/>
          <w:szCs w:val="20"/>
        </w:rPr>
        <w:t>law</w:t>
      </w:r>
      <w:proofErr w:type="gramEnd"/>
      <w:r w:rsidRPr="009922A4">
        <w:rPr>
          <w:rFonts w:eastAsia="Times New Roman" w:cs="Arial"/>
          <w:szCs w:val="20"/>
        </w:rPr>
        <w:t>.</w:t>
      </w:r>
    </w:p>
    <w:p w14:paraId="46DA6D71" w14:textId="77777777" w:rsidR="007B0381" w:rsidRPr="009922A4" w:rsidRDefault="007B0381" w:rsidP="005842DF">
      <w:pPr>
        <w:pStyle w:val="ListParagraph"/>
        <w:ind w:left="0"/>
        <w:rPr>
          <w:rFonts w:eastAsia="Times New Roman" w:cs="Arial"/>
          <w:szCs w:val="20"/>
        </w:rPr>
      </w:pPr>
    </w:p>
    <w:p w14:paraId="44A57333" w14:textId="77777777"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 xml:space="preserve">Member States should exercise universal jurisdiction, where applicable, consistent with the rule of law and human rights standards, in particular the rights of the defence and the right to an effective remedy. Additionally, prosecution on this basis should be compatible with the principles set out in Council of Europe treaty instruments, including </w:t>
      </w:r>
      <w:r w:rsidRPr="009922A4">
        <w:rPr>
          <w:rFonts w:eastAsia="Times New Roman" w:cs="Arial"/>
          <w:i/>
          <w:iCs/>
          <w:szCs w:val="20"/>
        </w:rPr>
        <w:t>ne bis in idem</w:t>
      </w:r>
      <w:r w:rsidRPr="009922A4">
        <w:rPr>
          <w:rFonts w:eastAsia="Times New Roman" w:cs="Arial"/>
          <w:szCs w:val="20"/>
        </w:rPr>
        <w:t xml:space="preserve">, </w:t>
      </w:r>
      <w:proofErr w:type="gramStart"/>
      <w:r w:rsidRPr="009922A4">
        <w:rPr>
          <w:rFonts w:eastAsia="Times New Roman" w:cs="Arial"/>
          <w:szCs w:val="20"/>
        </w:rPr>
        <w:t>taking into account</w:t>
      </w:r>
      <w:proofErr w:type="gramEnd"/>
      <w:r w:rsidRPr="009922A4">
        <w:rPr>
          <w:rFonts w:eastAsia="Times New Roman" w:cs="Arial"/>
          <w:szCs w:val="20"/>
        </w:rPr>
        <w:t xml:space="preserve"> any previous exercise of jurisdiction by another member State or by an international tribunal and any related sentences.</w:t>
      </w:r>
    </w:p>
    <w:p w14:paraId="1A413BA1" w14:textId="77777777" w:rsidR="007B0381" w:rsidRPr="009922A4" w:rsidRDefault="007B0381" w:rsidP="005842DF">
      <w:pPr>
        <w:keepNext/>
        <w:keepLines/>
        <w:contextualSpacing/>
        <w:rPr>
          <w:rFonts w:eastAsia="Times New Roman" w:cs="Arial"/>
          <w:szCs w:val="20"/>
        </w:rPr>
      </w:pPr>
    </w:p>
    <w:p w14:paraId="539949A2" w14:textId="77777777" w:rsidR="007B0381" w:rsidRDefault="007B0381" w:rsidP="005842DF">
      <w:pPr>
        <w:rPr>
          <w:rFonts w:eastAsia="Times New Roman" w:cs="Arial"/>
          <w:szCs w:val="20"/>
          <w:bdr w:val="nil"/>
          <w:lang w:val="en-US"/>
        </w:rPr>
      </w:pPr>
      <w:r>
        <w:rPr>
          <w:rFonts w:eastAsia="Times New Roman" w:cs="Arial"/>
          <w:szCs w:val="20"/>
        </w:rPr>
        <w:br w:type="page"/>
      </w:r>
    </w:p>
    <w:p w14:paraId="3AAAA3E5" w14:textId="08CEA42B" w:rsidR="007B0381" w:rsidRPr="009922A4" w:rsidRDefault="007B0381" w:rsidP="005842DF">
      <w:pPr>
        <w:pStyle w:val="ListParagraph"/>
        <w:keepLines/>
        <w:numPr>
          <w:ilvl w:val="0"/>
          <w:numId w:val="4"/>
        </w:numPr>
        <w:ind w:left="0" w:firstLine="0"/>
        <w:rPr>
          <w:rFonts w:eastAsia="Times New Roman" w:cs="Arial"/>
          <w:szCs w:val="20"/>
        </w:rPr>
      </w:pPr>
      <w:r w:rsidRPr="009922A4">
        <w:rPr>
          <w:rFonts w:eastAsia="Times New Roman" w:cs="Arial"/>
          <w:szCs w:val="20"/>
        </w:rPr>
        <w:lastRenderedPageBreak/>
        <w:t xml:space="preserve">In all cases covered by this </w:t>
      </w:r>
      <w:r w:rsidR="0066235D">
        <w:rPr>
          <w:rFonts w:eastAsia="Times New Roman" w:cs="Arial"/>
          <w:szCs w:val="20"/>
        </w:rPr>
        <w:t>r</w:t>
      </w:r>
      <w:r w:rsidRPr="009922A4">
        <w:rPr>
          <w:rFonts w:eastAsia="Times New Roman" w:cs="Arial"/>
          <w:szCs w:val="20"/>
        </w:rPr>
        <w:t>ecommendation, member States should rely on both the active and the passive personality principles, assuming jurisdiction if either the alleged perpetrator or the victim is one of their nationals. To avoid impunity, they may extend the active personality principle to foreign nationals and stateless persons who had their habitual residence in the territory of the State concerned at a given time, in accordance with domestic law.</w:t>
      </w:r>
    </w:p>
    <w:p w14:paraId="3F5E4C14" w14:textId="77777777" w:rsidR="007B0381" w:rsidRPr="009922A4" w:rsidRDefault="007B0381" w:rsidP="005842DF">
      <w:pPr>
        <w:pStyle w:val="ListParagraph"/>
        <w:ind w:left="1065"/>
        <w:rPr>
          <w:rFonts w:eastAsia="Times New Roman" w:cs="Arial"/>
          <w:szCs w:val="20"/>
        </w:rPr>
      </w:pPr>
    </w:p>
    <w:p w14:paraId="1F996479" w14:textId="1BD61CC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 xml:space="preserve">Where neither personal nor universal jurisdiction can be established and there is a risk that offences and crimes falling within the scope of this </w:t>
      </w:r>
      <w:r w:rsidR="0066235D">
        <w:rPr>
          <w:rFonts w:eastAsia="Times New Roman" w:cs="Arial"/>
          <w:szCs w:val="20"/>
        </w:rPr>
        <w:t>r</w:t>
      </w:r>
      <w:r w:rsidRPr="009922A4">
        <w:rPr>
          <w:rFonts w:eastAsia="Times New Roman" w:cs="Arial"/>
          <w:szCs w:val="20"/>
        </w:rPr>
        <w:t>ecommendation remain unpunished, alternative legal grounds for jurisdiction should be envisaged, such as the protective principle allowing States to prosecute crimes committed wholly outside their territories by foreign nationals or stateless persons against their security or affecting their national interests.</w:t>
      </w:r>
    </w:p>
    <w:p w14:paraId="5AB03B31" w14:textId="77777777" w:rsidR="007B0381" w:rsidRPr="009922A4" w:rsidRDefault="007B0381" w:rsidP="005842DF">
      <w:pPr>
        <w:pStyle w:val="ListParagraph"/>
        <w:ind w:left="0"/>
        <w:rPr>
          <w:rFonts w:eastAsia="Times New Roman" w:cs="Arial"/>
          <w:szCs w:val="20"/>
        </w:rPr>
      </w:pPr>
    </w:p>
    <w:p w14:paraId="35DB9A59"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 xml:space="preserve">Member States should take any necessary measures to </w:t>
      </w:r>
      <w:r w:rsidRPr="009922A4">
        <w:rPr>
          <w:rFonts w:cs="Arial"/>
          <w:szCs w:val="20"/>
        </w:rPr>
        <w:t xml:space="preserve">ensure that statutory limitation does not apply to </w:t>
      </w:r>
      <w:r w:rsidRPr="009922A4">
        <w:rPr>
          <w:rFonts w:eastAsia="Times New Roman" w:cs="Arial"/>
          <w:szCs w:val="20"/>
        </w:rPr>
        <w:t xml:space="preserve">serious violations of international humanitarian law and other core international crimes committed during a non-international armed conflict. In this respect, they are encouraged to consider becoming Parties to </w:t>
      </w:r>
      <w:r w:rsidRPr="009922A4">
        <w:rPr>
          <w:rFonts w:cs="Arial"/>
          <w:szCs w:val="20"/>
        </w:rPr>
        <w:t>the European Convention on the Non</w:t>
      </w:r>
      <w:r w:rsidRPr="009922A4">
        <w:rPr>
          <w:rFonts w:cs="Arial"/>
          <w:szCs w:val="20"/>
        </w:rPr>
        <w:noBreakHyphen/>
        <w:t>Applicability of Statutory Limitation to Crimes against Humanity and War Crimes (ETS No. 82).</w:t>
      </w:r>
    </w:p>
    <w:p w14:paraId="44BD101D" w14:textId="77777777" w:rsidR="007B0381" w:rsidRPr="009922A4" w:rsidRDefault="007B0381" w:rsidP="005842DF">
      <w:pPr>
        <w:contextualSpacing/>
        <w:rPr>
          <w:rFonts w:eastAsia="Times New Roman" w:cs="Arial"/>
          <w:szCs w:val="20"/>
        </w:rPr>
      </w:pPr>
    </w:p>
    <w:p w14:paraId="242002D3" w14:textId="77777777" w:rsidR="007B0381" w:rsidRPr="009922A4" w:rsidRDefault="007B0381" w:rsidP="005842DF">
      <w:pPr>
        <w:pStyle w:val="Heading1"/>
        <w:contextualSpacing/>
        <w:rPr>
          <w:rFonts w:eastAsia="Times New Roman" w:cs="Arial"/>
          <w:szCs w:val="20"/>
        </w:rPr>
      </w:pPr>
      <w:r w:rsidRPr="009922A4">
        <w:rPr>
          <w:rFonts w:eastAsia="Times New Roman" w:cs="Arial"/>
          <w:szCs w:val="20"/>
        </w:rPr>
        <w:t>Chapter III – Using efficient investigation tools to obtain admissible evidence</w:t>
      </w:r>
    </w:p>
    <w:p w14:paraId="7B192DC5" w14:textId="77777777" w:rsidR="007B0381" w:rsidRPr="009922A4" w:rsidRDefault="007B0381" w:rsidP="005842DF">
      <w:pPr>
        <w:contextualSpacing/>
        <w:rPr>
          <w:rFonts w:eastAsia="Times New Roman" w:cs="Arial"/>
          <w:szCs w:val="20"/>
        </w:rPr>
      </w:pPr>
    </w:p>
    <w:p w14:paraId="0FFDC599" w14:textId="77777777" w:rsidR="007B0381" w:rsidRPr="009922A4" w:rsidRDefault="007B0381" w:rsidP="005842DF">
      <w:pPr>
        <w:pStyle w:val="Heading2"/>
        <w:contextualSpacing/>
        <w:rPr>
          <w:rFonts w:eastAsia="Times New Roman" w:cs="Arial"/>
          <w:szCs w:val="20"/>
        </w:rPr>
      </w:pPr>
      <w:r w:rsidRPr="009922A4">
        <w:rPr>
          <w:rFonts w:eastAsia="Times New Roman" w:cs="Arial"/>
          <w:szCs w:val="20"/>
        </w:rPr>
        <w:t>The investigation toolbox</w:t>
      </w:r>
    </w:p>
    <w:p w14:paraId="159228C5" w14:textId="77777777" w:rsidR="007B0381" w:rsidRPr="009922A4" w:rsidRDefault="007B0381" w:rsidP="005842DF">
      <w:pPr>
        <w:pStyle w:val="ListParagraph"/>
        <w:ind w:left="1065"/>
        <w:rPr>
          <w:rFonts w:eastAsia="Times New Roman" w:cs="Arial"/>
          <w:szCs w:val="20"/>
        </w:rPr>
      </w:pPr>
    </w:p>
    <w:p w14:paraId="2332CB29"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In investigating terrorist offences, serious violations of international humanitarian law and other core international crimes, member States should use adequate and efficient investigation tools, including special investigation techniques, such as undercover agents and secret surveillance measures.</w:t>
      </w:r>
    </w:p>
    <w:p w14:paraId="6EA8A335" w14:textId="77777777" w:rsidR="007B0381" w:rsidRPr="009922A4" w:rsidRDefault="007B0381" w:rsidP="005842DF">
      <w:pPr>
        <w:pStyle w:val="ListParagraph"/>
        <w:ind w:left="0"/>
        <w:rPr>
          <w:rFonts w:eastAsia="Times New Roman" w:cs="Arial"/>
          <w:szCs w:val="20"/>
        </w:rPr>
      </w:pPr>
    </w:p>
    <w:p w14:paraId="568A14C0" w14:textId="74B34226"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 xml:space="preserve">Where special investigation techniques that might be effective in investigating criminal conduct committed in conflict zones only apply to terrorist offences, member States should consider taking appropriate legislative measures to permit their use or the use of the outcomes of these investigations also for the investigation of serious violations of international humanitarian law and other core international crimes punishable under their domestic law, insofar as this is justified and in compliance with human rights standards, in particular with the procedural safeguards set out in the European Convention on Human Rights (ETS No. 5, </w:t>
      </w:r>
      <w:r w:rsidR="0066235D">
        <w:rPr>
          <w:rFonts w:eastAsia="Times New Roman" w:cs="Arial"/>
          <w:szCs w:val="20"/>
        </w:rPr>
        <w:t>“</w:t>
      </w:r>
      <w:r w:rsidRPr="009922A4">
        <w:rPr>
          <w:rFonts w:eastAsia="Times New Roman" w:cs="Arial"/>
          <w:szCs w:val="20"/>
        </w:rPr>
        <w:t>the Convention</w:t>
      </w:r>
      <w:r w:rsidR="0066235D">
        <w:rPr>
          <w:rFonts w:eastAsia="Times New Roman" w:cs="Arial"/>
          <w:szCs w:val="20"/>
        </w:rPr>
        <w:t>”</w:t>
      </w:r>
      <w:r w:rsidRPr="009922A4">
        <w:rPr>
          <w:rFonts w:eastAsia="Times New Roman" w:cs="Arial"/>
          <w:szCs w:val="20"/>
        </w:rPr>
        <w:t>).</w:t>
      </w:r>
    </w:p>
    <w:p w14:paraId="0A4AE431" w14:textId="77777777" w:rsidR="007B0381" w:rsidRPr="009922A4" w:rsidRDefault="007B0381" w:rsidP="005842DF">
      <w:pPr>
        <w:pStyle w:val="ListParagraph"/>
        <w:ind w:left="0"/>
        <w:rPr>
          <w:rFonts w:eastAsia="Times New Roman" w:cs="Arial"/>
          <w:szCs w:val="20"/>
        </w:rPr>
      </w:pPr>
    </w:p>
    <w:p w14:paraId="7620E87D"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Special investigation techniques and other equally intrusive means of investigation should have a precise legal basis providing for adequate and sufficient safeguards against abuse of power and arbitrary interference with human rights and fundamental freedoms, especially the right to privacy, in accordance with the requirements of the European Convention on Human Rights and the relevant case law of the European Court of Human Rights.</w:t>
      </w:r>
    </w:p>
    <w:p w14:paraId="6784088E" w14:textId="77777777" w:rsidR="007B0381" w:rsidRPr="009922A4" w:rsidRDefault="007B0381" w:rsidP="005842DF">
      <w:pPr>
        <w:pStyle w:val="ListParagraph"/>
        <w:ind w:left="0"/>
        <w:rPr>
          <w:rFonts w:eastAsia="Times New Roman" w:cs="Arial"/>
          <w:szCs w:val="20"/>
        </w:rPr>
      </w:pPr>
    </w:p>
    <w:p w14:paraId="4F49273F" w14:textId="0226DB83"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When reviewing their domestic legislation and relevant public policies and practices, member States should take into account the principles and measures appended to Recommendation </w:t>
      </w:r>
      <w:bookmarkStart w:id="9" w:name="_ML_000000000008_VALID"/>
      <w:r w:rsidR="002B0A38" w:rsidRPr="002B0A38">
        <w:rPr>
          <w:rFonts w:eastAsia="Times New Roman" w:cs="Arial"/>
          <w:szCs w:val="20"/>
        </w:rPr>
        <w:fldChar w:fldCharType="begin"/>
      </w:r>
      <w:r w:rsidR="002B0A38" w:rsidRPr="002B0A38">
        <w:rPr>
          <w:rFonts w:eastAsia="Times New Roman" w:cs="Arial"/>
          <w:szCs w:val="20"/>
        </w:rPr>
        <w:instrText>HYPERLINK "https://search.coe.int/cm/eng#%7B%22CoEReference%22:[%22CM/Rec(2017)6%22],%22CoELanguageId%22:[%22eng%22],%22CoECollection%22:[%22COE_DOC%22],%22po%22:%7B%22ref%22:%22=%22%7D%7D" \o "Recommendation of the Committee of Ministers to member States on \“special investigation techniques\” in relation to serious crimes including acts of terrorism (Adopted by the Committee of Ministers on 5 July 2017 at the 1291st meeting of the Ministers' Deputies)"</w:instrText>
      </w:r>
      <w:r w:rsidR="002B0A38" w:rsidRPr="002B0A38">
        <w:rPr>
          <w:rFonts w:eastAsia="Times New Roman" w:cs="Arial"/>
          <w:szCs w:val="20"/>
        </w:rPr>
      </w:r>
      <w:r w:rsidR="002B0A38" w:rsidRPr="002B0A38">
        <w:rPr>
          <w:rFonts w:eastAsia="Times New Roman" w:cs="Arial"/>
          <w:szCs w:val="20"/>
        </w:rPr>
        <w:fldChar w:fldCharType="separate"/>
      </w:r>
      <w:bookmarkEnd w:id="9"/>
      <w:r w:rsidR="002B0A38" w:rsidRPr="002B0A38">
        <w:rPr>
          <w:rStyle w:val="Hyperlink"/>
          <w:rFonts w:eastAsia="Times New Roman" w:cs="Arial"/>
          <w:szCs w:val="20"/>
        </w:rPr>
        <w:t>CM/Rec(2017)6</w:t>
      </w:r>
      <w:r w:rsidR="002B0A38" w:rsidRPr="002B0A38">
        <w:rPr>
          <w:rFonts w:eastAsia="Times New Roman" w:cs="Arial"/>
          <w:szCs w:val="20"/>
        </w:rPr>
        <w:fldChar w:fldCharType="end"/>
      </w:r>
      <w:r w:rsidRPr="009922A4">
        <w:rPr>
          <w:rFonts w:eastAsia="Times New Roman" w:cs="Arial"/>
          <w:szCs w:val="20"/>
        </w:rPr>
        <w:t xml:space="preserve"> of the Committee of Ministers to member States on “special investigation techniques” in relation to serious crimes, including acts of terrorism.</w:t>
      </w:r>
    </w:p>
    <w:p w14:paraId="447378CC" w14:textId="77777777" w:rsidR="007B0381" w:rsidRPr="009922A4" w:rsidRDefault="007B0381" w:rsidP="005842DF">
      <w:pPr>
        <w:pStyle w:val="ListParagraph"/>
        <w:ind w:left="0"/>
        <w:rPr>
          <w:rFonts w:eastAsia="Times New Roman" w:cs="Arial"/>
          <w:szCs w:val="20"/>
        </w:rPr>
      </w:pPr>
    </w:p>
    <w:p w14:paraId="1CEE0CF1" w14:textId="77777777" w:rsidR="007B0381" w:rsidRPr="009922A4" w:rsidRDefault="007B0381" w:rsidP="005842DF">
      <w:pPr>
        <w:pStyle w:val="ListParagraph"/>
        <w:keepLines/>
        <w:numPr>
          <w:ilvl w:val="0"/>
          <w:numId w:val="4"/>
        </w:numPr>
        <w:ind w:left="0" w:firstLine="0"/>
        <w:rPr>
          <w:rFonts w:eastAsia="Times New Roman" w:cs="Arial"/>
          <w:szCs w:val="20"/>
        </w:rPr>
      </w:pPr>
      <w:r w:rsidRPr="009922A4">
        <w:rPr>
          <w:rFonts w:eastAsia="Times New Roman" w:cs="Arial"/>
          <w:szCs w:val="20"/>
        </w:rPr>
        <w:t>Where appropriate, member States should consider collecting information on the networks, hierarchies and institutions that have enabled or organised the commission of serious violations of international humanitarian law and other core international crimes in the context of a non-international armed conflict in which non-state armed groups designated as terrorist are engaged.</w:t>
      </w:r>
    </w:p>
    <w:p w14:paraId="7373436D" w14:textId="77777777" w:rsidR="007B0381" w:rsidRPr="009922A4" w:rsidRDefault="007B0381" w:rsidP="005842DF">
      <w:pPr>
        <w:pStyle w:val="ListParagraph"/>
        <w:ind w:left="0"/>
        <w:rPr>
          <w:rFonts w:eastAsia="Times New Roman" w:cs="Arial"/>
          <w:szCs w:val="20"/>
        </w:rPr>
      </w:pPr>
    </w:p>
    <w:p w14:paraId="27EEB08C"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Collecting such information should aim to identify the individual perpetrators of terrorist offences and core international crimes but also focus on establishing command structures and uncover patterns of misconduct, such as widespread or systematic attacks against the civilian population or specific acts of violence targeting a national, ethnic, racial or religious group, which are elements constituting crimes against humanity and genocide, respectively.</w:t>
      </w:r>
    </w:p>
    <w:p w14:paraId="0AF7BFC2" w14:textId="77777777" w:rsidR="007B0381" w:rsidRPr="009922A4" w:rsidRDefault="007B0381" w:rsidP="005842DF">
      <w:pPr>
        <w:contextualSpacing/>
        <w:rPr>
          <w:rFonts w:eastAsia="Times New Roman" w:cs="Arial"/>
          <w:szCs w:val="20"/>
        </w:rPr>
      </w:pPr>
    </w:p>
    <w:p w14:paraId="5D84213C" w14:textId="77777777" w:rsidR="007B0381" w:rsidRDefault="007B0381" w:rsidP="005842DF">
      <w:pPr>
        <w:rPr>
          <w:rFonts w:eastAsia="Times New Roman" w:cs="Arial"/>
          <w:i/>
          <w:kern w:val="2"/>
          <w:szCs w:val="20"/>
          <w14:ligatures w14:val="standardContextual"/>
        </w:rPr>
      </w:pPr>
      <w:r>
        <w:rPr>
          <w:rFonts w:eastAsia="Times New Roman" w:cs="Arial"/>
          <w:szCs w:val="20"/>
        </w:rPr>
        <w:br w:type="page"/>
      </w:r>
    </w:p>
    <w:p w14:paraId="30FBD7A2" w14:textId="77777777" w:rsidR="007B0381" w:rsidRPr="009922A4" w:rsidRDefault="007B0381" w:rsidP="005842DF">
      <w:pPr>
        <w:pStyle w:val="Heading2"/>
        <w:contextualSpacing/>
        <w:rPr>
          <w:rFonts w:eastAsia="Times New Roman" w:cs="Arial"/>
          <w:szCs w:val="20"/>
        </w:rPr>
      </w:pPr>
      <w:r w:rsidRPr="009922A4">
        <w:rPr>
          <w:rFonts w:eastAsia="Times New Roman" w:cs="Arial"/>
          <w:szCs w:val="20"/>
        </w:rPr>
        <w:lastRenderedPageBreak/>
        <w:t>Information collected in conflict zones and other types of evidence</w:t>
      </w:r>
    </w:p>
    <w:p w14:paraId="488C3DB7" w14:textId="77777777" w:rsidR="007B0381" w:rsidRPr="009922A4" w:rsidRDefault="007B0381" w:rsidP="005842DF">
      <w:pPr>
        <w:keepNext/>
        <w:keepLines/>
        <w:contextualSpacing/>
        <w:rPr>
          <w:rFonts w:eastAsia="Times New Roman" w:cs="Arial"/>
          <w:szCs w:val="20"/>
        </w:rPr>
      </w:pPr>
    </w:p>
    <w:p w14:paraId="4728637B" w14:textId="327FE802"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 xml:space="preserve">In investigating the offences and crimes that fall within the scope of this </w:t>
      </w:r>
      <w:r w:rsidR="003A5702">
        <w:rPr>
          <w:rFonts w:eastAsia="Times New Roman" w:cs="Arial"/>
          <w:szCs w:val="20"/>
        </w:rPr>
        <w:t>r</w:t>
      </w:r>
      <w:r w:rsidRPr="009922A4">
        <w:rPr>
          <w:rFonts w:eastAsia="Times New Roman" w:cs="Arial"/>
          <w:szCs w:val="20"/>
        </w:rPr>
        <w:t>ecommendation, member States should consider using information collected in conflict zones where terrorist associations or groups operate, whether as an investigative lead, as a way to otherwise support legal processes or as evidence in court, in accordance with domestic law.</w:t>
      </w:r>
    </w:p>
    <w:p w14:paraId="737D42E4" w14:textId="77777777" w:rsidR="007B0381" w:rsidRPr="009922A4" w:rsidRDefault="007B0381" w:rsidP="005842DF">
      <w:pPr>
        <w:pStyle w:val="ListParagraph"/>
        <w:ind w:left="0"/>
        <w:rPr>
          <w:rFonts w:eastAsia="Times New Roman" w:cs="Arial"/>
          <w:szCs w:val="20"/>
        </w:rPr>
      </w:pPr>
    </w:p>
    <w:p w14:paraId="277C2389" w14:textId="68FFF65D"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For guidance, member States should refer to the rules contained in the appendix to Recommendation </w:t>
      </w:r>
      <w:bookmarkStart w:id="10" w:name="_ML_000000000009_VALID"/>
      <w:r w:rsidR="002B0A38" w:rsidRPr="002B0A38">
        <w:rPr>
          <w:rFonts w:eastAsia="Times New Roman" w:cs="Arial"/>
          <w:szCs w:val="20"/>
        </w:rPr>
        <w:fldChar w:fldCharType="begin"/>
      </w:r>
      <w:r w:rsidR="002B0A38" w:rsidRPr="002B0A38">
        <w:rPr>
          <w:rFonts w:eastAsia="Times New Roman" w:cs="Arial"/>
          <w:szCs w:val="20"/>
        </w:rPr>
        <w:instrText>HYPERLINK "https://search.coe.int/cm/eng#%7B%22CoEReference%22:[%22CM/Rec(2022)8%22],%22CoELanguageId%22:[%22eng%22],%22CoECollection%22:[%22COE_DOC%22],%22po%22:%7B%22ref%22:%22=%22%7D%7D" \o "Recommendation of the Committee of Ministers to member States on the use of information collected in conflict zones as evidence in criminal proceedings related to terrorist offences (Adopted by the Committee of Ministers on 30 March 2022 at the 1430th meeting of the Ministers' Deputies)"</w:instrText>
      </w:r>
      <w:r w:rsidR="002B0A38" w:rsidRPr="002B0A38">
        <w:rPr>
          <w:rFonts w:eastAsia="Times New Roman" w:cs="Arial"/>
          <w:szCs w:val="20"/>
        </w:rPr>
      </w:r>
      <w:r w:rsidR="002B0A38" w:rsidRPr="002B0A38">
        <w:rPr>
          <w:rFonts w:eastAsia="Times New Roman" w:cs="Arial"/>
          <w:szCs w:val="20"/>
        </w:rPr>
        <w:fldChar w:fldCharType="separate"/>
      </w:r>
      <w:bookmarkEnd w:id="10"/>
      <w:r w:rsidR="002B0A38" w:rsidRPr="002B0A38">
        <w:rPr>
          <w:rStyle w:val="Hyperlink"/>
          <w:rFonts w:eastAsia="Times New Roman" w:cs="Arial"/>
          <w:szCs w:val="20"/>
        </w:rPr>
        <w:t>CM/Rec(2022)8</w:t>
      </w:r>
      <w:r w:rsidR="002B0A38" w:rsidRPr="002B0A38">
        <w:rPr>
          <w:rFonts w:eastAsia="Times New Roman" w:cs="Arial"/>
          <w:szCs w:val="20"/>
        </w:rPr>
        <w:fldChar w:fldCharType="end"/>
      </w:r>
      <w:r w:rsidRPr="009922A4">
        <w:rPr>
          <w:rFonts w:eastAsia="Times New Roman" w:cs="Arial"/>
          <w:szCs w:val="20"/>
        </w:rPr>
        <w:t xml:space="preserve"> of the Committee of Ministers to member States on the use of information collected in conflict zones as evidence in criminal proceedings related to terrorist offences. As emphasised in that recommendation, in making an assessment on what is most efficient in terms of ensuring justice, particular attention should be paid to the prosecution of acts prohibited by international humanitarian law. Member States could also draw inspiration from the Council of Europe compilation entitled “Comparative practices on the use of information collected in conflict zones as evidence in criminal proceedings”.</w:t>
      </w:r>
    </w:p>
    <w:p w14:paraId="606BF83D" w14:textId="77777777" w:rsidR="007B0381" w:rsidRPr="009922A4" w:rsidRDefault="007B0381" w:rsidP="005842DF">
      <w:pPr>
        <w:contextualSpacing/>
        <w:rPr>
          <w:rFonts w:eastAsia="Times New Roman" w:cs="Arial"/>
          <w:szCs w:val="20"/>
          <w:highlight w:val="yellow"/>
        </w:rPr>
      </w:pPr>
    </w:p>
    <w:p w14:paraId="291F2237" w14:textId="77777777" w:rsidR="007B0381" w:rsidRPr="009922A4" w:rsidRDefault="007B0381" w:rsidP="005842DF">
      <w:pPr>
        <w:pStyle w:val="Heading1"/>
        <w:keepNext w:val="0"/>
        <w:keepLines w:val="0"/>
        <w:contextualSpacing/>
        <w:rPr>
          <w:rFonts w:eastAsia="Times New Roman" w:cs="Arial"/>
          <w:szCs w:val="20"/>
        </w:rPr>
      </w:pPr>
      <w:r w:rsidRPr="009922A4">
        <w:rPr>
          <w:rFonts w:eastAsia="Times New Roman" w:cs="Arial"/>
          <w:szCs w:val="20"/>
        </w:rPr>
        <w:t>Chapter IV – Pursuing prosecution strategies aimed at ensuring full accountability</w:t>
      </w:r>
    </w:p>
    <w:p w14:paraId="2A705A98" w14:textId="77777777" w:rsidR="007B0381" w:rsidRPr="009922A4" w:rsidRDefault="007B0381" w:rsidP="005842DF">
      <w:pPr>
        <w:contextualSpacing/>
        <w:rPr>
          <w:rFonts w:eastAsia="Times New Roman" w:cs="Arial"/>
          <w:szCs w:val="20"/>
        </w:rPr>
      </w:pPr>
    </w:p>
    <w:p w14:paraId="33503F0E"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Member States should ensure that the acts of violence committed in the context of a non-international armed conflict are assessed under all the legal regimes and statutory rules that may apply, including whether core international crimes have been committed, before the competent authorities decide whether to file criminal charges, what charges to bring and how to pursue a case.</w:t>
      </w:r>
    </w:p>
    <w:p w14:paraId="288FBAA7" w14:textId="77777777" w:rsidR="007B0381" w:rsidRPr="009922A4" w:rsidRDefault="007B0381" w:rsidP="005842DF">
      <w:pPr>
        <w:pStyle w:val="ListParagraph"/>
        <w:ind w:left="0"/>
        <w:rPr>
          <w:rFonts w:eastAsia="Times New Roman" w:cs="Arial"/>
          <w:szCs w:val="20"/>
        </w:rPr>
      </w:pPr>
    </w:p>
    <w:p w14:paraId="2CF865D8"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Where the same act can be qualified as a terrorist offence and one or several core international crimes, the competent authorities of member States should consider the possibility of qualifying that act as both a terrorist offence and a core international crime, if permitted by and under the conditions set out in domestic law.</w:t>
      </w:r>
    </w:p>
    <w:p w14:paraId="5067ECC1" w14:textId="77777777" w:rsidR="007B0381" w:rsidRPr="009922A4" w:rsidRDefault="007B0381" w:rsidP="005842DF">
      <w:pPr>
        <w:pStyle w:val="ListParagraph"/>
        <w:ind w:left="0"/>
        <w:rPr>
          <w:rFonts w:eastAsia="Times New Roman" w:cs="Arial"/>
          <w:szCs w:val="20"/>
        </w:rPr>
      </w:pPr>
    </w:p>
    <w:p w14:paraId="3DF2876C" w14:textId="77777777" w:rsidR="007B0381" w:rsidRPr="009922A4" w:rsidRDefault="007B0381" w:rsidP="005842DF">
      <w:pPr>
        <w:pStyle w:val="ListParagraph"/>
        <w:numPr>
          <w:ilvl w:val="0"/>
          <w:numId w:val="4"/>
        </w:numPr>
        <w:ind w:left="0" w:firstLine="0"/>
        <w:rPr>
          <w:rFonts w:cs="Arial"/>
          <w:szCs w:val="20"/>
        </w:rPr>
      </w:pPr>
      <w:r w:rsidRPr="009922A4">
        <w:rPr>
          <w:rFonts w:eastAsia="Times New Roman" w:cs="Arial"/>
          <w:szCs w:val="20"/>
        </w:rPr>
        <w:t>If the alleged criminal conduct consists of a combination of terrorist offences and core international crimes, as well as other common offences, each act receiving a different legal qualification, the competent authorities should consider bringing charges for the totality of the acts constituting the criminal conduct, either simultaneously or successively.</w:t>
      </w:r>
      <w:r w:rsidRPr="009922A4">
        <w:rPr>
          <w:rFonts w:cs="Arial"/>
          <w:szCs w:val="20"/>
        </w:rPr>
        <w:t xml:space="preserve"> </w:t>
      </w:r>
      <w:r w:rsidRPr="009922A4">
        <w:rPr>
          <w:rFonts w:eastAsia="Times New Roman" w:cs="Arial"/>
          <w:szCs w:val="20"/>
        </w:rPr>
        <w:t>The</w:t>
      </w:r>
      <w:r w:rsidRPr="009922A4">
        <w:rPr>
          <w:rFonts w:cs="Arial"/>
          <w:szCs w:val="20"/>
        </w:rPr>
        <w:t xml:space="preserve"> criminal law rules governing concurrent offences should apply accordingly.</w:t>
      </w:r>
    </w:p>
    <w:p w14:paraId="1C4215E0" w14:textId="77777777" w:rsidR="007B0381" w:rsidRPr="009922A4" w:rsidRDefault="007B0381" w:rsidP="005842DF">
      <w:pPr>
        <w:keepLines/>
        <w:contextualSpacing/>
        <w:rPr>
          <w:rFonts w:eastAsia="Times New Roman" w:cs="Arial"/>
          <w:szCs w:val="20"/>
        </w:rPr>
      </w:pPr>
    </w:p>
    <w:p w14:paraId="2E4DEB79" w14:textId="77777777" w:rsidR="007B0381" w:rsidRPr="009922A4" w:rsidRDefault="007B0381" w:rsidP="005842DF">
      <w:pPr>
        <w:pStyle w:val="ListParagraph"/>
        <w:keepLines/>
        <w:numPr>
          <w:ilvl w:val="0"/>
          <w:numId w:val="4"/>
        </w:numPr>
        <w:ind w:left="0" w:firstLine="0"/>
        <w:rPr>
          <w:rFonts w:eastAsia="Times New Roman" w:cs="Arial"/>
          <w:szCs w:val="20"/>
        </w:rPr>
      </w:pPr>
      <w:r w:rsidRPr="009922A4">
        <w:rPr>
          <w:rFonts w:eastAsia="Times New Roman" w:cs="Arial"/>
          <w:szCs w:val="20"/>
        </w:rPr>
        <w:t xml:space="preserve">Where permitted by domestic law, member States should consider prosecuting terrorist suspects under their jurisdiction for crimes committed in a non-international armed conflict involving </w:t>
      </w:r>
      <w:bookmarkStart w:id="11" w:name="_Hlk209363933"/>
      <w:r w:rsidRPr="009922A4">
        <w:rPr>
          <w:rFonts w:eastAsia="Times New Roman" w:cs="Arial"/>
          <w:szCs w:val="20"/>
        </w:rPr>
        <w:t>non-state armed groups designated as terrorist even though the suspects are not present on their territory at the time of the proceedings.</w:t>
      </w:r>
      <w:bookmarkEnd w:id="11"/>
      <w:r w:rsidRPr="009922A4">
        <w:rPr>
          <w:rFonts w:eastAsia="Times New Roman" w:cs="Arial"/>
          <w:szCs w:val="20"/>
        </w:rPr>
        <w:t xml:space="preserve"> </w:t>
      </w:r>
    </w:p>
    <w:p w14:paraId="7E4F442A" w14:textId="77777777" w:rsidR="007B0381" w:rsidRPr="009922A4" w:rsidRDefault="007B0381" w:rsidP="005842DF">
      <w:pPr>
        <w:contextualSpacing/>
        <w:rPr>
          <w:rFonts w:eastAsia="Times New Roman" w:cs="Arial"/>
          <w:szCs w:val="20"/>
        </w:rPr>
      </w:pPr>
    </w:p>
    <w:p w14:paraId="41F6FCD6" w14:textId="77777777" w:rsidR="007B0381" w:rsidRPr="009922A4" w:rsidRDefault="007B0381" w:rsidP="005842DF">
      <w:pPr>
        <w:pStyle w:val="Heading1"/>
        <w:contextualSpacing/>
        <w:rPr>
          <w:rFonts w:eastAsia="Times New Roman" w:cs="Arial"/>
          <w:szCs w:val="20"/>
        </w:rPr>
      </w:pPr>
      <w:r w:rsidRPr="009922A4">
        <w:rPr>
          <w:rFonts w:eastAsia="Times New Roman" w:cs="Arial"/>
          <w:szCs w:val="20"/>
        </w:rPr>
        <w:t>Chapter V – Relying on adequate procedures and improved co-ordination processes</w:t>
      </w:r>
    </w:p>
    <w:p w14:paraId="3B4E8811" w14:textId="77777777" w:rsidR="007B0381" w:rsidRPr="009922A4" w:rsidRDefault="007B0381" w:rsidP="005842DF">
      <w:pPr>
        <w:keepNext/>
        <w:keepLines/>
        <w:contextualSpacing/>
        <w:rPr>
          <w:rFonts w:eastAsia="Times New Roman" w:cs="Arial"/>
          <w:szCs w:val="20"/>
        </w:rPr>
      </w:pPr>
    </w:p>
    <w:p w14:paraId="4EC6C459" w14:textId="77777777" w:rsidR="007B0381" w:rsidRPr="009922A4" w:rsidRDefault="007B0381" w:rsidP="005842DF">
      <w:pPr>
        <w:pStyle w:val="Heading2"/>
        <w:contextualSpacing/>
        <w:rPr>
          <w:rFonts w:eastAsia="Times New Roman" w:cs="Arial"/>
          <w:szCs w:val="20"/>
        </w:rPr>
      </w:pPr>
      <w:r w:rsidRPr="009922A4">
        <w:rPr>
          <w:rFonts w:eastAsia="Times New Roman" w:cs="Arial"/>
          <w:szCs w:val="20"/>
        </w:rPr>
        <w:t>Protection of the rights of the defence</w:t>
      </w:r>
    </w:p>
    <w:p w14:paraId="3A6771CF" w14:textId="77777777" w:rsidR="007B0381" w:rsidRPr="009922A4" w:rsidRDefault="007B0381" w:rsidP="005842DF">
      <w:pPr>
        <w:keepNext/>
        <w:keepLines/>
        <w:contextualSpacing/>
        <w:rPr>
          <w:rFonts w:eastAsia="Times New Roman" w:cs="Arial"/>
          <w:szCs w:val="20"/>
        </w:rPr>
      </w:pPr>
    </w:p>
    <w:p w14:paraId="2D85E61F" w14:textId="77777777"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Criminal proceedings against individuals who are suspected or accused of having committed terrorist offences, serious violations of international humanitarian law and other core international crimes in the context of a non-international armed conflict, as well as against legal persons, should be conducted in accordance with the requirements of the European Convention on Human Rights, particularly the right to a fair trial enshrined in Article 6, including the presumption of innocence and the rights of the defence.</w:t>
      </w:r>
    </w:p>
    <w:p w14:paraId="04D9F786" w14:textId="77777777" w:rsidR="007B0381" w:rsidRPr="009922A4" w:rsidRDefault="007B0381" w:rsidP="005842DF">
      <w:pPr>
        <w:pStyle w:val="ListParagraph"/>
        <w:ind w:left="0"/>
        <w:rPr>
          <w:rFonts w:eastAsia="Times New Roman" w:cs="Arial"/>
          <w:szCs w:val="20"/>
        </w:rPr>
      </w:pPr>
    </w:p>
    <w:p w14:paraId="38F9955D" w14:textId="77777777"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Where measures restricting the rights of the defence are deemed necessary, such measures should be lawful and strictly necessary to achieve the aim pursued, such as the need to protect national security or victims or witnesses at risk of reprisals and to avoid secondary victimisation. Any difficulties caused to the defence by a limitation on its rights should be sufficiently counterbalanced by adequate procedural safeguards, in line with the case law of the European Court of Human Rights.</w:t>
      </w:r>
    </w:p>
    <w:p w14:paraId="59E3E7C7" w14:textId="77777777" w:rsidR="007B0381" w:rsidRPr="009922A4" w:rsidRDefault="007B0381" w:rsidP="005842DF">
      <w:pPr>
        <w:contextualSpacing/>
        <w:rPr>
          <w:rFonts w:eastAsia="Times New Roman" w:cs="Arial"/>
          <w:szCs w:val="20"/>
        </w:rPr>
      </w:pPr>
    </w:p>
    <w:p w14:paraId="173F92B7" w14:textId="77777777" w:rsidR="007B0381" w:rsidRDefault="007B0381" w:rsidP="005842DF">
      <w:pPr>
        <w:rPr>
          <w:rFonts w:eastAsia="Times New Roman" w:cs="Arial"/>
          <w:i/>
          <w:kern w:val="2"/>
          <w:szCs w:val="20"/>
          <w14:ligatures w14:val="standardContextual"/>
        </w:rPr>
      </w:pPr>
      <w:r>
        <w:rPr>
          <w:rFonts w:eastAsia="Times New Roman" w:cs="Arial"/>
          <w:szCs w:val="20"/>
        </w:rPr>
        <w:br w:type="page"/>
      </w:r>
    </w:p>
    <w:p w14:paraId="7CEC2CA6" w14:textId="77777777" w:rsidR="007B0381" w:rsidRPr="009922A4" w:rsidRDefault="007B0381" w:rsidP="005842DF">
      <w:pPr>
        <w:pStyle w:val="Heading2"/>
        <w:contextualSpacing/>
        <w:rPr>
          <w:rFonts w:eastAsia="Times New Roman" w:cs="Arial"/>
          <w:szCs w:val="20"/>
        </w:rPr>
      </w:pPr>
      <w:r w:rsidRPr="009922A4">
        <w:rPr>
          <w:rFonts w:eastAsia="Times New Roman" w:cs="Arial"/>
          <w:szCs w:val="20"/>
        </w:rPr>
        <w:lastRenderedPageBreak/>
        <w:t>Protection of the rights of victims and witnesses</w:t>
      </w:r>
    </w:p>
    <w:p w14:paraId="0B79E906" w14:textId="77777777" w:rsidR="007B0381" w:rsidRPr="009922A4" w:rsidRDefault="007B0381" w:rsidP="005842DF">
      <w:pPr>
        <w:contextualSpacing/>
        <w:rPr>
          <w:rFonts w:eastAsia="Times New Roman" w:cs="Arial"/>
          <w:szCs w:val="20"/>
        </w:rPr>
      </w:pPr>
    </w:p>
    <w:p w14:paraId="5EED4373" w14:textId="77777777" w:rsidR="007B0381" w:rsidRPr="009922A4" w:rsidRDefault="007B0381" w:rsidP="005842DF">
      <w:pPr>
        <w:pStyle w:val="ListParagraph"/>
        <w:numPr>
          <w:ilvl w:val="0"/>
          <w:numId w:val="4"/>
        </w:numPr>
        <w:ind w:left="0" w:firstLine="0"/>
        <w:rPr>
          <w:rFonts w:eastAsia="Times New Roman" w:cs="Arial"/>
          <w:szCs w:val="20"/>
        </w:rPr>
      </w:pPr>
      <w:bookmarkStart w:id="12" w:name="_Hlk207634206"/>
      <w:r w:rsidRPr="009922A4">
        <w:rPr>
          <w:rFonts w:eastAsia="Times New Roman" w:cs="Arial"/>
          <w:szCs w:val="20"/>
        </w:rPr>
        <w:t>When prosecuting terrorist offences, serious violations of international humanitarian law and other core international crimes committed in the context of a non-international armed conflict, member States should ensure that measures are available to protect victims from intimidation and retaliation. Similar protection measures should be available to witnesses and informers.</w:t>
      </w:r>
      <w:bookmarkEnd w:id="12"/>
    </w:p>
    <w:p w14:paraId="4F417C6D" w14:textId="77777777" w:rsidR="007B0381" w:rsidRPr="009922A4" w:rsidRDefault="007B0381" w:rsidP="005842DF">
      <w:pPr>
        <w:pStyle w:val="ListParagraph"/>
        <w:ind w:left="0"/>
        <w:rPr>
          <w:rFonts w:eastAsia="Times New Roman" w:cs="Arial"/>
          <w:szCs w:val="20"/>
        </w:rPr>
      </w:pPr>
    </w:p>
    <w:p w14:paraId="1E4F3FC9" w14:textId="11405D96"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 xml:space="preserve">Member States should ensure that victims of the offences and crimes covered by this </w:t>
      </w:r>
      <w:r w:rsidR="003A5702">
        <w:rPr>
          <w:rFonts w:eastAsia="Times New Roman" w:cs="Arial"/>
          <w:szCs w:val="20"/>
        </w:rPr>
        <w:t>r</w:t>
      </w:r>
      <w:r w:rsidRPr="009922A4">
        <w:rPr>
          <w:rFonts w:eastAsia="Times New Roman" w:cs="Arial"/>
          <w:szCs w:val="20"/>
        </w:rPr>
        <w:t>ecommendation have access to victim support services, in accordance with their needs and vulnerabilities, taking into account people having suffered sexual and gender-based violence and the special needs of children, and subject to the conditions set out in domestic law. In taking those measures, member States should give due consideration to Committee of Ministers</w:t>
      </w:r>
      <w:r w:rsidR="00484C3C">
        <w:rPr>
          <w:rFonts w:eastAsia="Times New Roman" w:cs="Arial"/>
          <w:szCs w:val="20"/>
        </w:rPr>
        <w:t>’</w:t>
      </w:r>
      <w:r w:rsidRPr="009922A4">
        <w:rPr>
          <w:rFonts w:eastAsia="Times New Roman" w:cs="Arial"/>
          <w:szCs w:val="20"/>
        </w:rPr>
        <w:t xml:space="preserve"> Recommendation </w:t>
      </w:r>
      <w:bookmarkStart w:id="13" w:name="_ML_000000000010_VALID"/>
      <w:r w:rsidR="002B0A38" w:rsidRPr="002B0A38">
        <w:rPr>
          <w:rFonts w:eastAsia="Times New Roman" w:cs="Arial"/>
          <w:szCs w:val="20"/>
        </w:rPr>
        <w:fldChar w:fldCharType="begin"/>
      </w:r>
      <w:r w:rsidR="002B0A38" w:rsidRPr="002B0A38">
        <w:rPr>
          <w:rFonts w:eastAsia="Times New Roman" w:cs="Arial"/>
          <w:szCs w:val="20"/>
        </w:rPr>
        <w:instrText>HYPERLINK "https://search.coe.int/cm/eng#%7B%22CoEReference%22:[%22CM/Rec(2023)2%22],%22CoELanguageId%22:[%22eng%22],%22CoECollection%22:[%22COE_DOC%22],%22po%22:%7B%22ref%22:%22=%22%7D%7D" \o "Recommendation of the Committee of Ministers to member States on rights, services and support for victims of crime (Adopted by the Committee of Ministers on 15 March 2023 at the 1460th meeting of the Ministers' Deputies)"</w:instrText>
      </w:r>
      <w:r w:rsidR="002B0A38" w:rsidRPr="002B0A38">
        <w:rPr>
          <w:rFonts w:eastAsia="Times New Roman" w:cs="Arial"/>
          <w:szCs w:val="20"/>
        </w:rPr>
      </w:r>
      <w:r w:rsidR="002B0A38" w:rsidRPr="002B0A38">
        <w:rPr>
          <w:rFonts w:eastAsia="Times New Roman" w:cs="Arial"/>
          <w:szCs w:val="20"/>
        </w:rPr>
        <w:fldChar w:fldCharType="separate"/>
      </w:r>
      <w:bookmarkEnd w:id="13"/>
      <w:r w:rsidR="002B0A38" w:rsidRPr="002B0A38">
        <w:rPr>
          <w:rStyle w:val="Hyperlink"/>
          <w:rFonts w:eastAsia="Times New Roman" w:cs="Arial"/>
          <w:szCs w:val="20"/>
        </w:rPr>
        <w:t>CM/Rec(2023)2</w:t>
      </w:r>
      <w:r w:rsidR="002B0A38" w:rsidRPr="002B0A38">
        <w:rPr>
          <w:rFonts w:eastAsia="Times New Roman" w:cs="Arial"/>
          <w:szCs w:val="20"/>
        </w:rPr>
        <w:fldChar w:fldCharType="end"/>
      </w:r>
      <w:r w:rsidRPr="009922A4">
        <w:rPr>
          <w:rFonts w:eastAsia="Times New Roman" w:cs="Arial"/>
          <w:szCs w:val="20"/>
        </w:rPr>
        <w:t xml:space="preserve"> on rights, services and support for victims of crime, Recommendation </w:t>
      </w:r>
      <w:bookmarkStart w:id="14" w:name="_ML_000000000011_VALID"/>
      <w:r w:rsidR="002B0A38" w:rsidRPr="002B0A38">
        <w:rPr>
          <w:rFonts w:eastAsia="Times New Roman" w:cs="Arial"/>
          <w:szCs w:val="20"/>
        </w:rPr>
        <w:fldChar w:fldCharType="begin"/>
      </w:r>
      <w:r w:rsidR="002B0A38" w:rsidRPr="002B0A38">
        <w:rPr>
          <w:rFonts w:eastAsia="Times New Roman" w:cs="Arial"/>
          <w:szCs w:val="20"/>
        </w:rPr>
        <w:instrText>HYPERLINK "https://search.coe.int/cm/eng#%7B%22CoEReference%22:[%22Rec(2005)9%22],%22CoELanguageId%22:[%22eng%22],%22CoECollection%22:[%22COE_DOC%22],%22po%22:%7B%22ref%22:%22=%22%7D%7D" \o "Recommendation Rec(2005)9 of the Committee of Ministers to member states on the protection of witnesses and collaborators of justice, (Adopted by the Committee of Ministers on 20 April 2005 at the 924th meeting of the Ministers’ Deputies)"</w:instrText>
      </w:r>
      <w:r w:rsidR="002B0A38" w:rsidRPr="002B0A38">
        <w:rPr>
          <w:rFonts w:eastAsia="Times New Roman" w:cs="Arial"/>
          <w:szCs w:val="20"/>
        </w:rPr>
      </w:r>
      <w:r w:rsidR="002B0A38" w:rsidRPr="002B0A38">
        <w:rPr>
          <w:rFonts w:eastAsia="Times New Roman" w:cs="Arial"/>
          <w:szCs w:val="20"/>
        </w:rPr>
        <w:fldChar w:fldCharType="separate"/>
      </w:r>
      <w:bookmarkEnd w:id="14"/>
      <w:r w:rsidR="002B0A38" w:rsidRPr="002B0A38">
        <w:rPr>
          <w:rStyle w:val="Hyperlink"/>
          <w:rFonts w:eastAsia="Times New Roman" w:cs="Arial"/>
          <w:szCs w:val="20"/>
        </w:rPr>
        <w:t>Rec(2005)9</w:t>
      </w:r>
      <w:r w:rsidR="002B0A38" w:rsidRPr="002B0A38">
        <w:rPr>
          <w:rFonts w:eastAsia="Times New Roman" w:cs="Arial"/>
          <w:szCs w:val="20"/>
        </w:rPr>
        <w:fldChar w:fldCharType="end"/>
      </w:r>
      <w:r w:rsidRPr="009922A4">
        <w:rPr>
          <w:rFonts w:eastAsia="Times New Roman" w:cs="Arial"/>
          <w:szCs w:val="20"/>
        </w:rPr>
        <w:t xml:space="preserve"> on the protection of witnesses and collaborators of justice and the </w:t>
      </w:r>
      <w:r w:rsidRPr="009922A4">
        <w:rPr>
          <w:rFonts w:cs="Arial"/>
          <w:szCs w:val="20"/>
        </w:rPr>
        <w:t>Council of Europe Committee on Counter-Terrorism’s</w:t>
      </w:r>
      <w:r w:rsidRPr="009922A4">
        <w:rPr>
          <w:rFonts w:eastAsia="Times New Roman" w:cs="Arial"/>
          <w:szCs w:val="20"/>
        </w:rPr>
        <w:t xml:space="preserve"> Guidelines on support services and other measures for victims of terrorism.</w:t>
      </w:r>
    </w:p>
    <w:p w14:paraId="614EC1DB" w14:textId="77777777" w:rsidR="007B0381" w:rsidRPr="009922A4" w:rsidRDefault="007B0381" w:rsidP="005842DF">
      <w:pPr>
        <w:pStyle w:val="ListParagraph"/>
        <w:ind w:left="1065"/>
        <w:rPr>
          <w:rFonts w:eastAsia="Times New Roman" w:cs="Arial"/>
          <w:szCs w:val="20"/>
        </w:rPr>
      </w:pPr>
    </w:p>
    <w:p w14:paraId="256FE579" w14:textId="77777777" w:rsidR="007B0381" w:rsidRPr="009922A4" w:rsidRDefault="007B0381" w:rsidP="005842DF">
      <w:pPr>
        <w:pStyle w:val="Heading2"/>
        <w:contextualSpacing/>
        <w:rPr>
          <w:rFonts w:eastAsia="Times New Roman" w:cs="Arial"/>
          <w:szCs w:val="20"/>
        </w:rPr>
      </w:pPr>
      <w:r w:rsidRPr="009922A4">
        <w:rPr>
          <w:rFonts w:eastAsia="Times New Roman" w:cs="Arial"/>
          <w:szCs w:val="20"/>
        </w:rPr>
        <w:t>Co-ordination among the competent authorities</w:t>
      </w:r>
    </w:p>
    <w:p w14:paraId="50C3108C" w14:textId="77777777" w:rsidR="007B0381" w:rsidRPr="009922A4" w:rsidRDefault="007B0381" w:rsidP="005842DF">
      <w:pPr>
        <w:keepNext/>
        <w:keepLines/>
        <w:contextualSpacing/>
        <w:rPr>
          <w:rFonts w:eastAsia="Times New Roman" w:cs="Arial"/>
          <w:szCs w:val="20"/>
        </w:rPr>
      </w:pPr>
    </w:p>
    <w:p w14:paraId="665EB089" w14:textId="1766B73D"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 xml:space="preserve">Member States should ensure effective co-ordination and exchange of information among their competent authorities for investigating and prosecuting the offences and crimes falling within the scope of this </w:t>
      </w:r>
      <w:r w:rsidR="003A5702">
        <w:rPr>
          <w:rFonts w:eastAsia="Times New Roman" w:cs="Arial"/>
          <w:szCs w:val="20"/>
        </w:rPr>
        <w:t>r</w:t>
      </w:r>
      <w:r w:rsidRPr="009922A4">
        <w:rPr>
          <w:rFonts w:eastAsia="Times New Roman" w:cs="Arial"/>
          <w:szCs w:val="20"/>
        </w:rPr>
        <w:t xml:space="preserve">ecommendation. </w:t>
      </w:r>
    </w:p>
    <w:p w14:paraId="59A76444" w14:textId="77777777" w:rsidR="007B0381" w:rsidRPr="009922A4" w:rsidRDefault="007B0381" w:rsidP="005842DF">
      <w:pPr>
        <w:pStyle w:val="ListParagraph"/>
        <w:keepNext/>
        <w:keepLines/>
        <w:ind w:left="0"/>
        <w:rPr>
          <w:rFonts w:eastAsia="Times New Roman" w:cs="Arial"/>
          <w:szCs w:val="20"/>
        </w:rPr>
      </w:pPr>
    </w:p>
    <w:p w14:paraId="05BE5F25" w14:textId="77777777"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To improve co-ordination and build capacity at the domestic level, the competent authorities should receive specialised training, particularly on how international humanitarian law interacts with counter-terrorism laws and human rights standards. In developing training programmes and material on the interaction of counter-terrorism legislation and international humanitarian law, member States could seek the advice of the International Committee of the Red Cross, as the guardian of international humanitarian law, and actively engage this and any other expertise they deem necessary in their awareness-raising activities.</w:t>
      </w:r>
    </w:p>
    <w:p w14:paraId="7354CB21" w14:textId="77777777" w:rsidR="007B0381" w:rsidRPr="009922A4" w:rsidRDefault="007B0381" w:rsidP="005842DF">
      <w:pPr>
        <w:pStyle w:val="ListParagraph"/>
        <w:ind w:left="0"/>
        <w:rPr>
          <w:rFonts w:eastAsia="Times New Roman" w:cs="Arial"/>
          <w:szCs w:val="20"/>
        </w:rPr>
      </w:pPr>
    </w:p>
    <w:p w14:paraId="1701B624"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 xml:space="preserve">Given the specificities of terrorism-related offences and core international crimes, member States are encouraged to set up specialised </w:t>
      </w:r>
      <w:proofErr w:type="gramStart"/>
      <w:r w:rsidRPr="009922A4">
        <w:rPr>
          <w:rFonts w:eastAsia="Times New Roman" w:cs="Arial"/>
          <w:szCs w:val="20"/>
        </w:rPr>
        <w:t>counter-terrorism</w:t>
      </w:r>
      <w:proofErr w:type="gramEnd"/>
      <w:r w:rsidRPr="009922A4">
        <w:rPr>
          <w:rFonts w:eastAsia="Times New Roman" w:cs="Arial"/>
          <w:szCs w:val="20"/>
        </w:rPr>
        <w:t xml:space="preserve"> and international crimes units within law enforcement, prosecution services and courts, if domestic legislation so provides. Where they exist, priority should be given to close co-ordination between those units </w:t>
      </w:r>
      <w:proofErr w:type="gramStart"/>
      <w:r w:rsidRPr="009922A4">
        <w:rPr>
          <w:rFonts w:eastAsia="Times New Roman" w:cs="Arial"/>
          <w:szCs w:val="20"/>
        </w:rPr>
        <w:t>in order to</w:t>
      </w:r>
      <w:proofErr w:type="gramEnd"/>
      <w:r w:rsidRPr="009922A4">
        <w:rPr>
          <w:rFonts w:eastAsia="Times New Roman" w:cs="Arial"/>
          <w:szCs w:val="20"/>
        </w:rPr>
        <w:t xml:space="preserve"> promote a joint, integrated strategy and facilitate cumulative charging and prosecution in relevant cases. Member States that do not have centralised and/or specialised units should promote close co-operation and exchange of information on cases between </w:t>
      </w:r>
      <w:proofErr w:type="gramStart"/>
      <w:r w:rsidRPr="009922A4">
        <w:rPr>
          <w:rFonts w:eastAsia="Times New Roman" w:cs="Arial"/>
          <w:szCs w:val="20"/>
        </w:rPr>
        <w:t>counter-terrorism</w:t>
      </w:r>
      <w:proofErr w:type="gramEnd"/>
      <w:r w:rsidRPr="009922A4">
        <w:rPr>
          <w:rFonts w:eastAsia="Times New Roman" w:cs="Arial"/>
          <w:szCs w:val="20"/>
        </w:rPr>
        <w:t xml:space="preserve"> and core international crimes investigators and </w:t>
      </w:r>
      <w:proofErr w:type="gramStart"/>
      <w:r w:rsidRPr="009922A4">
        <w:rPr>
          <w:rFonts w:eastAsia="Times New Roman" w:cs="Arial"/>
          <w:szCs w:val="20"/>
        </w:rPr>
        <w:t>prosecutors, and</w:t>
      </w:r>
      <w:proofErr w:type="gramEnd"/>
      <w:r w:rsidRPr="009922A4">
        <w:rPr>
          <w:rFonts w:eastAsia="Times New Roman" w:cs="Arial"/>
          <w:szCs w:val="20"/>
        </w:rPr>
        <w:t xml:space="preserve"> invest in capacity building to ensure that investigative and prosecutorial authorities acquire and retain knowledge of both sets of crimes</w:t>
      </w:r>
      <w:r w:rsidRPr="009922A4">
        <w:rPr>
          <w:rFonts w:cs="Arial"/>
          <w:szCs w:val="20"/>
        </w:rPr>
        <w:t>.</w:t>
      </w:r>
    </w:p>
    <w:p w14:paraId="37B52E03" w14:textId="77777777" w:rsidR="007B0381" w:rsidRPr="009922A4" w:rsidRDefault="007B0381" w:rsidP="005842DF">
      <w:pPr>
        <w:contextualSpacing/>
        <w:rPr>
          <w:rFonts w:eastAsia="Times New Roman" w:cs="Arial"/>
          <w:szCs w:val="20"/>
        </w:rPr>
      </w:pPr>
    </w:p>
    <w:p w14:paraId="3CB30600" w14:textId="77777777" w:rsidR="007B0381" w:rsidRPr="009922A4" w:rsidRDefault="007B0381" w:rsidP="005842DF">
      <w:pPr>
        <w:pStyle w:val="Heading1"/>
        <w:contextualSpacing/>
        <w:rPr>
          <w:rFonts w:cs="Arial"/>
          <w:szCs w:val="20"/>
        </w:rPr>
      </w:pPr>
      <w:r w:rsidRPr="009922A4">
        <w:rPr>
          <w:rFonts w:cs="Arial"/>
          <w:szCs w:val="20"/>
        </w:rPr>
        <w:t>Chapter VI – Preserving the sphere of international humanitarian law in counter-terrorism settings</w:t>
      </w:r>
    </w:p>
    <w:p w14:paraId="3AFA10D5" w14:textId="77777777" w:rsidR="007B0381" w:rsidRPr="009922A4" w:rsidRDefault="007B0381" w:rsidP="005842DF">
      <w:pPr>
        <w:keepNext/>
        <w:keepLines/>
        <w:contextualSpacing/>
        <w:rPr>
          <w:rFonts w:cs="Arial"/>
          <w:szCs w:val="20"/>
        </w:rPr>
      </w:pPr>
    </w:p>
    <w:p w14:paraId="26648543" w14:textId="77777777" w:rsidR="007B0381" w:rsidRPr="009922A4" w:rsidRDefault="007B0381" w:rsidP="005842DF">
      <w:pPr>
        <w:pStyle w:val="Heading2"/>
        <w:contextualSpacing/>
        <w:rPr>
          <w:rFonts w:eastAsia="Times New Roman" w:cs="Arial"/>
          <w:szCs w:val="20"/>
        </w:rPr>
      </w:pPr>
      <w:r w:rsidRPr="009922A4">
        <w:rPr>
          <w:rFonts w:eastAsia="Times New Roman" w:cs="Arial"/>
          <w:szCs w:val="20"/>
        </w:rPr>
        <w:t>Scope of application of counter-terrorism laws in situations of non-international armed conflict (exclusion clauses)</w:t>
      </w:r>
    </w:p>
    <w:p w14:paraId="7959128F" w14:textId="77777777" w:rsidR="007B0381" w:rsidRPr="009922A4" w:rsidRDefault="007B0381" w:rsidP="005842DF">
      <w:pPr>
        <w:contextualSpacing/>
        <w:rPr>
          <w:rFonts w:cs="Arial"/>
          <w:szCs w:val="20"/>
        </w:rPr>
      </w:pPr>
    </w:p>
    <w:p w14:paraId="6929F321"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The Council of Europe Convention on the Prevention of Terrorism provides that “activities of armed forces during an armed conflict, as those terms are understood under international humanitarian law, which are governed by that law” are outside the scope of application of the convention. Member States are invited to consider applying this exclusion also to armed conflict-related activities of non-state armed groups during a non-international armed conflict that are regulated by and comply with international humanitarian law, irrespective of the designation of those groups as terrorist associations or groups.</w:t>
      </w:r>
    </w:p>
    <w:p w14:paraId="09612A82" w14:textId="77777777" w:rsidR="007B0381" w:rsidRPr="009922A4" w:rsidRDefault="007B0381" w:rsidP="005842DF">
      <w:pPr>
        <w:pStyle w:val="ListParagraph"/>
        <w:ind w:left="0"/>
        <w:rPr>
          <w:rFonts w:eastAsia="Times New Roman" w:cs="Arial"/>
          <w:szCs w:val="20"/>
        </w:rPr>
      </w:pPr>
    </w:p>
    <w:p w14:paraId="6FA877D1"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 xml:space="preserve">Where armed conflict-related exclusions already exist or are being introduced into </w:t>
      </w:r>
      <w:proofErr w:type="spellStart"/>
      <w:r w:rsidRPr="009922A4">
        <w:rPr>
          <w:rFonts w:eastAsia="Times New Roman" w:cs="Arial"/>
          <w:szCs w:val="20"/>
        </w:rPr>
        <w:t>counter˗terrorism</w:t>
      </w:r>
      <w:proofErr w:type="spellEnd"/>
      <w:r w:rsidRPr="009922A4">
        <w:rPr>
          <w:rFonts w:eastAsia="Times New Roman" w:cs="Arial"/>
          <w:szCs w:val="20"/>
        </w:rPr>
        <w:t xml:space="preserve"> laws, as either general or offence-specific clauses, their personal and material scope, that is, who and what is excluded, should be clearly defined.</w:t>
      </w:r>
    </w:p>
    <w:p w14:paraId="2D098EC7" w14:textId="77777777" w:rsidR="007B0381" w:rsidRPr="009922A4" w:rsidRDefault="007B0381" w:rsidP="005842DF">
      <w:pPr>
        <w:pStyle w:val="ListParagraph"/>
        <w:ind w:left="0"/>
        <w:rPr>
          <w:rFonts w:eastAsia="Times New Roman" w:cs="Arial"/>
          <w:szCs w:val="20"/>
        </w:rPr>
      </w:pPr>
    </w:p>
    <w:p w14:paraId="62B739E3"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When analysing and classifying the acts of violence committed in a non-international armed conflict, member States should adopt a case-by-case approach and should give due consideration to the following factors:</w:t>
      </w:r>
    </w:p>
    <w:p w14:paraId="2A34B240" w14:textId="77777777" w:rsidR="007B0381" w:rsidRDefault="007B0381" w:rsidP="005842DF">
      <w:pPr>
        <w:rPr>
          <w:rFonts w:eastAsia="Times New Roman" w:cs="Arial"/>
          <w:szCs w:val="20"/>
          <w:bdr w:val="nil"/>
          <w:lang w:val="en-US"/>
        </w:rPr>
      </w:pPr>
      <w:r>
        <w:rPr>
          <w:rFonts w:eastAsia="Times New Roman" w:cs="Arial"/>
          <w:szCs w:val="20"/>
        </w:rPr>
        <w:br w:type="page"/>
      </w:r>
    </w:p>
    <w:p w14:paraId="42A71399" w14:textId="77777777" w:rsidR="007B0381" w:rsidRPr="009922A4" w:rsidRDefault="007B0381" w:rsidP="005842DF">
      <w:pPr>
        <w:pStyle w:val="ListParagraph"/>
        <w:numPr>
          <w:ilvl w:val="0"/>
          <w:numId w:val="5"/>
        </w:numPr>
        <w:ind w:left="1276" w:hanging="567"/>
        <w:rPr>
          <w:rFonts w:eastAsia="Times New Roman" w:cs="Arial"/>
          <w:szCs w:val="20"/>
        </w:rPr>
      </w:pPr>
      <w:r w:rsidRPr="009922A4">
        <w:rPr>
          <w:rFonts w:eastAsia="Times New Roman" w:cs="Arial"/>
          <w:szCs w:val="20"/>
        </w:rPr>
        <w:lastRenderedPageBreak/>
        <w:t xml:space="preserve">whether the </w:t>
      </w:r>
      <w:r w:rsidRPr="009922A4">
        <w:rPr>
          <w:rFonts w:cs="Arial"/>
          <w:color w:val="000000" w:themeColor="text1"/>
          <w:szCs w:val="20"/>
        </w:rPr>
        <w:t>terrorist association or group involved presents the required degree of organisation to be qualified as a non-state armed group under common Article 3 of the 1949 Geneva Conventions;</w:t>
      </w:r>
    </w:p>
    <w:p w14:paraId="1EA79FF6" w14:textId="77777777" w:rsidR="007B0381" w:rsidRPr="009922A4" w:rsidRDefault="007B0381" w:rsidP="005842DF">
      <w:pPr>
        <w:pStyle w:val="ListParagraph"/>
        <w:ind w:left="1276" w:hanging="567"/>
        <w:rPr>
          <w:rFonts w:eastAsia="Times New Roman" w:cs="Arial"/>
          <w:szCs w:val="20"/>
        </w:rPr>
      </w:pPr>
    </w:p>
    <w:p w14:paraId="1FB06FDE" w14:textId="77777777" w:rsidR="007B0381" w:rsidRPr="009922A4" w:rsidRDefault="007B0381" w:rsidP="005842DF">
      <w:pPr>
        <w:pStyle w:val="ListParagraph"/>
        <w:numPr>
          <w:ilvl w:val="0"/>
          <w:numId w:val="5"/>
        </w:numPr>
        <w:ind w:left="1276" w:hanging="567"/>
        <w:rPr>
          <w:rFonts w:eastAsia="Times New Roman" w:cs="Arial"/>
          <w:szCs w:val="20"/>
        </w:rPr>
      </w:pPr>
      <w:r w:rsidRPr="009922A4">
        <w:rPr>
          <w:rFonts w:eastAsia="Times New Roman" w:cs="Arial"/>
          <w:szCs w:val="20"/>
        </w:rPr>
        <w:t xml:space="preserve">whether the hostilities in which the non-state armed group participates reach a certain level of intensity to cross the threshold of a non-international armed conflict, which leaves out </w:t>
      </w:r>
      <w:r w:rsidRPr="009922A4">
        <w:rPr>
          <w:rFonts w:cs="Arial"/>
          <w:color w:val="000000" w:themeColor="text1"/>
          <w:szCs w:val="20"/>
        </w:rPr>
        <w:t>situations of internal disturbances and tensions, such as riots, isolated and sporadic acts of violence and other acts of a similar nature; and</w:t>
      </w:r>
    </w:p>
    <w:p w14:paraId="4EC066C6" w14:textId="77777777" w:rsidR="007B0381" w:rsidRPr="009922A4" w:rsidRDefault="007B0381" w:rsidP="005842DF">
      <w:pPr>
        <w:pStyle w:val="ListParagraph"/>
        <w:ind w:left="1276" w:hanging="567"/>
        <w:rPr>
          <w:rFonts w:eastAsia="Times New Roman" w:cs="Arial"/>
          <w:szCs w:val="20"/>
        </w:rPr>
      </w:pPr>
    </w:p>
    <w:p w14:paraId="46338C93" w14:textId="77777777" w:rsidR="007B0381" w:rsidRPr="009922A4" w:rsidRDefault="007B0381" w:rsidP="005842DF">
      <w:pPr>
        <w:pStyle w:val="ListParagraph"/>
        <w:numPr>
          <w:ilvl w:val="0"/>
          <w:numId w:val="5"/>
        </w:numPr>
        <w:ind w:left="1276" w:hanging="567"/>
        <w:rPr>
          <w:rFonts w:eastAsia="Times New Roman" w:cs="Arial"/>
          <w:szCs w:val="20"/>
        </w:rPr>
      </w:pPr>
      <w:r w:rsidRPr="009922A4">
        <w:rPr>
          <w:rFonts w:cs="Arial"/>
          <w:color w:val="000000" w:themeColor="text1"/>
          <w:szCs w:val="20"/>
        </w:rPr>
        <w:t>where a non-international armed conflict exists, whether the activities of the terrorist association or group involved have any nexus to that armed conflict or are rather opportunistic acts of terrorism taking advantage of the conflict situation</w:t>
      </w:r>
      <w:bookmarkStart w:id="15" w:name="_Hlk209099429"/>
      <w:r w:rsidRPr="009922A4">
        <w:rPr>
          <w:rFonts w:cs="Arial"/>
          <w:szCs w:val="20"/>
        </w:rPr>
        <w:t>.</w:t>
      </w:r>
      <w:bookmarkStart w:id="16" w:name="_Hlk209081832"/>
      <w:bookmarkEnd w:id="15"/>
    </w:p>
    <w:bookmarkEnd w:id="16"/>
    <w:p w14:paraId="42A4CAA7" w14:textId="77777777" w:rsidR="007B0381" w:rsidRPr="009922A4" w:rsidRDefault="007B0381" w:rsidP="005842DF">
      <w:pPr>
        <w:contextualSpacing/>
        <w:rPr>
          <w:rFonts w:eastAsia="Times New Roman" w:cs="Arial"/>
          <w:szCs w:val="20"/>
        </w:rPr>
      </w:pPr>
    </w:p>
    <w:p w14:paraId="46FF4E0C" w14:textId="77777777" w:rsidR="007B0381" w:rsidRPr="009922A4" w:rsidRDefault="007B0381" w:rsidP="005842DF">
      <w:pPr>
        <w:pStyle w:val="Heading2"/>
        <w:contextualSpacing/>
        <w:rPr>
          <w:rFonts w:eastAsia="Times New Roman" w:cs="Arial"/>
          <w:szCs w:val="20"/>
        </w:rPr>
      </w:pPr>
      <w:r w:rsidRPr="009922A4">
        <w:rPr>
          <w:rFonts w:eastAsia="Times New Roman" w:cs="Arial"/>
          <w:szCs w:val="20"/>
        </w:rPr>
        <w:t>The impact of counter-terrorism measures on impartial humanitarian activities (exemption clauses)</w:t>
      </w:r>
    </w:p>
    <w:p w14:paraId="4B61F2FB" w14:textId="77777777" w:rsidR="007B0381" w:rsidRPr="009922A4" w:rsidRDefault="007B0381" w:rsidP="005842DF">
      <w:pPr>
        <w:keepNext/>
        <w:keepLines/>
        <w:contextualSpacing/>
        <w:rPr>
          <w:rFonts w:eastAsia="Times New Roman" w:cs="Arial"/>
          <w:szCs w:val="20"/>
        </w:rPr>
      </w:pPr>
    </w:p>
    <w:p w14:paraId="07B3721C"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Member States should ensure that counter-terrorism measures taken by them in the context of a non-international armed conflict comply with the rules of international humanitarian law regarding humanitarian access and activities, and the respect for, and protection of, humanitarian personnel and any person carrying out medical activities compatible with medical ethics.</w:t>
      </w:r>
    </w:p>
    <w:p w14:paraId="0A2D575E" w14:textId="77777777" w:rsidR="007B0381" w:rsidRPr="009922A4" w:rsidRDefault="007B0381" w:rsidP="005842DF">
      <w:pPr>
        <w:pStyle w:val="ListParagraph"/>
        <w:ind w:left="0"/>
        <w:rPr>
          <w:rFonts w:eastAsia="Times New Roman" w:cs="Arial"/>
          <w:szCs w:val="20"/>
        </w:rPr>
      </w:pPr>
    </w:p>
    <w:p w14:paraId="087D77A9"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cs="Arial"/>
          <w:szCs w:val="20"/>
        </w:rPr>
        <w:t xml:space="preserve">Member States </w:t>
      </w:r>
      <w:bookmarkStart w:id="17" w:name="_Hlk209081876"/>
      <w:r w:rsidRPr="009922A4">
        <w:rPr>
          <w:rFonts w:cs="Arial"/>
          <w:szCs w:val="20"/>
        </w:rPr>
        <w:t xml:space="preserve">should consider </w:t>
      </w:r>
      <w:bookmarkEnd w:id="17"/>
      <w:r w:rsidRPr="009922A4">
        <w:rPr>
          <w:rFonts w:cs="Arial"/>
          <w:szCs w:val="20"/>
        </w:rPr>
        <w:t xml:space="preserve">introducing specific exemptions for purely </w:t>
      </w:r>
      <w:r w:rsidRPr="009922A4">
        <w:rPr>
          <w:rFonts w:cs="Arial"/>
          <w:bCs/>
          <w:szCs w:val="20"/>
        </w:rPr>
        <w:t>humanitarian activities conducted by impartial humanitarian organisations in accordance with international humanitarian law</w:t>
      </w:r>
      <w:r w:rsidRPr="009922A4">
        <w:rPr>
          <w:rFonts w:cs="Arial"/>
          <w:szCs w:val="20"/>
        </w:rPr>
        <w:t xml:space="preserve"> in their criminal legislation on terrorism</w:t>
      </w:r>
      <w:bookmarkStart w:id="18" w:name="_Hlk209367066"/>
      <w:r w:rsidRPr="009922A4">
        <w:rPr>
          <w:rFonts w:cs="Arial"/>
          <w:szCs w:val="20"/>
        </w:rPr>
        <w:t xml:space="preserve">. </w:t>
      </w:r>
      <w:bookmarkEnd w:id="18"/>
      <w:r w:rsidRPr="009922A4">
        <w:rPr>
          <w:rFonts w:eastAsia="Times New Roman" w:cs="Arial"/>
          <w:szCs w:val="20"/>
        </w:rPr>
        <w:t>Where exemption clauses exist in the legislation or are being enacted, those clauses should specify what activities benefit from the exemption as per the relevant rules of international humanitarian law. The competent authorities may also provide interpretative guidance to assist law enforcement and prosecutors in relevant cases.</w:t>
      </w:r>
    </w:p>
    <w:p w14:paraId="50643EF3" w14:textId="77777777" w:rsidR="007B0381" w:rsidRPr="009922A4" w:rsidRDefault="007B0381" w:rsidP="005842DF">
      <w:pPr>
        <w:pStyle w:val="ListParagraph"/>
        <w:ind w:left="0"/>
        <w:rPr>
          <w:rFonts w:eastAsia="Times New Roman" w:cs="Arial"/>
          <w:szCs w:val="20"/>
        </w:rPr>
      </w:pPr>
    </w:p>
    <w:p w14:paraId="30CFBEBB"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Member States are encouraged to engage actively with private actors, such as suppliers, transporters, banks or insurance companies, to prevent over-compliance and de-risking policies that might restrict, impede or delay the ability of impartial humanitarian organisations to deliver humanitarian assistance in a non-international armed conflict in which non-state armed groups designated as terrorist are engaged. Appropriate mechanisms, such as focal points, could be set up to facilitate information sharing between government agencies, impartial humanitarian organisations and the private sector, exploring good practices relating to licensing and exemption processes.</w:t>
      </w:r>
    </w:p>
    <w:p w14:paraId="2CD4C63B" w14:textId="77777777" w:rsidR="007B0381" w:rsidRPr="009922A4" w:rsidRDefault="007B0381" w:rsidP="005842DF">
      <w:pPr>
        <w:contextualSpacing/>
        <w:rPr>
          <w:rFonts w:cs="Arial"/>
          <w:szCs w:val="20"/>
        </w:rPr>
      </w:pPr>
    </w:p>
    <w:p w14:paraId="79C5850B" w14:textId="77777777" w:rsidR="007B0381" w:rsidRPr="009922A4" w:rsidRDefault="007B0381" w:rsidP="005842DF">
      <w:pPr>
        <w:pStyle w:val="Heading1"/>
        <w:keepNext w:val="0"/>
        <w:keepLines w:val="0"/>
        <w:contextualSpacing/>
        <w:rPr>
          <w:rFonts w:eastAsia="Times New Roman" w:cs="Arial"/>
          <w:szCs w:val="20"/>
        </w:rPr>
      </w:pPr>
      <w:r w:rsidRPr="009922A4">
        <w:rPr>
          <w:rFonts w:eastAsia="Times New Roman" w:cs="Arial"/>
          <w:szCs w:val="20"/>
        </w:rPr>
        <w:t>Chapter VII – Strengthening international co-operation</w:t>
      </w:r>
    </w:p>
    <w:p w14:paraId="298DFF5E" w14:textId="77777777" w:rsidR="007B0381" w:rsidRPr="009922A4" w:rsidRDefault="007B0381" w:rsidP="005842DF">
      <w:pPr>
        <w:contextualSpacing/>
        <w:rPr>
          <w:rFonts w:eastAsia="Times New Roman" w:cs="Arial"/>
          <w:szCs w:val="20"/>
        </w:rPr>
      </w:pPr>
    </w:p>
    <w:p w14:paraId="478A831A" w14:textId="77777777" w:rsidR="007B0381" w:rsidRPr="009922A4" w:rsidRDefault="007B0381" w:rsidP="005842DF">
      <w:pPr>
        <w:pStyle w:val="Heading2"/>
        <w:keepNext w:val="0"/>
        <w:keepLines w:val="0"/>
        <w:contextualSpacing/>
        <w:rPr>
          <w:rFonts w:eastAsia="Times New Roman" w:cs="Arial"/>
          <w:szCs w:val="20"/>
        </w:rPr>
      </w:pPr>
      <w:r w:rsidRPr="009922A4">
        <w:rPr>
          <w:rFonts w:eastAsia="Times New Roman" w:cs="Arial"/>
          <w:szCs w:val="20"/>
        </w:rPr>
        <w:t>Extradition or surrender</w:t>
      </w:r>
    </w:p>
    <w:p w14:paraId="27D46100" w14:textId="77777777" w:rsidR="007B0381" w:rsidRPr="009922A4" w:rsidRDefault="007B0381" w:rsidP="005842DF">
      <w:pPr>
        <w:contextualSpacing/>
        <w:rPr>
          <w:rFonts w:cs="Arial"/>
          <w:szCs w:val="20"/>
        </w:rPr>
      </w:pPr>
    </w:p>
    <w:p w14:paraId="199A0DB3"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 xml:space="preserve">Member States should extradite or otherwise surrender individuals found on their territory and suspected of having committed terrorist offences during a non-international armed conflict abroad to a competent jurisdiction. Where extradition or surrender is not requested or where it is unfeasible or refused, member States should submit the case to their competent authorities for the purpose of prosecution, pursuant to the principle </w:t>
      </w:r>
      <w:proofErr w:type="spellStart"/>
      <w:r w:rsidRPr="009922A4">
        <w:rPr>
          <w:rFonts w:eastAsia="Times New Roman" w:cs="Arial"/>
          <w:i/>
          <w:iCs/>
          <w:szCs w:val="20"/>
        </w:rPr>
        <w:t>aut</w:t>
      </w:r>
      <w:proofErr w:type="spellEnd"/>
      <w:r w:rsidRPr="009922A4">
        <w:rPr>
          <w:rFonts w:eastAsia="Times New Roman" w:cs="Arial"/>
          <w:i/>
          <w:iCs/>
          <w:szCs w:val="20"/>
        </w:rPr>
        <w:t xml:space="preserve"> </w:t>
      </w:r>
      <w:proofErr w:type="spellStart"/>
      <w:r w:rsidRPr="009922A4">
        <w:rPr>
          <w:rFonts w:eastAsia="Times New Roman" w:cs="Arial"/>
          <w:i/>
          <w:iCs/>
          <w:szCs w:val="20"/>
        </w:rPr>
        <w:t>dedere</w:t>
      </w:r>
      <w:proofErr w:type="spellEnd"/>
      <w:r w:rsidRPr="009922A4">
        <w:rPr>
          <w:rFonts w:eastAsia="Times New Roman" w:cs="Arial"/>
          <w:i/>
          <w:iCs/>
          <w:szCs w:val="20"/>
        </w:rPr>
        <w:t xml:space="preserve"> </w:t>
      </w:r>
      <w:proofErr w:type="spellStart"/>
      <w:r w:rsidRPr="009922A4">
        <w:rPr>
          <w:rFonts w:eastAsia="Times New Roman" w:cs="Arial"/>
          <w:i/>
          <w:iCs/>
          <w:szCs w:val="20"/>
        </w:rPr>
        <w:t>aut</w:t>
      </w:r>
      <w:proofErr w:type="spellEnd"/>
      <w:r w:rsidRPr="009922A4">
        <w:rPr>
          <w:rFonts w:eastAsia="Times New Roman" w:cs="Arial"/>
          <w:i/>
          <w:iCs/>
          <w:szCs w:val="20"/>
        </w:rPr>
        <w:t xml:space="preserve"> judicare</w:t>
      </w:r>
      <w:r w:rsidRPr="009922A4">
        <w:rPr>
          <w:rFonts w:eastAsia="Times New Roman" w:cs="Arial"/>
          <w:szCs w:val="20"/>
        </w:rPr>
        <w:t xml:space="preserve"> and the corresponding provisions of the Council of Europe Convention on the Prevention of Terrorism. </w:t>
      </w:r>
    </w:p>
    <w:p w14:paraId="460C578E" w14:textId="77777777" w:rsidR="007B0381" w:rsidRPr="009922A4" w:rsidRDefault="007B0381" w:rsidP="005842DF">
      <w:pPr>
        <w:pStyle w:val="ListParagraph"/>
        <w:keepNext/>
        <w:keepLines/>
        <w:ind w:left="0"/>
        <w:rPr>
          <w:rFonts w:eastAsia="Times New Roman" w:cs="Arial"/>
          <w:szCs w:val="20"/>
        </w:rPr>
      </w:pPr>
    </w:p>
    <w:p w14:paraId="6287C005"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Member States should consider applying the principle mentioned in the previous paragraph to serious violations of international humanitarian law and other core international crimes committed in the context of a non-international armed conflict in which non-state armed groups designated as terrorist are engaged.</w:t>
      </w:r>
    </w:p>
    <w:p w14:paraId="0CDE6D11" w14:textId="77777777" w:rsidR="007B0381" w:rsidRPr="009922A4" w:rsidRDefault="007B0381" w:rsidP="005842DF">
      <w:pPr>
        <w:pStyle w:val="ListParagraph"/>
        <w:ind w:left="0"/>
        <w:rPr>
          <w:rFonts w:eastAsia="Times New Roman" w:cs="Arial"/>
          <w:szCs w:val="20"/>
        </w:rPr>
      </w:pPr>
    </w:p>
    <w:p w14:paraId="4C0AD235"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In the absence of appropriate bilateral extradition agreements or other similar instruments, members States should apply relevant multilateral conventions, such as the European Convention on Extradition (ETS No. 24), or use of the extradition provisions included in counter-terrorism conventions, including the Council of Europe Convention on the Prevention of Terrorism.</w:t>
      </w:r>
    </w:p>
    <w:p w14:paraId="562F1B76" w14:textId="77777777" w:rsidR="007B0381" w:rsidRPr="009922A4" w:rsidRDefault="007B0381" w:rsidP="005842DF">
      <w:pPr>
        <w:contextualSpacing/>
        <w:rPr>
          <w:rFonts w:eastAsia="Times New Roman" w:cs="Arial"/>
          <w:szCs w:val="20"/>
        </w:rPr>
      </w:pPr>
    </w:p>
    <w:p w14:paraId="683D6065" w14:textId="77777777" w:rsidR="007B0381" w:rsidRDefault="007B0381" w:rsidP="005842DF">
      <w:pPr>
        <w:rPr>
          <w:rFonts w:eastAsia="Times New Roman" w:cs="Arial"/>
          <w:i/>
          <w:kern w:val="2"/>
          <w:szCs w:val="20"/>
          <w14:ligatures w14:val="standardContextual"/>
        </w:rPr>
      </w:pPr>
      <w:r>
        <w:rPr>
          <w:rFonts w:eastAsia="Times New Roman" w:cs="Arial"/>
          <w:szCs w:val="20"/>
        </w:rPr>
        <w:br w:type="page"/>
      </w:r>
    </w:p>
    <w:p w14:paraId="15A7FD6D" w14:textId="77777777" w:rsidR="007B0381" w:rsidRPr="009922A4" w:rsidRDefault="007B0381" w:rsidP="005842DF">
      <w:pPr>
        <w:pStyle w:val="Heading2"/>
        <w:contextualSpacing/>
        <w:rPr>
          <w:rFonts w:eastAsia="Times New Roman" w:cs="Arial"/>
          <w:szCs w:val="20"/>
        </w:rPr>
      </w:pPr>
      <w:r w:rsidRPr="009922A4">
        <w:rPr>
          <w:rFonts w:eastAsia="Times New Roman" w:cs="Arial"/>
          <w:szCs w:val="20"/>
        </w:rPr>
        <w:lastRenderedPageBreak/>
        <w:t>Mutual legal assistance</w:t>
      </w:r>
    </w:p>
    <w:p w14:paraId="68B2064D" w14:textId="77777777" w:rsidR="007B0381" w:rsidRPr="009922A4" w:rsidRDefault="007B0381" w:rsidP="005842DF">
      <w:pPr>
        <w:keepNext/>
        <w:keepLines/>
        <w:contextualSpacing/>
        <w:rPr>
          <w:rFonts w:cs="Arial"/>
          <w:szCs w:val="20"/>
        </w:rPr>
      </w:pPr>
    </w:p>
    <w:p w14:paraId="10A8B1A9" w14:textId="77A1EB74"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Member States should increase their efforts to enact, review and improve the existing arrangements for mutual legal assistance, in particular through the effective implementation of relevant international instruments and standards, notably those of the Council of Europe, including the European Convention on Mutual Assistance in Criminal Matters (ETS No. 30</w:t>
      </w:r>
      <w:proofErr w:type="gramStart"/>
      <w:r w:rsidRPr="009922A4">
        <w:rPr>
          <w:rFonts w:eastAsia="Times New Roman" w:cs="Arial"/>
          <w:szCs w:val="20"/>
        </w:rPr>
        <w:t>),and</w:t>
      </w:r>
      <w:proofErr w:type="gramEnd"/>
      <w:r w:rsidRPr="009922A4">
        <w:rPr>
          <w:rFonts w:eastAsia="Times New Roman" w:cs="Arial"/>
          <w:szCs w:val="20"/>
        </w:rPr>
        <w:t xml:space="preserve"> its additional protocols, as mentioned in the preamble to this </w:t>
      </w:r>
      <w:r w:rsidR="004A342C">
        <w:rPr>
          <w:rFonts w:eastAsia="Times New Roman" w:cs="Arial"/>
          <w:szCs w:val="20"/>
        </w:rPr>
        <w:t>r</w:t>
      </w:r>
      <w:r w:rsidRPr="009922A4">
        <w:rPr>
          <w:rFonts w:eastAsia="Times New Roman" w:cs="Arial"/>
          <w:szCs w:val="20"/>
        </w:rPr>
        <w:t xml:space="preserve">ecommendation. </w:t>
      </w:r>
    </w:p>
    <w:p w14:paraId="32B45346" w14:textId="77777777" w:rsidR="007B0381" w:rsidRPr="009922A4" w:rsidRDefault="007B0381" w:rsidP="005842DF">
      <w:pPr>
        <w:pStyle w:val="ListParagraph"/>
        <w:ind w:left="0"/>
        <w:rPr>
          <w:rFonts w:eastAsia="Times New Roman" w:cs="Arial"/>
          <w:szCs w:val="20"/>
        </w:rPr>
      </w:pPr>
    </w:p>
    <w:p w14:paraId="4AEB64B8" w14:textId="02E389E2"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To strengthen the fight against impunity for serious violations of international humanitarian law and other core international crimes committed in the context of a non-international armed conflict, member States should consider becoming Parties to the Ljubljana</w:t>
      </w:r>
      <w:r w:rsidR="004A342C">
        <w:rPr>
          <w:rFonts w:eastAsia="Times New Roman" w:cs="Arial"/>
          <w:szCs w:val="20"/>
        </w:rPr>
        <w:t>-</w:t>
      </w:r>
      <w:r w:rsidRPr="009922A4">
        <w:rPr>
          <w:rFonts w:eastAsia="Times New Roman" w:cs="Arial"/>
          <w:szCs w:val="20"/>
        </w:rPr>
        <w:t xml:space="preserve">The Hague Convention on International </w:t>
      </w:r>
      <w:r w:rsidR="004A342C">
        <w:rPr>
          <w:rFonts w:eastAsia="Times New Roman" w:cs="Arial"/>
          <w:szCs w:val="20"/>
        </w:rPr>
        <w:br/>
      </w:r>
      <w:r w:rsidRPr="009922A4">
        <w:rPr>
          <w:rFonts w:eastAsia="Times New Roman" w:cs="Arial"/>
          <w:szCs w:val="20"/>
        </w:rPr>
        <w:t>Co</w:t>
      </w:r>
      <w:r w:rsidR="004A342C">
        <w:rPr>
          <w:rFonts w:eastAsia="Times New Roman" w:cs="Arial"/>
          <w:szCs w:val="20"/>
        </w:rPr>
        <w:t>-</w:t>
      </w:r>
      <w:r w:rsidRPr="009922A4">
        <w:rPr>
          <w:rFonts w:eastAsia="Times New Roman" w:cs="Arial"/>
          <w:szCs w:val="20"/>
        </w:rPr>
        <w:t xml:space="preserve">operation in the Investigation and Prosecution of the Crime of Genocide, Crimes against Humanity, War Crimes and other International Crimes. </w:t>
      </w:r>
    </w:p>
    <w:p w14:paraId="4383BAD7" w14:textId="77777777" w:rsidR="007B0381" w:rsidRPr="009922A4" w:rsidRDefault="007B0381" w:rsidP="005842DF">
      <w:pPr>
        <w:contextualSpacing/>
        <w:rPr>
          <w:rFonts w:eastAsia="Times New Roman" w:cs="Arial"/>
          <w:szCs w:val="20"/>
        </w:rPr>
      </w:pPr>
    </w:p>
    <w:p w14:paraId="2FA39556" w14:textId="77777777" w:rsidR="007B0381" w:rsidRPr="009922A4" w:rsidRDefault="007B0381" w:rsidP="005842DF">
      <w:pPr>
        <w:pStyle w:val="Heading2"/>
        <w:contextualSpacing/>
        <w:rPr>
          <w:rFonts w:eastAsia="Times New Roman" w:cs="Arial"/>
          <w:szCs w:val="20"/>
        </w:rPr>
      </w:pPr>
      <w:r w:rsidRPr="009922A4">
        <w:rPr>
          <w:rFonts w:eastAsia="Times New Roman" w:cs="Arial"/>
          <w:szCs w:val="20"/>
        </w:rPr>
        <w:t>International co-operation in investigation matters</w:t>
      </w:r>
    </w:p>
    <w:p w14:paraId="31A4C5CE" w14:textId="77777777" w:rsidR="007B0381" w:rsidRPr="009922A4" w:rsidRDefault="007B0381" w:rsidP="005842DF">
      <w:pPr>
        <w:contextualSpacing/>
        <w:rPr>
          <w:rFonts w:eastAsia="Times New Roman" w:cs="Arial"/>
          <w:szCs w:val="20"/>
        </w:rPr>
      </w:pPr>
    </w:p>
    <w:p w14:paraId="19454734" w14:textId="5BE3A300"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 xml:space="preserve">Member States should aim at promoting, making effective and, where appropriate, developing international co-operation mechanisms to investigate effectively the offences and crimes covered by this </w:t>
      </w:r>
      <w:r w:rsidR="004A342C">
        <w:rPr>
          <w:rFonts w:eastAsia="Times New Roman" w:cs="Arial"/>
          <w:szCs w:val="20"/>
        </w:rPr>
        <w:t>r</w:t>
      </w:r>
      <w:r w:rsidRPr="009922A4">
        <w:rPr>
          <w:rFonts w:eastAsia="Times New Roman" w:cs="Arial"/>
          <w:szCs w:val="20"/>
        </w:rPr>
        <w:t>ecommendation and collect evidence from across jurisdictions, including testimony from victims and witnesses.</w:t>
      </w:r>
    </w:p>
    <w:p w14:paraId="11C967CA" w14:textId="77777777" w:rsidR="007B0381" w:rsidRPr="009922A4" w:rsidRDefault="007B0381" w:rsidP="005842DF">
      <w:pPr>
        <w:pStyle w:val="ListParagraph"/>
        <w:ind w:left="0"/>
        <w:rPr>
          <w:rFonts w:eastAsia="Times New Roman" w:cs="Arial"/>
          <w:szCs w:val="20"/>
        </w:rPr>
      </w:pPr>
    </w:p>
    <w:p w14:paraId="769F7850"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 xml:space="preserve">Member States should facilitate cross-border communication, both informal and through official channels, between their competent authorities, especially when investigating offences and crimes committed by terrorist associations or groups during a non-international armed conflict, to improve efficiency in preparing requests for mutual legal assistance and to avoid competing and time-consuming requests for mutual legal assistance. Communication between the member States’ central authorities in the field of judicial co-operation in criminal matters should also be encouraged </w:t>
      </w:r>
      <w:proofErr w:type="gramStart"/>
      <w:r w:rsidRPr="009922A4">
        <w:rPr>
          <w:rFonts w:eastAsia="Times New Roman" w:cs="Arial"/>
          <w:szCs w:val="20"/>
        </w:rPr>
        <w:t>in order to</w:t>
      </w:r>
      <w:proofErr w:type="gramEnd"/>
      <w:r w:rsidRPr="009922A4">
        <w:rPr>
          <w:rFonts w:eastAsia="Times New Roman" w:cs="Arial"/>
          <w:szCs w:val="20"/>
        </w:rPr>
        <w:t xml:space="preserve"> streamline the exchange and transmission of requests for international mutual legal assistance and enforcement documents. Where necessary and appropriate, member States should establish joint investigation teams to reach successful conclusions to such investigations.</w:t>
      </w:r>
    </w:p>
    <w:p w14:paraId="5ED77D49" w14:textId="77777777" w:rsidR="007B0381" w:rsidRPr="009922A4" w:rsidRDefault="007B0381" w:rsidP="005842DF">
      <w:pPr>
        <w:pStyle w:val="ListParagraph"/>
        <w:ind w:left="0"/>
        <w:rPr>
          <w:rFonts w:eastAsia="Times New Roman" w:cs="Arial"/>
          <w:szCs w:val="20"/>
        </w:rPr>
      </w:pPr>
    </w:p>
    <w:p w14:paraId="0BEE4CD6" w14:textId="6F1A591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 xml:space="preserve">Member States should seek the legal and practical support of the European Union Agency for Criminal Justice Cooperation (Eurojust) to ensure direct communication and faster and more efficient </w:t>
      </w:r>
      <w:r w:rsidR="004A342C">
        <w:rPr>
          <w:rFonts w:eastAsia="Times New Roman" w:cs="Arial"/>
          <w:szCs w:val="20"/>
        </w:rPr>
        <w:br/>
      </w:r>
      <w:r w:rsidRPr="009922A4">
        <w:rPr>
          <w:rFonts w:eastAsia="Times New Roman" w:cs="Arial"/>
          <w:szCs w:val="20"/>
        </w:rPr>
        <w:t>co-ordination between their respective prosecution services and judicial authorities. Where possible, they should also consider seeking the analytical support and technical expertise of the European Union Agency for Law Enforcement Cooperation (Europol) to strengthen law</w:t>
      </w:r>
      <w:r w:rsidR="004A342C">
        <w:rPr>
          <w:rFonts w:eastAsia="Times New Roman" w:cs="Arial"/>
          <w:szCs w:val="20"/>
        </w:rPr>
        <w:t xml:space="preserve"> </w:t>
      </w:r>
      <w:r w:rsidRPr="009922A4">
        <w:rPr>
          <w:rFonts w:eastAsia="Times New Roman" w:cs="Arial"/>
          <w:szCs w:val="20"/>
        </w:rPr>
        <w:t>enforcement co-operation.</w:t>
      </w:r>
    </w:p>
    <w:p w14:paraId="5006761F" w14:textId="77777777" w:rsidR="007B0381" w:rsidRPr="009922A4" w:rsidRDefault="007B0381" w:rsidP="005842DF">
      <w:pPr>
        <w:contextualSpacing/>
        <w:rPr>
          <w:rFonts w:eastAsia="Times New Roman" w:cs="Arial"/>
          <w:szCs w:val="20"/>
        </w:rPr>
      </w:pPr>
    </w:p>
    <w:p w14:paraId="22EE6EF0"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To collect evidence, member States should moreover ensure that appropriate legislation and policies are in place to support co-operation and information sharing, spontaneous or on demand, between their competent authorities and between those authorities and international organisations and courts, including the international criminal tribunals, the International Residual Mechanism for Criminal Tribunals and international investigative mechanisms, such as the Independent Investigative Mechanism for Myanmar and the International, Impartial and Independent Mechanism to assist in the investigation and prosecution of persons responsible for the most serious crimes under international law committed in the Syrian Arab Republic since March 2011, and the ICC, where applicable.</w:t>
      </w:r>
    </w:p>
    <w:p w14:paraId="3022A157" w14:textId="77777777" w:rsidR="007B0381" w:rsidRPr="009922A4" w:rsidRDefault="007B0381" w:rsidP="005842DF">
      <w:pPr>
        <w:pStyle w:val="ListParagraph"/>
        <w:ind w:left="0"/>
        <w:rPr>
          <w:rFonts w:eastAsia="Times New Roman" w:cs="Arial"/>
          <w:szCs w:val="20"/>
        </w:rPr>
      </w:pPr>
    </w:p>
    <w:p w14:paraId="3B944A44" w14:textId="77777777" w:rsidR="007B0381" w:rsidRPr="009922A4" w:rsidRDefault="007B0381" w:rsidP="005842DF">
      <w:pPr>
        <w:pStyle w:val="ListParagraph"/>
        <w:keepNext/>
        <w:keepLines/>
        <w:numPr>
          <w:ilvl w:val="0"/>
          <w:numId w:val="4"/>
        </w:numPr>
        <w:ind w:left="0" w:firstLine="0"/>
        <w:rPr>
          <w:rFonts w:eastAsia="Times New Roman" w:cs="Arial"/>
          <w:szCs w:val="20"/>
        </w:rPr>
      </w:pPr>
      <w:r w:rsidRPr="009922A4">
        <w:rPr>
          <w:rFonts w:eastAsia="Times New Roman" w:cs="Arial"/>
          <w:szCs w:val="20"/>
        </w:rPr>
        <w:t xml:space="preserve">Member States should aim at making effective and developing multilateral and bilateral agreements to strengthen international co-operation to secure access to evidence in relation to relevant investigations. </w:t>
      </w:r>
      <w:proofErr w:type="gramStart"/>
      <w:r w:rsidRPr="009922A4">
        <w:rPr>
          <w:rFonts w:eastAsia="Times New Roman" w:cs="Arial"/>
          <w:szCs w:val="20"/>
        </w:rPr>
        <w:t>In particular, they</w:t>
      </w:r>
      <w:proofErr w:type="gramEnd"/>
      <w:r w:rsidRPr="009922A4">
        <w:rPr>
          <w:rFonts w:eastAsia="Times New Roman" w:cs="Arial"/>
          <w:szCs w:val="20"/>
        </w:rPr>
        <w:t xml:space="preserve"> are encouraged to ratify and implement the Second Additional Protocol to the Convention on Cybercrime on enhanced co-operation and disclosure of electronic evidence (CETS No. 224).</w:t>
      </w:r>
    </w:p>
    <w:p w14:paraId="42F1ED5E" w14:textId="77777777" w:rsidR="007B0381" w:rsidRPr="009922A4" w:rsidRDefault="007B0381" w:rsidP="005842DF">
      <w:pPr>
        <w:pStyle w:val="ListParagraph"/>
        <w:ind w:left="0"/>
        <w:rPr>
          <w:rFonts w:eastAsia="Times New Roman" w:cs="Arial"/>
          <w:szCs w:val="20"/>
        </w:rPr>
      </w:pPr>
    </w:p>
    <w:p w14:paraId="562C00BF" w14:textId="77777777" w:rsidR="007B0381" w:rsidRPr="009922A4"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t>To secure accountability for core international crimes committed by terrorist suspects in the context of a non-international armed conflict, member States should consider using, to the greatest extent possible, information provided by relevant United Nations bodies. Member States should also consider making use of and transmitting information to judicial databases and tools, such as those created by Eurojust, that is, the Core International Crimes Evidence Database (CICED), for the preservation, analysis and storage of evidence on core international crimes and related offences, and the European Judicial Counter-Terrorism Register, for the identification of links between judicial proceedings on terrorism offences.</w:t>
      </w:r>
      <w:bookmarkStart w:id="19" w:name="_Hlk209088552"/>
    </w:p>
    <w:p w14:paraId="712571CE" w14:textId="77777777" w:rsidR="007B0381" w:rsidRPr="009922A4" w:rsidRDefault="007B0381" w:rsidP="005842DF">
      <w:pPr>
        <w:pStyle w:val="ListParagraph"/>
        <w:ind w:left="0"/>
        <w:rPr>
          <w:rFonts w:eastAsia="Times New Roman" w:cs="Arial"/>
          <w:szCs w:val="20"/>
        </w:rPr>
      </w:pPr>
    </w:p>
    <w:bookmarkEnd w:id="19"/>
    <w:p w14:paraId="448BE48C" w14:textId="77777777" w:rsidR="007B0381" w:rsidRDefault="007B0381" w:rsidP="005842DF">
      <w:pPr>
        <w:rPr>
          <w:rFonts w:eastAsia="Times New Roman" w:cs="Arial"/>
          <w:szCs w:val="20"/>
          <w:bdr w:val="nil"/>
          <w:lang w:val="en-US"/>
        </w:rPr>
      </w:pPr>
      <w:r>
        <w:rPr>
          <w:rFonts w:eastAsia="Times New Roman" w:cs="Arial"/>
          <w:szCs w:val="20"/>
        </w:rPr>
        <w:br w:type="page"/>
      </w:r>
    </w:p>
    <w:p w14:paraId="45CB9A50" w14:textId="77777777" w:rsidR="007B0381" w:rsidRPr="006F096D" w:rsidRDefault="007B0381" w:rsidP="005842DF">
      <w:pPr>
        <w:pStyle w:val="ListParagraph"/>
        <w:numPr>
          <w:ilvl w:val="0"/>
          <w:numId w:val="4"/>
        </w:numPr>
        <w:ind w:left="0" w:firstLine="0"/>
        <w:rPr>
          <w:rFonts w:eastAsia="Times New Roman" w:cs="Arial"/>
          <w:szCs w:val="20"/>
        </w:rPr>
      </w:pPr>
      <w:r w:rsidRPr="009922A4">
        <w:rPr>
          <w:rFonts w:eastAsia="Times New Roman" w:cs="Arial"/>
          <w:szCs w:val="20"/>
        </w:rPr>
        <w:lastRenderedPageBreak/>
        <w:t>Member States are encouraged to engage in the European Network for investigation and prosecution of genocide, crimes against humanity and war crimes (Genocide Prosecution Network) to exchange expertise, good practices and operational information. Active participation in such networks can lead to acquiring knowledge and expertise, formal co-operation and structured exchange of information between the competent authorities, thereby enhancing accountability for core international crimes and related terrorist offences.</w:t>
      </w:r>
    </w:p>
    <w:p w14:paraId="7F05E244" w14:textId="77777777" w:rsidR="00CF3820" w:rsidRDefault="00CF3820" w:rsidP="005842DF">
      <w:pPr>
        <w:rPr>
          <w:rFonts w:eastAsia="Times New Roman"/>
          <w:szCs w:val="24"/>
        </w:rPr>
      </w:pPr>
    </w:p>
    <w:sectPr w:rsidR="00CF3820" w:rsidSect="00961F72">
      <w:headerReference w:type="even" r:id="rId11"/>
      <w:headerReference w:type="default" r:id="rId12"/>
      <w:footerReference w:type="default" r:id="rId13"/>
      <w:headerReference w:type="first" r:id="rId14"/>
      <w:footerReference w:type="first" r:id="rId15"/>
      <w:type w:val="continuous"/>
      <w:pgSz w:w="11907" w:h="16840" w:code="9"/>
      <w:pgMar w:top="992" w:right="1162" w:bottom="709" w:left="1077"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E88DA" w14:textId="77777777" w:rsidR="00E8224F" w:rsidRDefault="00E8224F" w:rsidP="00FD6043">
      <w:r>
        <w:separator/>
      </w:r>
    </w:p>
  </w:endnote>
  <w:endnote w:type="continuationSeparator" w:id="0">
    <w:p w14:paraId="14A700A3" w14:textId="77777777" w:rsidR="00E8224F" w:rsidRDefault="00E8224F"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inion Pro">
    <w:altName w:val="Times New Roman"/>
    <w:charset w:val="00"/>
    <w:family w:val="roman"/>
    <w:pitch w:val="variable"/>
    <w:sig w:usb0="E00002AF" w:usb1="50006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C5F4" w14:textId="77777777" w:rsidR="002F3006" w:rsidRPr="002F3006" w:rsidRDefault="002F3006" w:rsidP="002F3006">
    <w:pPr>
      <w:pStyle w:val="Footer"/>
      <w:jc w:val="right"/>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18A09" w14:textId="77777777" w:rsidR="00AE76B8" w:rsidRPr="00113EB0" w:rsidRDefault="001E7C29" w:rsidP="00E15639">
    <w:pPr>
      <w:pStyle w:val="Footer"/>
      <w:rPr>
        <w:sz w:val="16"/>
        <w:szCs w:val="16"/>
      </w:rPr>
    </w:pPr>
    <w:r>
      <w:rPr>
        <w:sz w:val="16"/>
        <w:szCs w:val="16"/>
      </w:rPr>
      <w:t>W</w:t>
    </w:r>
    <w:r w:rsidR="00E15639" w:rsidRPr="00113EB0">
      <w:rPr>
        <w:sz w:val="16"/>
        <w:szCs w:val="16"/>
      </w:rPr>
      <w:t>eb</w:t>
    </w:r>
    <w:r>
      <w:rPr>
        <w:sz w:val="16"/>
        <w:szCs w:val="16"/>
      </w:rPr>
      <w:t>site</w:t>
    </w:r>
    <w:r w:rsidR="00E15639" w:rsidRPr="00113EB0">
      <w:rPr>
        <w:sz w:val="16"/>
        <w:szCs w:val="16"/>
      </w:rPr>
      <w:t xml:space="preserve">: </w:t>
    </w:r>
    <w:hyperlink r:id="rId1" w:history="1">
      <w:r w:rsidR="00AE76B8"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48E39" w14:textId="77777777" w:rsidR="00E8224F" w:rsidRDefault="00E8224F" w:rsidP="00FD6043">
      <w:r>
        <w:separator/>
      </w:r>
    </w:p>
  </w:footnote>
  <w:footnote w:type="continuationSeparator" w:id="0">
    <w:p w14:paraId="09F712D8" w14:textId="77777777" w:rsidR="00E8224F" w:rsidRDefault="00E8224F" w:rsidP="00FD6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58A81" w14:textId="58246700" w:rsidR="00E24C57" w:rsidRPr="00E54322" w:rsidRDefault="002660DB" w:rsidP="00E54322">
    <w:pPr>
      <w:pStyle w:val="Header"/>
    </w:pPr>
    <w:r w:rsidRPr="00E54322">
      <w:t>CM</w:t>
    </w:r>
    <w:r w:rsidR="00CF3820">
      <w:t>/</w:t>
    </w:r>
    <w:proofErr w:type="gramStart"/>
    <w:r w:rsidR="00CF3820">
      <w:t>Re</w:t>
    </w:r>
    <w:r w:rsidR="00D506B8">
      <w:t>c</w:t>
    </w:r>
    <w:r w:rsidRPr="00E54322">
      <w:t>(</w:t>
    </w:r>
    <w:proofErr w:type="gramEnd"/>
    <w:r w:rsidR="00754E6F">
      <w:t>202</w:t>
    </w:r>
    <w:r w:rsidR="00AC7E4E">
      <w:t>6</w:t>
    </w:r>
    <w:r w:rsidRPr="00E54322">
      <w:t>)</w:t>
    </w:r>
    <w:r w:rsidR="003E032B">
      <w:t>13</w:t>
    </w:r>
    <w:r w:rsidR="00E15639" w:rsidRPr="00E54322">
      <w:tab/>
    </w:r>
    <w:r w:rsidR="00E15639" w:rsidRPr="00E54322">
      <w:fldChar w:fldCharType="begin"/>
    </w:r>
    <w:r w:rsidR="00E15639" w:rsidRPr="00E54322">
      <w:instrText xml:space="preserve"> PAGE  \* Arabic  \* MERGEFORMAT </w:instrText>
    </w:r>
    <w:r w:rsidR="00E15639" w:rsidRPr="00E54322">
      <w:fldChar w:fldCharType="separate"/>
    </w:r>
    <w:r w:rsidR="00B64F15">
      <w:rPr>
        <w:noProof/>
      </w:rPr>
      <w:t>2</w:t>
    </w:r>
    <w:r w:rsidR="00E15639"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F6510" w14:textId="678BE584" w:rsidR="00E24C57" w:rsidRPr="00E54322" w:rsidRDefault="00E15639" w:rsidP="00E54322">
    <w:pPr>
      <w:pStyle w:val="Header"/>
    </w:pPr>
    <w:r w:rsidRPr="00E54322">
      <w:tab/>
    </w:r>
    <w:r w:rsidRPr="00E54322">
      <w:fldChar w:fldCharType="begin"/>
    </w:r>
    <w:r w:rsidRPr="00E54322">
      <w:instrText xml:space="preserve"> PAGE  \* Arabic  \* MERGEFORMAT </w:instrText>
    </w:r>
    <w:r w:rsidRPr="00E54322">
      <w:fldChar w:fldCharType="separate"/>
    </w:r>
    <w:r w:rsidR="00D506B8">
      <w:rPr>
        <w:noProof/>
      </w:rPr>
      <w:t>3</w:t>
    </w:r>
    <w:r w:rsidRPr="00E54322">
      <w:fldChar w:fldCharType="end"/>
    </w:r>
    <w:r w:rsidR="00E475F9" w:rsidRPr="00E54322">
      <w:tab/>
    </w:r>
    <w:r w:rsidR="002660DB" w:rsidRPr="00E54322">
      <w:t>CM</w:t>
    </w:r>
    <w:r w:rsidR="00CF3820">
      <w:t>/</w:t>
    </w:r>
    <w:proofErr w:type="gramStart"/>
    <w:r w:rsidR="00CF3820">
      <w:t>Re</w:t>
    </w:r>
    <w:r w:rsidR="00D506B8">
      <w:t>c</w:t>
    </w:r>
    <w:r w:rsidR="002660DB" w:rsidRPr="00E54322">
      <w:t>(</w:t>
    </w:r>
    <w:proofErr w:type="gramEnd"/>
    <w:r w:rsidR="00754E6F">
      <w:t>202</w:t>
    </w:r>
    <w:r w:rsidR="00D556E1">
      <w:t>6</w:t>
    </w:r>
    <w:r w:rsidR="002660DB" w:rsidRPr="00E54322">
      <w:t>)</w:t>
    </w:r>
    <w:r w:rsidR="00007753">
      <w:t>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A86D" w14:textId="77777777" w:rsidR="00135BDB" w:rsidRDefault="00754E6F" w:rsidP="00123CDD">
    <w:pPr>
      <w:pStyle w:val="Header"/>
      <w:spacing w:after="2280"/>
    </w:pPr>
    <w:r>
      <w:rPr>
        <w:noProof/>
      </w:rPr>
      <w:drawing>
        <wp:anchor distT="0" distB="0" distL="114300" distR="114300" simplePos="0" relativeHeight="251659264" behindDoc="1" locked="0" layoutInCell="0" allowOverlap="0" wp14:anchorId="66AEABE3" wp14:editId="560513C8">
          <wp:simplePos x="0" y="0"/>
          <wp:positionH relativeFrom="page">
            <wp:posOffset>491</wp:posOffset>
          </wp:positionH>
          <wp:positionV relativeFrom="page">
            <wp:posOffset>0</wp:posOffset>
          </wp:positionV>
          <wp:extent cx="7584218" cy="10728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ColourLogo.png"/>
                  <pic:cNvPicPr/>
                </pic:nvPicPr>
                <pic:blipFill>
                  <a:blip r:embed="rId1">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83D8A"/>
    <w:multiLevelType w:val="hybridMultilevel"/>
    <w:tmpl w:val="151C4D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893471F"/>
    <w:multiLevelType w:val="hybridMultilevel"/>
    <w:tmpl w:val="8CFE734E"/>
    <w:lvl w:ilvl="0" w:tplc="A26CB37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AED08A8"/>
    <w:multiLevelType w:val="hybridMultilevel"/>
    <w:tmpl w:val="E62E0B3C"/>
    <w:lvl w:ilvl="0" w:tplc="4B100516">
      <w:start w:val="1"/>
      <w:numFmt w:val="decimal"/>
      <w:lvlText w:val="%1."/>
      <w:lvlJc w:val="left"/>
      <w:pPr>
        <w:ind w:left="1065" w:hanging="705"/>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62262BC"/>
    <w:multiLevelType w:val="hybridMultilevel"/>
    <w:tmpl w:val="F2684A38"/>
    <w:lvl w:ilvl="0" w:tplc="D12ADC02">
      <w:start w:val="1"/>
      <w:numFmt w:val="decimal"/>
      <w:lvlText w:val="%1."/>
      <w:lvlJc w:val="left"/>
      <w:pPr>
        <w:ind w:left="1070" w:hanging="71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99D731A"/>
    <w:multiLevelType w:val="hybridMultilevel"/>
    <w:tmpl w:val="EC9EF33E"/>
    <w:lvl w:ilvl="0" w:tplc="CA3E46AE">
      <w:start w:val="1"/>
      <w:numFmt w:val="lowerLetter"/>
      <w:lvlText w:val="%1."/>
      <w:lvlJc w:val="left"/>
      <w:pPr>
        <w:ind w:left="1425" w:hanging="360"/>
      </w:pPr>
      <w:rPr>
        <w:rFonts w:hint="default"/>
      </w:rPr>
    </w:lvl>
    <w:lvl w:ilvl="1" w:tplc="040C0019">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num w:numId="1" w16cid:durableId="2078168348">
    <w:abstractNumId w:val="0"/>
  </w:num>
  <w:num w:numId="2" w16cid:durableId="493452163">
    <w:abstractNumId w:val="3"/>
  </w:num>
  <w:num w:numId="3" w16cid:durableId="21396817">
    <w:abstractNumId w:val="1"/>
  </w:num>
  <w:num w:numId="4" w16cid:durableId="44186671">
    <w:abstractNumId w:val="2"/>
  </w:num>
  <w:num w:numId="5" w16cid:durableId="8300230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B632B"/>
    <w:rsid w:val="00007753"/>
    <w:rsid w:val="0001238D"/>
    <w:rsid w:val="00015C19"/>
    <w:rsid w:val="00035FDF"/>
    <w:rsid w:val="0004419A"/>
    <w:rsid w:val="00071EA7"/>
    <w:rsid w:val="00072CBD"/>
    <w:rsid w:val="00082CEE"/>
    <w:rsid w:val="000A307B"/>
    <w:rsid w:val="000A6C8D"/>
    <w:rsid w:val="000C2917"/>
    <w:rsid w:val="000C52A6"/>
    <w:rsid w:val="000E50A4"/>
    <w:rsid w:val="000F4CF2"/>
    <w:rsid w:val="000F58C3"/>
    <w:rsid w:val="000F5ADA"/>
    <w:rsid w:val="00106141"/>
    <w:rsid w:val="00110729"/>
    <w:rsid w:val="00113EB0"/>
    <w:rsid w:val="00123CDD"/>
    <w:rsid w:val="00134D9A"/>
    <w:rsid w:val="00135BDB"/>
    <w:rsid w:val="00140FC8"/>
    <w:rsid w:val="0014266D"/>
    <w:rsid w:val="00147EF4"/>
    <w:rsid w:val="00153BB3"/>
    <w:rsid w:val="00156DC1"/>
    <w:rsid w:val="00160B03"/>
    <w:rsid w:val="00171115"/>
    <w:rsid w:val="00181ED9"/>
    <w:rsid w:val="001A6076"/>
    <w:rsid w:val="001B7E0B"/>
    <w:rsid w:val="001E7C29"/>
    <w:rsid w:val="001F297D"/>
    <w:rsid w:val="001F4F04"/>
    <w:rsid w:val="00214299"/>
    <w:rsid w:val="002250DD"/>
    <w:rsid w:val="0023437D"/>
    <w:rsid w:val="00242ABB"/>
    <w:rsid w:val="00251353"/>
    <w:rsid w:val="00262B36"/>
    <w:rsid w:val="00265917"/>
    <w:rsid w:val="002660DB"/>
    <w:rsid w:val="0028024D"/>
    <w:rsid w:val="002861FB"/>
    <w:rsid w:val="00293EE6"/>
    <w:rsid w:val="002B0A38"/>
    <w:rsid w:val="002C0872"/>
    <w:rsid w:val="002C1DBC"/>
    <w:rsid w:val="002C20BA"/>
    <w:rsid w:val="002C43B5"/>
    <w:rsid w:val="002C4704"/>
    <w:rsid w:val="002D0655"/>
    <w:rsid w:val="002D0A72"/>
    <w:rsid w:val="002D11B8"/>
    <w:rsid w:val="002E4089"/>
    <w:rsid w:val="002F3006"/>
    <w:rsid w:val="002F405C"/>
    <w:rsid w:val="002F6BB7"/>
    <w:rsid w:val="00303712"/>
    <w:rsid w:val="003354C4"/>
    <w:rsid w:val="00335CAF"/>
    <w:rsid w:val="003364D1"/>
    <w:rsid w:val="0037200F"/>
    <w:rsid w:val="00373957"/>
    <w:rsid w:val="00381C50"/>
    <w:rsid w:val="00385587"/>
    <w:rsid w:val="00392D1D"/>
    <w:rsid w:val="003969B3"/>
    <w:rsid w:val="003A1131"/>
    <w:rsid w:val="003A5509"/>
    <w:rsid w:val="003A5702"/>
    <w:rsid w:val="003B2C8C"/>
    <w:rsid w:val="003B345B"/>
    <w:rsid w:val="003D3B17"/>
    <w:rsid w:val="003D48AE"/>
    <w:rsid w:val="003D6AC2"/>
    <w:rsid w:val="003E032B"/>
    <w:rsid w:val="003F3D4B"/>
    <w:rsid w:val="003F4930"/>
    <w:rsid w:val="0040027C"/>
    <w:rsid w:val="00400868"/>
    <w:rsid w:val="004256CB"/>
    <w:rsid w:val="004329B7"/>
    <w:rsid w:val="00443709"/>
    <w:rsid w:val="00447D22"/>
    <w:rsid w:val="004553F6"/>
    <w:rsid w:val="00480D8B"/>
    <w:rsid w:val="00484C3C"/>
    <w:rsid w:val="004A342C"/>
    <w:rsid w:val="004A37E1"/>
    <w:rsid w:val="004C0C2F"/>
    <w:rsid w:val="004C11B3"/>
    <w:rsid w:val="0050115D"/>
    <w:rsid w:val="00505883"/>
    <w:rsid w:val="0054041B"/>
    <w:rsid w:val="00550B6C"/>
    <w:rsid w:val="00574663"/>
    <w:rsid w:val="005842DF"/>
    <w:rsid w:val="00595717"/>
    <w:rsid w:val="005B025A"/>
    <w:rsid w:val="005B1FA1"/>
    <w:rsid w:val="005B3604"/>
    <w:rsid w:val="005C73BB"/>
    <w:rsid w:val="005D7CDF"/>
    <w:rsid w:val="005F093B"/>
    <w:rsid w:val="005F3DC6"/>
    <w:rsid w:val="00614982"/>
    <w:rsid w:val="00631491"/>
    <w:rsid w:val="00643231"/>
    <w:rsid w:val="00643C3F"/>
    <w:rsid w:val="00644AD3"/>
    <w:rsid w:val="006455FA"/>
    <w:rsid w:val="00660638"/>
    <w:rsid w:val="0066235D"/>
    <w:rsid w:val="00671684"/>
    <w:rsid w:val="00671EA2"/>
    <w:rsid w:val="006827E4"/>
    <w:rsid w:val="006908C5"/>
    <w:rsid w:val="006F0318"/>
    <w:rsid w:val="006F6B48"/>
    <w:rsid w:val="00706F64"/>
    <w:rsid w:val="00712E65"/>
    <w:rsid w:val="007150DE"/>
    <w:rsid w:val="00721866"/>
    <w:rsid w:val="00724F17"/>
    <w:rsid w:val="00735569"/>
    <w:rsid w:val="00740E73"/>
    <w:rsid w:val="0075156F"/>
    <w:rsid w:val="007541C7"/>
    <w:rsid w:val="00754E6F"/>
    <w:rsid w:val="00761627"/>
    <w:rsid w:val="00773CFE"/>
    <w:rsid w:val="007A543D"/>
    <w:rsid w:val="007B0381"/>
    <w:rsid w:val="007B3DD0"/>
    <w:rsid w:val="007B632B"/>
    <w:rsid w:val="007C0AD1"/>
    <w:rsid w:val="007C1B86"/>
    <w:rsid w:val="007D7B20"/>
    <w:rsid w:val="007E168C"/>
    <w:rsid w:val="00800A19"/>
    <w:rsid w:val="008042E6"/>
    <w:rsid w:val="00805F04"/>
    <w:rsid w:val="00810D5A"/>
    <w:rsid w:val="0081128C"/>
    <w:rsid w:val="00814AA2"/>
    <w:rsid w:val="0082394F"/>
    <w:rsid w:val="00853C90"/>
    <w:rsid w:val="008575F2"/>
    <w:rsid w:val="00857F73"/>
    <w:rsid w:val="00864262"/>
    <w:rsid w:val="008662D3"/>
    <w:rsid w:val="0087380A"/>
    <w:rsid w:val="00877E5C"/>
    <w:rsid w:val="008B07D4"/>
    <w:rsid w:val="008C12CC"/>
    <w:rsid w:val="008D7DAF"/>
    <w:rsid w:val="00916BF5"/>
    <w:rsid w:val="009215B8"/>
    <w:rsid w:val="00923554"/>
    <w:rsid w:val="009270C4"/>
    <w:rsid w:val="00940F14"/>
    <w:rsid w:val="009432D0"/>
    <w:rsid w:val="00950D67"/>
    <w:rsid w:val="009527D7"/>
    <w:rsid w:val="00955512"/>
    <w:rsid w:val="00961F72"/>
    <w:rsid w:val="00963962"/>
    <w:rsid w:val="00974C41"/>
    <w:rsid w:val="009B3AB7"/>
    <w:rsid w:val="009C5258"/>
    <w:rsid w:val="009D28F3"/>
    <w:rsid w:val="009E0A57"/>
    <w:rsid w:val="00A12DEC"/>
    <w:rsid w:val="00A22D53"/>
    <w:rsid w:val="00A474E5"/>
    <w:rsid w:val="00A842D4"/>
    <w:rsid w:val="00A8656D"/>
    <w:rsid w:val="00A916FF"/>
    <w:rsid w:val="00A93CA3"/>
    <w:rsid w:val="00AB6552"/>
    <w:rsid w:val="00AB67F8"/>
    <w:rsid w:val="00AB7727"/>
    <w:rsid w:val="00AC73AA"/>
    <w:rsid w:val="00AC7E4E"/>
    <w:rsid w:val="00AE76B8"/>
    <w:rsid w:val="00B055CA"/>
    <w:rsid w:val="00B06133"/>
    <w:rsid w:val="00B129D8"/>
    <w:rsid w:val="00B227AE"/>
    <w:rsid w:val="00B41B03"/>
    <w:rsid w:val="00B41EC3"/>
    <w:rsid w:val="00B6220A"/>
    <w:rsid w:val="00B63F08"/>
    <w:rsid w:val="00B64F15"/>
    <w:rsid w:val="00B81BAC"/>
    <w:rsid w:val="00B849E0"/>
    <w:rsid w:val="00B90246"/>
    <w:rsid w:val="00B920E4"/>
    <w:rsid w:val="00BA0A0F"/>
    <w:rsid w:val="00BA464D"/>
    <w:rsid w:val="00BA79A3"/>
    <w:rsid w:val="00BB7DCE"/>
    <w:rsid w:val="00BD25C0"/>
    <w:rsid w:val="00C049EE"/>
    <w:rsid w:val="00C109FD"/>
    <w:rsid w:val="00C12560"/>
    <w:rsid w:val="00C14C2C"/>
    <w:rsid w:val="00C409C2"/>
    <w:rsid w:val="00C74E6F"/>
    <w:rsid w:val="00C8348A"/>
    <w:rsid w:val="00C92F89"/>
    <w:rsid w:val="00CC39DC"/>
    <w:rsid w:val="00CE1FF8"/>
    <w:rsid w:val="00CE2C7B"/>
    <w:rsid w:val="00CE4890"/>
    <w:rsid w:val="00CE6FD2"/>
    <w:rsid w:val="00CF3820"/>
    <w:rsid w:val="00D0182E"/>
    <w:rsid w:val="00D0265B"/>
    <w:rsid w:val="00D06672"/>
    <w:rsid w:val="00D24A57"/>
    <w:rsid w:val="00D506B8"/>
    <w:rsid w:val="00D53526"/>
    <w:rsid w:val="00D554E6"/>
    <w:rsid w:val="00D556E1"/>
    <w:rsid w:val="00D603E6"/>
    <w:rsid w:val="00D70628"/>
    <w:rsid w:val="00DA02ED"/>
    <w:rsid w:val="00DA7643"/>
    <w:rsid w:val="00DB029C"/>
    <w:rsid w:val="00DC162E"/>
    <w:rsid w:val="00DC4A39"/>
    <w:rsid w:val="00DC6E9E"/>
    <w:rsid w:val="00DC7234"/>
    <w:rsid w:val="00DE0A21"/>
    <w:rsid w:val="00DF6796"/>
    <w:rsid w:val="00E125C6"/>
    <w:rsid w:val="00E15639"/>
    <w:rsid w:val="00E173B5"/>
    <w:rsid w:val="00E24C57"/>
    <w:rsid w:val="00E457C3"/>
    <w:rsid w:val="00E475F9"/>
    <w:rsid w:val="00E50974"/>
    <w:rsid w:val="00E54322"/>
    <w:rsid w:val="00E8224F"/>
    <w:rsid w:val="00E86611"/>
    <w:rsid w:val="00E940BF"/>
    <w:rsid w:val="00EA643A"/>
    <w:rsid w:val="00ED2E11"/>
    <w:rsid w:val="00EE34E3"/>
    <w:rsid w:val="00F01885"/>
    <w:rsid w:val="00F0446C"/>
    <w:rsid w:val="00F168A4"/>
    <w:rsid w:val="00F17B3E"/>
    <w:rsid w:val="00F2380B"/>
    <w:rsid w:val="00F24713"/>
    <w:rsid w:val="00F40699"/>
    <w:rsid w:val="00F433D6"/>
    <w:rsid w:val="00F61D34"/>
    <w:rsid w:val="00F76BBD"/>
    <w:rsid w:val="00F96689"/>
    <w:rsid w:val="00FA0707"/>
    <w:rsid w:val="00FD6043"/>
    <w:rsid w:val="00FF2641"/>
    <w:rsid w:val="00FF3BAB"/>
    <w:rsid w:val="00FF6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E92D6"/>
  <w15:docId w15:val="{AE156EEC-A715-40A8-9568-93FFFE152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58C3"/>
    <w:rPr>
      <w:rFonts w:ascii="Arial" w:hAnsi="Arial"/>
      <w:szCs w:val="22"/>
      <w:lang w:eastAsia="en-US"/>
    </w:rPr>
  </w:style>
  <w:style w:type="paragraph" w:styleId="Heading1">
    <w:name w:val="heading 1"/>
    <w:basedOn w:val="Normal"/>
    <w:next w:val="Normal"/>
    <w:link w:val="Heading1Char"/>
    <w:uiPriority w:val="9"/>
    <w:qFormat/>
    <w:rsid w:val="007B0381"/>
    <w:pPr>
      <w:keepNext/>
      <w:keepLines/>
      <w:outlineLvl w:val="0"/>
    </w:pPr>
    <w:rPr>
      <w:rFonts w:eastAsiaTheme="majorEastAsia" w:cstheme="majorBidi"/>
      <w:b/>
      <w:kern w:val="2"/>
      <w:szCs w:val="40"/>
      <w14:ligatures w14:val="standardContextual"/>
    </w:rPr>
  </w:style>
  <w:style w:type="paragraph" w:styleId="Heading2">
    <w:name w:val="heading 2"/>
    <w:basedOn w:val="Normal"/>
    <w:next w:val="Normal"/>
    <w:link w:val="Heading2Char"/>
    <w:uiPriority w:val="9"/>
    <w:unhideWhenUsed/>
    <w:qFormat/>
    <w:rsid w:val="007B0381"/>
    <w:pPr>
      <w:keepNext/>
      <w:keepLines/>
      <w:outlineLvl w:val="1"/>
    </w:pPr>
    <w:rPr>
      <w:rFonts w:eastAsiaTheme="majorEastAsia" w:cstheme="majorBidi"/>
      <w:i/>
      <w:kern w:val="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491"/>
    <w:pPr>
      <w:tabs>
        <w:tab w:val="center" w:pos="4820"/>
        <w:tab w:val="right" w:pos="9639"/>
      </w:tabs>
    </w:pPr>
    <w:rPr>
      <w:sz w:val="18"/>
    </w:rPr>
  </w:style>
  <w:style w:type="character" w:customStyle="1" w:styleId="HeaderChar">
    <w:name w:val="Header Char"/>
    <w:link w:val="Header"/>
    <w:uiPriority w:val="99"/>
    <w:rsid w:val="00631491"/>
    <w:rPr>
      <w:rFonts w:ascii="Arial" w:hAnsi="Arial"/>
      <w:sz w:val="18"/>
      <w:szCs w:val="22"/>
      <w:lang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5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semiHidden/>
    <w:unhideWhenUsed/>
    <w:rsid w:val="002250DD"/>
    <w:rPr>
      <w:sz w:val="24"/>
      <w:szCs w:val="24"/>
    </w:rPr>
  </w:style>
  <w:style w:type="character" w:customStyle="1" w:styleId="CommentTextChar">
    <w:name w:val="Comment Text Char"/>
    <w:link w:val="CommentText"/>
    <w:uiPriority w:val="99"/>
    <w:semiHidden/>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basedOn w:val="Normal"/>
    <w:link w:val="FootnoteTextChar"/>
    <w:uiPriority w:val="99"/>
    <w:semiHidden/>
    <w:unhideWhenUsed/>
    <w:rsid w:val="009C5258"/>
    <w:rPr>
      <w:sz w:val="16"/>
      <w:szCs w:val="20"/>
    </w:rPr>
  </w:style>
  <w:style w:type="character" w:customStyle="1" w:styleId="FootnoteTextChar">
    <w:name w:val="Footnote Text Char"/>
    <w:link w:val="FootnoteText"/>
    <w:uiPriority w:val="99"/>
    <w:semiHidden/>
    <w:rsid w:val="009C5258"/>
    <w:rPr>
      <w:rFonts w:ascii="Arial" w:hAnsi="Arial"/>
      <w:sz w:val="16"/>
      <w:lang w:val="fr-FR" w:eastAsia="en-US"/>
    </w:rPr>
  </w:style>
  <w:style w:type="character" w:styleId="FootnoteReference">
    <w:name w:val="footnote reference"/>
    <w:uiPriority w:val="99"/>
    <w:semiHidden/>
    <w:unhideWhenUsed/>
    <w:rsid w:val="00853C90"/>
    <w:rPr>
      <w:vertAlign w:val="superscript"/>
    </w:rPr>
  </w:style>
  <w:style w:type="paragraph" w:styleId="ListParagraph">
    <w:name w:val="List Paragraph"/>
    <w:aliases w:val="MAIN CONTENT,List Paragraph12,Colorful List - Accent 11,List Paragraph2,Normal numbered,List Paragraph11,OBC Bullet,F5 List Paragraph,List Paragraph1,Dot pt,List Paragraph Char Char Char,Indicator Text,Numbered Para 1,Bullet 1,No Spacing1"/>
    <w:basedOn w:val="Normal"/>
    <w:link w:val="ListParagraphChar"/>
    <w:uiPriority w:val="34"/>
    <w:qFormat/>
    <w:rsid w:val="00864262"/>
    <w:pPr>
      <w:ind w:left="720"/>
      <w:contextualSpacing/>
    </w:pPr>
  </w:style>
  <w:style w:type="character" w:customStyle="1" w:styleId="ListParagraphChar">
    <w:name w:val="List Paragraph Char"/>
    <w:aliases w:val="MAIN CONTENT Char,List Paragraph12 Char,Colorful List - Accent 11 Char,List Paragraph2 Char,Normal numbered Char,List Paragraph11 Char,OBC Bullet Char,F5 List Paragraph Char,List Paragraph1 Char,Dot pt Char,Indicator Text Char"/>
    <w:link w:val="ListParagraph"/>
    <w:uiPriority w:val="34"/>
    <w:qFormat/>
    <w:locked/>
    <w:rsid w:val="00864262"/>
    <w:rPr>
      <w:rFonts w:ascii="Arial" w:hAnsi="Arial"/>
      <w:szCs w:val="22"/>
      <w:lang w:eastAsia="en-US"/>
    </w:rPr>
  </w:style>
  <w:style w:type="character" w:customStyle="1" w:styleId="Heading1Char">
    <w:name w:val="Heading 1 Char"/>
    <w:basedOn w:val="DefaultParagraphFont"/>
    <w:link w:val="Heading1"/>
    <w:uiPriority w:val="9"/>
    <w:rsid w:val="007B0381"/>
    <w:rPr>
      <w:rFonts w:ascii="Arial" w:eastAsiaTheme="majorEastAsia" w:hAnsi="Arial" w:cstheme="majorBidi"/>
      <w:b/>
      <w:kern w:val="2"/>
      <w:szCs w:val="40"/>
      <w:lang w:eastAsia="en-US"/>
      <w14:ligatures w14:val="standardContextual"/>
    </w:rPr>
  </w:style>
  <w:style w:type="character" w:customStyle="1" w:styleId="Heading2Char">
    <w:name w:val="Heading 2 Char"/>
    <w:basedOn w:val="DefaultParagraphFont"/>
    <w:link w:val="Heading2"/>
    <w:uiPriority w:val="9"/>
    <w:rsid w:val="007B0381"/>
    <w:rPr>
      <w:rFonts w:ascii="Arial" w:eastAsiaTheme="majorEastAsia" w:hAnsi="Arial" w:cstheme="majorBidi"/>
      <w:i/>
      <w:kern w:val="2"/>
      <w:szCs w:val="32"/>
      <w:lang w:eastAsia="en-US"/>
      <w14:ligatures w14:val="standardContextual"/>
    </w:rPr>
  </w:style>
  <w:style w:type="character" w:styleId="UnresolvedMention">
    <w:name w:val="Unresolved Mention"/>
    <w:basedOn w:val="DefaultParagraphFont"/>
    <w:uiPriority w:val="99"/>
    <w:semiHidden/>
    <w:unhideWhenUsed/>
    <w:rsid w:val="002B0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m.coe.int/1680695d6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earch.coe.int/cm?i=09125948802b448b" TargetMode="External"/><Relationship Id="rId4" Type="http://schemas.openxmlformats.org/officeDocument/2006/relationships/settings" Target="settings.xml"/><Relationship Id="rId9" Type="http://schemas.openxmlformats.org/officeDocument/2006/relationships/hyperlink" Target="https://search.coe.int/cm/eng?i=0900001680b17512"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UTIER\ND%20Office%20Echo\DE-WDB7MSWY\E_CMRecommendations-Template%202789-3144-6281%20v.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33EE204-A7B8-45CA-A760-AEA6FD3F5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E_CMRecommendations-Template 2789-3144-6281 v.3</Template>
  <TotalTime>25</TotalTime>
  <Pages>11</Pages>
  <Words>6638</Words>
  <Characters>36514</Characters>
  <Application>Microsoft Office Word</Application>
  <DocSecurity>0</DocSecurity>
  <Lines>304</Lines>
  <Paragraphs>86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43066</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BOUTIER Emma</dc:creator>
  <cp:lastModifiedBy>EVANS Elizabeth</cp:lastModifiedBy>
  <cp:revision>22</cp:revision>
  <cp:lastPrinted>2016-03-16T18:37:00Z</cp:lastPrinted>
  <dcterms:created xsi:type="dcterms:W3CDTF">2026-09-25T07:43:00Z</dcterms:created>
  <dcterms:modified xsi:type="dcterms:W3CDTF">2026-10-06T12:46:00Z</dcterms:modified>
</cp:coreProperties>
</file>