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FC" w:rsidRPr="009803B5" w:rsidRDefault="00143FFC" w:rsidP="004E6594">
      <w:pPr>
        <w:pStyle w:val="FootnoteText"/>
        <w:widowControl/>
        <w:rPr>
          <w:rFonts w:ascii="Times New Roman" w:eastAsia="Times New Roman" w:hAnsi="Times New Roman" w:cs="Times New Roman"/>
          <w:lang w:val="fr-FR"/>
        </w:rPr>
      </w:pPr>
    </w:p>
    <w:p w:rsidR="00143FFC" w:rsidRPr="009803B5" w:rsidRDefault="00143FFC" w:rsidP="004E6594">
      <w:pPr>
        <w:pStyle w:val="FootnoteText"/>
        <w:widowControl/>
        <w:rPr>
          <w:rFonts w:ascii="Times New Roman" w:eastAsia="Times New Roman" w:hAnsi="Times New Roman" w:cs="Times New Roman"/>
          <w:lang w:val="fr-FR"/>
        </w:rPr>
      </w:pPr>
    </w:p>
    <w:p w:rsidR="00143FFC" w:rsidRPr="009803B5" w:rsidRDefault="00143FFC" w:rsidP="004E6594">
      <w:pPr>
        <w:pStyle w:val="FootnoteText"/>
        <w:widowControl/>
        <w:rPr>
          <w:rFonts w:ascii="Times New Roman" w:eastAsia="Times New Roman" w:hAnsi="Times New Roman" w:cs="Times New Roman"/>
          <w:lang w:val="fr-FR"/>
        </w:rPr>
      </w:pPr>
    </w:p>
    <w:p w:rsidR="00143FFC" w:rsidRPr="009803B5" w:rsidRDefault="00143FFC" w:rsidP="004E6594">
      <w:pPr>
        <w:pStyle w:val="FootnoteText"/>
        <w:widowControl/>
        <w:rPr>
          <w:rFonts w:ascii="Times New Roman" w:eastAsia="Times New Roman" w:hAnsi="Times New Roman" w:cs="Times New Roman"/>
          <w:lang w:val="fr-FR"/>
        </w:rPr>
      </w:pPr>
    </w:p>
    <w:p w:rsidR="00143FFC" w:rsidRPr="009803B5" w:rsidRDefault="00143FFC" w:rsidP="004E6594">
      <w:pPr>
        <w:pStyle w:val="FootnoteText"/>
        <w:widowControl/>
        <w:rPr>
          <w:rFonts w:ascii="Times New Roman" w:eastAsia="Times New Roman" w:hAnsi="Times New Roman" w:cs="Times New Roman"/>
          <w:lang w:val="fr-FR"/>
        </w:rPr>
      </w:pPr>
    </w:p>
    <w:p w:rsidR="00143FFC" w:rsidRPr="009803B5" w:rsidRDefault="00143FFC" w:rsidP="004E6594">
      <w:pPr>
        <w:pStyle w:val="FootnoteText"/>
        <w:widowControl/>
        <w:rPr>
          <w:rFonts w:ascii="Times New Roman" w:eastAsia="Times New Roman" w:hAnsi="Times New Roman" w:cs="Times New Roman"/>
          <w:lang w:val="fr-FR"/>
        </w:rPr>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tabs>
          <w:tab w:val="right" w:pos="9044"/>
        </w:tabs>
        <w:ind w:left="8931" w:hanging="8931"/>
      </w:pPr>
    </w:p>
    <w:p w:rsidR="00143FFC" w:rsidRPr="009803B5" w:rsidRDefault="00143FFC" w:rsidP="004E6594">
      <w:pPr>
        <w:pStyle w:val="Corps"/>
        <w:tabs>
          <w:tab w:val="right" w:pos="8931"/>
          <w:tab w:val="right" w:pos="9044"/>
        </w:tabs>
      </w:pPr>
    </w:p>
    <w:p w:rsidR="00143FFC" w:rsidRPr="009803B5" w:rsidRDefault="004E6594" w:rsidP="004E6594">
      <w:pPr>
        <w:pStyle w:val="traduction"/>
        <w:widowControl w:val="0"/>
        <w:tabs>
          <w:tab w:val="left" w:pos="1134"/>
          <w:tab w:val="right" w:pos="9026"/>
        </w:tabs>
        <w:jc w:val="both"/>
        <w:rPr>
          <w:sz w:val="22"/>
          <w:szCs w:val="22"/>
        </w:rPr>
      </w:pPr>
      <w:r w:rsidRPr="009803B5">
        <w:rPr>
          <w:sz w:val="22"/>
          <w:szCs w:val="22"/>
        </w:rPr>
        <w:t xml:space="preserve">Strasbourg, </w:t>
      </w:r>
      <w:r w:rsidR="0039586F">
        <w:rPr>
          <w:sz w:val="22"/>
          <w:szCs w:val="22"/>
        </w:rPr>
        <w:t xml:space="preserve">le </w:t>
      </w:r>
      <w:r w:rsidR="00E05D7D">
        <w:rPr>
          <w:sz w:val="22"/>
          <w:szCs w:val="22"/>
        </w:rPr>
        <w:t>30 novembre</w:t>
      </w:r>
      <w:r w:rsidR="006811D3" w:rsidRPr="009803B5">
        <w:rPr>
          <w:sz w:val="22"/>
          <w:szCs w:val="22"/>
        </w:rPr>
        <w:t xml:space="preserve"> </w:t>
      </w:r>
      <w:r w:rsidR="00E723A3" w:rsidRPr="009803B5">
        <w:rPr>
          <w:sz w:val="22"/>
          <w:szCs w:val="22"/>
        </w:rPr>
        <w:t>2018</w:t>
      </w:r>
      <w:r w:rsidRPr="009803B5">
        <w:rPr>
          <w:sz w:val="22"/>
          <w:szCs w:val="22"/>
        </w:rPr>
        <w:tab/>
      </w:r>
      <w:r w:rsidR="00C5726D" w:rsidRPr="009803B5">
        <w:rPr>
          <w:rFonts w:ascii="Times New Roman Bold"/>
          <w:sz w:val="22"/>
          <w:szCs w:val="22"/>
        </w:rPr>
        <w:t>T-PVS(201</w:t>
      </w:r>
      <w:r w:rsidR="00E723A3" w:rsidRPr="009803B5">
        <w:rPr>
          <w:rFonts w:ascii="Times New Roman Bold"/>
          <w:sz w:val="22"/>
          <w:szCs w:val="22"/>
        </w:rPr>
        <w:t>8</w:t>
      </w:r>
      <w:r w:rsidRPr="009803B5">
        <w:rPr>
          <w:rFonts w:ascii="Times New Roman Bold"/>
          <w:sz w:val="22"/>
          <w:szCs w:val="22"/>
        </w:rPr>
        <w:t>)</w:t>
      </w:r>
      <w:r w:rsidR="00396A46">
        <w:rPr>
          <w:rFonts w:ascii="Times New Roman Bold"/>
          <w:sz w:val="22"/>
          <w:szCs w:val="22"/>
        </w:rPr>
        <w:t>9</w:t>
      </w:r>
    </w:p>
    <w:p w:rsidR="00143FFC" w:rsidRPr="009803B5" w:rsidRDefault="004E6594" w:rsidP="004E6594">
      <w:pPr>
        <w:pStyle w:val="traduction"/>
        <w:widowControl w:val="0"/>
        <w:tabs>
          <w:tab w:val="left" w:pos="1134"/>
          <w:tab w:val="right" w:pos="9026"/>
        </w:tabs>
        <w:jc w:val="both"/>
        <w:rPr>
          <w:sz w:val="22"/>
          <w:szCs w:val="22"/>
        </w:rPr>
      </w:pPr>
      <w:r w:rsidRPr="009803B5">
        <w:rPr>
          <w:sz w:val="22"/>
          <w:szCs w:val="22"/>
        </w:rPr>
        <w:t>[tpvs</w:t>
      </w:r>
      <w:r w:rsidR="00E723A3" w:rsidRPr="009803B5">
        <w:rPr>
          <w:sz w:val="22"/>
          <w:szCs w:val="22"/>
        </w:rPr>
        <w:t>0</w:t>
      </w:r>
      <w:r w:rsidR="00396A46">
        <w:rPr>
          <w:sz w:val="22"/>
          <w:szCs w:val="22"/>
        </w:rPr>
        <w:t>9</w:t>
      </w:r>
      <w:r w:rsidR="006811D3" w:rsidRPr="009803B5">
        <w:rPr>
          <w:sz w:val="22"/>
          <w:szCs w:val="22"/>
        </w:rPr>
        <w:t>f</w:t>
      </w:r>
      <w:r w:rsidRPr="009803B5">
        <w:rPr>
          <w:sz w:val="22"/>
          <w:szCs w:val="22"/>
        </w:rPr>
        <w:t>_201</w:t>
      </w:r>
      <w:r w:rsidR="00E723A3" w:rsidRPr="009803B5">
        <w:rPr>
          <w:sz w:val="22"/>
          <w:szCs w:val="22"/>
        </w:rPr>
        <w:t>8</w:t>
      </w:r>
      <w:r w:rsidRPr="009803B5">
        <w:rPr>
          <w:sz w:val="22"/>
          <w:szCs w:val="22"/>
        </w:rPr>
        <w:t>.docx]</w:t>
      </w:r>
    </w:p>
    <w:p w:rsidR="00143FFC" w:rsidRPr="009803B5" w:rsidRDefault="00143FFC" w:rsidP="004E6594">
      <w:pPr>
        <w:pStyle w:val="traduction"/>
        <w:widowControl w:val="0"/>
        <w:tabs>
          <w:tab w:val="left" w:pos="1134"/>
          <w:tab w:val="right" w:pos="9026"/>
        </w:tabs>
        <w:jc w:val="both"/>
        <w:rPr>
          <w:sz w:val="22"/>
          <w:szCs w:val="22"/>
          <w:shd w:val="clear" w:color="auto" w:fill="FFFF00"/>
        </w:rPr>
      </w:pPr>
    </w:p>
    <w:p w:rsidR="00143FFC" w:rsidRPr="009803B5" w:rsidRDefault="00143FFC" w:rsidP="004E6594">
      <w:pPr>
        <w:pStyle w:val="traduction"/>
        <w:widowControl w:val="0"/>
        <w:tabs>
          <w:tab w:val="left" w:pos="1134"/>
          <w:tab w:val="right" w:pos="9026"/>
        </w:tabs>
        <w:jc w:val="both"/>
        <w:rPr>
          <w:sz w:val="22"/>
          <w:szCs w:val="22"/>
          <w:shd w:val="clear" w:color="auto" w:fill="FFFF00"/>
        </w:rPr>
      </w:pPr>
    </w:p>
    <w:p w:rsidR="00143FFC" w:rsidRPr="009803B5" w:rsidRDefault="006811D3" w:rsidP="004E6594">
      <w:pPr>
        <w:pStyle w:val="Corps"/>
        <w:tabs>
          <w:tab w:val="right" w:pos="9044"/>
        </w:tabs>
        <w:jc w:val="center"/>
        <w:rPr>
          <w:caps/>
        </w:rPr>
      </w:pPr>
      <w:r w:rsidRPr="009803B5">
        <w:t xml:space="preserve">CONVENTION RELATIVE A LA CONSERVATION DE LA VIE SAUVAGE </w:t>
      </w:r>
    </w:p>
    <w:p w:rsidR="00143FFC" w:rsidRPr="009803B5" w:rsidRDefault="006811D3" w:rsidP="004E6594">
      <w:pPr>
        <w:pStyle w:val="Corps"/>
        <w:tabs>
          <w:tab w:val="right" w:pos="9044"/>
        </w:tabs>
        <w:jc w:val="center"/>
        <w:rPr>
          <w:caps/>
        </w:rPr>
      </w:pPr>
      <w:r w:rsidRPr="009803B5">
        <w:t>ET DU MILIEU NATUREL DE L'EUROPE</w:t>
      </w:r>
    </w:p>
    <w:p w:rsidR="00143FFC" w:rsidRPr="009803B5" w:rsidRDefault="00143FFC" w:rsidP="004E6594">
      <w:pPr>
        <w:pStyle w:val="Corps"/>
        <w:tabs>
          <w:tab w:val="right" w:pos="9044"/>
        </w:tabs>
      </w:pPr>
    </w:p>
    <w:p w:rsidR="00143FFC" w:rsidRPr="009803B5" w:rsidRDefault="006811D3" w:rsidP="004E6594">
      <w:pPr>
        <w:pStyle w:val="Corps"/>
        <w:tabs>
          <w:tab w:val="right" w:pos="8789"/>
        </w:tabs>
        <w:jc w:val="center"/>
        <w:rPr>
          <w:rFonts w:eastAsia="Times New Roman Bold"/>
          <w:b/>
          <w:sz w:val="24"/>
          <w:szCs w:val="24"/>
        </w:rPr>
      </w:pPr>
      <w:r w:rsidRPr="009803B5">
        <w:rPr>
          <w:b/>
          <w:sz w:val="24"/>
          <w:szCs w:val="24"/>
        </w:rPr>
        <w:t>Comité permanent</w:t>
      </w:r>
    </w:p>
    <w:p w:rsidR="00143FFC" w:rsidRPr="009803B5" w:rsidRDefault="00143FFC" w:rsidP="004E6594">
      <w:pPr>
        <w:pStyle w:val="Corps"/>
        <w:tabs>
          <w:tab w:val="right" w:pos="8789"/>
        </w:tabs>
        <w:jc w:val="center"/>
        <w:rPr>
          <w:sz w:val="24"/>
          <w:szCs w:val="24"/>
        </w:rPr>
      </w:pPr>
    </w:p>
    <w:p w:rsidR="00143FFC" w:rsidRPr="009803B5" w:rsidRDefault="00C5726D" w:rsidP="004E6594">
      <w:pPr>
        <w:pStyle w:val="Corps"/>
        <w:tabs>
          <w:tab w:val="right" w:pos="8789"/>
        </w:tabs>
        <w:jc w:val="center"/>
        <w:rPr>
          <w:sz w:val="24"/>
          <w:szCs w:val="24"/>
        </w:rPr>
      </w:pPr>
      <w:r w:rsidRPr="009803B5">
        <w:rPr>
          <w:sz w:val="24"/>
          <w:szCs w:val="24"/>
        </w:rPr>
        <w:t>3</w:t>
      </w:r>
      <w:r w:rsidR="00E723A3" w:rsidRPr="009803B5">
        <w:rPr>
          <w:sz w:val="24"/>
          <w:szCs w:val="24"/>
        </w:rPr>
        <w:t>8</w:t>
      </w:r>
      <w:r w:rsidR="006811D3" w:rsidRPr="009803B5">
        <w:rPr>
          <w:sz w:val="24"/>
          <w:szCs w:val="24"/>
          <w:vertAlign w:val="superscript"/>
        </w:rPr>
        <w:t>e</w:t>
      </w:r>
      <w:r w:rsidR="004E6594" w:rsidRPr="009803B5">
        <w:rPr>
          <w:sz w:val="24"/>
          <w:szCs w:val="24"/>
        </w:rPr>
        <w:t> </w:t>
      </w:r>
      <w:r w:rsidR="006811D3" w:rsidRPr="009803B5">
        <w:rPr>
          <w:sz w:val="24"/>
          <w:szCs w:val="24"/>
        </w:rPr>
        <w:t>réunion</w:t>
      </w:r>
    </w:p>
    <w:p w:rsidR="00143FFC" w:rsidRPr="009803B5" w:rsidRDefault="00C5726D" w:rsidP="004E6594">
      <w:pPr>
        <w:pStyle w:val="Corps"/>
        <w:tabs>
          <w:tab w:val="right" w:pos="8789"/>
        </w:tabs>
        <w:jc w:val="center"/>
        <w:rPr>
          <w:sz w:val="24"/>
          <w:szCs w:val="24"/>
        </w:rPr>
      </w:pPr>
      <w:r w:rsidRPr="009803B5">
        <w:rPr>
          <w:sz w:val="24"/>
          <w:szCs w:val="24"/>
        </w:rPr>
        <w:t xml:space="preserve">Strasbourg, </w:t>
      </w:r>
      <w:r w:rsidR="006811D3" w:rsidRPr="009803B5">
        <w:rPr>
          <w:sz w:val="24"/>
          <w:szCs w:val="24"/>
        </w:rPr>
        <w:t xml:space="preserve">27-30 novembre </w:t>
      </w:r>
      <w:r w:rsidR="00E723A3" w:rsidRPr="009803B5">
        <w:rPr>
          <w:sz w:val="24"/>
          <w:szCs w:val="24"/>
        </w:rPr>
        <w:t>2018</w:t>
      </w:r>
    </w:p>
    <w:p w:rsidR="00143FFC" w:rsidRPr="009803B5" w:rsidRDefault="00143FFC" w:rsidP="004E6594">
      <w:pPr>
        <w:pStyle w:val="Corps"/>
        <w:tabs>
          <w:tab w:val="right" w:pos="8931"/>
        </w:tabs>
        <w:rPr>
          <w:sz w:val="24"/>
          <w:szCs w:val="24"/>
        </w:rPr>
      </w:pPr>
    </w:p>
    <w:p w:rsidR="00143FFC" w:rsidRPr="009803B5" w:rsidRDefault="004E6594" w:rsidP="004E6594">
      <w:pPr>
        <w:pStyle w:val="Corps"/>
        <w:tabs>
          <w:tab w:val="right" w:pos="8931"/>
        </w:tabs>
        <w:jc w:val="center"/>
      </w:pPr>
      <w:r w:rsidRPr="009803B5">
        <w:t>__________</w:t>
      </w:r>
    </w:p>
    <w:p w:rsidR="00143FFC" w:rsidRPr="009803B5" w:rsidRDefault="00143FFC" w:rsidP="004E6594">
      <w:pPr>
        <w:pStyle w:val="Corps"/>
        <w:tabs>
          <w:tab w:val="right" w:pos="8789"/>
        </w:tabs>
      </w:pPr>
    </w:p>
    <w:p w:rsidR="00143FFC" w:rsidRPr="009803B5" w:rsidRDefault="00143FFC" w:rsidP="004E6594">
      <w:pPr>
        <w:tabs>
          <w:tab w:val="right" w:pos="8931"/>
        </w:tabs>
      </w:pPr>
    </w:p>
    <w:p w:rsidR="00143FFC" w:rsidRPr="009803B5" w:rsidRDefault="00143FFC" w:rsidP="004E6594">
      <w:pPr>
        <w:tabs>
          <w:tab w:val="right" w:pos="8931"/>
        </w:tabs>
      </w:pPr>
    </w:p>
    <w:p w:rsidR="00143FFC" w:rsidRPr="009803B5" w:rsidRDefault="00143FFC" w:rsidP="004E6594">
      <w:pPr>
        <w:tabs>
          <w:tab w:val="right" w:pos="8931"/>
        </w:tabs>
      </w:pPr>
    </w:p>
    <w:p w:rsidR="00396A46" w:rsidRPr="00C0368F" w:rsidRDefault="00396A46" w:rsidP="00396A46">
      <w:pPr>
        <w:tabs>
          <w:tab w:val="left" w:pos="-1368"/>
          <w:tab w:val="left" w:pos="-912"/>
          <w:tab w:val="left" w:pos="456"/>
          <w:tab w:val="left" w:leader="dot" w:pos="9072"/>
        </w:tabs>
        <w:jc w:val="center"/>
        <w:rPr>
          <w:b/>
          <w:bCs/>
          <w:iCs/>
          <w:smallCaps/>
          <w:color w:val="000000" w:themeColor="text1"/>
          <w:sz w:val="40"/>
          <w:szCs w:val="40"/>
        </w:rPr>
      </w:pPr>
      <w:r w:rsidRPr="00C0368F">
        <w:rPr>
          <w:b/>
          <w:bCs/>
          <w:iCs/>
          <w:smallCaps/>
          <w:color w:val="000000" w:themeColor="text1"/>
          <w:sz w:val="40"/>
          <w:szCs w:val="40"/>
        </w:rPr>
        <w:t>Recommandation</w:t>
      </w:r>
    </w:p>
    <w:p w:rsidR="00396A46" w:rsidRPr="00C0368F" w:rsidRDefault="00396A46" w:rsidP="00396A46">
      <w:pPr>
        <w:tabs>
          <w:tab w:val="left" w:pos="-720"/>
        </w:tabs>
        <w:suppressAutoHyphens/>
        <w:jc w:val="center"/>
        <w:outlineLvl w:val="0"/>
        <w:rPr>
          <w:b/>
          <w:bCs/>
          <w:iCs/>
          <w:smallCaps/>
          <w:color w:val="000000" w:themeColor="text1"/>
          <w:sz w:val="40"/>
          <w:szCs w:val="40"/>
        </w:rPr>
      </w:pPr>
      <w:r w:rsidRPr="00C0368F">
        <w:rPr>
          <w:b/>
          <w:bCs/>
          <w:iCs/>
          <w:smallCaps/>
          <w:color w:val="000000" w:themeColor="text1"/>
          <w:sz w:val="40"/>
          <w:szCs w:val="40"/>
        </w:rPr>
        <w:t>sur le Plan d'action paneuropéen</w:t>
      </w:r>
    </w:p>
    <w:p w:rsidR="00143FFC" w:rsidRPr="009803B5" w:rsidRDefault="00396A46" w:rsidP="00396A46">
      <w:pPr>
        <w:tabs>
          <w:tab w:val="left" w:pos="-1368"/>
          <w:tab w:val="left" w:pos="-912"/>
          <w:tab w:val="left" w:pos="456"/>
          <w:tab w:val="left" w:leader="dot" w:pos="9072"/>
        </w:tabs>
        <w:jc w:val="center"/>
        <w:rPr>
          <w:b/>
          <w:bCs/>
          <w:iCs/>
          <w:smallCaps/>
          <w:sz w:val="40"/>
          <w:szCs w:val="40"/>
        </w:rPr>
      </w:pPr>
      <w:r w:rsidRPr="00C0368F">
        <w:rPr>
          <w:b/>
          <w:bCs/>
          <w:iCs/>
          <w:smallCaps/>
          <w:color w:val="000000" w:themeColor="text1"/>
          <w:sz w:val="40"/>
          <w:szCs w:val="40"/>
        </w:rPr>
        <w:t>pour la conservation des esturgeons</w:t>
      </w: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Default="00143FFC" w:rsidP="004E6594">
      <w:pPr>
        <w:tabs>
          <w:tab w:val="left" w:pos="-720"/>
        </w:tabs>
        <w:suppressAutoHyphens/>
        <w:jc w:val="center"/>
        <w:outlineLvl w:val="0"/>
        <w:rPr>
          <w:b/>
        </w:rPr>
      </w:pPr>
    </w:p>
    <w:p w:rsidR="0039586F" w:rsidRDefault="0039586F" w:rsidP="004E6594">
      <w:pPr>
        <w:tabs>
          <w:tab w:val="left" w:pos="-720"/>
        </w:tabs>
        <w:suppressAutoHyphens/>
        <w:jc w:val="center"/>
        <w:outlineLvl w:val="0"/>
        <w:rPr>
          <w:b/>
        </w:rPr>
      </w:pPr>
    </w:p>
    <w:p w:rsidR="0039586F" w:rsidRPr="009803B5" w:rsidRDefault="0039586F"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sz w:val="22"/>
          <w:szCs w:val="22"/>
        </w:rPr>
      </w:pPr>
    </w:p>
    <w:p w:rsidR="00143FFC" w:rsidRPr="009803B5" w:rsidRDefault="004E6594" w:rsidP="004E6594">
      <w:pPr>
        <w:tabs>
          <w:tab w:val="left" w:pos="-720"/>
          <w:tab w:val="left" w:pos="0"/>
        </w:tabs>
        <w:suppressAutoHyphens/>
        <w:jc w:val="center"/>
        <w:rPr>
          <w:i/>
          <w:sz w:val="22"/>
          <w:szCs w:val="22"/>
        </w:rPr>
      </w:pPr>
      <w:r w:rsidRPr="009803B5">
        <w:rPr>
          <w:i/>
          <w:sz w:val="22"/>
          <w:szCs w:val="22"/>
        </w:rPr>
        <w:t>Document</w:t>
      </w:r>
    </w:p>
    <w:p w:rsidR="00143FFC" w:rsidRPr="009803B5" w:rsidRDefault="00143FFC" w:rsidP="004E6594">
      <w:pPr>
        <w:tabs>
          <w:tab w:val="left" w:pos="-720"/>
          <w:tab w:val="left" w:pos="0"/>
        </w:tabs>
        <w:suppressAutoHyphens/>
        <w:jc w:val="center"/>
        <w:rPr>
          <w:i/>
          <w:iCs/>
          <w:sz w:val="22"/>
          <w:szCs w:val="22"/>
        </w:rPr>
      </w:pPr>
      <w:proofErr w:type="gramStart"/>
      <w:r w:rsidRPr="009803B5">
        <w:rPr>
          <w:i/>
          <w:iCs/>
          <w:sz w:val="22"/>
          <w:szCs w:val="22"/>
        </w:rPr>
        <w:t>préparé</w:t>
      </w:r>
      <w:proofErr w:type="gramEnd"/>
      <w:r w:rsidRPr="009803B5">
        <w:rPr>
          <w:i/>
          <w:iCs/>
          <w:sz w:val="22"/>
          <w:szCs w:val="22"/>
        </w:rPr>
        <w:t xml:space="preserve"> par la</w:t>
      </w:r>
    </w:p>
    <w:p w:rsidR="00143FFC" w:rsidRPr="009803B5" w:rsidRDefault="00143FFC" w:rsidP="0071584E">
      <w:pPr>
        <w:tabs>
          <w:tab w:val="left" w:pos="-720"/>
          <w:tab w:val="left" w:pos="0"/>
        </w:tabs>
        <w:suppressAutoHyphens/>
        <w:jc w:val="center"/>
        <w:rPr>
          <w:sz w:val="22"/>
          <w:szCs w:val="22"/>
        </w:rPr>
      </w:pPr>
      <w:r w:rsidRPr="009803B5">
        <w:rPr>
          <w:i/>
          <w:iCs/>
          <w:sz w:val="22"/>
          <w:szCs w:val="22"/>
        </w:rPr>
        <w:t xml:space="preserve">Direction de la </w:t>
      </w:r>
      <w:r w:rsidR="007446AF">
        <w:rPr>
          <w:i/>
          <w:iCs/>
          <w:sz w:val="22"/>
          <w:szCs w:val="22"/>
        </w:rPr>
        <w:t>P</w:t>
      </w:r>
      <w:r w:rsidRPr="009803B5">
        <w:rPr>
          <w:i/>
          <w:iCs/>
          <w:sz w:val="22"/>
          <w:szCs w:val="22"/>
        </w:rPr>
        <w:t xml:space="preserve">articipation démocratique </w:t>
      </w:r>
      <w:r w:rsidR="004E6594" w:rsidRPr="009803B5">
        <w:rPr>
          <w:sz w:val="22"/>
          <w:szCs w:val="22"/>
        </w:rPr>
        <w:br w:type="page"/>
      </w:r>
    </w:p>
    <w:p w:rsidR="00CE1D80" w:rsidRPr="00C0368F" w:rsidRDefault="00CE1D80" w:rsidP="00CE1D80">
      <w:pPr>
        <w:spacing w:after="120"/>
        <w:jc w:val="both"/>
        <w:rPr>
          <w:color w:val="000000" w:themeColor="text1"/>
          <w:sz w:val="24"/>
          <w:szCs w:val="24"/>
        </w:rPr>
      </w:pPr>
      <w:r w:rsidRPr="00C0368F">
        <w:rPr>
          <w:noProof/>
          <w:color w:val="000000" w:themeColor="text1"/>
        </w:rPr>
        <w:lastRenderedPageBreak/>
        <w:drawing>
          <wp:anchor distT="0" distB="0" distL="114300" distR="114300" simplePos="0" relativeHeight="251659264" behindDoc="0" locked="1" layoutInCell="1" allowOverlap="1" wp14:anchorId="6B72F181" wp14:editId="33A7D7E0">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D80"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p>
    <w:p w:rsidR="00CE1D80" w:rsidRPr="00C0368F"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p>
    <w:p w:rsidR="00CE1D80" w:rsidRPr="00C0368F"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p>
    <w:p w:rsidR="00CE1D80" w:rsidRPr="00C0368F"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p>
    <w:p w:rsidR="00CE1D80" w:rsidRPr="00C0368F"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r w:rsidRPr="00C0368F">
        <w:rPr>
          <w:iCs/>
          <w:color w:val="000000" w:themeColor="text1"/>
          <w:sz w:val="24"/>
          <w:szCs w:val="24"/>
        </w:rPr>
        <w:t>Convention relative à la conservation de la vie sauvage</w:t>
      </w:r>
    </w:p>
    <w:p w:rsidR="00CE1D80" w:rsidRPr="00C0368F"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proofErr w:type="gramStart"/>
      <w:r w:rsidRPr="00C0368F">
        <w:rPr>
          <w:iCs/>
          <w:color w:val="000000" w:themeColor="text1"/>
          <w:sz w:val="24"/>
          <w:szCs w:val="24"/>
        </w:rPr>
        <w:t>et</w:t>
      </w:r>
      <w:proofErr w:type="gramEnd"/>
      <w:r w:rsidRPr="00C0368F">
        <w:rPr>
          <w:iCs/>
          <w:color w:val="000000" w:themeColor="text1"/>
          <w:sz w:val="24"/>
          <w:szCs w:val="24"/>
        </w:rPr>
        <w:t xml:space="preserve"> du milieu naturel de l'Europe</w:t>
      </w:r>
    </w:p>
    <w:p w:rsidR="00CE1D80" w:rsidRPr="00C0368F"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p>
    <w:p w:rsidR="00CE1D80" w:rsidRPr="00C0368F" w:rsidRDefault="00CE1D80" w:rsidP="00CE1D80">
      <w:pPr>
        <w:tabs>
          <w:tab w:val="left" w:pos="380"/>
          <w:tab w:val="left" w:pos="709"/>
          <w:tab w:val="left" w:pos="3799"/>
          <w:tab w:val="right" w:pos="9063"/>
        </w:tabs>
        <w:spacing w:after="120"/>
        <w:ind w:left="1140" w:right="-50"/>
        <w:jc w:val="both"/>
        <w:rPr>
          <w:iCs/>
          <w:color w:val="000000" w:themeColor="text1"/>
          <w:sz w:val="24"/>
          <w:szCs w:val="24"/>
        </w:rPr>
      </w:pPr>
      <w:r w:rsidRPr="00C0368F">
        <w:rPr>
          <w:iCs/>
          <w:color w:val="000000" w:themeColor="text1"/>
          <w:sz w:val="24"/>
          <w:szCs w:val="24"/>
        </w:rPr>
        <w:t>Comité permanent</w:t>
      </w:r>
    </w:p>
    <w:p w:rsidR="00CE1D80" w:rsidRPr="00C0368F" w:rsidRDefault="00CE1D80" w:rsidP="00CE1D80">
      <w:pPr>
        <w:pStyle w:val="NormalWeb"/>
        <w:spacing w:before="0" w:beforeAutospacing="0" w:after="120" w:afterAutospacing="0"/>
        <w:jc w:val="both"/>
        <w:rPr>
          <w:b/>
          <w:bCs/>
          <w:color w:val="000000" w:themeColor="text1"/>
          <w:sz w:val="24"/>
          <w:szCs w:val="24"/>
        </w:rPr>
      </w:pPr>
    </w:p>
    <w:p w:rsidR="00E05D7D" w:rsidRPr="00E05D7D" w:rsidRDefault="00E05D7D" w:rsidP="00E05D7D">
      <w:pPr>
        <w:spacing w:after="120"/>
        <w:jc w:val="both"/>
        <w:rPr>
          <w:rFonts w:eastAsia="Times New Roman"/>
          <w:b/>
          <w:bCs/>
          <w:color w:val="000000" w:themeColor="text1"/>
          <w:sz w:val="24"/>
          <w:szCs w:val="24"/>
          <w:lang w:eastAsia="es-ES"/>
        </w:rPr>
      </w:pPr>
      <w:r w:rsidRPr="00E05D7D">
        <w:rPr>
          <w:rFonts w:eastAsia="Times New Roman"/>
          <w:b/>
          <w:bCs/>
          <w:color w:val="000000" w:themeColor="text1"/>
          <w:sz w:val="24"/>
          <w:szCs w:val="24"/>
          <w:lang w:eastAsia="es-ES"/>
        </w:rPr>
        <w:t>Recommandation n° 199</w:t>
      </w:r>
      <w:r w:rsidRPr="00E05D7D">
        <w:rPr>
          <w:rFonts w:eastAsia="Times New Roman"/>
          <w:b/>
          <w:color w:val="000000" w:themeColor="text1"/>
          <w:sz w:val="24"/>
          <w:szCs w:val="24"/>
          <w:lang w:eastAsia="es-ES"/>
        </w:rPr>
        <w:t xml:space="preserve"> </w:t>
      </w:r>
      <w:r w:rsidRPr="00E05D7D">
        <w:rPr>
          <w:rFonts w:eastAsia="Times New Roman"/>
          <w:b/>
          <w:bCs/>
          <w:color w:val="000000" w:themeColor="text1"/>
          <w:spacing w:val="-2"/>
          <w:sz w:val="24"/>
          <w:szCs w:val="24"/>
          <w:lang w:eastAsia="es-ES"/>
        </w:rPr>
        <w:t>(2018)</w:t>
      </w:r>
      <w:r w:rsidRPr="00E05D7D">
        <w:rPr>
          <w:rFonts w:eastAsia="Times New Roman"/>
          <w:b/>
          <w:color w:val="000000" w:themeColor="text1"/>
          <w:sz w:val="24"/>
          <w:szCs w:val="24"/>
          <w:lang w:eastAsia="es-ES"/>
        </w:rPr>
        <w:t xml:space="preserve"> </w:t>
      </w:r>
      <w:r w:rsidRPr="00E05D7D">
        <w:rPr>
          <w:rFonts w:eastAsia="Times New Roman"/>
          <w:b/>
          <w:bCs/>
          <w:color w:val="000000" w:themeColor="text1"/>
          <w:sz w:val="24"/>
          <w:szCs w:val="24"/>
          <w:lang w:eastAsia="es-ES"/>
        </w:rPr>
        <w:t>du Comité permanent, adoptée le 30 novembre 2018, sur le Plan d'action paneuropéen pour la conservation des esturgeons</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 xml:space="preserve">Le Comité permanent de la Convention relative à la conservation de la vie sauvage et du milieu naturel de l'Europe, agissant en vertu de l'article 14 de la Convention, </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Eu égard aux objectifs de la Convention, qui sont de protéger la flore et la faune sauvages ainsi que leur habitat naturel;</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Rappelant que l'article 1, paragraphe 2, de la Convention demande aux Parties contractantes d'accorder une attention particulière aux espèces menacées d'extinction et vulnérables;</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 xml:space="preserve">Rappelant qu'en vertu de l'article 3 de la Convention, « Chaque Partie contractante prend les mesures nécessaires pour que soient mises en œuvre des politiques nationales de conservation de la flore et de la faune sauvages et des habitats naturels, en accordant une attention particulière aux espèces menacées d'extinction et vulnérables, surtout aux espèces endémiques, et aux habitats menacés »; </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 xml:space="preserve">Rappelant que l'article 4, paragraphe 1 de la Convention exige des Parties contractantes qu'elles prennent les mesures législatives et réglementaires appropriées et nécessaires pour protéger les habitats des espèces sauvages de la flore et de la faune, en particulier de celles énumérées dans les annexes I et II, et pour sauvegarder les habitats naturels menacés de disparition; </w:t>
      </w:r>
    </w:p>
    <w:p w:rsidR="00E05D7D" w:rsidRPr="00BD18FF" w:rsidRDefault="00E05D7D" w:rsidP="00E05D7D">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color w:val="000000" w:themeColor="text1"/>
          <w:spacing w:val="-2"/>
          <w:sz w:val="22"/>
          <w:szCs w:val="22"/>
        </w:rPr>
      </w:pPr>
      <w:r w:rsidRPr="00BD18FF">
        <w:rPr>
          <w:color w:val="000000" w:themeColor="text1"/>
          <w:spacing w:val="-2"/>
          <w:sz w:val="22"/>
          <w:szCs w:val="22"/>
        </w:rPr>
        <w:t>Rappelant sa Recommandation n° 59 (1997) sur l'élaboration et la mise en œuvre de plans d'action en faveur des espèces de la faune sauvage;</w:t>
      </w:r>
    </w:p>
    <w:p w:rsidR="00E05D7D" w:rsidRPr="00BD18FF" w:rsidRDefault="00E05D7D" w:rsidP="00E05D7D">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color w:val="000000" w:themeColor="text1"/>
          <w:spacing w:val="-2"/>
          <w:sz w:val="22"/>
          <w:szCs w:val="22"/>
        </w:rPr>
      </w:pPr>
      <w:r w:rsidRPr="00BD18FF">
        <w:rPr>
          <w:color w:val="000000" w:themeColor="text1"/>
          <w:spacing w:val="-2"/>
          <w:sz w:val="22"/>
          <w:szCs w:val="22"/>
        </w:rPr>
        <w:t>Rappelant sa Recommandation n° 41 (1993) sur la protection des poissons d'eau douce;</w:t>
      </w:r>
    </w:p>
    <w:p w:rsidR="00E05D7D" w:rsidRPr="00BD18FF" w:rsidRDefault="00E05D7D" w:rsidP="00E05D7D">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color w:val="000000" w:themeColor="text1"/>
          <w:spacing w:val="-2"/>
          <w:sz w:val="22"/>
          <w:szCs w:val="22"/>
        </w:rPr>
      </w:pPr>
      <w:r w:rsidRPr="00BD18FF">
        <w:rPr>
          <w:color w:val="000000" w:themeColor="text1"/>
          <w:spacing w:val="-2"/>
          <w:sz w:val="22"/>
          <w:szCs w:val="22"/>
        </w:rPr>
        <w:t>Rappelant sa Recommandation n° 116 (2005) relative à la conservation des esturgeons (</w:t>
      </w:r>
      <w:proofErr w:type="spellStart"/>
      <w:r w:rsidRPr="00BD18FF">
        <w:rPr>
          <w:i/>
          <w:color w:val="000000" w:themeColor="text1"/>
          <w:spacing w:val="-2"/>
          <w:sz w:val="22"/>
          <w:szCs w:val="22"/>
        </w:rPr>
        <w:t>Acipenseridae</w:t>
      </w:r>
      <w:proofErr w:type="spellEnd"/>
      <w:r w:rsidRPr="00BD18FF">
        <w:rPr>
          <w:color w:val="000000" w:themeColor="text1"/>
          <w:spacing w:val="-2"/>
          <w:sz w:val="22"/>
          <w:szCs w:val="22"/>
        </w:rPr>
        <w:t>) dans le bassin du Danube;</w:t>
      </w:r>
    </w:p>
    <w:p w:rsidR="00E05D7D" w:rsidRPr="00BD18FF" w:rsidRDefault="00E05D7D" w:rsidP="00E05D7D">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bCs/>
          <w:color w:val="000000" w:themeColor="text1"/>
          <w:spacing w:val="-2"/>
          <w:sz w:val="22"/>
          <w:szCs w:val="22"/>
        </w:rPr>
      </w:pPr>
      <w:r w:rsidRPr="00BD18FF">
        <w:rPr>
          <w:bCs/>
          <w:color w:val="000000" w:themeColor="text1"/>
          <w:spacing w:val="-2"/>
          <w:sz w:val="22"/>
          <w:szCs w:val="22"/>
        </w:rPr>
        <w:t>Rappelant sa Recommandation n° 127 (2007) sur la conservation et la restauration de l'Esturgeon européen (</w:t>
      </w:r>
      <w:proofErr w:type="spellStart"/>
      <w:r w:rsidRPr="00BD18FF">
        <w:rPr>
          <w:bCs/>
          <w:i/>
          <w:color w:val="000000" w:themeColor="text1"/>
          <w:spacing w:val="-2"/>
          <w:sz w:val="22"/>
          <w:szCs w:val="22"/>
        </w:rPr>
        <w:t>Acipenser</w:t>
      </w:r>
      <w:proofErr w:type="spellEnd"/>
      <w:r w:rsidRPr="00BD18FF">
        <w:rPr>
          <w:bCs/>
          <w:i/>
          <w:color w:val="000000" w:themeColor="text1"/>
          <w:spacing w:val="-2"/>
          <w:sz w:val="22"/>
          <w:szCs w:val="22"/>
        </w:rPr>
        <w:t xml:space="preserve"> </w:t>
      </w:r>
      <w:proofErr w:type="spellStart"/>
      <w:r w:rsidRPr="00BD18FF">
        <w:rPr>
          <w:bCs/>
          <w:i/>
          <w:color w:val="000000" w:themeColor="text1"/>
          <w:spacing w:val="-2"/>
          <w:sz w:val="22"/>
          <w:szCs w:val="22"/>
        </w:rPr>
        <w:t>sturio</w:t>
      </w:r>
      <w:proofErr w:type="spellEnd"/>
      <w:r w:rsidRPr="00BD18FF">
        <w:rPr>
          <w:bCs/>
          <w:color w:val="000000" w:themeColor="text1"/>
          <w:spacing w:val="-2"/>
          <w:sz w:val="22"/>
          <w:szCs w:val="22"/>
        </w:rPr>
        <w:t>);</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Rappelant le rapport sur l’état de mise en œuvre du Plan d'action concernant les esturgeons (</w:t>
      </w:r>
      <w:proofErr w:type="spellStart"/>
      <w:r w:rsidRPr="00BD18FF">
        <w:rPr>
          <w:rFonts w:ascii="Times New Roman" w:hAnsi="Times New Roman"/>
          <w:i/>
          <w:color w:val="000000" w:themeColor="text1"/>
          <w:sz w:val="22"/>
          <w:szCs w:val="22"/>
        </w:rPr>
        <w:t>Acipenseridae</w:t>
      </w:r>
      <w:proofErr w:type="spellEnd"/>
      <w:r w:rsidRPr="00BD18FF">
        <w:rPr>
          <w:rFonts w:ascii="Times New Roman" w:hAnsi="Times New Roman"/>
          <w:color w:val="000000" w:themeColor="text1"/>
          <w:sz w:val="22"/>
          <w:szCs w:val="22"/>
        </w:rPr>
        <w:t xml:space="preserve">) dans le bassin du Danube, préparée par DSTF [document </w:t>
      </w:r>
      <w:hyperlink r:id="rId9" w:tgtFrame="_blank" w:tooltip="T-PVS/Inf (2017) 22" w:history="1">
        <w:r w:rsidRPr="00BD18FF">
          <w:rPr>
            <w:rStyle w:val="Hyperlink"/>
            <w:rFonts w:ascii="Times New Roman" w:hAnsi="Times New Roman"/>
            <w:color w:val="000000" w:themeColor="text1"/>
            <w:sz w:val="22"/>
            <w:szCs w:val="22"/>
          </w:rPr>
          <w:t>T</w:t>
        </w:r>
        <w:r w:rsidRPr="00BD18FF">
          <w:rPr>
            <w:rStyle w:val="Hyperlink"/>
            <w:rFonts w:ascii="Times New Roman" w:hAnsi="Times New Roman"/>
            <w:color w:val="000000" w:themeColor="text1"/>
            <w:sz w:val="22"/>
            <w:szCs w:val="22"/>
          </w:rPr>
          <w:noBreakHyphen/>
          <w:t>PVS/</w:t>
        </w:r>
        <w:proofErr w:type="spellStart"/>
        <w:r w:rsidRPr="00BD18FF">
          <w:rPr>
            <w:rStyle w:val="Hyperlink"/>
            <w:rFonts w:ascii="Times New Roman" w:hAnsi="Times New Roman"/>
            <w:color w:val="000000" w:themeColor="text1"/>
            <w:sz w:val="22"/>
            <w:szCs w:val="22"/>
          </w:rPr>
          <w:t>Inf</w:t>
        </w:r>
        <w:proofErr w:type="spellEnd"/>
        <w:r w:rsidRPr="00BD18FF">
          <w:rPr>
            <w:rStyle w:val="Hyperlink"/>
            <w:rFonts w:ascii="Times New Roman" w:hAnsi="Times New Roman"/>
            <w:color w:val="000000" w:themeColor="text1"/>
            <w:sz w:val="22"/>
            <w:szCs w:val="22"/>
          </w:rPr>
          <w:t>(2017)22</w:t>
        </w:r>
      </w:hyperlink>
      <w:r w:rsidRPr="00BD18FF">
        <w:rPr>
          <w:rFonts w:ascii="Times New Roman" w:hAnsi="Times New Roman"/>
          <w:color w:val="000000" w:themeColor="text1"/>
          <w:sz w:val="22"/>
          <w:szCs w:val="22"/>
        </w:rPr>
        <w:t>] et présenté à sa 37</w:t>
      </w:r>
      <w:r w:rsidRPr="00BD18FF">
        <w:rPr>
          <w:rFonts w:ascii="Times New Roman" w:hAnsi="Times New Roman"/>
          <w:color w:val="000000" w:themeColor="text1"/>
          <w:sz w:val="22"/>
          <w:szCs w:val="22"/>
          <w:vertAlign w:val="superscript"/>
        </w:rPr>
        <w:t>e</w:t>
      </w:r>
      <w:r w:rsidRPr="00BD18FF">
        <w:rPr>
          <w:rFonts w:ascii="Times New Roman" w:hAnsi="Times New Roman"/>
          <w:color w:val="000000" w:themeColor="text1"/>
          <w:sz w:val="22"/>
          <w:szCs w:val="22"/>
        </w:rPr>
        <w:t xml:space="preserve"> réunion, en décembre 2017;</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Alarmé par le fait que l’espèce est toujours en danger critique d'extinction;</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Rappelant que, malgré l’adoption de plusieurs plans d'action en faveur des esturgeons d’Europe au cours des 15 dernières années, l’espèce reste le poisson le plus menacé d’extinction en Europe, sans aucun signe de rétablissement;</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Conscient que les causes du manque de réussite des efforts de sauvegarde consentis au cours des 15 dernières années sont complexes et s’expliquent par des problèmes divers mais liés comme le manque de moyens, l’absence de coordination des initiatives et une prise de conscience insuffisante du public et des décideurs politiques;</w:t>
      </w:r>
    </w:p>
    <w:p w:rsidR="00E05D7D" w:rsidRPr="00BD18FF" w:rsidRDefault="00E05D7D" w:rsidP="00E05D7D">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color w:val="000000" w:themeColor="text1"/>
          <w:spacing w:val="-2"/>
          <w:sz w:val="22"/>
          <w:szCs w:val="22"/>
        </w:rPr>
      </w:pPr>
      <w:r w:rsidRPr="00BD18FF">
        <w:rPr>
          <w:color w:val="000000" w:themeColor="text1"/>
          <w:spacing w:val="-2"/>
          <w:sz w:val="22"/>
          <w:szCs w:val="22"/>
        </w:rPr>
        <w:lastRenderedPageBreak/>
        <w:t>Désireux d’intensifier les efforts de sauvegarde en faveur des esturgeons d’Europe, en coordination et en coopération avec tous les autres AME, acteurs et institutions/plateformes (gouvernementales et non gouvernementales) compétents;</w:t>
      </w:r>
    </w:p>
    <w:p w:rsidR="00E05D7D" w:rsidRPr="00BD18FF" w:rsidRDefault="00E05D7D" w:rsidP="00E05D7D">
      <w:pPr>
        <w:pStyle w:val="NormalWeb"/>
        <w:spacing w:before="0" w:beforeAutospacing="0" w:after="120" w:afterAutospacing="0"/>
        <w:jc w:val="both"/>
        <w:rPr>
          <w:rFonts w:ascii="Times New Roman" w:hAnsi="Times New Roman"/>
          <w:color w:val="000000" w:themeColor="text1"/>
          <w:sz w:val="22"/>
          <w:szCs w:val="22"/>
        </w:rPr>
      </w:pPr>
      <w:r w:rsidRPr="00BD18FF">
        <w:rPr>
          <w:rFonts w:ascii="Times New Roman" w:hAnsi="Times New Roman"/>
          <w:color w:val="000000" w:themeColor="text1"/>
          <w:sz w:val="22"/>
          <w:szCs w:val="22"/>
        </w:rPr>
        <w:t>Souhaitant vivement éviter de nouvelles pertes de biodiversité biologique en Europe, et notamment celle de cette espèce emblématique des écosystèmes des cours d’eau,</w:t>
      </w:r>
    </w:p>
    <w:p w:rsidR="00E05D7D" w:rsidRPr="00BD18FF" w:rsidRDefault="00E05D7D" w:rsidP="00E05D7D">
      <w:pPr>
        <w:spacing w:after="120"/>
        <w:jc w:val="both"/>
        <w:rPr>
          <w:color w:val="000000" w:themeColor="text1"/>
          <w:spacing w:val="-2"/>
          <w:sz w:val="22"/>
          <w:szCs w:val="22"/>
        </w:rPr>
      </w:pPr>
      <w:r w:rsidRPr="00BD18FF">
        <w:rPr>
          <w:color w:val="000000" w:themeColor="text1"/>
          <w:spacing w:val="-2"/>
          <w:sz w:val="22"/>
          <w:szCs w:val="22"/>
        </w:rPr>
        <w:t>Recommande aux Parties contractantes à la Convention de, et invite les États observateurs à:</w:t>
      </w:r>
    </w:p>
    <w:p w:rsidR="00E05D7D" w:rsidRPr="00BD18FF" w:rsidRDefault="00E05D7D" w:rsidP="00E05D7D">
      <w:pPr>
        <w:pStyle w:val="NormalWeb"/>
        <w:spacing w:before="0" w:beforeAutospacing="0" w:after="120" w:afterAutospacing="0"/>
        <w:ind w:left="426" w:hanging="426"/>
        <w:jc w:val="both"/>
        <w:rPr>
          <w:rFonts w:ascii="Times New Roman" w:hAnsi="Times New Roman"/>
          <w:sz w:val="22"/>
          <w:szCs w:val="22"/>
        </w:rPr>
      </w:pPr>
      <w:r w:rsidRPr="00BD18FF">
        <w:rPr>
          <w:rFonts w:ascii="Times New Roman" w:hAnsi="Times New Roman"/>
          <w:spacing w:val="-2"/>
          <w:sz w:val="22"/>
          <w:szCs w:val="22"/>
        </w:rPr>
        <w:t>1.</w:t>
      </w:r>
      <w:r w:rsidRPr="00BD18FF">
        <w:rPr>
          <w:rFonts w:ascii="Times New Roman" w:hAnsi="Times New Roman"/>
          <w:spacing w:val="-2"/>
          <w:sz w:val="22"/>
          <w:szCs w:val="22"/>
        </w:rPr>
        <w:tab/>
        <w:t xml:space="preserve">pleinement mettre en œuvre toutes les mesures énoncées dans le Plan d'action paneuropéen pour la conservation des esturgeons  [document </w:t>
      </w:r>
      <w:r w:rsidRPr="00BD18FF">
        <w:rPr>
          <w:rFonts w:ascii="Times New Roman" w:hAnsi="Times New Roman"/>
          <w:sz w:val="22"/>
          <w:szCs w:val="22"/>
        </w:rPr>
        <w:t>T-PVS/</w:t>
      </w:r>
      <w:proofErr w:type="spellStart"/>
      <w:r w:rsidRPr="00BD18FF">
        <w:rPr>
          <w:rFonts w:ascii="Times New Roman" w:hAnsi="Times New Roman"/>
          <w:sz w:val="22"/>
          <w:szCs w:val="22"/>
        </w:rPr>
        <w:t>Inf</w:t>
      </w:r>
      <w:proofErr w:type="spellEnd"/>
      <w:r w:rsidRPr="00BD18FF">
        <w:rPr>
          <w:rFonts w:ascii="Times New Roman" w:hAnsi="Times New Roman"/>
          <w:sz w:val="22"/>
          <w:szCs w:val="22"/>
        </w:rPr>
        <w:t>(2018)6];</w:t>
      </w:r>
    </w:p>
    <w:p w:rsidR="00E05D7D" w:rsidRPr="00BD18FF" w:rsidRDefault="00E05D7D" w:rsidP="00E05D7D">
      <w:pPr>
        <w:pStyle w:val="NormalWeb"/>
        <w:spacing w:before="0" w:beforeAutospacing="0" w:after="120" w:afterAutospacing="0"/>
        <w:jc w:val="both"/>
        <w:rPr>
          <w:rFonts w:ascii="Times New Roman" w:hAnsi="Times New Roman"/>
          <w:sz w:val="22"/>
          <w:szCs w:val="22"/>
        </w:rPr>
      </w:pPr>
      <w:r w:rsidRPr="00BD18FF">
        <w:rPr>
          <w:rFonts w:ascii="Times New Roman" w:hAnsi="Times New Roman"/>
          <w:sz w:val="22"/>
          <w:szCs w:val="22"/>
        </w:rPr>
        <w:t>Charge le Secrétariat de la Convention de Berne de:</w:t>
      </w:r>
    </w:p>
    <w:p w:rsidR="00E05D7D" w:rsidRPr="00BD18FF" w:rsidRDefault="00E05D7D" w:rsidP="00E05D7D">
      <w:pPr>
        <w:pStyle w:val="NormalWeb"/>
        <w:spacing w:before="0" w:beforeAutospacing="0" w:after="120" w:afterAutospacing="0"/>
        <w:ind w:left="426" w:hanging="426"/>
        <w:jc w:val="both"/>
        <w:rPr>
          <w:rFonts w:ascii="Times New Roman" w:hAnsi="Times New Roman"/>
          <w:spacing w:val="-2"/>
          <w:sz w:val="22"/>
          <w:szCs w:val="22"/>
        </w:rPr>
      </w:pPr>
      <w:r w:rsidRPr="00BD18FF">
        <w:rPr>
          <w:rFonts w:ascii="Times New Roman" w:hAnsi="Times New Roman"/>
          <w:spacing w:val="-2"/>
          <w:sz w:val="22"/>
          <w:szCs w:val="22"/>
        </w:rPr>
        <w:t>1.</w:t>
      </w:r>
      <w:r w:rsidRPr="00BD18FF">
        <w:rPr>
          <w:rFonts w:ascii="Times New Roman" w:hAnsi="Times New Roman"/>
          <w:spacing w:val="-2"/>
          <w:sz w:val="22"/>
          <w:szCs w:val="22"/>
        </w:rPr>
        <w:tab/>
        <w:t>surveiller étroitement l’application du Plan d'action avec tous les autres AME, acteurs et institutions/plateformes (gouvernementales et non gouvernementales) compétents, si possible en créant un groupe de travail spécifique;</w:t>
      </w:r>
    </w:p>
    <w:p w:rsidR="00E05D7D" w:rsidRPr="00BD18FF" w:rsidRDefault="00E05D7D" w:rsidP="00E05D7D">
      <w:pPr>
        <w:pStyle w:val="NormalWeb"/>
        <w:spacing w:before="0" w:beforeAutospacing="0" w:after="120" w:afterAutospacing="0"/>
        <w:ind w:left="426" w:hanging="426"/>
        <w:jc w:val="both"/>
        <w:rPr>
          <w:rFonts w:ascii="Times New Roman" w:hAnsi="Times New Roman"/>
          <w:spacing w:val="-2"/>
          <w:sz w:val="22"/>
          <w:szCs w:val="22"/>
        </w:rPr>
      </w:pPr>
      <w:r w:rsidRPr="00BD18FF">
        <w:rPr>
          <w:rFonts w:ascii="Times New Roman" w:hAnsi="Times New Roman"/>
          <w:spacing w:val="-2"/>
          <w:sz w:val="22"/>
          <w:szCs w:val="22"/>
        </w:rPr>
        <w:t>2.</w:t>
      </w:r>
      <w:r w:rsidRPr="00BD18FF">
        <w:rPr>
          <w:rFonts w:ascii="Times New Roman" w:hAnsi="Times New Roman"/>
          <w:spacing w:val="-2"/>
          <w:sz w:val="22"/>
          <w:szCs w:val="22"/>
        </w:rPr>
        <w:tab/>
        <w:t>coordonner la mise en œuvre de rapports périodiques sur l’application du Plan d'action au niveau national, avec l’appui du groupe de travail spécifique, afin de suivre les progrès dans la mise en œuvre des actions recommandées et d’encourager la gestion adaptative;</w:t>
      </w:r>
    </w:p>
    <w:p w:rsidR="00E05D7D" w:rsidRPr="00BD18FF" w:rsidRDefault="00E05D7D" w:rsidP="00E05D7D">
      <w:pPr>
        <w:pStyle w:val="NormalWeb"/>
        <w:spacing w:before="0" w:beforeAutospacing="0" w:after="120" w:afterAutospacing="0"/>
        <w:ind w:left="426" w:hanging="426"/>
        <w:jc w:val="both"/>
        <w:rPr>
          <w:rFonts w:ascii="Times New Roman" w:hAnsi="Times New Roman"/>
          <w:spacing w:val="-2"/>
          <w:sz w:val="22"/>
          <w:szCs w:val="22"/>
        </w:rPr>
      </w:pPr>
    </w:p>
    <w:p w:rsidR="00E05D7D" w:rsidRDefault="00E05D7D" w:rsidP="00E05D7D">
      <w:pPr>
        <w:rPr>
          <w:spacing w:val="-2"/>
          <w:sz w:val="22"/>
          <w:szCs w:val="22"/>
        </w:rPr>
      </w:pPr>
      <w:r>
        <w:rPr>
          <w:spacing w:val="-2"/>
          <w:sz w:val="22"/>
          <w:szCs w:val="22"/>
        </w:rPr>
        <w:br w:type="page"/>
      </w:r>
    </w:p>
    <w:p w:rsidR="00E05D7D" w:rsidRPr="00F64AAF" w:rsidRDefault="00E05D7D" w:rsidP="00E05D7D">
      <w:pPr>
        <w:spacing w:after="120"/>
        <w:jc w:val="both"/>
        <w:rPr>
          <w:sz w:val="22"/>
          <w:szCs w:val="22"/>
        </w:rPr>
      </w:pPr>
      <w:r w:rsidRPr="00F64AAF">
        <w:rPr>
          <w:rStyle w:val="Strong"/>
        </w:rPr>
        <w:lastRenderedPageBreak/>
        <w:t xml:space="preserve">Annexe à la Recommandation n° 199 (2018) </w:t>
      </w:r>
      <w:r w:rsidRPr="00BD18FF">
        <w:rPr>
          <w:rFonts w:eastAsia="Times New Roman"/>
          <w:b/>
          <w:bCs/>
          <w:color w:val="000000" w:themeColor="text1"/>
          <w:lang w:eastAsia="es-ES"/>
        </w:rPr>
        <w:t>du Comité permanent</w:t>
      </w:r>
      <w:r>
        <w:rPr>
          <w:rFonts w:eastAsia="Times New Roman"/>
          <w:b/>
          <w:bCs/>
          <w:color w:val="000000" w:themeColor="text1"/>
          <w:lang w:eastAsia="es-ES"/>
        </w:rPr>
        <w:t xml:space="preserve"> </w:t>
      </w:r>
      <w:r w:rsidRPr="00BD18FF">
        <w:rPr>
          <w:rFonts w:eastAsia="Times New Roman"/>
          <w:b/>
          <w:bCs/>
          <w:color w:val="000000" w:themeColor="text1"/>
          <w:lang w:eastAsia="es-ES"/>
        </w:rPr>
        <w:t>sur le Plan d'action paneuropéen pour la conservation des esturgeons</w:t>
      </w:r>
    </w:p>
    <w:p w:rsidR="00E05D7D" w:rsidRPr="00F64AAF" w:rsidRDefault="00E05D7D" w:rsidP="00E05D7D">
      <w:pPr>
        <w:spacing w:after="120"/>
        <w:rPr>
          <w:sz w:val="22"/>
          <w:szCs w:val="22"/>
        </w:rPr>
      </w:pPr>
    </w:p>
    <w:p w:rsidR="00E05D7D" w:rsidRPr="00F64AAF" w:rsidRDefault="00E05D7D" w:rsidP="00E05D7D">
      <w:pPr>
        <w:spacing w:after="120"/>
        <w:jc w:val="center"/>
        <w:rPr>
          <w:smallCaps/>
          <w:sz w:val="28"/>
          <w:szCs w:val="28"/>
        </w:rPr>
      </w:pPr>
      <w:r w:rsidRPr="00F64AAF">
        <w:rPr>
          <w:b/>
          <w:smallCaps/>
          <w:sz w:val="28"/>
          <w:szCs w:val="28"/>
        </w:rPr>
        <w:t>Plan d’action paneuropéen pour la conservation des esturgeons</w:t>
      </w:r>
    </w:p>
    <w:p w:rsidR="00E05D7D" w:rsidRPr="00F64AAF" w:rsidRDefault="00E05D7D" w:rsidP="00E05D7D">
      <w:pPr>
        <w:spacing w:after="120"/>
        <w:rPr>
          <w:sz w:val="22"/>
          <w:szCs w:val="22"/>
        </w:rPr>
      </w:pPr>
    </w:p>
    <w:p w:rsidR="00E05D7D" w:rsidRPr="00F64AAF" w:rsidRDefault="00E05D7D" w:rsidP="00E05D7D">
      <w:pPr>
        <w:spacing w:after="120"/>
        <w:rPr>
          <w:rFonts w:ascii="Times New Roman Bold" w:eastAsia="Times New Roman" w:hAnsi="Times New Roman Bold" w:cs="Arial"/>
          <w:b/>
          <w:bCs/>
          <w:smallCaps/>
          <w:sz w:val="22"/>
          <w:szCs w:val="22"/>
          <w:bdr w:val="none" w:sz="0" w:space="0" w:color="auto" w:frame="1"/>
        </w:rPr>
      </w:pPr>
    </w:p>
    <w:p w:rsidR="00E05D7D" w:rsidRDefault="00E05D7D" w:rsidP="00E05D7D">
      <w:pPr>
        <w:tabs>
          <w:tab w:val="left" w:pos="426"/>
        </w:tabs>
        <w:spacing w:after="200" w:line="276" w:lineRule="auto"/>
        <w:jc w:val="both"/>
        <w:rPr>
          <w:rFonts w:eastAsia="Times New Roman" w:cs="Arial"/>
          <w:bCs/>
          <w:sz w:val="22"/>
          <w:szCs w:val="22"/>
          <w:bdr w:val="none" w:sz="0" w:space="0" w:color="auto" w:frame="1"/>
        </w:rPr>
      </w:pPr>
      <w:r w:rsidRPr="00F64AAF">
        <w:rPr>
          <w:rFonts w:eastAsia="Times New Roman" w:cs="Arial"/>
          <w:bCs/>
          <w:sz w:val="22"/>
          <w:szCs w:val="22"/>
          <w:bdr w:val="none" w:sz="0" w:space="0" w:color="auto" w:frame="1"/>
        </w:rPr>
        <w:tab/>
      </w:r>
      <w:r>
        <w:rPr>
          <w:rFonts w:cs="Arial"/>
          <w:bCs/>
          <w:snapToGrid w:val="0"/>
        </w:rPr>
        <w:t>Merci de consulter le</w:t>
      </w:r>
      <w:r>
        <w:rPr>
          <w:rFonts w:eastAsia="Times New Roman" w:cs="Arial"/>
          <w:bCs/>
          <w:bdr w:val="none" w:sz="0" w:space="0" w:color="auto" w:frame="1"/>
        </w:rPr>
        <w:t xml:space="preserve"> </w:t>
      </w:r>
      <w:r w:rsidRPr="00F64AAF">
        <w:rPr>
          <w:rFonts w:eastAsia="Times New Roman" w:cs="Arial"/>
          <w:bCs/>
          <w:sz w:val="22"/>
          <w:szCs w:val="22"/>
          <w:bdr w:val="none" w:sz="0" w:space="0" w:color="auto" w:frame="1"/>
        </w:rPr>
        <w:t xml:space="preserve">document </w:t>
      </w:r>
      <w:hyperlink r:id="rId10" w:history="1">
        <w:r w:rsidRPr="00F64AAF">
          <w:rPr>
            <w:rStyle w:val="Hyperlink"/>
            <w:rFonts w:eastAsia="Times New Roman"/>
            <w:color w:val="0000FF"/>
            <w:sz w:val="22"/>
            <w:szCs w:val="22"/>
            <w:bdr w:val="none" w:sz="0" w:space="0" w:color="auto"/>
          </w:rPr>
          <w:t>T-PVS/</w:t>
        </w:r>
        <w:proofErr w:type="spellStart"/>
        <w:proofErr w:type="gramStart"/>
        <w:r w:rsidRPr="00F64AAF">
          <w:rPr>
            <w:rStyle w:val="Hyperlink"/>
            <w:rFonts w:eastAsia="Times New Roman"/>
            <w:color w:val="0000FF"/>
            <w:sz w:val="22"/>
            <w:szCs w:val="22"/>
            <w:bdr w:val="none" w:sz="0" w:space="0" w:color="auto"/>
          </w:rPr>
          <w:t>Inf</w:t>
        </w:r>
        <w:proofErr w:type="spellEnd"/>
        <w:r w:rsidRPr="00F64AAF">
          <w:rPr>
            <w:rStyle w:val="Hyperlink"/>
            <w:rFonts w:eastAsia="Times New Roman"/>
            <w:color w:val="0000FF"/>
            <w:sz w:val="22"/>
            <w:szCs w:val="22"/>
            <w:bdr w:val="none" w:sz="0" w:space="0" w:color="auto"/>
          </w:rPr>
          <w:t>(</w:t>
        </w:r>
        <w:proofErr w:type="gramEnd"/>
        <w:r w:rsidRPr="00F64AAF">
          <w:rPr>
            <w:rStyle w:val="Hyperlink"/>
            <w:rFonts w:eastAsia="Times New Roman"/>
            <w:color w:val="0000FF"/>
            <w:sz w:val="22"/>
            <w:szCs w:val="22"/>
            <w:bdr w:val="none" w:sz="0" w:space="0" w:color="auto"/>
          </w:rPr>
          <w:t>2</w:t>
        </w:r>
        <w:bookmarkStart w:id="0" w:name="_GoBack"/>
        <w:bookmarkEnd w:id="0"/>
        <w:r w:rsidRPr="00F64AAF">
          <w:rPr>
            <w:rStyle w:val="Hyperlink"/>
            <w:rFonts w:eastAsia="Times New Roman"/>
            <w:color w:val="0000FF"/>
            <w:sz w:val="22"/>
            <w:szCs w:val="22"/>
            <w:bdr w:val="none" w:sz="0" w:space="0" w:color="auto"/>
          </w:rPr>
          <w:t>0</w:t>
        </w:r>
        <w:r w:rsidRPr="00F64AAF">
          <w:rPr>
            <w:rStyle w:val="Hyperlink"/>
            <w:rFonts w:eastAsia="Times New Roman"/>
            <w:color w:val="0000FF"/>
            <w:sz w:val="22"/>
            <w:szCs w:val="22"/>
            <w:bdr w:val="none" w:sz="0" w:space="0" w:color="auto"/>
          </w:rPr>
          <w:t>18)6</w:t>
        </w:r>
      </w:hyperlink>
      <w:r w:rsidRPr="00F64AAF">
        <w:rPr>
          <w:rFonts w:eastAsia="Times New Roman" w:cs="Arial"/>
          <w:bCs/>
          <w:sz w:val="22"/>
          <w:szCs w:val="22"/>
          <w:bdr w:val="none" w:sz="0" w:space="0" w:color="auto" w:frame="1"/>
        </w:rPr>
        <w:t xml:space="preserve">  </w:t>
      </w:r>
      <w:r>
        <w:rPr>
          <w:rFonts w:cs="Arial"/>
          <w:bCs/>
          <w:snapToGrid w:val="0"/>
        </w:rPr>
        <w:t>sur le site internet de la réunion</w:t>
      </w:r>
      <w:r>
        <w:rPr>
          <w:rFonts w:eastAsia="Times New Roman" w:cs="Arial"/>
          <w:bCs/>
          <w:sz w:val="22"/>
          <w:szCs w:val="22"/>
          <w:bdr w:val="none" w:sz="0" w:space="0" w:color="auto" w:frame="1"/>
        </w:rPr>
        <w:t>.</w:t>
      </w:r>
    </w:p>
    <w:p w:rsidR="00E05D7D" w:rsidRPr="00971C9A" w:rsidRDefault="00E05D7D" w:rsidP="00E05D7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rPr>
      </w:pPr>
    </w:p>
    <w:p w:rsidR="0039586F" w:rsidRPr="00C91892" w:rsidRDefault="0039586F" w:rsidP="0039586F">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rPr>
      </w:pPr>
    </w:p>
    <w:sectPr w:rsidR="0039586F" w:rsidRPr="00C91892" w:rsidSect="00976441">
      <w:headerReference w:type="even" r:id="rId11"/>
      <w:headerReference w:type="default" r:id="rId12"/>
      <w:headerReference w:type="first" r:id="rId13"/>
      <w:footerReference w:type="first" r:id="rId14"/>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08" w:rsidRDefault="003E4508">
      <w:r>
        <w:separator/>
      </w:r>
    </w:p>
  </w:endnote>
  <w:endnote w:type="continuationSeparator" w:id="0">
    <w:p w:rsidR="003E4508" w:rsidRDefault="003E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80" w:rsidRDefault="00CE1D80" w:rsidP="00016A8B">
    <w:pPr>
      <w:pStyle w:val="Footer"/>
      <w:jc w:val="center"/>
    </w:pPr>
    <w:r>
      <w:rPr>
        <w:noProof/>
        <w:lang w:val="fr-FR"/>
      </w:rPr>
      <mc:AlternateContent>
        <mc:Choice Requires="wps">
          <w:drawing>
            <wp:anchor distT="0" distB="0" distL="114300" distR="114300" simplePos="0" relativeHeight="251660288" behindDoc="0" locked="0" layoutInCell="1" allowOverlap="1" wp14:anchorId="31155A6C" wp14:editId="1B3AA74B">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62B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CE1D80" w:rsidRPr="00631FA8" w:rsidRDefault="00CE1D80" w:rsidP="00016A8B">
    <w:pPr>
      <w:pStyle w:val="Footer"/>
      <w:jc w:val="center"/>
      <w:rPr>
        <w:rFonts w:ascii="Arial" w:hAnsi="Arial"/>
        <w:i/>
        <w:sz w:val="14"/>
        <w:lang w:val="fr-FR"/>
      </w:rPr>
    </w:pPr>
    <w:r>
      <w:rPr>
        <w:rFonts w:ascii="Arial" w:hAnsi="Arial"/>
        <w:i/>
        <w:sz w:val="14"/>
      </w:rPr>
      <w:t xml:space="preserve">This document will not be distributed at the meeting. </w:t>
    </w:r>
    <w:r w:rsidRPr="00631FA8">
      <w:rPr>
        <w:rFonts w:ascii="Arial" w:hAnsi="Arial"/>
        <w:i/>
        <w:sz w:val="14"/>
        <w:lang w:val="fr-FR"/>
      </w:rPr>
      <w:t>Please bring this copy.</w:t>
    </w:r>
  </w:p>
  <w:p w:rsidR="00CE1D80" w:rsidRPr="00B44289" w:rsidRDefault="00CE1D80" w:rsidP="00016A8B">
    <w:pPr>
      <w:pStyle w:val="Footer"/>
      <w:jc w:val="center"/>
      <w:rPr>
        <w:i/>
        <w:lang w:val="fr-FR"/>
      </w:rPr>
    </w:pPr>
    <w:r w:rsidRPr="00631FA8">
      <w:rPr>
        <w:rFonts w:ascii="Arial" w:hAnsi="Arial"/>
        <w:i/>
        <w:sz w:val="14"/>
        <w:lang w:val="fr-FR"/>
      </w:rPr>
      <w:t>Ce document ne sera plus distribué en réunion. Prière de vous munir de cet exemplaire.</w:t>
    </w:r>
  </w:p>
  <w:p w:rsidR="00CE1D80" w:rsidRPr="00106F40" w:rsidRDefault="00CE1D80" w:rsidP="00016A8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08" w:rsidRDefault="003E4508">
      <w:r>
        <w:separator/>
      </w:r>
    </w:p>
  </w:footnote>
  <w:footnote w:type="continuationSeparator" w:id="0">
    <w:p w:rsidR="003E4508" w:rsidRDefault="003E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80" w:rsidRPr="00A37097" w:rsidRDefault="00CE1D80">
    <w:pPr>
      <w:pStyle w:val="Header"/>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Pr>
        <w:rFonts w:ascii="Times New Roman" w:hAnsi="Times New Roman" w:cs="Times New Roman"/>
        <w:sz w:val="22"/>
        <w:szCs w:val="22"/>
        <w:lang w:val="en-US"/>
      </w:rPr>
      <w:t>9</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E05D7D">
      <w:rPr>
        <w:rFonts w:ascii="Times New Roman" w:hAnsi="Times New Roman" w:cs="Times New Roman"/>
        <w:noProof/>
        <w:sz w:val="22"/>
        <w:szCs w:val="22"/>
      </w:rPr>
      <w:t>2</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CE1D80" w:rsidRDefault="00CE1D80">
    <w:pPr>
      <w:pStyle w:val="Header"/>
      <w:tabs>
        <w:tab w:val="center" w:pos="4503"/>
      </w:tabs>
    </w:pPr>
  </w:p>
  <w:p w:rsidR="00CE1D80" w:rsidRDefault="00CE1D80">
    <w:pPr>
      <w:pStyle w:val="Header"/>
      <w:tabs>
        <w:tab w:val="center" w:pos="45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80" w:rsidRPr="00A37097" w:rsidRDefault="00CE1D80">
    <w:pPr>
      <w:pStyle w:val="Header"/>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E05D7D">
      <w:rPr>
        <w:rFonts w:ascii="Times New Roman" w:hAnsi="Times New Roman" w:cs="Times New Roman"/>
        <w:noProof/>
        <w:sz w:val="22"/>
        <w:szCs w:val="22"/>
      </w:rPr>
      <w:t>3</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sidRPr="0058226B">
      <w:rPr>
        <w:rFonts w:ascii="Times New Roman" w:hAnsi="Times New Roman" w:cs="Times New Roman"/>
        <w:sz w:val="22"/>
        <w:szCs w:val="22"/>
        <w:lang w:val="en-US"/>
      </w:rPr>
      <w:t>T</w:t>
    </w:r>
    <w:r>
      <w:rPr>
        <w:rFonts w:ascii="Times New Roman" w:hAnsi="Times New Roman" w:cs="Times New Roman"/>
        <w:sz w:val="22"/>
        <w:szCs w:val="22"/>
        <w:lang w:val="en-US"/>
      </w:rPr>
      <w:t>-PVS(2018</w:t>
    </w:r>
    <w:r w:rsidRPr="00A37097">
      <w:rPr>
        <w:rFonts w:ascii="Times New Roman" w:hAnsi="Times New Roman" w:cs="Times New Roman"/>
        <w:sz w:val="22"/>
        <w:szCs w:val="22"/>
        <w:lang w:val="en-US"/>
      </w:rPr>
      <w:t>)</w:t>
    </w:r>
    <w:r>
      <w:rPr>
        <w:rFonts w:ascii="Times New Roman" w:hAnsi="Times New Roman" w:cs="Times New Roman"/>
        <w:sz w:val="22"/>
        <w:szCs w:val="22"/>
        <w:lang w:val="en-US"/>
      </w:rPr>
      <w:t>9</w:t>
    </w:r>
  </w:p>
  <w:p w:rsidR="00CE1D80" w:rsidRPr="00A37097" w:rsidRDefault="00CE1D80">
    <w:pPr>
      <w:pStyle w:val="Header"/>
      <w:tabs>
        <w:tab w:val="clear" w:pos="9020"/>
        <w:tab w:val="center" w:pos="4503"/>
        <w:tab w:val="right" w:pos="9044"/>
      </w:tabs>
      <w:rPr>
        <w:rFonts w:ascii="Times New Roman" w:hAnsi="Times New Roman" w:cs="Times New Roman"/>
      </w:rPr>
    </w:pPr>
  </w:p>
  <w:p w:rsidR="00CE1D80" w:rsidRDefault="00CE1D80">
    <w:pPr>
      <w:pStyle w:val="Header"/>
      <w:tabs>
        <w:tab w:val="clear" w:pos="9020"/>
        <w:tab w:val="center" w:pos="4503"/>
        <w:tab w:val="right" w:pos="90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80" w:rsidRDefault="00CE1D80">
    <w:pPr>
      <w:pStyle w:val="Header"/>
      <w:jc w:val="right"/>
    </w:pPr>
    <w:r>
      <w:rPr>
        <w:noProof/>
      </w:rPr>
      <mc:AlternateContent>
        <mc:Choice Requires="wps">
          <w:drawing>
            <wp:anchor distT="152400" distB="152400" distL="152400" distR="152400" simplePos="0" relativeHeight="251659264" behindDoc="1" locked="0" layoutInCell="1" allowOverlap="1" wp14:anchorId="2A2BC462" wp14:editId="6C19B2F3">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w:pict>
            <v:line w14:anchorId="3E2888D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rPr>
      <w:drawing>
        <wp:inline distT="0" distB="0" distL="0" distR="0" wp14:anchorId="30F2FBD4" wp14:editId="74B3CEE7">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15:restartNumberingAfterBreak="0">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B9B7952"/>
    <w:multiLevelType w:val="hybridMultilevel"/>
    <w:tmpl w:val="B24ECCEC"/>
    <w:lvl w:ilvl="0" w:tplc="15720CD6">
      <w:start w:val="1"/>
      <w:numFmt w:val="decimal"/>
      <w:lvlText w:val="%1."/>
      <w:lvlJc w:val="left"/>
      <w:pPr>
        <w:ind w:left="785" w:hanging="360"/>
      </w:pPr>
      <w:rPr>
        <w:rFonts w:hint="default"/>
        <w:sz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18F6982-19D3-4142-813F-673F5A6798C4}"/>
    <w:docVar w:name="dgnword-eventsink" w:val="112599792"/>
    <w:docVar w:name="SourceLng" w:val="eng"/>
    <w:docVar w:name="TargetLng" w:val="fra"/>
    <w:docVar w:name="TermBases" w:val="berne"/>
    <w:docVar w:name="TermBaseURL" w:val="empty"/>
    <w:docVar w:name="TextBases" w:val="berne10|berne11|berne1|berne2|berne3|berne4|berne5|berne6|berne7|berne8|berne9|climat|diplome"/>
    <w:docVar w:name="TextBaseURL" w:val="empty"/>
    <w:docVar w:name="UILng" w:val="en"/>
  </w:docVars>
  <w:rsids>
    <w:rsidRoot w:val="004E6594"/>
    <w:rsid w:val="00006047"/>
    <w:rsid w:val="000162D1"/>
    <w:rsid w:val="00016A8B"/>
    <w:rsid w:val="00023AEB"/>
    <w:rsid w:val="000808D1"/>
    <w:rsid w:val="000A2F0A"/>
    <w:rsid w:val="000A47D5"/>
    <w:rsid w:val="000B2939"/>
    <w:rsid w:val="000C7EDB"/>
    <w:rsid w:val="000E02EE"/>
    <w:rsid w:val="000F52C5"/>
    <w:rsid w:val="00106832"/>
    <w:rsid w:val="00111122"/>
    <w:rsid w:val="0013791A"/>
    <w:rsid w:val="00143FFC"/>
    <w:rsid w:val="00144400"/>
    <w:rsid w:val="00147308"/>
    <w:rsid w:val="00165E37"/>
    <w:rsid w:val="00172083"/>
    <w:rsid w:val="001B4B68"/>
    <w:rsid w:val="001B63C2"/>
    <w:rsid w:val="001E2B1F"/>
    <w:rsid w:val="001E2FB3"/>
    <w:rsid w:val="001F1E5A"/>
    <w:rsid w:val="001F4810"/>
    <w:rsid w:val="00207487"/>
    <w:rsid w:val="00231BFC"/>
    <w:rsid w:val="00234FEA"/>
    <w:rsid w:val="00255FF7"/>
    <w:rsid w:val="002747C7"/>
    <w:rsid w:val="002852AB"/>
    <w:rsid w:val="00294BA3"/>
    <w:rsid w:val="002A2A89"/>
    <w:rsid w:val="00302378"/>
    <w:rsid w:val="00335A00"/>
    <w:rsid w:val="003745F6"/>
    <w:rsid w:val="00394838"/>
    <w:rsid w:val="0039586F"/>
    <w:rsid w:val="00396A46"/>
    <w:rsid w:val="003A6C5A"/>
    <w:rsid w:val="003B568D"/>
    <w:rsid w:val="003E1E98"/>
    <w:rsid w:val="003E3879"/>
    <w:rsid w:val="003E4508"/>
    <w:rsid w:val="00424EDE"/>
    <w:rsid w:val="00426FF8"/>
    <w:rsid w:val="0045052E"/>
    <w:rsid w:val="0046766A"/>
    <w:rsid w:val="004718DF"/>
    <w:rsid w:val="004904C5"/>
    <w:rsid w:val="004B4118"/>
    <w:rsid w:val="004C0664"/>
    <w:rsid w:val="004E6594"/>
    <w:rsid w:val="004E7149"/>
    <w:rsid w:val="004F243B"/>
    <w:rsid w:val="00510FDD"/>
    <w:rsid w:val="00532D4B"/>
    <w:rsid w:val="00544CCF"/>
    <w:rsid w:val="0058226B"/>
    <w:rsid w:val="00590A60"/>
    <w:rsid w:val="005A36AB"/>
    <w:rsid w:val="005B67C0"/>
    <w:rsid w:val="005C02BC"/>
    <w:rsid w:val="005E4539"/>
    <w:rsid w:val="005E6C7E"/>
    <w:rsid w:val="006047D6"/>
    <w:rsid w:val="006062BE"/>
    <w:rsid w:val="00617E4E"/>
    <w:rsid w:val="006517EC"/>
    <w:rsid w:val="00656511"/>
    <w:rsid w:val="006811D3"/>
    <w:rsid w:val="00686F5F"/>
    <w:rsid w:val="006C1E93"/>
    <w:rsid w:val="006C6AA6"/>
    <w:rsid w:val="0071584E"/>
    <w:rsid w:val="007446AF"/>
    <w:rsid w:val="0075367C"/>
    <w:rsid w:val="007548B2"/>
    <w:rsid w:val="0077610A"/>
    <w:rsid w:val="00776E9B"/>
    <w:rsid w:val="00793BB6"/>
    <w:rsid w:val="007A0C15"/>
    <w:rsid w:val="007A1825"/>
    <w:rsid w:val="007B31CD"/>
    <w:rsid w:val="007E2F5B"/>
    <w:rsid w:val="007F00C2"/>
    <w:rsid w:val="007F2BD4"/>
    <w:rsid w:val="007F3FD4"/>
    <w:rsid w:val="008068A2"/>
    <w:rsid w:val="00810BEA"/>
    <w:rsid w:val="008157B2"/>
    <w:rsid w:val="0081647C"/>
    <w:rsid w:val="0083345C"/>
    <w:rsid w:val="00842128"/>
    <w:rsid w:val="00851323"/>
    <w:rsid w:val="0085243A"/>
    <w:rsid w:val="008530C4"/>
    <w:rsid w:val="008540F7"/>
    <w:rsid w:val="00857496"/>
    <w:rsid w:val="008661CA"/>
    <w:rsid w:val="008A362B"/>
    <w:rsid w:val="008E0889"/>
    <w:rsid w:val="008E79A9"/>
    <w:rsid w:val="009061BC"/>
    <w:rsid w:val="009351F9"/>
    <w:rsid w:val="00947596"/>
    <w:rsid w:val="00974945"/>
    <w:rsid w:val="00975B16"/>
    <w:rsid w:val="00976441"/>
    <w:rsid w:val="009803B5"/>
    <w:rsid w:val="00985195"/>
    <w:rsid w:val="00986872"/>
    <w:rsid w:val="00992C2B"/>
    <w:rsid w:val="009A6AE4"/>
    <w:rsid w:val="009B2652"/>
    <w:rsid w:val="009B5776"/>
    <w:rsid w:val="009C009F"/>
    <w:rsid w:val="009C2506"/>
    <w:rsid w:val="009C3722"/>
    <w:rsid w:val="009C6547"/>
    <w:rsid w:val="009F4FA4"/>
    <w:rsid w:val="009F5D2C"/>
    <w:rsid w:val="00A01ED8"/>
    <w:rsid w:val="00A25C73"/>
    <w:rsid w:val="00A461E2"/>
    <w:rsid w:val="00A4694C"/>
    <w:rsid w:val="00A5389B"/>
    <w:rsid w:val="00A624C5"/>
    <w:rsid w:val="00A75B7D"/>
    <w:rsid w:val="00AC22A0"/>
    <w:rsid w:val="00AD7D16"/>
    <w:rsid w:val="00AF5AF1"/>
    <w:rsid w:val="00AF7FAB"/>
    <w:rsid w:val="00B00362"/>
    <w:rsid w:val="00B54048"/>
    <w:rsid w:val="00B573D6"/>
    <w:rsid w:val="00B9277C"/>
    <w:rsid w:val="00BA3A7F"/>
    <w:rsid w:val="00BC2CE1"/>
    <w:rsid w:val="00C5726D"/>
    <w:rsid w:val="00C64D17"/>
    <w:rsid w:val="00C650DA"/>
    <w:rsid w:val="00C80D17"/>
    <w:rsid w:val="00C85781"/>
    <w:rsid w:val="00CC571C"/>
    <w:rsid w:val="00CE1D80"/>
    <w:rsid w:val="00CE4BA3"/>
    <w:rsid w:val="00CF66D3"/>
    <w:rsid w:val="00D01E2E"/>
    <w:rsid w:val="00D02B63"/>
    <w:rsid w:val="00D35B0C"/>
    <w:rsid w:val="00D417DA"/>
    <w:rsid w:val="00D75923"/>
    <w:rsid w:val="00DA425E"/>
    <w:rsid w:val="00DD6C24"/>
    <w:rsid w:val="00DF74D3"/>
    <w:rsid w:val="00E05D7D"/>
    <w:rsid w:val="00E21AFB"/>
    <w:rsid w:val="00E27D53"/>
    <w:rsid w:val="00E36068"/>
    <w:rsid w:val="00E4331F"/>
    <w:rsid w:val="00E45E31"/>
    <w:rsid w:val="00E5524A"/>
    <w:rsid w:val="00E606CA"/>
    <w:rsid w:val="00E723A3"/>
    <w:rsid w:val="00E872D7"/>
    <w:rsid w:val="00EA315C"/>
    <w:rsid w:val="00EA4938"/>
    <w:rsid w:val="00ED108F"/>
    <w:rsid w:val="00ED2BEF"/>
    <w:rsid w:val="00F063D1"/>
    <w:rsid w:val="00F13E4C"/>
    <w:rsid w:val="00F25999"/>
    <w:rsid w:val="00F26150"/>
    <w:rsid w:val="00F27DC2"/>
    <w:rsid w:val="00F63346"/>
    <w:rsid w:val="00F814E2"/>
    <w:rsid w:val="00FA0C7D"/>
    <w:rsid w:val="00FB7EF5"/>
    <w:rsid w:val="00FC1E16"/>
    <w:rsid w:val="00FC343B"/>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02781-09EF-403E-A1D9-B6533CC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HeaderChar">
    <w:name w:val="Header Char"/>
    <w:basedOn w:val="DefaultParagraphFont"/>
    <w:link w:val="Header"/>
    <w:rsid w:val="004E6594"/>
    <w:rPr>
      <w:rFonts w:ascii="Helvetica" w:eastAsia="Helvetica" w:hAnsi="Helvetica" w:cs="Helvetica"/>
      <w:color w:val="000000"/>
      <w:sz w:val="24"/>
      <w:szCs w:val="24"/>
      <w:bdr w:val="nil"/>
      <w:lang w:eastAsia="fr-FR"/>
    </w:rPr>
  </w:style>
  <w:style w:type="paragraph" w:styleId="Footer">
    <w:name w:val="footer"/>
    <w:link w:val="FooterCh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FooterChar">
    <w:name w:val="Footer Char"/>
    <w:basedOn w:val="DefaultParagraphFont"/>
    <w:link w:val="Footer"/>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link w:val="FootnoteTextCh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ListParagraph">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BalloonText">
    <w:name w:val="Balloon Text"/>
    <w:basedOn w:val="Normal"/>
    <w:link w:val="BalloonTextChar"/>
    <w:uiPriority w:val="99"/>
    <w:semiHidden/>
    <w:unhideWhenUsed/>
    <w:rsid w:val="004E6594"/>
    <w:rPr>
      <w:rFonts w:ascii="Tahoma" w:hAnsi="Tahoma" w:cs="Tahoma"/>
      <w:sz w:val="16"/>
      <w:szCs w:val="16"/>
    </w:rPr>
  </w:style>
  <w:style w:type="character" w:customStyle="1" w:styleId="BalloonTextChar">
    <w:name w:val="Balloon Text Char"/>
    <w:basedOn w:val="DefaultParagraphFont"/>
    <w:link w:val="BalloonText"/>
    <w:uiPriority w:val="99"/>
    <w:semiHidden/>
    <w:rsid w:val="004E6594"/>
    <w:rPr>
      <w:rFonts w:ascii="Tahoma" w:eastAsia="Arial Unicode MS" w:hAnsi="Tahoma" w:cs="Tahoma"/>
      <w:sz w:val="16"/>
      <w:szCs w:val="16"/>
      <w:bdr w:val="nil"/>
      <w:lang w:eastAsia="fr-FR"/>
    </w:rPr>
  </w:style>
  <w:style w:type="character" w:styleId="Hyperlink">
    <w:name w:val="Hyperlink"/>
    <w:basedOn w:val="DefaultParagraphFont"/>
    <w:uiPriority w:val="99"/>
    <w:unhideWhenUsed/>
    <w:rsid w:val="004E6594"/>
    <w:rPr>
      <w:color w:val="0000FF" w:themeColor="hyperlink"/>
      <w:u w:val="single"/>
    </w:rPr>
  </w:style>
  <w:style w:type="paragraph" w:styleId="BodyText">
    <w:name w:val="Body Text"/>
    <w:basedOn w:val="Normal"/>
    <w:link w:val="BodyTextChar"/>
    <w:uiPriority w:val="99"/>
    <w:semiHidden/>
    <w:unhideWhenUsed/>
    <w:rsid w:val="00FC343B"/>
    <w:pPr>
      <w:spacing w:after="120"/>
    </w:pPr>
    <w:rPr>
      <w:sz w:val="24"/>
      <w:szCs w:val="24"/>
      <w:lang w:val="en-US" w:eastAsia="en-US"/>
    </w:rPr>
  </w:style>
  <w:style w:type="character" w:customStyle="1" w:styleId="BodyTextChar">
    <w:name w:val="Body Text Char"/>
    <w:basedOn w:val="DefaultParagraphFont"/>
    <w:link w:val="BodyText"/>
    <w:uiPriority w:val="99"/>
    <w:semiHidden/>
    <w:rsid w:val="00FC343B"/>
    <w:rPr>
      <w:rFonts w:ascii="Times New Roman" w:eastAsia="Arial Unicode MS" w:hAnsi="Times New Roman" w:cs="Times New Roman"/>
      <w:sz w:val="24"/>
      <w:szCs w:val="24"/>
      <w:bdr w:val="nil"/>
      <w:lang w:val="en-US"/>
    </w:rPr>
  </w:style>
  <w:style w:type="character" w:styleId="Strong">
    <w:name w:val="Strong"/>
    <w:basedOn w:val="DefaultParagraphFont"/>
    <w:qFormat/>
    <w:rsid w:val="009C6547"/>
    <w:rPr>
      <w:b/>
      <w:bCs/>
    </w:rPr>
  </w:style>
  <w:style w:type="character" w:styleId="FootnoteReference">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816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pan-european-action-plan-for-sturgeons/16808e84f3" TargetMode="External"/><Relationship Id="rId4" Type="http://schemas.openxmlformats.org/officeDocument/2006/relationships/settings" Target="settings.xml"/><Relationship Id="rId9" Type="http://schemas.openxmlformats.org/officeDocument/2006/relationships/hyperlink" Target="https://search.coe.int/bern-convention/Pages/result_details.aspx?ObjectId=090000168076466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992D-6CE9-45CD-A647-A9B7CBD9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4221</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BRAULIO Tania</cp:lastModifiedBy>
  <cp:revision>4</cp:revision>
  <cp:lastPrinted>2017-06-08T13:36:00Z</cp:lastPrinted>
  <dcterms:created xsi:type="dcterms:W3CDTF">2018-10-23T10:34:00Z</dcterms:created>
  <dcterms:modified xsi:type="dcterms:W3CDTF">2019-02-14T15:30:00Z</dcterms:modified>
</cp:coreProperties>
</file>