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Notedebasdepage"/>
        <w:widowControl/>
        <w:rPr>
          <w:rFonts w:ascii="Times New Roman" w:eastAsia="Times New Roman" w:hAnsi="Times New Roman" w:cs="Times New Roman"/>
          <w:lang w:val="fr-FR"/>
        </w:rPr>
      </w:pPr>
    </w:p>
    <w:p w:rsidR="00706E1C" w:rsidRPr="00481AC1" w:rsidRDefault="00706E1C" w:rsidP="004E6594">
      <w:pPr>
        <w:pStyle w:val="Corps"/>
      </w:pPr>
    </w:p>
    <w:p w:rsidR="00706E1C" w:rsidRPr="00481AC1" w:rsidRDefault="00706E1C" w:rsidP="004E6594">
      <w:pPr>
        <w:pStyle w:val="Corps"/>
      </w:pPr>
    </w:p>
    <w:p w:rsidR="00706E1C" w:rsidRPr="00481AC1" w:rsidRDefault="00706E1C" w:rsidP="004E6594">
      <w:pPr>
        <w:pStyle w:val="Corps"/>
      </w:pPr>
    </w:p>
    <w:p w:rsidR="00706E1C" w:rsidRPr="00481AC1" w:rsidRDefault="00706E1C" w:rsidP="004E6594">
      <w:pPr>
        <w:pStyle w:val="Corps"/>
      </w:pPr>
    </w:p>
    <w:p w:rsidR="00706E1C" w:rsidRPr="00481AC1" w:rsidRDefault="00706E1C" w:rsidP="004E6594">
      <w:pPr>
        <w:pStyle w:val="Corps"/>
      </w:pPr>
    </w:p>
    <w:p w:rsidR="00706E1C" w:rsidRPr="00481AC1" w:rsidRDefault="00706E1C" w:rsidP="004E6594">
      <w:pPr>
        <w:pStyle w:val="Corps"/>
        <w:tabs>
          <w:tab w:val="right" w:pos="9044"/>
        </w:tabs>
        <w:ind w:left="8931" w:hanging="8931"/>
      </w:pPr>
    </w:p>
    <w:p w:rsidR="00706E1C" w:rsidRPr="00481AC1" w:rsidRDefault="00706E1C" w:rsidP="004E6594">
      <w:pPr>
        <w:pStyle w:val="Corps"/>
        <w:tabs>
          <w:tab w:val="right" w:pos="8931"/>
          <w:tab w:val="right" w:pos="9044"/>
        </w:tabs>
      </w:pPr>
    </w:p>
    <w:p w:rsidR="00706E1C" w:rsidRPr="00481AC1" w:rsidRDefault="004E6594" w:rsidP="004E6594">
      <w:pPr>
        <w:pStyle w:val="traduction"/>
        <w:widowControl w:val="0"/>
        <w:tabs>
          <w:tab w:val="left" w:pos="1134"/>
          <w:tab w:val="right" w:pos="9026"/>
        </w:tabs>
        <w:jc w:val="both"/>
        <w:rPr>
          <w:color w:val="000000" w:themeColor="text1"/>
          <w:sz w:val="22"/>
          <w:szCs w:val="22"/>
        </w:rPr>
      </w:pPr>
      <w:r w:rsidRPr="00481AC1">
        <w:rPr>
          <w:color w:val="000000" w:themeColor="text1"/>
          <w:sz w:val="22"/>
          <w:szCs w:val="22"/>
        </w:rPr>
        <w:t xml:space="preserve">Strasbourg, </w:t>
      </w:r>
      <w:r w:rsidR="009A23EB" w:rsidRPr="00481AC1">
        <w:rPr>
          <w:color w:val="000000" w:themeColor="text1"/>
          <w:sz w:val="22"/>
          <w:szCs w:val="22"/>
        </w:rPr>
        <w:t xml:space="preserve">le </w:t>
      </w:r>
      <w:r w:rsidR="005E69DC">
        <w:rPr>
          <w:color w:val="000000" w:themeColor="text1"/>
          <w:sz w:val="22"/>
          <w:szCs w:val="22"/>
        </w:rPr>
        <w:t>30 novembre</w:t>
      </w:r>
      <w:r w:rsidR="009A23EB" w:rsidRPr="00481AC1">
        <w:rPr>
          <w:color w:val="000000" w:themeColor="text1"/>
          <w:sz w:val="22"/>
          <w:szCs w:val="22"/>
        </w:rPr>
        <w:t xml:space="preserve"> </w:t>
      </w:r>
      <w:r w:rsidR="00E723A3" w:rsidRPr="00481AC1">
        <w:rPr>
          <w:color w:val="000000" w:themeColor="text1"/>
          <w:sz w:val="22"/>
          <w:szCs w:val="22"/>
        </w:rPr>
        <w:t>2018</w:t>
      </w:r>
      <w:r w:rsidRPr="00481AC1">
        <w:rPr>
          <w:color w:val="000000" w:themeColor="text1"/>
          <w:sz w:val="22"/>
          <w:szCs w:val="22"/>
        </w:rPr>
        <w:tab/>
      </w:r>
      <w:r w:rsidR="00C5726D" w:rsidRPr="00481AC1">
        <w:rPr>
          <w:rFonts w:ascii="Times New Roman Bold"/>
          <w:color w:val="000000" w:themeColor="text1"/>
          <w:sz w:val="22"/>
          <w:szCs w:val="22"/>
        </w:rPr>
        <w:t>T-PVS(201</w:t>
      </w:r>
      <w:r w:rsidR="00E723A3" w:rsidRPr="00481AC1">
        <w:rPr>
          <w:rFonts w:ascii="Times New Roman Bold"/>
          <w:color w:val="000000" w:themeColor="text1"/>
          <w:sz w:val="22"/>
          <w:szCs w:val="22"/>
        </w:rPr>
        <w:t>8</w:t>
      </w:r>
      <w:r w:rsidRPr="00481AC1">
        <w:rPr>
          <w:rFonts w:ascii="Times New Roman Bold"/>
          <w:color w:val="000000" w:themeColor="text1"/>
          <w:sz w:val="22"/>
          <w:szCs w:val="22"/>
        </w:rPr>
        <w:t>)</w:t>
      </w:r>
      <w:r w:rsidR="00071DCB" w:rsidRPr="00481AC1">
        <w:rPr>
          <w:rFonts w:ascii="Times New Roman Bold"/>
          <w:color w:val="000000" w:themeColor="text1"/>
          <w:sz w:val="22"/>
          <w:szCs w:val="22"/>
        </w:rPr>
        <w:t>1</w:t>
      </w:r>
      <w:r w:rsidR="002549DA" w:rsidRPr="00481AC1">
        <w:rPr>
          <w:rFonts w:ascii="Times New Roman Bold"/>
          <w:color w:val="000000" w:themeColor="text1"/>
          <w:sz w:val="22"/>
          <w:szCs w:val="22"/>
        </w:rPr>
        <w:t>3</w:t>
      </w:r>
    </w:p>
    <w:p w:rsidR="00706E1C" w:rsidRPr="00481AC1" w:rsidRDefault="004E6594" w:rsidP="004E6594">
      <w:pPr>
        <w:pStyle w:val="traduction"/>
        <w:widowControl w:val="0"/>
        <w:tabs>
          <w:tab w:val="left" w:pos="1134"/>
          <w:tab w:val="right" w:pos="9026"/>
        </w:tabs>
        <w:jc w:val="both"/>
        <w:rPr>
          <w:color w:val="000000" w:themeColor="text1"/>
          <w:sz w:val="22"/>
          <w:szCs w:val="22"/>
        </w:rPr>
      </w:pPr>
      <w:r w:rsidRPr="00481AC1">
        <w:rPr>
          <w:color w:val="000000" w:themeColor="text1"/>
          <w:sz w:val="22"/>
          <w:szCs w:val="22"/>
        </w:rPr>
        <w:t>[tpvs</w:t>
      </w:r>
      <w:r w:rsidR="00071DCB" w:rsidRPr="00481AC1">
        <w:rPr>
          <w:color w:val="000000" w:themeColor="text1"/>
          <w:sz w:val="22"/>
          <w:szCs w:val="22"/>
        </w:rPr>
        <w:t>1</w:t>
      </w:r>
      <w:r w:rsidR="002549DA" w:rsidRPr="00481AC1">
        <w:rPr>
          <w:color w:val="000000" w:themeColor="text1"/>
          <w:sz w:val="22"/>
          <w:szCs w:val="22"/>
        </w:rPr>
        <w:t>3</w:t>
      </w:r>
      <w:r w:rsidR="002B6CD5" w:rsidRPr="00481AC1">
        <w:rPr>
          <w:color w:val="000000" w:themeColor="text1"/>
          <w:sz w:val="22"/>
          <w:szCs w:val="22"/>
        </w:rPr>
        <w:t>f</w:t>
      </w:r>
      <w:r w:rsidRPr="00481AC1">
        <w:rPr>
          <w:color w:val="000000" w:themeColor="text1"/>
          <w:sz w:val="22"/>
          <w:szCs w:val="22"/>
        </w:rPr>
        <w:t>_201</w:t>
      </w:r>
      <w:r w:rsidR="00E723A3" w:rsidRPr="00481AC1">
        <w:rPr>
          <w:color w:val="000000" w:themeColor="text1"/>
          <w:sz w:val="22"/>
          <w:szCs w:val="22"/>
        </w:rPr>
        <w:t>8</w:t>
      </w:r>
      <w:r w:rsidRPr="00481AC1">
        <w:rPr>
          <w:color w:val="000000" w:themeColor="text1"/>
          <w:sz w:val="22"/>
          <w:szCs w:val="22"/>
        </w:rPr>
        <w:t>.docx]</w:t>
      </w:r>
    </w:p>
    <w:p w:rsidR="00706E1C" w:rsidRPr="00481AC1" w:rsidRDefault="00706E1C" w:rsidP="004E6594">
      <w:pPr>
        <w:pStyle w:val="traduction"/>
        <w:widowControl w:val="0"/>
        <w:tabs>
          <w:tab w:val="left" w:pos="1134"/>
          <w:tab w:val="right" w:pos="9026"/>
        </w:tabs>
        <w:jc w:val="both"/>
        <w:rPr>
          <w:color w:val="000000" w:themeColor="text1"/>
          <w:sz w:val="22"/>
          <w:szCs w:val="22"/>
          <w:shd w:val="clear" w:color="auto" w:fill="FFFF00"/>
        </w:rPr>
      </w:pPr>
    </w:p>
    <w:p w:rsidR="00706E1C" w:rsidRPr="00481AC1" w:rsidRDefault="00706E1C" w:rsidP="004E6594">
      <w:pPr>
        <w:pStyle w:val="traduction"/>
        <w:widowControl w:val="0"/>
        <w:tabs>
          <w:tab w:val="left" w:pos="1134"/>
          <w:tab w:val="right" w:pos="9026"/>
        </w:tabs>
        <w:jc w:val="both"/>
        <w:rPr>
          <w:color w:val="000000" w:themeColor="text1"/>
          <w:sz w:val="22"/>
          <w:szCs w:val="22"/>
          <w:shd w:val="clear" w:color="auto" w:fill="FFFF00"/>
        </w:rPr>
      </w:pPr>
    </w:p>
    <w:p w:rsidR="00706E1C" w:rsidRPr="00481AC1" w:rsidRDefault="002B6CD5" w:rsidP="004E6594">
      <w:pPr>
        <w:pStyle w:val="Corps"/>
        <w:tabs>
          <w:tab w:val="right" w:pos="9044"/>
        </w:tabs>
        <w:jc w:val="center"/>
        <w:rPr>
          <w:color w:val="000000" w:themeColor="text1"/>
        </w:rPr>
      </w:pPr>
      <w:r w:rsidRPr="00481AC1">
        <w:rPr>
          <w:color w:val="000000" w:themeColor="text1"/>
        </w:rPr>
        <w:t xml:space="preserve">CONVENTION RELATIVE A LA CONSERVATION DE LA VIE SAUVAGE </w:t>
      </w:r>
    </w:p>
    <w:p w:rsidR="00706E1C" w:rsidRPr="00481AC1" w:rsidRDefault="002B6CD5" w:rsidP="004E6594">
      <w:pPr>
        <w:pStyle w:val="Corps"/>
        <w:tabs>
          <w:tab w:val="right" w:pos="9044"/>
        </w:tabs>
        <w:jc w:val="center"/>
        <w:rPr>
          <w:caps/>
          <w:color w:val="000000" w:themeColor="text1"/>
        </w:rPr>
      </w:pPr>
      <w:r w:rsidRPr="00481AC1">
        <w:rPr>
          <w:color w:val="000000" w:themeColor="text1"/>
        </w:rPr>
        <w:t>ET DU MILIEU NATUREL DE L'EUROPE</w:t>
      </w:r>
    </w:p>
    <w:p w:rsidR="00706E1C" w:rsidRPr="00481AC1" w:rsidRDefault="00706E1C" w:rsidP="004E6594">
      <w:pPr>
        <w:pStyle w:val="Corps"/>
        <w:tabs>
          <w:tab w:val="right" w:pos="9044"/>
        </w:tabs>
        <w:rPr>
          <w:color w:val="000000" w:themeColor="text1"/>
        </w:rPr>
      </w:pPr>
    </w:p>
    <w:p w:rsidR="00706E1C" w:rsidRPr="00481AC1" w:rsidRDefault="002B6CD5" w:rsidP="004E6594">
      <w:pPr>
        <w:pStyle w:val="Corps"/>
        <w:tabs>
          <w:tab w:val="right" w:pos="8789"/>
        </w:tabs>
        <w:jc w:val="center"/>
        <w:rPr>
          <w:rFonts w:eastAsia="Times New Roman Bold"/>
          <w:b/>
          <w:color w:val="000000" w:themeColor="text1"/>
          <w:sz w:val="24"/>
          <w:szCs w:val="24"/>
        </w:rPr>
      </w:pPr>
      <w:r w:rsidRPr="00481AC1">
        <w:rPr>
          <w:b/>
          <w:color w:val="000000" w:themeColor="text1"/>
          <w:sz w:val="24"/>
          <w:szCs w:val="24"/>
        </w:rPr>
        <w:t>Comité permanent</w:t>
      </w:r>
    </w:p>
    <w:p w:rsidR="00706E1C" w:rsidRPr="00481AC1" w:rsidRDefault="00706E1C" w:rsidP="004E6594">
      <w:pPr>
        <w:pStyle w:val="Corps"/>
        <w:tabs>
          <w:tab w:val="right" w:pos="8789"/>
        </w:tabs>
        <w:jc w:val="center"/>
        <w:rPr>
          <w:color w:val="000000" w:themeColor="text1"/>
          <w:sz w:val="24"/>
          <w:szCs w:val="24"/>
        </w:rPr>
      </w:pPr>
    </w:p>
    <w:p w:rsidR="00706E1C" w:rsidRPr="00481AC1" w:rsidRDefault="00C5726D" w:rsidP="004E6594">
      <w:pPr>
        <w:pStyle w:val="Corps"/>
        <w:tabs>
          <w:tab w:val="right" w:pos="8789"/>
        </w:tabs>
        <w:jc w:val="center"/>
        <w:rPr>
          <w:color w:val="000000" w:themeColor="text1"/>
          <w:sz w:val="24"/>
          <w:szCs w:val="24"/>
        </w:rPr>
      </w:pPr>
      <w:r w:rsidRPr="00481AC1">
        <w:rPr>
          <w:color w:val="000000" w:themeColor="text1"/>
          <w:sz w:val="24"/>
          <w:szCs w:val="24"/>
        </w:rPr>
        <w:t>3</w:t>
      </w:r>
      <w:r w:rsidR="00E723A3" w:rsidRPr="00481AC1">
        <w:rPr>
          <w:color w:val="000000" w:themeColor="text1"/>
          <w:sz w:val="24"/>
          <w:szCs w:val="24"/>
        </w:rPr>
        <w:t>8</w:t>
      </w:r>
      <w:r w:rsidR="002B6CD5" w:rsidRPr="00481AC1">
        <w:rPr>
          <w:color w:val="000000" w:themeColor="text1"/>
          <w:sz w:val="24"/>
          <w:szCs w:val="24"/>
          <w:vertAlign w:val="superscript"/>
        </w:rPr>
        <w:t>e</w:t>
      </w:r>
      <w:r w:rsidR="004E6594" w:rsidRPr="00481AC1">
        <w:rPr>
          <w:color w:val="000000" w:themeColor="text1"/>
          <w:sz w:val="24"/>
          <w:szCs w:val="24"/>
        </w:rPr>
        <w:t> </w:t>
      </w:r>
      <w:r w:rsidR="002B6CD5" w:rsidRPr="00481AC1">
        <w:rPr>
          <w:color w:val="000000" w:themeColor="text1"/>
          <w:sz w:val="24"/>
          <w:szCs w:val="24"/>
        </w:rPr>
        <w:t>réunion</w:t>
      </w:r>
    </w:p>
    <w:p w:rsidR="00706E1C" w:rsidRPr="00481AC1" w:rsidRDefault="00C5726D" w:rsidP="004E6594">
      <w:pPr>
        <w:pStyle w:val="Corps"/>
        <w:tabs>
          <w:tab w:val="right" w:pos="8789"/>
        </w:tabs>
        <w:jc w:val="center"/>
        <w:rPr>
          <w:color w:val="000000" w:themeColor="text1"/>
          <w:sz w:val="24"/>
          <w:szCs w:val="24"/>
        </w:rPr>
      </w:pPr>
      <w:r w:rsidRPr="00481AC1">
        <w:rPr>
          <w:color w:val="000000" w:themeColor="text1"/>
          <w:sz w:val="24"/>
          <w:szCs w:val="24"/>
        </w:rPr>
        <w:t xml:space="preserve">Strasbourg, </w:t>
      </w:r>
      <w:r w:rsidR="002B6CD5" w:rsidRPr="00481AC1">
        <w:rPr>
          <w:color w:val="000000" w:themeColor="text1"/>
          <w:sz w:val="24"/>
          <w:szCs w:val="24"/>
        </w:rPr>
        <w:t xml:space="preserve">27-30 novembre </w:t>
      </w:r>
      <w:r w:rsidR="00E723A3" w:rsidRPr="00481AC1">
        <w:rPr>
          <w:color w:val="000000" w:themeColor="text1"/>
          <w:sz w:val="24"/>
          <w:szCs w:val="24"/>
        </w:rPr>
        <w:t>2018</w:t>
      </w:r>
    </w:p>
    <w:p w:rsidR="00706E1C" w:rsidRPr="00481AC1" w:rsidRDefault="00706E1C" w:rsidP="004E6594">
      <w:pPr>
        <w:pStyle w:val="Corps"/>
        <w:tabs>
          <w:tab w:val="right" w:pos="8931"/>
        </w:tabs>
        <w:rPr>
          <w:color w:val="000000" w:themeColor="text1"/>
          <w:sz w:val="24"/>
          <w:szCs w:val="24"/>
        </w:rPr>
      </w:pPr>
    </w:p>
    <w:p w:rsidR="00706E1C" w:rsidRPr="00481AC1" w:rsidRDefault="004E6594" w:rsidP="004E6594">
      <w:pPr>
        <w:pStyle w:val="Corps"/>
        <w:tabs>
          <w:tab w:val="right" w:pos="8931"/>
        </w:tabs>
        <w:jc w:val="center"/>
        <w:rPr>
          <w:color w:val="000000" w:themeColor="text1"/>
        </w:rPr>
      </w:pPr>
      <w:r w:rsidRPr="00481AC1">
        <w:rPr>
          <w:color w:val="000000" w:themeColor="text1"/>
        </w:rPr>
        <w:t>__________</w:t>
      </w:r>
    </w:p>
    <w:p w:rsidR="00706E1C" w:rsidRPr="00481AC1" w:rsidRDefault="00706E1C" w:rsidP="004E6594">
      <w:pPr>
        <w:pStyle w:val="Corps"/>
        <w:tabs>
          <w:tab w:val="right" w:pos="8789"/>
        </w:tabs>
        <w:rPr>
          <w:color w:val="000000" w:themeColor="text1"/>
        </w:rPr>
      </w:pPr>
    </w:p>
    <w:p w:rsidR="00706E1C" w:rsidRPr="00481AC1" w:rsidRDefault="00706E1C" w:rsidP="004E6594">
      <w:pPr>
        <w:tabs>
          <w:tab w:val="right" w:pos="8931"/>
        </w:tabs>
        <w:rPr>
          <w:color w:val="000000" w:themeColor="text1"/>
        </w:rPr>
      </w:pPr>
    </w:p>
    <w:p w:rsidR="00706E1C" w:rsidRPr="00481AC1" w:rsidRDefault="00706E1C" w:rsidP="004E6594">
      <w:pPr>
        <w:tabs>
          <w:tab w:val="right" w:pos="8931"/>
        </w:tabs>
        <w:rPr>
          <w:color w:val="000000" w:themeColor="text1"/>
        </w:rPr>
      </w:pPr>
    </w:p>
    <w:p w:rsidR="00706E1C" w:rsidRPr="00481AC1" w:rsidRDefault="00706E1C" w:rsidP="004E6594">
      <w:pPr>
        <w:tabs>
          <w:tab w:val="right" w:pos="8931"/>
        </w:tabs>
        <w:rPr>
          <w:color w:val="000000" w:themeColor="text1"/>
        </w:rPr>
      </w:pPr>
    </w:p>
    <w:p w:rsidR="00706E1C" w:rsidRPr="00481AC1" w:rsidRDefault="00706E1C" w:rsidP="004E6594">
      <w:pPr>
        <w:tabs>
          <w:tab w:val="right" w:pos="8931"/>
        </w:tabs>
        <w:rPr>
          <w:color w:val="000000" w:themeColor="text1"/>
        </w:rPr>
      </w:pPr>
    </w:p>
    <w:p w:rsidR="00706E1C" w:rsidRPr="00481AC1" w:rsidRDefault="002B6CD5" w:rsidP="00976441">
      <w:pPr>
        <w:tabs>
          <w:tab w:val="left" w:pos="-1368"/>
          <w:tab w:val="left" w:pos="-912"/>
          <w:tab w:val="left" w:pos="456"/>
          <w:tab w:val="left" w:leader="dot" w:pos="9072"/>
        </w:tabs>
        <w:jc w:val="center"/>
        <w:rPr>
          <w:b/>
          <w:bCs/>
          <w:iCs/>
          <w:smallCaps/>
          <w:color w:val="000000" w:themeColor="text1"/>
          <w:sz w:val="40"/>
          <w:szCs w:val="40"/>
        </w:rPr>
      </w:pPr>
      <w:r w:rsidRPr="00481AC1">
        <w:rPr>
          <w:b/>
          <w:bCs/>
          <w:iCs/>
          <w:smallCaps/>
          <w:color w:val="000000" w:themeColor="text1"/>
          <w:sz w:val="40"/>
          <w:szCs w:val="40"/>
        </w:rPr>
        <w:t>Recommandation</w:t>
      </w:r>
    </w:p>
    <w:p w:rsidR="00706E1C" w:rsidRPr="00481AC1" w:rsidRDefault="002B6CD5" w:rsidP="004E6594">
      <w:pPr>
        <w:tabs>
          <w:tab w:val="left" w:pos="-720"/>
        </w:tabs>
        <w:suppressAutoHyphens/>
        <w:jc w:val="center"/>
        <w:outlineLvl w:val="0"/>
        <w:rPr>
          <w:b/>
          <w:bCs/>
          <w:iCs/>
          <w:smallCaps/>
          <w:color w:val="000000" w:themeColor="text1"/>
          <w:sz w:val="40"/>
          <w:szCs w:val="40"/>
        </w:rPr>
      </w:pPr>
      <w:r w:rsidRPr="00481AC1">
        <w:rPr>
          <w:b/>
          <w:bCs/>
          <w:iCs/>
          <w:smallCaps/>
          <w:color w:val="000000" w:themeColor="text1"/>
          <w:sz w:val="40"/>
          <w:szCs w:val="40"/>
        </w:rPr>
        <w:t xml:space="preserve">sur l’implantation d’un projet </w:t>
      </w:r>
      <w:r w:rsidR="00803E95" w:rsidRPr="00481AC1">
        <w:rPr>
          <w:b/>
          <w:bCs/>
          <w:iCs/>
          <w:smallCaps/>
          <w:color w:val="000000" w:themeColor="text1"/>
          <w:sz w:val="40"/>
          <w:szCs w:val="40"/>
        </w:rPr>
        <w:t xml:space="preserve">commercial </w:t>
      </w:r>
      <w:r w:rsidRPr="00481AC1">
        <w:rPr>
          <w:b/>
          <w:bCs/>
          <w:iCs/>
          <w:smallCaps/>
          <w:color w:val="000000" w:themeColor="text1"/>
          <w:sz w:val="40"/>
          <w:szCs w:val="40"/>
        </w:rPr>
        <w:t xml:space="preserve">sur le lac </w:t>
      </w:r>
      <w:r w:rsidR="00803E95" w:rsidRPr="00481AC1">
        <w:rPr>
          <w:b/>
          <w:bCs/>
          <w:iCs/>
          <w:smallCaps/>
          <w:color w:val="000000" w:themeColor="text1"/>
          <w:sz w:val="40"/>
          <w:szCs w:val="40"/>
        </w:rPr>
        <w:t>Skadar (</w:t>
      </w:r>
      <w:r w:rsidRPr="00481AC1">
        <w:rPr>
          <w:b/>
          <w:bCs/>
          <w:iCs/>
          <w:smallCaps/>
          <w:color w:val="000000" w:themeColor="text1"/>
          <w:sz w:val="40"/>
          <w:szCs w:val="40"/>
        </w:rPr>
        <w:t>Monténégro</w:t>
      </w:r>
      <w:r w:rsidR="00803E95" w:rsidRPr="00481AC1">
        <w:rPr>
          <w:b/>
          <w:bCs/>
          <w:iCs/>
          <w:smallCaps/>
          <w:color w:val="000000" w:themeColor="text1"/>
          <w:sz w:val="40"/>
          <w:szCs w:val="40"/>
        </w:rPr>
        <w:t>)</w:t>
      </w: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Default="00706E1C" w:rsidP="004E6594">
      <w:pPr>
        <w:tabs>
          <w:tab w:val="left" w:pos="-720"/>
        </w:tabs>
        <w:suppressAutoHyphens/>
        <w:jc w:val="center"/>
        <w:outlineLvl w:val="0"/>
        <w:rPr>
          <w:b/>
          <w:color w:val="000000" w:themeColor="text1"/>
        </w:rPr>
      </w:pPr>
    </w:p>
    <w:p w:rsidR="00997D34" w:rsidRDefault="00997D34" w:rsidP="004E6594">
      <w:pPr>
        <w:tabs>
          <w:tab w:val="left" w:pos="-720"/>
        </w:tabs>
        <w:suppressAutoHyphens/>
        <w:jc w:val="center"/>
        <w:outlineLvl w:val="0"/>
        <w:rPr>
          <w:b/>
          <w:color w:val="000000" w:themeColor="text1"/>
        </w:rPr>
      </w:pPr>
    </w:p>
    <w:p w:rsidR="00997D34" w:rsidRDefault="00997D34"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rPr>
      </w:pPr>
    </w:p>
    <w:p w:rsidR="00706E1C" w:rsidRPr="00481AC1" w:rsidRDefault="00706E1C" w:rsidP="004E6594">
      <w:pPr>
        <w:tabs>
          <w:tab w:val="left" w:pos="-720"/>
        </w:tabs>
        <w:suppressAutoHyphens/>
        <w:jc w:val="center"/>
        <w:outlineLvl w:val="0"/>
        <w:rPr>
          <w:b/>
          <w:color w:val="000000" w:themeColor="text1"/>
          <w:sz w:val="22"/>
          <w:szCs w:val="22"/>
        </w:rPr>
      </w:pPr>
    </w:p>
    <w:p w:rsidR="00706E1C" w:rsidRPr="00481AC1" w:rsidRDefault="004E6594" w:rsidP="004E6594">
      <w:pPr>
        <w:tabs>
          <w:tab w:val="left" w:pos="-720"/>
          <w:tab w:val="left" w:pos="0"/>
        </w:tabs>
        <w:suppressAutoHyphens/>
        <w:jc w:val="center"/>
        <w:rPr>
          <w:i/>
          <w:color w:val="000000" w:themeColor="text1"/>
          <w:sz w:val="22"/>
          <w:szCs w:val="22"/>
        </w:rPr>
      </w:pPr>
      <w:r w:rsidRPr="00481AC1">
        <w:rPr>
          <w:i/>
          <w:color w:val="000000" w:themeColor="text1"/>
          <w:sz w:val="22"/>
          <w:szCs w:val="22"/>
        </w:rPr>
        <w:t>Document</w:t>
      </w:r>
      <w:r w:rsidR="002B6CD5" w:rsidRPr="00481AC1">
        <w:rPr>
          <w:i/>
          <w:color w:val="000000" w:themeColor="text1"/>
          <w:sz w:val="22"/>
          <w:szCs w:val="22"/>
        </w:rPr>
        <w:t xml:space="preserve"> préparé par </w:t>
      </w:r>
    </w:p>
    <w:p w:rsidR="00706E1C" w:rsidRPr="00481AC1" w:rsidRDefault="002B6CD5" w:rsidP="0071584E">
      <w:pPr>
        <w:tabs>
          <w:tab w:val="left" w:pos="-720"/>
          <w:tab w:val="left" w:pos="0"/>
        </w:tabs>
        <w:suppressAutoHyphens/>
        <w:jc w:val="center"/>
        <w:rPr>
          <w:color w:val="000000" w:themeColor="text1"/>
          <w:sz w:val="22"/>
          <w:szCs w:val="22"/>
        </w:rPr>
      </w:pPr>
      <w:proofErr w:type="gramStart"/>
      <w:r w:rsidRPr="00481AC1">
        <w:rPr>
          <w:i/>
          <w:iCs/>
          <w:color w:val="000000" w:themeColor="text1"/>
          <w:sz w:val="22"/>
          <w:szCs w:val="22"/>
        </w:rPr>
        <w:t>la</w:t>
      </w:r>
      <w:proofErr w:type="gramEnd"/>
      <w:r w:rsidRPr="00481AC1">
        <w:rPr>
          <w:i/>
          <w:iCs/>
          <w:color w:val="000000" w:themeColor="text1"/>
          <w:sz w:val="22"/>
          <w:szCs w:val="22"/>
        </w:rPr>
        <w:t xml:space="preserve"> Direction de la Participation démocratique</w:t>
      </w:r>
      <w:r w:rsidR="004E6594" w:rsidRPr="00481AC1">
        <w:rPr>
          <w:color w:val="000000" w:themeColor="text1"/>
          <w:sz w:val="22"/>
          <w:szCs w:val="22"/>
        </w:rPr>
        <w:br w:type="page"/>
      </w:r>
    </w:p>
    <w:p w:rsidR="00706E1C" w:rsidRPr="00481AC1" w:rsidRDefault="009C009F" w:rsidP="009C009F">
      <w:pPr>
        <w:spacing w:after="120"/>
        <w:jc w:val="both"/>
        <w:rPr>
          <w:color w:val="000000" w:themeColor="text1"/>
          <w:sz w:val="24"/>
          <w:szCs w:val="24"/>
        </w:rPr>
      </w:pPr>
      <w:r w:rsidRPr="00481AC1">
        <w:rPr>
          <w:noProof/>
          <w:color w:val="000000" w:themeColor="text1"/>
        </w:rPr>
        <w:lastRenderedPageBreak/>
        <w:drawing>
          <wp:anchor distT="0" distB="0" distL="114300" distR="114300" simplePos="0" relativeHeight="251659264" behindDoc="0" locked="1" layoutInCell="1" allowOverlap="1" wp14:anchorId="63CC453F" wp14:editId="2E896252">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E1C" w:rsidRPr="00481AC1" w:rsidRDefault="00706E1C" w:rsidP="009C009F">
      <w:pPr>
        <w:tabs>
          <w:tab w:val="left" w:pos="380"/>
          <w:tab w:val="left" w:pos="709"/>
          <w:tab w:val="left" w:pos="3799"/>
          <w:tab w:val="right" w:pos="9063"/>
        </w:tabs>
        <w:spacing w:after="120"/>
        <w:ind w:left="1140" w:right="-50"/>
        <w:jc w:val="both"/>
        <w:rPr>
          <w:iCs/>
          <w:color w:val="000000" w:themeColor="text1"/>
          <w:sz w:val="24"/>
          <w:szCs w:val="24"/>
        </w:rPr>
      </w:pPr>
    </w:p>
    <w:p w:rsidR="00706E1C" w:rsidRDefault="00706E1C" w:rsidP="009C009F">
      <w:pPr>
        <w:tabs>
          <w:tab w:val="left" w:pos="380"/>
          <w:tab w:val="left" w:pos="709"/>
          <w:tab w:val="left" w:pos="3799"/>
          <w:tab w:val="right" w:pos="9063"/>
        </w:tabs>
        <w:spacing w:after="120"/>
        <w:ind w:left="1140" w:right="-50"/>
        <w:jc w:val="both"/>
        <w:rPr>
          <w:iCs/>
          <w:color w:val="000000" w:themeColor="text1"/>
          <w:sz w:val="24"/>
          <w:szCs w:val="24"/>
        </w:rPr>
      </w:pPr>
    </w:p>
    <w:p w:rsidR="00997D34" w:rsidRDefault="00997D34" w:rsidP="009C009F">
      <w:pPr>
        <w:tabs>
          <w:tab w:val="left" w:pos="380"/>
          <w:tab w:val="left" w:pos="709"/>
          <w:tab w:val="left" w:pos="3799"/>
          <w:tab w:val="right" w:pos="9063"/>
        </w:tabs>
        <w:spacing w:after="120"/>
        <w:ind w:left="1140" w:right="-50"/>
        <w:jc w:val="both"/>
        <w:rPr>
          <w:iCs/>
          <w:color w:val="000000" w:themeColor="text1"/>
          <w:sz w:val="24"/>
          <w:szCs w:val="24"/>
        </w:rPr>
      </w:pPr>
    </w:p>
    <w:p w:rsidR="00997D34" w:rsidRPr="00481AC1" w:rsidRDefault="00997D34" w:rsidP="009C009F">
      <w:pPr>
        <w:tabs>
          <w:tab w:val="left" w:pos="380"/>
          <w:tab w:val="left" w:pos="709"/>
          <w:tab w:val="left" w:pos="3799"/>
          <w:tab w:val="right" w:pos="9063"/>
        </w:tabs>
        <w:spacing w:after="120"/>
        <w:ind w:left="1140" w:right="-50"/>
        <w:jc w:val="both"/>
        <w:rPr>
          <w:iCs/>
          <w:color w:val="000000" w:themeColor="text1"/>
          <w:sz w:val="24"/>
          <w:szCs w:val="24"/>
        </w:rPr>
      </w:pPr>
    </w:p>
    <w:p w:rsidR="00706E1C" w:rsidRPr="00481AC1" w:rsidRDefault="002B6CD5" w:rsidP="002B6CD5">
      <w:pPr>
        <w:tabs>
          <w:tab w:val="left" w:pos="380"/>
          <w:tab w:val="left" w:pos="709"/>
          <w:tab w:val="left" w:pos="3799"/>
          <w:tab w:val="right" w:pos="9063"/>
        </w:tabs>
        <w:spacing w:after="120"/>
        <w:ind w:left="1140" w:right="-50"/>
        <w:jc w:val="both"/>
        <w:rPr>
          <w:iCs/>
          <w:color w:val="000000" w:themeColor="text1"/>
          <w:sz w:val="24"/>
          <w:szCs w:val="24"/>
        </w:rPr>
      </w:pPr>
      <w:r w:rsidRPr="00481AC1">
        <w:rPr>
          <w:iCs/>
          <w:color w:val="000000" w:themeColor="text1"/>
          <w:sz w:val="24"/>
          <w:szCs w:val="24"/>
        </w:rPr>
        <w:t>Convention relative à la conservation de la vie sauvage</w:t>
      </w:r>
    </w:p>
    <w:p w:rsidR="00706E1C" w:rsidRPr="00481AC1" w:rsidRDefault="002B6CD5" w:rsidP="002B6CD5">
      <w:pPr>
        <w:tabs>
          <w:tab w:val="left" w:pos="380"/>
          <w:tab w:val="left" w:pos="709"/>
          <w:tab w:val="left" w:pos="3799"/>
          <w:tab w:val="right" w:pos="9063"/>
        </w:tabs>
        <w:spacing w:after="120"/>
        <w:ind w:left="1140" w:right="-50"/>
        <w:jc w:val="both"/>
        <w:rPr>
          <w:iCs/>
          <w:color w:val="000000" w:themeColor="text1"/>
          <w:sz w:val="24"/>
          <w:szCs w:val="24"/>
        </w:rPr>
      </w:pPr>
      <w:proofErr w:type="gramStart"/>
      <w:r w:rsidRPr="00481AC1">
        <w:rPr>
          <w:iCs/>
          <w:color w:val="000000" w:themeColor="text1"/>
          <w:sz w:val="24"/>
          <w:szCs w:val="24"/>
        </w:rPr>
        <w:t>et</w:t>
      </w:r>
      <w:proofErr w:type="gramEnd"/>
      <w:r w:rsidRPr="00481AC1">
        <w:rPr>
          <w:iCs/>
          <w:color w:val="000000" w:themeColor="text1"/>
          <w:sz w:val="24"/>
          <w:szCs w:val="24"/>
        </w:rPr>
        <w:t xml:space="preserve"> du milieu naturel de l'Europe</w:t>
      </w:r>
    </w:p>
    <w:p w:rsidR="00706E1C" w:rsidRPr="00481AC1" w:rsidRDefault="00706E1C" w:rsidP="00D35B0C">
      <w:pPr>
        <w:tabs>
          <w:tab w:val="left" w:pos="380"/>
          <w:tab w:val="left" w:pos="709"/>
          <w:tab w:val="left" w:pos="3799"/>
          <w:tab w:val="right" w:pos="9063"/>
        </w:tabs>
        <w:spacing w:after="120"/>
        <w:ind w:left="1140" w:right="-50"/>
        <w:jc w:val="both"/>
        <w:rPr>
          <w:iCs/>
          <w:color w:val="000000" w:themeColor="text1"/>
          <w:sz w:val="24"/>
          <w:szCs w:val="24"/>
        </w:rPr>
      </w:pPr>
    </w:p>
    <w:p w:rsidR="00706E1C" w:rsidRPr="00481AC1" w:rsidRDefault="002B6CD5" w:rsidP="002B6CD5">
      <w:pPr>
        <w:tabs>
          <w:tab w:val="left" w:pos="380"/>
          <w:tab w:val="left" w:pos="709"/>
          <w:tab w:val="left" w:pos="3799"/>
          <w:tab w:val="right" w:pos="9063"/>
        </w:tabs>
        <w:spacing w:after="120"/>
        <w:ind w:left="1140" w:right="-50"/>
        <w:jc w:val="both"/>
        <w:rPr>
          <w:iCs/>
          <w:color w:val="000000" w:themeColor="text1"/>
          <w:sz w:val="24"/>
          <w:szCs w:val="24"/>
        </w:rPr>
      </w:pPr>
      <w:r w:rsidRPr="00481AC1">
        <w:rPr>
          <w:iCs/>
          <w:color w:val="000000" w:themeColor="text1"/>
          <w:sz w:val="24"/>
          <w:szCs w:val="24"/>
        </w:rPr>
        <w:t>Comité permanent</w:t>
      </w:r>
    </w:p>
    <w:p w:rsidR="00706E1C" w:rsidRPr="00481AC1" w:rsidRDefault="00706E1C" w:rsidP="00AF4D13">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rPr>
      </w:pPr>
    </w:p>
    <w:p w:rsidR="005E69DC" w:rsidRPr="005E69DC" w:rsidRDefault="005E69DC" w:rsidP="005E69DC">
      <w:pPr>
        <w:tabs>
          <w:tab w:val="left" w:pos="0"/>
          <w:tab w:val="left" w:pos="709"/>
          <w:tab w:val="right" w:pos="9072"/>
        </w:tabs>
        <w:spacing w:after="120"/>
        <w:jc w:val="both"/>
        <w:rPr>
          <w:rFonts w:eastAsia="Times New Roman"/>
          <w:b/>
          <w:bCs/>
          <w:color w:val="000000" w:themeColor="text1"/>
          <w:spacing w:val="-2"/>
          <w:sz w:val="24"/>
          <w:szCs w:val="24"/>
          <w:lang w:eastAsia="es-ES"/>
        </w:rPr>
      </w:pPr>
      <w:r w:rsidRPr="005E69DC">
        <w:rPr>
          <w:rFonts w:eastAsia="Times New Roman"/>
          <w:b/>
          <w:bCs/>
          <w:color w:val="000000" w:themeColor="text1"/>
          <w:spacing w:val="-2"/>
          <w:sz w:val="24"/>
          <w:szCs w:val="24"/>
          <w:lang w:eastAsia="es-ES"/>
        </w:rPr>
        <w:t>Recom</w:t>
      </w:r>
      <w:bookmarkStart w:id="0" w:name="_GoBack"/>
      <w:bookmarkEnd w:id="0"/>
      <w:r w:rsidRPr="005E69DC">
        <w:rPr>
          <w:rFonts w:eastAsia="Times New Roman"/>
          <w:b/>
          <w:bCs/>
          <w:color w:val="000000" w:themeColor="text1"/>
          <w:spacing w:val="-2"/>
          <w:sz w:val="24"/>
          <w:szCs w:val="24"/>
          <w:lang w:eastAsia="es-ES"/>
        </w:rPr>
        <w:t xml:space="preserve">mandation n° 201 (2018) du Comité permanent, adoptée le 30 novembre 2018, sur l'implantation d'un projet commercial sur le lac </w:t>
      </w:r>
      <w:proofErr w:type="spellStart"/>
      <w:r w:rsidRPr="005E69DC">
        <w:rPr>
          <w:rFonts w:eastAsia="Times New Roman"/>
          <w:b/>
          <w:bCs/>
          <w:color w:val="000000" w:themeColor="text1"/>
          <w:spacing w:val="-2"/>
          <w:sz w:val="24"/>
          <w:szCs w:val="24"/>
          <w:lang w:eastAsia="es-ES"/>
        </w:rPr>
        <w:t>Skadar</w:t>
      </w:r>
      <w:proofErr w:type="spellEnd"/>
      <w:r w:rsidRPr="005E69DC">
        <w:rPr>
          <w:rFonts w:eastAsia="Times New Roman"/>
          <w:b/>
          <w:bCs/>
          <w:color w:val="000000" w:themeColor="text1"/>
          <w:spacing w:val="-2"/>
          <w:sz w:val="24"/>
          <w:szCs w:val="24"/>
          <w:lang w:eastAsia="es-ES"/>
        </w:rPr>
        <w:t xml:space="preserve"> (Monténégro)</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Le Comité permanent de la Convention relative à la conservation de la vie sauvage et du milieu naturel de l'Europe, agissant en vertu de l'article 14 de la Convention,</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 xml:space="preserve">Eu égard aux objectifs de la Convention, qui consistent à préserver la flore et la faune sauvages et leurs habitats naturels; </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 xml:space="preserve">Rappelant qu'aux termes de l'article 3 de la Convention, chaque Partie contractante prend les mesures nécessaires pour que soient mises en œuvre des politiques nationales de conservation de la faune et de la flore sauvages et des habitats naturels, en accordant une attention particulière aux espèces menacées d'extinction et vulnérables, surtout aux espèces endémiques, et aux habitats menacés; </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Rappelant que l'article 4, paragraphe 1 de la Convention prévoit que chaque Partie contractante prend les mesures législatives et réglementaires appropriées et nécessaires pour protéger notamment les habitats des espèces sauvages de la faune, en particulier de celles énumérées dans l'Annexe II de la Convention;</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 xml:space="preserve">Constatant que la Convention a été saisie d'une plainte sur les conséquences négatives alléguées sur la diversité biologique de l’implantation d’un projet commercial dans le Parc national du lac de </w:t>
      </w:r>
      <w:proofErr w:type="spellStart"/>
      <w:r w:rsidRPr="00BD18FF">
        <w:rPr>
          <w:color w:val="000000" w:themeColor="text1"/>
          <w:spacing w:val="-2"/>
          <w:sz w:val="22"/>
          <w:szCs w:val="22"/>
        </w:rPr>
        <w:t>Skadar</w:t>
      </w:r>
      <w:proofErr w:type="spellEnd"/>
      <w:r w:rsidRPr="00BD18FF">
        <w:rPr>
          <w:color w:val="000000" w:themeColor="text1"/>
          <w:spacing w:val="-2"/>
          <w:sz w:val="22"/>
          <w:szCs w:val="22"/>
        </w:rPr>
        <w:t>, un site candidat Emeraude (Monténégro) en 2016 (plainte n° 2016/4) ;</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 xml:space="preserve">Rappelant que </w:t>
      </w:r>
      <w:proofErr w:type="spellStart"/>
      <w:r w:rsidRPr="00BD18FF">
        <w:rPr>
          <w:color w:val="000000" w:themeColor="text1"/>
          <w:spacing w:val="-2"/>
          <w:sz w:val="22"/>
          <w:szCs w:val="22"/>
        </w:rPr>
        <w:t>Skadarsko</w:t>
      </w:r>
      <w:proofErr w:type="spellEnd"/>
      <w:r w:rsidRPr="00BD18FF">
        <w:rPr>
          <w:color w:val="000000" w:themeColor="text1"/>
          <w:spacing w:val="-2"/>
          <w:sz w:val="22"/>
          <w:szCs w:val="22"/>
        </w:rPr>
        <w:t xml:space="preserve"> </w:t>
      </w:r>
      <w:proofErr w:type="spellStart"/>
      <w:r w:rsidRPr="00BD18FF">
        <w:rPr>
          <w:color w:val="000000" w:themeColor="text1"/>
          <w:spacing w:val="-2"/>
          <w:sz w:val="22"/>
          <w:szCs w:val="22"/>
        </w:rPr>
        <w:t>Jezero</w:t>
      </w:r>
      <w:proofErr w:type="spellEnd"/>
      <w:r w:rsidRPr="00BD18FF">
        <w:rPr>
          <w:color w:val="000000" w:themeColor="text1"/>
          <w:spacing w:val="-2"/>
          <w:sz w:val="22"/>
          <w:szCs w:val="22"/>
        </w:rPr>
        <w:t xml:space="preserve"> (lac </w:t>
      </w:r>
      <w:proofErr w:type="spellStart"/>
      <w:r w:rsidRPr="00BD18FF">
        <w:rPr>
          <w:color w:val="000000" w:themeColor="text1"/>
          <w:spacing w:val="-2"/>
          <w:sz w:val="22"/>
          <w:szCs w:val="22"/>
        </w:rPr>
        <w:t>Skadar</w:t>
      </w:r>
      <w:proofErr w:type="spellEnd"/>
      <w:r w:rsidRPr="00BD18FF">
        <w:rPr>
          <w:color w:val="000000" w:themeColor="text1"/>
          <w:spacing w:val="-2"/>
          <w:sz w:val="22"/>
          <w:szCs w:val="22"/>
        </w:rPr>
        <w:t xml:space="preserve">), un lac transfrontalier entre le Monténégro et l'Albanie, est le plus grand lac d'eau douce des Balkans, un parc national, un site candidat Emeraude (ME0000003) et un site de </w:t>
      </w:r>
      <w:proofErr w:type="spellStart"/>
      <w:r w:rsidRPr="00BD18FF">
        <w:rPr>
          <w:color w:val="000000" w:themeColor="text1"/>
          <w:spacing w:val="-2"/>
          <w:sz w:val="22"/>
          <w:szCs w:val="22"/>
        </w:rPr>
        <w:t>Ramsar</w:t>
      </w:r>
      <w:proofErr w:type="spellEnd"/>
      <w:r w:rsidRPr="00BD18FF">
        <w:rPr>
          <w:color w:val="000000" w:themeColor="text1"/>
          <w:spacing w:val="-2"/>
          <w:sz w:val="22"/>
          <w:szCs w:val="22"/>
        </w:rPr>
        <w:t xml:space="preserve"> (n° 784);</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Notant également l'importance européenne particulière de ce lac en raison de sa taille et de la représentativité de ses complexes de végétation flottante;</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Relevant que ce lac et sa partie terrestre forment un écosystème d'une diversité biologique extrêmement riche, où des espèces endémiques de flore et de faune côtoient des espèces strictement protégées par la  Convention de Berne;</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 xml:space="preserve">Rappelant que le Parc national du lac de </w:t>
      </w:r>
      <w:proofErr w:type="spellStart"/>
      <w:r w:rsidRPr="00BD18FF">
        <w:rPr>
          <w:color w:val="000000" w:themeColor="text1"/>
          <w:spacing w:val="-2"/>
          <w:sz w:val="22"/>
          <w:szCs w:val="22"/>
        </w:rPr>
        <w:t>Skadar</w:t>
      </w:r>
      <w:proofErr w:type="spellEnd"/>
      <w:r w:rsidRPr="00BD18FF">
        <w:rPr>
          <w:color w:val="000000" w:themeColor="text1"/>
          <w:spacing w:val="-2"/>
          <w:sz w:val="22"/>
          <w:szCs w:val="22"/>
        </w:rPr>
        <w:t xml:space="preserve"> a été officiellement proposé comme site candidat Emeraude en 2011 et, qu'à ce titre, il est couvert par la Recommandation n° 157 (2011) sur le statut des sites candidats Emeraude et les orientations sur les critères à prendre en compte pour leur adoption, qui invite les autorités nationales à « prendre les mesures de protection et de conservation nécessaires pour préserver les caractéristiques écologiques des sites candidats Emeraude » jusqu'à leur pleine intégration au Réseau Emeraude; </w:t>
      </w:r>
    </w:p>
    <w:p w:rsidR="005E69DC" w:rsidRPr="00BD18FF" w:rsidRDefault="005E69DC" w:rsidP="005E69DC">
      <w:pPr>
        <w:spacing w:after="120"/>
        <w:jc w:val="both"/>
        <w:outlineLvl w:val="0"/>
        <w:rPr>
          <w:color w:val="000000" w:themeColor="text1"/>
          <w:sz w:val="22"/>
          <w:szCs w:val="22"/>
        </w:rPr>
      </w:pPr>
      <w:r w:rsidRPr="00BD18FF">
        <w:rPr>
          <w:color w:val="000000" w:themeColor="text1"/>
          <w:sz w:val="22"/>
          <w:szCs w:val="22"/>
        </w:rPr>
        <w:t xml:space="preserve">Prenant acte de la mission conjointe des Conventions de Berne et de </w:t>
      </w:r>
      <w:proofErr w:type="spellStart"/>
      <w:r w:rsidRPr="00BD18FF">
        <w:rPr>
          <w:color w:val="000000" w:themeColor="text1"/>
          <w:sz w:val="22"/>
          <w:szCs w:val="22"/>
        </w:rPr>
        <w:t>Ramsar</w:t>
      </w:r>
      <w:proofErr w:type="spellEnd"/>
      <w:r w:rsidRPr="00BD18FF">
        <w:rPr>
          <w:color w:val="000000" w:themeColor="text1"/>
          <w:sz w:val="22"/>
          <w:szCs w:val="22"/>
        </w:rPr>
        <w:t xml:space="preserve"> dans la région (expertise sur les lieux de la Convention de Berne et mission consultative n° 89 de </w:t>
      </w:r>
      <w:proofErr w:type="spellStart"/>
      <w:r w:rsidRPr="00BD18FF">
        <w:rPr>
          <w:color w:val="000000" w:themeColor="text1"/>
          <w:sz w:val="22"/>
          <w:szCs w:val="22"/>
        </w:rPr>
        <w:t>Ramsar</w:t>
      </w:r>
      <w:proofErr w:type="spellEnd"/>
      <w:r w:rsidRPr="00BD18FF">
        <w:rPr>
          <w:color w:val="000000" w:themeColor="text1"/>
          <w:sz w:val="22"/>
          <w:szCs w:val="22"/>
        </w:rPr>
        <w:t>) organisée au Monténégro du 12 au 4 juin 2018, qui poursuivait quatre objectifs spécifiques préalablement validés par toutes les parties concernées</w:t>
      </w:r>
      <w:r w:rsidRPr="00BD18FF">
        <w:rPr>
          <w:color w:val="000000" w:themeColor="text1"/>
          <w:spacing w:val="-2"/>
          <w:sz w:val="22"/>
          <w:szCs w:val="22"/>
        </w:rPr>
        <w:t>;</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t>Prenant note du rapport [document T-PVS/Files (2018)47] de la mission conjointe;</w:t>
      </w:r>
    </w:p>
    <w:p w:rsidR="005E69DC" w:rsidRPr="00BD18FF" w:rsidRDefault="005E69DC" w:rsidP="005E69DC">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color w:val="000000" w:themeColor="text1"/>
          <w:spacing w:val="-2"/>
          <w:sz w:val="22"/>
          <w:szCs w:val="22"/>
        </w:rPr>
      </w:pPr>
      <w:r w:rsidRPr="00BD18FF">
        <w:rPr>
          <w:color w:val="000000" w:themeColor="text1"/>
          <w:spacing w:val="-2"/>
          <w:sz w:val="22"/>
          <w:szCs w:val="22"/>
        </w:rPr>
        <w:lastRenderedPageBreak/>
        <w:t>Préoccupé par le danger immédiat qui menace l'écosystème exceptionnel d’eau douce du lac du fait des projets d’aménagement envisagés,</w:t>
      </w:r>
    </w:p>
    <w:p w:rsidR="005E69DC" w:rsidRPr="00BD18FF" w:rsidRDefault="005E69DC" w:rsidP="005E69DC">
      <w:pPr>
        <w:spacing w:after="120"/>
        <w:jc w:val="both"/>
        <w:rPr>
          <w:color w:val="000000" w:themeColor="text1"/>
          <w:sz w:val="22"/>
          <w:szCs w:val="22"/>
          <w:lang w:eastAsia="en-GB"/>
        </w:rPr>
      </w:pPr>
      <w:r w:rsidRPr="00BD18FF">
        <w:rPr>
          <w:color w:val="000000" w:themeColor="text1"/>
          <w:sz w:val="22"/>
          <w:szCs w:val="22"/>
          <w:lang w:eastAsia="en-GB"/>
        </w:rPr>
        <w:t>Recommande que le Gouvernement du Monténégro:</w:t>
      </w:r>
    </w:p>
    <w:p w:rsidR="005E69DC" w:rsidRPr="00BD18FF" w:rsidRDefault="005E69DC" w:rsidP="005E69DC">
      <w:pPr>
        <w:spacing w:after="120"/>
        <w:ind w:left="426" w:hanging="426"/>
        <w:jc w:val="both"/>
        <w:rPr>
          <w:color w:val="000000" w:themeColor="text1"/>
          <w:sz w:val="22"/>
          <w:szCs w:val="22"/>
        </w:rPr>
      </w:pPr>
      <w:r w:rsidRPr="00BD18FF">
        <w:rPr>
          <w:color w:val="000000" w:themeColor="text1"/>
          <w:sz w:val="22"/>
          <w:szCs w:val="22"/>
        </w:rPr>
        <w:t>1.</w:t>
      </w:r>
      <w:r w:rsidRPr="00BD18FF">
        <w:rPr>
          <w:color w:val="000000" w:themeColor="text1"/>
          <w:sz w:val="22"/>
          <w:szCs w:val="22"/>
        </w:rPr>
        <w:tab/>
        <w:t>Applique immédiatement les mesures suivantes de conservation et de gestion, et les maintienne au cours des 12 prochains mois:</w:t>
      </w:r>
    </w:p>
    <w:p w:rsidR="005E69DC" w:rsidRPr="00BD18FF" w:rsidRDefault="005E69DC" w:rsidP="005E69DC">
      <w:pPr>
        <w:spacing w:after="120"/>
        <w:ind w:left="851" w:hanging="426"/>
        <w:jc w:val="both"/>
        <w:rPr>
          <w:color w:val="000000" w:themeColor="text1"/>
          <w:sz w:val="22"/>
          <w:szCs w:val="22"/>
        </w:rPr>
      </w:pPr>
      <w:r w:rsidRPr="00BD18FF">
        <w:rPr>
          <w:color w:val="000000" w:themeColor="text1"/>
          <w:sz w:val="22"/>
          <w:szCs w:val="22"/>
        </w:rPr>
        <w:t>i.</w:t>
      </w:r>
      <w:r w:rsidRPr="00BD18FF">
        <w:rPr>
          <w:color w:val="000000" w:themeColor="text1"/>
          <w:sz w:val="22"/>
          <w:szCs w:val="22"/>
        </w:rPr>
        <w:tab/>
        <w:t xml:space="preserve">Faire cesser tout nouvel aménagement dans les espaces terrestres et sur la zone littorale, ainsi que dans les eaux du site de </w:t>
      </w:r>
      <w:proofErr w:type="spellStart"/>
      <w:r w:rsidRPr="00BD18FF">
        <w:rPr>
          <w:color w:val="000000" w:themeColor="text1"/>
          <w:sz w:val="22"/>
          <w:szCs w:val="22"/>
        </w:rPr>
        <w:t>Mihailovići</w:t>
      </w:r>
      <w:proofErr w:type="spellEnd"/>
      <w:r w:rsidRPr="00BD18FF">
        <w:rPr>
          <w:color w:val="000000" w:themeColor="text1"/>
          <w:sz w:val="22"/>
          <w:szCs w:val="22"/>
        </w:rPr>
        <w:t xml:space="preserve"> jusqu'à ce qu'une cartographie détaillée des habitats à l'échelle 1:10,000 ne soit établie pour « </w:t>
      </w:r>
      <w:proofErr w:type="spellStart"/>
      <w:r w:rsidRPr="00BD18FF">
        <w:rPr>
          <w:color w:val="000000" w:themeColor="text1"/>
          <w:sz w:val="22"/>
          <w:szCs w:val="22"/>
        </w:rPr>
        <w:t>Mihailovići</w:t>
      </w:r>
      <w:proofErr w:type="spellEnd"/>
      <w:r w:rsidRPr="00BD18FF">
        <w:rPr>
          <w:color w:val="000000" w:themeColor="text1"/>
          <w:sz w:val="22"/>
          <w:szCs w:val="22"/>
        </w:rPr>
        <w:t xml:space="preserve"> », la baie de </w:t>
      </w:r>
      <w:proofErr w:type="spellStart"/>
      <w:r w:rsidRPr="00BD18FF">
        <w:rPr>
          <w:color w:val="000000" w:themeColor="text1"/>
          <w:sz w:val="22"/>
          <w:szCs w:val="22"/>
        </w:rPr>
        <w:t>Poseljanski</w:t>
      </w:r>
      <w:proofErr w:type="spellEnd"/>
      <w:r w:rsidRPr="00BD18FF">
        <w:rPr>
          <w:color w:val="000000" w:themeColor="text1"/>
          <w:sz w:val="22"/>
          <w:szCs w:val="22"/>
        </w:rPr>
        <w:t xml:space="preserve"> </w:t>
      </w:r>
      <w:proofErr w:type="spellStart"/>
      <w:r w:rsidRPr="00BD18FF">
        <w:rPr>
          <w:color w:val="000000" w:themeColor="text1"/>
          <w:sz w:val="22"/>
          <w:szCs w:val="22"/>
        </w:rPr>
        <w:t>Zaliv</w:t>
      </w:r>
      <w:proofErr w:type="spellEnd"/>
      <w:r w:rsidRPr="00BD18FF">
        <w:rPr>
          <w:color w:val="000000" w:themeColor="text1"/>
          <w:sz w:val="22"/>
          <w:szCs w:val="22"/>
        </w:rPr>
        <w:t xml:space="preserve">, </w:t>
      </w:r>
      <w:proofErr w:type="spellStart"/>
      <w:r w:rsidRPr="00BD18FF">
        <w:rPr>
          <w:color w:val="000000" w:themeColor="text1"/>
          <w:sz w:val="22"/>
          <w:szCs w:val="22"/>
        </w:rPr>
        <w:t>Biški</w:t>
      </w:r>
      <w:proofErr w:type="spellEnd"/>
      <w:r w:rsidRPr="00BD18FF">
        <w:rPr>
          <w:color w:val="000000" w:themeColor="text1"/>
          <w:sz w:val="22"/>
          <w:szCs w:val="22"/>
        </w:rPr>
        <w:t xml:space="preserve"> </w:t>
      </w:r>
      <w:proofErr w:type="spellStart"/>
      <w:r w:rsidRPr="00BD18FF">
        <w:rPr>
          <w:color w:val="000000" w:themeColor="text1"/>
          <w:sz w:val="22"/>
          <w:szCs w:val="22"/>
        </w:rPr>
        <w:t>Rep</w:t>
      </w:r>
      <w:proofErr w:type="spellEnd"/>
      <w:r w:rsidRPr="00BD18FF">
        <w:rPr>
          <w:color w:val="000000" w:themeColor="text1"/>
          <w:sz w:val="22"/>
          <w:szCs w:val="22"/>
        </w:rPr>
        <w:t xml:space="preserve">, l'embouchure de la rivière </w:t>
      </w:r>
      <w:proofErr w:type="spellStart"/>
      <w:r w:rsidRPr="00BD18FF">
        <w:rPr>
          <w:color w:val="000000" w:themeColor="text1"/>
          <w:sz w:val="22"/>
          <w:szCs w:val="22"/>
        </w:rPr>
        <w:t>Crnojevića</w:t>
      </w:r>
      <w:proofErr w:type="spellEnd"/>
      <w:r w:rsidRPr="00BD18FF">
        <w:rPr>
          <w:color w:val="000000" w:themeColor="text1"/>
          <w:sz w:val="22"/>
          <w:szCs w:val="22"/>
        </w:rPr>
        <w:t xml:space="preserve">, l'embouchure de la </w:t>
      </w:r>
      <w:proofErr w:type="spellStart"/>
      <w:r w:rsidRPr="00BD18FF">
        <w:rPr>
          <w:color w:val="000000" w:themeColor="text1"/>
          <w:sz w:val="22"/>
          <w:szCs w:val="22"/>
        </w:rPr>
        <w:t>Bazagurska</w:t>
      </w:r>
      <w:proofErr w:type="spellEnd"/>
      <w:r w:rsidRPr="00BD18FF">
        <w:rPr>
          <w:color w:val="000000" w:themeColor="text1"/>
          <w:sz w:val="22"/>
          <w:szCs w:val="22"/>
        </w:rPr>
        <w:t xml:space="preserve"> </w:t>
      </w:r>
      <w:proofErr w:type="spellStart"/>
      <w:r w:rsidRPr="00BD18FF">
        <w:rPr>
          <w:color w:val="000000" w:themeColor="text1"/>
          <w:sz w:val="22"/>
          <w:szCs w:val="22"/>
        </w:rPr>
        <w:t>matica</w:t>
      </w:r>
      <w:proofErr w:type="spellEnd"/>
      <w:r w:rsidRPr="00BD18FF">
        <w:rPr>
          <w:color w:val="000000" w:themeColor="text1"/>
          <w:sz w:val="22"/>
          <w:szCs w:val="22"/>
        </w:rPr>
        <w:t xml:space="preserve"> et les îles de </w:t>
      </w:r>
      <w:proofErr w:type="spellStart"/>
      <w:r w:rsidRPr="00BD18FF">
        <w:rPr>
          <w:color w:val="000000" w:themeColor="text1"/>
          <w:sz w:val="22"/>
          <w:szCs w:val="22"/>
        </w:rPr>
        <w:t>Liponjak</w:t>
      </w:r>
      <w:proofErr w:type="spellEnd"/>
      <w:r w:rsidRPr="00BD18FF">
        <w:rPr>
          <w:color w:val="000000" w:themeColor="text1"/>
          <w:sz w:val="22"/>
          <w:szCs w:val="22"/>
        </w:rPr>
        <w:t xml:space="preserve"> et de </w:t>
      </w:r>
      <w:proofErr w:type="spellStart"/>
      <w:r w:rsidRPr="00BD18FF">
        <w:rPr>
          <w:color w:val="000000" w:themeColor="text1"/>
          <w:sz w:val="22"/>
          <w:szCs w:val="22"/>
        </w:rPr>
        <w:t>Galići</w:t>
      </w:r>
      <w:proofErr w:type="spellEnd"/>
      <w:r w:rsidRPr="00BD18FF">
        <w:rPr>
          <w:color w:val="000000" w:themeColor="text1"/>
          <w:sz w:val="22"/>
          <w:szCs w:val="22"/>
        </w:rPr>
        <w:t xml:space="preserve">. La carte des habitats devrait idéalement être réalisée à partir de l'imagerie d'observation par satellite et clairement spécifier chaque type d’habitat conformément à la classification des habitats EUNIS et à la Directive Habitats de l’UE. La carte détaillée des habitats sert de fondement à toute étude d'impact sur l'environnement, </w:t>
      </w:r>
    </w:p>
    <w:p w:rsidR="005E69DC" w:rsidRPr="00BD18FF" w:rsidRDefault="005E69DC" w:rsidP="005E69DC">
      <w:pPr>
        <w:spacing w:after="120"/>
        <w:ind w:left="851" w:hanging="426"/>
        <w:jc w:val="both"/>
        <w:rPr>
          <w:color w:val="000000" w:themeColor="text1"/>
          <w:sz w:val="22"/>
          <w:szCs w:val="22"/>
        </w:rPr>
      </w:pPr>
      <w:r w:rsidRPr="00BD18FF">
        <w:rPr>
          <w:color w:val="000000" w:themeColor="text1"/>
          <w:sz w:val="22"/>
          <w:szCs w:val="22"/>
        </w:rPr>
        <w:t>ii.</w:t>
      </w:r>
      <w:r w:rsidRPr="00BD18FF">
        <w:rPr>
          <w:color w:val="000000" w:themeColor="text1"/>
          <w:sz w:val="22"/>
          <w:szCs w:val="22"/>
        </w:rPr>
        <w:tab/>
        <w:t xml:space="preserve">Elaborer immédiatement une liste de référence de tous les habitats EUNIS et NATURA 2000 représentés, en veillant tout spécialement aux habitats des zones humides, définir leur état de conservation favorable et les mesures de sauvegarde nécessaires pour maintenir ou rétablir cet état et inscrire ces mesures dans tout document d’aménagement ayant un rapport avec la conservation du Parc national du lac de </w:t>
      </w:r>
      <w:proofErr w:type="spellStart"/>
      <w:r w:rsidRPr="00BD18FF">
        <w:rPr>
          <w:color w:val="000000" w:themeColor="text1"/>
          <w:sz w:val="22"/>
          <w:szCs w:val="22"/>
        </w:rPr>
        <w:t>Skadar</w:t>
      </w:r>
      <w:proofErr w:type="spellEnd"/>
      <w:r w:rsidRPr="00BD18FF">
        <w:rPr>
          <w:color w:val="000000" w:themeColor="text1"/>
          <w:sz w:val="22"/>
          <w:szCs w:val="22"/>
        </w:rPr>
        <w:t xml:space="preserve">, du Site de </w:t>
      </w:r>
      <w:proofErr w:type="spellStart"/>
      <w:r w:rsidRPr="00BD18FF">
        <w:rPr>
          <w:color w:val="000000" w:themeColor="text1"/>
          <w:sz w:val="22"/>
          <w:szCs w:val="22"/>
        </w:rPr>
        <w:t>Ramsar</w:t>
      </w:r>
      <w:proofErr w:type="spellEnd"/>
      <w:r w:rsidRPr="00BD18FF">
        <w:rPr>
          <w:color w:val="000000" w:themeColor="text1"/>
          <w:sz w:val="22"/>
          <w:szCs w:val="22"/>
        </w:rPr>
        <w:t xml:space="preserve"> de </w:t>
      </w:r>
      <w:proofErr w:type="spellStart"/>
      <w:r w:rsidRPr="00BD18FF">
        <w:rPr>
          <w:color w:val="000000" w:themeColor="text1"/>
          <w:sz w:val="22"/>
          <w:szCs w:val="22"/>
        </w:rPr>
        <w:t>Skadarsko</w:t>
      </w:r>
      <w:proofErr w:type="spellEnd"/>
      <w:r w:rsidRPr="00BD18FF">
        <w:rPr>
          <w:color w:val="000000" w:themeColor="text1"/>
          <w:sz w:val="22"/>
          <w:szCs w:val="22"/>
        </w:rPr>
        <w:t xml:space="preserve"> </w:t>
      </w:r>
      <w:proofErr w:type="spellStart"/>
      <w:r w:rsidRPr="00BD18FF">
        <w:rPr>
          <w:color w:val="000000" w:themeColor="text1"/>
          <w:sz w:val="22"/>
          <w:szCs w:val="22"/>
        </w:rPr>
        <w:t>jezero</w:t>
      </w:r>
      <w:proofErr w:type="spellEnd"/>
      <w:r w:rsidRPr="00BD18FF">
        <w:rPr>
          <w:color w:val="000000" w:themeColor="text1"/>
          <w:sz w:val="22"/>
          <w:szCs w:val="22"/>
        </w:rPr>
        <w:t xml:space="preserve"> et des sites candidats Emeraude du lac de </w:t>
      </w:r>
      <w:proofErr w:type="spellStart"/>
      <w:r w:rsidRPr="00BD18FF">
        <w:rPr>
          <w:color w:val="000000" w:themeColor="text1"/>
          <w:sz w:val="22"/>
          <w:szCs w:val="22"/>
        </w:rPr>
        <w:t>Skadar</w:t>
      </w:r>
      <w:proofErr w:type="spellEnd"/>
      <w:r w:rsidRPr="00BD18FF">
        <w:rPr>
          <w:color w:val="000000" w:themeColor="text1"/>
          <w:sz w:val="22"/>
          <w:szCs w:val="22"/>
        </w:rPr>
        <w:t>,</w:t>
      </w:r>
    </w:p>
    <w:p w:rsidR="005E69DC" w:rsidRPr="00BD18FF" w:rsidRDefault="005E69DC" w:rsidP="005E69DC">
      <w:pPr>
        <w:spacing w:after="120"/>
        <w:ind w:left="851" w:hanging="426"/>
        <w:jc w:val="both"/>
        <w:rPr>
          <w:color w:val="000000" w:themeColor="text1"/>
          <w:sz w:val="22"/>
          <w:szCs w:val="22"/>
        </w:rPr>
      </w:pPr>
      <w:r w:rsidRPr="00BD18FF">
        <w:rPr>
          <w:color w:val="000000" w:themeColor="text1"/>
          <w:sz w:val="22"/>
          <w:szCs w:val="22"/>
        </w:rPr>
        <w:t>iii.</w:t>
      </w:r>
      <w:r w:rsidRPr="00BD18FF">
        <w:rPr>
          <w:color w:val="000000" w:themeColor="text1"/>
          <w:sz w:val="22"/>
          <w:szCs w:val="22"/>
        </w:rPr>
        <w:tab/>
        <w:t>Mettre en place et gérer un système de surveillance des espèces strictement protégées en vertu des Annexes I et II de la Convention de Berne et des espèces et habitats de NATURA 2000, respectivement, confié à l’Agence nationale de Protection de l’environnement, dans un premier temps au moins dans le secteur mentionné sous (i). Le système de surveillance doit inclure la loutre (</w:t>
      </w:r>
      <w:proofErr w:type="spellStart"/>
      <w:r w:rsidRPr="00BD18FF">
        <w:rPr>
          <w:i/>
          <w:color w:val="000000" w:themeColor="text1"/>
          <w:sz w:val="22"/>
          <w:szCs w:val="22"/>
        </w:rPr>
        <w:t>Lutra</w:t>
      </w:r>
      <w:proofErr w:type="spellEnd"/>
      <w:r w:rsidRPr="00BD18FF">
        <w:rPr>
          <w:i/>
          <w:color w:val="000000" w:themeColor="text1"/>
          <w:sz w:val="22"/>
          <w:szCs w:val="22"/>
        </w:rPr>
        <w:t xml:space="preserve"> </w:t>
      </w:r>
      <w:proofErr w:type="spellStart"/>
      <w:r w:rsidRPr="00BD18FF">
        <w:rPr>
          <w:i/>
          <w:color w:val="000000" w:themeColor="text1"/>
          <w:sz w:val="22"/>
          <w:szCs w:val="22"/>
        </w:rPr>
        <w:t>lutra</w:t>
      </w:r>
      <w:proofErr w:type="spellEnd"/>
      <w:r w:rsidRPr="00BD18FF">
        <w:rPr>
          <w:color w:val="000000" w:themeColor="text1"/>
          <w:sz w:val="22"/>
          <w:szCs w:val="22"/>
        </w:rPr>
        <w:t>),</w:t>
      </w:r>
    </w:p>
    <w:p w:rsidR="005E69DC" w:rsidRPr="00BD18FF" w:rsidRDefault="005E69DC" w:rsidP="005E69DC">
      <w:pPr>
        <w:spacing w:after="120"/>
        <w:ind w:left="851" w:hanging="426"/>
        <w:jc w:val="both"/>
        <w:rPr>
          <w:color w:val="000000" w:themeColor="text1"/>
          <w:sz w:val="22"/>
          <w:szCs w:val="22"/>
        </w:rPr>
      </w:pPr>
      <w:r w:rsidRPr="00BD18FF">
        <w:rPr>
          <w:color w:val="000000" w:themeColor="text1"/>
          <w:sz w:val="22"/>
          <w:szCs w:val="22"/>
        </w:rPr>
        <w:t>iv.</w:t>
      </w:r>
      <w:r w:rsidRPr="00BD18FF">
        <w:rPr>
          <w:color w:val="000000" w:themeColor="text1"/>
          <w:sz w:val="22"/>
          <w:szCs w:val="22"/>
        </w:rPr>
        <w:tab/>
        <w:t xml:space="preserve">Transmettre aux Secrétariats des Conventions les limites numérisées assorties des informations géo-référencées et les formulaires actualisés des données sur les sites candidat Emeraude et de </w:t>
      </w:r>
      <w:proofErr w:type="spellStart"/>
      <w:r w:rsidRPr="00BD18FF">
        <w:rPr>
          <w:color w:val="000000" w:themeColor="text1"/>
          <w:sz w:val="22"/>
          <w:szCs w:val="22"/>
        </w:rPr>
        <w:t>Ramsar</w:t>
      </w:r>
      <w:proofErr w:type="spellEnd"/>
      <w:r w:rsidRPr="00BD18FF">
        <w:rPr>
          <w:color w:val="000000" w:themeColor="text1"/>
          <w:sz w:val="22"/>
          <w:szCs w:val="22"/>
        </w:rPr>
        <w:t>,</w:t>
      </w:r>
    </w:p>
    <w:p w:rsidR="005E69DC" w:rsidRPr="00BD18FF" w:rsidRDefault="005E69DC" w:rsidP="005E69DC">
      <w:pPr>
        <w:spacing w:after="120"/>
        <w:ind w:left="851" w:hanging="426"/>
        <w:jc w:val="both"/>
        <w:rPr>
          <w:color w:val="000000" w:themeColor="text1"/>
          <w:sz w:val="22"/>
          <w:szCs w:val="22"/>
        </w:rPr>
      </w:pPr>
      <w:r w:rsidRPr="00BD18FF">
        <w:rPr>
          <w:color w:val="000000" w:themeColor="text1"/>
          <w:sz w:val="22"/>
          <w:szCs w:val="22"/>
        </w:rPr>
        <w:t>v.</w:t>
      </w:r>
      <w:r w:rsidRPr="00BD18FF">
        <w:rPr>
          <w:color w:val="000000" w:themeColor="text1"/>
          <w:sz w:val="22"/>
          <w:szCs w:val="22"/>
        </w:rPr>
        <w:tab/>
        <w:t xml:space="preserve">Orienter le nouveau Plan spécifique d'aménagement du territoire pour le Parc national du lac de </w:t>
      </w:r>
      <w:proofErr w:type="spellStart"/>
      <w:r w:rsidRPr="00BD18FF">
        <w:rPr>
          <w:color w:val="000000" w:themeColor="text1"/>
          <w:sz w:val="22"/>
          <w:szCs w:val="22"/>
        </w:rPr>
        <w:t>Skadar</w:t>
      </w:r>
      <w:proofErr w:type="spellEnd"/>
      <w:r w:rsidRPr="00BD18FF">
        <w:rPr>
          <w:color w:val="000000" w:themeColor="text1"/>
          <w:sz w:val="22"/>
          <w:szCs w:val="22"/>
        </w:rPr>
        <w:t xml:space="preserve"> selon l’approche du Plan spécifique d'aménagement du territoire pour le Parc national du lac de </w:t>
      </w:r>
      <w:proofErr w:type="spellStart"/>
      <w:r w:rsidRPr="00BD18FF">
        <w:rPr>
          <w:color w:val="000000" w:themeColor="text1"/>
          <w:sz w:val="22"/>
          <w:szCs w:val="22"/>
        </w:rPr>
        <w:t>Skadar</w:t>
      </w:r>
      <w:proofErr w:type="spellEnd"/>
      <w:r w:rsidRPr="00BD18FF">
        <w:rPr>
          <w:color w:val="000000" w:themeColor="text1"/>
          <w:sz w:val="22"/>
          <w:szCs w:val="22"/>
        </w:rPr>
        <w:t xml:space="preserve"> de 2001 et reconfirmer le classement du secteur plus vaste de l’embouchure de la </w:t>
      </w:r>
      <w:proofErr w:type="spellStart"/>
      <w:r w:rsidRPr="00BD18FF">
        <w:rPr>
          <w:color w:val="000000" w:themeColor="text1"/>
          <w:sz w:val="22"/>
          <w:szCs w:val="22"/>
        </w:rPr>
        <w:t>Crnojevića</w:t>
      </w:r>
      <w:proofErr w:type="spellEnd"/>
      <w:r w:rsidRPr="00BD18FF">
        <w:rPr>
          <w:color w:val="000000" w:themeColor="text1"/>
          <w:sz w:val="22"/>
          <w:szCs w:val="22"/>
        </w:rPr>
        <w:t xml:space="preserve"> et des îles de </w:t>
      </w:r>
      <w:proofErr w:type="spellStart"/>
      <w:r w:rsidRPr="00BD18FF">
        <w:rPr>
          <w:color w:val="000000" w:themeColor="text1"/>
          <w:sz w:val="22"/>
          <w:szCs w:val="22"/>
        </w:rPr>
        <w:t>Liponjak</w:t>
      </w:r>
      <w:proofErr w:type="spellEnd"/>
      <w:r w:rsidRPr="00BD18FF">
        <w:rPr>
          <w:color w:val="000000" w:themeColor="text1"/>
          <w:sz w:val="22"/>
          <w:szCs w:val="22"/>
        </w:rPr>
        <w:t xml:space="preserve"> et de </w:t>
      </w:r>
      <w:proofErr w:type="spellStart"/>
      <w:r w:rsidRPr="00BD18FF">
        <w:rPr>
          <w:color w:val="000000" w:themeColor="text1"/>
          <w:sz w:val="22"/>
          <w:szCs w:val="22"/>
        </w:rPr>
        <w:t>Galići</w:t>
      </w:r>
      <w:proofErr w:type="spellEnd"/>
      <w:r w:rsidRPr="00BD18FF">
        <w:rPr>
          <w:color w:val="000000" w:themeColor="text1"/>
          <w:sz w:val="22"/>
          <w:szCs w:val="22"/>
        </w:rPr>
        <w:t xml:space="preserve"> en Zone I de protection stricte,</w:t>
      </w:r>
    </w:p>
    <w:p w:rsidR="005E69DC" w:rsidRPr="00BD18FF" w:rsidRDefault="005E69DC" w:rsidP="005E69DC">
      <w:pPr>
        <w:spacing w:after="120"/>
        <w:ind w:left="851" w:hanging="426"/>
        <w:jc w:val="both"/>
        <w:rPr>
          <w:sz w:val="22"/>
          <w:szCs w:val="22"/>
        </w:rPr>
      </w:pPr>
      <w:r w:rsidRPr="00BD18FF">
        <w:rPr>
          <w:color w:val="000000" w:themeColor="text1"/>
          <w:sz w:val="22"/>
          <w:szCs w:val="22"/>
        </w:rPr>
        <w:t>vi.</w:t>
      </w:r>
      <w:r w:rsidRPr="00BD18FF">
        <w:rPr>
          <w:color w:val="000000" w:themeColor="text1"/>
          <w:sz w:val="22"/>
          <w:szCs w:val="22"/>
        </w:rPr>
        <w:tab/>
        <w:t xml:space="preserve">Prévoir une ceinture de 300 mètres de large </w:t>
      </w:r>
      <w:r w:rsidRPr="00BD18FF">
        <w:rPr>
          <w:sz w:val="22"/>
          <w:szCs w:val="22"/>
        </w:rPr>
        <w:t xml:space="preserve">pour la Zone I, sur le lac, autour des îles et des sources sous-lacustres, </w:t>
      </w:r>
    </w:p>
    <w:p w:rsidR="005E69DC" w:rsidRPr="00BD18FF" w:rsidRDefault="005E69DC" w:rsidP="005E69DC">
      <w:pPr>
        <w:spacing w:after="120"/>
        <w:ind w:left="851" w:hanging="426"/>
        <w:jc w:val="both"/>
        <w:rPr>
          <w:sz w:val="22"/>
          <w:szCs w:val="22"/>
        </w:rPr>
      </w:pPr>
      <w:r w:rsidRPr="00BD18FF">
        <w:rPr>
          <w:sz w:val="22"/>
          <w:szCs w:val="22"/>
        </w:rPr>
        <w:t>vii.</w:t>
      </w:r>
      <w:r w:rsidRPr="00BD18FF">
        <w:rPr>
          <w:sz w:val="22"/>
          <w:szCs w:val="22"/>
        </w:rPr>
        <w:tab/>
        <w:t xml:space="preserve">Appliquer dans le </w:t>
      </w:r>
      <w:r w:rsidRPr="00BD18FF">
        <w:rPr>
          <w:color w:val="000000" w:themeColor="text1"/>
          <w:sz w:val="22"/>
          <w:szCs w:val="22"/>
        </w:rPr>
        <w:t xml:space="preserve">nouveau Plan spécifique d'aménagement du territoire pour le Parc national du lac de </w:t>
      </w:r>
      <w:proofErr w:type="spellStart"/>
      <w:r w:rsidRPr="00BD18FF">
        <w:rPr>
          <w:color w:val="000000" w:themeColor="text1"/>
          <w:sz w:val="22"/>
          <w:szCs w:val="22"/>
        </w:rPr>
        <w:t>Skadar</w:t>
      </w:r>
      <w:proofErr w:type="spellEnd"/>
      <w:r w:rsidRPr="00BD18FF">
        <w:rPr>
          <w:sz w:val="22"/>
          <w:szCs w:val="22"/>
        </w:rPr>
        <w:t xml:space="preserve"> un classement </w:t>
      </w:r>
      <w:r w:rsidRPr="00BD18FF">
        <w:rPr>
          <w:color w:val="000000" w:themeColor="text1"/>
          <w:sz w:val="22"/>
          <w:szCs w:val="22"/>
        </w:rPr>
        <w:t>en Zone I de protection stricte</w:t>
      </w:r>
      <w:r w:rsidRPr="00BD18FF">
        <w:rPr>
          <w:sz w:val="22"/>
          <w:szCs w:val="22"/>
        </w:rPr>
        <w:t xml:space="preserve"> pour la baie de </w:t>
      </w:r>
      <w:proofErr w:type="spellStart"/>
      <w:r w:rsidRPr="00BD18FF">
        <w:rPr>
          <w:sz w:val="22"/>
          <w:szCs w:val="22"/>
        </w:rPr>
        <w:t>Poseljanski</w:t>
      </w:r>
      <w:proofErr w:type="spellEnd"/>
      <w:r w:rsidRPr="00BD18FF">
        <w:rPr>
          <w:sz w:val="22"/>
          <w:szCs w:val="22"/>
        </w:rPr>
        <w:t xml:space="preserve"> </w:t>
      </w:r>
      <w:proofErr w:type="spellStart"/>
      <w:r w:rsidRPr="00BD18FF">
        <w:rPr>
          <w:sz w:val="22"/>
          <w:szCs w:val="22"/>
        </w:rPr>
        <w:t>zaliv</w:t>
      </w:r>
      <w:proofErr w:type="spellEnd"/>
      <w:r w:rsidRPr="00BD18FF">
        <w:rPr>
          <w:sz w:val="22"/>
          <w:szCs w:val="22"/>
        </w:rPr>
        <w:t xml:space="preserve"> et la zone littorale de </w:t>
      </w:r>
      <w:proofErr w:type="spellStart"/>
      <w:r w:rsidRPr="00BD18FF">
        <w:rPr>
          <w:sz w:val="22"/>
          <w:szCs w:val="22"/>
        </w:rPr>
        <w:t>Biški</w:t>
      </w:r>
      <w:proofErr w:type="spellEnd"/>
      <w:r w:rsidRPr="00BD18FF">
        <w:rPr>
          <w:sz w:val="22"/>
          <w:szCs w:val="22"/>
        </w:rPr>
        <w:t xml:space="preserve"> </w:t>
      </w:r>
      <w:proofErr w:type="spellStart"/>
      <w:r w:rsidRPr="00BD18FF">
        <w:rPr>
          <w:sz w:val="22"/>
          <w:szCs w:val="22"/>
        </w:rPr>
        <w:t>Rep</w:t>
      </w:r>
      <w:proofErr w:type="spellEnd"/>
      <w:r w:rsidRPr="00BD18FF">
        <w:rPr>
          <w:sz w:val="22"/>
          <w:szCs w:val="22"/>
        </w:rPr>
        <w:t>. Il convient en particulier que la définition du nouveau plan octroie une protection stricte aux sites de protection de la nature qui présente une importance écologique pour le fonctionnement des processus biologiques et pour l’intégrité de l’écosystème. Le secteur proposé répond clairement à cette définition, mais pas à la définition d’une Zone III d’utilisation durable qui serait appliquée aux habitats naturels modifiés ou transformés,</w:t>
      </w:r>
    </w:p>
    <w:p w:rsidR="005E69DC" w:rsidRPr="00BD18FF" w:rsidRDefault="005E69DC" w:rsidP="005E69DC">
      <w:pPr>
        <w:spacing w:after="120"/>
        <w:ind w:left="851" w:hanging="426"/>
        <w:jc w:val="both"/>
        <w:rPr>
          <w:sz w:val="22"/>
          <w:szCs w:val="22"/>
        </w:rPr>
      </w:pPr>
      <w:r w:rsidRPr="00BD18FF">
        <w:rPr>
          <w:sz w:val="22"/>
          <w:szCs w:val="22"/>
        </w:rPr>
        <w:t>viii.</w:t>
      </w:r>
      <w:r w:rsidRPr="00BD18FF">
        <w:rPr>
          <w:sz w:val="22"/>
          <w:szCs w:val="22"/>
        </w:rPr>
        <w:tab/>
        <w:t>Restreindre l’usage des embarcations rapides à la police, à la police des frontières, au service des gardiens de parc et aux autres autorités exerçant des compétences en rapport avec le lac. Toutes ces autorités devront respecter des limitations de vitesse, hormis en cas d’urgence,</w:t>
      </w:r>
    </w:p>
    <w:p w:rsidR="005E69DC" w:rsidRPr="00BD18FF" w:rsidRDefault="005E69DC" w:rsidP="005E69DC">
      <w:pPr>
        <w:spacing w:after="120"/>
        <w:ind w:left="851" w:hanging="426"/>
        <w:jc w:val="both"/>
        <w:rPr>
          <w:sz w:val="22"/>
          <w:szCs w:val="22"/>
        </w:rPr>
      </w:pPr>
      <w:r w:rsidRPr="00BD18FF">
        <w:rPr>
          <w:sz w:val="22"/>
          <w:szCs w:val="22"/>
        </w:rPr>
        <w:t>ix.</w:t>
      </w:r>
      <w:r w:rsidRPr="00BD18FF">
        <w:rPr>
          <w:sz w:val="22"/>
          <w:szCs w:val="22"/>
        </w:rPr>
        <w:tab/>
        <w:t>Interdire les véhicules aquatiques personnels (motos aquatiques) et toute autre activité aquatique susceptible de nuire à la végétation flottante,</w:t>
      </w:r>
    </w:p>
    <w:p w:rsidR="005E69DC" w:rsidRPr="00BD18FF" w:rsidRDefault="005E69DC" w:rsidP="005E69DC">
      <w:pPr>
        <w:spacing w:after="120"/>
        <w:ind w:left="851" w:hanging="426"/>
        <w:jc w:val="both"/>
        <w:rPr>
          <w:sz w:val="22"/>
          <w:szCs w:val="22"/>
        </w:rPr>
      </w:pPr>
      <w:r w:rsidRPr="00BD18FF">
        <w:rPr>
          <w:sz w:val="22"/>
          <w:szCs w:val="22"/>
        </w:rPr>
        <w:t>x.</w:t>
      </w:r>
      <w:r w:rsidRPr="00BD18FF">
        <w:rPr>
          <w:sz w:val="22"/>
          <w:szCs w:val="22"/>
        </w:rPr>
        <w:tab/>
        <w:t>Imposer des règles à la navigation de plaisance, comme une limitation de vitesse (4 nœuds sur ce secteur du lac) ainsi qu’une distance par rapport à la Zone I de protection stricte et aux rives,</w:t>
      </w:r>
    </w:p>
    <w:p w:rsidR="005E69DC" w:rsidRPr="00BD18FF" w:rsidRDefault="005E69DC" w:rsidP="005E69DC">
      <w:pPr>
        <w:spacing w:after="120"/>
        <w:ind w:left="851" w:hanging="426"/>
        <w:jc w:val="both"/>
        <w:rPr>
          <w:sz w:val="22"/>
          <w:szCs w:val="22"/>
        </w:rPr>
      </w:pPr>
      <w:proofErr w:type="gramStart"/>
      <w:r w:rsidRPr="00BD18FF">
        <w:rPr>
          <w:sz w:val="22"/>
          <w:szCs w:val="22"/>
        </w:rPr>
        <w:lastRenderedPageBreak/>
        <w:t>xi</w:t>
      </w:r>
      <w:proofErr w:type="gramEnd"/>
      <w:r w:rsidRPr="00BD18FF">
        <w:rPr>
          <w:sz w:val="22"/>
          <w:szCs w:val="22"/>
        </w:rPr>
        <w:t>.</w:t>
      </w:r>
      <w:r w:rsidRPr="00BD18FF">
        <w:rPr>
          <w:sz w:val="22"/>
          <w:szCs w:val="22"/>
        </w:rPr>
        <w:tab/>
        <w:t>Interdire toute installation ou construction sur les parties du littoral avec un indice de fonctionnalité (</w:t>
      </w:r>
      <w:proofErr w:type="spellStart"/>
      <w:r w:rsidRPr="00BD18FF">
        <w:rPr>
          <w:i/>
          <w:sz w:val="22"/>
          <w:szCs w:val="22"/>
        </w:rPr>
        <w:t>Shorezone</w:t>
      </w:r>
      <w:proofErr w:type="spellEnd"/>
      <w:r w:rsidRPr="00BD18FF">
        <w:rPr>
          <w:i/>
          <w:sz w:val="22"/>
          <w:szCs w:val="22"/>
        </w:rPr>
        <w:t xml:space="preserve"> </w:t>
      </w:r>
      <w:proofErr w:type="spellStart"/>
      <w:r w:rsidRPr="00BD18FF">
        <w:rPr>
          <w:i/>
          <w:sz w:val="22"/>
          <w:szCs w:val="22"/>
        </w:rPr>
        <w:t>Functionality</w:t>
      </w:r>
      <w:proofErr w:type="spellEnd"/>
      <w:r w:rsidRPr="00BD18FF">
        <w:rPr>
          <w:i/>
          <w:sz w:val="22"/>
          <w:szCs w:val="22"/>
        </w:rPr>
        <w:t xml:space="preserve"> Index</w:t>
      </w:r>
      <w:r w:rsidRPr="00BD18FF">
        <w:rPr>
          <w:sz w:val="22"/>
          <w:szCs w:val="22"/>
        </w:rPr>
        <w:t>) inférieur à I (élevée) ou II (bonne);</w:t>
      </w:r>
    </w:p>
    <w:p w:rsidR="005E69DC" w:rsidRPr="00BD18FF" w:rsidRDefault="005E69DC" w:rsidP="005E69DC">
      <w:pPr>
        <w:spacing w:after="120"/>
        <w:ind w:left="426" w:hanging="426"/>
        <w:jc w:val="both"/>
        <w:rPr>
          <w:sz w:val="22"/>
          <w:szCs w:val="22"/>
        </w:rPr>
      </w:pPr>
      <w:r w:rsidRPr="00BD18FF">
        <w:rPr>
          <w:sz w:val="22"/>
          <w:szCs w:val="22"/>
        </w:rPr>
        <w:t>2.</w:t>
      </w:r>
      <w:r w:rsidRPr="00BD18FF">
        <w:rPr>
          <w:sz w:val="22"/>
          <w:szCs w:val="22"/>
        </w:rPr>
        <w:tab/>
        <w:t xml:space="preserve">Intègre le projet </w:t>
      </w:r>
      <w:r w:rsidRPr="00BD18FF">
        <w:rPr>
          <w:i/>
          <w:sz w:val="22"/>
          <w:szCs w:val="22"/>
        </w:rPr>
        <w:t xml:space="preserve">Porto </w:t>
      </w:r>
      <w:proofErr w:type="spellStart"/>
      <w:r w:rsidRPr="00BD18FF">
        <w:rPr>
          <w:i/>
          <w:sz w:val="22"/>
          <w:szCs w:val="22"/>
        </w:rPr>
        <w:t>Skadar</w:t>
      </w:r>
      <w:proofErr w:type="spellEnd"/>
      <w:r w:rsidRPr="00BD18FF">
        <w:rPr>
          <w:i/>
          <w:sz w:val="22"/>
          <w:szCs w:val="22"/>
        </w:rPr>
        <w:t xml:space="preserve"> Lake</w:t>
      </w:r>
      <w:r w:rsidRPr="00BD18FF">
        <w:rPr>
          <w:sz w:val="22"/>
          <w:szCs w:val="22"/>
        </w:rPr>
        <w:t xml:space="preserve"> au secteur d’aménagement UP1 et le projet </w:t>
      </w:r>
      <w:r w:rsidRPr="00BD18FF">
        <w:rPr>
          <w:i/>
          <w:sz w:val="22"/>
          <w:szCs w:val="22"/>
        </w:rPr>
        <w:t>White Village</w:t>
      </w:r>
      <w:r w:rsidRPr="00BD18FF">
        <w:rPr>
          <w:sz w:val="22"/>
          <w:szCs w:val="22"/>
        </w:rPr>
        <w:t xml:space="preserve"> aux secteurs d’aménagement UP2 et UP3 de la localité de </w:t>
      </w:r>
      <w:proofErr w:type="spellStart"/>
      <w:r w:rsidRPr="00BD18FF">
        <w:rPr>
          <w:sz w:val="22"/>
          <w:szCs w:val="22"/>
        </w:rPr>
        <w:t>Mihailovići</w:t>
      </w:r>
      <w:proofErr w:type="spellEnd"/>
      <w:r w:rsidRPr="00BD18FF">
        <w:rPr>
          <w:sz w:val="22"/>
          <w:szCs w:val="22"/>
        </w:rPr>
        <w:t>, ainsi que tout autre projet dans ce secteur;</w:t>
      </w:r>
    </w:p>
    <w:p w:rsidR="005E69DC" w:rsidRPr="00BD18FF" w:rsidRDefault="005E69DC" w:rsidP="005E69DC">
      <w:pPr>
        <w:spacing w:after="120"/>
        <w:ind w:left="426" w:hanging="426"/>
        <w:jc w:val="both"/>
        <w:rPr>
          <w:sz w:val="22"/>
          <w:szCs w:val="22"/>
        </w:rPr>
      </w:pPr>
      <w:r w:rsidRPr="00BD18FF">
        <w:rPr>
          <w:sz w:val="22"/>
          <w:szCs w:val="22"/>
        </w:rPr>
        <w:t>3.</w:t>
      </w:r>
      <w:r w:rsidRPr="00BD18FF">
        <w:rPr>
          <w:sz w:val="22"/>
          <w:szCs w:val="22"/>
        </w:rPr>
        <w:tab/>
        <w:t xml:space="preserve">Examine si les permis de construire dans ce secteur délivrés après octobre 2017 sont valables à la lumière de l’article 4 de la Décision sur l’adoption de l’étude « SSL </w:t>
      </w:r>
      <w:proofErr w:type="spellStart"/>
      <w:r w:rsidRPr="00BD18FF">
        <w:rPr>
          <w:sz w:val="22"/>
          <w:szCs w:val="22"/>
        </w:rPr>
        <w:t>Mihailovići</w:t>
      </w:r>
      <w:proofErr w:type="spellEnd"/>
      <w:r w:rsidRPr="00BD18FF">
        <w:rPr>
          <w:sz w:val="22"/>
          <w:szCs w:val="22"/>
        </w:rPr>
        <w:t xml:space="preserve"> », dont la validité expire en 2020, sachant que la délivrance des permis de construire correspondants est limitée à une période de trois ans. De plus, la validité de l’étude « SSL </w:t>
      </w:r>
      <w:proofErr w:type="spellStart"/>
      <w:r w:rsidRPr="00BD18FF">
        <w:rPr>
          <w:sz w:val="22"/>
          <w:szCs w:val="22"/>
        </w:rPr>
        <w:t>Mihailovići</w:t>
      </w:r>
      <w:proofErr w:type="spellEnd"/>
      <w:r w:rsidRPr="00BD18FF">
        <w:rPr>
          <w:sz w:val="22"/>
          <w:szCs w:val="22"/>
        </w:rPr>
        <w:t> » ne devrait pas être renouvelée et les dispositions de l’article 4 de la Décision susmentionnée devraient être appliquées de manière à supprimer, par le biais d’amendements, les installations restantes telles que l’embarcadère en face d’UP1;</w:t>
      </w:r>
    </w:p>
    <w:p w:rsidR="005E69DC" w:rsidRPr="00BD18FF" w:rsidRDefault="005E69DC" w:rsidP="005E69DC">
      <w:pPr>
        <w:spacing w:after="120"/>
        <w:ind w:left="426" w:hanging="426"/>
        <w:jc w:val="both"/>
        <w:rPr>
          <w:sz w:val="22"/>
          <w:szCs w:val="22"/>
        </w:rPr>
      </w:pPr>
      <w:r w:rsidRPr="00BD18FF">
        <w:rPr>
          <w:sz w:val="22"/>
          <w:szCs w:val="22"/>
        </w:rPr>
        <w:t>4.</w:t>
      </w:r>
      <w:r w:rsidRPr="00BD18FF">
        <w:rPr>
          <w:sz w:val="22"/>
          <w:szCs w:val="22"/>
        </w:rPr>
        <w:tab/>
        <w:t xml:space="preserve">Etudie attentivement la procédure qui a autorisé un embarcadère dans le cas du projet </w:t>
      </w:r>
      <w:r w:rsidRPr="00BD18FF">
        <w:rPr>
          <w:i/>
          <w:sz w:val="22"/>
          <w:szCs w:val="22"/>
        </w:rPr>
        <w:t>White Village</w:t>
      </w:r>
      <w:r w:rsidRPr="00BD18FF">
        <w:rPr>
          <w:sz w:val="22"/>
          <w:szCs w:val="22"/>
        </w:rPr>
        <w:t xml:space="preserve"> et, si nécessaire, réexaminer ou annuler ce permis de construire. D’après les dispositions de l’étude « SSL </w:t>
      </w:r>
      <w:proofErr w:type="spellStart"/>
      <w:r w:rsidRPr="00BD18FF">
        <w:rPr>
          <w:sz w:val="22"/>
          <w:szCs w:val="22"/>
        </w:rPr>
        <w:t>Mihailovići</w:t>
      </w:r>
      <w:proofErr w:type="spellEnd"/>
      <w:r w:rsidRPr="00BD18FF">
        <w:rPr>
          <w:sz w:val="22"/>
          <w:szCs w:val="22"/>
        </w:rPr>
        <w:t> » un tel embarcadère doit faire l’objet d’une étude distincte d'impact sur l'environnement;</w:t>
      </w:r>
    </w:p>
    <w:p w:rsidR="005E69DC" w:rsidRPr="00BD18FF" w:rsidRDefault="005E69DC" w:rsidP="005E69DC">
      <w:pPr>
        <w:spacing w:after="120"/>
        <w:ind w:left="426" w:hanging="426"/>
        <w:jc w:val="both"/>
        <w:rPr>
          <w:sz w:val="22"/>
          <w:szCs w:val="22"/>
        </w:rPr>
      </w:pPr>
      <w:r w:rsidRPr="00BD18FF">
        <w:rPr>
          <w:sz w:val="22"/>
          <w:szCs w:val="22"/>
        </w:rPr>
        <w:t>5.</w:t>
      </w:r>
      <w:r w:rsidRPr="00BD18FF">
        <w:rPr>
          <w:sz w:val="22"/>
          <w:szCs w:val="22"/>
        </w:rPr>
        <w:tab/>
        <w:t xml:space="preserve">Elabore et définisse des exigences et spécifications techniques générales claires dans le document pertinent d’aménagement relatif à la construction de tout embarcadère ou de toute installation de traitement des eaux usées dans le périmètre de la zone protégée. Ces spécifications et exigences doivent pleinement prendre en compte l’intégrité de la dynamique de l’écosystème sensible du Parc national du lac de </w:t>
      </w:r>
      <w:proofErr w:type="spellStart"/>
      <w:r w:rsidRPr="00BD18FF">
        <w:rPr>
          <w:sz w:val="22"/>
          <w:szCs w:val="22"/>
        </w:rPr>
        <w:t>Skadar</w:t>
      </w:r>
      <w:proofErr w:type="spellEnd"/>
      <w:r w:rsidRPr="00BD18FF">
        <w:rPr>
          <w:sz w:val="22"/>
          <w:szCs w:val="22"/>
        </w:rPr>
        <w:t xml:space="preserve">, du site de </w:t>
      </w:r>
      <w:proofErr w:type="spellStart"/>
      <w:r w:rsidRPr="00BD18FF">
        <w:rPr>
          <w:sz w:val="22"/>
          <w:szCs w:val="22"/>
        </w:rPr>
        <w:t>Ramsar</w:t>
      </w:r>
      <w:proofErr w:type="spellEnd"/>
      <w:r w:rsidRPr="00BD18FF">
        <w:rPr>
          <w:sz w:val="22"/>
          <w:szCs w:val="22"/>
        </w:rPr>
        <w:t xml:space="preserve"> et du site candidat Emeraude;</w:t>
      </w:r>
    </w:p>
    <w:p w:rsidR="005E69DC" w:rsidRPr="00BD18FF" w:rsidRDefault="005E69DC" w:rsidP="005E69DC">
      <w:pPr>
        <w:spacing w:after="120"/>
        <w:ind w:left="426" w:hanging="426"/>
        <w:jc w:val="both"/>
        <w:rPr>
          <w:sz w:val="22"/>
          <w:szCs w:val="22"/>
        </w:rPr>
      </w:pPr>
      <w:r w:rsidRPr="00BD18FF">
        <w:rPr>
          <w:sz w:val="22"/>
          <w:szCs w:val="22"/>
        </w:rPr>
        <w:t>6.</w:t>
      </w:r>
      <w:r w:rsidRPr="00BD18FF">
        <w:rPr>
          <w:sz w:val="22"/>
          <w:szCs w:val="22"/>
        </w:rPr>
        <w:tab/>
        <w:t xml:space="preserve">La végétation flottante, qui comprend de vastes îlots de nénuphars blancs et de châtaignes d'eau, est un habitat particulier du lac de </w:t>
      </w:r>
      <w:proofErr w:type="spellStart"/>
      <w:r w:rsidRPr="00BD18FF">
        <w:rPr>
          <w:sz w:val="22"/>
          <w:szCs w:val="22"/>
        </w:rPr>
        <w:t>Skadar</w:t>
      </w:r>
      <w:proofErr w:type="spellEnd"/>
      <w:r w:rsidRPr="00BD18FF">
        <w:rPr>
          <w:sz w:val="22"/>
          <w:szCs w:val="22"/>
        </w:rPr>
        <w:t>. C’est l’ampleur même de ces complexes d’habitat qui fait leur représentativité à l’échelle européenne. Il convient que toute réduction de ces habitats soit interdite;</w:t>
      </w:r>
    </w:p>
    <w:p w:rsidR="005E69DC" w:rsidRPr="00BD18FF" w:rsidRDefault="005E69DC" w:rsidP="005E69DC">
      <w:pPr>
        <w:spacing w:after="120"/>
        <w:ind w:left="426" w:hanging="426"/>
        <w:jc w:val="both"/>
        <w:rPr>
          <w:sz w:val="22"/>
          <w:szCs w:val="22"/>
        </w:rPr>
      </w:pPr>
      <w:r w:rsidRPr="00BD18FF">
        <w:rPr>
          <w:sz w:val="22"/>
          <w:szCs w:val="22"/>
        </w:rPr>
        <w:t>7.</w:t>
      </w:r>
      <w:r w:rsidRPr="00BD18FF">
        <w:rPr>
          <w:sz w:val="22"/>
          <w:szCs w:val="22"/>
        </w:rPr>
        <w:tab/>
        <w:t>Instaure un mécanisme efficace de dialogue et une approche participative avec toutes les parties prenantes pour garantir des échanges d’informations et prendre en compte toutes les données relatives à la diversité biologique collectées par les ONG et la communauté scientifique;</w:t>
      </w:r>
    </w:p>
    <w:p w:rsidR="005E69DC" w:rsidRPr="00BD18FF" w:rsidRDefault="005E69DC" w:rsidP="005E69DC">
      <w:pPr>
        <w:spacing w:after="120"/>
        <w:ind w:left="426" w:hanging="426"/>
        <w:jc w:val="both"/>
        <w:rPr>
          <w:sz w:val="22"/>
          <w:szCs w:val="22"/>
        </w:rPr>
      </w:pPr>
      <w:r w:rsidRPr="00BD18FF">
        <w:rPr>
          <w:sz w:val="22"/>
          <w:szCs w:val="22"/>
        </w:rPr>
        <w:t>8.</w:t>
      </w:r>
      <w:r w:rsidRPr="00BD18FF">
        <w:rPr>
          <w:sz w:val="22"/>
          <w:szCs w:val="22"/>
        </w:rPr>
        <w:tab/>
        <w:t>Envisage d’accueillir le prochain séminaire biogéographique sur les sites Emeraude en ESE;</w:t>
      </w:r>
    </w:p>
    <w:p w:rsidR="005E69DC" w:rsidRPr="00BD18FF" w:rsidRDefault="005E69DC" w:rsidP="005E69DC">
      <w:pPr>
        <w:spacing w:after="120"/>
        <w:ind w:left="426" w:hanging="426"/>
        <w:jc w:val="both"/>
        <w:rPr>
          <w:sz w:val="22"/>
          <w:szCs w:val="22"/>
        </w:rPr>
      </w:pPr>
      <w:r w:rsidRPr="00BD18FF">
        <w:rPr>
          <w:sz w:val="22"/>
          <w:szCs w:val="22"/>
        </w:rPr>
        <w:t>9.</w:t>
      </w:r>
      <w:r w:rsidRPr="00BD18FF">
        <w:rPr>
          <w:sz w:val="22"/>
          <w:szCs w:val="22"/>
        </w:rPr>
        <w:tab/>
        <w:t>Identifie et définisse des mesures d’atténuation appropriées;</w:t>
      </w:r>
    </w:p>
    <w:p w:rsidR="005E69DC" w:rsidRPr="00BD18FF" w:rsidRDefault="005E69DC" w:rsidP="005E69DC">
      <w:pPr>
        <w:spacing w:after="120"/>
        <w:ind w:left="426" w:hanging="426"/>
        <w:jc w:val="both"/>
        <w:rPr>
          <w:color w:val="000000" w:themeColor="text1"/>
          <w:sz w:val="22"/>
          <w:szCs w:val="22"/>
        </w:rPr>
      </w:pPr>
      <w:r w:rsidRPr="00BD18FF">
        <w:rPr>
          <w:sz w:val="22"/>
          <w:szCs w:val="22"/>
        </w:rPr>
        <w:t>10.</w:t>
      </w:r>
      <w:r w:rsidRPr="00BD18FF">
        <w:rPr>
          <w:sz w:val="22"/>
          <w:szCs w:val="22"/>
        </w:rPr>
        <w:tab/>
        <w:t xml:space="preserve">Prenne des mesures pour préserver et améliorer la valeur écologique des espaces protégés et des sites potentiels des réseaux </w:t>
      </w:r>
      <w:proofErr w:type="spellStart"/>
      <w:r w:rsidRPr="00BD18FF">
        <w:rPr>
          <w:sz w:val="22"/>
          <w:szCs w:val="22"/>
        </w:rPr>
        <w:t>Natura</w:t>
      </w:r>
      <w:proofErr w:type="spellEnd"/>
      <w:r w:rsidRPr="00BD18FF">
        <w:rPr>
          <w:sz w:val="22"/>
          <w:szCs w:val="22"/>
        </w:rPr>
        <w:t xml:space="preserve"> 2000 et Emeraude comme Ulcinj Salina, le lac </w:t>
      </w:r>
      <w:proofErr w:type="spellStart"/>
      <w:r w:rsidRPr="00BD18FF">
        <w:rPr>
          <w:sz w:val="22"/>
          <w:szCs w:val="22"/>
        </w:rPr>
        <w:t>Skadar</w:t>
      </w:r>
      <w:proofErr w:type="spellEnd"/>
      <w:r w:rsidRPr="00BD18FF">
        <w:rPr>
          <w:sz w:val="22"/>
          <w:szCs w:val="22"/>
        </w:rPr>
        <w:t xml:space="preserve"> et les cours d’eau, conformément aux recommandations du dernier rapport de la CE sur le Monténégro daté d’avril 2018. Une meilleure coordination est souhaitable avec la procédure « d’évaluation appropriée » prévue par la Directive Habitats. Le recours aux EIE et aux consultations du public mérite d’être amélioré, notamment au niveau local. Les éventuels investissements dans l’énergie hydroélectrique et le tourisme doivent respecter les exigences de protection de la nature;</w:t>
      </w:r>
    </w:p>
    <w:p w:rsidR="005E69DC" w:rsidRPr="00BD18FF" w:rsidRDefault="005E69DC" w:rsidP="005E69DC">
      <w:pPr>
        <w:spacing w:after="120"/>
        <w:ind w:left="426" w:hanging="426"/>
        <w:jc w:val="both"/>
        <w:rPr>
          <w:color w:val="000000" w:themeColor="text1"/>
          <w:sz w:val="22"/>
          <w:szCs w:val="22"/>
        </w:rPr>
      </w:pPr>
      <w:r w:rsidRPr="00BD18FF">
        <w:rPr>
          <w:color w:val="000000" w:themeColor="text1"/>
          <w:sz w:val="22"/>
          <w:szCs w:val="22"/>
          <w:lang w:eastAsia="es-ES"/>
        </w:rPr>
        <w:t>11.</w:t>
      </w:r>
      <w:r w:rsidRPr="00BD18FF">
        <w:rPr>
          <w:color w:val="000000" w:themeColor="text1"/>
          <w:sz w:val="22"/>
          <w:szCs w:val="22"/>
          <w:lang w:eastAsia="es-ES"/>
        </w:rPr>
        <w:tab/>
        <w:t>Etablisse un plan et un programme de travail pour la mise en œuvre des recommandations ci-dessus, précisant les coordonnées des personnes/acteurs responsables, assorti d'un calendrier définissant des étapes claires et des échéances pour chacune des mesures recommandées;</w:t>
      </w:r>
    </w:p>
    <w:p w:rsidR="005E69DC" w:rsidRPr="00BD18FF" w:rsidRDefault="005E69DC" w:rsidP="005E69DC">
      <w:pPr>
        <w:spacing w:after="120"/>
        <w:ind w:left="426" w:hanging="426"/>
        <w:jc w:val="both"/>
        <w:rPr>
          <w:spacing w:val="-2"/>
          <w:sz w:val="22"/>
          <w:szCs w:val="22"/>
        </w:rPr>
      </w:pPr>
      <w:r w:rsidRPr="00BD18FF">
        <w:rPr>
          <w:color w:val="000000" w:themeColor="text1"/>
          <w:sz w:val="22"/>
          <w:szCs w:val="22"/>
        </w:rPr>
        <w:t>12.</w:t>
      </w:r>
      <w:r w:rsidRPr="00BD18FF">
        <w:rPr>
          <w:color w:val="000000" w:themeColor="text1"/>
          <w:sz w:val="22"/>
          <w:szCs w:val="22"/>
        </w:rPr>
        <w:tab/>
        <w:t>Fasse régulièrement rapport sur les progrès dans la mise en œuvre de la Recommandation, conformément aux demandes du Bureau du Comité permanent de la Convention et du Comité permanent proprement dit.</w:t>
      </w:r>
    </w:p>
    <w:p w:rsidR="00760944" w:rsidRPr="00481AC1" w:rsidRDefault="00760944" w:rsidP="005E69DC">
      <w:pPr>
        <w:tabs>
          <w:tab w:val="left" w:pos="0"/>
          <w:tab w:val="left" w:pos="709"/>
          <w:tab w:val="right" w:pos="9072"/>
        </w:tabs>
        <w:spacing w:after="120"/>
        <w:jc w:val="both"/>
        <w:rPr>
          <w:spacing w:val="-2"/>
          <w:sz w:val="22"/>
          <w:szCs w:val="22"/>
        </w:rPr>
      </w:pPr>
    </w:p>
    <w:sectPr w:rsidR="00760944" w:rsidRPr="00481AC1"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26" w:rsidRDefault="00E47326">
      <w:r>
        <w:separator/>
      </w:r>
    </w:p>
  </w:endnote>
  <w:endnote w:type="continuationSeparator" w:id="0">
    <w:p w:rsidR="00E47326" w:rsidRDefault="00E4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1" w:rsidRDefault="000970B1" w:rsidP="00016A8B">
    <w:pPr>
      <w:pStyle w:val="Pieddepage"/>
      <w:jc w:val="center"/>
    </w:pPr>
    <w:r>
      <w:rPr>
        <w:noProof/>
        <w:lang w:val="fr-FR"/>
      </w:rPr>
      <mc:AlternateContent>
        <mc:Choice Requires="wps">
          <w:drawing>
            <wp:anchor distT="0" distB="0" distL="114300" distR="114300" simplePos="0" relativeHeight="251660288" behindDoc="0" locked="0" layoutInCell="1" allowOverlap="1" wp14:anchorId="68B345A3" wp14:editId="4083605F">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0970B1" w:rsidRPr="00631FA8" w:rsidRDefault="000970B1" w:rsidP="00016A8B">
    <w:pPr>
      <w:pStyle w:val="Pieddepage"/>
      <w:jc w:val="center"/>
      <w:rPr>
        <w:rFonts w:ascii="Arial" w:hAnsi="Arial"/>
        <w:i/>
        <w:sz w:val="14"/>
        <w:lang w:val="fr-FR"/>
      </w:rPr>
    </w:pPr>
    <w:r>
      <w:rPr>
        <w:rFonts w:ascii="Arial" w:hAnsi="Arial"/>
        <w:i/>
        <w:sz w:val="14"/>
      </w:rPr>
      <w:t xml:space="preserve">This document will not be distributed at the meeting. </w:t>
    </w:r>
    <w:r w:rsidRPr="00631FA8">
      <w:rPr>
        <w:rFonts w:ascii="Arial" w:hAnsi="Arial"/>
        <w:i/>
        <w:sz w:val="14"/>
        <w:lang w:val="fr-FR"/>
      </w:rPr>
      <w:t>Pl</w:t>
    </w:r>
    <w:r w:rsidRPr="00A6117E">
      <w:rPr>
        <w:rFonts w:ascii="Arial" w:hAnsi="Arial"/>
        <w:i/>
        <w:sz w:val="14"/>
        <w:lang w:val="fr-FR"/>
      </w:rPr>
      <w:t>ease</w:t>
    </w:r>
    <w:r w:rsidRPr="00631FA8">
      <w:rPr>
        <w:rFonts w:ascii="Arial" w:hAnsi="Arial"/>
        <w:i/>
        <w:sz w:val="14"/>
        <w:lang w:val="fr-FR"/>
      </w:rPr>
      <w:t xml:space="preserve"> </w:t>
    </w:r>
    <w:r w:rsidRPr="00A6117E">
      <w:rPr>
        <w:rFonts w:ascii="Arial" w:hAnsi="Arial"/>
        <w:i/>
        <w:sz w:val="14"/>
        <w:lang w:val="fr-FR"/>
      </w:rPr>
      <w:t>bring this copy</w:t>
    </w:r>
    <w:r w:rsidRPr="00631FA8">
      <w:rPr>
        <w:rFonts w:ascii="Arial" w:hAnsi="Arial"/>
        <w:i/>
        <w:sz w:val="14"/>
        <w:lang w:val="fr-FR"/>
      </w:rPr>
      <w:t>.</w:t>
    </w:r>
  </w:p>
  <w:p w:rsidR="000970B1" w:rsidRPr="00B44289" w:rsidRDefault="000970B1" w:rsidP="00016A8B">
    <w:pPr>
      <w:pStyle w:val="Pieddepage"/>
      <w:jc w:val="center"/>
      <w:rPr>
        <w:i/>
        <w:lang w:val="fr-FR"/>
      </w:rPr>
    </w:pPr>
    <w:r w:rsidRPr="00A6117E">
      <w:rPr>
        <w:rFonts w:ascii="Arial" w:hAnsi="Arial"/>
        <w:i/>
        <w:sz w:val="14"/>
        <w:lang w:val="fr-FR"/>
      </w:rPr>
      <w:t>Ce document ne sera plus distribué en réunion</w:t>
    </w:r>
    <w:r w:rsidRPr="00631FA8">
      <w:rPr>
        <w:rFonts w:ascii="Arial" w:hAnsi="Arial"/>
        <w:i/>
        <w:sz w:val="14"/>
        <w:lang w:val="fr-FR"/>
      </w:rPr>
      <w:t xml:space="preserve">. </w:t>
    </w:r>
    <w:r w:rsidRPr="00A6117E">
      <w:rPr>
        <w:rFonts w:ascii="Arial" w:hAnsi="Arial"/>
        <w:i/>
        <w:sz w:val="14"/>
        <w:lang w:val="fr-FR"/>
      </w:rPr>
      <w:t>Prière de vous munir de cet exemplaire</w:t>
    </w:r>
    <w:r w:rsidRPr="00631FA8">
      <w:rPr>
        <w:rFonts w:ascii="Arial" w:hAnsi="Arial"/>
        <w:i/>
        <w:sz w:val="14"/>
        <w:lang w:val="fr-FR"/>
      </w:rPr>
      <w:t>.</w:t>
    </w:r>
  </w:p>
  <w:p w:rsidR="000970B1" w:rsidRPr="00106F40" w:rsidRDefault="000970B1" w:rsidP="00016A8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26" w:rsidRDefault="00E47326">
      <w:r>
        <w:separator/>
      </w:r>
    </w:p>
  </w:footnote>
  <w:footnote w:type="continuationSeparator" w:id="0">
    <w:p w:rsidR="00E47326" w:rsidRDefault="00E4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1" w:rsidRPr="00A37097" w:rsidRDefault="000970B1">
    <w:pPr>
      <w:pStyle w:val="En-tte"/>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13</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5E69DC">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0970B1" w:rsidRDefault="000970B1">
    <w:pPr>
      <w:pStyle w:val="En-tte"/>
      <w:tabs>
        <w:tab w:val="center" w:pos="4503"/>
      </w:tabs>
    </w:pPr>
  </w:p>
  <w:p w:rsidR="000970B1" w:rsidRDefault="000970B1">
    <w:pPr>
      <w:pStyle w:val="En-tte"/>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1" w:rsidRPr="00A37097" w:rsidRDefault="000970B1">
    <w:pPr>
      <w:pStyle w:val="En-tte"/>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5E69DC">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sidRPr="00A6117E">
      <w:rPr>
        <w:rFonts w:ascii="Times New Roman" w:hAnsi="Times New Roman" w:cs="Times New Roman"/>
        <w:sz w:val="22"/>
        <w:szCs w:val="22"/>
        <w:lang w:val="en-US"/>
      </w:rPr>
      <w:t>T-PVS(2018)</w:t>
    </w:r>
    <w:r>
      <w:rPr>
        <w:rFonts w:ascii="Times New Roman" w:hAnsi="Times New Roman" w:cs="Times New Roman"/>
        <w:sz w:val="22"/>
        <w:szCs w:val="22"/>
        <w:lang w:val="en-US"/>
      </w:rPr>
      <w:t>13</w:t>
    </w:r>
  </w:p>
  <w:p w:rsidR="000970B1" w:rsidRPr="00A37097" w:rsidRDefault="000970B1">
    <w:pPr>
      <w:pStyle w:val="En-tte"/>
      <w:tabs>
        <w:tab w:val="clear" w:pos="9020"/>
        <w:tab w:val="center" w:pos="4503"/>
        <w:tab w:val="right" w:pos="9044"/>
      </w:tabs>
      <w:rPr>
        <w:rFonts w:ascii="Times New Roman" w:hAnsi="Times New Roman" w:cs="Times New Roman"/>
      </w:rPr>
    </w:pPr>
  </w:p>
  <w:p w:rsidR="000970B1" w:rsidRDefault="000970B1">
    <w:pPr>
      <w:pStyle w:val="En-tte"/>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1" w:rsidRDefault="000970B1">
    <w:pPr>
      <w:pStyle w:val="En-tte"/>
      <w:jc w:val="right"/>
    </w:pPr>
    <w:r>
      <w:rPr>
        <w:noProof/>
      </w:rPr>
      <mc:AlternateContent>
        <mc:Choice Requires="wps">
          <w:drawing>
            <wp:anchor distT="152400" distB="152400" distL="152400" distR="152400" simplePos="0" relativeHeight="251659264" behindDoc="1" locked="0" layoutInCell="1" allowOverlap="1" wp14:anchorId="2FB51EE0" wp14:editId="526E55A2">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6DD81505" wp14:editId="15AB539C">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6714F9"/>
    <w:multiLevelType w:val="hybridMultilevel"/>
    <w:tmpl w:val="9030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D7213C"/>
    <w:multiLevelType w:val="hybridMultilevel"/>
    <w:tmpl w:val="E2FC7166"/>
    <w:lvl w:ilvl="0" w:tplc="0409001B">
      <w:start w:val="1"/>
      <w:numFmt w:val="lowerRoman"/>
      <w:lvlText w:val="%1."/>
      <w:lvlJc w:val="righ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
    <w:nsid w:val="5E7322F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6B9B7952"/>
    <w:multiLevelType w:val="hybridMultilevel"/>
    <w:tmpl w:val="6EB828EE"/>
    <w:lvl w:ilvl="0" w:tplc="28E64438">
      <w:start w:val="1"/>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97705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4"/>
  </w:num>
  <w:num w:numId="9">
    <w:abstractNumId w:val="12"/>
  </w:num>
  <w:num w:numId="10">
    <w:abstractNumId w:val="8"/>
  </w:num>
  <w:num w:numId="11">
    <w:abstractNumId w:val="10"/>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9F915E-7F87-4B88-BE4D-8A90AA20BA07}"/>
    <w:docVar w:name="dgnword-eventsink" w:val="108812560"/>
    <w:docVar w:name="SourceLng" w:val="eng"/>
    <w:docVar w:name="TargetLng" w:val="fra"/>
    <w:docVar w:name="TermBases" w:val="berne"/>
    <w:docVar w:name="TermBaseURL" w:val="empty"/>
    <w:docVar w:name="TextBases" w:val="berne11|berne10|diplome|climat|berne9|berne8|berne7|berne6|berne5|berne4|berne3|berne2|berne1"/>
    <w:docVar w:name="TextBaseURL" w:val="empty"/>
    <w:docVar w:name="UILng" w:val="en"/>
  </w:docVars>
  <w:rsids>
    <w:rsidRoot w:val="004E6594"/>
    <w:rsid w:val="00006047"/>
    <w:rsid w:val="00016A8B"/>
    <w:rsid w:val="00061C85"/>
    <w:rsid w:val="00071DCB"/>
    <w:rsid w:val="000808D1"/>
    <w:rsid w:val="000970B1"/>
    <w:rsid w:val="000A2F0A"/>
    <w:rsid w:val="000A47D5"/>
    <w:rsid w:val="000B2939"/>
    <w:rsid w:val="000E02EE"/>
    <w:rsid w:val="000F3612"/>
    <w:rsid w:val="00106832"/>
    <w:rsid w:val="00111122"/>
    <w:rsid w:val="00124448"/>
    <w:rsid w:val="001311E9"/>
    <w:rsid w:val="0013791A"/>
    <w:rsid w:val="00144400"/>
    <w:rsid w:val="00165E37"/>
    <w:rsid w:val="001B4B68"/>
    <w:rsid w:val="001B553A"/>
    <w:rsid w:val="001B63C2"/>
    <w:rsid w:val="001E2B1F"/>
    <w:rsid w:val="001E2FB3"/>
    <w:rsid w:val="001F46A6"/>
    <w:rsid w:val="00207487"/>
    <w:rsid w:val="00231BFC"/>
    <w:rsid w:val="00234FEA"/>
    <w:rsid w:val="002549DA"/>
    <w:rsid w:val="00255FF7"/>
    <w:rsid w:val="00267F8F"/>
    <w:rsid w:val="002747C7"/>
    <w:rsid w:val="002852AB"/>
    <w:rsid w:val="002A2A89"/>
    <w:rsid w:val="002B6CD5"/>
    <w:rsid w:val="00335A00"/>
    <w:rsid w:val="00353F84"/>
    <w:rsid w:val="00372C2E"/>
    <w:rsid w:val="0038007F"/>
    <w:rsid w:val="0038393B"/>
    <w:rsid w:val="00394838"/>
    <w:rsid w:val="00396347"/>
    <w:rsid w:val="003A6C5A"/>
    <w:rsid w:val="003B568D"/>
    <w:rsid w:val="003E3879"/>
    <w:rsid w:val="00404C36"/>
    <w:rsid w:val="00424EDE"/>
    <w:rsid w:val="00426FF8"/>
    <w:rsid w:val="00442786"/>
    <w:rsid w:val="0045052E"/>
    <w:rsid w:val="00462762"/>
    <w:rsid w:val="0046766A"/>
    <w:rsid w:val="00471127"/>
    <w:rsid w:val="004718DF"/>
    <w:rsid w:val="00481AC1"/>
    <w:rsid w:val="004903C9"/>
    <w:rsid w:val="004904C5"/>
    <w:rsid w:val="004A2ED0"/>
    <w:rsid w:val="004B4118"/>
    <w:rsid w:val="004C0664"/>
    <w:rsid w:val="004C6D3F"/>
    <w:rsid w:val="004E6594"/>
    <w:rsid w:val="004E7149"/>
    <w:rsid w:val="004F243B"/>
    <w:rsid w:val="00510FDD"/>
    <w:rsid w:val="00521529"/>
    <w:rsid w:val="00532D4B"/>
    <w:rsid w:val="00541C87"/>
    <w:rsid w:val="005A36AB"/>
    <w:rsid w:val="005E69DC"/>
    <w:rsid w:val="006062BE"/>
    <w:rsid w:val="00617E4E"/>
    <w:rsid w:val="00626065"/>
    <w:rsid w:val="00656511"/>
    <w:rsid w:val="00686F5F"/>
    <w:rsid w:val="006A7725"/>
    <w:rsid w:val="00706E1C"/>
    <w:rsid w:val="0071584E"/>
    <w:rsid w:val="007548B2"/>
    <w:rsid w:val="00760944"/>
    <w:rsid w:val="0077610A"/>
    <w:rsid w:val="00793BB6"/>
    <w:rsid w:val="007A0C15"/>
    <w:rsid w:val="007A1825"/>
    <w:rsid w:val="007B31CD"/>
    <w:rsid w:val="007C50C4"/>
    <w:rsid w:val="007F00C2"/>
    <w:rsid w:val="007F2BD4"/>
    <w:rsid w:val="007F3FD4"/>
    <w:rsid w:val="008037B6"/>
    <w:rsid w:val="00803E95"/>
    <w:rsid w:val="008064DE"/>
    <w:rsid w:val="008068A2"/>
    <w:rsid w:val="008157B2"/>
    <w:rsid w:val="008363A2"/>
    <w:rsid w:val="00842128"/>
    <w:rsid w:val="00851323"/>
    <w:rsid w:val="008540F7"/>
    <w:rsid w:val="008661CA"/>
    <w:rsid w:val="008A362B"/>
    <w:rsid w:val="008E0889"/>
    <w:rsid w:val="008E67B4"/>
    <w:rsid w:val="008F11D1"/>
    <w:rsid w:val="009061BC"/>
    <w:rsid w:val="009351F9"/>
    <w:rsid w:val="00947596"/>
    <w:rsid w:val="009560EA"/>
    <w:rsid w:val="00974945"/>
    <w:rsid w:val="00975B16"/>
    <w:rsid w:val="00976441"/>
    <w:rsid w:val="00985195"/>
    <w:rsid w:val="00986872"/>
    <w:rsid w:val="00992C2B"/>
    <w:rsid w:val="00997D34"/>
    <w:rsid w:val="009A23EB"/>
    <w:rsid w:val="009B5776"/>
    <w:rsid w:val="009C009F"/>
    <w:rsid w:val="009C3722"/>
    <w:rsid w:val="009C6547"/>
    <w:rsid w:val="009F5D2C"/>
    <w:rsid w:val="00A01ED8"/>
    <w:rsid w:val="00A25C73"/>
    <w:rsid w:val="00A5389B"/>
    <w:rsid w:val="00A6117E"/>
    <w:rsid w:val="00A624C5"/>
    <w:rsid w:val="00A75B7D"/>
    <w:rsid w:val="00AC22A0"/>
    <w:rsid w:val="00AD7D16"/>
    <w:rsid w:val="00AF4200"/>
    <w:rsid w:val="00AF4D13"/>
    <w:rsid w:val="00AF5AF1"/>
    <w:rsid w:val="00AF7FAB"/>
    <w:rsid w:val="00B54048"/>
    <w:rsid w:val="00B573D6"/>
    <w:rsid w:val="00B9277C"/>
    <w:rsid w:val="00BA3A7F"/>
    <w:rsid w:val="00BC2CE1"/>
    <w:rsid w:val="00C11141"/>
    <w:rsid w:val="00C5726D"/>
    <w:rsid w:val="00C80D17"/>
    <w:rsid w:val="00C85781"/>
    <w:rsid w:val="00C966F9"/>
    <w:rsid w:val="00CC571C"/>
    <w:rsid w:val="00CE4BA3"/>
    <w:rsid w:val="00CE7B83"/>
    <w:rsid w:val="00CF0B9C"/>
    <w:rsid w:val="00CF66D3"/>
    <w:rsid w:val="00D01E2E"/>
    <w:rsid w:val="00D02B63"/>
    <w:rsid w:val="00D073DE"/>
    <w:rsid w:val="00D13B47"/>
    <w:rsid w:val="00D35B0C"/>
    <w:rsid w:val="00D417DA"/>
    <w:rsid w:val="00D75923"/>
    <w:rsid w:val="00DA425E"/>
    <w:rsid w:val="00DA750A"/>
    <w:rsid w:val="00DC0869"/>
    <w:rsid w:val="00DD6C24"/>
    <w:rsid w:val="00DF74D3"/>
    <w:rsid w:val="00E21AFB"/>
    <w:rsid w:val="00E322A5"/>
    <w:rsid w:val="00E36068"/>
    <w:rsid w:val="00E425DC"/>
    <w:rsid w:val="00E4331F"/>
    <w:rsid w:val="00E4336C"/>
    <w:rsid w:val="00E47326"/>
    <w:rsid w:val="00E5524A"/>
    <w:rsid w:val="00E606CA"/>
    <w:rsid w:val="00E723A3"/>
    <w:rsid w:val="00E872D7"/>
    <w:rsid w:val="00EA4938"/>
    <w:rsid w:val="00EC3BBE"/>
    <w:rsid w:val="00ED108F"/>
    <w:rsid w:val="00ED2BEF"/>
    <w:rsid w:val="00F06CF0"/>
    <w:rsid w:val="00F1776A"/>
    <w:rsid w:val="00F17E0D"/>
    <w:rsid w:val="00F25999"/>
    <w:rsid w:val="00F26150"/>
    <w:rsid w:val="00F27DC2"/>
    <w:rsid w:val="00F814E2"/>
    <w:rsid w:val="00FA0C7D"/>
    <w:rsid w:val="00FB7EF5"/>
    <w:rsid w:val="00FC343B"/>
    <w:rsid w:val="00FE2693"/>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character" w:styleId="Marquedecommentaire">
    <w:name w:val="annotation reference"/>
    <w:basedOn w:val="Policepardfaut"/>
    <w:uiPriority w:val="99"/>
    <w:semiHidden/>
    <w:unhideWhenUsed/>
    <w:rsid w:val="00AF4D13"/>
    <w:rPr>
      <w:sz w:val="16"/>
      <w:szCs w:val="16"/>
    </w:rPr>
  </w:style>
  <w:style w:type="paragraph" w:styleId="Commentaire">
    <w:name w:val="annotation text"/>
    <w:basedOn w:val="Normal"/>
    <w:link w:val="CommentaireCar"/>
    <w:uiPriority w:val="99"/>
    <w:semiHidden/>
    <w:unhideWhenUsed/>
    <w:rsid w:val="00AF4D1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de-DE" w:eastAsia="en-US"/>
    </w:rPr>
  </w:style>
  <w:style w:type="character" w:customStyle="1" w:styleId="CommentaireCar">
    <w:name w:val="Commentaire Car"/>
    <w:basedOn w:val="Policepardfaut"/>
    <w:link w:val="Commentaire"/>
    <w:uiPriority w:val="99"/>
    <w:semiHidden/>
    <w:rsid w:val="00AF4D13"/>
    <w:rPr>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character" w:styleId="Marquedecommentaire">
    <w:name w:val="annotation reference"/>
    <w:basedOn w:val="Policepardfaut"/>
    <w:uiPriority w:val="99"/>
    <w:semiHidden/>
    <w:unhideWhenUsed/>
    <w:rsid w:val="00AF4D13"/>
    <w:rPr>
      <w:sz w:val="16"/>
      <w:szCs w:val="16"/>
    </w:rPr>
  </w:style>
  <w:style w:type="paragraph" w:styleId="Commentaire">
    <w:name w:val="annotation text"/>
    <w:basedOn w:val="Normal"/>
    <w:link w:val="CommentaireCar"/>
    <w:uiPriority w:val="99"/>
    <w:semiHidden/>
    <w:unhideWhenUsed/>
    <w:rsid w:val="00AF4D1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de-DE" w:eastAsia="en-US"/>
    </w:rPr>
  </w:style>
  <w:style w:type="character" w:customStyle="1" w:styleId="CommentaireCar">
    <w:name w:val="Commentaire Car"/>
    <w:basedOn w:val="Policepardfaut"/>
    <w:link w:val="Commentaire"/>
    <w:uiPriority w:val="99"/>
    <w:semiHidden/>
    <w:rsid w:val="00AF4D13"/>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981E-5613-4C5A-912E-E686F524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9476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de CUSSAC Véronique</cp:lastModifiedBy>
  <cp:revision>3</cp:revision>
  <cp:lastPrinted>2017-06-08T13:36:00Z</cp:lastPrinted>
  <dcterms:created xsi:type="dcterms:W3CDTF">2018-10-30T15:24:00Z</dcterms:created>
  <dcterms:modified xsi:type="dcterms:W3CDTF">2018-11-30T15:47:00Z</dcterms:modified>
</cp:coreProperties>
</file>