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B7F" w:rsidRPr="008041B3" w:rsidRDefault="00BD5B7F" w:rsidP="00BD5B7F">
      <w:pPr>
        <w:spacing w:after="120"/>
        <w:jc w:val="right"/>
      </w:pPr>
      <w:r w:rsidRPr="008041B3">
        <w:rPr>
          <w:noProof/>
          <w:lang w:val="fr-FR" w:eastAsia="fr-FR"/>
        </w:rPr>
        <w:drawing>
          <wp:inline distT="0" distB="0" distL="0" distR="0" wp14:anchorId="33F74274" wp14:editId="2FBD37B4">
            <wp:extent cx="1257300" cy="1009650"/>
            <wp:effectExtent l="0" t="0" r="0" b="0"/>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image1.jpg"/>
                    <pic:cNvPicPr/>
                  </pic:nvPicPr>
                  <pic:blipFill>
                    <a:blip r:embed="rId8">
                      <a:extLst/>
                    </a:blip>
                    <a:stretch>
                      <a:fillRect/>
                    </a:stretch>
                  </pic:blipFill>
                  <pic:spPr>
                    <a:xfrm>
                      <a:off x="0" y="0"/>
                      <a:ext cx="1257300" cy="1009650"/>
                    </a:xfrm>
                    <a:prstGeom prst="rect">
                      <a:avLst/>
                    </a:prstGeom>
                    <a:ln w="12700" cap="flat">
                      <a:noFill/>
                      <a:miter lim="400000"/>
                    </a:ln>
                    <a:effectLst/>
                  </pic:spPr>
                </pic:pic>
              </a:graphicData>
            </a:graphic>
          </wp:inline>
        </w:drawing>
      </w:r>
    </w:p>
    <w:p w:rsidR="00BD5B7F" w:rsidRPr="008041B3" w:rsidRDefault="00BD5B7F" w:rsidP="00BD5B7F">
      <w:pPr>
        <w:tabs>
          <w:tab w:val="left" w:pos="380"/>
          <w:tab w:val="left" w:pos="709"/>
          <w:tab w:val="left" w:pos="3799"/>
          <w:tab w:val="right" w:pos="9063"/>
        </w:tabs>
        <w:spacing w:after="120"/>
        <w:ind w:left="1140" w:right="-50"/>
        <w:jc w:val="both"/>
        <w:rPr>
          <w:iCs/>
        </w:rPr>
      </w:pPr>
    </w:p>
    <w:p w:rsidR="00BD5B7F" w:rsidRPr="008041B3" w:rsidRDefault="00BD5B7F" w:rsidP="00BD5B7F">
      <w:pPr>
        <w:tabs>
          <w:tab w:val="left" w:pos="380"/>
          <w:tab w:val="left" w:pos="709"/>
          <w:tab w:val="left" w:pos="3799"/>
          <w:tab w:val="right" w:pos="9063"/>
        </w:tabs>
        <w:spacing w:after="120"/>
        <w:ind w:left="1140" w:right="-50"/>
        <w:jc w:val="both"/>
        <w:rPr>
          <w:iCs/>
        </w:rPr>
      </w:pPr>
    </w:p>
    <w:p w:rsidR="00BD5B7F" w:rsidRPr="008041B3" w:rsidRDefault="00BD5B7F" w:rsidP="00BD5B7F">
      <w:pPr>
        <w:tabs>
          <w:tab w:val="left" w:pos="380"/>
          <w:tab w:val="left" w:pos="709"/>
          <w:tab w:val="left" w:pos="3799"/>
          <w:tab w:val="right" w:pos="9063"/>
        </w:tabs>
        <w:spacing w:after="120"/>
        <w:ind w:left="1140" w:right="-50"/>
        <w:jc w:val="both"/>
        <w:rPr>
          <w:iCs/>
        </w:rPr>
      </w:pPr>
    </w:p>
    <w:p w:rsidR="00BD5B7F" w:rsidRPr="00EA4718" w:rsidRDefault="00BD5B7F" w:rsidP="00BD5B7F">
      <w:pPr>
        <w:tabs>
          <w:tab w:val="left" w:pos="380"/>
          <w:tab w:val="left" w:pos="709"/>
          <w:tab w:val="left" w:pos="3799"/>
          <w:tab w:val="right" w:pos="9063"/>
        </w:tabs>
        <w:spacing w:after="120"/>
        <w:ind w:left="1140" w:right="-50"/>
        <w:jc w:val="both"/>
        <w:rPr>
          <w:iCs/>
          <w:color w:val="000000" w:themeColor="text1"/>
          <w:lang w:val="fr-FR"/>
        </w:rPr>
      </w:pPr>
      <w:r w:rsidRPr="00EA4718">
        <w:rPr>
          <w:iCs/>
          <w:color w:val="000000" w:themeColor="text1"/>
          <w:lang w:val="fr-FR"/>
        </w:rPr>
        <w:t>Convention relative à la conservation de la vie sauvage</w:t>
      </w:r>
    </w:p>
    <w:p w:rsidR="00BD5B7F" w:rsidRPr="00EA4718" w:rsidRDefault="00BD5B7F" w:rsidP="00BD5B7F">
      <w:pPr>
        <w:tabs>
          <w:tab w:val="left" w:pos="380"/>
          <w:tab w:val="left" w:pos="709"/>
          <w:tab w:val="left" w:pos="3799"/>
          <w:tab w:val="right" w:pos="9063"/>
        </w:tabs>
        <w:spacing w:after="120"/>
        <w:ind w:left="1140" w:right="-50"/>
        <w:jc w:val="both"/>
        <w:rPr>
          <w:iCs/>
          <w:color w:val="000000" w:themeColor="text1"/>
          <w:lang w:val="fr-FR"/>
        </w:rPr>
      </w:pPr>
      <w:proofErr w:type="gramStart"/>
      <w:r w:rsidRPr="00EA4718">
        <w:rPr>
          <w:iCs/>
          <w:color w:val="000000" w:themeColor="text1"/>
          <w:lang w:val="fr-FR"/>
        </w:rPr>
        <w:t>et</w:t>
      </w:r>
      <w:proofErr w:type="gramEnd"/>
      <w:r w:rsidRPr="00EA4718">
        <w:rPr>
          <w:iCs/>
          <w:color w:val="000000" w:themeColor="text1"/>
          <w:lang w:val="fr-FR"/>
        </w:rPr>
        <w:t xml:space="preserve"> du milieu naturel de l'Europe</w:t>
      </w:r>
    </w:p>
    <w:p w:rsidR="00BD5B7F" w:rsidRPr="00EA4718" w:rsidRDefault="00BD5B7F" w:rsidP="00BD5B7F">
      <w:pPr>
        <w:tabs>
          <w:tab w:val="left" w:pos="380"/>
          <w:tab w:val="left" w:pos="709"/>
          <w:tab w:val="left" w:pos="3799"/>
          <w:tab w:val="right" w:pos="9063"/>
        </w:tabs>
        <w:spacing w:after="120"/>
        <w:ind w:left="1140" w:right="-50"/>
        <w:jc w:val="both"/>
        <w:rPr>
          <w:iCs/>
          <w:color w:val="000000" w:themeColor="text1"/>
          <w:lang w:val="fr-FR"/>
        </w:rPr>
      </w:pPr>
    </w:p>
    <w:p w:rsidR="00BD5B7F" w:rsidRPr="00EA4718" w:rsidRDefault="00BD5B7F" w:rsidP="00BD5B7F">
      <w:pPr>
        <w:tabs>
          <w:tab w:val="left" w:pos="380"/>
          <w:tab w:val="left" w:pos="709"/>
          <w:tab w:val="left" w:pos="3799"/>
          <w:tab w:val="right" w:pos="9063"/>
        </w:tabs>
        <w:spacing w:after="120"/>
        <w:ind w:left="1140" w:right="-50"/>
        <w:jc w:val="both"/>
        <w:rPr>
          <w:iCs/>
          <w:color w:val="000000" w:themeColor="text1"/>
          <w:lang w:val="fr-FR"/>
        </w:rPr>
      </w:pPr>
      <w:r w:rsidRPr="00EA4718">
        <w:rPr>
          <w:iCs/>
          <w:color w:val="000000" w:themeColor="text1"/>
          <w:lang w:val="fr-FR"/>
        </w:rPr>
        <w:t>Comité permanent</w:t>
      </w:r>
    </w:p>
    <w:p w:rsidR="00BD5B7F" w:rsidRPr="00865DA5" w:rsidRDefault="00BD5B7F" w:rsidP="00BD5B7F">
      <w:pPr>
        <w:pStyle w:val="NormalWeb"/>
        <w:spacing w:before="0" w:beforeAutospacing="0" w:after="120" w:afterAutospacing="0"/>
        <w:jc w:val="both"/>
        <w:rPr>
          <w:b/>
          <w:bCs/>
          <w:color w:val="000000" w:themeColor="text1"/>
          <w:lang w:val="fr-FR"/>
        </w:rPr>
      </w:pPr>
    </w:p>
    <w:p w:rsidR="00BD5B7F" w:rsidRPr="00865DA5" w:rsidRDefault="00BD5B7F" w:rsidP="00BD5B7F">
      <w:pPr>
        <w:spacing w:after="120"/>
        <w:jc w:val="both"/>
        <w:rPr>
          <w:rStyle w:val="lev"/>
          <w:lang w:val="fr-FR"/>
        </w:rPr>
      </w:pPr>
      <w:r>
        <w:rPr>
          <w:b/>
          <w:lang w:val="fr-FR"/>
        </w:rPr>
        <w:t>R</w:t>
      </w:r>
      <w:r w:rsidRPr="00865DA5">
        <w:rPr>
          <w:b/>
          <w:lang w:val="fr-FR"/>
        </w:rPr>
        <w:t>ecommandation n°</w:t>
      </w:r>
      <w:r>
        <w:rPr>
          <w:b/>
          <w:lang w:val="fr-FR"/>
        </w:rPr>
        <w:t xml:space="preserve"> 196</w:t>
      </w:r>
      <w:r w:rsidRPr="00865DA5">
        <w:rPr>
          <w:b/>
          <w:lang w:val="fr-FR"/>
        </w:rPr>
        <w:t xml:space="preserve"> (2017) du Comité permanent, adoptée le </w:t>
      </w:r>
      <w:r>
        <w:rPr>
          <w:b/>
          <w:lang w:val="fr-FR"/>
        </w:rPr>
        <w:t>9 décembre</w:t>
      </w:r>
      <w:r w:rsidRPr="00865DA5">
        <w:rPr>
          <w:b/>
          <w:lang w:val="fr-FR"/>
        </w:rPr>
        <w:t xml:space="preserve">. 2017, sur </w:t>
      </w:r>
      <w:bookmarkStart w:id="0" w:name="_GoBack"/>
      <w:r w:rsidRPr="00865DA5">
        <w:rPr>
          <w:b/>
          <w:lang w:val="fr-FR"/>
        </w:rPr>
        <w:t>l’établissement d’un tableau de bord</w:t>
      </w:r>
      <w:bookmarkEnd w:id="0"/>
      <w:r w:rsidRPr="00865DA5">
        <w:rPr>
          <w:b/>
          <w:lang w:val="fr-FR"/>
        </w:rPr>
        <w:t xml:space="preserve"> pour mesurer les progrès de la lutte contre la mise à mort, le prélèvement et le commerce illégaux d’oiseaux sauvages</w:t>
      </w:r>
    </w:p>
    <w:p w:rsidR="00BD5B7F" w:rsidRPr="00526CBD" w:rsidRDefault="00BD5B7F" w:rsidP="00BD5B7F">
      <w:pPr>
        <w:spacing w:after="120"/>
        <w:jc w:val="both"/>
        <w:rPr>
          <w:color w:val="000000" w:themeColor="text1"/>
          <w:sz w:val="22"/>
          <w:szCs w:val="22"/>
          <w:lang w:val="fr-FR"/>
        </w:rPr>
      </w:pPr>
      <w:r w:rsidRPr="00526CBD">
        <w:rPr>
          <w:color w:val="000000" w:themeColor="text1"/>
          <w:sz w:val="22"/>
          <w:szCs w:val="22"/>
          <w:lang w:val="fr-FR"/>
        </w:rPr>
        <w:t>Le Comité permanent de la Convention relative à la conservation de la vie sauvage et du milieu naturel de l'Europe, agissant en vertu de l'article 14 de la Convention,</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Eu égard à l'objet de la Convention, qui consiste notamment à assurer la conservation de la faune sauvage et de ses habitats naturels;</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Rappelant qu'aux termes de l'article 1</w:t>
      </w:r>
      <w:r w:rsidRPr="00526CBD">
        <w:rPr>
          <w:bCs/>
          <w:color w:val="000000" w:themeColor="text1"/>
          <w:sz w:val="22"/>
          <w:szCs w:val="22"/>
          <w:vertAlign w:val="superscript"/>
          <w:lang w:val="fr-FR"/>
        </w:rPr>
        <w:t>er</w:t>
      </w:r>
      <w:r w:rsidRPr="00526CBD">
        <w:rPr>
          <w:bCs/>
          <w:color w:val="000000" w:themeColor="text1"/>
          <w:sz w:val="22"/>
          <w:szCs w:val="22"/>
          <w:lang w:val="fr-FR"/>
        </w:rPr>
        <w:t>, paragraphe 2, la Convention vise à accorder une attention particulière à la conservation des espèces menacées d'extinction et vulnérables, y compris les espèces migratrices menacées d'extinction et vulnérables;</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Rappelant qu'en vertu de l'article 6, chaque Partie prend les mesures législatives et réglementaires appropriées et nécessaires pour assurer la conservation particulière des espèces de faune sauvage énumérées dans l'annexe II, et interdit notamment toutes formes de capture intentionnelle, de détention et de mise à mort intentionnelle, ainsi que la détention et le commerce interne de ces animaux, vivants ou morts;</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Rappelant que l'article 11, paragraphe 1, de la Convention prévoit que, dans la mise en œuvre de la Convention, les Parties s'engagent à coopérer chaque fois qu'il sera utile de le faire, notamment lorsque cette coopération pourrait renforcer l'efficacité des mesures prises en vertu d'autres articles de la Convention;</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Rappelant sa Recommandation n° 5 (1986) relative aux poursuites à l'encontre des personnes pratiquant la capture, la mise à mort et le commerce illégaux des oiseaux protégés, qui encourage les Parties à engager des poursuites à l'encontre des personnes qui capturent ou mettent à mort illégalement des oiseaux, ou des établissements qui commercialisent des oiseaux protégés vivants ou morts;</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Rappelant sa Recommandation n° 155 (2011) sur la mise à mort, le piégeage et le commerce illégaux d'oiseaux sauvages, qui identifie notamment une série de mesures à mettre en œuvre d'urgence pour renforcer l'application des lois existantes à chacun des niveaux de la chaîne des crimes contre les oiseaux grâce à des mesures appropriées de soutien politique, judiciaire, opérationnel, scientifique et technique et de coopération;</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Rappelant sa Recommandation n° 164 (2013) sur la mise en œuvre du Plan d'action de Tunis 2013-2020 pour l'éradication de la mise à mort, du piégeage et du commerce illégaux d'oiseaux sauvages, dans laquelle les Parties sont vivement encouragées à appliquer - sans plus tarder - les mesures prévues dans le Plan d'action de Tunis, y compris celles qui s'adressent aux autorités judiciaires ou les concernent;</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lastRenderedPageBreak/>
        <w:t>Rappelant sa Recommandation n° 171 (2014), adoptée le 5 décembre 2014, sur la définition de priorités nationales en matière d'enquêtes et d'élaboration de politiques dans la lutte contre la mise à mort, le piégeage et le commerce illégaux d'oiseaux sauvages, qui recommande aux Parties d'intensifier les efforts d'amélioration de la coopération intersectorielle au plan national et de mobilisation de tous les ministères concernés, et notamment ceux de l'Environnement, de l'Agriculture, de l'Intérieur ou des Affaires intérieures, de la Justice et de l'Éducation;</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Rappelant aussi sa Recommandation n° 177 (2015) sur les facteurs de gravité et les principes en matière de fixation des peines pour l'évaluation des infractions contre les oiseaux, et notamment la mise à mort, le piégeage et le commerce illégaux d'oiseaux sauvages;</w:t>
      </w:r>
    </w:p>
    <w:p w:rsidR="00BD5B7F" w:rsidRPr="00526CBD" w:rsidRDefault="00BD5B7F" w:rsidP="00BD5B7F">
      <w:pPr>
        <w:spacing w:after="120"/>
        <w:jc w:val="both"/>
        <w:rPr>
          <w:color w:val="000000" w:themeColor="text1"/>
          <w:sz w:val="22"/>
          <w:szCs w:val="22"/>
          <w:lang w:val="fr-FR"/>
        </w:rPr>
      </w:pPr>
      <w:r w:rsidRPr="00526CBD">
        <w:rPr>
          <w:color w:val="000000" w:themeColor="text1"/>
          <w:sz w:val="22"/>
          <w:szCs w:val="22"/>
          <w:lang w:val="fr-FR"/>
        </w:rPr>
        <w:t>Rappelant la Stratégie de l'UE sur la biodiversité à l'horizon 2020 (COM (2011) 244) et, en particulier, son objectif 1, à savoir la pleine application des directives « Oiseaux » et « Habitats », et la feuille de route conçue pour lutter contre la mise à mort illégale d'oiseaux dans les États membres de l'UE, conformément au Plan d'action de Tunis 2013-2020;</w:t>
      </w:r>
    </w:p>
    <w:p w:rsidR="00BD5B7F" w:rsidRPr="00526CBD" w:rsidRDefault="00BD5B7F" w:rsidP="00BD5B7F">
      <w:pPr>
        <w:spacing w:after="120"/>
        <w:jc w:val="both"/>
        <w:rPr>
          <w:color w:val="000000" w:themeColor="text1"/>
          <w:sz w:val="22"/>
          <w:szCs w:val="22"/>
          <w:lang w:val="fr-FR"/>
        </w:rPr>
      </w:pPr>
      <w:r w:rsidRPr="00526CBD">
        <w:rPr>
          <w:color w:val="000000" w:themeColor="text1"/>
          <w:sz w:val="22"/>
          <w:szCs w:val="22"/>
          <w:lang w:val="fr-FR"/>
        </w:rPr>
        <w:t>Prenant acte de la Communication COM(2017) 198 final de la Commission européenne intitulée « Plan d'action pour la Nature, les personnes et l'économie », du Document de travail (2017) 139 final de la Commission «  Fiches détaillant les mesures du Plan d'action pour la Nature, les personnes et l'économie » et des Conclusions du Conseil du 19 juin  2017;</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Reconnaissant les mesures spécifiques prises par la CMS pour créer un Groupe de travail intergouvernemental sur l'abattage, le prélèvement et le commerce illégaux des oiseaux migrateurs en Méditerranée (MIKT), en vertu de la Résolution 11.16 adoptée à la COP11 et intitulée « La prévention de l'abattage, du prélèvement et du commerce illégaux des oiseaux migrateurs », qui vise à faciliter la mise en œuvre du Plan d'action de Tunis 2013-2020, élaboré dans le cadre de la Convention de Berne;</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Prenant note de la Déclaration du Caire, qui préconise une tolérance zéro en matière d'abattage, de prélèvement et de commerce illégaux des oiseaux migrateurs dans la région méditerranéenne et qui a été élaborée par la première réunion du MIKT, en juillet 2016;</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Reconnaissant l'importante contribution apportée par le MIKT et son programme de travail pour 2016-2020, adopté récemment et fondé sur le Plan d'action de Tunis 2013-2020 et sur les propositions formulées par les membres et observateurs du MIKT lors de sa première réunion;</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Pleinement conscient des avantages de l'approche coordonnée suivie avec succès au niveau international par la Convention de Berne avec d'autres AME, organisations et acteurs, partenaires et concernés, et notamment de l'excellente coopération avec la CMS, l'AEWA, l'UE et ses Etats membres sur les questions relatives à l'éradication de la mise à mort, du piégeage et du commerce illégaux d'oiseaux sauvages;</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Saluant la coopération fructueuse entre le Secrétariat de la Convention de Berne et le Secrétariat de la CMS, qui a conduit à l'organisation de la réunion conjointe du Réseau des correspondants spéciaux de la Convention de Berne sur l'éradication de la mise à mort, du piégeage et du commerce illégaux d'oiseaux sauvages et du Groupe de travail intergouvernemental de la CMS sur l'abattage, le prélèvement et le commerce illégaux des oiseaux migrateurs en Méditerranée (MIKT), à Sliema (Malte), les 22 et 23 juin 2017, et à l'élaboration du tableau de bord qui aidera les Parties à évaluer leurs progrès réalisés au niveau national dans la mise en œuvre de leurs engagements dans ce domaine;</w:t>
      </w:r>
    </w:p>
    <w:p w:rsidR="00BD5B7F" w:rsidRPr="00526CBD" w:rsidRDefault="00BD5B7F" w:rsidP="00BD5B7F">
      <w:pPr>
        <w:spacing w:after="120"/>
        <w:jc w:val="both"/>
        <w:rPr>
          <w:color w:val="000000" w:themeColor="text1"/>
          <w:sz w:val="22"/>
          <w:szCs w:val="22"/>
          <w:lang w:val="fr-FR"/>
        </w:rPr>
      </w:pPr>
      <w:r w:rsidRPr="00526CBD">
        <w:rPr>
          <w:color w:val="000000" w:themeColor="text1"/>
          <w:sz w:val="22"/>
          <w:szCs w:val="22"/>
          <w:lang w:val="fr-FR"/>
        </w:rPr>
        <w:t>Prenant note avec préoccupation des conclusions de l'étude sur l'ampleur et l'étendue de la mise à mort et du prélèvement illégaux d'oiseaux en Méditerranée, réalisée en 2014 par BirdLife International, ainsi que des résultats de son étude de 2017 portant sur la mise à mort et le prélèvement illégaux d'oiseaux en Europe, dans la Péninsule arabique, en Irak et en Iran;</w:t>
      </w:r>
    </w:p>
    <w:p w:rsidR="00BD5B7F"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Reconnaissant la nécessité urgente d'une action plus énergique et concertée au niveau national pour atteindre les objectifs du Plan d'action de Tunis 2013-2020 et pour éradiquer la mise à mort illégale d'oiseaux sauvages à l'horizon 2020;</w:t>
      </w:r>
      <w:r>
        <w:rPr>
          <w:bCs/>
          <w:color w:val="000000" w:themeColor="text1"/>
          <w:sz w:val="22"/>
          <w:szCs w:val="22"/>
          <w:lang w:val="fr-FR"/>
        </w:rPr>
        <w:br w:type="page"/>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lastRenderedPageBreak/>
        <w:t>Convaincu que l'auto-évaluation périodique des progrès réalisés en la matière constituera une incitation majeure à renforcer les mesures permettant de combattre les crimes contre les oiseaux sauvages et à répondre plus efficacement à la mise à mort, la capture et le commerce illégaux d'oiseaux sauvages au niveau national, et contribueront donc à la mise en œuvre de la Convention;</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Conscient qu’à sa 12</w:t>
      </w:r>
      <w:r w:rsidRPr="00526CBD">
        <w:rPr>
          <w:bCs/>
          <w:color w:val="000000" w:themeColor="text1"/>
          <w:sz w:val="22"/>
          <w:szCs w:val="22"/>
          <w:vertAlign w:val="superscript"/>
          <w:lang w:val="fr-FR"/>
        </w:rPr>
        <w:t>e</w:t>
      </w:r>
      <w:r w:rsidRPr="00526CBD">
        <w:rPr>
          <w:bCs/>
          <w:color w:val="000000" w:themeColor="text1"/>
          <w:sz w:val="22"/>
          <w:szCs w:val="22"/>
          <w:lang w:val="fr-FR"/>
        </w:rPr>
        <w:t xml:space="preserve"> réunion la Conférence des Parties à la Convention sur la conservation des espèces migratrices, à Manille (23-28 octobre 2017), a déclaré au </w:t>
      </w:r>
      <w:r w:rsidRPr="00526CBD">
        <w:rPr>
          <w:rFonts w:eastAsia="Times New Roman"/>
          <w:color w:val="000000" w:themeColor="text1"/>
          <w:sz w:val="22"/>
          <w:szCs w:val="22"/>
          <w:lang w:val="fr-FR"/>
        </w:rPr>
        <w:t xml:space="preserve">point </w:t>
      </w:r>
      <w:r w:rsidRPr="00526CBD">
        <w:rPr>
          <w:color w:val="000000" w:themeColor="text1"/>
          <w:sz w:val="22"/>
          <w:szCs w:val="22"/>
          <w:lang w:val="fr-FR"/>
        </w:rPr>
        <w:t>2 bis de sa résolution 11.16 « </w:t>
      </w:r>
      <w:r w:rsidRPr="00526CBD">
        <w:rPr>
          <w:i/>
          <w:color w:val="000000" w:themeColor="text1"/>
          <w:sz w:val="22"/>
          <w:szCs w:val="22"/>
          <w:lang w:val="fr-FR"/>
        </w:rPr>
        <w:t>Reconnaît le travail de MIKT dans l'élaboration du tableau de bord et encourage son utilisation comme outil volontaire pour que les Parties évaluent leurs propres progrès dans la lutte contre l’abattage, le prélèvement et le commerce illégaux des oiseaux sauvages inclus dans l'Annexe 1 de cette Résolution »</w:t>
      </w:r>
      <w:r w:rsidRPr="00526CBD">
        <w:rPr>
          <w:color w:val="000000" w:themeColor="text1"/>
          <w:sz w:val="22"/>
          <w:szCs w:val="22"/>
          <w:lang w:val="fr-FR"/>
        </w:rPr>
        <w:t>,</w:t>
      </w:r>
    </w:p>
    <w:p w:rsidR="00BD5B7F" w:rsidRPr="00526CBD" w:rsidRDefault="00BD5B7F" w:rsidP="00BD5B7F">
      <w:pPr>
        <w:spacing w:after="120"/>
        <w:jc w:val="both"/>
        <w:rPr>
          <w:bCs/>
          <w:color w:val="000000" w:themeColor="text1"/>
          <w:sz w:val="22"/>
          <w:szCs w:val="22"/>
          <w:lang w:val="fr-FR"/>
        </w:rPr>
      </w:pPr>
      <w:r w:rsidRPr="00526CBD">
        <w:rPr>
          <w:bCs/>
          <w:color w:val="000000" w:themeColor="text1"/>
          <w:sz w:val="22"/>
          <w:szCs w:val="22"/>
          <w:lang w:val="fr-FR"/>
        </w:rPr>
        <w:t>Recommande aux Parties contractantes à la Convention membres du MIKT de, et invite les autres Parties et les États observateurs à:</w:t>
      </w:r>
    </w:p>
    <w:p w:rsidR="00BD5B7F" w:rsidRPr="00526CBD" w:rsidRDefault="00BD5B7F" w:rsidP="00BD5B7F">
      <w:pPr>
        <w:pStyle w:val="NormalWeb"/>
        <w:spacing w:before="0" w:beforeAutospacing="0" w:after="120" w:afterAutospacing="0"/>
        <w:ind w:left="426" w:hanging="426"/>
        <w:jc w:val="both"/>
        <w:rPr>
          <w:rFonts w:ascii="Times New Roman" w:hAnsi="Times New Roman"/>
          <w:color w:val="000000" w:themeColor="text1"/>
          <w:sz w:val="22"/>
          <w:szCs w:val="22"/>
          <w:lang w:val="fr-FR"/>
        </w:rPr>
      </w:pPr>
      <w:r>
        <w:rPr>
          <w:rFonts w:ascii="Times New Roman" w:hAnsi="Times New Roman"/>
          <w:color w:val="000000" w:themeColor="text1"/>
          <w:sz w:val="22"/>
          <w:szCs w:val="22"/>
          <w:lang w:val="fr-FR"/>
        </w:rPr>
        <w:t>1.</w:t>
      </w:r>
      <w:r>
        <w:rPr>
          <w:rFonts w:ascii="Times New Roman" w:hAnsi="Times New Roman"/>
          <w:color w:val="000000" w:themeColor="text1"/>
          <w:sz w:val="22"/>
          <w:szCs w:val="22"/>
          <w:lang w:val="fr-FR"/>
        </w:rPr>
        <w:tab/>
      </w:r>
      <w:r w:rsidRPr="00526CBD">
        <w:rPr>
          <w:rFonts w:ascii="Times New Roman" w:hAnsi="Times New Roman"/>
          <w:color w:val="000000" w:themeColor="text1"/>
          <w:sz w:val="22"/>
          <w:szCs w:val="22"/>
          <w:lang w:val="fr-FR"/>
        </w:rPr>
        <w:t xml:space="preserve">périodiquement mettre à profit le tableau de bord de l’annexe à la présente recommandation comme un outil national d’autoévaluation des progrès accomplis dans la lutte contre la mise à mort illégale des oiseaux sauvages; </w:t>
      </w:r>
    </w:p>
    <w:p w:rsidR="00BD5B7F" w:rsidRPr="00526CBD" w:rsidRDefault="00BD5B7F" w:rsidP="00BD5B7F">
      <w:pPr>
        <w:pStyle w:val="NormalWeb"/>
        <w:spacing w:before="0" w:beforeAutospacing="0" w:after="120" w:afterAutospacing="0"/>
        <w:ind w:left="426" w:hanging="426"/>
        <w:jc w:val="both"/>
        <w:rPr>
          <w:rFonts w:ascii="Times New Roman" w:hAnsi="Times New Roman"/>
          <w:color w:val="000000" w:themeColor="text1"/>
          <w:sz w:val="22"/>
          <w:szCs w:val="22"/>
          <w:lang w:val="fr-FR"/>
        </w:rPr>
      </w:pPr>
      <w:r>
        <w:rPr>
          <w:rFonts w:ascii="Times New Roman" w:hAnsi="Times New Roman"/>
          <w:color w:val="000000" w:themeColor="text1"/>
          <w:sz w:val="22"/>
          <w:szCs w:val="22"/>
          <w:lang w:val="fr-FR"/>
        </w:rPr>
        <w:t>2.</w:t>
      </w:r>
      <w:r>
        <w:rPr>
          <w:rFonts w:ascii="Times New Roman" w:hAnsi="Times New Roman"/>
          <w:color w:val="000000" w:themeColor="text1"/>
          <w:sz w:val="22"/>
          <w:szCs w:val="22"/>
          <w:lang w:val="fr-FR"/>
        </w:rPr>
        <w:tab/>
      </w:r>
      <w:r w:rsidRPr="00526CBD">
        <w:rPr>
          <w:rFonts w:ascii="Times New Roman" w:hAnsi="Times New Roman"/>
          <w:color w:val="000000" w:themeColor="text1"/>
          <w:sz w:val="22"/>
          <w:szCs w:val="22"/>
          <w:lang w:val="fr-FR"/>
        </w:rPr>
        <w:t>communiquer au Secrétariat, sur une base volontaire et dans la mesure où les informations sur les indicateurs sont disponibles</w:t>
      </w:r>
      <w:r>
        <w:rPr>
          <w:rFonts w:ascii="Times New Roman" w:hAnsi="Times New Roman"/>
          <w:color w:val="000000" w:themeColor="text1"/>
          <w:sz w:val="22"/>
          <w:szCs w:val="22"/>
          <w:lang w:val="fr-FR"/>
        </w:rPr>
        <w:t xml:space="preserve"> et</w:t>
      </w:r>
      <w:r w:rsidRPr="00526CBD">
        <w:rPr>
          <w:rFonts w:ascii="Times New Roman" w:hAnsi="Times New Roman"/>
          <w:color w:val="000000" w:themeColor="text1"/>
          <w:sz w:val="22"/>
          <w:szCs w:val="22"/>
          <w:lang w:val="fr-FR"/>
        </w:rPr>
        <w:t xml:space="preserve"> pertinentes, les conclusions obtenues à l’aide du tableau de bord afin d’alimenter</w:t>
      </w:r>
      <w:bookmarkStart w:id="1" w:name="KVWin_undostart"/>
      <w:bookmarkEnd w:id="1"/>
      <w:r w:rsidRPr="00526CBD">
        <w:rPr>
          <w:rFonts w:ascii="Times New Roman" w:hAnsi="Times New Roman"/>
          <w:color w:val="000000" w:themeColor="text1"/>
          <w:sz w:val="22"/>
          <w:szCs w:val="22"/>
          <w:lang w:val="fr-FR"/>
        </w:rPr>
        <w:t xml:space="preserve"> les débats au sein du réseau de Correspondants spéciaux de la Convention de Berne et du MIKT de la CMS, et ainsi faciliter le partage d’informations et de bonnes pratiques</w:t>
      </w:r>
      <w:r>
        <w:rPr>
          <w:rFonts w:ascii="Times New Roman" w:hAnsi="Times New Roman"/>
          <w:color w:val="000000" w:themeColor="text1"/>
          <w:sz w:val="22"/>
          <w:szCs w:val="22"/>
          <w:lang w:val="fr-FR"/>
        </w:rPr>
        <w:t>,</w:t>
      </w:r>
    </w:p>
    <w:p w:rsidR="00BD5B7F" w:rsidRPr="00526CBD" w:rsidRDefault="00BD5B7F" w:rsidP="00BD5B7F">
      <w:pPr>
        <w:pStyle w:val="NormalWeb"/>
        <w:spacing w:before="0" w:beforeAutospacing="0" w:after="120" w:afterAutospacing="0"/>
        <w:jc w:val="both"/>
        <w:rPr>
          <w:rFonts w:ascii="Times New Roman" w:hAnsi="Times New Roman"/>
          <w:color w:val="000000" w:themeColor="text1"/>
          <w:sz w:val="22"/>
          <w:szCs w:val="22"/>
          <w:lang w:val="fr-FR"/>
        </w:rPr>
      </w:pPr>
      <w:r w:rsidRPr="00526CBD">
        <w:rPr>
          <w:rFonts w:ascii="Times New Roman" w:hAnsi="Times New Roman"/>
          <w:color w:val="000000" w:themeColor="text1"/>
          <w:sz w:val="22"/>
          <w:szCs w:val="22"/>
          <w:lang w:val="fr-FR"/>
        </w:rPr>
        <w:t>Les Parties contractantes à la Convention et les Etats observateurs sont encouragés à mettre en œuvre le Programme de travail 2016-2020 du MIKT;</w:t>
      </w:r>
    </w:p>
    <w:p w:rsidR="00BD5B7F" w:rsidRPr="00526CBD" w:rsidRDefault="00BD5B7F" w:rsidP="00BD5B7F">
      <w:pPr>
        <w:pStyle w:val="NormalWeb"/>
        <w:spacing w:before="0" w:beforeAutospacing="0" w:after="120" w:afterAutospacing="0"/>
        <w:jc w:val="both"/>
        <w:rPr>
          <w:rFonts w:ascii="Times New Roman" w:hAnsi="Times New Roman"/>
          <w:color w:val="000000" w:themeColor="text1"/>
          <w:sz w:val="22"/>
          <w:szCs w:val="22"/>
          <w:lang w:val="fr-FR"/>
        </w:rPr>
      </w:pPr>
      <w:r w:rsidRPr="00526CBD">
        <w:rPr>
          <w:rFonts w:ascii="Times New Roman" w:hAnsi="Times New Roman"/>
          <w:color w:val="000000" w:themeColor="text1"/>
          <w:sz w:val="22"/>
          <w:szCs w:val="22"/>
          <w:lang w:val="fr-FR"/>
        </w:rPr>
        <w:t>Le Secrétariat est chargé de coopérer avec le Secrétariat de la CMS afin de</w:t>
      </w:r>
      <w:r>
        <w:rPr>
          <w:rFonts w:ascii="Times New Roman" w:hAnsi="Times New Roman"/>
          <w:color w:val="000000" w:themeColor="text1"/>
          <w:sz w:val="22"/>
          <w:szCs w:val="22"/>
          <w:lang w:val="fr-FR"/>
        </w:rPr>
        <w:t>:</w:t>
      </w:r>
    </w:p>
    <w:p w:rsidR="00BD5B7F" w:rsidRPr="00526CBD" w:rsidRDefault="00BD5B7F" w:rsidP="00BD5B7F">
      <w:pPr>
        <w:pStyle w:val="NormalWeb"/>
        <w:spacing w:before="0" w:beforeAutospacing="0" w:after="120" w:afterAutospacing="0"/>
        <w:ind w:left="426" w:hanging="426"/>
        <w:jc w:val="both"/>
        <w:rPr>
          <w:rFonts w:ascii="Times New Roman" w:hAnsi="Times New Roman"/>
          <w:color w:val="000000" w:themeColor="text1"/>
          <w:sz w:val="22"/>
          <w:szCs w:val="22"/>
          <w:lang w:val="fr-FR"/>
        </w:rPr>
      </w:pPr>
      <w:r>
        <w:rPr>
          <w:rFonts w:ascii="Times New Roman" w:hAnsi="Times New Roman"/>
          <w:color w:val="000000" w:themeColor="text1"/>
          <w:sz w:val="22"/>
          <w:szCs w:val="22"/>
          <w:lang w:val="fr-FR"/>
        </w:rPr>
        <w:t>1.</w:t>
      </w:r>
      <w:r>
        <w:rPr>
          <w:rFonts w:ascii="Times New Roman" w:hAnsi="Times New Roman"/>
          <w:color w:val="000000" w:themeColor="text1"/>
          <w:sz w:val="22"/>
          <w:szCs w:val="22"/>
          <w:lang w:val="fr-FR"/>
        </w:rPr>
        <w:tab/>
      </w:r>
      <w:proofErr w:type="gramStart"/>
      <w:r w:rsidRPr="00526CBD">
        <w:rPr>
          <w:rFonts w:ascii="Times New Roman" w:hAnsi="Times New Roman"/>
          <w:color w:val="000000" w:themeColor="text1"/>
          <w:sz w:val="22"/>
          <w:szCs w:val="22"/>
          <w:lang w:val="fr-FR"/>
        </w:rPr>
        <w:t>compiler</w:t>
      </w:r>
      <w:proofErr w:type="gramEnd"/>
      <w:r w:rsidRPr="00526CBD">
        <w:rPr>
          <w:rFonts w:ascii="Times New Roman" w:hAnsi="Times New Roman"/>
          <w:color w:val="000000" w:themeColor="text1"/>
          <w:sz w:val="22"/>
          <w:szCs w:val="22"/>
          <w:lang w:val="fr-FR"/>
        </w:rPr>
        <w:t>, dans l’intervalle entre les 37</w:t>
      </w:r>
      <w:r w:rsidRPr="00526CBD">
        <w:rPr>
          <w:rFonts w:ascii="Times New Roman" w:hAnsi="Times New Roman"/>
          <w:color w:val="000000" w:themeColor="text1"/>
          <w:sz w:val="22"/>
          <w:szCs w:val="22"/>
          <w:vertAlign w:val="superscript"/>
          <w:lang w:val="fr-FR"/>
        </w:rPr>
        <w:t>e</w:t>
      </w:r>
      <w:r w:rsidRPr="00526CBD">
        <w:rPr>
          <w:rFonts w:ascii="Times New Roman" w:hAnsi="Times New Roman"/>
          <w:color w:val="000000" w:themeColor="text1"/>
          <w:sz w:val="22"/>
          <w:szCs w:val="22"/>
          <w:lang w:val="fr-FR"/>
        </w:rPr>
        <w:t xml:space="preserve"> et 40</w:t>
      </w:r>
      <w:r w:rsidRPr="00526CBD">
        <w:rPr>
          <w:rFonts w:ascii="Times New Roman" w:hAnsi="Times New Roman"/>
          <w:color w:val="000000" w:themeColor="text1"/>
          <w:sz w:val="22"/>
          <w:szCs w:val="22"/>
          <w:vertAlign w:val="superscript"/>
          <w:lang w:val="fr-FR"/>
        </w:rPr>
        <w:t>e</w:t>
      </w:r>
      <w:r w:rsidRPr="00526CBD">
        <w:rPr>
          <w:rFonts w:ascii="Times New Roman" w:hAnsi="Times New Roman"/>
          <w:color w:val="000000" w:themeColor="text1"/>
          <w:sz w:val="22"/>
          <w:szCs w:val="22"/>
          <w:lang w:val="fr-FR"/>
        </w:rPr>
        <w:t xml:space="preserve"> réunions du Comité permanent, les informations dûment communiquées par les Parties et par les Etats observateurs au titre du paragraphe 2 ci-dessus ;</w:t>
      </w:r>
    </w:p>
    <w:p w:rsidR="00BD5B7F" w:rsidRPr="00526CBD" w:rsidRDefault="00BD5B7F" w:rsidP="00BD5B7F">
      <w:pPr>
        <w:pStyle w:val="NormalWeb"/>
        <w:spacing w:before="0" w:beforeAutospacing="0" w:after="120" w:afterAutospacing="0"/>
        <w:ind w:left="426" w:hanging="426"/>
        <w:jc w:val="both"/>
        <w:rPr>
          <w:rFonts w:ascii="Times New Roman" w:hAnsi="Times New Roman"/>
          <w:color w:val="000000" w:themeColor="text1"/>
          <w:sz w:val="22"/>
          <w:szCs w:val="22"/>
          <w:lang w:val="fr-FR"/>
        </w:rPr>
      </w:pPr>
      <w:r>
        <w:rPr>
          <w:rFonts w:ascii="Times New Roman" w:hAnsi="Times New Roman"/>
          <w:color w:val="000000" w:themeColor="text1"/>
          <w:sz w:val="22"/>
          <w:szCs w:val="22"/>
          <w:lang w:val="fr-FR"/>
        </w:rPr>
        <w:t>2.</w:t>
      </w:r>
      <w:r>
        <w:rPr>
          <w:rFonts w:ascii="Times New Roman" w:hAnsi="Times New Roman"/>
          <w:color w:val="000000" w:themeColor="text1"/>
          <w:sz w:val="22"/>
          <w:szCs w:val="22"/>
          <w:lang w:val="fr-FR"/>
        </w:rPr>
        <w:tab/>
      </w:r>
      <w:r w:rsidRPr="00526CBD">
        <w:rPr>
          <w:rFonts w:ascii="Times New Roman" w:hAnsi="Times New Roman"/>
          <w:color w:val="000000" w:themeColor="text1"/>
          <w:sz w:val="22"/>
          <w:szCs w:val="22"/>
          <w:lang w:val="fr-FR"/>
        </w:rPr>
        <w:t xml:space="preserve">partager ses informations avec les membres du MIKT de la CMS et </w:t>
      </w:r>
      <w:r w:rsidRPr="00526CBD">
        <w:rPr>
          <w:rFonts w:ascii="Times New Roman" w:hAnsi="Times New Roman"/>
          <w:sz w:val="22"/>
          <w:szCs w:val="22"/>
          <w:lang w:val="fr-FR"/>
        </w:rPr>
        <w:t>du Réseau des correspondants spéciaux</w:t>
      </w:r>
      <w:r w:rsidRPr="00526CBD">
        <w:rPr>
          <w:rFonts w:ascii="Times New Roman" w:hAnsi="Times New Roman"/>
          <w:color w:val="000000" w:themeColor="text1"/>
          <w:sz w:val="22"/>
          <w:szCs w:val="22"/>
          <w:lang w:val="fr-FR"/>
        </w:rPr>
        <w:t xml:space="preserve"> de la Convention de Berne aux fins décrites au paragraphe 2 ci-dessus, dans l’intervalle entre les 37</w:t>
      </w:r>
      <w:r w:rsidRPr="00526CBD">
        <w:rPr>
          <w:rFonts w:ascii="Times New Roman" w:hAnsi="Times New Roman"/>
          <w:color w:val="000000" w:themeColor="text1"/>
          <w:sz w:val="22"/>
          <w:szCs w:val="22"/>
          <w:vertAlign w:val="superscript"/>
          <w:lang w:val="fr-FR"/>
        </w:rPr>
        <w:t>e</w:t>
      </w:r>
      <w:r w:rsidRPr="00526CBD">
        <w:rPr>
          <w:rFonts w:ascii="Times New Roman" w:hAnsi="Times New Roman"/>
          <w:color w:val="000000" w:themeColor="text1"/>
          <w:sz w:val="22"/>
          <w:szCs w:val="22"/>
          <w:lang w:val="fr-FR"/>
        </w:rPr>
        <w:t xml:space="preserve"> et 40</w:t>
      </w:r>
      <w:r w:rsidRPr="00526CBD">
        <w:rPr>
          <w:rFonts w:ascii="Times New Roman" w:hAnsi="Times New Roman"/>
          <w:color w:val="000000" w:themeColor="text1"/>
          <w:sz w:val="22"/>
          <w:szCs w:val="22"/>
          <w:vertAlign w:val="superscript"/>
          <w:lang w:val="fr-FR"/>
        </w:rPr>
        <w:t>e</w:t>
      </w:r>
      <w:r w:rsidRPr="00526CBD">
        <w:rPr>
          <w:rFonts w:ascii="Times New Roman" w:hAnsi="Times New Roman"/>
          <w:color w:val="000000" w:themeColor="text1"/>
          <w:sz w:val="22"/>
          <w:szCs w:val="22"/>
          <w:lang w:val="fr-FR"/>
        </w:rPr>
        <w:t xml:space="preserve"> réunions du Comité permanent.</w:t>
      </w:r>
    </w:p>
    <w:p w:rsidR="00BD5B7F" w:rsidRPr="00526CBD" w:rsidRDefault="00BD5B7F" w:rsidP="00BD5B7F">
      <w:pPr>
        <w:pStyle w:val="NormalWeb"/>
        <w:spacing w:before="0" w:beforeAutospacing="0" w:after="120" w:afterAutospacing="0"/>
        <w:jc w:val="both"/>
        <w:rPr>
          <w:rFonts w:ascii="Times New Roman" w:hAnsi="Times New Roman"/>
          <w:color w:val="000000" w:themeColor="text1"/>
          <w:sz w:val="22"/>
          <w:szCs w:val="22"/>
          <w:lang w:val="fr-FR"/>
        </w:rPr>
      </w:pPr>
    </w:p>
    <w:p w:rsidR="00BD5B7F" w:rsidRPr="00865DA5" w:rsidRDefault="00BD5B7F" w:rsidP="00BD5B7F">
      <w:pPr>
        <w:spacing w:after="200" w:line="276" w:lineRule="auto"/>
        <w:rPr>
          <w:b/>
          <w:sz w:val="22"/>
          <w:szCs w:val="22"/>
          <w:lang w:val="fr-FR"/>
        </w:rPr>
      </w:pPr>
      <w:r w:rsidRPr="00865DA5">
        <w:rPr>
          <w:b/>
          <w:sz w:val="22"/>
          <w:szCs w:val="22"/>
          <w:lang w:val="fr-FR"/>
        </w:rPr>
        <w:br w:type="page"/>
      </w:r>
    </w:p>
    <w:p w:rsidR="00BD5B7F" w:rsidRPr="00623D4F" w:rsidRDefault="00BD5B7F" w:rsidP="00BD5B7F">
      <w:pPr>
        <w:spacing w:after="120"/>
        <w:jc w:val="both"/>
        <w:rPr>
          <w:b/>
          <w:lang w:val="fr-FR"/>
        </w:rPr>
      </w:pPr>
      <w:r w:rsidRPr="00623D4F">
        <w:rPr>
          <w:b/>
          <w:lang w:val="fr-FR"/>
        </w:rPr>
        <w:lastRenderedPageBreak/>
        <w:t>Annexe à la Recommandation n° 196 (2017) du Comité permanent sur l’établissement d’un tableau de bord pour mesurer les progrès de la lutte contre la mise à mort, le prélèvement et le commerce illégaux d’oiseaux sauvages</w:t>
      </w:r>
    </w:p>
    <w:p w:rsidR="00BD5B7F" w:rsidRPr="00865DA5" w:rsidRDefault="00BD5B7F" w:rsidP="00BD5B7F">
      <w:pPr>
        <w:tabs>
          <w:tab w:val="left" w:pos="426"/>
        </w:tabs>
        <w:spacing w:after="120"/>
        <w:jc w:val="center"/>
        <w:rPr>
          <w:b/>
          <w:lang w:val="fr-FR"/>
        </w:rPr>
      </w:pPr>
      <w:r w:rsidRPr="00865DA5">
        <w:rPr>
          <w:b/>
          <w:lang w:val="fr-FR"/>
        </w:rPr>
        <w:t>Tableau de bord servant à évaluer les progrès de la lutte contre la mise à mort, le prélèvement et le commerce illégaux d’oiseaux sauvages (IKB)</w:t>
      </w:r>
    </w:p>
    <w:p w:rsidR="00BD5B7F" w:rsidRPr="00865DA5" w:rsidRDefault="00BD5B7F" w:rsidP="00BD5B7F">
      <w:pPr>
        <w:spacing w:after="200" w:line="276" w:lineRule="auto"/>
        <w:jc w:val="center"/>
        <w:rPr>
          <w:rFonts w:eastAsia="Calibri"/>
          <w:color w:val="000000"/>
          <w:lang w:val="fr-FR"/>
        </w:rPr>
      </w:pPr>
      <w:r w:rsidRPr="00865DA5">
        <w:rPr>
          <w:rFonts w:eastAsia="Arial"/>
          <w:color w:val="000000"/>
          <w:bdr w:val="none" w:sz="0" w:space="0" w:color="auto" w:frame="1"/>
          <w:lang w:val="fr-FR"/>
        </w:rPr>
        <w:t>Un cadre d’auto-évaluation à usage national</w:t>
      </w:r>
    </w:p>
    <w:p w:rsidR="00BD5B7F" w:rsidRPr="00865DA5" w:rsidRDefault="00BD5B7F" w:rsidP="00BD5B7F">
      <w:pPr>
        <w:tabs>
          <w:tab w:val="left" w:pos="426"/>
        </w:tabs>
        <w:spacing w:after="120"/>
        <w:jc w:val="center"/>
        <w:rPr>
          <w:b/>
          <w:lang w:val="fr-FR"/>
        </w:rPr>
      </w:pPr>
    </w:p>
    <w:p w:rsidR="00BD5B7F" w:rsidRPr="00C03BEF" w:rsidRDefault="00BD5B7F" w:rsidP="00BD5B7F">
      <w:pPr>
        <w:pStyle w:val="TM2"/>
        <w:tabs>
          <w:tab w:val="clear" w:pos="9360"/>
          <w:tab w:val="left" w:pos="0"/>
          <w:tab w:val="right" w:pos="9356"/>
        </w:tabs>
        <w:rPr>
          <w:rFonts w:eastAsiaTheme="minorEastAsia"/>
          <w:noProof/>
          <w:lang w:val="en-US"/>
        </w:rPr>
      </w:pPr>
      <w:r w:rsidRPr="00C03BEF">
        <w:t>Table des matières</w:t>
      </w:r>
      <w:r w:rsidRPr="00C03BEF">
        <w:fldChar w:fldCharType="begin"/>
      </w:r>
      <w:r w:rsidRPr="00C03BEF">
        <w:instrText xml:space="preserve"> TOC \o "1-5" \h \z \u </w:instrText>
      </w:r>
      <w:r w:rsidRPr="00C03BEF">
        <w:fldChar w:fldCharType="separate"/>
      </w:r>
    </w:p>
    <w:p w:rsidR="00BD5B7F" w:rsidRPr="00C03BEF" w:rsidRDefault="00BD5B7F" w:rsidP="00BD5B7F">
      <w:pPr>
        <w:pStyle w:val="TM2"/>
        <w:tabs>
          <w:tab w:val="clear" w:pos="9360"/>
          <w:tab w:val="left" w:pos="0"/>
          <w:tab w:val="right" w:pos="9356"/>
        </w:tabs>
        <w:rPr>
          <w:rFonts w:eastAsiaTheme="minorEastAsia"/>
          <w:noProof/>
          <w:lang w:val="en-US"/>
        </w:rPr>
      </w:pPr>
      <w:hyperlink r:id="rId9" w:anchor="_Toc491245221" w:history="1">
        <w:r w:rsidRPr="00C03BEF">
          <w:rPr>
            <w:rStyle w:val="Lienhypertexte"/>
            <w:rFonts w:eastAsia="Arial"/>
            <w:noProof/>
            <w:kern w:val="28"/>
            <w:bdr w:val="none" w:sz="0" w:space="0" w:color="auto" w:frame="1"/>
            <w:lang w:val="fr-FR"/>
          </w:rPr>
          <w:t>Liste des acronymes</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_Toc491245221 \h </w:instrText>
        </w:r>
        <w:r w:rsidRPr="00C03BEF">
          <w:rPr>
            <w:rStyle w:val="Lienhypertexte"/>
            <w:noProof/>
            <w:webHidden/>
          </w:rPr>
        </w:r>
        <w:r w:rsidRPr="00C03BEF">
          <w:rPr>
            <w:rStyle w:val="Lienhypertexte"/>
            <w:noProof/>
            <w:webHidden/>
          </w:rPr>
          <w:fldChar w:fldCharType="separate"/>
        </w:r>
        <w:r>
          <w:rPr>
            <w:rStyle w:val="Lienhypertexte"/>
            <w:noProof/>
            <w:webHidden/>
          </w:rPr>
          <w:t>43</w:t>
        </w:r>
        <w:r w:rsidRPr="00C03BEF">
          <w:rPr>
            <w:rStyle w:val="Lienhypertexte"/>
            <w:noProof/>
            <w:webHidden/>
          </w:rPr>
          <w:fldChar w:fldCharType="end"/>
        </w:r>
      </w:hyperlink>
    </w:p>
    <w:p w:rsidR="00BD5B7F" w:rsidRPr="00C03BEF" w:rsidRDefault="00BD5B7F" w:rsidP="00BD5B7F">
      <w:pPr>
        <w:pStyle w:val="TM2"/>
        <w:tabs>
          <w:tab w:val="clear" w:pos="9360"/>
          <w:tab w:val="left" w:pos="0"/>
          <w:tab w:val="right" w:pos="9356"/>
        </w:tabs>
        <w:rPr>
          <w:rFonts w:eastAsiaTheme="minorEastAsia"/>
          <w:noProof/>
          <w:lang w:val="en-US"/>
        </w:rPr>
      </w:pPr>
      <w:hyperlink r:id="rId10" w:anchor="_Toc491245222" w:history="1">
        <w:r w:rsidRPr="00C03BEF">
          <w:rPr>
            <w:rStyle w:val="Lienhypertexte"/>
            <w:noProof/>
            <w:bdr w:val="none" w:sz="0" w:space="0" w:color="auto" w:frame="1"/>
            <w:lang w:val="fr-FR"/>
          </w:rPr>
          <w:t>But du tableau de bord IKB</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_Toc491245222 \h </w:instrText>
        </w:r>
        <w:r w:rsidRPr="00C03BEF">
          <w:rPr>
            <w:rStyle w:val="Lienhypertexte"/>
            <w:noProof/>
            <w:webHidden/>
          </w:rPr>
        </w:r>
        <w:r w:rsidRPr="00C03BEF">
          <w:rPr>
            <w:rStyle w:val="Lienhypertexte"/>
            <w:noProof/>
            <w:webHidden/>
          </w:rPr>
          <w:fldChar w:fldCharType="separate"/>
        </w:r>
        <w:r>
          <w:rPr>
            <w:rStyle w:val="Lienhypertexte"/>
            <w:noProof/>
            <w:webHidden/>
          </w:rPr>
          <w:t>44</w:t>
        </w:r>
        <w:r w:rsidRPr="00C03BEF">
          <w:rPr>
            <w:rStyle w:val="Lienhypertexte"/>
            <w:noProof/>
            <w:webHidden/>
          </w:rPr>
          <w:fldChar w:fldCharType="end"/>
        </w:r>
      </w:hyperlink>
    </w:p>
    <w:p w:rsidR="00BD5B7F" w:rsidRPr="00C03BEF" w:rsidRDefault="00BD5B7F" w:rsidP="00BD5B7F">
      <w:pPr>
        <w:pStyle w:val="TM2"/>
        <w:tabs>
          <w:tab w:val="clear" w:pos="9360"/>
          <w:tab w:val="left" w:pos="0"/>
          <w:tab w:val="right" w:pos="9356"/>
        </w:tabs>
        <w:rPr>
          <w:rFonts w:eastAsiaTheme="minorEastAsia"/>
          <w:noProof/>
          <w:lang w:val="en-US"/>
        </w:rPr>
      </w:pPr>
      <w:hyperlink r:id="rId11" w:anchor="_Toc491245223" w:history="1">
        <w:r w:rsidRPr="00C03BEF">
          <w:rPr>
            <w:rStyle w:val="Lienhypertexte"/>
            <w:rFonts w:eastAsia="Arial"/>
            <w:noProof/>
            <w:bdr w:val="none" w:sz="0" w:space="0" w:color="auto" w:frame="1"/>
            <w:lang w:val="fr-FR"/>
          </w:rPr>
          <w:t>Comment utiliser le tableau de bord IKB</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_Toc491245223 \h </w:instrText>
        </w:r>
        <w:r w:rsidRPr="00C03BEF">
          <w:rPr>
            <w:rStyle w:val="Lienhypertexte"/>
            <w:noProof/>
            <w:webHidden/>
          </w:rPr>
        </w:r>
        <w:r w:rsidRPr="00C03BEF">
          <w:rPr>
            <w:rStyle w:val="Lienhypertexte"/>
            <w:noProof/>
            <w:webHidden/>
          </w:rPr>
          <w:fldChar w:fldCharType="separate"/>
        </w:r>
        <w:r>
          <w:rPr>
            <w:rStyle w:val="Lienhypertexte"/>
            <w:noProof/>
            <w:webHidden/>
          </w:rPr>
          <w:t>50</w:t>
        </w:r>
        <w:r w:rsidRPr="00C03BEF">
          <w:rPr>
            <w:rStyle w:val="Lienhypertexte"/>
            <w:noProof/>
            <w:webHidden/>
          </w:rPr>
          <w:fldChar w:fldCharType="end"/>
        </w:r>
      </w:hyperlink>
    </w:p>
    <w:p w:rsidR="00BD5B7F" w:rsidRPr="00C03BEF" w:rsidRDefault="00BD5B7F" w:rsidP="00BD5B7F">
      <w:pPr>
        <w:pStyle w:val="TM3"/>
        <w:tabs>
          <w:tab w:val="left" w:pos="0"/>
          <w:tab w:val="right" w:pos="9356"/>
        </w:tabs>
        <w:rPr>
          <w:rFonts w:ascii="Times New Roman" w:eastAsiaTheme="minorEastAsia" w:hAnsi="Times New Roman"/>
          <w:noProof/>
          <w:lang w:val="en-US"/>
        </w:rPr>
      </w:pPr>
      <w:hyperlink r:id="rId12" w:anchor="_Toc491245224" w:history="1">
        <w:r w:rsidRPr="00C03BEF">
          <w:rPr>
            <w:rStyle w:val="Lienhypertexte"/>
            <w:rFonts w:ascii="Times New Roman" w:eastAsia="Arial" w:hAnsi="Times New Roman"/>
            <w:noProof/>
            <w:bdr w:val="none" w:sz="0" w:space="0" w:color="auto" w:frame="1"/>
            <w:lang w:val="fr-FR"/>
          </w:rPr>
          <w:t>Processus</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_Toc491245224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50</w:t>
        </w:r>
        <w:r w:rsidRPr="00C03BEF">
          <w:rPr>
            <w:rStyle w:val="Lienhypertexte"/>
            <w:rFonts w:ascii="Times New Roman" w:hAnsi="Times New Roman"/>
            <w:noProof/>
            <w:webHidden/>
          </w:rPr>
          <w:fldChar w:fldCharType="end"/>
        </w:r>
      </w:hyperlink>
    </w:p>
    <w:p w:rsidR="00BD5B7F" w:rsidRPr="00C03BEF" w:rsidRDefault="00BD5B7F" w:rsidP="00BD5B7F">
      <w:pPr>
        <w:pStyle w:val="TM2"/>
        <w:tabs>
          <w:tab w:val="clear" w:pos="9360"/>
          <w:tab w:val="left" w:pos="0"/>
          <w:tab w:val="right" w:pos="9356"/>
        </w:tabs>
        <w:rPr>
          <w:rFonts w:eastAsiaTheme="minorEastAsia"/>
          <w:noProof/>
          <w:lang w:val="en-US"/>
        </w:rPr>
      </w:pPr>
      <w:hyperlink r:id="rId13" w:anchor="_Toc491245226" w:history="1">
        <w:r w:rsidRPr="00C03BEF">
          <w:rPr>
            <w:rStyle w:val="Lienhypertexte"/>
            <w:rFonts w:eastAsia="Arial"/>
            <w:noProof/>
            <w:bdr w:val="none" w:sz="0" w:space="0" w:color="auto" w:frame="1"/>
            <w:lang w:val="fr-FR"/>
          </w:rPr>
          <w:t>Calendrier de la mise en œuvre de l’auto-évaluation</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_Toc491245226 \h </w:instrText>
        </w:r>
        <w:r w:rsidRPr="00C03BEF">
          <w:rPr>
            <w:rStyle w:val="Lienhypertexte"/>
            <w:noProof/>
            <w:webHidden/>
          </w:rPr>
        </w:r>
        <w:r w:rsidRPr="00C03BEF">
          <w:rPr>
            <w:rStyle w:val="Lienhypertexte"/>
            <w:noProof/>
            <w:webHidden/>
          </w:rPr>
          <w:fldChar w:fldCharType="separate"/>
        </w:r>
        <w:r>
          <w:rPr>
            <w:rStyle w:val="Lienhypertexte"/>
            <w:noProof/>
            <w:webHidden/>
          </w:rPr>
          <w:t>53</w:t>
        </w:r>
        <w:r w:rsidRPr="00C03BEF">
          <w:rPr>
            <w:rStyle w:val="Lienhypertexte"/>
            <w:noProof/>
            <w:webHidden/>
          </w:rPr>
          <w:fldChar w:fldCharType="end"/>
        </w:r>
      </w:hyperlink>
    </w:p>
    <w:p w:rsidR="00BD5B7F" w:rsidRPr="00C03BEF" w:rsidRDefault="00BD5B7F" w:rsidP="00BD5B7F">
      <w:pPr>
        <w:pStyle w:val="TM3"/>
        <w:tabs>
          <w:tab w:val="left" w:pos="0"/>
          <w:tab w:val="right" w:pos="9356"/>
        </w:tabs>
        <w:rPr>
          <w:rFonts w:ascii="Times New Roman" w:eastAsiaTheme="minorEastAsia" w:hAnsi="Times New Roman"/>
          <w:noProof/>
          <w:lang w:val="en-US"/>
        </w:rPr>
      </w:pPr>
      <w:hyperlink r:id="rId14" w:anchor="_Toc491245227" w:history="1">
        <w:r w:rsidRPr="00C03BEF">
          <w:rPr>
            <w:rStyle w:val="Lienhypertexte"/>
            <w:rFonts w:ascii="Times New Roman" w:eastAsia="Arial" w:hAnsi="Times New Roman"/>
            <w:noProof/>
            <w:bdr w:val="none" w:sz="0" w:space="0" w:color="auto" w:frame="1"/>
            <w:lang w:val="fr-FR"/>
          </w:rPr>
          <w:t>Utilisation d’indicateurs d’auto-évaluation au niveau national</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_Toc491245227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53</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15" w:anchor="_Toc491245228" w:history="1">
        <w:r w:rsidRPr="00C03BEF">
          <w:rPr>
            <w:rStyle w:val="Lienhypertexte"/>
            <w:rFonts w:ascii="Times New Roman" w:eastAsia="Arial" w:hAnsi="Times New Roman"/>
            <w:noProof/>
            <w:bdr w:val="none" w:sz="0" w:space="0" w:color="auto" w:frame="1"/>
            <w:lang w:val="fr-FR"/>
          </w:rPr>
          <w:t>Scénario 1 : Score unique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_Toc491245228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54</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16" w:anchor="_Toc491245229" w:history="1">
        <w:r w:rsidRPr="00C03BEF">
          <w:rPr>
            <w:rStyle w:val="Lienhypertexte"/>
            <w:rFonts w:ascii="Times New Roman" w:eastAsia="Arial" w:hAnsi="Times New Roman"/>
            <w:noProof/>
            <w:bdr w:val="none" w:sz="0" w:space="0" w:color="auto" w:frame="1"/>
            <w:lang w:val="fr-FR"/>
          </w:rPr>
          <w:t>Scénario 2 : Score multiple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_Toc491245229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b/>
            <w:bCs/>
            <w:noProof/>
            <w:webHidden/>
            <w:lang w:val="fr-FR"/>
          </w:rPr>
          <w:t>Erreur ! Signet non défini.</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17" w:anchor="_Toc491245230" w:history="1">
        <w:r w:rsidRPr="00C03BEF">
          <w:rPr>
            <w:rStyle w:val="Lienhypertexte"/>
            <w:rFonts w:ascii="Times New Roman" w:eastAsia="Arial" w:hAnsi="Times New Roman"/>
            <w:noProof/>
            <w:bdr w:val="none" w:sz="0" w:space="0" w:color="auto" w:frame="1"/>
            <w:lang w:val="fr-FR"/>
          </w:rPr>
          <w:t>Scénario 3 : Absence de consensus</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_Toc491245230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55</w:t>
        </w:r>
        <w:r w:rsidRPr="00C03BEF">
          <w:rPr>
            <w:rStyle w:val="Lienhypertexte"/>
            <w:rFonts w:ascii="Times New Roman" w:hAnsi="Times New Roman"/>
            <w:noProof/>
            <w:webHidden/>
          </w:rPr>
          <w:fldChar w:fldCharType="end"/>
        </w:r>
      </w:hyperlink>
    </w:p>
    <w:p w:rsidR="00BD5B7F" w:rsidRPr="00C03BEF" w:rsidRDefault="00BD5B7F" w:rsidP="00BD5B7F">
      <w:pPr>
        <w:pStyle w:val="TM2"/>
        <w:tabs>
          <w:tab w:val="clear" w:pos="9360"/>
          <w:tab w:val="left" w:pos="0"/>
          <w:tab w:val="right" w:pos="9356"/>
        </w:tabs>
        <w:rPr>
          <w:rFonts w:eastAsiaTheme="minorEastAsia"/>
          <w:noProof/>
          <w:lang w:val="en-US"/>
        </w:rPr>
      </w:pPr>
      <w:hyperlink r:id="rId18" w:anchor="_Toc491245231" w:history="1">
        <w:r w:rsidRPr="00C03BEF">
          <w:rPr>
            <w:rStyle w:val="Lienhypertexte"/>
            <w:rFonts w:eastAsia="Arial"/>
            <w:noProof/>
            <w:bdr w:val="none" w:sz="0" w:space="0" w:color="auto" w:frame="1"/>
            <w:lang w:val="fr-FR"/>
          </w:rPr>
          <w:t>Attribution des scores et évaluation des résultats</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_Toc491245231 \h </w:instrText>
        </w:r>
        <w:r w:rsidRPr="00C03BEF">
          <w:rPr>
            <w:rStyle w:val="Lienhypertexte"/>
            <w:noProof/>
            <w:webHidden/>
          </w:rPr>
        </w:r>
        <w:r w:rsidRPr="00C03BEF">
          <w:rPr>
            <w:rStyle w:val="Lienhypertexte"/>
            <w:noProof/>
            <w:webHidden/>
          </w:rPr>
          <w:fldChar w:fldCharType="separate"/>
        </w:r>
        <w:r>
          <w:rPr>
            <w:rStyle w:val="Lienhypertexte"/>
            <w:noProof/>
            <w:webHidden/>
          </w:rPr>
          <w:t>56</w:t>
        </w:r>
        <w:r w:rsidRPr="00C03BEF">
          <w:rPr>
            <w:rStyle w:val="Lienhypertexte"/>
            <w:noProof/>
            <w:webHidden/>
          </w:rPr>
          <w:fldChar w:fldCharType="end"/>
        </w:r>
      </w:hyperlink>
    </w:p>
    <w:p w:rsidR="00BD5B7F" w:rsidRPr="00C03BEF" w:rsidRDefault="00BD5B7F" w:rsidP="00BD5B7F">
      <w:pPr>
        <w:pStyle w:val="TM2"/>
        <w:tabs>
          <w:tab w:val="clear" w:pos="9360"/>
          <w:tab w:val="left" w:pos="0"/>
          <w:tab w:val="right" w:pos="9356"/>
        </w:tabs>
        <w:rPr>
          <w:rFonts w:eastAsiaTheme="minorEastAsia"/>
          <w:noProof/>
          <w:lang w:val="en-US"/>
        </w:rPr>
      </w:pPr>
      <w:hyperlink r:id="rId19" w:anchor="_Toc491245232" w:history="1">
        <w:r w:rsidRPr="00C03BEF">
          <w:rPr>
            <w:rStyle w:val="Lienhypertexte"/>
            <w:rFonts w:eastAsia="Arial"/>
            <w:noProof/>
            <w:bdr w:val="none" w:sz="0" w:space="0" w:color="auto" w:frame="1"/>
            <w:lang w:val="fr-FR"/>
          </w:rPr>
          <w:t>Présentation des résultats</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_Toc491245232 \h </w:instrText>
        </w:r>
        <w:r w:rsidRPr="00C03BEF">
          <w:rPr>
            <w:rStyle w:val="Lienhypertexte"/>
            <w:noProof/>
            <w:webHidden/>
          </w:rPr>
        </w:r>
        <w:r w:rsidRPr="00C03BEF">
          <w:rPr>
            <w:rStyle w:val="Lienhypertexte"/>
            <w:noProof/>
            <w:webHidden/>
          </w:rPr>
          <w:fldChar w:fldCharType="separate"/>
        </w:r>
        <w:r>
          <w:rPr>
            <w:rStyle w:val="Lienhypertexte"/>
            <w:noProof/>
            <w:webHidden/>
          </w:rPr>
          <w:t>58</w:t>
        </w:r>
        <w:r w:rsidRPr="00C03BEF">
          <w:rPr>
            <w:rStyle w:val="Lienhypertexte"/>
            <w:noProof/>
            <w:webHidden/>
          </w:rPr>
          <w:fldChar w:fldCharType="end"/>
        </w:r>
      </w:hyperlink>
    </w:p>
    <w:p w:rsidR="00BD5B7F" w:rsidRPr="00C03BEF" w:rsidRDefault="00BD5B7F" w:rsidP="00BD5B7F">
      <w:pPr>
        <w:pStyle w:val="TM1"/>
        <w:tabs>
          <w:tab w:val="clear" w:pos="9360"/>
          <w:tab w:val="left" w:pos="0"/>
          <w:tab w:val="right" w:pos="9356"/>
        </w:tabs>
        <w:rPr>
          <w:rFonts w:ascii="Times New Roman" w:eastAsiaTheme="minorEastAsia" w:hAnsi="Times New Roman"/>
          <w:lang w:val="en-US"/>
        </w:rPr>
      </w:pPr>
      <w:hyperlink r:id="rId20" w:anchor="_Toc491245233" w:history="1">
        <w:r w:rsidRPr="00C03BEF">
          <w:rPr>
            <w:rStyle w:val="Lienhypertexte"/>
            <w:rFonts w:ascii="Times New Roman" w:eastAsia="Arial" w:hAnsi="Times New Roman"/>
            <w:bdr w:val="none" w:sz="0" w:space="0" w:color="auto" w:frame="1"/>
            <w:lang w:val="fr-FR"/>
          </w:rPr>
          <w:t>Tableau de bord IKB</w:t>
        </w:r>
        <w:r w:rsidRPr="00C03BEF">
          <w:rPr>
            <w:rStyle w:val="Lienhypertexte"/>
            <w:rFonts w:ascii="Times New Roman" w:hAnsi="Times New Roman"/>
            <w:webHidden/>
          </w:rPr>
          <w:tab/>
        </w:r>
        <w:r w:rsidRPr="00C03BEF">
          <w:rPr>
            <w:rStyle w:val="Lienhypertexte"/>
            <w:rFonts w:ascii="Times New Roman" w:hAnsi="Times New Roman"/>
            <w:webHidden/>
          </w:rPr>
          <w:fldChar w:fldCharType="begin"/>
        </w:r>
        <w:r w:rsidRPr="00C03BEF">
          <w:rPr>
            <w:rStyle w:val="Lienhypertexte"/>
            <w:rFonts w:ascii="Times New Roman" w:hAnsi="Times New Roman"/>
            <w:webHidden/>
          </w:rPr>
          <w:instrText xml:space="preserve"> PAGEREF _Toc491245233 \h </w:instrText>
        </w:r>
        <w:r w:rsidRPr="00C03BEF">
          <w:rPr>
            <w:rStyle w:val="Lienhypertexte"/>
            <w:rFonts w:ascii="Times New Roman" w:hAnsi="Times New Roman"/>
            <w:webHidden/>
          </w:rPr>
        </w:r>
        <w:r w:rsidRPr="00C03BEF">
          <w:rPr>
            <w:rStyle w:val="Lienhypertexte"/>
            <w:rFonts w:ascii="Times New Roman" w:hAnsi="Times New Roman"/>
            <w:webHidden/>
          </w:rPr>
          <w:fldChar w:fldCharType="separate"/>
        </w:r>
        <w:r>
          <w:rPr>
            <w:rStyle w:val="Lienhypertexte"/>
            <w:rFonts w:ascii="Times New Roman" w:hAnsi="Times New Roman"/>
            <w:webHidden/>
          </w:rPr>
          <w:t>60</w:t>
        </w:r>
        <w:r w:rsidRPr="00C03BEF">
          <w:rPr>
            <w:rStyle w:val="Lienhypertexte"/>
            <w:rFonts w:ascii="Times New Roman" w:hAnsi="Times New Roman"/>
            <w:webHidden/>
          </w:rPr>
          <w:fldChar w:fldCharType="end"/>
        </w:r>
      </w:hyperlink>
    </w:p>
    <w:p w:rsidR="00BD5B7F" w:rsidRPr="00C03BEF" w:rsidRDefault="00BD5B7F" w:rsidP="00BD5B7F">
      <w:pPr>
        <w:pStyle w:val="TM2"/>
        <w:tabs>
          <w:tab w:val="clear" w:pos="9360"/>
          <w:tab w:val="left" w:pos="0"/>
          <w:tab w:val="right" w:pos="9356"/>
        </w:tabs>
        <w:rPr>
          <w:rFonts w:eastAsiaTheme="minorEastAsia"/>
          <w:noProof/>
          <w:lang w:val="en-US"/>
        </w:rPr>
      </w:pPr>
      <w:hyperlink r:id="rId21" w:anchor="_Toc491245234" w:history="1">
        <w:r w:rsidRPr="00C03BEF">
          <w:rPr>
            <w:rStyle w:val="Lienhypertexte"/>
            <w:rFonts w:eastAsia="Arial"/>
            <w:noProof/>
            <w:bdr w:val="none" w:sz="0" w:space="0" w:color="auto" w:frame="1"/>
            <w:lang w:val="fr-FR"/>
          </w:rPr>
          <w:t>A. Suivi national de l’IKB - Gestion des données sur la portée et l’échelle de l’IKB.</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_Toc491245234 \h </w:instrText>
        </w:r>
        <w:r w:rsidRPr="00C03BEF">
          <w:rPr>
            <w:rStyle w:val="Lienhypertexte"/>
            <w:noProof/>
            <w:webHidden/>
          </w:rPr>
        </w:r>
        <w:r w:rsidRPr="00C03BEF">
          <w:rPr>
            <w:rStyle w:val="Lienhypertexte"/>
            <w:noProof/>
            <w:webHidden/>
          </w:rPr>
          <w:fldChar w:fldCharType="separate"/>
        </w:r>
        <w:r>
          <w:rPr>
            <w:rStyle w:val="Lienhypertexte"/>
            <w:noProof/>
            <w:webHidden/>
          </w:rPr>
          <w:t>61</w:t>
        </w:r>
        <w:r w:rsidRPr="00C03BEF">
          <w:rPr>
            <w:rStyle w:val="Lienhypertexte"/>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22" w:anchor="_Toc491245235" w:history="1">
        <w:r w:rsidRPr="00C03BEF">
          <w:rPr>
            <w:rStyle w:val="Lienhypertexte"/>
            <w:rFonts w:ascii="Times New Roman" w:eastAsia="Arial" w:hAnsi="Times New Roman"/>
            <w:noProof/>
            <w:bdr w:val="none" w:sz="0" w:space="0" w:color="auto" w:frame="1"/>
            <w:lang w:val="fr-FR"/>
          </w:rPr>
          <w:t>1. Situation et échelle de l’IKB</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_Toc491245235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61</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23" w:anchor="_Toc491245236" w:history="1">
        <w:r w:rsidRPr="00C03BEF">
          <w:rPr>
            <w:rStyle w:val="Lienhypertexte"/>
            <w:rFonts w:ascii="Times New Roman" w:eastAsia="Arial" w:hAnsi="Times New Roman"/>
            <w:noProof/>
            <w:bdr w:val="none" w:sz="0" w:space="0" w:color="auto" w:frame="1"/>
            <w:lang w:val="fr-FR"/>
          </w:rPr>
          <w:t>2. Nombre, répartition et tendance des oiseaux illégalement abattus, piégés ou commercialisés</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_Toc491245236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62</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24" w:anchor="_Toc491245237" w:history="1">
        <w:r w:rsidRPr="00C03BEF">
          <w:rPr>
            <w:rStyle w:val="Lienhypertexte"/>
            <w:rFonts w:ascii="Times New Roman" w:eastAsia="Arial" w:hAnsi="Times New Roman"/>
            <w:noProof/>
            <w:bdr w:val="none" w:sz="0" w:space="0" w:color="auto" w:frame="1"/>
            <w:lang w:val="fr-FR"/>
          </w:rPr>
          <w:t>3. Connaissance de l’étendue des cas d’IKB par les autorités nationales</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_Toc491245237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63</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25" w:anchor="_Toc491245238" w:history="1">
        <w:r w:rsidRPr="00C03BEF">
          <w:rPr>
            <w:rStyle w:val="Lienhypertexte"/>
            <w:rFonts w:ascii="Times New Roman" w:eastAsia="Arial" w:hAnsi="Times New Roman"/>
            <w:noProof/>
            <w:bdr w:val="none" w:sz="0" w:space="0" w:color="auto" w:frame="1"/>
            <w:lang w:val="fr-FR"/>
          </w:rPr>
          <w:t>4. Nombre de cas d’IKB ayant fait l’objet de poursuites au cours de la période considérée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_Toc491245238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64</w:t>
        </w:r>
        <w:r w:rsidRPr="00C03BEF">
          <w:rPr>
            <w:rStyle w:val="Lienhypertexte"/>
            <w:rFonts w:ascii="Times New Roman" w:hAnsi="Times New Roman"/>
            <w:noProof/>
            <w:webHidden/>
          </w:rPr>
          <w:fldChar w:fldCharType="end"/>
        </w:r>
      </w:hyperlink>
    </w:p>
    <w:p w:rsidR="00BD5B7F" w:rsidRPr="00C03BEF" w:rsidRDefault="00BD5B7F" w:rsidP="00BD5B7F">
      <w:pPr>
        <w:pStyle w:val="TM2"/>
        <w:tabs>
          <w:tab w:val="clear" w:pos="9360"/>
          <w:tab w:val="left" w:pos="0"/>
          <w:tab w:val="right" w:pos="9356"/>
        </w:tabs>
        <w:rPr>
          <w:rFonts w:eastAsiaTheme="minorEastAsia"/>
          <w:noProof/>
          <w:lang w:val="en-US"/>
        </w:rPr>
      </w:pPr>
      <w:hyperlink r:id="rId26" w:anchor="_Toc491245239" w:history="1">
        <w:r w:rsidRPr="00C03BEF">
          <w:rPr>
            <w:rStyle w:val="Lienhypertexte"/>
            <w:rFonts w:eastAsia="Arial"/>
            <w:noProof/>
            <w:bdr w:val="none" w:sz="0" w:space="0" w:color="auto" w:frame="1"/>
            <w:lang w:val="fr-FR"/>
          </w:rPr>
          <w:t>B. Niveau d’exhaustivité de la législation nationale</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_Toc491245239 \h </w:instrText>
        </w:r>
        <w:r w:rsidRPr="00C03BEF">
          <w:rPr>
            <w:rStyle w:val="Lienhypertexte"/>
            <w:noProof/>
            <w:webHidden/>
          </w:rPr>
        </w:r>
        <w:r w:rsidRPr="00C03BEF">
          <w:rPr>
            <w:rStyle w:val="Lienhypertexte"/>
            <w:noProof/>
            <w:webHidden/>
          </w:rPr>
          <w:fldChar w:fldCharType="separate"/>
        </w:r>
        <w:r>
          <w:rPr>
            <w:rStyle w:val="Lienhypertexte"/>
            <w:noProof/>
            <w:webHidden/>
          </w:rPr>
          <w:t>66</w:t>
        </w:r>
        <w:r w:rsidRPr="00C03BEF">
          <w:rPr>
            <w:rStyle w:val="Lienhypertexte"/>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27" w:anchor="_Toc491245240" w:history="1">
        <w:r w:rsidRPr="00C03BEF">
          <w:rPr>
            <w:rStyle w:val="Lienhypertexte"/>
            <w:rFonts w:ascii="Times New Roman" w:eastAsia="Arial" w:hAnsi="Times New Roman"/>
            <w:noProof/>
            <w:bdr w:val="none" w:sz="0" w:space="0" w:color="auto" w:frame="1"/>
            <w:lang w:val="fr-FR"/>
          </w:rPr>
          <w:t>5. Législation nationale sur la faune sauvage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_Toc491245240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66</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28" w:anchor="_Toc491245241" w:history="1">
        <w:r w:rsidRPr="00C03BEF">
          <w:rPr>
            <w:rStyle w:val="Lienhypertexte"/>
            <w:rFonts w:ascii="Times New Roman" w:eastAsia="Arial" w:hAnsi="Times New Roman"/>
            <w:noProof/>
            <w:bdr w:val="none" w:sz="0" w:space="0" w:color="auto" w:frame="1"/>
            <w:lang w:val="fr-FR"/>
          </w:rPr>
          <w:t>6. Utilisation réglementée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_Toc491245241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67</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29" w:anchor="_Toc491245242" w:history="1">
        <w:r w:rsidRPr="00C03BEF">
          <w:rPr>
            <w:rStyle w:val="Lienhypertexte"/>
            <w:rFonts w:ascii="Times New Roman" w:eastAsia="Arial" w:hAnsi="Times New Roman"/>
            <w:noProof/>
            <w:bdr w:val="none" w:sz="0" w:space="0" w:color="auto" w:frame="1"/>
            <w:lang w:val="fr-FR"/>
          </w:rPr>
          <w:t>7. Interdictions en vertu de la législation nationale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_Toc491245242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69</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30" w:anchor="_Toc491245243" w:history="1">
        <w:r w:rsidRPr="00C03BEF">
          <w:rPr>
            <w:rStyle w:val="Lienhypertexte"/>
            <w:rFonts w:ascii="Times New Roman" w:eastAsia="Arial" w:hAnsi="Times New Roman"/>
            <w:noProof/>
            <w:bdr w:val="none" w:sz="0" w:space="0" w:color="auto" w:frame="1"/>
            <w:lang w:val="fr-FR"/>
          </w:rPr>
          <w:t>8. Exceptions à la législation nationale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_Toc491245243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70</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31" w:anchor="_Toc491245244" w:history="1">
        <w:r w:rsidRPr="00C03BEF">
          <w:rPr>
            <w:rStyle w:val="Lienhypertexte"/>
            <w:rFonts w:ascii="Times New Roman" w:eastAsia="Arial" w:hAnsi="Times New Roman"/>
            <w:noProof/>
            <w:bdr w:val="none" w:sz="0" w:space="0" w:color="auto" w:frame="1"/>
            <w:lang w:val="fr-FR"/>
          </w:rPr>
          <w:t>9. Sanctions et peines</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_Toc491245244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72</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32" w:anchor="_Toc491245245" w:history="1">
        <w:r w:rsidRPr="00C03BEF">
          <w:rPr>
            <w:rStyle w:val="Lienhypertexte"/>
            <w:rFonts w:ascii="Times New Roman" w:eastAsia="Arial" w:hAnsi="Times New Roman"/>
            <w:noProof/>
            <w:bdr w:val="none" w:sz="0" w:space="0" w:color="auto" w:frame="1"/>
            <w:lang w:val="fr-FR"/>
          </w:rPr>
          <w:t>10. Proportionnalité des sanctions</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_Toc491245245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74</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33" w:anchor="_Toc491245246" w:history="1">
        <w:r w:rsidRPr="00C03BEF">
          <w:rPr>
            <w:rStyle w:val="Lienhypertexte"/>
            <w:rFonts w:ascii="Times New Roman" w:eastAsia="Arial" w:hAnsi="Times New Roman"/>
            <w:noProof/>
            <w:bdr w:val="none" w:sz="0" w:space="0" w:color="auto" w:frame="1"/>
            <w:lang w:val="fr-FR"/>
          </w:rPr>
          <w:t>11. Utilisation du droit pénal</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_Toc491245246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75</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34" w:anchor="_Toc491245247" w:history="1">
        <w:r w:rsidRPr="00C03BEF">
          <w:rPr>
            <w:rStyle w:val="Lienhypertexte"/>
            <w:rFonts w:ascii="Times New Roman" w:eastAsia="Arial" w:hAnsi="Times New Roman"/>
            <w:noProof/>
            <w:bdr w:val="none" w:sz="0" w:space="0" w:color="auto" w:frame="1"/>
            <w:lang w:val="fr-FR"/>
          </w:rPr>
          <w:t>12. Législation relative à la criminalité organisée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_Toc491245247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76</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35" w:anchor="_Toc491245248" w:history="1">
        <w:r w:rsidRPr="00C03BEF">
          <w:rPr>
            <w:rStyle w:val="Lienhypertexte"/>
            <w:rFonts w:ascii="Times New Roman" w:eastAsia="Arial" w:hAnsi="Times New Roman"/>
            <w:noProof/>
            <w:bdr w:val="none" w:sz="0" w:space="0" w:color="auto" w:frame="1"/>
            <w:lang w:val="fr-FR"/>
          </w:rPr>
          <w:t>13. Transposition du droit et des engagements internationaux dans la législation nationale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_Toc491245248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77</w:t>
        </w:r>
        <w:r w:rsidRPr="00C03BEF">
          <w:rPr>
            <w:rStyle w:val="Lienhypertexte"/>
            <w:rFonts w:ascii="Times New Roman" w:hAnsi="Times New Roman"/>
            <w:noProof/>
            <w:webHidden/>
          </w:rPr>
          <w:fldChar w:fldCharType="end"/>
        </w:r>
      </w:hyperlink>
    </w:p>
    <w:p w:rsidR="00BD5B7F" w:rsidRPr="00C03BEF" w:rsidRDefault="00BD5B7F" w:rsidP="00BD5B7F">
      <w:pPr>
        <w:pStyle w:val="TM2"/>
        <w:tabs>
          <w:tab w:val="clear" w:pos="9360"/>
          <w:tab w:val="left" w:pos="0"/>
          <w:tab w:val="right" w:pos="9356"/>
        </w:tabs>
        <w:rPr>
          <w:rFonts w:eastAsiaTheme="minorEastAsia"/>
          <w:noProof/>
          <w:lang w:val="en-US"/>
        </w:rPr>
      </w:pPr>
      <w:hyperlink r:id="rId36" w:anchor="_Toc491245249" w:history="1">
        <w:r w:rsidRPr="00C03BEF">
          <w:rPr>
            <w:rStyle w:val="Lienhypertexte"/>
            <w:rFonts w:eastAsia="Arial"/>
            <w:noProof/>
            <w:bdr w:val="none" w:sz="0" w:space="0" w:color="auto" w:frame="1"/>
            <w:lang w:val="fr-FR"/>
          </w:rPr>
          <w:t>C. Réponse en matière de lutte contre la fraude : Niveau de préparation des organes chargés de l’application des lois et de la lutte contre la fraude, et coordination des institutions nationales</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_Toc491245249 \h </w:instrText>
        </w:r>
        <w:r w:rsidRPr="00C03BEF">
          <w:rPr>
            <w:rStyle w:val="Lienhypertexte"/>
            <w:noProof/>
            <w:webHidden/>
          </w:rPr>
        </w:r>
        <w:r w:rsidRPr="00C03BEF">
          <w:rPr>
            <w:rStyle w:val="Lienhypertexte"/>
            <w:noProof/>
            <w:webHidden/>
          </w:rPr>
          <w:fldChar w:fldCharType="separate"/>
        </w:r>
        <w:r>
          <w:rPr>
            <w:rStyle w:val="Lienhypertexte"/>
            <w:noProof/>
            <w:webHidden/>
          </w:rPr>
          <w:t>78</w:t>
        </w:r>
        <w:r w:rsidRPr="00C03BEF">
          <w:rPr>
            <w:rStyle w:val="Lienhypertexte"/>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37" w:anchor="_Toc491245250" w:history="1">
        <w:r w:rsidRPr="00C03BEF">
          <w:rPr>
            <w:rStyle w:val="Lienhypertexte"/>
            <w:rFonts w:ascii="Times New Roman" w:eastAsia="Arial" w:hAnsi="Times New Roman"/>
            <w:noProof/>
            <w:bdr w:val="none" w:sz="0" w:space="0" w:color="auto" w:frame="1"/>
            <w:lang w:val="fr-FR"/>
          </w:rPr>
          <w:t>14. Plan d’action national pour la lutte contre l’IKB</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_Toc491245250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78</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38" w:anchor="_Toc491245251" w:history="1">
        <w:r w:rsidRPr="00C03BEF">
          <w:rPr>
            <w:rStyle w:val="Lienhypertexte"/>
            <w:rFonts w:ascii="Times New Roman" w:eastAsia="Arial" w:hAnsi="Times New Roman"/>
            <w:noProof/>
            <w:bdr w:val="none" w:sz="0" w:space="0" w:color="auto" w:frame="1"/>
            <w:lang w:val="fr-FR"/>
          </w:rPr>
          <w:t>15. Priorité de l’IKB dans la lutte contre la fraude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_Toc491245251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79</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39" w:anchor="_Toc491245252" w:history="1">
        <w:r w:rsidRPr="00C03BEF">
          <w:rPr>
            <w:rStyle w:val="Lienhypertexte"/>
            <w:rFonts w:ascii="Times New Roman" w:eastAsia="Arial" w:hAnsi="Times New Roman"/>
            <w:noProof/>
            <w:bdr w:val="none" w:sz="0" w:space="0" w:color="auto" w:frame="1"/>
            <w:lang w:val="fr-FR"/>
          </w:rPr>
          <w:t>16. Parties prenantes et élaboration des politiques</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_Toc491245252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80</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40" w:anchor="_Toc491245253" w:history="1">
        <w:r w:rsidRPr="00C03BEF">
          <w:rPr>
            <w:rStyle w:val="Lienhypertexte"/>
            <w:rFonts w:ascii="Times New Roman" w:eastAsia="Arial" w:hAnsi="Times New Roman"/>
            <w:noProof/>
            <w:bdr w:val="none" w:sz="0" w:space="0" w:color="auto" w:frame="1"/>
            <w:lang w:val="fr-FR"/>
          </w:rPr>
          <w:t>17. Personnel et recrutement</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_Toc491245253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81</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41" w:anchor="_Toc491245254" w:history="1">
        <w:r w:rsidRPr="00C03BEF">
          <w:rPr>
            <w:rStyle w:val="Lienhypertexte"/>
            <w:rFonts w:ascii="Times New Roman" w:eastAsia="Arial" w:hAnsi="Times New Roman"/>
            <w:noProof/>
            <w:bdr w:val="none" w:sz="0" w:space="0" w:color="auto" w:frame="1"/>
            <w:lang w:val="fr-FR"/>
          </w:rPr>
          <w:t>18. Formation spécifique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_Toc491245254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82</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42" w:anchor="_Toc491245255" w:history="1">
        <w:r w:rsidRPr="00C03BEF">
          <w:rPr>
            <w:rStyle w:val="Lienhypertexte"/>
            <w:rFonts w:ascii="Times New Roman" w:eastAsia="Arial" w:hAnsi="Times New Roman"/>
            <w:noProof/>
            <w:bdr w:val="none" w:sz="0" w:space="0" w:color="auto" w:frame="1"/>
            <w:lang w:val="fr-FR"/>
          </w:rPr>
          <w:t>19. Effort de lutte contre l’IKB sur le terrain</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_Toc491245255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83</w:t>
        </w:r>
        <w:r w:rsidRPr="00C03BEF">
          <w:rPr>
            <w:rStyle w:val="Lienhypertexte"/>
            <w:rFonts w:ascii="Times New Roman" w:hAnsi="Times New Roman"/>
            <w:noProof/>
            <w:webHidden/>
          </w:rPr>
          <w:fldChar w:fldCharType="end"/>
        </w:r>
      </w:hyperlink>
    </w:p>
    <w:p w:rsidR="00BD5B7F" w:rsidRPr="00C03BEF" w:rsidRDefault="00BD5B7F" w:rsidP="00BD5B7F">
      <w:pPr>
        <w:pStyle w:val="TM2"/>
        <w:tabs>
          <w:tab w:val="clear" w:pos="9360"/>
          <w:tab w:val="left" w:pos="0"/>
          <w:tab w:val="right" w:pos="9356"/>
        </w:tabs>
        <w:rPr>
          <w:rFonts w:eastAsiaTheme="minorEastAsia"/>
          <w:noProof/>
          <w:lang w:val="en-US"/>
        </w:rPr>
      </w:pPr>
      <w:hyperlink r:id="rId43" w:anchor="_Toc491245256" w:history="1">
        <w:r w:rsidRPr="00C03BEF">
          <w:rPr>
            <w:rStyle w:val="Lienhypertexte"/>
            <w:rFonts w:eastAsia="Arial"/>
            <w:noProof/>
            <w:bdr w:val="none" w:sz="0" w:space="0" w:color="auto" w:frame="1"/>
            <w:lang w:val="fr-FR"/>
          </w:rPr>
          <w:t>D. Poursuites et condamnations - Efficacité des procédures judiciaires</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_Toc491245256 \h </w:instrText>
        </w:r>
        <w:r w:rsidRPr="00C03BEF">
          <w:rPr>
            <w:rStyle w:val="Lienhypertexte"/>
            <w:noProof/>
            <w:webHidden/>
          </w:rPr>
        </w:r>
        <w:r w:rsidRPr="00C03BEF">
          <w:rPr>
            <w:rStyle w:val="Lienhypertexte"/>
            <w:noProof/>
            <w:webHidden/>
          </w:rPr>
          <w:fldChar w:fldCharType="separate"/>
        </w:r>
        <w:r>
          <w:rPr>
            <w:rStyle w:val="Lienhypertexte"/>
            <w:noProof/>
            <w:webHidden/>
          </w:rPr>
          <w:t>84</w:t>
        </w:r>
        <w:r w:rsidRPr="00C03BEF">
          <w:rPr>
            <w:rStyle w:val="Lienhypertexte"/>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44" w:anchor="_Toc491245257" w:history="1">
        <w:r w:rsidRPr="00C03BEF">
          <w:rPr>
            <w:rStyle w:val="Lienhypertexte"/>
            <w:rFonts w:ascii="Times New Roman" w:eastAsia="Arial" w:hAnsi="Times New Roman"/>
            <w:noProof/>
            <w:bdr w:val="none" w:sz="0" w:space="0" w:color="auto" w:frame="1"/>
            <w:lang w:val="fr-FR"/>
          </w:rPr>
          <w:t>20. Qualité des procédures judiciaires</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_Toc491245257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84</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45" w:anchor="_Toc491245258" w:history="1">
        <w:r w:rsidRPr="00C03BEF">
          <w:rPr>
            <w:rStyle w:val="Lienhypertexte"/>
            <w:rFonts w:ascii="Times New Roman" w:eastAsia="Arial" w:hAnsi="Times New Roman"/>
            <w:noProof/>
            <w:bdr w:val="none" w:sz="0" w:space="0" w:color="auto" w:frame="1"/>
            <w:lang w:val="fr-FR"/>
          </w:rPr>
          <w:t>21. Lignes directrices sur les condamnations</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_Toc491245258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85</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46" w:anchor="_Toc491245259" w:history="1">
        <w:r w:rsidRPr="00C03BEF">
          <w:rPr>
            <w:rStyle w:val="Lienhypertexte"/>
            <w:rFonts w:ascii="Times New Roman" w:eastAsia="Arial" w:hAnsi="Times New Roman"/>
            <w:noProof/>
            <w:bdr w:val="none" w:sz="0" w:space="0" w:color="auto" w:frame="1"/>
            <w:lang w:val="fr-FR"/>
          </w:rPr>
          <w:t>22. Prise de conscience au sein du système judiciaire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_Toc491245259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86</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47" w:anchor="_Toc491245260" w:history="1">
        <w:r w:rsidRPr="00C03BEF">
          <w:rPr>
            <w:rStyle w:val="Lienhypertexte"/>
            <w:rFonts w:ascii="Times New Roman" w:eastAsia="Arial" w:hAnsi="Times New Roman"/>
            <w:noProof/>
            <w:bdr w:val="none" w:sz="0" w:space="0" w:color="auto" w:frame="1"/>
            <w:lang w:val="fr-FR"/>
          </w:rPr>
          <w:t>23. Formation au sein du système judiciaire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_Toc491245260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87</w:t>
        </w:r>
        <w:r w:rsidRPr="00C03BEF">
          <w:rPr>
            <w:rStyle w:val="Lienhypertexte"/>
            <w:rFonts w:ascii="Times New Roman" w:hAnsi="Times New Roman"/>
            <w:noProof/>
            <w:webHidden/>
          </w:rPr>
          <w:fldChar w:fldCharType="end"/>
        </w:r>
      </w:hyperlink>
    </w:p>
    <w:p w:rsidR="00BD5B7F" w:rsidRPr="00C03BEF" w:rsidRDefault="00BD5B7F" w:rsidP="00BD5B7F">
      <w:pPr>
        <w:pStyle w:val="TM2"/>
        <w:tabs>
          <w:tab w:val="clear" w:pos="9360"/>
          <w:tab w:val="left" w:pos="0"/>
          <w:tab w:val="right" w:pos="9356"/>
        </w:tabs>
        <w:rPr>
          <w:rFonts w:eastAsiaTheme="minorEastAsia"/>
          <w:noProof/>
          <w:lang w:val="en-US"/>
        </w:rPr>
      </w:pPr>
      <w:hyperlink r:id="rId48" w:anchor="_Toc491245261" w:history="1">
        <w:r w:rsidRPr="00C03BEF">
          <w:rPr>
            <w:rStyle w:val="Lienhypertexte"/>
            <w:rFonts w:eastAsia="Arial"/>
            <w:noProof/>
            <w:bdr w:val="none" w:sz="0" w:space="0" w:color="auto" w:frame="1"/>
            <w:lang w:val="fr-FR"/>
          </w:rPr>
          <w:t>E. Prévention - Autres instruments utilisés pour lutter contre l’IKB</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_Toc491245261 \h </w:instrText>
        </w:r>
        <w:r w:rsidRPr="00C03BEF">
          <w:rPr>
            <w:rStyle w:val="Lienhypertexte"/>
            <w:noProof/>
            <w:webHidden/>
          </w:rPr>
        </w:r>
        <w:r w:rsidRPr="00C03BEF">
          <w:rPr>
            <w:rStyle w:val="Lienhypertexte"/>
            <w:noProof/>
            <w:webHidden/>
          </w:rPr>
          <w:fldChar w:fldCharType="separate"/>
        </w:r>
        <w:r>
          <w:rPr>
            <w:rStyle w:val="Lienhypertexte"/>
            <w:noProof/>
            <w:webHidden/>
          </w:rPr>
          <w:t>88</w:t>
        </w:r>
        <w:r w:rsidRPr="00C03BEF">
          <w:rPr>
            <w:rStyle w:val="Lienhypertexte"/>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49" w:anchor="_Toc491245262" w:history="1">
        <w:r w:rsidRPr="00C03BEF">
          <w:rPr>
            <w:rStyle w:val="Lienhypertexte"/>
            <w:rFonts w:ascii="Times New Roman" w:eastAsia="Arial" w:hAnsi="Times New Roman"/>
            <w:noProof/>
            <w:bdr w:val="none" w:sz="0" w:space="0" w:color="auto" w:frame="1"/>
            <w:lang w:val="fr-FR"/>
          </w:rPr>
          <w:t>24. Coopération internationale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_Toc491245262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88</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50" w:anchor="_Toc491245263" w:history="1">
        <w:r w:rsidRPr="00C03BEF">
          <w:rPr>
            <w:rStyle w:val="Lienhypertexte"/>
            <w:rFonts w:ascii="Times New Roman" w:eastAsia="Arial" w:hAnsi="Times New Roman"/>
            <w:noProof/>
            <w:bdr w:val="none" w:sz="0" w:space="0" w:color="auto" w:frame="1"/>
            <w:lang w:val="fr-FR"/>
          </w:rPr>
          <w:t>25. Moteurs de la criminalité liée aux espèces sauvages</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_Toc491245263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89</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51" w:anchor="_Toc491245264" w:history="1">
        <w:r w:rsidRPr="00C03BEF">
          <w:rPr>
            <w:rStyle w:val="Lienhypertexte"/>
            <w:rFonts w:ascii="Times New Roman" w:eastAsia="Arial" w:hAnsi="Times New Roman"/>
            <w:noProof/>
            <w:bdr w:val="none" w:sz="0" w:space="0" w:color="auto" w:frame="1"/>
            <w:lang w:val="fr-FR"/>
          </w:rPr>
          <w:t>26. Activités relatives à la demande</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_Toc491245264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90</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52" w:anchor="_Toc491245265" w:history="1">
        <w:r w:rsidRPr="00C03BEF">
          <w:rPr>
            <w:rStyle w:val="Lienhypertexte"/>
            <w:rFonts w:ascii="Times New Roman" w:eastAsia="Arial" w:hAnsi="Times New Roman"/>
            <w:noProof/>
            <w:bdr w:val="none" w:sz="0" w:space="0" w:color="auto" w:frame="1"/>
            <w:lang w:val="fr-FR"/>
          </w:rPr>
          <w:t>27. Communauté soumise aux réglementations</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_Toc491245265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91</w:t>
        </w:r>
        <w:r w:rsidRPr="00C03BEF">
          <w:rPr>
            <w:rStyle w:val="Lienhypertexte"/>
            <w:rFonts w:ascii="Times New Roman" w:hAnsi="Times New Roman"/>
            <w:noProof/>
            <w:webHidden/>
          </w:rPr>
          <w:fldChar w:fldCharType="end"/>
        </w:r>
      </w:hyperlink>
    </w:p>
    <w:p w:rsidR="00BD5B7F" w:rsidRPr="00C03BEF" w:rsidRDefault="00BD5B7F" w:rsidP="00BD5B7F">
      <w:pPr>
        <w:pStyle w:val="TM4"/>
        <w:tabs>
          <w:tab w:val="left" w:pos="0"/>
          <w:tab w:val="right" w:pos="9356"/>
        </w:tabs>
        <w:rPr>
          <w:rFonts w:ascii="Times New Roman" w:eastAsiaTheme="minorEastAsia" w:hAnsi="Times New Roman"/>
          <w:noProof/>
          <w:lang w:val="en-US"/>
        </w:rPr>
      </w:pPr>
      <w:hyperlink r:id="rId53" w:anchor="_Toc491245266" w:history="1">
        <w:r w:rsidRPr="00C03BEF">
          <w:rPr>
            <w:rStyle w:val="Lienhypertexte"/>
            <w:rFonts w:ascii="Times New Roman" w:eastAsia="Arial" w:hAnsi="Times New Roman"/>
            <w:noProof/>
            <w:bdr w:val="none" w:sz="0" w:space="0" w:color="auto" w:frame="1"/>
            <w:lang w:val="fr-FR"/>
          </w:rPr>
          <w:t>28. Actions de sensibilisation du public</w:t>
        </w:r>
        <w:r w:rsidRPr="00C03BEF">
          <w:rPr>
            <w:rStyle w:val="Lienhypertexte"/>
            <w:rFonts w:ascii="Times New Roman" w:hAnsi="Times New Roman"/>
            <w:noProof/>
            <w:webHidden/>
          </w:rPr>
          <w:tab/>
        </w:r>
        <w:r w:rsidRPr="00C03BEF">
          <w:rPr>
            <w:rStyle w:val="Lienhypertexte"/>
            <w:rFonts w:ascii="Times New Roman" w:hAnsi="Times New Roman"/>
            <w:noProof/>
            <w:webHidden/>
          </w:rPr>
          <w:fldChar w:fldCharType="begin"/>
        </w:r>
        <w:r w:rsidRPr="00C03BEF">
          <w:rPr>
            <w:rStyle w:val="Lienhypertexte"/>
            <w:rFonts w:ascii="Times New Roman" w:hAnsi="Times New Roman"/>
            <w:noProof/>
            <w:webHidden/>
          </w:rPr>
          <w:instrText xml:space="preserve"> PAGEREF _Toc491245266 \h </w:instrText>
        </w:r>
        <w:r w:rsidRPr="00C03BEF">
          <w:rPr>
            <w:rStyle w:val="Lienhypertexte"/>
            <w:rFonts w:ascii="Times New Roman" w:hAnsi="Times New Roman"/>
            <w:noProof/>
            <w:webHidden/>
          </w:rPr>
        </w:r>
        <w:r w:rsidRPr="00C03BEF">
          <w:rPr>
            <w:rStyle w:val="Lienhypertexte"/>
            <w:rFonts w:ascii="Times New Roman" w:hAnsi="Times New Roman"/>
            <w:noProof/>
            <w:webHidden/>
          </w:rPr>
          <w:fldChar w:fldCharType="separate"/>
        </w:r>
        <w:r>
          <w:rPr>
            <w:rStyle w:val="Lienhypertexte"/>
            <w:rFonts w:ascii="Times New Roman" w:hAnsi="Times New Roman"/>
            <w:noProof/>
            <w:webHidden/>
          </w:rPr>
          <w:t>92</w:t>
        </w:r>
        <w:r w:rsidRPr="00C03BEF">
          <w:rPr>
            <w:rStyle w:val="Lienhypertexte"/>
            <w:rFonts w:ascii="Times New Roman" w:hAnsi="Times New Roman"/>
            <w:noProof/>
            <w:webHidden/>
          </w:rPr>
          <w:fldChar w:fldCharType="end"/>
        </w:r>
      </w:hyperlink>
    </w:p>
    <w:p w:rsidR="00BD5B7F" w:rsidRPr="00C03BEF" w:rsidRDefault="00BD5B7F" w:rsidP="00BD5B7F">
      <w:pPr>
        <w:pStyle w:val="TM2"/>
        <w:tabs>
          <w:tab w:val="clear" w:pos="9360"/>
          <w:tab w:val="left" w:pos="0"/>
          <w:tab w:val="right" w:pos="9356"/>
        </w:tabs>
        <w:rPr>
          <w:rFonts w:eastAsiaTheme="minorEastAsia"/>
          <w:noProof/>
          <w:lang w:val="en-US"/>
        </w:rPr>
      </w:pPr>
      <w:hyperlink r:id="rId54" w:anchor="_Toc491245267" w:history="1">
        <w:r w:rsidRPr="00C03BEF">
          <w:rPr>
            <w:rStyle w:val="Lienhypertexte"/>
            <w:rFonts w:eastAsia="Arial"/>
            <w:noProof/>
            <w:bdr w:val="none" w:sz="0" w:space="0" w:color="auto" w:frame="1"/>
            <w:lang w:val="fr-FR"/>
          </w:rPr>
          <w:t>Résumé des scores</w:t>
        </w:r>
        <w:r w:rsidRPr="00C03BEF">
          <w:rPr>
            <w:rStyle w:val="Lienhypertexte"/>
            <w:noProof/>
            <w:webHidden/>
          </w:rPr>
          <w:tab/>
        </w:r>
        <w:r w:rsidRPr="00C03BEF">
          <w:rPr>
            <w:rStyle w:val="Lienhypertexte"/>
            <w:noProof/>
            <w:webHidden/>
          </w:rPr>
          <w:fldChar w:fldCharType="begin"/>
        </w:r>
        <w:r w:rsidRPr="00C03BEF">
          <w:rPr>
            <w:rStyle w:val="Lienhypertexte"/>
            <w:noProof/>
            <w:webHidden/>
          </w:rPr>
          <w:instrText xml:space="preserve"> PAGEREF _Toc491245267 \h </w:instrText>
        </w:r>
        <w:r w:rsidRPr="00C03BEF">
          <w:rPr>
            <w:rStyle w:val="Lienhypertexte"/>
            <w:noProof/>
            <w:webHidden/>
          </w:rPr>
        </w:r>
        <w:r w:rsidRPr="00C03BEF">
          <w:rPr>
            <w:rStyle w:val="Lienhypertexte"/>
            <w:noProof/>
            <w:webHidden/>
          </w:rPr>
          <w:fldChar w:fldCharType="separate"/>
        </w:r>
        <w:r>
          <w:rPr>
            <w:rStyle w:val="Lienhypertexte"/>
            <w:noProof/>
            <w:webHidden/>
          </w:rPr>
          <w:t>93</w:t>
        </w:r>
        <w:r w:rsidRPr="00C03BEF">
          <w:rPr>
            <w:rStyle w:val="Lienhypertexte"/>
            <w:noProof/>
            <w:webHidden/>
          </w:rPr>
          <w:fldChar w:fldCharType="end"/>
        </w:r>
      </w:hyperlink>
    </w:p>
    <w:p w:rsidR="00BD5B7F" w:rsidRPr="00C03BEF" w:rsidRDefault="00BD5B7F" w:rsidP="00BD5B7F">
      <w:pPr>
        <w:keepNext/>
        <w:keepLines/>
        <w:rPr>
          <w:rFonts w:eastAsia="Arial"/>
          <w:b/>
          <w:bCs/>
          <w:sz w:val="28"/>
          <w:szCs w:val="28"/>
          <w:bdr w:val="none" w:sz="0" w:space="0" w:color="auto" w:frame="1"/>
        </w:rPr>
      </w:pPr>
      <w:r w:rsidRPr="00C03BEF">
        <w:rPr>
          <w:rFonts w:eastAsia="Calibri"/>
          <w:noProof/>
          <w:sz w:val="22"/>
          <w:szCs w:val="22"/>
          <w:lang w:val="en-GB"/>
        </w:rPr>
        <w:fldChar w:fldCharType="end"/>
      </w:r>
    </w:p>
    <w:p w:rsidR="00BD5B7F" w:rsidRDefault="00BD5B7F" w:rsidP="00BD5B7F">
      <w:pPr>
        <w:keepNext/>
        <w:keepLines/>
        <w:spacing w:before="40" w:after="120"/>
        <w:outlineLvl w:val="1"/>
        <w:rPr>
          <w:rFonts w:ascii="Arial" w:eastAsia="Arial" w:hAnsi="Arial" w:cs="Arial"/>
          <w:b/>
          <w:bCs/>
          <w:color w:val="000000"/>
          <w:kern w:val="28"/>
          <w:sz w:val="30"/>
          <w:szCs w:val="30"/>
          <w:bdr w:val="none" w:sz="0" w:space="0" w:color="auto" w:frame="1"/>
        </w:rPr>
      </w:pPr>
      <w:r>
        <w:rPr>
          <w:rFonts w:ascii="Arial" w:eastAsia="Arial" w:hAnsi="Arial" w:cs="Arial"/>
          <w:b/>
          <w:bCs/>
          <w:color w:val="000000"/>
          <w:kern w:val="28"/>
          <w:sz w:val="30"/>
          <w:szCs w:val="30"/>
          <w:bdr w:val="none" w:sz="0" w:space="0" w:color="auto" w:frame="1"/>
        </w:rPr>
        <w:br w:type="page"/>
      </w:r>
      <w:bookmarkStart w:id="2" w:name="_Toc486539558"/>
      <w:bookmarkStart w:id="3" w:name="_Toc491245221"/>
      <w:bookmarkStart w:id="4" w:name="_Toc491245047"/>
    </w:p>
    <w:p w:rsidR="00BD5B7F" w:rsidRDefault="00BD5B7F" w:rsidP="00BD5B7F">
      <w:pPr>
        <w:keepNext/>
        <w:keepLines/>
        <w:spacing w:before="40" w:after="120"/>
        <w:outlineLvl w:val="1"/>
        <w:rPr>
          <w:rFonts w:ascii="Arial" w:eastAsia="Arial" w:hAnsi="Arial" w:cs="Arial"/>
          <w:b/>
          <w:bCs/>
          <w:color w:val="000000"/>
          <w:kern w:val="28"/>
          <w:sz w:val="30"/>
          <w:szCs w:val="30"/>
          <w:bdr w:val="none" w:sz="0" w:space="0" w:color="auto" w:frame="1"/>
        </w:rPr>
      </w:pPr>
    </w:p>
    <w:p w:rsidR="00BD5B7F" w:rsidRPr="00865DA5" w:rsidRDefault="00BD5B7F" w:rsidP="00BD5B7F">
      <w:pPr>
        <w:keepNext/>
        <w:keepLines/>
        <w:spacing w:before="40" w:after="120"/>
        <w:outlineLvl w:val="1"/>
        <w:rPr>
          <w:rFonts w:ascii="Arial" w:hAnsi="Arial" w:cs="Arial"/>
          <w:b/>
          <w:color w:val="000000"/>
          <w:kern w:val="28"/>
          <w:sz w:val="30"/>
          <w:szCs w:val="30"/>
          <w:lang w:val="fr-FR"/>
        </w:rPr>
      </w:pPr>
      <w:r w:rsidRPr="00865DA5">
        <w:rPr>
          <w:rFonts w:ascii="Arial" w:eastAsia="Arial" w:hAnsi="Arial" w:cs="Arial"/>
          <w:b/>
          <w:bCs/>
          <w:color w:val="000000"/>
          <w:kern w:val="28"/>
          <w:sz w:val="30"/>
          <w:szCs w:val="30"/>
          <w:bdr w:val="none" w:sz="0" w:space="0" w:color="auto" w:frame="1"/>
          <w:lang w:val="fr-FR"/>
        </w:rPr>
        <w:t>Liste des acronymes</w:t>
      </w:r>
      <w:bookmarkEnd w:id="2"/>
      <w:bookmarkEnd w:id="3"/>
      <w:bookmarkEnd w:id="4"/>
    </w:p>
    <w:p w:rsidR="00BD5B7F" w:rsidRPr="00865DA5" w:rsidRDefault="00BD5B7F" w:rsidP="00BD5B7F">
      <w:pPr>
        <w:keepNext/>
        <w:keepLines/>
        <w:spacing w:before="40" w:after="120"/>
        <w:outlineLvl w:val="1"/>
        <w:rPr>
          <w:rFonts w:ascii="Arial" w:hAnsi="Arial" w:cs="Arial"/>
          <w:b/>
          <w:color w:val="000000"/>
          <w:kern w:val="28"/>
          <w:sz w:val="30"/>
          <w:szCs w:val="30"/>
          <w:lang w:val="fr-FR"/>
        </w:rPr>
      </w:pPr>
    </w:p>
    <w:p w:rsidR="00BD5B7F" w:rsidRPr="00865DA5" w:rsidRDefault="00BD5B7F" w:rsidP="00BD5B7F">
      <w:pPr>
        <w:keepNext/>
        <w:keepLines/>
        <w:spacing w:before="40" w:after="120"/>
        <w:ind w:left="993" w:hanging="993"/>
        <w:outlineLvl w:val="1"/>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 xml:space="preserve">AEWA </w:t>
      </w:r>
      <w:r w:rsidRPr="00865DA5">
        <w:rPr>
          <w:rFonts w:ascii="Arial" w:eastAsia="Arial" w:hAnsi="Arial" w:cs="Arial"/>
          <w:color w:val="000000"/>
          <w:kern w:val="28"/>
          <w:sz w:val="22"/>
          <w:szCs w:val="22"/>
          <w:bdr w:val="none" w:sz="0" w:space="0" w:color="auto" w:frame="1"/>
          <w:lang w:val="fr-FR"/>
        </w:rPr>
        <w:tab/>
        <w:t>Accord sur la conservation des oiseaux d’eau migrateurs d’Afrique-Eurasie</w:t>
      </w:r>
    </w:p>
    <w:p w:rsidR="00BD5B7F" w:rsidRPr="00865DA5" w:rsidRDefault="00BD5B7F" w:rsidP="00BD5B7F">
      <w:pPr>
        <w:tabs>
          <w:tab w:val="left" w:pos="851"/>
        </w:tabs>
        <w:spacing w:after="120"/>
        <w:ind w:left="993" w:hanging="993"/>
        <w:jc w:val="both"/>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 xml:space="preserve">CMS </w:t>
      </w:r>
      <w:r w:rsidRPr="00865DA5">
        <w:rPr>
          <w:rFonts w:ascii="Arial" w:eastAsia="Arial" w:hAnsi="Arial" w:cs="Arial"/>
          <w:color w:val="000000"/>
          <w:kern w:val="28"/>
          <w:sz w:val="22"/>
          <w:szCs w:val="22"/>
          <w:bdr w:val="none" w:sz="0" w:space="0" w:color="auto" w:frame="1"/>
          <w:lang w:val="fr-FR"/>
        </w:rPr>
        <w:tab/>
      </w:r>
      <w:r w:rsidRPr="00865DA5">
        <w:rPr>
          <w:rFonts w:ascii="Arial" w:eastAsia="Arial" w:hAnsi="Arial" w:cs="Arial"/>
          <w:color w:val="000000"/>
          <w:kern w:val="28"/>
          <w:sz w:val="22"/>
          <w:szCs w:val="22"/>
          <w:bdr w:val="none" w:sz="0" w:space="0" w:color="auto" w:frame="1"/>
          <w:lang w:val="fr-FR"/>
        </w:rPr>
        <w:tab/>
        <w:t xml:space="preserve">Convention sur la conservation des espèces migratrices appartenant à la faune sauvage </w:t>
      </w:r>
    </w:p>
    <w:p w:rsidR="00BD5B7F" w:rsidRPr="00865DA5" w:rsidRDefault="00BD5B7F" w:rsidP="00BD5B7F">
      <w:pPr>
        <w:tabs>
          <w:tab w:val="left" w:pos="851"/>
        </w:tabs>
        <w:spacing w:after="120"/>
        <w:ind w:left="993" w:hanging="993"/>
        <w:jc w:val="both"/>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 xml:space="preserve">COP </w:t>
      </w:r>
      <w:r w:rsidRPr="00865DA5">
        <w:rPr>
          <w:rFonts w:ascii="Arial" w:eastAsia="Arial" w:hAnsi="Arial" w:cs="Arial"/>
          <w:color w:val="000000"/>
          <w:kern w:val="28"/>
          <w:sz w:val="22"/>
          <w:szCs w:val="22"/>
          <w:bdr w:val="none" w:sz="0" w:space="0" w:color="auto" w:frame="1"/>
          <w:lang w:val="fr-FR"/>
        </w:rPr>
        <w:tab/>
      </w:r>
      <w:r w:rsidRPr="00865DA5">
        <w:rPr>
          <w:rFonts w:ascii="Arial" w:eastAsia="Arial" w:hAnsi="Arial" w:cs="Arial"/>
          <w:color w:val="000000"/>
          <w:kern w:val="28"/>
          <w:sz w:val="22"/>
          <w:szCs w:val="22"/>
          <w:bdr w:val="none" w:sz="0" w:space="0" w:color="auto" w:frame="1"/>
          <w:lang w:val="fr-FR"/>
        </w:rPr>
        <w:tab/>
        <w:t xml:space="preserve">Conférence des Parties – </w:t>
      </w:r>
      <w:r w:rsidRPr="00865DA5">
        <w:rPr>
          <w:rFonts w:ascii="Arial" w:eastAsia="Arial" w:hAnsi="Arial" w:cs="Arial"/>
          <w:i/>
          <w:color w:val="000000"/>
          <w:kern w:val="28"/>
          <w:sz w:val="22"/>
          <w:szCs w:val="22"/>
          <w:bdr w:val="none" w:sz="0" w:space="0" w:color="auto" w:frame="1"/>
          <w:lang w:val="fr-FR"/>
        </w:rPr>
        <w:t>Conference of</w:t>
      </w:r>
      <w:r w:rsidRPr="00865DA5">
        <w:rPr>
          <w:rFonts w:ascii="Arial" w:eastAsia="Arial" w:hAnsi="Arial" w:cs="Arial"/>
          <w:color w:val="000000"/>
          <w:kern w:val="28"/>
          <w:sz w:val="22"/>
          <w:szCs w:val="22"/>
          <w:bdr w:val="none" w:sz="0" w:space="0" w:color="auto" w:frame="1"/>
          <w:lang w:val="fr-FR"/>
        </w:rPr>
        <w:t xml:space="preserve"> </w:t>
      </w:r>
      <w:r w:rsidRPr="00865DA5">
        <w:rPr>
          <w:rFonts w:ascii="Arial" w:eastAsia="Arial" w:hAnsi="Arial" w:cs="Arial"/>
          <w:i/>
          <w:color w:val="000000"/>
          <w:kern w:val="28"/>
          <w:sz w:val="22"/>
          <w:szCs w:val="22"/>
          <w:bdr w:val="none" w:sz="0" w:space="0" w:color="auto" w:frame="1"/>
          <w:lang w:val="fr-FR"/>
        </w:rPr>
        <w:t>Parties</w:t>
      </w:r>
    </w:p>
    <w:p w:rsidR="00BD5B7F" w:rsidRPr="00865DA5" w:rsidRDefault="00BD5B7F" w:rsidP="00BD5B7F">
      <w:pPr>
        <w:tabs>
          <w:tab w:val="left" w:pos="851"/>
        </w:tabs>
        <w:spacing w:after="120"/>
        <w:ind w:left="993" w:hanging="993"/>
        <w:jc w:val="both"/>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ICCWC</w:t>
      </w:r>
      <w:r w:rsidRPr="00865DA5">
        <w:rPr>
          <w:rFonts w:ascii="Arial" w:eastAsia="Arial" w:hAnsi="Arial" w:cs="Arial"/>
          <w:color w:val="000000"/>
          <w:kern w:val="28"/>
          <w:sz w:val="22"/>
          <w:szCs w:val="22"/>
          <w:bdr w:val="none" w:sz="0" w:space="0" w:color="auto" w:frame="1"/>
          <w:lang w:val="fr-FR"/>
        </w:rPr>
        <w:tab/>
        <w:t xml:space="preserve"> </w:t>
      </w:r>
      <w:r w:rsidRPr="00865DA5">
        <w:rPr>
          <w:rFonts w:ascii="Arial" w:eastAsia="Arial" w:hAnsi="Arial" w:cs="Arial"/>
          <w:color w:val="000000"/>
          <w:kern w:val="28"/>
          <w:sz w:val="22"/>
          <w:szCs w:val="22"/>
          <w:bdr w:val="none" w:sz="0" w:space="0" w:color="auto" w:frame="1"/>
          <w:lang w:val="fr-FR"/>
        </w:rPr>
        <w:tab/>
        <w:t xml:space="preserve">Consortium international de lutte contre la criminalité liée aux espèces sauvages – </w:t>
      </w:r>
      <w:r w:rsidRPr="00865DA5">
        <w:rPr>
          <w:rFonts w:ascii="Arial" w:eastAsia="Arial" w:hAnsi="Arial" w:cs="Arial"/>
          <w:i/>
          <w:color w:val="000000"/>
          <w:kern w:val="28"/>
          <w:sz w:val="22"/>
          <w:szCs w:val="22"/>
          <w:bdr w:val="none" w:sz="0" w:space="0" w:color="auto" w:frame="1"/>
          <w:lang w:val="fr-FR"/>
        </w:rPr>
        <w:t>The International Consortium on Combating Wildlife</w:t>
      </w:r>
      <w:r w:rsidRPr="00865DA5">
        <w:rPr>
          <w:rFonts w:ascii="Arial" w:eastAsia="Arial" w:hAnsi="Arial" w:cs="Arial"/>
          <w:color w:val="000000"/>
          <w:kern w:val="28"/>
          <w:sz w:val="22"/>
          <w:szCs w:val="22"/>
          <w:bdr w:val="none" w:sz="0" w:space="0" w:color="auto" w:frame="1"/>
          <w:lang w:val="fr-FR"/>
        </w:rPr>
        <w:t xml:space="preserve"> Crime</w:t>
      </w:r>
    </w:p>
    <w:p w:rsidR="00BD5B7F" w:rsidRPr="00865DA5" w:rsidRDefault="00BD5B7F" w:rsidP="00BD5B7F">
      <w:pPr>
        <w:tabs>
          <w:tab w:val="left" w:pos="851"/>
        </w:tabs>
        <w:spacing w:after="120"/>
        <w:ind w:left="993" w:hanging="993"/>
        <w:jc w:val="both"/>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IKB</w:t>
      </w:r>
      <w:r w:rsidRPr="00865DA5">
        <w:rPr>
          <w:rFonts w:ascii="Arial" w:eastAsia="Arial" w:hAnsi="Arial" w:cs="Arial"/>
          <w:color w:val="000000"/>
          <w:kern w:val="28"/>
          <w:sz w:val="22"/>
          <w:szCs w:val="22"/>
          <w:bdr w:val="none" w:sz="0" w:space="0" w:color="auto" w:frame="1"/>
          <w:lang w:val="fr-FR"/>
        </w:rPr>
        <w:tab/>
      </w:r>
      <w:r w:rsidRPr="00865DA5">
        <w:rPr>
          <w:rFonts w:ascii="Arial" w:eastAsia="Arial" w:hAnsi="Arial" w:cs="Arial"/>
          <w:color w:val="000000"/>
          <w:kern w:val="28"/>
          <w:sz w:val="22"/>
          <w:szCs w:val="22"/>
          <w:bdr w:val="none" w:sz="0" w:space="0" w:color="auto" w:frame="1"/>
          <w:lang w:val="fr-FR"/>
        </w:rPr>
        <w:tab/>
        <w:t xml:space="preserve">Abattage, piégeage et commerce illégaux des oiseaux sauvages – </w:t>
      </w:r>
      <w:r w:rsidRPr="00865DA5">
        <w:rPr>
          <w:rFonts w:ascii="Arial" w:eastAsia="Arial" w:hAnsi="Arial" w:cs="Arial"/>
          <w:i/>
          <w:color w:val="000000"/>
          <w:kern w:val="28"/>
          <w:sz w:val="22"/>
          <w:szCs w:val="22"/>
          <w:bdr w:val="none" w:sz="0" w:space="0" w:color="auto" w:frame="1"/>
          <w:lang w:val="fr-FR"/>
        </w:rPr>
        <w:t>Illegal Killing, Trapping and Trade in Wild Birds</w:t>
      </w:r>
    </w:p>
    <w:p w:rsidR="00BD5B7F" w:rsidRPr="00865DA5" w:rsidRDefault="00BD5B7F" w:rsidP="00BD5B7F">
      <w:pPr>
        <w:tabs>
          <w:tab w:val="left" w:pos="851"/>
        </w:tabs>
        <w:spacing w:after="120"/>
        <w:ind w:left="993" w:hanging="993"/>
        <w:jc w:val="both"/>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MIKT</w:t>
      </w:r>
      <w:r w:rsidRPr="00865DA5">
        <w:rPr>
          <w:rFonts w:ascii="Arial" w:eastAsia="Arial" w:hAnsi="Arial" w:cs="Arial"/>
          <w:color w:val="000000"/>
          <w:kern w:val="28"/>
          <w:sz w:val="22"/>
          <w:szCs w:val="22"/>
          <w:bdr w:val="none" w:sz="0" w:space="0" w:color="auto" w:frame="1"/>
          <w:lang w:val="fr-FR"/>
        </w:rPr>
        <w:tab/>
      </w:r>
      <w:r w:rsidRPr="00865DA5">
        <w:rPr>
          <w:rFonts w:ascii="Arial" w:eastAsia="Arial" w:hAnsi="Arial" w:cs="Arial"/>
          <w:color w:val="000000"/>
          <w:kern w:val="28"/>
          <w:sz w:val="22"/>
          <w:szCs w:val="22"/>
          <w:bdr w:val="none" w:sz="0" w:space="0" w:color="auto" w:frame="1"/>
          <w:lang w:val="fr-FR"/>
        </w:rPr>
        <w:tab/>
        <w:t xml:space="preserve">Groupe spécial intergouvernemental sur l’abattage, le prélèvement et le commerce illégaux des oiseaux migrateurs en Méditerranée </w:t>
      </w:r>
    </w:p>
    <w:p w:rsidR="00BD5B7F" w:rsidRPr="00865DA5" w:rsidRDefault="00BD5B7F" w:rsidP="00BD5B7F">
      <w:pPr>
        <w:tabs>
          <w:tab w:val="left" w:pos="851"/>
        </w:tabs>
        <w:spacing w:after="120"/>
        <w:ind w:left="993" w:hanging="993"/>
        <w:jc w:val="both"/>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MOP</w:t>
      </w:r>
      <w:r w:rsidRPr="00865DA5">
        <w:rPr>
          <w:rFonts w:ascii="Arial" w:eastAsia="Arial" w:hAnsi="Arial" w:cs="Arial"/>
          <w:color w:val="000000"/>
          <w:kern w:val="28"/>
          <w:sz w:val="22"/>
          <w:szCs w:val="22"/>
          <w:bdr w:val="none" w:sz="0" w:space="0" w:color="auto" w:frame="1"/>
          <w:lang w:val="fr-FR"/>
        </w:rPr>
        <w:tab/>
      </w:r>
      <w:r w:rsidRPr="00865DA5">
        <w:rPr>
          <w:rFonts w:ascii="Arial" w:eastAsia="Arial" w:hAnsi="Arial" w:cs="Arial"/>
          <w:color w:val="000000"/>
          <w:kern w:val="28"/>
          <w:sz w:val="22"/>
          <w:szCs w:val="22"/>
          <w:bdr w:val="none" w:sz="0" w:space="0" w:color="auto" w:frame="1"/>
          <w:lang w:val="fr-FR"/>
        </w:rPr>
        <w:tab/>
        <w:t xml:space="preserve">Réunion des Parties – </w:t>
      </w:r>
      <w:r w:rsidRPr="00865DA5">
        <w:rPr>
          <w:rFonts w:ascii="Arial" w:eastAsia="Arial" w:hAnsi="Arial" w:cs="Arial"/>
          <w:i/>
          <w:color w:val="000000"/>
          <w:kern w:val="28"/>
          <w:sz w:val="22"/>
          <w:szCs w:val="22"/>
          <w:bdr w:val="none" w:sz="0" w:space="0" w:color="auto" w:frame="1"/>
          <w:lang w:val="fr-FR"/>
        </w:rPr>
        <w:t>Meeting of Parties</w:t>
      </w:r>
    </w:p>
    <w:p w:rsidR="00BD5B7F" w:rsidRPr="00865DA5" w:rsidRDefault="00BD5B7F" w:rsidP="00BD5B7F">
      <w:pPr>
        <w:tabs>
          <w:tab w:val="left" w:pos="851"/>
        </w:tabs>
        <w:spacing w:after="120"/>
        <w:ind w:left="993" w:hanging="993"/>
        <w:jc w:val="both"/>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 xml:space="preserve">ONG </w:t>
      </w:r>
      <w:r w:rsidRPr="00865DA5">
        <w:rPr>
          <w:rFonts w:ascii="Arial" w:eastAsia="Arial" w:hAnsi="Arial" w:cs="Arial"/>
          <w:color w:val="000000"/>
          <w:kern w:val="28"/>
          <w:sz w:val="22"/>
          <w:szCs w:val="22"/>
          <w:bdr w:val="none" w:sz="0" w:space="0" w:color="auto" w:frame="1"/>
          <w:lang w:val="fr-FR"/>
        </w:rPr>
        <w:tab/>
      </w:r>
      <w:r w:rsidRPr="00865DA5">
        <w:rPr>
          <w:rFonts w:ascii="Arial" w:eastAsia="Arial" w:hAnsi="Arial" w:cs="Arial"/>
          <w:color w:val="000000"/>
          <w:kern w:val="28"/>
          <w:sz w:val="22"/>
          <w:szCs w:val="22"/>
          <w:bdr w:val="none" w:sz="0" w:space="0" w:color="auto" w:frame="1"/>
          <w:lang w:val="fr-FR"/>
        </w:rPr>
        <w:tab/>
        <w:t>Organisation non gouvernementale</w:t>
      </w:r>
    </w:p>
    <w:p w:rsidR="00BD5B7F" w:rsidRPr="00C03BEF" w:rsidRDefault="00BD5B7F" w:rsidP="00BD5B7F">
      <w:pPr>
        <w:tabs>
          <w:tab w:val="left" w:pos="851"/>
        </w:tabs>
        <w:spacing w:after="120"/>
        <w:ind w:left="993" w:hanging="993"/>
        <w:jc w:val="both"/>
        <w:rPr>
          <w:rFonts w:ascii="Arial" w:eastAsia="Calibri" w:hAnsi="Arial" w:cs="Arial"/>
          <w:color w:val="000000"/>
          <w:kern w:val="28"/>
          <w:sz w:val="22"/>
          <w:szCs w:val="22"/>
          <w:lang w:val="en-GB"/>
        </w:rPr>
      </w:pPr>
      <w:proofErr w:type="gramStart"/>
      <w:r w:rsidRPr="00C03BEF">
        <w:rPr>
          <w:rFonts w:ascii="Arial" w:eastAsia="Arial" w:hAnsi="Arial" w:cs="Arial"/>
          <w:color w:val="000000"/>
          <w:kern w:val="28"/>
          <w:sz w:val="22"/>
          <w:szCs w:val="22"/>
          <w:bdr w:val="none" w:sz="0" w:space="0" w:color="auto" w:frame="1"/>
          <w:lang w:val="en-GB"/>
        </w:rPr>
        <w:t>PoW</w:t>
      </w:r>
      <w:proofErr w:type="gramEnd"/>
      <w:r w:rsidRPr="00C03BEF">
        <w:rPr>
          <w:rFonts w:ascii="Arial" w:eastAsia="Arial" w:hAnsi="Arial" w:cs="Arial"/>
          <w:color w:val="000000"/>
          <w:kern w:val="28"/>
          <w:sz w:val="22"/>
          <w:szCs w:val="22"/>
          <w:bdr w:val="none" w:sz="0" w:space="0" w:color="auto" w:frame="1"/>
          <w:lang w:val="en-GB"/>
        </w:rPr>
        <w:t xml:space="preserve"> </w:t>
      </w:r>
      <w:r w:rsidRPr="00C03BEF">
        <w:rPr>
          <w:rFonts w:ascii="Arial" w:eastAsia="Arial" w:hAnsi="Arial" w:cs="Arial"/>
          <w:color w:val="000000"/>
          <w:kern w:val="28"/>
          <w:sz w:val="22"/>
          <w:szCs w:val="22"/>
          <w:bdr w:val="none" w:sz="0" w:space="0" w:color="auto" w:frame="1"/>
          <w:lang w:val="en-GB"/>
        </w:rPr>
        <w:tab/>
      </w:r>
      <w:r w:rsidRPr="00C03BEF">
        <w:rPr>
          <w:rFonts w:ascii="Arial" w:eastAsia="Arial" w:hAnsi="Arial" w:cs="Arial"/>
          <w:color w:val="000000"/>
          <w:kern w:val="28"/>
          <w:sz w:val="22"/>
          <w:szCs w:val="22"/>
          <w:bdr w:val="none" w:sz="0" w:space="0" w:color="auto" w:frame="1"/>
          <w:lang w:val="en-GB"/>
        </w:rPr>
        <w:tab/>
        <w:t xml:space="preserve">Programme de travail – </w:t>
      </w:r>
      <w:r w:rsidRPr="00C03BEF">
        <w:rPr>
          <w:rFonts w:ascii="Arial" w:eastAsia="Arial" w:hAnsi="Arial" w:cs="Arial"/>
          <w:i/>
          <w:color w:val="000000"/>
          <w:kern w:val="28"/>
          <w:sz w:val="22"/>
          <w:szCs w:val="22"/>
          <w:bdr w:val="none" w:sz="0" w:space="0" w:color="auto" w:frame="1"/>
          <w:lang w:val="en-GB"/>
        </w:rPr>
        <w:t>Program of</w:t>
      </w:r>
      <w:r w:rsidRPr="00C03BEF">
        <w:rPr>
          <w:rFonts w:ascii="Arial" w:eastAsia="Arial" w:hAnsi="Arial" w:cs="Arial"/>
          <w:color w:val="000000"/>
          <w:kern w:val="28"/>
          <w:sz w:val="22"/>
          <w:szCs w:val="22"/>
          <w:bdr w:val="none" w:sz="0" w:space="0" w:color="auto" w:frame="1"/>
          <w:lang w:val="en-GB"/>
        </w:rPr>
        <w:t xml:space="preserve"> </w:t>
      </w:r>
      <w:r w:rsidRPr="00C03BEF">
        <w:rPr>
          <w:rFonts w:ascii="Arial" w:eastAsia="Arial" w:hAnsi="Arial" w:cs="Arial"/>
          <w:i/>
          <w:color w:val="000000"/>
          <w:kern w:val="28"/>
          <w:sz w:val="22"/>
          <w:szCs w:val="22"/>
          <w:bdr w:val="none" w:sz="0" w:space="0" w:color="auto" w:frame="1"/>
          <w:lang w:val="en-GB"/>
        </w:rPr>
        <w:t>Work</w:t>
      </w:r>
    </w:p>
    <w:p w:rsidR="00BD5B7F" w:rsidRPr="00865DA5" w:rsidRDefault="00BD5B7F" w:rsidP="00BD5B7F">
      <w:pPr>
        <w:tabs>
          <w:tab w:val="left" w:pos="851"/>
        </w:tabs>
        <w:spacing w:after="120"/>
        <w:ind w:left="993" w:hanging="993"/>
        <w:jc w:val="both"/>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SC</w:t>
      </w:r>
      <w:r w:rsidRPr="00865DA5">
        <w:rPr>
          <w:rFonts w:ascii="Arial" w:eastAsia="Arial" w:hAnsi="Arial" w:cs="Arial"/>
          <w:color w:val="000000"/>
          <w:kern w:val="28"/>
          <w:sz w:val="22"/>
          <w:szCs w:val="22"/>
          <w:bdr w:val="none" w:sz="0" w:space="0" w:color="auto" w:frame="1"/>
          <w:lang w:val="fr-FR"/>
        </w:rPr>
        <w:tab/>
      </w:r>
      <w:r w:rsidRPr="00865DA5">
        <w:rPr>
          <w:rFonts w:ascii="Arial" w:eastAsia="Arial" w:hAnsi="Arial" w:cs="Arial"/>
          <w:color w:val="000000"/>
          <w:kern w:val="28"/>
          <w:sz w:val="22"/>
          <w:szCs w:val="22"/>
          <w:bdr w:val="none" w:sz="0" w:space="0" w:color="auto" w:frame="1"/>
          <w:lang w:val="fr-FR"/>
        </w:rPr>
        <w:tab/>
        <w:t xml:space="preserve">Comité permanent – </w:t>
      </w:r>
      <w:r w:rsidRPr="00865DA5">
        <w:rPr>
          <w:rFonts w:ascii="Arial" w:eastAsia="Arial" w:hAnsi="Arial" w:cs="Arial"/>
          <w:i/>
          <w:color w:val="000000"/>
          <w:kern w:val="28"/>
          <w:sz w:val="22"/>
          <w:szCs w:val="22"/>
          <w:bdr w:val="none" w:sz="0" w:space="0" w:color="auto" w:frame="1"/>
          <w:lang w:val="fr-FR"/>
        </w:rPr>
        <w:t>Standing Commitee</w:t>
      </w:r>
    </w:p>
    <w:p w:rsidR="00BD5B7F" w:rsidRPr="00865DA5" w:rsidRDefault="00BD5B7F" w:rsidP="00BD5B7F">
      <w:pPr>
        <w:tabs>
          <w:tab w:val="left" w:pos="851"/>
        </w:tabs>
        <w:spacing w:after="120"/>
        <w:ind w:left="993" w:hanging="993"/>
        <w:jc w:val="both"/>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 xml:space="preserve">SFP </w:t>
      </w:r>
      <w:r w:rsidRPr="00865DA5">
        <w:rPr>
          <w:rFonts w:ascii="Arial" w:eastAsia="Arial" w:hAnsi="Arial" w:cs="Arial"/>
          <w:color w:val="000000"/>
          <w:kern w:val="28"/>
          <w:sz w:val="22"/>
          <w:szCs w:val="22"/>
          <w:bdr w:val="none" w:sz="0" w:space="0" w:color="auto" w:frame="1"/>
          <w:lang w:val="fr-FR"/>
        </w:rPr>
        <w:tab/>
      </w:r>
      <w:r w:rsidRPr="00865DA5">
        <w:rPr>
          <w:rFonts w:ascii="Arial" w:eastAsia="Arial" w:hAnsi="Arial" w:cs="Arial"/>
          <w:color w:val="000000"/>
          <w:kern w:val="28"/>
          <w:sz w:val="22"/>
          <w:szCs w:val="22"/>
          <w:bdr w:val="none" w:sz="0" w:space="0" w:color="auto" w:frame="1"/>
          <w:lang w:val="fr-FR"/>
        </w:rPr>
        <w:tab/>
        <w:t xml:space="preserve">Correspondant spécial – </w:t>
      </w:r>
      <w:r w:rsidRPr="00865DA5">
        <w:rPr>
          <w:rFonts w:ascii="Arial" w:eastAsia="Arial" w:hAnsi="Arial" w:cs="Arial"/>
          <w:i/>
          <w:color w:val="000000"/>
          <w:kern w:val="28"/>
          <w:sz w:val="22"/>
          <w:szCs w:val="22"/>
          <w:bdr w:val="none" w:sz="0" w:space="0" w:color="auto" w:frame="1"/>
          <w:lang w:val="fr-FR"/>
        </w:rPr>
        <w:t>Special Focal</w:t>
      </w:r>
      <w:r w:rsidRPr="00865DA5">
        <w:rPr>
          <w:rFonts w:ascii="Arial" w:eastAsia="Arial" w:hAnsi="Arial" w:cs="Arial"/>
          <w:color w:val="000000"/>
          <w:kern w:val="28"/>
          <w:sz w:val="22"/>
          <w:szCs w:val="22"/>
          <w:bdr w:val="none" w:sz="0" w:space="0" w:color="auto" w:frame="1"/>
          <w:lang w:val="fr-FR"/>
        </w:rPr>
        <w:t xml:space="preserve"> </w:t>
      </w:r>
      <w:r w:rsidRPr="00865DA5">
        <w:rPr>
          <w:rFonts w:ascii="Arial" w:eastAsia="Arial" w:hAnsi="Arial" w:cs="Arial"/>
          <w:i/>
          <w:color w:val="000000"/>
          <w:kern w:val="28"/>
          <w:sz w:val="22"/>
          <w:szCs w:val="22"/>
          <w:bdr w:val="none" w:sz="0" w:space="0" w:color="auto" w:frame="1"/>
          <w:lang w:val="fr-FR"/>
        </w:rPr>
        <w:t>Point</w:t>
      </w:r>
    </w:p>
    <w:p w:rsidR="00BD5B7F" w:rsidRPr="00865DA5" w:rsidRDefault="00BD5B7F" w:rsidP="00BD5B7F">
      <w:pPr>
        <w:tabs>
          <w:tab w:val="left" w:pos="851"/>
        </w:tabs>
        <w:spacing w:after="120"/>
        <w:ind w:left="993" w:hanging="993"/>
        <w:jc w:val="both"/>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 xml:space="preserve">TAP </w:t>
      </w:r>
      <w:r w:rsidRPr="00865DA5">
        <w:rPr>
          <w:rFonts w:ascii="Arial" w:eastAsia="Arial" w:hAnsi="Arial" w:cs="Arial"/>
          <w:color w:val="000000"/>
          <w:kern w:val="28"/>
          <w:sz w:val="22"/>
          <w:szCs w:val="22"/>
          <w:bdr w:val="none" w:sz="0" w:space="0" w:color="auto" w:frame="1"/>
          <w:lang w:val="fr-FR"/>
        </w:rPr>
        <w:tab/>
      </w:r>
      <w:r w:rsidRPr="00865DA5">
        <w:rPr>
          <w:rFonts w:ascii="Arial" w:eastAsia="Arial" w:hAnsi="Arial" w:cs="Arial"/>
          <w:color w:val="000000"/>
          <w:kern w:val="28"/>
          <w:sz w:val="22"/>
          <w:szCs w:val="22"/>
          <w:bdr w:val="none" w:sz="0" w:space="0" w:color="auto" w:frame="1"/>
          <w:lang w:val="fr-FR"/>
        </w:rPr>
        <w:tab/>
        <w:t xml:space="preserve">Plan d’action de Tunis 2013-2020 - </w:t>
      </w:r>
      <w:r w:rsidRPr="00865DA5">
        <w:rPr>
          <w:rFonts w:ascii="Arial" w:eastAsia="Arial" w:hAnsi="Arial" w:cs="Arial"/>
          <w:i/>
          <w:color w:val="000000"/>
          <w:kern w:val="28"/>
          <w:sz w:val="22"/>
          <w:szCs w:val="22"/>
          <w:bdr w:val="none" w:sz="0" w:space="0" w:color="auto" w:frame="1"/>
          <w:lang w:val="fr-FR"/>
        </w:rPr>
        <w:t>Tunis Action</w:t>
      </w:r>
      <w:r w:rsidRPr="00865DA5">
        <w:rPr>
          <w:rFonts w:ascii="Arial" w:eastAsia="Arial" w:hAnsi="Arial" w:cs="Arial"/>
          <w:color w:val="000000"/>
          <w:kern w:val="28"/>
          <w:sz w:val="22"/>
          <w:szCs w:val="22"/>
          <w:bdr w:val="none" w:sz="0" w:space="0" w:color="auto" w:frame="1"/>
          <w:lang w:val="fr-FR"/>
        </w:rPr>
        <w:t xml:space="preserve"> </w:t>
      </w:r>
      <w:r w:rsidRPr="00865DA5">
        <w:rPr>
          <w:rFonts w:ascii="Arial" w:eastAsia="Arial" w:hAnsi="Arial" w:cs="Arial"/>
          <w:i/>
          <w:color w:val="000000"/>
          <w:kern w:val="28"/>
          <w:sz w:val="22"/>
          <w:szCs w:val="22"/>
          <w:bdr w:val="none" w:sz="0" w:space="0" w:color="auto" w:frame="1"/>
          <w:lang w:val="fr-FR"/>
        </w:rPr>
        <w:t>Plan</w:t>
      </w:r>
    </w:p>
    <w:p w:rsidR="00BD5B7F" w:rsidRPr="00865DA5" w:rsidRDefault="00BD5B7F" w:rsidP="00BD5B7F">
      <w:pPr>
        <w:tabs>
          <w:tab w:val="left" w:pos="851"/>
        </w:tabs>
        <w:spacing w:after="120"/>
        <w:ind w:left="993" w:hanging="993"/>
        <w:rPr>
          <w:rFonts w:ascii="Arial" w:eastAsia="Calibri" w:hAnsi="Arial" w:cs="Arial"/>
          <w:color w:val="000000"/>
          <w:kern w:val="28"/>
          <w:sz w:val="22"/>
          <w:szCs w:val="22"/>
          <w:lang w:val="fr-FR"/>
        </w:rPr>
      </w:pPr>
      <w:r w:rsidRPr="00865DA5">
        <w:rPr>
          <w:rFonts w:ascii="Arial" w:eastAsia="Arial" w:hAnsi="Arial" w:cs="Arial"/>
          <w:color w:val="000000"/>
          <w:kern w:val="28"/>
          <w:sz w:val="22"/>
          <w:szCs w:val="22"/>
          <w:bdr w:val="none" w:sz="0" w:space="0" w:color="auto" w:frame="1"/>
          <w:lang w:val="fr-FR"/>
        </w:rPr>
        <w:t xml:space="preserve">UE </w:t>
      </w:r>
      <w:r w:rsidRPr="00865DA5">
        <w:rPr>
          <w:rFonts w:ascii="Arial" w:eastAsia="Arial" w:hAnsi="Arial" w:cs="Arial"/>
          <w:color w:val="000000"/>
          <w:kern w:val="28"/>
          <w:sz w:val="22"/>
          <w:szCs w:val="22"/>
          <w:bdr w:val="none" w:sz="0" w:space="0" w:color="auto" w:frame="1"/>
          <w:lang w:val="fr-FR"/>
        </w:rPr>
        <w:tab/>
      </w:r>
      <w:r w:rsidRPr="00865DA5">
        <w:rPr>
          <w:rFonts w:ascii="Arial" w:eastAsia="Arial" w:hAnsi="Arial" w:cs="Arial"/>
          <w:color w:val="000000"/>
          <w:kern w:val="28"/>
          <w:sz w:val="22"/>
          <w:szCs w:val="22"/>
          <w:bdr w:val="none" w:sz="0" w:space="0" w:color="auto" w:frame="1"/>
          <w:lang w:val="fr-FR"/>
        </w:rPr>
        <w:tab/>
        <w:t>Union européenne</w:t>
      </w:r>
    </w:p>
    <w:p w:rsidR="00BD5B7F" w:rsidRPr="00865DA5" w:rsidRDefault="00BD5B7F" w:rsidP="00BD5B7F">
      <w:pPr>
        <w:spacing w:after="200" w:line="276" w:lineRule="auto"/>
        <w:rPr>
          <w:rFonts w:ascii="Arial" w:eastAsia="Calibri" w:hAnsi="Arial" w:cs="Arial"/>
          <w:color w:val="000000"/>
          <w:kern w:val="28"/>
          <w:sz w:val="22"/>
          <w:szCs w:val="22"/>
          <w:lang w:val="fr-FR"/>
        </w:rPr>
      </w:pPr>
      <w:r w:rsidRPr="00865DA5">
        <w:rPr>
          <w:rFonts w:ascii="Arial" w:eastAsia="Calibri" w:hAnsi="Arial" w:cs="Arial"/>
          <w:color w:val="000000"/>
          <w:kern w:val="28"/>
          <w:sz w:val="22"/>
          <w:szCs w:val="22"/>
          <w:lang w:val="fr-FR"/>
        </w:rPr>
        <w:br w:type="page"/>
      </w:r>
    </w:p>
    <w:p w:rsidR="00BD5B7F" w:rsidRPr="00865DA5" w:rsidRDefault="00BD5B7F" w:rsidP="00BD5B7F">
      <w:pPr>
        <w:keepNext/>
        <w:keepLines/>
        <w:spacing w:before="40" w:after="120"/>
        <w:outlineLvl w:val="1"/>
        <w:rPr>
          <w:rFonts w:ascii="Arial" w:hAnsi="Arial" w:cs="Arial"/>
          <w:b/>
          <w:color w:val="000000"/>
          <w:sz w:val="30"/>
          <w:szCs w:val="30"/>
          <w:lang w:val="fr-FR"/>
        </w:rPr>
      </w:pPr>
      <w:bookmarkStart w:id="5" w:name="_Toc491245222"/>
      <w:bookmarkStart w:id="6" w:name="_Toc491245048"/>
      <w:r w:rsidRPr="00865DA5">
        <w:rPr>
          <w:rFonts w:ascii="Arial" w:hAnsi="Arial" w:cs="Arial"/>
          <w:b/>
          <w:color w:val="000000"/>
          <w:sz w:val="30"/>
          <w:szCs w:val="30"/>
          <w:bdr w:val="none" w:sz="0" w:space="0" w:color="auto" w:frame="1"/>
          <w:lang w:val="fr-FR"/>
        </w:rPr>
        <w:lastRenderedPageBreak/>
        <w:t>But du tableau de bord IKB</w:t>
      </w:r>
      <w:bookmarkEnd w:id="5"/>
      <w:bookmarkEnd w:id="6"/>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Au cours des dernières années, la question de l’abattage et des prélèvements illégaux d’oiseaux (IKB - </w:t>
      </w:r>
      <w:r w:rsidRPr="00865DA5">
        <w:rPr>
          <w:rFonts w:ascii="Arial" w:eastAsia="Arial" w:hAnsi="Arial" w:cs="Arial"/>
          <w:i/>
          <w:color w:val="000000"/>
          <w:sz w:val="22"/>
          <w:szCs w:val="22"/>
          <w:bdr w:val="none" w:sz="0" w:space="0" w:color="auto" w:frame="1"/>
          <w:lang w:val="fr-FR"/>
        </w:rPr>
        <w:t>illegal killing and taking of birds</w:t>
      </w:r>
      <w:r w:rsidRPr="00865DA5">
        <w:rPr>
          <w:rFonts w:ascii="Arial" w:eastAsia="Arial" w:hAnsi="Arial" w:cs="Arial"/>
          <w:color w:val="000000"/>
          <w:sz w:val="22"/>
          <w:szCs w:val="22"/>
          <w:bdr w:val="none" w:sz="0" w:space="0" w:color="auto" w:frame="1"/>
          <w:lang w:val="fr-FR"/>
        </w:rPr>
        <w:t>)</w:t>
      </w:r>
      <w:r w:rsidRPr="00FF6562">
        <w:rPr>
          <w:rFonts w:ascii="Arial" w:eastAsia="Calibri" w:hAnsi="Arial" w:cs="Arial"/>
          <w:color w:val="000000"/>
          <w:sz w:val="22"/>
          <w:szCs w:val="22"/>
          <w:vertAlign w:val="superscript"/>
        </w:rPr>
        <w:footnoteReference w:id="1"/>
      </w:r>
      <w:r w:rsidRPr="00865DA5">
        <w:rPr>
          <w:rFonts w:ascii="Arial" w:eastAsia="Arial" w:hAnsi="Arial" w:cs="Arial"/>
          <w:color w:val="000000"/>
          <w:sz w:val="22"/>
          <w:szCs w:val="22"/>
          <w:bdr w:val="none" w:sz="0" w:space="0" w:color="auto" w:frame="1"/>
          <w:lang w:val="fr-FR"/>
        </w:rPr>
        <w:t xml:space="preserve"> a progressivement pris de l’importance dans l’agenda international. Cette importance a été intégrée dans un certain nombre d’instruments et d’engagements internationaux de grande envergure, dont ceux adoptés dans le cadre de la Convention de Berne, de la CMS et de la CITES, ainsi que dans de nombreuses initiatives stimulées par l’UE. Le Plan d’action de Tunis (TAP) de la Convention de Berne, la Feuille de route de l’UE destinée à éliminer l’abattage, le piégeage et le commerce illégaux des oiseaux sauvages, </w:t>
      </w:r>
      <w:r w:rsidRPr="00865DA5">
        <w:rPr>
          <w:rFonts w:ascii="Arial" w:eastAsia="Arial" w:hAnsi="Arial" w:cs="Arial"/>
          <w:color w:val="000000"/>
          <w:sz w:val="22"/>
          <w:szCs w:val="22"/>
          <w:bdr w:val="none" w:sz="0" w:space="0" w:color="auto" w:frame="1"/>
          <w:shd w:val="clear" w:color="auto" w:fill="FFFFFF"/>
          <w:lang w:val="fr-FR"/>
        </w:rPr>
        <w:t xml:space="preserve">la Communication de la Commission européenne et les conclusions du Conseil sur </w:t>
      </w:r>
      <w:r w:rsidRPr="00865DA5">
        <w:rPr>
          <w:rFonts w:ascii="Arial" w:eastAsia="Arial" w:hAnsi="Arial" w:cs="Arial"/>
          <w:color w:val="000000"/>
          <w:sz w:val="22"/>
          <w:szCs w:val="22"/>
          <w:bdr w:val="none" w:sz="0" w:space="0" w:color="auto" w:frame="1"/>
          <w:lang w:val="fr-FR"/>
        </w:rPr>
        <w:t xml:space="preserve">le Plan d’action de l’Union européenne contre le trafic d’espèces sauvages ainsi que le Groupe spécial méditerranéen de la CMS sur le l’abattage, le prélèvement et le commerce illégaux des oiseaux migrateurs (MIKT) figurent parmi les principaux exemples de ces engagements. Une caractéristique commune de ces instruments est qu’ils envisagent souvent une évaluation régulière des progrès réalisés.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Lors de la première réunion du MIKT qui a eu lieu au Caire en 2016, un Programme de travail 2016-2020 a été adopté, prévoyant en tant qu’action prioritaire l’élaboration d’un tableau de bord qui permettrait d’évaluer les progrès réalisés dans l’élimination de l’IKB au niveau national. Une autre action hautement prioritaire était d’harmoniser le format et la périodicité des rapports dans le cadre de la COP de la CMS et du TAP de la Convention de Berne, afin d’éviter les doubles emplois et les charges de travail supplémentaires pour les pays membres.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Le système de rapport de la CMS, qui est plus un rapport général sur différentes questions, continuera à fonctionner entre les COP. D’autre part, le système de tableau de bord est axé sur un problème spécifique qui doit être traité le plus tôt possible. La nécessité de développer un tel outil pour une utilisation conjointe par la Convention de Berne et la CMS a également été soulevée par le Président du Réseau des correspondants spéciaux de la Convention de Berne à la 36</w:t>
      </w:r>
      <w:r w:rsidRPr="00865DA5">
        <w:rPr>
          <w:rFonts w:ascii="Arial" w:eastAsia="Arial" w:hAnsi="Arial" w:cs="Arial"/>
          <w:color w:val="000000"/>
          <w:sz w:val="22"/>
          <w:szCs w:val="22"/>
          <w:bdr w:val="none" w:sz="0" w:space="0" w:color="auto" w:frame="1"/>
          <w:vertAlign w:val="superscript"/>
          <w:lang w:val="fr-FR"/>
        </w:rPr>
        <w:t>ème</w:t>
      </w:r>
      <w:r w:rsidRPr="00865DA5">
        <w:rPr>
          <w:rFonts w:ascii="Arial" w:eastAsia="Arial" w:hAnsi="Arial" w:cs="Arial"/>
          <w:color w:val="000000"/>
          <w:sz w:val="22"/>
          <w:szCs w:val="22"/>
          <w:bdr w:val="none" w:sz="0" w:space="0" w:color="auto" w:frame="1"/>
          <w:lang w:val="fr-FR"/>
        </w:rPr>
        <w:t xml:space="preserve"> Réunion du Comité permanent de la Convention en novembre 2016. Le Comité permanent s’est félicité des efforts accrus de coordination réalisés ces dernières années par différentes organisations, Conventions et parties prenantes, visant à accroître les synergies dans le travail de leurs plates-formes et initiatives respectives, car ces efforts favorisent la mise en œuvre du TAP. Outre les rapports formels des administrations nationales, l’auto-évaluation des progrès est également soutenue par des études menées par diverses parties prenantes non gouvernementales. L’étude récente visant à estimer l’étendue de l’IKB en Méditerranée, menée par BirdLife International, est un exemple d’une telle initiative.</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La proposition actuelle de tableau de bord IKB vise à fournir aux gouvernements nationaux un outil pour mener une auto-évaluation objective, basée sur des faits nationaux, de l’état actuel de l’abattage illégal des oiseaux au niveau national, et à permettre aux États de mesurer leurs progrès dans la mise en œuvre de leurs engagements dans ce domaine.</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Le cadre d’indicateurs a été élaboré dans le but d’offrir aux administrations nationales un outil simple qui, compte tenu de la complexité de la question en jeu, est facile à compiler et à interpréter et qui peut être appliqué soit à l’échelle nationale, soit à une échelle sous-nationale appropriée.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Le tableau de bord actuel est largement basé sur le format précédemment élaboré par le Consortium international de lutte contre la criminalité liée aux espèces sauvages</w:t>
      </w:r>
      <w:r w:rsidRPr="00FF6562">
        <w:rPr>
          <w:rFonts w:ascii="Arial" w:eastAsia="Calibri" w:hAnsi="Arial" w:cs="Arial"/>
          <w:color w:val="000000"/>
          <w:sz w:val="22"/>
          <w:szCs w:val="22"/>
          <w:vertAlign w:val="superscript"/>
        </w:rPr>
        <w:footnoteReference w:id="2"/>
      </w:r>
      <w:r w:rsidRPr="00865DA5">
        <w:rPr>
          <w:rFonts w:ascii="Arial" w:eastAsia="Arial" w:hAnsi="Arial" w:cs="Arial"/>
          <w:color w:val="000000"/>
          <w:sz w:val="22"/>
          <w:szCs w:val="22"/>
          <w:bdr w:val="none" w:sz="0" w:space="0" w:color="auto" w:frame="1"/>
          <w:lang w:val="fr-FR"/>
        </w:rPr>
        <w:t xml:space="preserve"> (ICCWC) qui fournit un cadre d’indicateurs pour la lutte contre la criminalité liée aux espèces sauvages et aux forêts. Cependant, ce modèle a nécessité un certain nombre de modifications et d’adaptations, afin de porter sur les exigences spécifiques de l’évaluation et de la mesure de l’IKB, par opposition à une évaluation générale de la situation en ce qui concerne le commerce international des espèces sauvages dont l’IKB ne constitue qu’une composante </w:t>
      </w:r>
      <w:r w:rsidRPr="00865DA5">
        <w:rPr>
          <w:rFonts w:ascii="Arial" w:eastAsia="Arial" w:hAnsi="Arial" w:cs="Arial"/>
          <w:color w:val="000000"/>
          <w:sz w:val="22"/>
          <w:szCs w:val="22"/>
          <w:bdr w:val="none" w:sz="0" w:space="0" w:color="auto" w:frame="1"/>
          <w:lang w:val="fr-FR"/>
        </w:rPr>
        <w:lastRenderedPageBreak/>
        <w:t>limitée. Une grande partie de la méthode ainsi que le format du tableau de bord et plusieurs indicateurs sont notamment tirés du Cadre d’indicateurs de l’ICCWC.</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Le tableau de bord IKB permet aux États d’évaluer leurs progrès non seulement au niveau national, mais aussi à l’échelle régionale, le cas échéant, contribuant de manière significative à la définition de priorités et à l’engagement de ressources par les administrations nationales, les ONG et les acteurs internationaux. </w:t>
      </w:r>
    </w:p>
    <w:p w:rsidR="00BD5B7F" w:rsidRPr="00865DA5" w:rsidRDefault="00BD5B7F" w:rsidP="00BD5B7F">
      <w:pPr>
        <w:spacing w:after="120"/>
        <w:jc w:val="both"/>
        <w:rPr>
          <w:rFonts w:ascii="Arial" w:eastAsia="Calibri" w:hAnsi="Arial" w:cs="Arial"/>
          <w:color w:val="000000"/>
          <w:sz w:val="22"/>
          <w:szCs w:val="22"/>
          <w:lang w:val="fr-FR"/>
        </w:rPr>
      </w:pPr>
      <w:r w:rsidRPr="00FF6562">
        <w:rPr>
          <w:rFonts w:ascii="Arial" w:hAnsi="Arial" w:cs="Arial"/>
          <w:noProof/>
          <w:lang w:val="fr-FR" w:eastAsia="fr-FR"/>
        </w:rPr>
        <w:drawing>
          <wp:anchor distT="0" distB="0" distL="114300" distR="114300" simplePos="0" relativeHeight="251659264" behindDoc="1" locked="0" layoutInCell="1" allowOverlap="1" wp14:anchorId="67D3779B" wp14:editId="36A05E49">
            <wp:simplePos x="0" y="0"/>
            <wp:positionH relativeFrom="column">
              <wp:posOffset>-161925</wp:posOffset>
            </wp:positionH>
            <wp:positionV relativeFrom="paragraph">
              <wp:posOffset>1468755</wp:posOffset>
            </wp:positionV>
            <wp:extent cx="6048375" cy="4331335"/>
            <wp:effectExtent l="0" t="0" r="9525" b="0"/>
            <wp:wrapTight wrapText="bothSides">
              <wp:wrapPolygon edited="0">
                <wp:start x="0" y="0"/>
                <wp:lineTo x="0" y="21470"/>
                <wp:lineTo x="21566" y="21470"/>
                <wp:lineTo x="21566" y="0"/>
                <wp:lineTo x="0" y="0"/>
              </wp:wrapPolygon>
            </wp:wrapTight>
            <wp:docPr id="9" name="Picture 9" descr="map U.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map U.G.O.-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48375" cy="4331335"/>
                    </a:xfrm>
                    <a:prstGeom prst="rect">
                      <a:avLst/>
                    </a:prstGeom>
                    <a:noFill/>
                  </pic:spPr>
                </pic:pic>
              </a:graphicData>
            </a:graphic>
            <wp14:sizeRelH relativeFrom="page">
              <wp14:pctWidth>0</wp14:pctWidth>
            </wp14:sizeRelH>
            <wp14:sizeRelV relativeFrom="page">
              <wp14:pctHeight>0</wp14:pctHeight>
            </wp14:sizeRelV>
          </wp:anchor>
        </w:drawing>
      </w:r>
      <w:r w:rsidRPr="00865DA5">
        <w:rPr>
          <w:rFonts w:ascii="Arial" w:eastAsia="Arial" w:hAnsi="Arial" w:cs="Arial"/>
          <w:color w:val="000000"/>
          <w:sz w:val="22"/>
          <w:szCs w:val="22"/>
          <w:bdr w:val="none" w:sz="0" w:space="0" w:color="auto" w:frame="1"/>
          <w:lang w:val="fr-FR"/>
        </w:rPr>
        <w:t xml:space="preserve">Il offre aux autorités nationales l’occasion de montrer leur leadership ainsi que leur capacité et leur volonté d’être proactifs et transparents en ce qui concerne les efforts pour traiter un problème beaucoup plus commun que cela n’a été reconnu précédemment. Le processus menant à sa compilation, tel que décrit dans les pages suivantes, favorise la coopération et le partage de l’expérience et du savoir-faire entre les organismes gouvernementaux et les acteurs nationaux. La coopération développée entre les parties prenantes ainsi que les informations recueillies pour la compilation du tableau de bord peuvent servir de base à l’élaboration d’un plan d’action national. En outre, si un plan d’action national a déjà été élaboré, le tableau de bord peut être utilisé pour suivre sa mise en œuvre au niveau national. </w:t>
      </w:r>
    </w:p>
    <w:p w:rsidR="00BD5B7F" w:rsidRPr="00865DA5" w:rsidRDefault="00BD5B7F" w:rsidP="00BD5B7F">
      <w:pPr>
        <w:jc w:val="center"/>
        <w:rPr>
          <w:rFonts w:ascii="Arial" w:eastAsia="Calibri" w:hAnsi="Arial" w:cs="Arial"/>
          <w:color w:val="000000"/>
          <w:sz w:val="4"/>
          <w:szCs w:val="4"/>
          <w:lang w:val="fr-FR"/>
        </w:rPr>
      </w:pPr>
    </w:p>
    <w:p w:rsidR="00BD5B7F" w:rsidRPr="00865DA5" w:rsidRDefault="00BD5B7F" w:rsidP="00BD5B7F">
      <w:pPr>
        <w:ind w:left="993" w:hanging="993"/>
        <w:jc w:val="both"/>
        <w:rPr>
          <w:rFonts w:ascii="Arial" w:eastAsia="Calibri" w:hAnsi="Arial" w:cs="Arial"/>
          <w:bCs/>
          <w:sz w:val="18"/>
          <w:szCs w:val="18"/>
          <w:lang w:val="fr-FR"/>
        </w:rPr>
      </w:pPr>
      <w:r w:rsidRPr="00865DA5">
        <w:rPr>
          <w:rFonts w:ascii="Arial" w:eastAsia="Arial" w:hAnsi="Arial" w:cs="Arial"/>
          <w:b/>
          <w:bCs/>
          <w:color w:val="4F81BD"/>
          <w:sz w:val="18"/>
          <w:szCs w:val="18"/>
          <w:bdr w:val="none" w:sz="0" w:space="0" w:color="auto" w:frame="1"/>
          <w:lang w:val="fr-FR"/>
        </w:rPr>
        <w:t xml:space="preserve">Figure </w:t>
      </w:r>
      <w:r w:rsidRPr="00FF6562">
        <w:rPr>
          <w:rFonts w:ascii="Arial" w:eastAsia="Calibri" w:hAnsi="Arial" w:cs="Arial"/>
          <w:color w:val="4F81BD"/>
          <w:sz w:val="18"/>
          <w:szCs w:val="18"/>
        </w:rPr>
        <w:fldChar w:fldCharType="begin"/>
      </w:r>
      <w:r w:rsidRPr="00865DA5">
        <w:rPr>
          <w:rFonts w:ascii="Arial" w:eastAsia="Calibri" w:hAnsi="Arial" w:cs="Arial"/>
          <w:b/>
          <w:bCs/>
          <w:color w:val="4F81BD"/>
          <w:sz w:val="18"/>
          <w:szCs w:val="18"/>
          <w:lang w:val="fr-FR"/>
        </w:rPr>
        <w:instrText xml:space="preserve"> SEQ Picture \* ARABIC </w:instrText>
      </w:r>
      <w:r w:rsidRPr="00FF6562">
        <w:rPr>
          <w:rFonts w:ascii="Arial" w:eastAsia="Calibri" w:hAnsi="Arial" w:cs="Arial"/>
          <w:color w:val="4F81BD"/>
          <w:sz w:val="18"/>
          <w:szCs w:val="18"/>
        </w:rPr>
        <w:fldChar w:fldCharType="separate"/>
      </w:r>
      <w:r>
        <w:rPr>
          <w:rFonts w:ascii="Arial" w:eastAsia="Calibri" w:hAnsi="Arial" w:cs="Arial"/>
          <w:b/>
          <w:bCs/>
          <w:noProof/>
          <w:color w:val="4F81BD"/>
          <w:sz w:val="18"/>
          <w:szCs w:val="18"/>
          <w:lang w:val="fr-FR"/>
        </w:rPr>
        <w:t>1</w:t>
      </w:r>
      <w:r w:rsidRPr="00FF6562">
        <w:rPr>
          <w:rFonts w:ascii="Arial" w:eastAsia="Calibri" w:hAnsi="Arial" w:cs="Arial"/>
          <w:color w:val="4F81BD"/>
          <w:sz w:val="18"/>
          <w:szCs w:val="18"/>
        </w:rPr>
        <w:fldChar w:fldCharType="end"/>
      </w:r>
      <w:r w:rsidRPr="00865DA5">
        <w:rPr>
          <w:rFonts w:ascii="Arial" w:eastAsia="Arial" w:hAnsi="Arial" w:cs="Arial"/>
          <w:b/>
          <w:bCs/>
          <w:color w:val="4F81BD"/>
          <w:sz w:val="18"/>
          <w:szCs w:val="18"/>
          <w:bdr w:val="none" w:sz="0" w:space="0" w:color="auto" w:frame="1"/>
          <w:lang w:val="fr-FR"/>
        </w:rPr>
        <w:t xml:space="preserve"> - </w:t>
      </w:r>
      <w:r w:rsidRPr="00865DA5">
        <w:rPr>
          <w:rFonts w:ascii="Arial" w:eastAsia="Arial" w:hAnsi="Arial" w:cs="Arial"/>
          <w:b/>
          <w:bCs/>
          <w:color w:val="4F81BD"/>
          <w:sz w:val="18"/>
          <w:szCs w:val="18"/>
          <w:bdr w:val="none" w:sz="0" w:space="0" w:color="auto" w:frame="1"/>
          <w:lang w:val="fr-FR"/>
        </w:rPr>
        <w:tab/>
      </w:r>
      <w:r w:rsidRPr="00865DA5">
        <w:rPr>
          <w:rFonts w:ascii="Arial" w:eastAsia="Arial" w:hAnsi="Arial" w:cs="Arial"/>
          <w:sz w:val="18"/>
          <w:szCs w:val="18"/>
          <w:bdr w:val="none" w:sz="0" w:space="0" w:color="auto" w:frame="1"/>
          <w:lang w:val="fr-FR"/>
        </w:rPr>
        <w:t>La portée géographique du présent document est l’ensemble de la zone couverte par la Convention de Berne et le MIKT. En orange, les Parties contractantes de la Convention de Berne et les membres du MIKT ; en rouge, les Parties contractantes à la Convention de Berne et les observateurs</w:t>
      </w:r>
      <w:r w:rsidRPr="00FF6562">
        <w:rPr>
          <w:rFonts w:ascii="Arial" w:eastAsia="Calibri" w:hAnsi="Arial" w:cs="Arial"/>
          <w:bCs/>
          <w:sz w:val="18"/>
          <w:szCs w:val="18"/>
          <w:vertAlign w:val="superscript"/>
        </w:rPr>
        <w:footnoteReference w:id="3"/>
      </w:r>
      <w:r w:rsidRPr="00865DA5">
        <w:rPr>
          <w:rFonts w:ascii="Arial" w:eastAsia="Arial" w:hAnsi="Arial" w:cs="Arial"/>
          <w:sz w:val="18"/>
          <w:szCs w:val="18"/>
          <w:bdr w:val="none" w:sz="0" w:space="0" w:color="auto" w:frame="1"/>
          <w:lang w:val="fr-FR"/>
        </w:rPr>
        <w:t xml:space="preserve"> du MIKT ; en vert, les membres du MIKT et les États non-Parties contractantes à la Convention de Berne ; en jaune, d’autres observateurs du MIKT et États non-Parties contractantes à la Convention de Berne.</w:t>
      </w:r>
    </w:p>
    <w:p w:rsidR="00BD5B7F" w:rsidRPr="00865DA5" w:rsidRDefault="00BD5B7F" w:rsidP="00BD5B7F">
      <w:pPr>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En outre, le tableau de bord IKB offre aux administrations nationales, ainsi qu’aux différentes parties prenantes au niveau national et international, l’opportunité de renforcer leur image politique, leur engagement et la mobilisation des ressources pour l’élimination de l’IKB.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Au niveau international, le tableau de bord IKB favorise la collaboration et le partage de l’expérience, car des pays confrontés aux mêmes obstacles à l’amélioration de leurs scores </w:t>
      </w:r>
      <w:r w:rsidRPr="00865DA5">
        <w:rPr>
          <w:rFonts w:ascii="Arial" w:eastAsia="Arial" w:hAnsi="Arial" w:cs="Arial"/>
          <w:color w:val="000000"/>
          <w:sz w:val="22"/>
          <w:szCs w:val="22"/>
          <w:bdr w:val="none" w:sz="0" w:space="0" w:color="auto" w:frame="1"/>
          <w:lang w:val="fr-FR"/>
        </w:rPr>
        <w:lastRenderedPageBreak/>
        <w:t>dans un domaine particulier pourront vouloir travailler ensemble afin de définir des stratégies, dispenser des formations et partager des expériences.</w:t>
      </w:r>
    </w:p>
    <w:p w:rsidR="00BD5B7F" w:rsidRPr="00865DA5" w:rsidRDefault="00BD5B7F" w:rsidP="00BD5B7F">
      <w:pPr>
        <w:jc w:val="both"/>
        <w:rPr>
          <w:rFonts w:ascii="Arial" w:eastAsia="Arial" w:hAnsi="Arial" w:cs="Arial"/>
          <w:b/>
          <w:bCs/>
          <w:color w:val="000000"/>
          <w:sz w:val="22"/>
          <w:szCs w:val="22"/>
          <w:bdr w:val="none" w:sz="0" w:space="0" w:color="auto" w:frame="1"/>
          <w:lang w:val="fr-FR"/>
        </w:rPr>
      </w:pPr>
      <w:r w:rsidRPr="00865DA5">
        <w:rPr>
          <w:rFonts w:ascii="Arial" w:eastAsia="Arial" w:hAnsi="Arial" w:cs="Arial"/>
          <w:b/>
          <w:bCs/>
          <w:color w:val="000000"/>
          <w:sz w:val="22"/>
          <w:szCs w:val="22"/>
          <w:bdr w:val="none" w:sz="0" w:space="0" w:color="auto" w:frame="1"/>
          <w:lang w:val="fr-FR"/>
        </w:rPr>
        <w:t>Le tableau de bord ne doit pas être utilisé dans le cadre de processus relatifs au respect des Traités.</w:t>
      </w:r>
    </w:p>
    <w:p w:rsidR="00BD5B7F" w:rsidRPr="00865DA5" w:rsidRDefault="00BD5B7F" w:rsidP="00BD5B7F">
      <w:pPr>
        <w:spacing w:before="40" w:after="120"/>
        <w:jc w:val="both"/>
        <w:rPr>
          <w:rFonts w:ascii="Arial" w:eastAsia="Calibri" w:hAnsi="Arial" w:cs="Arial"/>
          <w:b/>
          <w:color w:val="000000"/>
          <w:sz w:val="30"/>
          <w:szCs w:val="30"/>
          <w:lang w:val="fr-FR"/>
        </w:rPr>
      </w:pPr>
      <w:r w:rsidRPr="00865DA5">
        <w:rPr>
          <w:rFonts w:ascii="Arial" w:eastAsia="Arial" w:hAnsi="Arial" w:cs="Arial"/>
          <w:color w:val="000000"/>
          <w:sz w:val="22"/>
          <w:szCs w:val="22"/>
          <w:bdr w:val="none" w:sz="0" w:space="0" w:color="auto" w:frame="1"/>
          <w:lang w:val="fr-FR"/>
        </w:rPr>
        <w:br w:type="page"/>
      </w:r>
      <w:bookmarkStart w:id="7" w:name="_Toc486539560"/>
      <w:r w:rsidRPr="00865DA5">
        <w:rPr>
          <w:rFonts w:ascii="Arial" w:eastAsia="Arial" w:hAnsi="Arial" w:cs="Arial"/>
          <w:b/>
          <w:bCs/>
          <w:color w:val="000000"/>
          <w:sz w:val="30"/>
          <w:szCs w:val="30"/>
          <w:bdr w:val="none" w:sz="0" w:space="0" w:color="auto" w:frame="1"/>
          <w:lang w:val="fr-FR"/>
        </w:rPr>
        <w:lastRenderedPageBreak/>
        <w:t>Vue d’ensemble du tableau de bord</w:t>
      </w:r>
      <w:bookmarkEnd w:id="7"/>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Le cadre d’indicateurs, qui constitue l’ossature du tableau de bord permettant aux États d’auto-évaluer leurs progrès dans l’élimination de l’IKB, est organisé en cinq domaines, chacun portant sur un aspect spécifique de la lutte contre l’IKB :</w:t>
      </w:r>
    </w:p>
    <w:p w:rsidR="00BD5B7F" w:rsidRPr="00865DA5" w:rsidRDefault="00BD5B7F" w:rsidP="00BD5B7F">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autoSpaceDN w:val="0"/>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Suivi national de l’IKB (Gestion des données sur la portée et l’échelle de l’IKB) – 4 indicateurs </w:t>
      </w:r>
    </w:p>
    <w:p w:rsidR="00BD5B7F" w:rsidRPr="00865DA5" w:rsidRDefault="00BD5B7F" w:rsidP="00BD5B7F">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autoSpaceDN w:val="0"/>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Niveau d’exhaustivité de la législation nationale – 9 indicateurs </w:t>
      </w:r>
    </w:p>
    <w:p w:rsidR="00BD5B7F" w:rsidRPr="00865DA5" w:rsidRDefault="00BD5B7F" w:rsidP="00BD5B7F">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autoSpaceDN w:val="0"/>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Réponse en matière de lutte contre la fraude</w:t>
      </w:r>
      <w:r w:rsidRPr="00FF6562">
        <w:rPr>
          <w:rStyle w:val="Appelnotedebasdep"/>
          <w:rFonts w:ascii="Arial" w:eastAsia="Arial" w:hAnsi="Arial" w:cs="Arial"/>
          <w:color w:val="000000"/>
          <w:sz w:val="22"/>
          <w:szCs w:val="22"/>
          <w:bdr w:val="none" w:sz="0" w:space="0" w:color="auto" w:frame="1"/>
        </w:rPr>
        <w:footnoteReference w:id="4"/>
      </w:r>
      <w:r w:rsidRPr="00865DA5">
        <w:rPr>
          <w:rFonts w:ascii="Arial" w:eastAsia="Arial" w:hAnsi="Arial" w:cs="Arial"/>
          <w:color w:val="000000"/>
          <w:sz w:val="22"/>
          <w:szCs w:val="22"/>
          <w:bdr w:val="none" w:sz="0" w:space="0" w:color="auto" w:frame="1"/>
          <w:lang w:val="fr-FR"/>
        </w:rPr>
        <w:t xml:space="preserve"> (Niveau de préparation des organes chargés de l’application des lois et de la lutte contre la fraude, et coordination des institutions nationales) – 6 indicateurs </w:t>
      </w:r>
    </w:p>
    <w:p w:rsidR="00BD5B7F" w:rsidRPr="00865DA5" w:rsidRDefault="00BD5B7F" w:rsidP="00BD5B7F">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autoSpaceDN w:val="0"/>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Poursuites et condamnations (Efficacité des procédures judiciaires) – 4 indicateurs </w:t>
      </w:r>
    </w:p>
    <w:p w:rsidR="00BD5B7F" w:rsidRPr="00865DA5" w:rsidRDefault="00BD5B7F" w:rsidP="00BD5B7F">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134" w:hanging="414"/>
        <w:contextualSpacing/>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Prévention (Autres instruments utilisés pour lutter contre l’IKB) – 5 indicateurs </w:t>
      </w:r>
    </w:p>
    <w:p w:rsidR="00BD5B7F" w:rsidRPr="00865DA5" w:rsidRDefault="00BD5B7F" w:rsidP="00BD5B7F">
      <w:pPr>
        <w:spacing w:after="200"/>
        <w:rPr>
          <w:rFonts w:ascii="Arial" w:eastAsia="Calibri" w:hAnsi="Arial" w:cs="Arial"/>
          <w:color w:val="000000"/>
          <w:sz w:val="22"/>
          <w:szCs w:val="22"/>
          <w:lang w:val="fr-FR"/>
        </w:rPr>
      </w:pPr>
    </w:p>
    <w:p w:rsidR="00BD5B7F" w:rsidRPr="00865DA5" w:rsidRDefault="00BD5B7F" w:rsidP="00BD5B7F">
      <w:pPr>
        <w:spacing w:after="120"/>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Les 28 indicateurs représentent les domaines critiques permettant d’évaluer l’efficacité de la réponse nationale à l’IKB.</w:t>
      </w:r>
    </w:p>
    <w:p w:rsidR="00BD5B7F" w:rsidRPr="00865DA5" w:rsidRDefault="00BD5B7F" w:rsidP="00BD5B7F">
      <w:pPr>
        <w:spacing w:after="120"/>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 xml:space="preserve">Le premier groupe d’indicateurs donne un aperçu des connaissances sur l’étendue et l’échelle de l’IKB au niveau national au regard du nombre d’oiseaux abattus, prélevés ou commercialisés illégalement par an ainsi que du nombre de cas ayant fait l’objet de poursuites.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Le deuxième groupe d’indicateurs évalue dans quelle mesure la législation nationale porte sur l’IKB, réglemente le prélèvement d’oiseaux sauvages et intègre le droit et les engagements internationaux.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Le troisième groupe d’indicateurs examine les réponses en matière de lutte contre la fraude et d’application des lois relatives à l’IKB, à travers l’existence d’un plan d’action constituant une priorité partagée par des agences chargée de l’application des lois et de la lutte contre la fraude correctement formées et dotées d’un personnel suffisant pour que les affaires fassent l’objet de poursuites.</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Le quatrième groupe d’indicateurs porte sur l’efficacité du système judiciaire de lutte contre l’IKB qui devrait être conscient de la gravité de l’IKB et dûment formé pour infliger les sanctions appropriées. </w:t>
      </w:r>
    </w:p>
    <w:p w:rsidR="00BD5B7F" w:rsidRPr="00865DA5" w:rsidRDefault="00BD5B7F" w:rsidP="00BD5B7F">
      <w:pPr>
        <w:spacing w:after="120"/>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 xml:space="preserve">Le dernier groupe d’indicateurs examine les autres instruments utiles à la réduction de l’IKB, comme la sensibilisation du public, la prise en compte des moteurs de l’IKB, la coordination internationale et l’engagement des parties prenantes. </w:t>
      </w:r>
    </w:p>
    <w:p w:rsidR="00BD5B7F" w:rsidRPr="00865DA5" w:rsidRDefault="00BD5B7F" w:rsidP="00BD5B7F">
      <w:pPr>
        <w:spacing w:after="160" w:line="259" w:lineRule="auto"/>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br w:type="page"/>
      </w:r>
    </w:p>
    <w:p w:rsidR="00BD5B7F" w:rsidRPr="00865DA5" w:rsidRDefault="00BD5B7F" w:rsidP="00BD5B7F">
      <w:pPr>
        <w:spacing w:after="120"/>
        <w:rPr>
          <w:rFonts w:ascii="Arial" w:eastAsia="Calibri" w:hAnsi="Arial" w:cs="Arial"/>
          <w:b/>
          <w:color w:val="000000"/>
          <w:sz w:val="22"/>
          <w:szCs w:val="22"/>
          <w:lang w:val="fr-FR"/>
        </w:rPr>
      </w:pPr>
      <w:r w:rsidRPr="00865DA5">
        <w:rPr>
          <w:rFonts w:ascii="Arial" w:eastAsia="Arial" w:hAnsi="Arial" w:cs="Arial"/>
          <w:b/>
          <w:bCs/>
          <w:color w:val="0070C0"/>
          <w:sz w:val="22"/>
          <w:szCs w:val="22"/>
          <w:bdr w:val="none" w:sz="0" w:space="0" w:color="auto" w:frame="1"/>
          <w:lang w:val="fr-FR"/>
        </w:rPr>
        <w:lastRenderedPageBreak/>
        <w:t xml:space="preserve">Tableau 1 - </w:t>
      </w:r>
      <w:r w:rsidRPr="00865DA5">
        <w:rPr>
          <w:rFonts w:ascii="Arial" w:eastAsia="Arial" w:hAnsi="Arial" w:cs="Arial"/>
          <w:color w:val="000000"/>
          <w:sz w:val="22"/>
          <w:szCs w:val="22"/>
          <w:bdr w:val="none" w:sz="0" w:space="0" w:color="auto" w:frame="1"/>
          <w:lang w:val="fr-FR"/>
        </w:rPr>
        <w:t>Les indicateurs dans le tableau de bord IKB</w:t>
      </w:r>
    </w:p>
    <w:tbl>
      <w:tblPr>
        <w:tblW w:w="0" w:type="auto"/>
        <w:tblBorders>
          <w:top w:val="single" w:sz="18" w:space="0" w:color="auto"/>
          <w:bottom w:val="single" w:sz="18" w:space="0" w:color="auto"/>
        </w:tblBorders>
        <w:tblLook w:val="04A0" w:firstRow="1" w:lastRow="0" w:firstColumn="1" w:lastColumn="0" w:noHBand="0" w:noVBand="1"/>
      </w:tblPr>
      <w:tblGrid>
        <w:gridCol w:w="2093"/>
        <w:gridCol w:w="7193"/>
      </w:tblGrid>
      <w:tr w:rsidR="00BD5B7F" w:rsidRPr="00FC42B0" w:rsidTr="000E5961">
        <w:trPr>
          <w:cantSplit/>
        </w:trPr>
        <w:tc>
          <w:tcPr>
            <w:tcW w:w="2093" w:type="dxa"/>
            <w:tcBorders>
              <w:top w:val="single" w:sz="18" w:space="0" w:color="auto"/>
              <w:left w:val="nil"/>
              <w:bottom w:val="single" w:sz="18" w:space="0" w:color="auto"/>
              <w:right w:val="nil"/>
            </w:tcBorders>
            <w:shd w:val="clear" w:color="auto" w:fill="4F81BD"/>
          </w:tcPr>
          <w:p w:rsidR="00BD5B7F" w:rsidRPr="00865DA5" w:rsidRDefault="00BD5B7F" w:rsidP="000E5961">
            <w:pPr>
              <w:rPr>
                <w:rFonts w:ascii="Arial" w:eastAsia="Calibri" w:hAnsi="Arial" w:cs="Arial"/>
                <w:b/>
                <w:bCs/>
                <w:color w:val="FFFFFF"/>
                <w:sz w:val="22"/>
                <w:szCs w:val="22"/>
                <w:lang w:val="fr-FR"/>
              </w:rPr>
            </w:pPr>
          </w:p>
        </w:tc>
        <w:tc>
          <w:tcPr>
            <w:tcW w:w="0" w:type="auto"/>
            <w:tcBorders>
              <w:top w:val="single" w:sz="18" w:space="0" w:color="auto"/>
              <w:left w:val="nil"/>
              <w:bottom w:val="single" w:sz="18" w:space="0" w:color="auto"/>
              <w:right w:val="nil"/>
            </w:tcBorders>
            <w:shd w:val="clear" w:color="auto" w:fill="4F81BD"/>
          </w:tcPr>
          <w:p w:rsidR="00BD5B7F" w:rsidRPr="00865DA5" w:rsidRDefault="00BD5B7F" w:rsidP="000E5961">
            <w:pPr>
              <w:rPr>
                <w:rFonts w:ascii="Arial" w:eastAsia="Calibri" w:hAnsi="Arial" w:cs="Arial"/>
                <w:b/>
                <w:bCs/>
                <w:color w:val="000000"/>
                <w:sz w:val="22"/>
                <w:szCs w:val="22"/>
                <w:lang w:val="fr-FR"/>
              </w:rPr>
            </w:pPr>
          </w:p>
        </w:tc>
      </w:tr>
      <w:tr w:rsidR="00BD5B7F" w:rsidRPr="00FC42B0" w:rsidTr="000E5961">
        <w:trPr>
          <w:cantSplit/>
        </w:trPr>
        <w:tc>
          <w:tcPr>
            <w:tcW w:w="2093" w:type="dxa"/>
            <w:vMerge w:val="restart"/>
            <w:tcBorders>
              <w:top w:val="nil"/>
              <w:left w:val="nil"/>
              <w:bottom w:val="single" w:sz="12" w:space="0" w:color="auto"/>
              <w:right w:val="nil"/>
            </w:tcBorders>
            <w:shd w:val="clear" w:color="auto" w:fill="4F81BD"/>
            <w:hideMark/>
          </w:tcPr>
          <w:p w:rsidR="00BD5B7F" w:rsidRPr="00865DA5" w:rsidRDefault="00BD5B7F" w:rsidP="000E5961">
            <w:pPr>
              <w:rPr>
                <w:rFonts w:ascii="Arial" w:eastAsia="Calibri" w:hAnsi="Arial" w:cs="Arial"/>
                <w:b/>
                <w:bCs/>
                <w:color w:val="FFFFFF"/>
                <w:sz w:val="22"/>
                <w:szCs w:val="22"/>
                <w:lang w:val="fr-FR"/>
              </w:rPr>
            </w:pPr>
            <w:r w:rsidRPr="00865DA5">
              <w:rPr>
                <w:rFonts w:ascii="Arial" w:eastAsia="Arial" w:hAnsi="Arial" w:cs="Arial"/>
                <w:b/>
                <w:bCs/>
                <w:color w:val="FFFFFF"/>
                <w:sz w:val="22"/>
                <w:szCs w:val="22"/>
                <w:bdr w:val="none" w:sz="0" w:space="0" w:color="auto" w:frame="1"/>
                <w:lang w:val="fr-FR"/>
              </w:rPr>
              <w:t xml:space="preserve">A. </w:t>
            </w:r>
            <w:r w:rsidRPr="00865DA5">
              <w:rPr>
                <w:rFonts w:ascii="Arial" w:eastAsia="Arial" w:hAnsi="Arial" w:cs="Arial"/>
                <w:b/>
                <w:bCs/>
                <w:color w:val="FFFFFF"/>
                <w:sz w:val="22"/>
                <w:szCs w:val="22"/>
                <w:bdr w:val="none" w:sz="0" w:space="0" w:color="auto" w:frame="1"/>
                <w:lang w:val="fr-FR"/>
              </w:rPr>
              <w:br/>
              <w:t>Suivi national de l’IKB (Gestion des données sur la portée et l’échelle de l’IKB)</w:t>
            </w:r>
          </w:p>
        </w:tc>
        <w:tc>
          <w:tcPr>
            <w:tcW w:w="0" w:type="auto"/>
            <w:tcBorders>
              <w:top w:val="nil"/>
              <w:left w:val="nil"/>
              <w:bottom w:val="nil"/>
              <w:right w:val="nil"/>
            </w:tcBorders>
            <w:shd w:val="clear" w:color="auto" w:fill="D8D8D8"/>
            <w:hideMark/>
          </w:tcPr>
          <w:p w:rsidR="00BD5B7F" w:rsidRPr="00865DA5" w:rsidRDefault="00BD5B7F" w:rsidP="000E5961">
            <w:pPr>
              <w:rPr>
                <w:rFonts w:ascii="Arial" w:eastAsia="Arial" w:hAnsi="Arial" w:cs="Arial"/>
                <w:color w:val="000000"/>
                <w:sz w:val="22"/>
                <w:szCs w:val="22"/>
                <w:bdr w:val="none" w:sz="0" w:space="0" w:color="auto" w:frame="1"/>
                <w:lang w:val="fr-FR"/>
              </w:rPr>
            </w:pPr>
            <w:r w:rsidRPr="00865DA5">
              <w:rPr>
                <w:rFonts w:ascii="Arial" w:eastAsia="Arial" w:hAnsi="Arial" w:cs="Arial"/>
                <w:b/>
                <w:bCs/>
                <w:color w:val="000000"/>
                <w:sz w:val="22"/>
                <w:szCs w:val="22"/>
                <w:bdr w:val="none" w:sz="0" w:space="0" w:color="auto" w:frame="1"/>
                <w:lang w:val="fr-FR"/>
              </w:rPr>
              <w:t>1. Situation et échelle de l’IKB</w:t>
            </w:r>
            <w:r w:rsidRPr="00865DA5">
              <w:rPr>
                <w:rFonts w:ascii="Arial" w:eastAsia="Arial" w:hAnsi="Arial" w:cs="Arial"/>
                <w:color w:val="000000"/>
                <w:sz w:val="22"/>
                <w:szCs w:val="22"/>
                <w:bdr w:val="none" w:sz="0" w:space="0" w:color="auto" w:frame="1"/>
                <w:lang w:val="fr-FR"/>
              </w:rPr>
              <w:t xml:space="preserve"> </w:t>
            </w:r>
            <w:r w:rsidRPr="00865DA5">
              <w:rPr>
                <w:rFonts w:ascii="Arial" w:eastAsia="Arial" w:hAnsi="Arial" w:cs="Arial"/>
                <w:color w:val="000000"/>
                <w:sz w:val="22"/>
                <w:szCs w:val="22"/>
                <w:bdr w:val="none" w:sz="0" w:space="0" w:color="auto" w:frame="1"/>
                <w:lang w:val="fr-FR"/>
              </w:rPr>
              <w:br/>
              <w:t>Le niveau de disponibilité des données sur les activités illégales à l’échelle nationale</w:t>
            </w:r>
          </w:p>
        </w:tc>
      </w:tr>
      <w:tr w:rsidR="00BD5B7F" w:rsidRPr="00FC42B0" w:rsidTr="000E5961">
        <w:trPr>
          <w:cantSplit/>
        </w:trPr>
        <w:tc>
          <w:tcPr>
            <w:tcW w:w="0" w:type="auto"/>
            <w:vMerge/>
            <w:tcBorders>
              <w:top w:val="nil"/>
              <w:left w:val="nil"/>
              <w:bottom w:val="single" w:sz="12"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nil"/>
              <w:right w:val="nil"/>
            </w:tcBorders>
            <w:hideMark/>
          </w:tcPr>
          <w:p w:rsidR="00BD5B7F" w:rsidRPr="00865DA5" w:rsidRDefault="00BD5B7F" w:rsidP="000E5961">
            <w:pPr>
              <w:rPr>
                <w:rFonts w:ascii="Arial" w:eastAsia="Calibri" w:hAnsi="Arial" w:cs="Arial"/>
                <w:color w:val="000000"/>
                <w:sz w:val="22"/>
                <w:szCs w:val="22"/>
                <w:lang w:val="fr-FR"/>
              </w:rPr>
            </w:pPr>
            <w:r w:rsidRPr="00865DA5">
              <w:rPr>
                <w:rFonts w:ascii="Arial" w:eastAsia="Arial" w:hAnsi="Arial" w:cs="Arial"/>
                <w:b/>
                <w:bCs/>
                <w:color w:val="000000"/>
                <w:sz w:val="22"/>
                <w:szCs w:val="22"/>
                <w:bdr w:val="none" w:sz="0" w:space="0" w:color="auto" w:frame="1"/>
                <w:lang w:val="fr-FR"/>
              </w:rPr>
              <w:t xml:space="preserve">2 Nombre, répartition et tendance des oiseaux illégalement abattus, piégés ou commercialisés </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nombre, la tendance, la répartition saisonnière et géographique des oiseaux illégalement abattus, piégés et vendus dans votre pays, y compris dans les territoires d’outre-mer</w:t>
            </w:r>
            <w:r w:rsidRPr="00865DA5">
              <w:rPr>
                <w:rFonts w:ascii="Arial" w:eastAsia="Arial" w:hAnsi="Arial" w:cs="Arial"/>
                <w:b/>
                <w:bCs/>
                <w:color w:val="000000"/>
                <w:sz w:val="22"/>
                <w:szCs w:val="22"/>
                <w:bdr w:val="none" w:sz="0" w:space="0" w:color="auto" w:frame="1"/>
                <w:lang w:val="fr-FR"/>
              </w:rPr>
              <w:t>.</w:t>
            </w:r>
          </w:p>
        </w:tc>
      </w:tr>
      <w:tr w:rsidR="00BD5B7F" w:rsidRPr="00FC42B0" w:rsidTr="000E5961">
        <w:trPr>
          <w:cantSplit/>
        </w:trPr>
        <w:tc>
          <w:tcPr>
            <w:tcW w:w="0" w:type="auto"/>
            <w:vMerge/>
            <w:tcBorders>
              <w:top w:val="nil"/>
              <w:left w:val="nil"/>
              <w:bottom w:val="single" w:sz="12"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nil"/>
              <w:right w:val="nil"/>
            </w:tcBorders>
            <w:shd w:val="clear" w:color="auto" w:fill="D8D8D8"/>
            <w:hideMark/>
          </w:tcPr>
          <w:p w:rsidR="00BD5B7F" w:rsidRPr="00865DA5" w:rsidRDefault="00BD5B7F" w:rsidP="000E5961">
            <w:pPr>
              <w:rPr>
                <w:rFonts w:ascii="Arial" w:eastAsia="Arial" w:hAnsi="Arial" w:cs="Arial"/>
                <w:color w:val="000000"/>
                <w:sz w:val="22"/>
                <w:szCs w:val="22"/>
                <w:bdr w:val="none" w:sz="0" w:space="0" w:color="auto" w:frame="1"/>
                <w:lang w:val="fr-FR"/>
              </w:rPr>
            </w:pPr>
            <w:r w:rsidRPr="00865DA5">
              <w:rPr>
                <w:rFonts w:ascii="Arial" w:eastAsia="Arial" w:hAnsi="Arial" w:cs="Arial"/>
                <w:b/>
                <w:bCs/>
                <w:color w:val="000000"/>
                <w:sz w:val="22"/>
                <w:szCs w:val="22"/>
                <w:bdr w:val="none" w:sz="0" w:space="0" w:color="auto" w:frame="1"/>
                <w:lang w:val="fr-FR"/>
              </w:rPr>
              <w:t>3. Connaissance de l’étendue des cas d’IKB par la justice</w:t>
            </w:r>
            <w:r w:rsidRPr="00865DA5">
              <w:rPr>
                <w:rFonts w:ascii="Arial" w:eastAsia="Arial" w:hAnsi="Arial" w:cs="Arial"/>
                <w:color w:val="000000"/>
                <w:sz w:val="22"/>
                <w:szCs w:val="22"/>
                <w:bdr w:val="none" w:sz="0" w:space="0" w:color="auto" w:frame="1"/>
                <w:lang w:val="fr-FR"/>
              </w:rPr>
              <w:br/>
              <w:t>Le niveau de disponibilité des données sur les activités illégales à l’échelle nationale</w:t>
            </w:r>
          </w:p>
        </w:tc>
      </w:tr>
      <w:tr w:rsidR="00BD5B7F" w:rsidRPr="00FC42B0" w:rsidTr="000E5961">
        <w:trPr>
          <w:cantSplit/>
        </w:trPr>
        <w:tc>
          <w:tcPr>
            <w:tcW w:w="0" w:type="auto"/>
            <w:vMerge/>
            <w:tcBorders>
              <w:top w:val="nil"/>
              <w:left w:val="nil"/>
              <w:bottom w:val="single" w:sz="12"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single" w:sz="12" w:space="0" w:color="auto"/>
              <w:right w:val="nil"/>
            </w:tcBorders>
            <w:hideMark/>
          </w:tcPr>
          <w:p w:rsidR="00BD5B7F" w:rsidRPr="00865DA5" w:rsidRDefault="00BD5B7F" w:rsidP="000E5961">
            <w:pPr>
              <w:rPr>
                <w:rFonts w:ascii="Arial" w:eastAsia="Calibri" w:hAnsi="Arial" w:cs="Arial"/>
                <w:color w:val="000000"/>
                <w:sz w:val="22"/>
                <w:szCs w:val="22"/>
                <w:lang w:val="fr-FR"/>
              </w:rPr>
            </w:pPr>
            <w:r w:rsidRPr="00865DA5">
              <w:rPr>
                <w:rFonts w:ascii="Arial" w:eastAsia="Arial" w:hAnsi="Arial" w:cs="Arial"/>
                <w:b/>
                <w:bCs/>
                <w:color w:val="000000"/>
                <w:sz w:val="22"/>
                <w:szCs w:val="22"/>
                <w:bdr w:val="none" w:sz="0" w:space="0" w:color="auto" w:frame="1"/>
                <w:lang w:val="fr-FR"/>
              </w:rPr>
              <w:t>4. Nombre de cas d’IKB ayant fait l’objet de poursuites au cours de la période de rapport</w:t>
            </w:r>
            <w:r w:rsidRPr="00865DA5">
              <w:rPr>
                <w:rFonts w:ascii="Arial" w:eastAsia="Arial" w:hAnsi="Arial" w:cs="Arial"/>
                <w:color w:val="000000"/>
                <w:sz w:val="22"/>
                <w:szCs w:val="22"/>
                <w:bdr w:val="none" w:sz="0" w:space="0" w:color="auto" w:frame="1"/>
                <w:lang w:val="fr-FR"/>
              </w:rPr>
              <w:br/>
              <w:t>Le nombre de cas d’IKB ayant fait l’objet de poursuites au cours de la période de rapport</w:t>
            </w:r>
          </w:p>
        </w:tc>
      </w:tr>
      <w:tr w:rsidR="00BD5B7F" w:rsidRPr="00FC42B0" w:rsidTr="000E5961">
        <w:trPr>
          <w:cantSplit/>
        </w:trPr>
        <w:tc>
          <w:tcPr>
            <w:tcW w:w="2093" w:type="dxa"/>
            <w:vMerge w:val="restart"/>
            <w:tcBorders>
              <w:top w:val="single" w:sz="12" w:space="0" w:color="auto"/>
              <w:left w:val="nil"/>
              <w:bottom w:val="single" w:sz="12" w:space="0" w:color="auto"/>
              <w:right w:val="nil"/>
            </w:tcBorders>
            <w:shd w:val="clear" w:color="auto" w:fill="4F81BD"/>
            <w:hideMark/>
          </w:tcPr>
          <w:p w:rsidR="00BD5B7F" w:rsidRPr="00865DA5" w:rsidRDefault="00BD5B7F" w:rsidP="000E5961">
            <w:pPr>
              <w:rPr>
                <w:rFonts w:ascii="Arial" w:eastAsia="Calibri" w:hAnsi="Arial" w:cs="Arial"/>
                <w:b/>
                <w:bCs/>
                <w:i/>
                <w:iCs/>
                <w:color w:val="FFFFFF"/>
                <w:sz w:val="22"/>
                <w:szCs w:val="22"/>
                <w:lang w:val="fr-FR"/>
              </w:rPr>
            </w:pPr>
            <w:r w:rsidRPr="00865DA5">
              <w:rPr>
                <w:rFonts w:ascii="Arial" w:eastAsia="Arial" w:hAnsi="Arial" w:cs="Arial"/>
                <w:b/>
                <w:bCs/>
                <w:color w:val="FFFFFF"/>
                <w:sz w:val="22"/>
                <w:szCs w:val="22"/>
                <w:bdr w:val="none" w:sz="0" w:space="0" w:color="auto" w:frame="1"/>
                <w:lang w:val="fr-FR"/>
              </w:rPr>
              <w:t xml:space="preserve">B. </w:t>
            </w:r>
            <w:r w:rsidRPr="00865DA5">
              <w:rPr>
                <w:rFonts w:ascii="Arial" w:eastAsia="Arial" w:hAnsi="Arial" w:cs="Arial"/>
                <w:b/>
                <w:bCs/>
                <w:color w:val="FFFFFF"/>
                <w:sz w:val="22"/>
                <w:szCs w:val="22"/>
                <w:bdr w:val="none" w:sz="0" w:space="0" w:color="auto" w:frame="1"/>
                <w:lang w:val="fr-FR"/>
              </w:rPr>
              <w:br/>
              <w:t>Niveau d’exhaustivité de la législation nationale</w:t>
            </w:r>
          </w:p>
        </w:tc>
        <w:tc>
          <w:tcPr>
            <w:tcW w:w="0" w:type="auto"/>
            <w:tcBorders>
              <w:top w:val="single" w:sz="12" w:space="0" w:color="auto"/>
              <w:left w:val="nil"/>
              <w:bottom w:val="nil"/>
              <w:right w:val="nil"/>
            </w:tcBorders>
            <w:shd w:val="clear" w:color="auto" w:fill="D8D8D8"/>
            <w:hideMark/>
          </w:tcPr>
          <w:p w:rsidR="00BD5B7F" w:rsidRPr="00865DA5" w:rsidRDefault="00BD5B7F" w:rsidP="000E5961">
            <w:pPr>
              <w:rPr>
                <w:rFonts w:ascii="Arial" w:eastAsia="Calibri" w:hAnsi="Arial" w:cs="Arial"/>
                <w:color w:val="000000"/>
                <w:sz w:val="22"/>
                <w:szCs w:val="22"/>
                <w:lang w:val="fr-FR"/>
              </w:rPr>
            </w:pPr>
            <w:r w:rsidRPr="00865DA5">
              <w:rPr>
                <w:rFonts w:ascii="Arial" w:eastAsia="Arial" w:hAnsi="Arial" w:cs="Arial"/>
                <w:b/>
                <w:bCs/>
                <w:color w:val="000000"/>
                <w:sz w:val="22"/>
                <w:szCs w:val="22"/>
                <w:bdr w:val="none" w:sz="0" w:space="0" w:color="auto" w:frame="1"/>
                <w:lang w:val="fr-FR"/>
              </w:rPr>
              <w:t>5. Législation nationale sur la faune sauvage</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niveau d’exhaustivité des dispositions législatives nationales en vigueur pour la conservation, la gestion et l’utilisation de la faune sauvage, y compris l’interdiction de l’IKB</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i/>
                <w:iCs/>
                <w:color w:val="FFFFFF"/>
                <w:sz w:val="22"/>
                <w:szCs w:val="22"/>
                <w:lang w:val="fr-FR"/>
              </w:rPr>
            </w:pPr>
          </w:p>
        </w:tc>
        <w:tc>
          <w:tcPr>
            <w:tcW w:w="0" w:type="auto"/>
            <w:tcBorders>
              <w:top w:val="nil"/>
              <w:left w:val="nil"/>
              <w:bottom w:val="nil"/>
              <w:right w:val="nil"/>
            </w:tcBorders>
            <w:hideMark/>
          </w:tcPr>
          <w:p w:rsidR="00BD5B7F" w:rsidRPr="00865DA5" w:rsidRDefault="00BD5B7F" w:rsidP="000E5961">
            <w:pPr>
              <w:rPr>
                <w:rFonts w:ascii="Arial" w:eastAsia="Calibri" w:hAnsi="Arial" w:cs="Arial"/>
                <w:color w:val="000000"/>
                <w:sz w:val="22"/>
                <w:szCs w:val="22"/>
                <w:lang w:val="fr-FR"/>
              </w:rPr>
            </w:pPr>
            <w:r w:rsidRPr="00865DA5">
              <w:rPr>
                <w:rFonts w:ascii="Arial" w:eastAsia="Arial" w:hAnsi="Arial" w:cs="Arial"/>
                <w:b/>
                <w:bCs/>
                <w:color w:val="000000"/>
                <w:sz w:val="22"/>
                <w:szCs w:val="22"/>
                <w:bdr w:val="none" w:sz="0" w:space="0" w:color="auto" w:frame="1"/>
                <w:lang w:val="fr-FR"/>
              </w:rPr>
              <w:t>6. Utilisation réglementée</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niveau d’exhaustivité de la législation nationale concernant l’utilisation durable de la faune sauvage, incluant la chasse</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i/>
                <w:iCs/>
                <w:color w:val="FFFFFF"/>
                <w:sz w:val="22"/>
                <w:szCs w:val="22"/>
                <w:lang w:val="fr-FR"/>
              </w:rPr>
            </w:pPr>
          </w:p>
        </w:tc>
        <w:tc>
          <w:tcPr>
            <w:tcW w:w="0" w:type="auto"/>
            <w:tcBorders>
              <w:top w:val="nil"/>
              <w:left w:val="nil"/>
              <w:bottom w:val="nil"/>
              <w:right w:val="nil"/>
            </w:tcBorders>
            <w:shd w:val="clear" w:color="auto" w:fill="D8D8D8"/>
            <w:hideMark/>
          </w:tcPr>
          <w:p w:rsidR="00BD5B7F" w:rsidRPr="00865DA5" w:rsidRDefault="00BD5B7F" w:rsidP="000E5961">
            <w:pPr>
              <w:rPr>
                <w:rFonts w:ascii="Arial" w:eastAsia="Calibri" w:hAnsi="Arial" w:cs="Arial"/>
                <w:b/>
                <w:bCs/>
                <w:color w:val="000000"/>
                <w:sz w:val="22"/>
                <w:szCs w:val="22"/>
                <w:lang w:val="fr-FR"/>
              </w:rPr>
            </w:pPr>
            <w:r w:rsidRPr="00865DA5">
              <w:rPr>
                <w:rFonts w:ascii="Arial" w:eastAsia="Arial" w:hAnsi="Arial" w:cs="Arial"/>
                <w:b/>
                <w:bCs/>
                <w:color w:val="000000"/>
                <w:sz w:val="22"/>
                <w:szCs w:val="22"/>
                <w:bdr w:val="none" w:sz="0" w:space="0" w:color="auto" w:frame="1"/>
                <w:lang w:val="fr-FR"/>
              </w:rPr>
              <w:t>7. Interdictions en vertu de la législation nationale</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L’étendue des activités interdites par la législation nationale</w:t>
            </w:r>
            <w:r w:rsidRPr="00865DA5">
              <w:rPr>
                <w:rFonts w:ascii="Arial" w:eastAsia="Arial" w:hAnsi="Arial" w:cs="Arial"/>
                <w:b/>
                <w:bCs/>
                <w:color w:val="000000"/>
                <w:sz w:val="22"/>
                <w:szCs w:val="22"/>
                <w:bdr w:val="none" w:sz="0" w:space="0" w:color="auto" w:frame="1"/>
                <w:lang w:val="fr-FR"/>
              </w:rPr>
              <w:t xml:space="preserve"> </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i/>
                <w:iCs/>
                <w:color w:val="FFFFFF"/>
                <w:sz w:val="22"/>
                <w:szCs w:val="22"/>
                <w:lang w:val="fr-FR"/>
              </w:rPr>
            </w:pPr>
          </w:p>
        </w:tc>
        <w:tc>
          <w:tcPr>
            <w:tcW w:w="0" w:type="auto"/>
            <w:tcBorders>
              <w:top w:val="nil"/>
              <w:left w:val="nil"/>
              <w:bottom w:val="nil"/>
              <w:right w:val="nil"/>
            </w:tcBorders>
            <w:hideMark/>
          </w:tcPr>
          <w:p w:rsidR="00BD5B7F" w:rsidRPr="00865DA5" w:rsidRDefault="00BD5B7F" w:rsidP="000E5961">
            <w:pPr>
              <w:rPr>
                <w:rFonts w:ascii="Arial" w:eastAsia="Calibri" w:hAnsi="Arial" w:cs="Arial"/>
                <w:b/>
                <w:bCs/>
                <w:color w:val="000000"/>
                <w:sz w:val="22"/>
                <w:szCs w:val="22"/>
                <w:lang w:val="fr-FR"/>
              </w:rPr>
            </w:pPr>
            <w:r w:rsidRPr="00865DA5">
              <w:rPr>
                <w:rFonts w:ascii="Arial" w:eastAsia="Arial" w:hAnsi="Arial" w:cs="Arial"/>
                <w:b/>
                <w:bCs/>
                <w:color w:val="000000"/>
                <w:sz w:val="22"/>
                <w:szCs w:val="22"/>
                <w:bdr w:val="none" w:sz="0" w:space="0" w:color="auto" w:frame="1"/>
                <w:lang w:val="fr-FR"/>
              </w:rPr>
              <w:t>8. Exceptions à la législation nationale</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L’étendue de l’examen réglementaire concernant toute autorisation de dérogation</w:t>
            </w:r>
            <w:r w:rsidRPr="00865DA5">
              <w:rPr>
                <w:rFonts w:ascii="Arial" w:eastAsia="Arial" w:hAnsi="Arial" w:cs="Arial"/>
                <w:b/>
                <w:bCs/>
                <w:color w:val="000000"/>
                <w:sz w:val="22"/>
                <w:szCs w:val="22"/>
                <w:bdr w:val="none" w:sz="0" w:space="0" w:color="auto" w:frame="1"/>
                <w:lang w:val="fr-FR"/>
              </w:rPr>
              <w:t xml:space="preserve"> </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i/>
                <w:iCs/>
                <w:color w:val="FFFFFF"/>
                <w:sz w:val="22"/>
                <w:szCs w:val="22"/>
                <w:lang w:val="fr-FR"/>
              </w:rPr>
            </w:pPr>
          </w:p>
        </w:tc>
        <w:tc>
          <w:tcPr>
            <w:tcW w:w="0" w:type="auto"/>
            <w:tcBorders>
              <w:top w:val="nil"/>
              <w:left w:val="nil"/>
              <w:bottom w:val="nil"/>
              <w:right w:val="nil"/>
            </w:tcBorders>
            <w:shd w:val="clear" w:color="auto" w:fill="D8D8D8"/>
            <w:hideMark/>
          </w:tcPr>
          <w:p w:rsidR="00BD5B7F" w:rsidRPr="00865DA5" w:rsidRDefault="00BD5B7F" w:rsidP="000E5961">
            <w:pPr>
              <w:rPr>
                <w:rFonts w:ascii="Arial" w:eastAsia="Calibri" w:hAnsi="Arial" w:cs="Arial"/>
                <w:b/>
                <w:bCs/>
                <w:color w:val="000000"/>
                <w:sz w:val="22"/>
                <w:szCs w:val="22"/>
                <w:lang w:val="fr-FR"/>
              </w:rPr>
            </w:pPr>
            <w:r w:rsidRPr="00865DA5">
              <w:rPr>
                <w:rFonts w:ascii="Arial" w:eastAsia="Arial" w:hAnsi="Arial" w:cs="Arial"/>
                <w:b/>
                <w:bCs/>
                <w:color w:val="000000"/>
                <w:sz w:val="22"/>
                <w:szCs w:val="22"/>
                <w:bdr w:val="none" w:sz="0" w:space="0" w:color="auto" w:frame="1"/>
                <w:lang w:val="fr-FR"/>
              </w:rPr>
              <w:t>9. Sanctions et peines</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niveau d’exhaustivité des sanctions relatives à l’IKB</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i/>
                <w:iCs/>
                <w:color w:val="FFFFFF"/>
                <w:sz w:val="22"/>
                <w:szCs w:val="22"/>
                <w:lang w:val="fr-FR"/>
              </w:rPr>
            </w:pPr>
          </w:p>
        </w:tc>
        <w:tc>
          <w:tcPr>
            <w:tcW w:w="0" w:type="auto"/>
            <w:tcBorders>
              <w:top w:val="nil"/>
              <w:left w:val="nil"/>
              <w:bottom w:val="nil"/>
              <w:right w:val="nil"/>
            </w:tcBorders>
            <w:hideMark/>
          </w:tcPr>
          <w:p w:rsidR="00BD5B7F" w:rsidRPr="00865DA5" w:rsidRDefault="00BD5B7F" w:rsidP="000E5961">
            <w:pPr>
              <w:rPr>
                <w:rFonts w:ascii="Arial" w:eastAsia="Calibri" w:hAnsi="Arial" w:cs="Arial"/>
                <w:b/>
                <w:bCs/>
                <w:color w:val="000000"/>
                <w:sz w:val="22"/>
                <w:szCs w:val="22"/>
                <w:lang w:val="fr-FR"/>
              </w:rPr>
            </w:pPr>
            <w:r w:rsidRPr="00865DA5">
              <w:rPr>
                <w:rFonts w:ascii="Arial" w:eastAsia="Arial" w:hAnsi="Arial" w:cs="Arial"/>
                <w:b/>
                <w:bCs/>
                <w:color w:val="000000"/>
                <w:sz w:val="22"/>
                <w:szCs w:val="22"/>
                <w:bdr w:val="none" w:sz="0" w:space="0" w:color="auto" w:frame="1"/>
                <w:lang w:val="fr-FR"/>
              </w:rPr>
              <w:t>10. Proportionnalité des sanctions</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niveau de prise en compte de la gravité des cas d’IKB dans la législation nationale pertinente</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i/>
                <w:iCs/>
                <w:color w:val="FFFFFF"/>
                <w:sz w:val="22"/>
                <w:szCs w:val="22"/>
                <w:lang w:val="fr-FR"/>
              </w:rPr>
            </w:pPr>
          </w:p>
        </w:tc>
        <w:tc>
          <w:tcPr>
            <w:tcW w:w="0" w:type="auto"/>
            <w:tcBorders>
              <w:top w:val="nil"/>
              <w:left w:val="nil"/>
              <w:bottom w:val="nil"/>
              <w:right w:val="nil"/>
            </w:tcBorders>
            <w:shd w:val="clear" w:color="auto" w:fill="D8D8D8"/>
            <w:hideMark/>
          </w:tcPr>
          <w:p w:rsidR="00BD5B7F" w:rsidRPr="00865DA5" w:rsidRDefault="00BD5B7F" w:rsidP="000E5961">
            <w:pPr>
              <w:rPr>
                <w:rFonts w:ascii="Arial" w:eastAsia="Calibri" w:hAnsi="Arial" w:cs="Arial"/>
                <w:b/>
                <w:bCs/>
                <w:color w:val="000000"/>
                <w:sz w:val="22"/>
                <w:szCs w:val="22"/>
                <w:lang w:val="fr-FR"/>
              </w:rPr>
            </w:pPr>
            <w:r w:rsidRPr="00865DA5">
              <w:rPr>
                <w:rFonts w:ascii="Arial" w:eastAsia="Arial" w:hAnsi="Arial" w:cs="Arial"/>
                <w:b/>
                <w:bCs/>
                <w:color w:val="000000"/>
                <w:sz w:val="22"/>
                <w:szCs w:val="22"/>
                <w:bdr w:val="none" w:sz="0" w:space="0" w:color="auto" w:frame="1"/>
                <w:lang w:val="fr-FR"/>
              </w:rPr>
              <w:t>11. Utilisation du droit pénal</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La mesure dans laquelle une combinaison entre la législation nationale pertinente et le droit pénal est utilisée pour poursuivre les infractions relatives à l’IKB à l’appui de la législation promulguée pour lutter contre la criminalité liée aux espèces sauvages</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i/>
                <w:iCs/>
                <w:color w:val="FFFFFF"/>
                <w:sz w:val="22"/>
                <w:szCs w:val="22"/>
                <w:lang w:val="fr-FR"/>
              </w:rPr>
            </w:pPr>
          </w:p>
        </w:tc>
        <w:tc>
          <w:tcPr>
            <w:tcW w:w="0" w:type="auto"/>
            <w:tcBorders>
              <w:top w:val="nil"/>
              <w:left w:val="nil"/>
              <w:bottom w:val="nil"/>
              <w:right w:val="nil"/>
            </w:tcBorders>
            <w:hideMark/>
          </w:tcPr>
          <w:p w:rsidR="00BD5B7F" w:rsidRPr="00865DA5" w:rsidRDefault="00BD5B7F" w:rsidP="000E5961">
            <w:pPr>
              <w:rPr>
                <w:rFonts w:ascii="Arial" w:eastAsia="Calibri" w:hAnsi="Arial" w:cs="Arial"/>
                <w:b/>
                <w:color w:val="000000"/>
                <w:sz w:val="22"/>
                <w:szCs w:val="22"/>
                <w:lang w:val="fr-FR"/>
              </w:rPr>
            </w:pPr>
            <w:r w:rsidRPr="00865DA5">
              <w:rPr>
                <w:rFonts w:ascii="Arial" w:eastAsia="Arial" w:hAnsi="Arial" w:cs="Arial"/>
                <w:b/>
                <w:bCs/>
                <w:color w:val="000000"/>
                <w:sz w:val="22"/>
                <w:szCs w:val="22"/>
                <w:bdr w:val="none" w:sz="0" w:space="0" w:color="auto" w:frame="1"/>
                <w:lang w:val="fr-FR"/>
              </w:rPr>
              <w:t>12. Législation relative à la criminalité organisée</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La mesure dans laquelle une législation spécifique visant à lutter contre la criminalité organisée est utilisée pour lutter contre l’IKB</w:t>
            </w:r>
            <w:r w:rsidRPr="00865DA5">
              <w:rPr>
                <w:rFonts w:ascii="Arial" w:eastAsia="Arial" w:hAnsi="Arial" w:cs="Arial"/>
                <w:b/>
                <w:bCs/>
                <w:color w:val="000000"/>
                <w:sz w:val="22"/>
                <w:szCs w:val="22"/>
                <w:bdr w:val="none" w:sz="0" w:space="0" w:color="auto" w:frame="1"/>
                <w:lang w:val="fr-FR"/>
              </w:rPr>
              <w:t xml:space="preserve"> </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i/>
                <w:iCs/>
                <w:color w:val="FFFFFF"/>
                <w:sz w:val="22"/>
                <w:szCs w:val="22"/>
                <w:lang w:val="fr-FR"/>
              </w:rPr>
            </w:pPr>
          </w:p>
        </w:tc>
        <w:tc>
          <w:tcPr>
            <w:tcW w:w="0" w:type="auto"/>
            <w:tcBorders>
              <w:top w:val="nil"/>
              <w:left w:val="nil"/>
              <w:bottom w:val="single" w:sz="12" w:space="0" w:color="auto"/>
              <w:right w:val="nil"/>
            </w:tcBorders>
            <w:shd w:val="clear" w:color="auto" w:fill="D8D8D8"/>
            <w:hideMark/>
          </w:tcPr>
          <w:p w:rsidR="00BD5B7F" w:rsidRPr="00865DA5" w:rsidRDefault="00BD5B7F" w:rsidP="000E5961">
            <w:pPr>
              <w:rPr>
                <w:rFonts w:ascii="Arial" w:eastAsia="Calibri" w:hAnsi="Arial" w:cs="Arial"/>
                <w:b/>
                <w:color w:val="000000"/>
                <w:sz w:val="22"/>
                <w:szCs w:val="22"/>
                <w:lang w:val="fr-FR"/>
              </w:rPr>
            </w:pPr>
            <w:r w:rsidRPr="00865DA5">
              <w:rPr>
                <w:rFonts w:ascii="Arial" w:eastAsia="Arial" w:hAnsi="Arial" w:cs="Arial"/>
                <w:b/>
                <w:bCs/>
                <w:color w:val="000000"/>
                <w:sz w:val="22"/>
                <w:szCs w:val="22"/>
                <w:bdr w:val="none" w:sz="0" w:space="0" w:color="auto" w:frame="1"/>
                <w:lang w:val="fr-FR"/>
              </w:rPr>
              <w:t xml:space="preserve">13. Transposition du droit et des engagements internationaux dans la législation nationale </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niveau d’exhaustivité des dispositions législatives nationales pour transposer les engagements internationaux de l’État relatifs à l’IKB</w:t>
            </w:r>
          </w:p>
        </w:tc>
      </w:tr>
    </w:tbl>
    <w:p w:rsidR="00BD5B7F" w:rsidRPr="00865DA5" w:rsidRDefault="00BD5B7F" w:rsidP="00BD5B7F">
      <w:pPr>
        <w:rPr>
          <w:lang w:val="fr-FR"/>
        </w:rPr>
      </w:pPr>
      <w:r w:rsidRPr="00865DA5">
        <w:rPr>
          <w:lang w:val="fr-FR"/>
        </w:rPr>
        <w:br w:type="page"/>
      </w:r>
    </w:p>
    <w:tbl>
      <w:tblPr>
        <w:tblW w:w="0" w:type="auto"/>
        <w:tblBorders>
          <w:top w:val="single" w:sz="18" w:space="0" w:color="auto"/>
          <w:bottom w:val="single" w:sz="18" w:space="0" w:color="auto"/>
        </w:tblBorders>
        <w:tblLook w:val="04A0" w:firstRow="1" w:lastRow="0" w:firstColumn="1" w:lastColumn="0" w:noHBand="0" w:noVBand="1"/>
      </w:tblPr>
      <w:tblGrid>
        <w:gridCol w:w="2093"/>
        <w:gridCol w:w="7193"/>
      </w:tblGrid>
      <w:tr w:rsidR="00BD5B7F" w:rsidRPr="00FC42B0" w:rsidTr="000E5961">
        <w:trPr>
          <w:cantSplit/>
        </w:trPr>
        <w:tc>
          <w:tcPr>
            <w:tcW w:w="2093" w:type="dxa"/>
            <w:vMerge w:val="restart"/>
            <w:tcBorders>
              <w:top w:val="single" w:sz="12" w:space="0" w:color="auto"/>
              <w:left w:val="nil"/>
              <w:bottom w:val="single" w:sz="12" w:space="0" w:color="auto"/>
              <w:right w:val="nil"/>
            </w:tcBorders>
            <w:shd w:val="clear" w:color="auto" w:fill="4F81BD"/>
            <w:hideMark/>
          </w:tcPr>
          <w:p w:rsidR="00BD5B7F" w:rsidRPr="00865DA5" w:rsidRDefault="00BD5B7F" w:rsidP="000E5961">
            <w:pPr>
              <w:rPr>
                <w:rFonts w:ascii="Arial" w:eastAsia="Calibri" w:hAnsi="Arial" w:cs="Arial"/>
                <w:b/>
                <w:bCs/>
                <w:color w:val="FFFFFF"/>
                <w:sz w:val="22"/>
                <w:szCs w:val="22"/>
                <w:lang w:val="fr-FR"/>
              </w:rPr>
            </w:pPr>
            <w:r w:rsidRPr="00865DA5">
              <w:rPr>
                <w:rFonts w:ascii="Arial" w:eastAsia="Arial" w:hAnsi="Arial" w:cs="Arial"/>
                <w:b/>
                <w:bCs/>
                <w:color w:val="FFFFFF"/>
                <w:sz w:val="22"/>
                <w:szCs w:val="22"/>
                <w:bdr w:val="none" w:sz="0" w:space="0" w:color="auto" w:frame="1"/>
                <w:lang w:val="fr-FR"/>
              </w:rPr>
              <w:lastRenderedPageBreak/>
              <w:t xml:space="preserve">C. </w:t>
            </w:r>
            <w:r w:rsidRPr="00865DA5">
              <w:rPr>
                <w:rFonts w:ascii="Arial" w:eastAsia="Arial" w:hAnsi="Arial" w:cs="Arial"/>
                <w:b/>
                <w:bCs/>
                <w:color w:val="FFFFFF"/>
                <w:sz w:val="22"/>
                <w:szCs w:val="22"/>
                <w:bdr w:val="none" w:sz="0" w:space="0" w:color="auto" w:frame="1"/>
                <w:lang w:val="fr-FR"/>
              </w:rPr>
              <w:br/>
              <w:t>Réponse en matière de lutte contre la fraude (Niveau de préparation des organes chargés</w:t>
            </w:r>
            <w:r w:rsidRPr="00865DA5">
              <w:rPr>
                <w:rFonts w:ascii="Arial" w:eastAsia="Arial" w:hAnsi="Arial" w:cs="Arial"/>
                <w:color w:val="000000"/>
                <w:sz w:val="22"/>
                <w:szCs w:val="22"/>
                <w:bdr w:val="none" w:sz="0" w:space="0" w:color="auto" w:frame="1"/>
                <w:lang w:val="fr-FR"/>
              </w:rPr>
              <w:t xml:space="preserve"> </w:t>
            </w:r>
            <w:r w:rsidRPr="00865DA5">
              <w:rPr>
                <w:rFonts w:ascii="Arial" w:eastAsia="Arial" w:hAnsi="Arial" w:cs="Arial"/>
                <w:b/>
                <w:bCs/>
                <w:color w:val="FFFFFF"/>
                <w:sz w:val="22"/>
                <w:szCs w:val="22"/>
                <w:bdr w:val="none" w:sz="0" w:space="0" w:color="auto" w:frame="1"/>
                <w:lang w:val="fr-FR"/>
              </w:rPr>
              <w:t>de l’application des lois et de la lutte contre la fraude, et coordination des institutions nationales)</w:t>
            </w:r>
          </w:p>
        </w:tc>
        <w:tc>
          <w:tcPr>
            <w:tcW w:w="0" w:type="auto"/>
            <w:tcBorders>
              <w:top w:val="single" w:sz="12" w:space="0" w:color="auto"/>
              <w:left w:val="nil"/>
              <w:bottom w:val="dashed" w:sz="4" w:space="0" w:color="548DD4"/>
              <w:right w:val="nil"/>
            </w:tcBorders>
            <w:hideMark/>
          </w:tcPr>
          <w:p w:rsidR="00BD5B7F" w:rsidRPr="00865DA5" w:rsidRDefault="00BD5B7F" w:rsidP="000E5961">
            <w:pPr>
              <w:rPr>
                <w:rFonts w:ascii="Arial" w:eastAsia="Calibri" w:hAnsi="Arial" w:cs="Arial"/>
                <w:color w:val="000000"/>
                <w:sz w:val="22"/>
                <w:szCs w:val="22"/>
                <w:lang w:val="fr-FR"/>
              </w:rPr>
            </w:pPr>
            <w:r w:rsidRPr="00865DA5">
              <w:rPr>
                <w:rFonts w:ascii="Arial" w:eastAsia="Arial" w:hAnsi="Arial" w:cs="Arial"/>
                <w:b/>
                <w:bCs/>
                <w:color w:val="000000"/>
                <w:sz w:val="22"/>
                <w:szCs w:val="22"/>
                <w:bdr w:val="none" w:sz="0" w:space="0" w:color="auto" w:frame="1"/>
                <w:lang w:val="fr-FR"/>
              </w:rPr>
              <w:t>14. Plan d’action national pour la lutte contre l’IKB</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L’existence d’une stratégie nationale ou d’un plan d’action pour l’IKB</w:t>
            </w:r>
            <w:r w:rsidRPr="00865DA5">
              <w:rPr>
                <w:rFonts w:ascii="Arial" w:eastAsia="Arial" w:hAnsi="Arial" w:cs="Arial"/>
                <w:b/>
                <w:bCs/>
                <w:color w:val="000000"/>
                <w:sz w:val="22"/>
                <w:szCs w:val="22"/>
                <w:bdr w:val="none" w:sz="0" w:space="0" w:color="auto" w:frame="1"/>
                <w:lang w:val="fr-FR"/>
              </w:rPr>
              <w:t xml:space="preserve"> </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dashed" w:sz="4" w:space="0" w:color="548DD4"/>
              <w:left w:val="dashed" w:sz="4" w:space="0" w:color="548DD4"/>
              <w:bottom w:val="dashed" w:sz="4" w:space="0" w:color="548DD4"/>
              <w:right w:val="dashed" w:sz="4" w:space="0" w:color="548DD4"/>
            </w:tcBorders>
            <w:shd w:val="clear" w:color="auto" w:fill="D8D8D8"/>
            <w:hideMark/>
          </w:tcPr>
          <w:p w:rsidR="00BD5B7F" w:rsidRPr="00865DA5" w:rsidRDefault="00BD5B7F" w:rsidP="000E5961">
            <w:pPr>
              <w:rPr>
                <w:rFonts w:ascii="Arial" w:eastAsia="Calibri" w:hAnsi="Arial" w:cs="Arial"/>
                <w:b/>
                <w:color w:val="000000"/>
                <w:sz w:val="22"/>
                <w:szCs w:val="22"/>
                <w:lang w:val="fr-FR"/>
              </w:rPr>
            </w:pPr>
            <w:r w:rsidRPr="00865DA5">
              <w:rPr>
                <w:rFonts w:ascii="Arial" w:eastAsia="Arial" w:hAnsi="Arial" w:cs="Arial"/>
                <w:b/>
                <w:bCs/>
                <w:color w:val="000000"/>
                <w:sz w:val="22"/>
                <w:szCs w:val="22"/>
                <w:bdr w:val="none" w:sz="0" w:space="0" w:color="auto" w:frame="1"/>
                <w:lang w:val="fr-FR"/>
              </w:rPr>
              <w:t xml:space="preserve">15. Priorité </w:t>
            </w:r>
            <w:r w:rsidRPr="00865DA5">
              <w:rPr>
                <w:rFonts w:ascii="Arial" w:eastAsia="Arial" w:hAnsi="Arial" w:cs="Arial"/>
                <w:b/>
                <w:color w:val="000000"/>
                <w:sz w:val="22"/>
                <w:szCs w:val="22"/>
                <w:bdr w:val="none" w:sz="0" w:space="0" w:color="auto" w:frame="1"/>
                <w:lang w:val="fr-FR"/>
              </w:rPr>
              <w:t xml:space="preserve">de l’IKB dans </w:t>
            </w:r>
            <w:r w:rsidRPr="00865DA5">
              <w:rPr>
                <w:rFonts w:ascii="Arial" w:eastAsia="Arial" w:hAnsi="Arial" w:cs="Arial"/>
                <w:b/>
                <w:bCs/>
                <w:color w:val="000000"/>
                <w:sz w:val="22"/>
                <w:szCs w:val="22"/>
                <w:bdr w:val="none" w:sz="0" w:space="0" w:color="auto" w:frame="1"/>
                <w:lang w:val="fr-FR"/>
              </w:rPr>
              <w:t>la lutte contre la fraude</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La reconnaissance de la lutte contre la criminalité liée aux espèces sauvages comme une priorité élevée au niveau national</w:t>
            </w:r>
            <w:r w:rsidRPr="00865DA5">
              <w:rPr>
                <w:rFonts w:ascii="Arial" w:eastAsia="Arial" w:hAnsi="Arial" w:cs="Arial"/>
                <w:b/>
                <w:bCs/>
                <w:color w:val="000000"/>
                <w:sz w:val="22"/>
                <w:szCs w:val="22"/>
                <w:bdr w:val="none" w:sz="0" w:space="0" w:color="auto" w:frame="1"/>
                <w:lang w:val="fr-FR"/>
              </w:rPr>
              <w:t xml:space="preserve"> </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dashed" w:sz="4" w:space="0" w:color="548DD4"/>
              <w:left w:val="nil"/>
              <w:bottom w:val="nil"/>
              <w:right w:val="nil"/>
            </w:tcBorders>
            <w:hideMark/>
          </w:tcPr>
          <w:p w:rsidR="00BD5B7F" w:rsidRPr="00865DA5" w:rsidRDefault="00BD5B7F" w:rsidP="000E5961">
            <w:pPr>
              <w:rPr>
                <w:rFonts w:ascii="Arial" w:eastAsia="Calibri" w:hAnsi="Arial" w:cs="Arial"/>
                <w:b/>
                <w:color w:val="000000"/>
                <w:sz w:val="22"/>
                <w:szCs w:val="22"/>
                <w:lang w:val="fr-FR"/>
              </w:rPr>
            </w:pPr>
            <w:r w:rsidRPr="00865DA5">
              <w:rPr>
                <w:rFonts w:ascii="Arial" w:eastAsia="Calibri" w:hAnsi="Arial" w:cs="Arial"/>
                <w:b/>
                <w:color w:val="000000"/>
                <w:sz w:val="22"/>
                <w:szCs w:val="22"/>
                <w:bdr w:val="none" w:sz="0" w:space="0" w:color="auto" w:frame="1"/>
                <w:lang w:val="fr-FR"/>
              </w:rPr>
              <w:t>16</w:t>
            </w:r>
            <w:r w:rsidRPr="00865DA5">
              <w:rPr>
                <w:rFonts w:ascii="Arial" w:eastAsia="Arial" w:hAnsi="Arial" w:cs="Arial"/>
                <w:b/>
                <w:bCs/>
                <w:color w:val="000000"/>
                <w:sz w:val="22"/>
                <w:szCs w:val="22"/>
                <w:bdr w:val="none" w:sz="0" w:space="0" w:color="auto" w:frame="1"/>
                <w:lang w:val="fr-FR"/>
              </w:rPr>
              <w:t>. Parties prenantes et élaboration des politiques</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niveau de participation des parties prenantes à l’élaboration des politiques relatives à l’IKB</w:t>
            </w:r>
            <w:r w:rsidRPr="00865DA5">
              <w:rPr>
                <w:rFonts w:ascii="Arial" w:eastAsia="Arial" w:hAnsi="Arial" w:cs="Arial"/>
                <w:b/>
                <w:bCs/>
                <w:color w:val="000000"/>
                <w:sz w:val="22"/>
                <w:szCs w:val="22"/>
                <w:bdr w:val="none" w:sz="0" w:space="0" w:color="auto" w:frame="1"/>
                <w:lang w:val="fr-FR"/>
              </w:rPr>
              <w:t xml:space="preserve"> </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nil"/>
              <w:right w:val="nil"/>
            </w:tcBorders>
            <w:shd w:val="clear" w:color="auto" w:fill="D8D8D8"/>
            <w:hideMark/>
          </w:tcPr>
          <w:p w:rsidR="00BD5B7F" w:rsidRPr="00865DA5" w:rsidRDefault="00BD5B7F" w:rsidP="000E5961">
            <w:pPr>
              <w:rPr>
                <w:rFonts w:ascii="Arial" w:eastAsia="Calibri" w:hAnsi="Arial" w:cs="Arial"/>
                <w:b/>
                <w:color w:val="000000"/>
                <w:sz w:val="22"/>
                <w:szCs w:val="22"/>
                <w:lang w:val="fr-FR"/>
              </w:rPr>
            </w:pPr>
            <w:r w:rsidRPr="00865DA5">
              <w:rPr>
                <w:rFonts w:ascii="Arial" w:eastAsia="Arial" w:hAnsi="Arial" w:cs="Arial"/>
                <w:b/>
                <w:bCs/>
                <w:color w:val="000000"/>
                <w:sz w:val="22"/>
                <w:szCs w:val="22"/>
                <w:bdr w:val="none" w:sz="0" w:space="0" w:color="auto" w:frame="1"/>
                <w:lang w:val="fr-FR"/>
              </w:rPr>
              <w:t>17. Personnel et recrutement</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niveau des ressources humaines dans les agences nationales de lutte contre la fraude et d’application des lois pour combattre la criminalité liée aux espèces sauvages</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nil"/>
              <w:right w:val="nil"/>
            </w:tcBorders>
            <w:hideMark/>
          </w:tcPr>
          <w:p w:rsidR="00BD5B7F" w:rsidRPr="00865DA5" w:rsidRDefault="00BD5B7F" w:rsidP="000E5961">
            <w:pPr>
              <w:rPr>
                <w:rFonts w:ascii="Arial" w:eastAsia="Calibri" w:hAnsi="Arial" w:cs="Arial"/>
                <w:color w:val="000000"/>
                <w:sz w:val="22"/>
                <w:szCs w:val="22"/>
                <w:lang w:val="fr-FR"/>
              </w:rPr>
            </w:pPr>
            <w:r w:rsidRPr="00865DA5">
              <w:rPr>
                <w:rFonts w:ascii="Arial" w:eastAsia="Arial" w:hAnsi="Arial" w:cs="Arial"/>
                <w:b/>
                <w:bCs/>
                <w:color w:val="000000"/>
                <w:sz w:val="22"/>
                <w:szCs w:val="22"/>
                <w:bdr w:val="none" w:sz="0" w:space="0" w:color="auto" w:frame="1"/>
                <w:lang w:val="fr-FR"/>
              </w:rPr>
              <w:t xml:space="preserve">18. Formation spécifique </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pourcentage d’agents chargés de la lutte contre la fraude et de l’application des lois formés chaque année sur les questions relatives à l’IKB</w:t>
            </w:r>
          </w:p>
        </w:tc>
      </w:tr>
      <w:tr w:rsidR="00BD5B7F" w:rsidRPr="00FC42B0" w:rsidTr="000E5961">
        <w:trPr>
          <w:cantSplit/>
        </w:trPr>
        <w:tc>
          <w:tcPr>
            <w:tcW w:w="0" w:type="auto"/>
            <w:vMerge/>
            <w:tcBorders>
              <w:top w:val="single" w:sz="12" w:space="0" w:color="auto"/>
              <w:left w:val="nil"/>
              <w:bottom w:val="single" w:sz="12"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single" w:sz="12" w:space="0" w:color="auto"/>
              <w:right w:val="nil"/>
            </w:tcBorders>
            <w:shd w:val="clear" w:color="auto" w:fill="D8D8D8"/>
            <w:hideMark/>
          </w:tcPr>
          <w:p w:rsidR="00BD5B7F" w:rsidRPr="00865DA5" w:rsidRDefault="00BD5B7F" w:rsidP="000E5961">
            <w:pPr>
              <w:rPr>
                <w:rFonts w:ascii="Arial" w:eastAsia="Calibri" w:hAnsi="Arial" w:cs="Arial"/>
                <w:b/>
                <w:iCs/>
                <w:color w:val="000000"/>
                <w:sz w:val="22"/>
                <w:szCs w:val="22"/>
                <w:lang w:val="fr-FR"/>
              </w:rPr>
            </w:pPr>
            <w:r w:rsidRPr="00865DA5">
              <w:rPr>
                <w:rFonts w:ascii="Arial" w:eastAsia="Arial" w:hAnsi="Arial" w:cs="Arial"/>
                <w:b/>
                <w:bCs/>
                <w:color w:val="000000"/>
                <w:sz w:val="22"/>
                <w:szCs w:val="22"/>
                <w:bdr w:val="none" w:sz="0" w:space="0" w:color="auto" w:frame="1"/>
                <w:lang w:val="fr-FR"/>
              </w:rPr>
              <w:t>19. Effort de lutte contre l’IKB sur le terrain</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L’intensité des efforts déployés par les agences de lutte contre la fraude et d’application des lois pour lutter contre l’IKB</w:t>
            </w:r>
          </w:p>
        </w:tc>
      </w:tr>
      <w:tr w:rsidR="00BD5B7F" w:rsidRPr="00FC42B0" w:rsidTr="000E5961">
        <w:trPr>
          <w:cantSplit/>
        </w:trPr>
        <w:tc>
          <w:tcPr>
            <w:tcW w:w="2093" w:type="dxa"/>
            <w:vMerge w:val="restart"/>
            <w:tcBorders>
              <w:top w:val="single" w:sz="12" w:space="0" w:color="auto"/>
              <w:left w:val="nil"/>
              <w:bottom w:val="single" w:sz="18" w:space="0" w:color="auto"/>
              <w:right w:val="nil"/>
            </w:tcBorders>
            <w:shd w:val="clear" w:color="auto" w:fill="4F81BD"/>
            <w:hideMark/>
          </w:tcPr>
          <w:p w:rsidR="00BD5B7F" w:rsidRPr="00865DA5" w:rsidRDefault="00BD5B7F" w:rsidP="000E5961">
            <w:pPr>
              <w:rPr>
                <w:rFonts w:ascii="Arial" w:eastAsia="Calibri" w:hAnsi="Arial" w:cs="Arial"/>
                <w:b/>
                <w:bCs/>
                <w:color w:val="FFFFFF"/>
                <w:sz w:val="22"/>
                <w:szCs w:val="22"/>
                <w:lang w:val="fr-FR"/>
              </w:rPr>
            </w:pPr>
            <w:r w:rsidRPr="00865DA5">
              <w:rPr>
                <w:rFonts w:ascii="Arial" w:eastAsia="Arial" w:hAnsi="Arial" w:cs="Arial"/>
                <w:b/>
                <w:bCs/>
                <w:color w:val="FFFFFF"/>
                <w:sz w:val="22"/>
                <w:szCs w:val="22"/>
                <w:bdr w:val="none" w:sz="0" w:space="0" w:color="auto" w:frame="1"/>
                <w:lang w:val="fr-FR"/>
              </w:rPr>
              <w:t>D.</w:t>
            </w:r>
            <w:r w:rsidRPr="00865DA5">
              <w:rPr>
                <w:rFonts w:ascii="Arial" w:eastAsia="Arial" w:hAnsi="Arial" w:cs="Arial"/>
                <w:b/>
                <w:bCs/>
                <w:color w:val="FFFFFF"/>
                <w:sz w:val="22"/>
                <w:szCs w:val="22"/>
                <w:bdr w:val="none" w:sz="0" w:space="0" w:color="auto" w:frame="1"/>
                <w:lang w:val="fr-FR"/>
              </w:rPr>
              <w:br/>
              <w:t xml:space="preserve"> Poursuites et condamnations (Efficacité des procédures judiciaires)</w:t>
            </w:r>
          </w:p>
        </w:tc>
        <w:tc>
          <w:tcPr>
            <w:tcW w:w="0" w:type="auto"/>
            <w:tcBorders>
              <w:top w:val="single" w:sz="12" w:space="0" w:color="auto"/>
              <w:left w:val="nil"/>
              <w:bottom w:val="nil"/>
              <w:right w:val="nil"/>
            </w:tcBorders>
            <w:hideMark/>
          </w:tcPr>
          <w:p w:rsidR="00BD5B7F" w:rsidRPr="00865DA5" w:rsidRDefault="00BD5B7F" w:rsidP="000E5961">
            <w:pPr>
              <w:rPr>
                <w:rFonts w:ascii="Arial" w:eastAsia="Calibri" w:hAnsi="Arial" w:cs="Arial"/>
                <w:b/>
                <w:color w:val="000000"/>
                <w:sz w:val="22"/>
                <w:szCs w:val="22"/>
                <w:lang w:val="fr-FR"/>
              </w:rPr>
            </w:pPr>
            <w:r w:rsidRPr="00865DA5">
              <w:rPr>
                <w:rFonts w:ascii="Arial" w:eastAsia="Arial" w:hAnsi="Arial" w:cs="Arial"/>
                <w:b/>
                <w:bCs/>
                <w:color w:val="000000"/>
                <w:sz w:val="22"/>
                <w:szCs w:val="22"/>
                <w:bdr w:val="none" w:sz="0" w:space="0" w:color="auto" w:frame="1"/>
                <w:lang w:val="fr-FR"/>
              </w:rPr>
              <w:t>20. Qualité des procédures judiciaires</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L’efficacité et l’efficience de l’administration de sanctions pour les infractions relatives à l’IKB</w:t>
            </w:r>
          </w:p>
        </w:tc>
      </w:tr>
      <w:tr w:rsidR="00BD5B7F" w:rsidRPr="00FC42B0" w:rsidTr="000E5961">
        <w:trPr>
          <w:cantSplit/>
        </w:trPr>
        <w:tc>
          <w:tcPr>
            <w:tcW w:w="0" w:type="auto"/>
            <w:vMerge/>
            <w:tcBorders>
              <w:top w:val="single" w:sz="12" w:space="0" w:color="auto"/>
              <w:left w:val="nil"/>
              <w:bottom w:val="single" w:sz="18"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nil"/>
              <w:right w:val="nil"/>
            </w:tcBorders>
            <w:shd w:val="clear" w:color="auto" w:fill="D8D8D8"/>
            <w:hideMark/>
          </w:tcPr>
          <w:p w:rsidR="00BD5B7F" w:rsidRPr="00865DA5" w:rsidRDefault="00BD5B7F" w:rsidP="000E5961">
            <w:pPr>
              <w:rPr>
                <w:rFonts w:ascii="Arial" w:eastAsia="Calibri" w:hAnsi="Arial" w:cs="Arial"/>
                <w:b/>
                <w:iCs/>
                <w:color w:val="000000"/>
                <w:sz w:val="22"/>
                <w:szCs w:val="22"/>
                <w:lang w:val="fr-FR"/>
              </w:rPr>
            </w:pPr>
            <w:r w:rsidRPr="00865DA5">
              <w:rPr>
                <w:rFonts w:ascii="Arial" w:eastAsia="Arial" w:hAnsi="Arial" w:cs="Arial"/>
                <w:b/>
                <w:bCs/>
                <w:color w:val="000000"/>
                <w:sz w:val="22"/>
                <w:szCs w:val="22"/>
                <w:bdr w:val="none" w:sz="0" w:space="0" w:color="auto" w:frame="1"/>
                <w:lang w:val="fr-FR"/>
              </w:rPr>
              <w:t>21. Lignes directrices sur les condamnations</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L’existence de lignes directrices nationales pour condamner les contrevenants impliqués dans la criminalité liée aux espèces sauvages</w:t>
            </w:r>
          </w:p>
        </w:tc>
      </w:tr>
      <w:tr w:rsidR="00BD5B7F" w:rsidRPr="00FC42B0" w:rsidTr="000E5961">
        <w:trPr>
          <w:cantSplit/>
        </w:trPr>
        <w:tc>
          <w:tcPr>
            <w:tcW w:w="0" w:type="auto"/>
            <w:vMerge/>
            <w:tcBorders>
              <w:top w:val="single" w:sz="12" w:space="0" w:color="auto"/>
              <w:left w:val="nil"/>
              <w:bottom w:val="single" w:sz="18"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nil"/>
              <w:right w:val="nil"/>
            </w:tcBorders>
            <w:hideMark/>
          </w:tcPr>
          <w:p w:rsidR="00BD5B7F" w:rsidRPr="00865DA5" w:rsidRDefault="00BD5B7F" w:rsidP="000E5961">
            <w:pPr>
              <w:rPr>
                <w:rFonts w:ascii="Arial" w:eastAsia="Calibri" w:hAnsi="Arial" w:cs="Arial"/>
                <w:b/>
                <w:color w:val="000000"/>
                <w:sz w:val="22"/>
                <w:szCs w:val="22"/>
                <w:lang w:val="fr-FR"/>
              </w:rPr>
            </w:pPr>
            <w:r w:rsidRPr="00865DA5">
              <w:rPr>
                <w:rFonts w:ascii="Arial" w:eastAsia="Arial" w:hAnsi="Arial" w:cs="Arial"/>
                <w:b/>
                <w:bCs/>
                <w:color w:val="000000"/>
                <w:sz w:val="22"/>
                <w:szCs w:val="22"/>
                <w:bdr w:val="none" w:sz="0" w:space="0" w:color="auto" w:frame="1"/>
                <w:lang w:val="fr-FR"/>
              </w:rPr>
              <w:t>22. Prise de conscience au sein du système judiciaire</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L’ampleur de la prise de conscience des procureurs et des juges vis-à-vis de l’importance de la criminalité liée aux espèces sauvages, et la pertinence des jugements rendus</w:t>
            </w:r>
          </w:p>
        </w:tc>
      </w:tr>
      <w:tr w:rsidR="00BD5B7F" w:rsidRPr="00FC42B0" w:rsidTr="000E5961">
        <w:trPr>
          <w:cantSplit/>
        </w:trPr>
        <w:tc>
          <w:tcPr>
            <w:tcW w:w="0" w:type="auto"/>
            <w:vMerge/>
            <w:tcBorders>
              <w:top w:val="single" w:sz="12" w:space="0" w:color="auto"/>
              <w:left w:val="nil"/>
              <w:bottom w:val="single" w:sz="18"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single" w:sz="18" w:space="0" w:color="auto"/>
              <w:right w:val="nil"/>
            </w:tcBorders>
            <w:shd w:val="clear" w:color="auto" w:fill="D8D8D8"/>
            <w:hideMark/>
          </w:tcPr>
          <w:p w:rsidR="00BD5B7F" w:rsidRPr="00865DA5" w:rsidRDefault="00BD5B7F" w:rsidP="000E5961">
            <w:pPr>
              <w:rPr>
                <w:rFonts w:ascii="Arial" w:eastAsia="Calibri" w:hAnsi="Arial" w:cs="Arial"/>
                <w:b/>
                <w:iCs/>
                <w:color w:val="000000"/>
                <w:sz w:val="22"/>
                <w:szCs w:val="22"/>
                <w:lang w:val="fr-FR"/>
              </w:rPr>
            </w:pPr>
            <w:r w:rsidRPr="00865DA5">
              <w:rPr>
                <w:rFonts w:ascii="Arial" w:eastAsia="Arial" w:hAnsi="Arial" w:cs="Arial"/>
                <w:b/>
                <w:bCs/>
                <w:color w:val="000000"/>
                <w:sz w:val="22"/>
                <w:szCs w:val="22"/>
                <w:bdr w:val="none" w:sz="0" w:space="0" w:color="auto" w:frame="1"/>
                <w:lang w:val="fr-FR"/>
              </w:rPr>
              <w:t>23. Formation au sein du système judiciaire</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pourcentage de procureurs et juges formés aux aspects relatifs à l’IKB</w:t>
            </w:r>
          </w:p>
        </w:tc>
      </w:tr>
      <w:tr w:rsidR="00BD5B7F" w:rsidRPr="00FC42B0" w:rsidTr="000E5961">
        <w:trPr>
          <w:cantSplit/>
        </w:trPr>
        <w:tc>
          <w:tcPr>
            <w:tcW w:w="2093" w:type="dxa"/>
            <w:vMerge w:val="restart"/>
            <w:tcBorders>
              <w:top w:val="single" w:sz="18" w:space="0" w:color="auto"/>
              <w:left w:val="nil"/>
              <w:bottom w:val="single" w:sz="18" w:space="0" w:color="auto"/>
              <w:right w:val="nil"/>
            </w:tcBorders>
            <w:shd w:val="clear" w:color="auto" w:fill="4F81BD"/>
            <w:hideMark/>
          </w:tcPr>
          <w:p w:rsidR="00BD5B7F" w:rsidRPr="00865DA5" w:rsidRDefault="00BD5B7F" w:rsidP="000E5961">
            <w:pPr>
              <w:rPr>
                <w:rFonts w:ascii="Arial" w:eastAsia="Arial" w:hAnsi="Arial" w:cs="Arial"/>
                <w:b/>
                <w:bCs/>
                <w:color w:val="FFFFFF"/>
                <w:sz w:val="22"/>
                <w:szCs w:val="22"/>
                <w:bdr w:val="none" w:sz="0" w:space="0" w:color="auto" w:frame="1"/>
                <w:lang w:val="fr-FR"/>
              </w:rPr>
            </w:pPr>
            <w:r w:rsidRPr="00865DA5">
              <w:rPr>
                <w:rFonts w:ascii="Arial" w:eastAsia="Arial" w:hAnsi="Arial" w:cs="Arial"/>
                <w:b/>
                <w:bCs/>
                <w:color w:val="FFFFFF"/>
                <w:sz w:val="22"/>
                <w:szCs w:val="22"/>
                <w:bdr w:val="none" w:sz="0" w:space="0" w:color="auto" w:frame="1"/>
                <w:lang w:val="fr-FR"/>
              </w:rPr>
              <w:t xml:space="preserve">E. </w:t>
            </w:r>
          </w:p>
          <w:p w:rsidR="00BD5B7F" w:rsidRPr="00865DA5" w:rsidRDefault="00BD5B7F" w:rsidP="000E5961">
            <w:pPr>
              <w:rPr>
                <w:rFonts w:ascii="Arial" w:eastAsia="Calibri" w:hAnsi="Arial" w:cs="Arial"/>
                <w:b/>
                <w:bCs/>
                <w:color w:val="FFFFFF"/>
                <w:sz w:val="22"/>
                <w:szCs w:val="22"/>
                <w:lang w:val="fr-FR"/>
              </w:rPr>
            </w:pPr>
            <w:r w:rsidRPr="00865DA5">
              <w:rPr>
                <w:rFonts w:ascii="Arial" w:eastAsia="Arial" w:hAnsi="Arial" w:cs="Arial"/>
                <w:b/>
                <w:bCs/>
                <w:color w:val="FFFFFF"/>
                <w:sz w:val="22"/>
                <w:szCs w:val="22"/>
                <w:bdr w:val="none" w:sz="0" w:space="0" w:color="auto" w:frame="1"/>
                <w:lang w:val="fr-FR"/>
              </w:rPr>
              <w:t xml:space="preserve">Prévention </w:t>
            </w:r>
            <w:r w:rsidRPr="00865DA5">
              <w:rPr>
                <w:rFonts w:ascii="Arial" w:eastAsia="Arial" w:hAnsi="Arial" w:cs="Arial"/>
                <w:b/>
                <w:bCs/>
                <w:color w:val="FFFFFF"/>
                <w:sz w:val="22"/>
                <w:szCs w:val="22"/>
                <w:bdr w:val="none" w:sz="0" w:space="0" w:color="auto" w:frame="1"/>
                <w:lang w:val="fr-FR"/>
              </w:rPr>
              <w:br/>
              <w:t>(Autres instruments utilisés pour lutter contre l’IKB)</w:t>
            </w:r>
          </w:p>
        </w:tc>
        <w:tc>
          <w:tcPr>
            <w:tcW w:w="0" w:type="auto"/>
            <w:tcBorders>
              <w:top w:val="single" w:sz="18" w:space="0" w:color="auto"/>
              <w:left w:val="nil"/>
              <w:bottom w:val="nil"/>
              <w:right w:val="nil"/>
            </w:tcBorders>
            <w:hideMark/>
          </w:tcPr>
          <w:p w:rsidR="00BD5B7F" w:rsidRPr="00865DA5" w:rsidRDefault="00BD5B7F" w:rsidP="000E5961">
            <w:pPr>
              <w:rPr>
                <w:rFonts w:ascii="Arial" w:eastAsia="Calibri" w:hAnsi="Arial" w:cs="Arial"/>
                <w:b/>
                <w:color w:val="000000"/>
                <w:sz w:val="22"/>
                <w:szCs w:val="22"/>
                <w:lang w:val="fr-FR"/>
              </w:rPr>
            </w:pPr>
            <w:r w:rsidRPr="00865DA5">
              <w:rPr>
                <w:rFonts w:ascii="Arial" w:eastAsia="Arial" w:hAnsi="Arial" w:cs="Arial"/>
                <w:b/>
                <w:bCs/>
                <w:color w:val="000000"/>
                <w:sz w:val="22"/>
                <w:szCs w:val="22"/>
                <w:bdr w:val="none" w:sz="0" w:space="0" w:color="auto" w:frame="1"/>
                <w:lang w:val="fr-FR"/>
              </w:rPr>
              <w:t>24. Coopération internationale</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La mesure dans laquelle les institutions nationales profitent des initiatives internationales et des groupes de travail sur l’IKB</w:t>
            </w:r>
          </w:p>
        </w:tc>
      </w:tr>
      <w:tr w:rsidR="00BD5B7F" w:rsidRPr="00FC42B0" w:rsidTr="000E5961">
        <w:trPr>
          <w:cantSplit/>
        </w:trPr>
        <w:tc>
          <w:tcPr>
            <w:tcW w:w="0" w:type="auto"/>
            <w:vMerge/>
            <w:tcBorders>
              <w:top w:val="single" w:sz="18" w:space="0" w:color="auto"/>
              <w:left w:val="nil"/>
              <w:bottom w:val="single" w:sz="18"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nil"/>
              <w:right w:val="nil"/>
            </w:tcBorders>
            <w:shd w:val="clear" w:color="auto" w:fill="D8D8D8"/>
            <w:hideMark/>
          </w:tcPr>
          <w:p w:rsidR="00BD5B7F" w:rsidRPr="00865DA5" w:rsidRDefault="00BD5B7F" w:rsidP="000E5961">
            <w:pPr>
              <w:rPr>
                <w:rFonts w:ascii="Arial" w:eastAsia="Arial" w:hAnsi="Arial" w:cs="Arial"/>
                <w:color w:val="000000"/>
                <w:sz w:val="22"/>
                <w:szCs w:val="22"/>
                <w:bdr w:val="none" w:sz="0" w:space="0" w:color="auto" w:frame="1"/>
                <w:lang w:val="fr-FR"/>
              </w:rPr>
            </w:pPr>
            <w:r w:rsidRPr="00865DA5">
              <w:rPr>
                <w:rFonts w:ascii="Arial" w:eastAsia="Arial" w:hAnsi="Arial" w:cs="Arial"/>
                <w:b/>
                <w:bCs/>
                <w:color w:val="000000"/>
                <w:sz w:val="22"/>
                <w:szCs w:val="22"/>
                <w:bdr w:val="none" w:sz="0" w:space="0" w:color="auto" w:frame="1"/>
                <w:lang w:val="fr-FR"/>
              </w:rPr>
              <w:t>25. Moteurs de la criminalité liée aux espèces sauvages</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niveau de connaissance et de compréhension des moteurs de l’IKB dans le pays</w:t>
            </w:r>
          </w:p>
        </w:tc>
      </w:tr>
      <w:tr w:rsidR="00BD5B7F" w:rsidRPr="00FC42B0" w:rsidTr="000E5961">
        <w:trPr>
          <w:cantSplit/>
        </w:trPr>
        <w:tc>
          <w:tcPr>
            <w:tcW w:w="0" w:type="auto"/>
            <w:vMerge/>
            <w:tcBorders>
              <w:top w:val="single" w:sz="18" w:space="0" w:color="auto"/>
              <w:left w:val="nil"/>
              <w:bottom w:val="single" w:sz="18"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nil"/>
              <w:right w:val="nil"/>
            </w:tcBorders>
            <w:hideMark/>
          </w:tcPr>
          <w:p w:rsidR="00BD5B7F" w:rsidRPr="00865DA5" w:rsidRDefault="00BD5B7F" w:rsidP="000E5961">
            <w:pPr>
              <w:rPr>
                <w:rFonts w:ascii="Arial" w:eastAsia="Calibri" w:hAnsi="Arial" w:cs="Arial"/>
                <w:b/>
                <w:color w:val="000000"/>
                <w:sz w:val="22"/>
                <w:szCs w:val="22"/>
                <w:lang w:val="fr-FR"/>
              </w:rPr>
            </w:pPr>
            <w:r w:rsidRPr="00865DA5">
              <w:rPr>
                <w:rFonts w:ascii="Arial" w:eastAsia="Arial" w:hAnsi="Arial" w:cs="Arial"/>
                <w:b/>
                <w:bCs/>
                <w:color w:val="000000"/>
                <w:sz w:val="22"/>
                <w:szCs w:val="22"/>
                <w:bdr w:val="none" w:sz="0" w:space="0" w:color="auto" w:frame="1"/>
                <w:lang w:val="fr-FR"/>
              </w:rPr>
              <w:t>26. Activités relatives à la demande</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Le niveau de mise en œuvre des activités permettant de traiter la demande en produits illégaux issus des espèces sauvages</w:t>
            </w:r>
          </w:p>
        </w:tc>
      </w:tr>
      <w:tr w:rsidR="00BD5B7F" w:rsidRPr="00FC42B0" w:rsidTr="000E5961">
        <w:trPr>
          <w:cantSplit/>
        </w:trPr>
        <w:tc>
          <w:tcPr>
            <w:tcW w:w="0" w:type="auto"/>
            <w:vMerge/>
            <w:tcBorders>
              <w:top w:val="single" w:sz="18" w:space="0" w:color="auto"/>
              <w:left w:val="nil"/>
              <w:bottom w:val="single" w:sz="18"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nil"/>
              <w:right w:val="nil"/>
            </w:tcBorders>
            <w:shd w:val="clear" w:color="auto" w:fill="D8D8D8"/>
            <w:hideMark/>
          </w:tcPr>
          <w:p w:rsidR="00BD5B7F" w:rsidRPr="00865DA5" w:rsidRDefault="00BD5B7F" w:rsidP="000E5961">
            <w:pPr>
              <w:rPr>
                <w:rFonts w:ascii="Arial" w:eastAsia="Calibri" w:hAnsi="Arial" w:cs="Arial"/>
                <w:b/>
                <w:color w:val="000000"/>
                <w:sz w:val="22"/>
                <w:szCs w:val="22"/>
                <w:lang w:val="fr-FR"/>
              </w:rPr>
            </w:pPr>
            <w:r w:rsidRPr="00865DA5">
              <w:rPr>
                <w:rFonts w:ascii="Arial" w:eastAsia="Arial" w:hAnsi="Arial" w:cs="Arial"/>
                <w:b/>
                <w:bCs/>
                <w:color w:val="000000"/>
                <w:sz w:val="22"/>
                <w:szCs w:val="22"/>
                <w:bdr w:val="none" w:sz="0" w:space="0" w:color="auto" w:frame="1"/>
                <w:lang w:val="fr-FR"/>
              </w:rPr>
              <w:t>27. Communauté soumise aux réglementations</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La mesure dans laquelle du matériel et/ou des programmes de sensibilisation sont en place afin que la communauté soumise aux réglementations soit sensibilisée aux lois applicables en matière d’utilisation durable des oiseaux sauvages</w:t>
            </w:r>
          </w:p>
        </w:tc>
      </w:tr>
      <w:tr w:rsidR="00BD5B7F" w:rsidRPr="00FC42B0" w:rsidTr="000E5961">
        <w:trPr>
          <w:cantSplit/>
        </w:trPr>
        <w:tc>
          <w:tcPr>
            <w:tcW w:w="0" w:type="auto"/>
            <w:vMerge/>
            <w:tcBorders>
              <w:top w:val="single" w:sz="18" w:space="0" w:color="auto"/>
              <w:left w:val="nil"/>
              <w:bottom w:val="single" w:sz="18" w:space="0" w:color="auto"/>
              <w:right w:val="nil"/>
            </w:tcBorders>
            <w:vAlign w:val="center"/>
            <w:hideMark/>
          </w:tcPr>
          <w:p w:rsidR="00BD5B7F" w:rsidRPr="00865DA5" w:rsidRDefault="00BD5B7F" w:rsidP="000E5961">
            <w:pPr>
              <w:rPr>
                <w:rFonts w:ascii="Arial" w:eastAsia="Calibri" w:hAnsi="Arial" w:cs="Arial"/>
                <w:b/>
                <w:bCs/>
                <w:color w:val="FFFFFF"/>
                <w:sz w:val="22"/>
                <w:szCs w:val="22"/>
                <w:lang w:val="fr-FR"/>
              </w:rPr>
            </w:pPr>
          </w:p>
        </w:tc>
        <w:tc>
          <w:tcPr>
            <w:tcW w:w="0" w:type="auto"/>
            <w:tcBorders>
              <w:top w:val="nil"/>
              <w:left w:val="nil"/>
              <w:bottom w:val="single" w:sz="18" w:space="0" w:color="auto"/>
              <w:right w:val="nil"/>
            </w:tcBorders>
            <w:hideMark/>
          </w:tcPr>
          <w:p w:rsidR="00BD5B7F" w:rsidRPr="00865DA5" w:rsidRDefault="00BD5B7F" w:rsidP="000E5961">
            <w:pPr>
              <w:rPr>
                <w:rFonts w:ascii="Arial" w:eastAsia="Calibri" w:hAnsi="Arial" w:cs="Arial"/>
                <w:b/>
                <w:color w:val="000000"/>
                <w:sz w:val="22"/>
                <w:szCs w:val="22"/>
                <w:lang w:val="fr-FR"/>
              </w:rPr>
            </w:pPr>
            <w:r w:rsidRPr="00865DA5">
              <w:rPr>
                <w:rFonts w:ascii="Arial" w:eastAsia="Arial" w:hAnsi="Arial" w:cs="Arial"/>
                <w:b/>
                <w:bCs/>
                <w:color w:val="000000"/>
                <w:sz w:val="22"/>
                <w:szCs w:val="22"/>
                <w:bdr w:val="none" w:sz="0" w:space="0" w:color="auto" w:frame="1"/>
                <w:lang w:val="fr-FR"/>
              </w:rPr>
              <w:t>28. Actions de sensibilisation du public</w:t>
            </w:r>
            <w:r w:rsidRPr="00865DA5">
              <w:rPr>
                <w:rFonts w:ascii="Arial" w:eastAsia="Arial" w:hAnsi="Arial" w:cs="Arial"/>
                <w:b/>
                <w:bCs/>
                <w:color w:val="000000"/>
                <w:sz w:val="22"/>
                <w:szCs w:val="22"/>
                <w:bdr w:val="none" w:sz="0" w:space="0" w:color="auto" w:frame="1"/>
                <w:lang w:val="fr-FR"/>
              </w:rPr>
              <w:br/>
            </w:r>
            <w:r w:rsidRPr="00865DA5">
              <w:rPr>
                <w:rFonts w:ascii="Arial" w:eastAsia="Arial" w:hAnsi="Arial" w:cs="Arial"/>
                <w:color w:val="000000"/>
                <w:sz w:val="22"/>
                <w:szCs w:val="22"/>
                <w:bdr w:val="none" w:sz="0" w:space="0" w:color="auto" w:frame="1"/>
                <w:lang w:val="fr-FR"/>
              </w:rPr>
              <w:t>La mesure dans laquelle du matériel et/ou des programmes de sensibilisation sont en place pour renforcer la prise de conscience du public vis-à-vis de l’IKB</w:t>
            </w:r>
          </w:p>
        </w:tc>
      </w:tr>
    </w:tbl>
    <w:p w:rsidR="00BD5B7F" w:rsidRPr="00865DA5" w:rsidRDefault="00BD5B7F" w:rsidP="00BD5B7F">
      <w:pPr>
        <w:keepNext/>
        <w:keepLines/>
        <w:spacing w:after="120"/>
        <w:outlineLvl w:val="1"/>
        <w:rPr>
          <w:rFonts w:ascii="Arial" w:hAnsi="Arial" w:cs="Arial"/>
          <w:b/>
          <w:color w:val="000000"/>
          <w:sz w:val="30"/>
          <w:szCs w:val="30"/>
          <w:lang w:val="fr-FR"/>
        </w:rPr>
      </w:pPr>
      <w:bookmarkStart w:id="8" w:name="_Toc491245223"/>
      <w:bookmarkStart w:id="9" w:name="_Toc491245049"/>
      <w:bookmarkStart w:id="10" w:name="_Toc486539561"/>
      <w:r w:rsidRPr="00865DA5">
        <w:rPr>
          <w:rFonts w:ascii="Arial" w:eastAsia="Arial" w:hAnsi="Arial" w:cs="Arial"/>
          <w:b/>
          <w:bCs/>
          <w:color w:val="000000"/>
          <w:sz w:val="30"/>
          <w:szCs w:val="30"/>
          <w:bdr w:val="none" w:sz="0" w:space="0" w:color="auto" w:frame="1"/>
          <w:lang w:val="fr-FR"/>
        </w:rPr>
        <w:lastRenderedPageBreak/>
        <w:t>Comment utiliser le tableau de bord IKB</w:t>
      </w:r>
      <w:bookmarkEnd w:id="8"/>
      <w:bookmarkEnd w:id="9"/>
      <w:bookmarkEnd w:id="10"/>
    </w:p>
    <w:p w:rsidR="00BD5B7F" w:rsidRPr="00865DA5" w:rsidRDefault="00BD5B7F" w:rsidP="00BD5B7F">
      <w:pPr>
        <w:keepNext/>
        <w:keepLines/>
        <w:spacing w:after="120"/>
        <w:outlineLvl w:val="2"/>
        <w:rPr>
          <w:rFonts w:ascii="Arial" w:eastAsia="Calibri" w:hAnsi="Arial" w:cs="Arial"/>
          <w:b/>
          <w:i/>
          <w:color w:val="000000"/>
          <w:sz w:val="28"/>
          <w:szCs w:val="26"/>
          <w:lang w:val="fr-FR"/>
        </w:rPr>
      </w:pPr>
      <w:bookmarkStart w:id="11" w:name="_Toc491245224"/>
      <w:bookmarkStart w:id="12" w:name="_Toc491245050"/>
      <w:bookmarkStart w:id="13" w:name="_Toc486539562"/>
      <w:r w:rsidRPr="00865DA5">
        <w:rPr>
          <w:rFonts w:ascii="Arial" w:eastAsia="Arial" w:hAnsi="Arial" w:cs="Arial"/>
          <w:b/>
          <w:bCs/>
          <w:i/>
          <w:iCs/>
          <w:color w:val="000000"/>
          <w:sz w:val="28"/>
          <w:szCs w:val="28"/>
          <w:bdr w:val="none" w:sz="0" w:space="0" w:color="auto" w:frame="1"/>
          <w:lang w:val="fr-FR"/>
        </w:rPr>
        <w:t>Processus</w:t>
      </w:r>
      <w:bookmarkEnd w:id="11"/>
      <w:bookmarkEnd w:id="12"/>
      <w:bookmarkEnd w:id="13"/>
    </w:p>
    <w:p w:rsidR="00BD5B7F" w:rsidRPr="00865DA5" w:rsidRDefault="00BD5B7F" w:rsidP="00BD5B7F">
      <w:pPr>
        <w:keepNext/>
        <w:keepLines/>
        <w:spacing w:after="120"/>
        <w:jc w:val="both"/>
        <w:outlineLvl w:val="2"/>
        <w:rPr>
          <w:rFonts w:ascii="Arial" w:eastAsia="Calibri" w:hAnsi="Arial" w:cs="Arial"/>
          <w:color w:val="000000"/>
          <w:sz w:val="22"/>
          <w:szCs w:val="22"/>
          <w:lang w:val="fr-FR"/>
        </w:rPr>
      </w:pPr>
      <w:bookmarkStart w:id="14" w:name="_Toc491245225"/>
      <w:bookmarkStart w:id="15" w:name="_Toc491245051"/>
      <w:r w:rsidRPr="00865DA5">
        <w:rPr>
          <w:rFonts w:ascii="Arial" w:eastAsia="Arial" w:hAnsi="Arial" w:cs="Arial"/>
          <w:color w:val="000000"/>
          <w:sz w:val="22"/>
          <w:szCs w:val="22"/>
          <w:bdr w:val="none" w:sz="0" w:space="0" w:color="auto" w:frame="1"/>
          <w:lang w:val="fr-FR"/>
        </w:rPr>
        <w:t>Le tableau de bord IKB fournit une méthode d’auto-évaluation volontaire pour la collecte systématique d’informations appropriées au niveau national et devrait permettre aux États de comparer les résultats aux niveaux régional et international, le cas échéant, ainsi que d’identifier et partager les méthodes particulièrement efficaces, ou les difficultés rencontrées et les lacunes qui nécessitent une action concertée supplémentaire.</w:t>
      </w:r>
      <w:bookmarkEnd w:id="14"/>
      <w:bookmarkEnd w:id="15"/>
      <w:r w:rsidRPr="00865DA5">
        <w:rPr>
          <w:rFonts w:ascii="Arial" w:eastAsia="Arial" w:hAnsi="Arial" w:cs="Arial"/>
          <w:color w:val="000000"/>
          <w:sz w:val="22"/>
          <w:szCs w:val="22"/>
          <w:bdr w:val="none" w:sz="0" w:space="0" w:color="auto" w:frame="1"/>
          <w:lang w:val="fr-FR"/>
        </w:rPr>
        <w:t xml:space="preserve">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L’évaluation vise à permettre aux États d’examiner leurs progrès dans le cadre de la mise en œuvre du Plan d’action de Tunis et du Programme de travail du MIKT et devrait ainsi être réalisée régulièrement. Par conséquent, les États pourront mener l’évaluation périodiquement.</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L’apport principal du tableau de bord consiste en une </w:t>
      </w:r>
      <w:r w:rsidRPr="00865DA5">
        <w:rPr>
          <w:rFonts w:ascii="Arial" w:eastAsia="Arial" w:hAnsi="Arial" w:cs="Arial"/>
          <w:color w:val="000000"/>
          <w:sz w:val="22"/>
          <w:szCs w:val="22"/>
          <w:u w:val="single"/>
          <w:bdr w:val="none" w:sz="0" w:space="0" w:color="auto" w:frame="1"/>
          <w:lang w:val="fr-FR"/>
        </w:rPr>
        <w:t>auto-évaluation</w:t>
      </w:r>
      <w:r w:rsidRPr="00865DA5">
        <w:rPr>
          <w:rFonts w:ascii="Arial" w:eastAsia="Arial" w:hAnsi="Arial" w:cs="Arial"/>
          <w:color w:val="000000"/>
          <w:sz w:val="22"/>
          <w:szCs w:val="22"/>
          <w:bdr w:val="none" w:sz="0" w:space="0" w:color="auto" w:frame="1"/>
          <w:lang w:val="fr-FR"/>
        </w:rPr>
        <w:t xml:space="preserve"> par les administrations nationales responsables. Pour une précision et une objectivité maximales, il est recommandé que l’évaluation soit réalisée à travers un processus de collaboration associant le personnel des agences pertinentes de lutte contre la fraude et d’application des lois, telles que l’agence chargée de la réglementation relative aux espèces sauvages, et les agences de lutte contre la fraude. La consultation des parties prenantes non gouvernementales telles que les communautés soumises aux réglementations</w:t>
      </w:r>
      <w:r w:rsidRPr="00FF6562">
        <w:rPr>
          <w:rFonts w:ascii="Arial" w:eastAsia="Calibri" w:hAnsi="Arial" w:cs="Arial"/>
          <w:color w:val="000000"/>
          <w:sz w:val="22"/>
          <w:szCs w:val="22"/>
          <w:vertAlign w:val="superscript"/>
        </w:rPr>
        <w:footnoteReference w:id="5"/>
      </w:r>
      <w:r w:rsidRPr="00865DA5">
        <w:rPr>
          <w:rFonts w:ascii="Arial" w:eastAsia="Arial" w:hAnsi="Arial" w:cs="Arial"/>
          <w:color w:val="000000"/>
          <w:sz w:val="22"/>
          <w:szCs w:val="22"/>
          <w:bdr w:val="none" w:sz="0" w:space="0" w:color="auto" w:frame="1"/>
          <w:lang w:val="fr-FR"/>
        </w:rPr>
        <w:t xml:space="preserve"> et les organisations de conservation est également recommandée.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Le processus décrit ci-dessous correspond bien au processus d’élaboration d’un plan d’action national, car les parties prenantes pertinentes (gouvernementales et non gouvernementales) sont les mêmes et les informations recueillies apportent des connaissances sur la situation actuelle et permettent aux États d’évaluer les progrès à venir. Un guide détaillé étape par étape est présenté dans le tableau 2.</w:t>
      </w:r>
    </w:p>
    <w:p w:rsidR="00BD5B7F" w:rsidRPr="00865DA5" w:rsidRDefault="00BD5B7F" w:rsidP="00BD5B7F">
      <w:pPr>
        <w:spacing w:after="120"/>
        <w:jc w:val="both"/>
        <w:rPr>
          <w:rFonts w:ascii="Arial" w:eastAsia="Calibri" w:hAnsi="Arial" w:cs="Arial"/>
          <w:b/>
          <w:color w:val="000000"/>
          <w:sz w:val="22"/>
          <w:szCs w:val="22"/>
          <w:lang w:val="fr-FR"/>
        </w:rPr>
      </w:pPr>
      <w:r w:rsidRPr="00865DA5">
        <w:rPr>
          <w:rFonts w:ascii="Arial" w:eastAsia="Arial" w:hAnsi="Arial" w:cs="Arial"/>
          <w:b/>
          <w:color w:val="000000"/>
          <w:sz w:val="22"/>
          <w:szCs w:val="22"/>
          <w:bdr w:val="none" w:sz="0" w:space="0" w:color="auto" w:frame="1"/>
          <w:lang w:val="fr-FR"/>
        </w:rPr>
        <w:t>Tableau 2</w:t>
      </w:r>
      <w:r w:rsidRPr="00865DA5">
        <w:rPr>
          <w:rFonts w:ascii="Arial" w:eastAsia="Arial" w:hAnsi="Arial" w:cs="Arial"/>
          <w:color w:val="000000"/>
          <w:sz w:val="22"/>
          <w:szCs w:val="22"/>
          <w:bdr w:val="none" w:sz="0" w:space="0" w:color="auto" w:frame="1"/>
          <w:lang w:val="fr-FR"/>
        </w:rPr>
        <w:t xml:space="preserve"> -</w:t>
      </w:r>
      <w:r w:rsidRPr="00865DA5">
        <w:rPr>
          <w:rFonts w:ascii="Arial" w:eastAsia="Arial" w:hAnsi="Arial" w:cs="Arial"/>
          <w:sz w:val="22"/>
          <w:szCs w:val="22"/>
          <w:bdr w:val="none" w:sz="0" w:space="0" w:color="auto" w:frame="1"/>
          <w:lang w:val="fr-FR"/>
        </w:rPr>
        <w:t xml:space="preserve"> Conduire une évaluation à l’aide du Cadre d’indicateurs IKB - Un guide phase par phase</w:t>
      </w:r>
    </w:p>
    <w:tbl>
      <w:tblPr>
        <w:tblW w:w="0" w:type="auto"/>
        <w:tblBorders>
          <w:top w:val="single" w:sz="18" w:space="0" w:color="auto"/>
          <w:bottom w:val="single" w:sz="18" w:space="0" w:color="auto"/>
        </w:tblBorders>
        <w:tblLook w:val="04A0" w:firstRow="1" w:lastRow="0" w:firstColumn="1" w:lastColumn="0" w:noHBand="0" w:noVBand="1"/>
      </w:tblPr>
      <w:tblGrid>
        <w:gridCol w:w="2886"/>
        <w:gridCol w:w="6400"/>
      </w:tblGrid>
      <w:tr w:rsidR="00BD5B7F" w:rsidRPr="00FC42B0" w:rsidTr="000E5961">
        <w:trPr>
          <w:cantSplit/>
        </w:trPr>
        <w:tc>
          <w:tcPr>
            <w:tcW w:w="0" w:type="auto"/>
            <w:tcBorders>
              <w:top w:val="single" w:sz="4" w:space="0" w:color="auto"/>
              <w:left w:val="nil"/>
              <w:bottom w:val="single" w:sz="4" w:space="0" w:color="auto"/>
              <w:right w:val="nil"/>
            </w:tcBorders>
            <w:shd w:val="clear" w:color="auto" w:fill="4F81BD"/>
          </w:tcPr>
          <w:p w:rsidR="00BD5B7F" w:rsidRPr="00865DA5" w:rsidRDefault="00BD5B7F" w:rsidP="000E5961">
            <w:pPr>
              <w:rPr>
                <w:rFonts w:ascii="Arial" w:eastAsia="Calibri" w:hAnsi="Arial" w:cs="Arial"/>
                <w:b/>
                <w:bCs/>
                <w:color w:val="FFFFFF"/>
                <w:szCs w:val="4"/>
                <w:lang w:val="fr-FR"/>
              </w:rPr>
            </w:pPr>
          </w:p>
        </w:tc>
        <w:tc>
          <w:tcPr>
            <w:tcW w:w="0" w:type="auto"/>
            <w:tcBorders>
              <w:top w:val="single" w:sz="4" w:space="0" w:color="auto"/>
              <w:left w:val="nil"/>
              <w:bottom w:val="single" w:sz="4" w:space="0" w:color="auto"/>
              <w:right w:val="nil"/>
            </w:tcBorders>
            <w:shd w:val="clear" w:color="auto" w:fill="4F81BD"/>
          </w:tcPr>
          <w:p w:rsidR="00BD5B7F" w:rsidRPr="00865DA5" w:rsidRDefault="00BD5B7F" w:rsidP="000E5961">
            <w:pPr>
              <w:rPr>
                <w:rFonts w:ascii="Arial" w:eastAsia="Calibri" w:hAnsi="Arial" w:cs="Arial"/>
                <w:b/>
                <w:bCs/>
                <w:color w:val="000000"/>
                <w:szCs w:val="4"/>
                <w:lang w:val="fr-FR"/>
              </w:rPr>
            </w:pPr>
          </w:p>
        </w:tc>
      </w:tr>
      <w:tr w:rsidR="00BD5B7F" w:rsidRPr="00FC42B0" w:rsidTr="000E5961">
        <w:trPr>
          <w:cantSplit/>
        </w:trPr>
        <w:tc>
          <w:tcPr>
            <w:tcW w:w="0" w:type="auto"/>
            <w:vMerge w:val="restart"/>
            <w:tcBorders>
              <w:top w:val="single" w:sz="4" w:space="0" w:color="auto"/>
              <w:left w:val="nil"/>
              <w:bottom w:val="single" w:sz="4" w:space="0" w:color="auto"/>
              <w:right w:val="nil"/>
            </w:tcBorders>
            <w:shd w:val="clear" w:color="auto" w:fill="4F81BD"/>
            <w:hideMark/>
          </w:tcPr>
          <w:p w:rsidR="00BD5B7F" w:rsidRPr="00FF6562" w:rsidRDefault="00BD5B7F" w:rsidP="000E5961">
            <w:pP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t>Planification</w:t>
            </w:r>
          </w:p>
        </w:tc>
        <w:tc>
          <w:tcPr>
            <w:tcW w:w="0" w:type="auto"/>
            <w:tcBorders>
              <w:top w:val="single" w:sz="4" w:space="0" w:color="auto"/>
              <w:left w:val="nil"/>
              <w:bottom w:val="nil"/>
              <w:right w:val="nil"/>
            </w:tcBorders>
            <w:shd w:val="clear" w:color="auto" w:fill="D8D8D8"/>
            <w:hideMark/>
          </w:tcPr>
          <w:p w:rsidR="00BD5B7F" w:rsidRPr="00865DA5" w:rsidRDefault="00BD5B7F" w:rsidP="000E5961">
            <w:pPr>
              <w:jc w:val="both"/>
              <w:rPr>
                <w:rFonts w:ascii="Arial" w:eastAsia="Calibri" w:hAnsi="Arial" w:cs="Arial"/>
                <w:b/>
                <w:color w:val="000000"/>
                <w:szCs w:val="22"/>
                <w:lang w:val="fr-FR"/>
              </w:rPr>
            </w:pPr>
            <w:r w:rsidRPr="00865DA5">
              <w:rPr>
                <w:rFonts w:ascii="Arial" w:eastAsia="Arial" w:hAnsi="Arial" w:cs="Arial"/>
                <w:b/>
                <w:bCs/>
                <w:color w:val="000000"/>
                <w:szCs w:val="22"/>
                <w:bdr w:val="none" w:sz="0" w:space="0" w:color="auto" w:frame="1"/>
                <w:lang w:val="fr-FR"/>
              </w:rPr>
              <w:t>1. Identifier l’agence chef de file et mettre en place l’équipe de projet</w:t>
            </w:r>
          </w:p>
          <w:p w:rsidR="00BD5B7F" w:rsidRPr="00865DA5" w:rsidRDefault="00BD5B7F" w:rsidP="000E5961">
            <w:pPr>
              <w:jc w:val="both"/>
              <w:rPr>
                <w:rFonts w:ascii="Arial" w:eastAsia="Calibri" w:hAnsi="Arial" w:cs="Arial"/>
                <w:color w:val="000000"/>
                <w:szCs w:val="22"/>
                <w:lang w:val="fr-FR"/>
              </w:rPr>
            </w:pPr>
            <w:r w:rsidRPr="00865DA5">
              <w:rPr>
                <w:rFonts w:ascii="Arial" w:eastAsia="Arial" w:hAnsi="Arial" w:cs="Arial"/>
                <w:color w:val="000000"/>
                <w:szCs w:val="22"/>
                <w:bdr w:val="none" w:sz="0" w:space="0" w:color="auto" w:frame="1"/>
                <w:lang w:val="fr-FR"/>
              </w:rPr>
              <w:t>Chaque évaluation sera généralement menée par une agence chef de file. Afin d’assurer la collaboration d’autres agences clés participant à la lutte contre l’IKB, une équipe interagence devra être créée.</w:t>
            </w:r>
          </w:p>
        </w:tc>
      </w:tr>
      <w:tr w:rsidR="00BD5B7F" w:rsidRPr="00FC42B0" w:rsidTr="000E5961">
        <w:trPr>
          <w:cantSplit/>
        </w:trPr>
        <w:tc>
          <w:tcPr>
            <w:tcW w:w="0" w:type="auto"/>
            <w:vMerge/>
            <w:tcBorders>
              <w:top w:val="single" w:sz="4" w:space="0" w:color="auto"/>
              <w:left w:val="nil"/>
              <w:bottom w:val="single" w:sz="4" w:space="0" w:color="auto"/>
              <w:right w:val="nil"/>
            </w:tcBorders>
            <w:vAlign w:val="center"/>
            <w:hideMark/>
          </w:tcPr>
          <w:p w:rsidR="00BD5B7F" w:rsidRPr="00865DA5" w:rsidRDefault="00BD5B7F" w:rsidP="000E5961">
            <w:pPr>
              <w:rPr>
                <w:rFonts w:ascii="Arial" w:eastAsia="Calibri" w:hAnsi="Arial" w:cs="Arial"/>
                <w:b/>
                <w:bCs/>
                <w:color w:val="FFFFFF"/>
                <w:szCs w:val="22"/>
                <w:lang w:val="fr-FR"/>
              </w:rPr>
            </w:pPr>
          </w:p>
        </w:tc>
        <w:tc>
          <w:tcPr>
            <w:tcW w:w="0" w:type="auto"/>
            <w:tcBorders>
              <w:top w:val="nil"/>
              <w:left w:val="nil"/>
              <w:bottom w:val="nil"/>
              <w:right w:val="nil"/>
            </w:tcBorders>
            <w:hideMark/>
          </w:tcPr>
          <w:p w:rsidR="00BD5B7F" w:rsidRPr="00865DA5" w:rsidRDefault="00BD5B7F" w:rsidP="000E5961">
            <w:pPr>
              <w:jc w:val="both"/>
              <w:rPr>
                <w:rFonts w:ascii="Arial" w:eastAsia="Calibri" w:hAnsi="Arial" w:cs="Arial"/>
                <w:b/>
                <w:color w:val="000000"/>
                <w:szCs w:val="22"/>
                <w:lang w:val="fr-FR"/>
              </w:rPr>
            </w:pPr>
            <w:r w:rsidRPr="00865DA5">
              <w:rPr>
                <w:rFonts w:ascii="Arial" w:eastAsia="Arial" w:hAnsi="Arial" w:cs="Arial"/>
                <w:b/>
                <w:bCs/>
                <w:color w:val="000000"/>
                <w:szCs w:val="22"/>
                <w:bdr w:val="none" w:sz="0" w:space="0" w:color="auto" w:frame="1"/>
                <w:lang w:val="fr-FR"/>
              </w:rPr>
              <w:t>2. Identifier les parties prenantes et les experts concernés pouvant participer</w:t>
            </w:r>
          </w:p>
          <w:p w:rsidR="00BD5B7F" w:rsidRPr="00865DA5" w:rsidRDefault="00BD5B7F" w:rsidP="000E5961">
            <w:pPr>
              <w:jc w:val="both"/>
              <w:rPr>
                <w:rFonts w:ascii="Arial" w:eastAsia="Calibri" w:hAnsi="Arial" w:cs="Arial"/>
                <w:color w:val="000000"/>
                <w:szCs w:val="22"/>
                <w:lang w:val="fr-FR"/>
              </w:rPr>
            </w:pPr>
            <w:r w:rsidRPr="00865DA5">
              <w:rPr>
                <w:rFonts w:ascii="Arial" w:eastAsia="Arial" w:hAnsi="Arial" w:cs="Arial"/>
                <w:color w:val="000000"/>
                <w:szCs w:val="22"/>
                <w:bdr w:val="none" w:sz="0" w:space="0" w:color="auto" w:frame="1"/>
                <w:lang w:val="fr-FR"/>
              </w:rPr>
              <w:t xml:space="preserve">Il est recommandé que le processus d’évaluation au niveau national associe idéalement toutes les parties prenantes concernées, y compris des ONG. </w:t>
            </w:r>
          </w:p>
        </w:tc>
      </w:tr>
      <w:tr w:rsidR="00BD5B7F" w:rsidRPr="00FC42B0" w:rsidTr="000E5961">
        <w:trPr>
          <w:cantSplit/>
        </w:trPr>
        <w:tc>
          <w:tcPr>
            <w:tcW w:w="0" w:type="auto"/>
            <w:vMerge/>
            <w:tcBorders>
              <w:top w:val="single" w:sz="4" w:space="0" w:color="auto"/>
              <w:left w:val="nil"/>
              <w:bottom w:val="single" w:sz="4" w:space="0" w:color="auto"/>
              <w:right w:val="nil"/>
            </w:tcBorders>
            <w:vAlign w:val="center"/>
            <w:hideMark/>
          </w:tcPr>
          <w:p w:rsidR="00BD5B7F" w:rsidRPr="00865DA5" w:rsidRDefault="00BD5B7F" w:rsidP="000E5961">
            <w:pPr>
              <w:rPr>
                <w:rFonts w:ascii="Arial" w:eastAsia="Calibri" w:hAnsi="Arial" w:cs="Arial"/>
                <w:b/>
                <w:bCs/>
                <w:color w:val="FFFFFF"/>
                <w:szCs w:val="22"/>
                <w:lang w:val="fr-FR"/>
              </w:rPr>
            </w:pPr>
          </w:p>
        </w:tc>
        <w:tc>
          <w:tcPr>
            <w:tcW w:w="0" w:type="auto"/>
            <w:tcBorders>
              <w:top w:val="nil"/>
              <w:left w:val="nil"/>
              <w:bottom w:val="single" w:sz="4" w:space="0" w:color="auto"/>
              <w:right w:val="nil"/>
            </w:tcBorders>
            <w:shd w:val="clear" w:color="auto" w:fill="D8D8D8"/>
            <w:hideMark/>
          </w:tcPr>
          <w:p w:rsidR="00BD5B7F" w:rsidRPr="00865DA5" w:rsidRDefault="00BD5B7F" w:rsidP="000E5961">
            <w:pPr>
              <w:jc w:val="both"/>
              <w:rPr>
                <w:rFonts w:ascii="Arial" w:eastAsia="Calibri" w:hAnsi="Arial" w:cs="Arial"/>
                <w:b/>
                <w:color w:val="000000"/>
                <w:szCs w:val="22"/>
                <w:lang w:val="fr-FR"/>
              </w:rPr>
            </w:pPr>
            <w:r w:rsidRPr="00865DA5">
              <w:rPr>
                <w:rFonts w:ascii="Arial" w:eastAsia="Arial" w:hAnsi="Arial" w:cs="Arial"/>
                <w:b/>
                <w:bCs/>
                <w:color w:val="000000"/>
                <w:szCs w:val="22"/>
                <w:bdr w:val="none" w:sz="0" w:space="0" w:color="auto" w:frame="1"/>
                <w:lang w:val="fr-FR"/>
              </w:rPr>
              <w:t>3. Assurer les besoins en ressources</w:t>
            </w:r>
          </w:p>
          <w:p w:rsidR="00BD5B7F" w:rsidRPr="00865DA5" w:rsidRDefault="00BD5B7F" w:rsidP="000E5961">
            <w:pPr>
              <w:jc w:val="both"/>
              <w:rPr>
                <w:rFonts w:ascii="Arial" w:eastAsia="Calibri" w:hAnsi="Arial" w:cs="Arial"/>
                <w:color w:val="000000"/>
                <w:szCs w:val="22"/>
                <w:lang w:val="fr-FR"/>
              </w:rPr>
            </w:pPr>
            <w:r w:rsidRPr="00865DA5">
              <w:rPr>
                <w:rFonts w:ascii="Arial" w:eastAsia="Arial" w:hAnsi="Arial" w:cs="Arial"/>
                <w:color w:val="000000"/>
                <w:szCs w:val="22"/>
                <w:bdr w:val="none" w:sz="0" w:space="0" w:color="auto" w:frame="1"/>
                <w:lang w:val="fr-FR"/>
              </w:rPr>
              <w:t>Il est recommandé de prévoir à l’avance l’affectation des ressources nécessaires à l’exercice d’évaluation.</w:t>
            </w:r>
          </w:p>
        </w:tc>
      </w:tr>
      <w:tr w:rsidR="00BD5B7F" w:rsidRPr="00FC42B0" w:rsidTr="000E5961">
        <w:trPr>
          <w:cantSplit/>
          <w:trHeight w:val="1354"/>
        </w:trPr>
        <w:tc>
          <w:tcPr>
            <w:tcW w:w="0" w:type="auto"/>
            <w:vMerge w:val="restart"/>
            <w:tcBorders>
              <w:top w:val="single" w:sz="4" w:space="0" w:color="auto"/>
              <w:left w:val="nil"/>
              <w:bottom w:val="single" w:sz="4" w:space="0" w:color="auto"/>
              <w:right w:val="nil"/>
            </w:tcBorders>
            <w:shd w:val="clear" w:color="auto" w:fill="4F81BD"/>
            <w:hideMark/>
          </w:tcPr>
          <w:p w:rsidR="00BD5B7F" w:rsidRPr="00FF6562" w:rsidRDefault="00BD5B7F" w:rsidP="000E5961">
            <w:pP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lastRenderedPageBreak/>
              <w:t>Collecte de données </w:t>
            </w:r>
          </w:p>
        </w:tc>
        <w:tc>
          <w:tcPr>
            <w:tcW w:w="0" w:type="auto"/>
            <w:tcBorders>
              <w:top w:val="single" w:sz="4" w:space="0" w:color="auto"/>
              <w:left w:val="nil"/>
              <w:bottom w:val="dashSmallGap" w:sz="4" w:space="0" w:color="548DD4"/>
              <w:right w:val="nil"/>
            </w:tcBorders>
            <w:hideMark/>
          </w:tcPr>
          <w:p w:rsidR="00BD5B7F" w:rsidRPr="00865DA5" w:rsidRDefault="00BD5B7F" w:rsidP="000E5961">
            <w:pPr>
              <w:jc w:val="both"/>
              <w:rPr>
                <w:rFonts w:ascii="Arial" w:eastAsia="Calibri" w:hAnsi="Arial" w:cs="Arial"/>
                <w:b/>
                <w:color w:val="000000"/>
                <w:szCs w:val="22"/>
                <w:lang w:val="fr-FR"/>
              </w:rPr>
            </w:pPr>
            <w:r w:rsidRPr="00865DA5">
              <w:rPr>
                <w:rFonts w:ascii="Arial" w:eastAsia="Arial" w:hAnsi="Arial" w:cs="Arial"/>
                <w:b/>
                <w:bCs/>
                <w:color w:val="000000"/>
                <w:szCs w:val="22"/>
                <w:bdr w:val="none" w:sz="0" w:space="0" w:color="auto" w:frame="1"/>
                <w:lang w:val="fr-FR"/>
              </w:rPr>
              <w:t>4. Identifier les besoins en matière de données</w:t>
            </w:r>
          </w:p>
          <w:p w:rsidR="00BD5B7F" w:rsidRPr="00865DA5" w:rsidRDefault="00BD5B7F" w:rsidP="000E5961">
            <w:pPr>
              <w:jc w:val="both"/>
              <w:rPr>
                <w:rFonts w:ascii="Arial" w:eastAsia="Calibri" w:hAnsi="Arial" w:cs="Arial"/>
                <w:color w:val="000000"/>
                <w:szCs w:val="22"/>
                <w:lang w:val="fr-FR"/>
              </w:rPr>
            </w:pPr>
            <w:r w:rsidRPr="00865DA5">
              <w:rPr>
                <w:rFonts w:ascii="Arial" w:eastAsia="Arial" w:hAnsi="Arial" w:cs="Arial"/>
                <w:color w:val="000000"/>
                <w:szCs w:val="22"/>
                <w:bdr w:val="none" w:sz="0" w:space="0" w:color="auto" w:frame="1"/>
                <w:lang w:val="fr-FR"/>
              </w:rPr>
              <w:t xml:space="preserve">La grande majorité des indicateurs nécessite des évaluations d’experts, un examen de la législation et des procédures et, dans quelques cas, la collecte et l’analyse de données. La disponibilité, l’accessibilité et les coûts connexes doivent être pris en compte à un stade précoce afin de faciliter l’accès aux données requises en temps opportun. </w:t>
            </w:r>
          </w:p>
        </w:tc>
      </w:tr>
      <w:tr w:rsidR="00BD5B7F" w:rsidRPr="00FC42B0" w:rsidTr="000E5961">
        <w:trPr>
          <w:cantSplit/>
        </w:trPr>
        <w:tc>
          <w:tcPr>
            <w:tcW w:w="0" w:type="auto"/>
            <w:vMerge/>
            <w:tcBorders>
              <w:top w:val="single" w:sz="4" w:space="0" w:color="auto"/>
              <w:left w:val="nil"/>
              <w:bottom w:val="single" w:sz="4" w:space="0" w:color="auto"/>
              <w:right w:val="nil"/>
            </w:tcBorders>
            <w:vAlign w:val="center"/>
            <w:hideMark/>
          </w:tcPr>
          <w:p w:rsidR="00BD5B7F" w:rsidRPr="00865DA5" w:rsidRDefault="00BD5B7F" w:rsidP="000E5961">
            <w:pPr>
              <w:rPr>
                <w:rFonts w:ascii="Arial" w:eastAsia="Calibri" w:hAnsi="Arial" w:cs="Arial"/>
                <w:b/>
                <w:bCs/>
                <w:color w:val="FFFFFF"/>
                <w:szCs w:val="22"/>
                <w:lang w:val="fr-FR"/>
              </w:rPr>
            </w:pPr>
          </w:p>
        </w:tc>
        <w:tc>
          <w:tcPr>
            <w:tcW w:w="0" w:type="auto"/>
            <w:tcBorders>
              <w:top w:val="dashSmallGap" w:sz="4" w:space="0" w:color="548DD4"/>
              <w:left w:val="nil"/>
              <w:bottom w:val="dashSmallGap" w:sz="4" w:space="0" w:color="FFFFFF"/>
              <w:right w:val="nil"/>
            </w:tcBorders>
            <w:shd w:val="clear" w:color="auto" w:fill="D8D8D8"/>
            <w:hideMark/>
          </w:tcPr>
          <w:p w:rsidR="00BD5B7F" w:rsidRPr="00865DA5" w:rsidRDefault="00BD5B7F" w:rsidP="000E5961">
            <w:pPr>
              <w:jc w:val="both"/>
              <w:rPr>
                <w:rFonts w:ascii="Arial" w:eastAsia="Calibri" w:hAnsi="Arial" w:cs="Arial"/>
                <w:b/>
                <w:color w:val="000000"/>
                <w:szCs w:val="22"/>
                <w:lang w:val="fr-FR"/>
              </w:rPr>
            </w:pPr>
            <w:r w:rsidRPr="00865DA5">
              <w:rPr>
                <w:rFonts w:ascii="Arial" w:eastAsia="Arial" w:hAnsi="Arial" w:cs="Arial"/>
                <w:b/>
                <w:bCs/>
                <w:color w:val="000000"/>
                <w:szCs w:val="22"/>
                <w:bdr w:val="none" w:sz="0" w:space="0" w:color="auto" w:frame="1"/>
                <w:lang w:val="fr-FR"/>
              </w:rPr>
              <w:t>5. Demander les données</w:t>
            </w:r>
          </w:p>
          <w:p w:rsidR="00BD5B7F" w:rsidRPr="00865DA5" w:rsidRDefault="00BD5B7F" w:rsidP="000E5961">
            <w:pPr>
              <w:jc w:val="both"/>
              <w:rPr>
                <w:rFonts w:ascii="Arial" w:eastAsia="Calibri" w:hAnsi="Arial" w:cs="Arial"/>
                <w:color w:val="000000"/>
                <w:szCs w:val="22"/>
                <w:lang w:val="fr-FR"/>
              </w:rPr>
            </w:pPr>
            <w:r w:rsidRPr="00865DA5">
              <w:rPr>
                <w:rFonts w:ascii="Arial" w:eastAsia="Calibri" w:hAnsi="Arial" w:cs="Arial"/>
                <w:color w:val="000000"/>
                <w:szCs w:val="22"/>
                <w:bdr w:val="none" w:sz="0" w:space="0" w:color="auto" w:frame="1"/>
                <w:lang w:val="fr-FR"/>
              </w:rPr>
              <w:t>Dans certains cas, ces données peuvent être détenues par d’autres agences, et des demandes formelles d’accès devront être faites. La première tentative d’évaluation pourra permettre d’identifier des domaines dans lesquels les données importantes ne sont pas enregistrées actuellement. Des mesures devront être prises le plus tôt possible pour veiller à ce que les besoins en matière de données soient satisfaits.</w:t>
            </w:r>
          </w:p>
        </w:tc>
      </w:tr>
      <w:tr w:rsidR="00BD5B7F" w:rsidRPr="00FC42B0" w:rsidTr="000E5961">
        <w:trPr>
          <w:cantSplit/>
        </w:trPr>
        <w:tc>
          <w:tcPr>
            <w:tcW w:w="0" w:type="auto"/>
            <w:vMerge/>
            <w:tcBorders>
              <w:top w:val="single" w:sz="4" w:space="0" w:color="auto"/>
              <w:left w:val="nil"/>
              <w:bottom w:val="single" w:sz="4" w:space="0" w:color="auto"/>
              <w:right w:val="nil"/>
            </w:tcBorders>
            <w:vAlign w:val="center"/>
            <w:hideMark/>
          </w:tcPr>
          <w:p w:rsidR="00BD5B7F" w:rsidRPr="00865DA5" w:rsidRDefault="00BD5B7F" w:rsidP="000E5961">
            <w:pPr>
              <w:rPr>
                <w:rFonts w:ascii="Arial" w:eastAsia="Calibri" w:hAnsi="Arial" w:cs="Arial"/>
                <w:b/>
                <w:bCs/>
                <w:color w:val="FFFFFF"/>
                <w:szCs w:val="22"/>
                <w:lang w:val="fr-FR"/>
              </w:rPr>
            </w:pPr>
          </w:p>
        </w:tc>
        <w:tc>
          <w:tcPr>
            <w:tcW w:w="0" w:type="auto"/>
            <w:tcBorders>
              <w:top w:val="dashSmallGap" w:sz="4" w:space="0" w:color="FFFFFF"/>
              <w:left w:val="nil"/>
              <w:bottom w:val="nil"/>
              <w:right w:val="nil"/>
            </w:tcBorders>
            <w:hideMark/>
          </w:tcPr>
          <w:p w:rsidR="00BD5B7F" w:rsidRPr="00865DA5" w:rsidRDefault="00BD5B7F" w:rsidP="000E5961">
            <w:pPr>
              <w:jc w:val="both"/>
              <w:rPr>
                <w:rFonts w:ascii="Arial" w:eastAsia="Calibri" w:hAnsi="Arial" w:cs="Arial"/>
                <w:b/>
                <w:color w:val="000000"/>
                <w:szCs w:val="22"/>
                <w:lang w:val="fr-FR"/>
              </w:rPr>
            </w:pPr>
            <w:r w:rsidRPr="00865DA5">
              <w:rPr>
                <w:rFonts w:ascii="Arial" w:eastAsia="Arial" w:hAnsi="Arial" w:cs="Arial"/>
                <w:b/>
                <w:bCs/>
                <w:color w:val="000000"/>
                <w:szCs w:val="22"/>
                <w:bdr w:val="none" w:sz="0" w:space="0" w:color="auto" w:frame="1"/>
                <w:lang w:val="fr-FR"/>
              </w:rPr>
              <w:t>6. Rassembler et examiner les documents</w:t>
            </w:r>
          </w:p>
          <w:p w:rsidR="00BD5B7F" w:rsidRPr="00865DA5" w:rsidRDefault="00BD5B7F" w:rsidP="000E5961">
            <w:pPr>
              <w:jc w:val="both"/>
              <w:rPr>
                <w:rFonts w:ascii="Arial" w:eastAsia="Calibri" w:hAnsi="Arial" w:cs="Arial"/>
                <w:color w:val="000000"/>
                <w:szCs w:val="22"/>
                <w:lang w:val="fr-FR"/>
              </w:rPr>
            </w:pPr>
            <w:r w:rsidRPr="00865DA5">
              <w:rPr>
                <w:rFonts w:ascii="Arial" w:eastAsia="Arial" w:hAnsi="Arial" w:cs="Arial"/>
                <w:color w:val="000000"/>
                <w:szCs w:val="22"/>
                <w:bdr w:val="none" w:sz="0" w:space="0" w:color="auto" w:frame="1"/>
                <w:lang w:val="fr-FR"/>
              </w:rPr>
              <w:t xml:space="preserve">Un certain nombre de questions nécessitent l’examen de documents, de processus opérationnels ou de données. Une telle documentation doit être recueillie et examinée le plus tôt possible avant l’évaluation et l’atelier collaboratifs. </w:t>
            </w:r>
          </w:p>
        </w:tc>
      </w:tr>
      <w:tr w:rsidR="00BD5B7F" w:rsidRPr="00FC42B0" w:rsidTr="000E5961">
        <w:trPr>
          <w:cantSplit/>
        </w:trPr>
        <w:tc>
          <w:tcPr>
            <w:tcW w:w="0" w:type="auto"/>
            <w:vMerge/>
            <w:tcBorders>
              <w:top w:val="single" w:sz="4" w:space="0" w:color="auto"/>
              <w:left w:val="nil"/>
              <w:bottom w:val="single" w:sz="4" w:space="0" w:color="auto"/>
              <w:right w:val="nil"/>
            </w:tcBorders>
            <w:vAlign w:val="center"/>
            <w:hideMark/>
          </w:tcPr>
          <w:p w:rsidR="00BD5B7F" w:rsidRPr="00865DA5" w:rsidRDefault="00BD5B7F" w:rsidP="000E5961">
            <w:pPr>
              <w:rPr>
                <w:rFonts w:ascii="Arial" w:eastAsia="Calibri" w:hAnsi="Arial" w:cs="Arial"/>
                <w:b/>
                <w:bCs/>
                <w:color w:val="FFFFFF"/>
                <w:szCs w:val="22"/>
                <w:lang w:val="fr-FR"/>
              </w:rPr>
            </w:pPr>
          </w:p>
        </w:tc>
        <w:tc>
          <w:tcPr>
            <w:tcW w:w="0" w:type="auto"/>
            <w:tcBorders>
              <w:top w:val="nil"/>
              <w:left w:val="nil"/>
              <w:bottom w:val="single" w:sz="4" w:space="0" w:color="auto"/>
              <w:right w:val="nil"/>
            </w:tcBorders>
            <w:shd w:val="clear" w:color="auto" w:fill="D8D8D8"/>
            <w:hideMark/>
          </w:tcPr>
          <w:p w:rsidR="00BD5B7F" w:rsidRPr="00865DA5" w:rsidRDefault="00BD5B7F" w:rsidP="000E5961">
            <w:pPr>
              <w:jc w:val="both"/>
              <w:rPr>
                <w:rFonts w:ascii="Arial" w:eastAsia="Calibri" w:hAnsi="Arial" w:cs="Arial"/>
                <w:b/>
                <w:color w:val="000000"/>
                <w:szCs w:val="22"/>
                <w:lang w:val="fr-FR"/>
              </w:rPr>
            </w:pPr>
            <w:r w:rsidRPr="00865DA5">
              <w:rPr>
                <w:rFonts w:ascii="Arial" w:eastAsia="Arial" w:hAnsi="Arial" w:cs="Arial"/>
                <w:b/>
                <w:bCs/>
                <w:color w:val="000000"/>
                <w:szCs w:val="22"/>
                <w:bdr w:val="none" w:sz="0" w:space="0" w:color="auto" w:frame="1"/>
                <w:lang w:val="fr-FR"/>
              </w:rPr>
              <w:t>7. Organiser un atelier pour compléter l’évaluation à dire d’expert</w:t>
            </w:r>
          </w:p>
          <w:p w:rsidR="00BD5B7F" w:rsidRPr="00865DA5" w:rsidRDefault="00BD5B7F" w:rsidP="000E5961">
            <w:pPr>
              <w:jc w:val="both"/>
              <w:rPr>
                <w:rFonts w:ascii="Arial" w:eastAsia="Calibri" w:hAnsi="Arial" w:cs="Arial"/>
                <w:color w:val="000000"/>
                <w:szCs w:val="22"/>
                <w:lang w:val="fr-FR"/>
              </w:rPr>
            </w:pPr>
            <w:r w:rsidRPr="00865DA5">
              <w:rPr>
                <w:rFonts w:ascii="Arial" w:eastAsia="Arial" w:hAnsi="Arial" w:cs="Arial"/>
                <w:color w:val="000000"/>
                <w:szCs w:val="22"/>
                <w:bdr w:val="none" w:sz="0" w:space="0" w:color="auto" w:frame="1"/>
                <w:lang w:val="fr-FR"/>
              </w:rPr>
              <w:t>Il est recommandé d’organiser un atelier pour examiner et attribuer un score aux indicateurs d’évaluation. Les participants devront représenter les organismes et parties prenantes concernés identifiés à l’étape 2. Il est recommandé que le modèle d’évaluation soit diffusé bien avant l’atelier.</w:t>
            </w:r>
          </w:p>
        </w:tc>
      </w:tr>
      <w:tr w:rsidR="00BD5B7F" w:rsidRPr="00FC42B0" w:rsidTr="000E5961">
        <w:trPr>
          <w:cantSplit/>
        </w:trPr>
        <w:tc>
          <w:tcPr>
            <w:tcW w:w="0" w:type="auto"/>
            <w:vMerge w:val="restart"/>
            <w:tcBorders>
              <w:top w:val="single" w:sz="4" w:space="0" w:color="auto"/>
              <w:left w:val="nil"/>
              <w:bottom w:val="single" w:sz="4" w:space="0" w:color="auto"/>
              <w:right w:val="nil"/>
            </w:tcBorders>
            <w:shd w:val="clear" w:color="auto" w:fill="4F81BD"/>
            <w:hideMark/>
          </w:tcPr>
          <w:p w:rsidR="00BD5B7F" w:rsidRPr="00865DA5" w:rsidRDefault="00BD5B7F" w:rsidP="000E5961">
            <w:pPr>
              <w:rPr>
                <w:rFonts w:ascii="Arial" w:eastAsia="Calibri" w:hAnsi="Arial" w:cs="Arial"/>
                <w:b/>
                <w:bCs/>
                <w:color w:val="FFFFFF"/>
                <w:szCs w:val="22"/>
                <w:lang w:val="fr-FR"/>
              </w:rPr>
            </w:pPr>
            <w:r w:rsidRPr="00865DA5">
              <w:rPr>
                <w:rFonts w:ascii="Arial" w:eastAsia="Arial" w:hAnsi="Arial" w:cs="Arial"/>
                <w:b/>
                <w:bCs/>
                <w:color w:val="FFFFFF"/>
                <w:szCs w:val="22"/>
                <w:bdr w:val="none" w:sz="0" w:space="0" w:color="auto" w:frame="1"/>
                <w:lang w:val="fr-FR"/>
              </w:rPr>
              <w:t>Analyse et enregistrement au niveau national</w:t>
            </w:r>
          </w:p>
        </w:tc>
        <w:tc>
          <w:tcPr>
            <w:tcW w:w="0" w:type="auto"/>
            <w:tcBorders>
              <w:top w:val="single" w:sz="4" w:space="0" w:color="auto"/>
              <w:left w:val="nil"/>
              <w:bottom w:val="nil"/>
              <w:right w:val="nil"/>
            </w:tcBorders>
            <w:hideMark/>
          </w:tcPr>
          <w:p w:rsidR="00BD5B7F" w:rsidRPr="00865DA5" w:rsidRDefault="00BD5B7F" w:rsidP="000E5961">
            <w:pPr>
              <w:jc w:val="both"/>
              <w:rPr>
                <w:rFonts w:ascii="Arial" w:eastAsia="Calibri" w:hAnsi="Arial" w:cs="Arial"/>
                <w:b/>
                <w:color w:val="000000"/>
                <w:szCs w:val="22"/>
                <w:lang w:val="fr-FR"/>
              </w:rPr>
            </w:pPr>
            <w:r w:rsidRPr="00865DA5">
              <w:rPr>
                <w:rFonts w:ascii="Arial" w:eastAsia="Arial" w:hAnsi="Arial" w:cs="Arial"/>
                <w:b/>
                <w:bCs/>
                <w:color w:val="000000"/>
                <w:szCs w:val="22"/>
                <w:bdr w:val="none" w:sz="0" w:space="0" w:color="auto" w:frame="1"/>
                <w:lang w:val="fr-FR"/>
              </w:rPr>
              <w:t>8. Analyser les résultats</w:t>
            </w:r>
          </w:p>
          <w:p w:rsidR="00BD5B7F" w:rsidRPr="00865DA5" w:rsidRDefault="00BD5B7F" w:rsidP="000E5961">
            <w:pPr>
              <w:jc w:val="both"/>
              <w:rPr>
                <w:rFonts w:ascii="Arial" w:eastAsia="Calibri" w:hAnsi="Arial" w:cs="Arial"/>
                <w:color w:val="000000"/>
                <w:szCs w:val="22"/>
                <w:lang w:val="fr-FR"/>
              </w:rPr>
            </w:pPr>
            <w:r w:rsidRPr="00865DA5">
              <w:rPr>
                <w:rFonts w:ascii="Arial" w:eastAsia="Arial" w:hAnsi="Arial" w:cs="Arial"/>
                <w:color w:val="000000"/>
                <w:szCs w:val="22"/>
                <w:bdr w:val="none" w:sz="0" w:space="0" w:color="auto" w:frame="1"/>
                <w:lang w:val="fr-FR"/>
              </w:rPr>
              <w:t xml:space="preserve">La plupart des indicateurs IKB sont évalués par des « scores », ce qui permet de générer un score global pour chacun des 6 groupes. La comparaison des scores entre les groupes peut aider à identifier les forces et les faiblesses de la réponse actuelle à l’IKB. Un score global sera également calculé. Dans la première évaluation, une note d’évaluation initiale sera générée. Après la deuxième et </w:t>
            </w:r>
            <w:proofErr w:type="gramStart"/>
            <w:r w:rsidRPr="00865DA5">
              <w:rPr>
                <w:rFonts w:ascii="Arial" w:eastAsia="Arial" w:hAnsi="Arial" w:cs="Arial"/>
                <w:color w:val="000000"/>
                <w:szCs w:val="22"/>
                <w:bdr w:val="none" w:sz="0" w:space="0" w:color="auto" w:frame="1"/>
                <w:lang w:val="fr-FR"/>
              </w:rPr>
              <w:t>la troisième évaluations</w:t>
            </w:r>
            <w:proofErr w:type="gramEnd"/>
            <w:r w:rsidRPr="00865DA5">
              <w:rPr>
                <w:rFonts w:ascii="Arial" w:eastAsia="Arial" w:hAnsi="Arial" w:cs="Arial"/>
                <w:color w:val="000000"/>
                <w:szCs w:val="22"/>
                <w:bdr w:val="none" w:sz="0" w:space="0" w:color="auto" w:frame="1"/>
                <w:lang w:val="fr-FR"/>
              </w:rPr>
              <w:t xml:space="preserve"> et le score global, il sera possible de dégager des tendances et de les étudier. </w:t>
            </w:r>
          </w:p>
        </w:tc>
      </w:tr>
      <w:tr w:rsidR="00BD5B7F" w:rsidRPr="00FC42B0" w:rsidTr="000E5961">
        <w:trPr>
          <w:cantSplit/>
        </w:trPr>
        <w:tc>
          <w:tcPr>
            <w:tcW w:w="0" w:type="auto"/>
            <w:vMerge/>
            <w:tcBorders>
              <w:top w:val="single" w:sz="4" w:space="0" w:color="auto"/>
              <w:left w:val="nil"/>
              <w:bottom w:val="single" w:sz="4" w:space="0" w:color="auto"/>
              <w:right w:val="nil"/>
            </w:tcBorders>
            <w:vAlign w:val="center"/>
            <w:hideMark/>
          </w:tcPr>
          <w:p w:rsidR="00BD5B7F" w:rsidRPr="00865DA5" w:rsidRDefault="00BD5B7F" w:rsidP="000E5961">
            <w:pPr>
              <w:rPr>
                <w:rFonts w:ascii="Arial" w:eastAsia="Calibri" w:hAnsi="Arial" w:cs="Arial"/>
                <w:b/>
                <w:bCs/>
                <w:color w:val="FFFFFF"/>
                <w:szCs w:val="22"/>
                <w:lang w:val="fr-FR"/>
              </w:rPr>
            </w:pPr>
          </w:p>
        </w:tc>
        <w:tc>
          <w:tcPr>
            <w:tcW w:w="0" w:type="auto"/>
            <w:tcBorders>
              <w:top w:val="nil"/>
              <w:left w:val="nil"/>
              <w:bottom w:val="single" w:sz="4" w:space="0" w:color="auto"/>
              <w:right w:val="nil"/>
            </w:tcBorders>
            <w:shd w:val="clear" w:color="auto" w:fill="D8D8D8"/>
            <w:hideMark/>
          </w:tcPr>
          <w:p w:rsidR="00BD5B7F" w:rsidRPr="00865DA5" w:rsidRDefault="00BD5B7F" w:rsidP="000E5961">
            <w:pPr>
              <w:jc w:val="both"/>
              <w:rPr>
                <w:rFonts w:ascii="Arial" w:eastAsia="Calibri" w:hAnsi="Arial" w:cs="Arial"/>
                <w:b/>
                <w:color w:val="000000"/>
                <w:szCs w:val="22"/>
                <w:lang w:val="fr-FR"/>
              </w:rPr>
            </w:pPr>
            <w:r w:rsidRPr="00865DA5">
              <w:rPr>
                <w:rFonts w:ascii="Arial" w:eastAsia="Arial" w:hAnsi="Arial" w:cs="Arial"/>
                <w:b/>
                <w:bCs/>
                <w:color w:val="000000"/>
                <w:szCs w:val="22"/>
                <w:bdr w:val="none" w:sz="0" w:space="0" w:color="auto" w:frame="1"/>
                <w:lang w:val="fr-FR"/>
              </w:rPr>
              <w:t>9. Identifier les besoins d’amélioration du processus</w:t>
            </w:r>
          </w:p>
          <w:p w:rsidR="00BD5B7F" w:rsidRPr="00865DA5" w:rsidRDefault="00BD5B7F" w:rsidP="000E5961">
            <w:pPr>
              <w:jc w:val="both"/>
              <w:rPr>
                <w:rFonts w:ascii="Arial" w:eastAsia="Calibri" w:hAnsi="Arial" w:cs="Arial"/>
                <w:color w:val="000000"/>
                <w:szCs w:val="22"/>
                <w:lang w:val="fr-FR"/>
              </w:rPr>
            </w:pPr>
            <w:r w:rsidRPr="00865DA5">
              <w:rPr>
                <w:rFonts w:ascii="Arial" w:eastAsia="Arial" w:hAnsi="Arial" w:cs="Arial"/>
                <w:color w:val="000000"/>
                <w:szCs w:val="22"/>
                <w:bdr w:val="none" w:sz="0" w:space="0" w:color="auto" w:frame="1"/>
                <w:lang w:val="fr-FR"/>
              </w:rPr>
              <w:t>L’équipe de projet devra examiner le processus suivi puis identifier et documenter brièvement toute modification ou amélioration qui devrait être apportée à la future évaluation, en informant les Secrétariats de la Convention de Berne et de la CMS.</w:t>
            </w:r>
          </w:p>
        </w:tc>
      </w:tr>
      <w:tr w:rsidR="00BD5B7F" w:rsidRPr="00FC42B0" w:rsidTr="000E5961">
        <w:trPr>
          <w:cantSplit/>
        </w:trPr>
        <w:tc>
          <w:tcPr>
            <w:tcW w:w="0" w:type="auto"/>
            <w:tcBorders>
              <w:top w:val="single" w:sz="12" w:space="0" w:color="auto"/>
              <w:left w:val="nil"/>
              <w:bottom w:val="single" w:sz="4" w:space="0" w:color="auto"/>
              <w:right w:val="nil"/>
            </w:tcBorders>
            <w:shd w:val="clear" w:color="auto" w:fill="4F81BD"/>
            <w:hideMark/>
          </w:tcPr>
          <w:p w:rsidR="00BD5B7F" w:rsidRPr="00865DA5" w:rsidRDefault="00BD5B7F" w:rsidP="000E5961">
            <w:pPr>
              <w:rPr>
                <w:rFonts w:ascii="Arial" w:eastAsia="Calibri" w:hAnsi="Arial" w:cs="Arial"/>
                <w:b/>
                <w:bCs/>
                <w:color w:val="FFFFFF"/>
                <w:szCs w:val="22"/>
                <w:lang w:val="fr-FR"/>
              </w:rPr>
            </w:pPr>
            <w:r w:rsidRPr="00865DA5">
              <w:rPr>
                <w:rFonts w:ascii="Arial" w:eastAsia="Arial" w:hAnsi="Arial" w:cs="Arial"/>
                <w:b/>
                <w:bCs/>
                <w:color w:val="FFFFFF"/>
                <w:szCs w:val="22"/>
                <w:bdr w:val="none" w:sz="0" w:space="0" w:color="auto" w:frame="1"/>
                <w:lang w:val="fr-FR"/>
              </w:rPr>
              <w:lastRenderedPageBreak/>
              <w:t>Publication et compilation du tableau de bord au niveau international</w:t>
            </w:r>
          </w:p>
        </w:tc>
        <w:tc>
          <w:tcPr>
            <w:tcW w:w="0" w:type="auto"/>
            <w:tcBorders>
              <w:top w:val="single" w:sz="12" w:space="0" w:color="auto"/>
              <w:left w:val="nil"/>
              <w:bottom w:val="single" w:sz="4" w:space="0" w:color="auto"/>
              <w:right w:val="nil"/>
            </w:tcBorders>
            <w:shd w:val="clear" w:color="auto" w:fill="FFFFFF"/>
            <w:hideMark/>
          </w:tcPr>
          <w:p w:rsidR="00BD5B7F" w:rsidRPr="00865DA5" w:rsidRDefault="00BD5B7F" w:rsidP="000E5961">
            <w:pPr>
              <w:jc w:val="both"/>
              <w:rPr>
                <w:rFonts w:ascii="Arial" w:eastAsia="Calibri" w:hAnsi="Arial" w:cs="Arial"/>
                <w:b/>
                <w:color w:val="000000"/>
                <w:szCs w:val="22"/>
                <w:lang w:val="fr-FR"/>
              </w:rPr>
            </w:pPr>
            <w:r w:rsidRPr="00865DA5">
              <w:rPr>
                <w:rFonts w:ascii="Arial" w:eastAsia="Arial" w:hAnsi="Arial" w:cs="Arial"/>
                <w:b/>
                <w:bCs/>
                <w:color w:val="000000"/>
                <w:szCs w:val="22"/>
                <w:bdr w:val="none" w:sz="0" w:space="0" w:color="auto" w:frame="1"/>
                <w:lang w:val="fr-FR"/>
              </w:rPr>
              <w:t>10. Publication finale et diffusion</w:t>
            </w:r>
          </w:p>
          <w:p w:rsidR="00BD5B7F" w:rsidRPr="00865DA5" w:rsidRDefault="00BD5B7F" w:rsidP="000E5961">
            <w:pPr>
              <w:jc w:val="both"/>
              <w:rPr>
                <w:rFonts w:ascii="Arial" w:eastAsia="Calibri" w:hAnsi="Arial" w:cs="Arial"/>
                <w:b/>
                <w:color w:val="000000"/>
                <w:szCs w:val="22"/>
                <w:lang w:val="fr-FR"/>
              </w:rPr>
            </w:pPr>
            <w:r w:rsidRPr="00865DA5">
              <w:rPr>
                <w:rFonts w:ascii="Arial" w:eastAsia="Arial" w:hAnsi="Arial" w:cs="Arial"/>
                <w:color w:val="000000"/>
                <w:szCs w:val="22"/>
                <w:bdr w:val="none" w:sz="0" w:space="0" w:color="auto" w:frame="1"/>
                <w:lang w:val="fr-FR"/>
              </w:rPr>
              <w:t>Les Secrétariats des Conventions compileront et publieront le tableau de bord final et les réponses individuelles des pays. Le tableau de bord compilé final devra également être transmis au Comité permanent de la Convention de Berne ainsi qu’à la COP de la CMS, et être largement diffusé</w:t>
            </w:r>
            <w:r w:rsidRPr="00865DA5">
              <w:rPr>
                <w:rFonts w:ascii="Arial" w:eastAsia="Arial" w:hAnsi="Arial" w:cs="Arial"/>
                <w:b/>
                <w:bCs/>
                <w:color w:val="000000"/>
                <w:szCs w:val="22"/>
                <w:bdr w:val="none" w:sz="0" w:space="0" w:color="auto" w:frame="1"/>
                <w:lang w:val="fr-FR"/>
              </w:rPr>
              <w:t>.</w:t>
            </w:r>
          </w:p>
        </w:tc>
      </w:tr>
    </w:tbl>
    <w:p w:rsidR="00BD5B7F" w:rsidRPr="00865DA5" w:rsidRDefault="00BD5B7F" w:rsidP="00BD5B7F">
      <w:pPr>
        <w:tabs>
          <w:tab w:val="left" w:pos="8505"/>
        </w:tabs>
        <w:rPr>
          <w:rFonts w:ascii="Arial" w:eastAsia="Calibri" w:hAnsi="Arial" w:cs="Arial"/>
          <w:color w:val="000000"/>
          <w:sz w:val="22"/>
          <w:szCs w:val="22"/>
          <w:lang w:val="fr-FR"/>
        </w:rPr>
      </w:pPr>
      <w:r w:rsidRPr="00865DA5">
        <w:rPr>
          <w:rFonts w:ascii="Arial" w:eastAsia="Calibri" w:hAnsi="Arial" w:cs="Arial"/>
          <w:color w:val="000000"/>
          <w:sz w:val="22"/>
          <w:szCs w:val="22"/>
          <w:lang w:val="fr-FR"/>
        </w:rPr>
        <w:tab/>
      </w:r>
    </w:p>
    <w:p w:rsidR="00BD5B7F" w:rsidRPr="00865DA5" w:rsidRDefault="00BD5B7F" w:rsidP="00BD5B7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eastAsia="Calibri" w:hAnsi="Arial" w:cs="Arial"/>
          <w:color w:val="000000"/>
          <w:sz w:val="22"/>
          <w:szCs w:val="22"/>
          <w:lang w:val="fr-FR"/>
        </w:rPr>
      </w:pPr>
      <w:r w:rsidRPr="00865DA5">
        <w:rPr>
          <w:rFonts w:ascii="Arial" w:eastAsia="Calibri" w:hAnsi="Arial" w:cs="Arial"/>
          <w:color w:val="000000"/>
          <w:sz w:val="22"/>
          <w:szCs w:val="22"/>
          <w:lang w:val="fr-FR"/>
        </w:rPr>
        <w:br w:type="page"/>
      </w:r>
    </w:p>
    <w:p w:rsidR="00BD5B7F" w:rsidRPr="00865DA5" w:rsidRDefault="00BD5B7F" w:rsidP="00BD5B7F">
      <w:pPr>
        <w:keepNext/>
        <w:keepLines/>
        <w:spacing w:after="120"/>
        <w:outlineLvl w:val="1"/>
        <w:rPr>
          <w:rFonts w:ascii="Arial" w:hAnsi="Arial" w:cs="Arial"/>
          <w:b/>
          <w:color w:val="000000"/>
          <w:sz w:val="30"/>
          <w:szCs w:val="30"/>
          <w:lang w:val="fr-FR"/>
        </w:rPr>
      </w:pPr>
      <w:bookmarkStart w:id="16" w:name="_Toc486539563"/>
      <w:bookmarkStart w:id="17" w:name="_Toc491245226"/>
      <w:bookmarkStart w:id="18" w:name="_Toc491245052"/>
      <w:r w:rsidRPr="00865DA5">
        <w:rPr>
          <w:rFonts w:ascii="Arial" w:eastAsia="Arial" w:hAnsi="Arial" w:cs="Arial"/>
          <w:b/>
          <w:bCs/>
          <w:color w:val="000000"/>
          <w:sz w:val="30"/>
          <w:szCs w:val="30"/>
          <w:bdr w:val="none" w:sz="0" w:space="0" w:color="auto" w:frame="1"/>
          <w:lang w:val="fr-FR"/>
        </w:rPr>
        <w:lastRenderedPageBreak/>
        <w:t xml:space="preserve">Calendrier de la mise en œuvre de </w:t>
      </w:r>
      <w:bookmarkEnd w:id="16"/>
      <w:r w:rsidRPr="00865DA5">
        <w:rPr>
          <w:rFonts w:ascii="Arial" w:eastAsia="Arial" w:hAnsi="Arial" w:cs="Arial"/>
          <w:b/>
          <w:bCs/>
          <w:color w:val="000000"/>
          <w:sz w:val="30"/>
          <w:szCs w:val="30"/>
          <w:bdr w:val="none" w:sz="0" w:space="0" w:color="auto" w:frame="1"/>
          <w:lang w:val="fr-FR"/>
        </w:rPr>
        <w:t>l’auto-évaluation</w:t>
      </w:r>
      <w:bookmarkEnd w:id="17"/>
      <w:bookmarkEnd w:id="18"/>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Pour procéder à une auto-évaluation des progrès dans la lutte contre l’IKB au niveau national au cours du temps, le tableau de bord doit être utilisé à plusieurs reprises.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Le Plan d’action de Tunis (TAP) et le Programme de travail du MIKT (PoW) prévoient un suivi régulier et des rapports sur les progrès réalisés. Cet outil offre la possibilité de faire rapport sur les deux initiatives, le cas échéant.</w:t>
      </w:r>
    </w:p>
    <w:p w:rsidR="00BD5B7F" w:rsidRPr="00865DA5" w:rsidRDefault="00BD5B7F" w:rsidP="00BD5B7F">
      <w:pPr>
        <w:spacing w:after="120"/>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 xml:space="preserve">Il est prévu que la première auto-évaluation soit réalisée en 2018. Il s’agira de la base de référence qui permettra aux États de comparer l’état de l’IKB et les efforts déployés aux échelles nationale et régionale. La prochaine auto-évaluation sera réalisée en 2020 car il s’agit de l’échéance du TAP et du programme de travail du MIKT. La troisième auto-évaluation sera menée en 2023. Les évaluations suivantes auront lieu de manière synchrone avec les COP de la CMS (c’est-à-dire tous les 3 ans). </w:t>
      </w:r>
    </w:p>
    <w:tbl>
      <w:tblPr>
        <w:tblW w:w="5000" w:type="pct"/>
        <w:tblCellMar>
          <w:left w:w="70" w:type="dxa"/>
          <w:right w:w="70" w:type="dxa"/>
        </w:tblCellMar>
        <w:tblLook w:val="04A0" w:firstRow="1" w:lastRow="0" w:firstColumn="1" w:lastColumn="0" w:noHBand="0" w:noVBand="1"/>
      </w:tblPr>
      <w:tblGrid>
        <w:gridCol w:w="2633"/>
        <w:gridCol w:w="223"/>
        <w:gridCol w:w="223"/>
        <w:gridCol w:w="241"/>
        <w:gridCol w:w="254"/>
        <w:gridCol w:w="217"/>
        <w:gridCol w:w="227"/>
        <w:gridCol w:w="247"/>
        <w:gridCol w:w="254"/>
        <w:gridCol w:w="203"/>
        <w:gridCol w:w="227"/>
        <w:gridCol w:w="241"/>
        <w:gridCol w:w="254"/>
        <w:gridCol w:w="201"/>
        <w:gridCol w:w="225"/>
        <w:gridCol w:w="241"/>
        <w:gridCol w:w="254"/>
        <w:gridCol w:w="208"/>
        <w:gridCol w:w="227"/>
        <w:gridCol w:w="241"/>
        <w:gridCol w:w="254"/>
        <w:gridCol w:w="204"/>
        <w:gridCol w:w="227"/>
        <w:gridCol w:w="241"/>
        <w:gridCol w:w="254"/>
        <w:gridCol w:w="208"/>
        <w:gridCol w:w="227"/>
        <w:gridCol w:w="241"/>
        <w:gridCol w:w="313"/>
      </w:tblGrid>
      <w:tr w:rsidR="00BD5B7F" w:rsidRPr="00FF6562" w:rsidTr="000E5961">
        <w:trPr>
          <w:trHeight w:val="285"/>
        </w:trPr>
        <w:tc>
          <w:tcPr>
            <w:tcW w:w="1429" w:type="pct"/>
            <w:noWrap/>
            <w:vAlign w:val="bottom"/>
            <w:hideMark/>
          </w:tcPr>
          <w:p w:rsidR="00BD5B7F" w:rsidRPr="00865DA5" w:rsidRDefault="00BD5B7F" w:rsidP="000E5961">
            <w:pPr>
              <w:rPr>
                <w:rFonts w:ascii="Arial" w:eastAsia="Arial" w:hAnsi="Arial" w:cs="Arial"/>
                <w:color w:val="000000"/>
                <w:sz w:val="22"/>
                <w:szCs w:val="22"/>
                <w:bdr w:val="none" w:sz="0" w:space="0" w:color="auto" w:frame="1"/>
                <w:lang w:val="fr-FR"/>
              </w:rPr>
            </w:pPr>
          </w:p>
        </w:tc>
        <w:tc>
          <w:tcPr>
            <w:tcW w:w="511" w:type="pct"/>
            <w:gridSpan w:val="4"/>
            <w:shd w:val="clear" w:color="auto" w:fill="F2DDDC"/>
            <w:noWrap/>
            <w:vAlign w:val="bottom"/>
            <w:hideMark/>
          </w:tcPr>
          <w:p w:rsidR="00BD5B7F" w:rsidRPr="00FF6562" w:rsidRDefault="00BD5B7F" w:rsidP="000E5961">
            <w:pPr>
              <w:jc w:val="center"/>
              <w:rPr>
                <w:rFonts w:ascii="Arial" w:hAnsi="Arial" w:cs="Arial"/>
                <w:color w:val="000000"/>
                <w:sz w:val="16"/>
                <w:szCs w:val="16"/>
                <w:lang w:eastAsia="it-IT"/>
              </w:rPr>
            </w:pPr>
            <w:r w:rsidRPr="00FF6562">
              <w:rPr>
                <w:rFonts w:ascii="Arial" w:hAnsi="Arial" w:cs="Arial"/>
                <w:color w:val="000000"/>
                <w:sz w:val="16"/>
                <w:szCs w:val="16"/>
                <w:lang w:eastAsia="it-IT"/>
              </w:rPr>
              <w:t>2017</w:t>
            </w:r>
          </w:p>
        </w:tc>
        <w:tc>
          <w:tcPr>
            <w:tcW w:w="513" w:type="pct"/>
            <w:gridSpan w:val="4"/>
            <w:noWrap/>
            <w:vAlign w:val="bottom"/>
            <w:hideMark/>
          </w:tcPr>
          <w:p w:rsidR="00BD5B7F" w:rsidRPr="00FF6562" w:rsidRDefault="00BD5B7F" w:rsidP="000E5961">
            <w:pPr>
              <w:jc w:val="center"/>
              <w:rPr>
                <w:rFonts w:ascii="Arial" w:hAnsi="Arial" w:cs="Arial"/>
                <w:color w:val="000000"/>
                <w:sz w:val="16"/>
                <w:szCs w:val="16"/>
                <w:lang w:eastAsia="it-IT"/>
              </w:rPr>
            </w:pPr>
            <w:r w:rsidRPr="00FF6562">
              <w:rPr>
                <w:rFonts w:ascii="Arial" w:hAnsi="Arial" w:cs="Arial"/>
                <w:color w:val="000000"/>
                <w:sz w:val="16"/>
                <w:szCs w:val="16"/>
                <w:lang w:eastAsia="it-IT"/>
              </w:rPr>
              <w:t>2018</w:t>
            </w:r>
          </w:p>
        </w:tc>
        <w:tc>
          <w:tcPr>
            <w:tcW w:w="501" w:type="pct"/>
            <w:gridSpan w:val="4"/>
            <w:shd w:val="clear" w:color="auto" w:fill="F2DDDC"/>
            <w:noWrap/>
            <w:vAlign w:val="bottom"/>
            <w:hideMark/>
          </w:tcPr>
          <w:p w:rsidR="00BD5B7F" w:rsidRPr="00FF6562" w:rsidRDefault="00BD5B7F" w:rsidP="000E5961">
            <w:pPr>
              <w:jc w:val="center"/>
              <w:rPr>
                <w:rFonts w:ascii="Arial" w:hAnsi="Arial" w:cs="Arial"/>
                <w:color w:val="000000"/>
                <w:sz w:val="16"/>
                <w:szCs w:val="16"/>
                <w:lang w:eastAsia="it-IT"/>
              </w:rPr>
            </w:pPr>
            <w:r w:rsidRPr="00FF6562">
              <w:rPr>
                <w:rFonts w:ascii="Arial" w:hAnsi="Arial" w:cs="Arial"/>
                <w:color w:val="000000"/>
                <w:sz w:val="16"/>
                <w:szCs w:val="16"/>
                <w:lang w:eastAsia="it-IT"/>
              </w:rPr>
              <w:t>2019</w:t>
            </w:r>
          </w:p>
        </w:tc>
        <w:tc>
          <w:tcPr>
            <w:tcW w:w="499" w:type="pct"/>
            <w:gridSpan w:val="4"/>
            <w:noWrap/>
            <w:vAlign w:val="bottom"/>
            <w:hideMark/>
          </w:tcPr>
          <w:p w:rsidR="00BD5B7F" w:rsidRPr="00FF6562" w:rsidRDefault="00BD5B7F" w:rsidP="000E5961">
            <w:pPr>
              <w:jc w:val="center"/>
              <w:rPr>
                <w:rFonts w:ascii="Arial" w:hAnsi="Arial" w:cs="Arial"/>
                <w:color w:val="000000"/>
                <w:sz w:val="16"/>
                <w:szCs w:val="16"/>
                <w:lang w:eastAsia="it-IT"/>
              </w:rPr>
            </w:pPr>
            <w:r w:rsidRPr="00FF6562">
              <w:rPr>
                <w:rFonts w:ascii="Arial" w:hAnsi="Arial" w:cs="Arial"/>
                <w:color w:val="000000"/>
                <w:sz w:val="16"/>
                <w:szCs w:val="16"/>
                <w:lang w:eastAsia="it-IT"/>
              </w:rPr>
              <w:t>2020</w:t>
            </w:r>
          </w:p>
        </w:tc>
        <w:tc>
          <w:tcPr>
            <w:tcW w:w="505" w:type="pct"/>
            <w:gridSpan w:val="4"/>
            <w:shd w:val="clear" w:color="auto" w:fill="F2DDDC"/>
            <w:noWrap/>
            <w:vAlign w:val="bottom"/>
            <w:hideMark/>
          </w:tcPr>
          <w:p w:rsidR="00BD5B7F" w:rsidRPr="00FF6562" w:rsidRDefault="00BD5B7F" w:rsidP="000E5961">
            <w:pPr>
              <w:jc w:val="center"/>
              <w:rPr>
                <w:rFonts w:ascii="Arial" w:hAnsi="Arial" w:cs="Arial"/>
                <w:color w:val="000000"/>
                <w:sz w:val="16"/>
                <w:szCs w:val="16"/>
                <w:lang w:eastAsia="it-IT"/>
              </w:rPr>
            </w:pPr>
            <w:r w:rsidRPr="00FF6562">
              <w:rPr>
                <w:rFonts w:ascii="Arial" w:hAnsi="Arial" w:cs="Arial"/>
                <w:color w:val="000000"/>
                <w:sz w:val="16"/>
                <w:szCs w:val="16"/>
                <w:lang w:eastAsia="it-IT"/>
              </w:rPr>
              <w:t>2021</w:t>
            </w:r>
          </w:p>
        </w:tc>
        <w:tc>
          <w:tcPr>
            <w:tcW w:w="502" w:type="pct"/>
            <w:gridSpan w:val="4"/>
            <w:noWrap/>
            <w:vAlign w:val="bottom"/>
            <w:hideMark/>
          </w:tcPr>
          <w:p w:rsidR="00BD5B7F" w:rsidRPr="00FF6562" w:rsidRDefault="00BD5B7F" w:rsidP="000E5961">
            <w:pPr>
              <w:jc w:val="center"/>
              <w:rPr>
                <w:rFonts w:ascii="Arial" w:hAnsi="Arial" w:cs="Arial"/>
                <w:color w:val="000000"/>
                <w:sz w:val="16"/>
                <w:szCs w:val="16"/>
                <w:lang w:eastAsia="it-IT"/>
              </w:rPr>
            </w:pPr>
            <w:r w:rsidRPr="00FF6562">
              <w:rPr>
                <w:rFonts w:ascii="Arial" w:hAnsi="Arial" w:cs="Arial"/>
                <w:color w:val="000000"/>
                <w:sz w:val="16"/>
                <w:szCs w:val="16"/>
                <w:lang w:eastAsia="it-IT"/>
              </w:rPr>
              <w:t>2022</w:t>
            </w:r>
          </w:p>
        </w:tc>
        <w:tc>
          <w:tcPr>
            <w:tcW w:w="539" w:type="pct"/>
            <w:gridSpan w:val="4"/>
            <w:shd w:val="clear" w:color="auto" w:fill="F2DDDC"/>
            <w:noWrap/>
            <w:vAlign w:val="bottom"/>
            <w:hideMark/>
          </w:tcPr>
          <w:p w:rsidR="00BD5B7F" w:rsidRPr="00FF6562" w:rsidRDefault="00BD5B7F" w:rsidP="000E5961">
            <w:pPr>
              <w:jc w:val="center"/>
              <w:rPr>
                <w:rFonts w:ascii="Arial" w:hAnsi="Arial" w:cs="Arial"/>
                <w:color w:val="000000"/>
                <w:sz w:val="16"/>
                <w:szCs w:val="16"/>
                <w:lang w:eastAsia="it-IT"/>
              </w:rPr>
            </w:pPr>
            <w:r w:rsidRPr="00FF6562">
              <w:rPr>
                <w:rFonts w:ascii="Arial" w:hAnsi="Arial" w:cs="Arial"/>
                <w:color w:val="000000"/>
                <w:sz w:val="16"/>
                <w:szCs w:val="16"/>
                <w:lang w:eastAsia="it-IT"/>
              </w:rPr>
              <w:t>2023</w:t>
            </w:r>
          </w:p>
        </w:tc>
      </w:tr>
      <w:tr w:rsidR="00BD5B7F" w:rsidRPr="00FF6562" w:rsidTr="000E5961">
        <w:trPr>
          <w:trHeight w:val="258"/>
        </w:trPr>
        <w:tc>
          <w:tcPr>
            <w:tcW w:w="1429" w:type="pct"/>
            <w:noWrap/>
            <w:vAlign w:val="bottom"/>
            <w:hideMark/>
          </w:tcPr>
          <w:p w:rsidR="00BD5B7F" w:rsidRPr="00FF6562" w:rsidRDefault="00BD5B7F" w:rsidP="000E5961">
            <w:pPr>
              <w:rPr>
                <w:rFonts w:ascii="Arial" w:hAnsi="Arial" w:cs="Arial"/>
                <w:color w:val="000000"/>
                <w:sz w:val="16"/>
                <w:szCs w:val="16"/>
                <w:lang w:eastAsia="it-IT"/>
              </w:rPr>
            </w:pPr>
          </w:p>
        </w:tc>
        <w:tc>
          <w:tcPr>
            <w:tcW w:w="121" w:type="pct"/>
            <w:tcBorders>
              <w:top w:val="single" w:sz="4" w:space="0" w:color="auto"/>
              <w:left w:val="single" w:sz="4" w:space="0" w:color="auto"/>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w:t>
            </w:r>
          </w:p>
        </w:tc>
        <w:tc>
          <w:tcPr>
            <w:tcW w:w="121"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w:t>
            </w:r>
          </w:p>
        </w:tc>
        <w:tc>
          <w:tcPr>
            <w:tcW w:w="131"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III</w:t>
            </w:r>
          </w:p>
        </w:tc>
        <w:tc>
          <w:tcPr>
            <w:tcW w:w="138"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IV</w:t>
            </w:r>
          </w:p>
        </w:tc>
        <w:tc>
          <w:tcPr>
            <w:tcW w:w="118"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w:t>
            </w:r>
          </w:p>
        </w:tc>
        <w:tc>
          <w:tcPr>
            <w:tcW w:w="123"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w:t>
            </w:r>
          </w:p>
        </w:tc>
        <w:tc>
          <w:tcPr>
            <w:tcW w:w="134"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III</w:t>
            </w:r>
          </w:p>
        </w:tc>
        <w:tc>
          <w:tcPr>
            <w:tcW w:w="138"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IV</w:t>
            </w:r>
          </w:p>
        </w:tc>
        <w:tc>
          <w:tcPr>
            <w:tcW w:w="110"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w:t>
            </w:r>
          </w:p>
        </w:tc>
        <w:tc>
          <w:tcPr>
            <w:tcW w:w="123"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w:t>
            </w:r>
          </w:p>
        </w:tc>
        <w:tc>
          <w:tcPr>
            <w:tcW w:w="131"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III</w:t>
            </w:r>
          </w:p>
        </w:tc>
        <w:tc>
          <w:tcPr>
            <w:tcW w:w="138"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IV</w:t>
            </w:r>
          </w:p>
        </w:tc>
        <w:tc>
          <w:tcPr>
            <w:tcW w:w="109"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w:t>
            </w:r>
          </w:p>
        </w:tc>
        <w:tc>
          <w:tcPr>
            <w:tcW w:w="122"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w:t>
            </w:r>
          </w:p>
        </w:tc>
        <w:tc>
          <w:tcPr>
            <w:tcW w:w="131"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III</w:t>
            </w:r>
          </w:p>
        </w:tc>
        <w:tc>
          <w:tcPr>
            <w:tcW w:w="138"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IV</w:t>
            </w:r>
          </w:p>
        </w:tc>
        <w:tc>
          <w:tcPr>
            <w:tcW w:w="113"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w:t>
            </w:r>
          </w:p>
        </w:tc>
        <w:tc>
          <w:tcPr>
            <w:tcW w:w="123"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w:t>
            </w:r>
          </w:p>
        </w:tc>
        <w:tc>
          <w:tcPr>
            <w:tcW w:w="131"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III</w:t>
            </w:r>
          </w:p>
        </w:tc>
        <w:tc>
          <w:tcPr>
            <w:tcW w:w="138"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IV</w:t>
            </w:r>
          </w:p>
        </w:tc>
        <w:tc>
          <w:tcPr>
            <w:tcW w:w="111"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w:t>
            </w:r>
          </w:p>
        </w:tc>
        <w:tc>
          <w:tcPr>
            <w:tcW w:w="123"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w:t>
            </w:r>
          </w:p>
        </w:tc>
        <w:tc>
          <w:tcPr>
            <w:tcW w:w="131"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III</w:t>
            </w:r>
          </w:p>
        </w:tc>
        <w:tc>
          <w:tcPr>
            <w:tcW w:w="138"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IV</w:t>
            </w:r>
          </w:p>
        </w:tc>
        <w:tc>
          <w:tcPr>
            <w:tcW w:w="113"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w:t>
            </w:r>
          </w:p>
        </w:tc>
        <w:tc>
          <w:tcPr>
            <w:tcW w:w="123"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w:t>
            </w:r>
          </w:p>
        </w:tc>
        <w:tc>
          <w:tcPr>
            <w:tcW w:w="131"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III</w:t>
            </w:r>
          </w:p>
        </w:tc>
        <w:tc>
          <w:tcPr>
            <w:tcW w:w="173" w:type="pct"/>
            <w:tcBorders>
              <w:top w:val="single" w:sz="4" w:space="0" w:color="auto"/>
              <w:left w:val="nil"/>
              <w:bottom w:val="single" w:sz="4" w:space="0" w:color="auto"/>
              <w:right w:val="single" w:sz="4" w:space="0" w:color="auto"/>
            </w:tcBorders>
            <w:noWrap/>
            <w:vAlign w:val="center"/>
            <w:hideMark/>
          </w:tcPr>
          <w:p w:rsidR="00BD5B7F" w:rsidRPr="00FF6562" w:rsidRDefault="00BD5B7F" w:rsidP="000E5961">
            <w:pPr>
              <w:jc w:val="center"/>
              <w:rPr>
                <w:rFonts w:ascii="Arial" w:hAnsi="Arial" w:cs="Arial"/>
                <w:color w:val="000000"/>
                <w:sz w:val="12"/>
                <w:szCs w:val="12"/>
                <w:lang w:eastAsia="it-IT"/>
              </w:rPr>
            </w:pPr>
            <w:r w:rsidRPr="00FF6562">
              <w:rPr>
                <w:rFonts w:ascii="Arial" w:eastAsia="Arial" w:hAnsi="Arial" w:cs="Arial"/>
                <w:color w:val="000000"/>
                <w:sz w:val="12"/>
                <w:szCs w:val="12"/>
                <w:bdr w:val="none" w:sz="0" w:space="0" w:color="auto" w:frame="1"/>
                <w:lang w:eastAsia="it-IT"/>
              </w:rPr>
              <w:t>IV</w:t>
            </w:r>
          </w:p>
        </w:tc>
      </w:tr>
      <w:tr w:rsidR="00BD5B7F" w:rsidRPr="00FF6562" w:rsidTr="000E5961">
        <w:trPr>
          <w:trHeight w:val="285"/>
        </w:trPr>
        <w:tc>
          <w:tcPr>
            <w:tcW w:w="1429" w:type="pct"/>
            <w:noWrap/>
            <w:vAlign w:val="center"/>
            <w:hideMark/>
          </w:tcPr>
          <w:p w:rsidR="00BD5B7F" w:rsidRPr="00FF6562" w:rsidRDefault="00BD5B7F" w:rsidP="000E5961">
            <w:pPr>
              <w:rPr>
                <w:rFonts w:ascii="Arial" w:hAnsi="Arial" w:cs="Arial"/>
                <w:color w:val="000000"/>
                <w:sz w:val="16"/>
                <w:szCs w:val="16"/>
                <w:lang w:eastAsia="it-IT"/>
              </w:rPr>
            </w:pPr>
            <w:r w:rsidRPr="00FF6562">
              <w:rPr>
                <w:rFonts w:ascii="Arial" w:eastAsia="Arial" w:hAnsi="Arial" w:cs="Arial"/>
                <w:color w:val="000000"/>
                <w:sz w:val="16"/>
                <w:szCs w:val="16"/>
                <w:bdr w:val="none" w:sz="0" w:space="0" w:color="auto" w:frame="1"/>
                <w:lang w:eastAsia="it-IT"/>
              </w:rPr>
              <w:t>Tableau de bord IKB</w:t>
            </w:r>
          </w:p>
        </w:tc>
        <w:tc>
          <w:tcPr>
            <w:tcW w:w="121" w:type="pct"/>
            <w:tcBorders>
              <w:top w:val="nil"/>
              <w:left w:val="single" w:sz="4" w:space="0" w:color="auto"/>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4" w:type="pct"/>
            <w:tcBorders>
              <w:top w:val="nil"/>
              <w:left w:val="nil"/>
              <w:bottom w:val="single" w:sz="4" w:space="0" w:color="auto"/>
              <w:right w:val="single" w:sz="4" w:space="0" w:color="auto"/>
            </w:tcBorders>
            <w:shd w:val="clear" w:color="auto" w:fill="FFFF00"/>
            <w:noWrap/>
            <w:vAlign w:val="center"/>
            <w:hideMark/>
          </w:tcPr>
          <w:p w:rsidR="00BD5B7F" w:rsidRPr="00FF6562" w:rsidRDefault="00BD5B7F" w:rsidP="000E5961">
            <w:pPr>
              <w:jc w:val="center"/>
              <w:rPr>
                <w:rFonts w:ascii="Arial" w:hAnsi="Arial" w:cs="Arial"/>
                <w:color w:val="000000"/>
                <w:sz w:val="16"/>
                <w:szCs w:val="16"/>
                <w:lang w:eastAsia="it-IT"/>
              </w:rPr>
            </w:pPr>
            <w:r w:rsidRPr="00FF6562">
              <w:rPr>
                <w:rFonts w:ascii="Arial" w:eastAsia="Arial" w:hAnsi="Arial" w:cs="Arial"/>
                <w:color w:val="000000"/>
                <w:sz w:val="16"/>
                <w:szCs w:val="16"/>
                <w:bdr w:val="none" w:sz="0" w:space="0" w:color="auto" w:frame="1"/>
                <w:lang w:eastAsia="it-IT"/>
              </w:rPr>
              <w:t>B</w:t>
            </w:r>
          </w:p>
        </w:tc>
        <w:tc>
          <w:tcPr>
            <w:tcW w:w="138"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color w:val="000000"/>
                <w:sz w:val="16"/>
                <w:szCs w:val="16"/>
                <w:lang w:eastAsia="it-IT"/>
              </w:rPr>
            </w:pPr>
          </w:p>
        </w:tc>
        <w:tc>
          <w:tcPr>
            <w:tcW w:w="110"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23"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31"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38"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09"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22"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31" w:type="pct"/>
            <w:tcBorders>
              <w:top w:val="nil"/>
              <w:left w:val="nil"/>
              <w:bottom w:val="single" w:sz="4" w:space="0" w:color="auto"/>
              <w:right w:val="single" w:sz="4" w:space="0" w:color="auto"/>
            </w:tcBorders>
            <w:shd w:val="clear" w:color="auto" w:fill="FFFF00"/>
            <w:noWrap/>
            <w:vAlign w:val="center"/>
            <w:hideMark/>
          </w:tcPr>
          <w:p w:rsidR="00BD5B7F" w:rsidRPr="00FF6562" w:rsidRDefault="00BD5B7F" w:rsidP="000E5961">
            <w:pPr>
              <w:jc w:val="center"/>
              <w:rPr>
                <w:rFonts w:ascii="Arial" w:hAnsi="Arial" w:cs="Arial"/>
                <w:color w:val="000000"/>
                <w:sz w:val="16"/>
                <w:szCs w:val="16"/>
                <w:lang w:eastAsia="it-IT"/>
              </w:rPr>
            </w:pPr>
            <w:r w:rsidRPr="00FF6562">
              <w:rPr>
                <w:rFonts w:ascii="Arial" w:hAnsi="Arial" w:cs="Arial"/>
                <w:color w:val="000000"/>
                <w:sz w:val="16"/>
                <w:szCs w:val="16"/>
                <w:lang w:eastAsia="it-IT"/>
              </w:rPr>
              <w:t>1</w:t>
            </w:r>
          </w:p>
        </w:tc>
        <w:tc>
          <w:tcPr>
            <w:tcW w:w="138"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color w:val="000000"/>
                <w:sz w:val="16"/>
                <w:szCs w:val="16"/>
                <w:lang w:eastAsia="it-IT"/>
              </w:rPr>
            </w:pPr>
          </w:p>
        </w:tc>
        <w:tc>
          <w:tcPr>
            <w:tcW w:w="113"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23"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31"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38"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11"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23"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31" w:type="pct"/>
            <w:noWrap/>
            <w:vAlign w:val="center"/>
            <w:hideMark/>
          </w:tcPr>
          <w:p w:rsidR="00BD5B7F" w:rsidRPr="00FF6562" w:rsidRDefault="00BD5B7F" w:rsidP="000E5961">
            <w:pPr>
              <w:rPr>
                <w:rFonts w:ascii="Arial" w:hAnsi="Arial" w:cs="Arial"/>
              </w:rPr>
            </w:pPr>
          </w:p>
        </w:tc>
        <w:tc>
          <w:tcPr>
            <w:tcW w:w="138" w:type="pct"/>
            <w:tcBorders>
              <w:top w:val="nil"/>
              <w:left w:val="single" w:sz="4" w:space="0" w:color="auto"/>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13"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23" w:type="pct"/>
            <w:tcBorders>
              <w:top w:val="nil"/>
              <w:left w:val="nil"/>
              <w:bottom w:val="single" w:sz="4" w:space="0" w:color="auto"/>
              <w:right w:val="single" w:sz="4" w:space="0" w:color="auto"/>
            </w:tcBorders>
            <w:noWrap/>
            <w:vAlign w:val="center"/>
            <w:hideMark/>
          </w:tcPr>
          <w:p w:rsidR="00BD5B7F" w:rsidRPr="00FF6562" w:rsidRDefault="00BD5B7F" w:rsidP="000E5961">
            <w:pPr>
              <w:rPr>
                <w:rFonts w:ascii="Arial" w:hAnsi="Arial" w:cs="Arial"/>
              </w:rPr>
            </w:pPr>
          </w:p>
        </w:tc>
        <w:tc>
          <w:tcPr>
            <w:tcW w:w="131" w:type="pct"/>
            <w:tcBorders>
              <w:top w:val="nil"/>
              <w:left w:val="nil"/>
              <w:bottom w:val="single" w:sz="4" w:space="0" w:color="auto"/>
              <w:right w:val="single" w:sz="4" w:space="0" w:color="auto"/>
            </w:tcBorders>
            <w:shd w:val="clear" w:color="auto" w:fill="FFFF00"/>
            <w:noWrap/>
            <w:vAlign w:val="center"/>
            <w:hideMark/>
          </w:tcPr>
          <w:p w:rsidR="00BD5B7F" w:rsidRPr="00FF6562" w:rsidRDefault="00BD5B7F" w:rsidP="000E5961">
            <w:pPr>
              <w:jc w:val="center"/>
              <w:rPr>
                <w:rFonts w:ascii="Arial" w:hAnsi="Arial" w:cs="Arial"/>
                <w:color w:val="000000"/>
                <w:sz w:val="16"/>
                <w:szCs w:val="16"/>
                <w:lang w:eastAsia="it-IT"/>
              </w:rPr>
            </w:pPr>
            <w:r w:rsidRPr="00FF6562">
              <w:rPr>
                <w:rFonts w:ascii="Arial" w:hAnsi="Arial" w:cs="Arial"/>
                <w:color w:val="000000"/>
                <w:sz w:val="16"/>
                <w:szCs w:val="16"/>
                <w:lang w:eastAsia="it-IT"/>
              </w:rPr>
              <w:t>2</w:t>
            </w:r>
          </w:p>
        </w:tc>
        <w:tc>
          <w:tcPr>
            <w:tcW w:w="17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r>
      <w:tr w:rsidR="00BD5B7F" w:rsidRPr="00FF6562" w:rsidTr="000E5961">
        <w:trPr>
          <w:trHeight w:val="285"/>
        </w:trPr>
        <w:tc>
          <w:tcPr>
            <w:tcW w:w="1429" w:type="pct"/>
            <w:noWrap/>
            <w:vAlign w:val="center"/>
            <w:hideMark/>
          </w:tcPr>
          <w:p w:rsidR="00BD5B7F" w:rsidRPr="00FF6562" w:rsidRDefault="00BD5B7F" w:rsidP="000E5961">
            <w:pPr>
              <w:rPr>
                <w:rFonts w:ascii="Arial" w:hAnsi="Arial" w:cs="Arial"/>
                <w:color w:val="000000"/>
                <w:sz w:val="16"/>
                <w:szCs w:val="16"/>
                <w:lang w:eastAsia="it-IT"/>
              </w:rPr>
            </w:pPr>
            <w:r w:rsidRPr="00FF6562">
              <w:rPr>
                <w:rFonts w:ascii="Arial" w:eastAsia="Arial" w:hAnsi="Arial" w:cs="Arial"/>
                <w:color w:val="000000"/>
                <w:sz w:val="16"/>
                <w:szCs w:val="16"/>
                <w:bdr w:val="none" w:sz="0" w:space="0" w:color="auto" w:frame="1"/>
                <w:lang w:eastAsia="it-IT"/>
              </w:rPr>
              <w:t>TAP</w:t>
            </w:r>
          </w:p>
        </w:tc>
        <w:tc>
          <w:tcPr>
            <w:tcW w:w="121" w:type="pct"/>
            <w:tcBorders>
              <w:top w:val="nil"/>
              <w:left w:val="single" w:sz="4" w:space="0" w:color="auto"/>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4"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shd w:val="clear" w:color="auto" w:fill="FFC00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0"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09"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2"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shd w:val="clear" w:color="auto" w:fill="FFC00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single" w:sz="4" w:space="0" w:color="auto"/>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7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r>
      <w:tr w:rsidR="00BD5B7F" w:rsidRPr="00FC42B0" w:rsidTr="000E5961">
        <w:trPr>
          <w:trHeight w:val="285"/>
        </w:trPr>
        <w:tc>
          <w:tcPr>
            <w:tcW w:w="1429" w:type="pct"/>
            <w:noWrap/>
            <w:vAlign w:val="center"/>
            <w:hideMark/>
          </w:tcPr>
          <w:p w:rsidR="00BD5B7F" w:rsidRPr="00865DA5" w:rsidRDefault="00BD5B7F" w:rsidP="000E5961">
            <w:pPr>
              <w:rPr>
                <w:rFonts w:ascii="Arial" w:hAnsi="Arial" w:cs="Arial"/>
                <w:color w:val="000000"/>
                <w:sz w:val="16"/>
                <w:szCs w:val="16"/>
                <w:lang w:val="fr-FR" w:eastAsia="it-IT"/>
              </w:rPr>
            </w:pPr>
            <w:r w:rsidRPr="00865DA5">
              <w:rPr>
                <w:rFonts w:ascii="Arial" w:eastAsia="Arial" w:hAnsi="Arial" w:cs="Arial"/>
                <w:color w:val="000000"/>
                <w:sz w:val="16"/>
                <w:szCs w:val="16"/>
                <w:bdr w:val="none" w:sz="0" w:space="0" w:color="auto" w:frame="1"/>
                <w:lang w:val="fr-FR" w:eastAsia="it-IT"/>
              </w:rPr>
              <w:t>Comité permanent Conv. de Berne</w:t>
            </w:r>
          </w:p>
        </w:tc>
        <w:tc>
          <w:tcPr>
            <w:tcW w:w="121" w:type="pct"/>
            <w:tcBorders>
              <w:top w:val="nil"/>
              <w:left w:val="single" w:sz="4" w:space="0" w:color="auto"/>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21"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1"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8" w:type="pct"/>
            <w:tcBorders>
              <w:top w:val="nil"/>
              <w:left w:val="nil"/>
              <w:bottom w:val="single" w:sz="4" w:space="0" w:color="auto"/>
              <w:right w:val="single" w:sz="4" w:space="0" w:color="auto"/>
            </w:tcBorders>
            <w:shd w:val="clear" w:color="auto" w:fill="0070C0"/>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18"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23"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4"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8" w:type="pct"/>
            <w:tcBorders>
              <w:top w:val="nil"/>
              <w:left w:val="nil"/>
              <w:bottom w:val="single" w:sz="4" w:space="0" w:color="auto"/>
              <w:right w:val="single" w:sz="4" w:space="0" w:color="auto"/>
            </w:tcBorders>
            <w:shd w:val="clear" w:color="auto" w:fill="0070C0"/>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10"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23"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1"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8" w:type="pct"/>
            <w:tcBorders>
              <w:top w:val="nil"/>
              <w:left w:val="nil"/>
              <w:bottom w:val="single" w:sz="4" w:space="0" w:color="auto"/>
              <w:right w:val="single" w:sz="4" w:space="0" w:color="auto"/>
            </w:tcBorders>
            <w:shd w:val="clear" w:color="auto" w:fill="0070C0"/>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09"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22"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1"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8" w:type="pct"/>
            <w:tcBorders>
              <w:top w:val="nil"/>
              <w:left w:val="nil"/>
              <w:bottom w:val="single" w:sz="4" w:space="0" w:color="auto"/>
              <w:right w:val="single" w:sz="4" w:space="0" w:color="auto"/>
            </w:tcBorders>
            <w:shd w:val="clear" w:color="auto" w:fill="0070C0"/>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13"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23"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1"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8" w:type="pct"/>
            <w:tcBorders>
              <w:top w:val="nil"/>
              <w:left w:val="nil"/>
              <w:bottom w:val="single" w:sz="4" w:space="0" w:color="auto"/>
              <w:right w:val="single" w:sz="4" w:space="0" w:color="auto"/>
            </w:tcBorders>
            <w:shd w:val="clear" w:color="auto" w:fill="0070C0"/>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11"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23"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1"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8" w:type="pct"/>
            <w:tcBorders>
              <w:top w:val="nil"/>
              <w:left w:val="nil"/>
              <w:bottom w:val="single" w:sz="4" w:space="0" w:color="auto"/>
              <w:right w:val="single" w:sz="4" w:space="0" w:color="auto"/>
            </w:tcBorders>
            <w:shd w:val="clear" w:color="auto" w:fill="0070C0"/>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13"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23"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31" w:type="pct"/>
            <w:tcBorders>
              <w:top w:val="nil"/>
              <w:left w:val="nil"/>
              <w:bottom w:val="single" w:sz="4" w:space="0" w:color="auto"/>
              <w:right w:val="single" w:sz="4" w:space="0" w:color="auto"/>
            </w:tcBorders>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c>
          <w:tcPr>
            <w:tcW w:w="173" w:type="pct"/>
            <w:tcBorders>
              <w:top w:val="nil"/>
              <w:left w:val="nil"/>
              <w:bottom w:val="single" w:sz="4" w:space="0" w:color="auto"/>
              <w:right w:val="single" w:sz="4" w:space="0" w:color="auto"/>
            </w:tcBorders>
            <w:shd w:val="clear" w:color="auto" w:fill="0070C0"/>
            <w:noWrap/>
            <w:vAlign w:val="bottom"/>
            <w:hideMark/>
          </w:tcPr>
          <w:p w:rsidR="00BD5B7F" w:rsidRPr="00865DA5" w:rsidRDefault="00BD5B7F" w:rsidP="000E5961">
            <w:pPr>
              <w:rPr>
                <w:rFonts w:ascii="Arial" w:hAnsi="Arial" w:cs="Arial"/>
                <w:color w:val="000000"/>
                <w:sz w:val="16"/>
                <w:szCs w:val="16"/>
                <w:lang w:val="fr-FR" w:eastAsia="it-IT"/>
              </w:rPr>
            </w:pPr>
            <w:r w:rsidRPr="00865DA5">
              <w:rPr>
                <w:rFonts w:ascii="Arial" w:hAnsi="Arial" w:cs="Arial"/>
                <w:color w:val="000000"/>
                <w:sz w:val="16"/>
                <w:szCs w:val="16"/>
                <w:lang w:val="fr-FR" w:eastAsia="it-IT"/>
              </w:rPr>
              <w:t> </w:t>
            </w:r>
          </w:p>
        </w:tc>
      </w:tr>
      <w:tr w:rsidR="00BD5B7F" w:rsidRPr="00FF6562" w:rsidTr="000E5961">
        <w:trPr>
          <w:trHeight w:val="285"/>
        </w:trPr>
        <w:tc>
          <w:tcPr>
            <w:tcW w:w="1429" w:type="pct"/>
            <w:noWrap/>
            <w:vAlign w:val="center"/>
            <w:hideMark/>
          </w:tcPr>
          <w:p w:rsidR="00BD5B7F" w:rsidRPr="00FF6562" w:rsidRDefault="00BD5B7F" w:rsidP="000E5961">
            <w:pPr>
              <w:rPr>
                <w:rFonts w:ascii="Arial" w:hAnsi="Arial" w:cs="Arial"/>
                <w:color w:val="000000"/>
                <w:sz w:val="16"/>
                <w:szCs w:val="16"/>
                <w:lang w:eastAsia="it-IT"/>
              </w:rPr>
            </w:pPr>
            <w:r w:rsidRPr="00FF6562">
              <w:rPr>
                <w:rFonts w:ascii="Arial" w:eastAsia="Arial" w:hAnsi="Arial" w:cs="Arial"/>
                <w:color w:val="000000"/>
                <w:sz w:val="16"/>
                <w:szCs w:val="16"/>
                <w:bdr w:val="none" w:sz="0" w:space="0" w:color="auto" w:frame="1"/>
                <w:lang w:eastAsia="it-IT"/>
              </w:rPr>
              <w:t>Réunion SFP</w:t>
            </w:r>
          </w:p>
        </w:tc>
        <w:tc>
          <w:tcPr>
            <w:tcW w:w="121" w:type="pct"/>
            <w:tcBorders>
              <w:top w:val="nil"/>
              <w:left w:val="single" w:sz="4" w:space="0" w:color="auto"/>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00B0F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4" w:type="pct"/>
            <w:tcBorders>
              <w:top w:val="nil"/>
              <w:left w:val="nil"/>
              <w:bottom w:val="single" w:sz="4" w:space="0" w:color="auto"/>
              <w:right w:val="single" w:sz="4" w:space="0" w:color="auto"/>
            </w:tcBorders>
            <w:shd w:val="clear" w:color="auto" w:fill="00B0F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0"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00B0F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09"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2"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00B0F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00B0F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00B0F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00B0F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7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r>
      <w:tr w:rsidR="00BD5B7F" w:rsidRPr="00FF6562" w:rsidTr="000E5961">
        <w:trPr>
          <w:trHeight w:val="285"/>
        </w:trPr>
        <w:tc>
          <w:tcPr>
            <w:tcW w:w="1429" w:type="pct"/>
            <w:noWrap/>
            <w:vAlign w:val="center"/>
            <w:hideMark/>
          </w:tcPr>
          <w:p w:rsidR="00BD5B7F" w:rsidRPr="00FF6562" w:rsidRDefault="00BD5B7F" w:rsidP="000E5961">
            <w:pPr>
              <w:rPr>
                <w:rFonts w:ascii="Arial" w:hAnsi="Arial" w:cs="Arial"/>
                <w:color w:val="000000"/>
                <w:sz w:val="16"/>
                <w:szCs w:val="16"/>
                <w:lang w:eastAsia="it-IT"/>
              </w:rPr>
            </w:pPr>
            <w:r w:rsidRPr="00FF6562">
              <w:rPr>
                <w:rFonts w:ascii="Arial" w:eastAsia="Arial" w:hAnsi="Arial" w:cs="Arial"/>
                <w:color w:val="000000"/>
                <w:sz w:val="16"/>
                <w:szCs w:val="16"/>
                <w:bdr w:val="none" w:sz="0" w:space="0" w:color="auto" w:frame="1"/>
                <w:lang w:eastAsia="it-IT"/>
              </w:rPr>
              <w:t>Réunion du MIKT</w:t>
            </w:r>
          </w:p>
        </w:tc>
        <w:tc>
          <w:tcPr>
            <w:tcW w:w="121" w:type="pct"/>
            <w:tcBorders>
              <w:top w:val="nil"/>
              <w:left w:val="single" w:sz="4" w:space="0" w:color="auto"/>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92D05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4" w:type="pct"/>
            <w:tcBorders>
              <w:top w:val="nil"/>
              <w:left w:val="nil"/>
              <w:bottom w:val="single" w:sz="4" w:space="0" w:color="auto"/>
              <w:right w:val="single" w:sz="4" w:space="0" w:color="auto"/>
            </w:tcBorders>
            <w:shd w:val="clear" w:color="auto" w:fill="92D05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0"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92D05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09"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2"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92D05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92D05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92D05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shd w:val="clear" w:color="auto" w:fill="92D05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7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r>
      <w:tr w:rsidR="00BD5B7F" w:rsidRPr="00FF6562" w:rsidTr="000E5961">
        <w:trPr>
          <w:trHeight w:val="285"/>
        </w:trPr>
        <w:tc>
          <w:tcPr>
            <w:tcW w:w="1429" w:type="pct"/>
            <w:noWrap/>
            <w:vAlign w:val="center"/>
            <w:hideMark/>
          </w:tcPr>
          <w:p w:rsidR="00BD5B7F" w:rsidRPr="00FF6562" w:rsidRDefault="00BD5B7F" w:rsidP="000E5961">
            <w:pPr>
              <w:rPr>
                <w:rFonts w:ascii="Arial" w:hAnsi="Arial" w:cs="Arial"/>
                <w:color w:val="000000"/>
                <w:sz w:val="16"/>
                <w:szCs w:val="16"/>
                <w:lang w:eastAsia="it-IT"/>
              </w:rPr>
            </w:pPr>
            <w:r w:rsidRPr="00FF6562">
              <w:rPr>
                <w:rFonts w:ascii="Arial" w:eastAsia="Arial" w:hAnsi="Arial" w:cs="Arial"/>
                <w:color w:val="000000"/>
                <w:sz w:val="16"/>
                <w:szCs w:val="16"/>
                <w:bdr w:val="none" w:sz="0" w:space="0" w:color="auto" w:frame="1"/>
                <w:lang w:eastAsia="it-IT"/>
              </w:rPr>
              <w:t>COP de la CMS</w:t>
            </w:r>
          </w:p>
        </w:tc>
        <w:tc>
          <w:tcPr>
            <w:tcW w:w="121" w:type="pct"/>
            <w:tcBorders>
              <w:top w:val="nil"/>
              <w:left w:val="single" w:sz="4" w:space="0" w:color="auto"/>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shd w:val="clear" w:color="auto" w:fill="00B05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4"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0"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09"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2"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shd w:val="clear" w:color="auto" w:fill="00B05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73" w:type="pct"/>
            <w:tcBorders>
              <w:top w:val="nil"/>
              <w:left w:val="nil"/>
              <w:bottom w:val="single" w:sz="4" w:space="0" w:color="auto"/>
              <w:right w:val="single" w:sz="4" w:space="0" w:color="auto"/>
            </w:tcBorders>
            <w:shd w:val="clear" w:color="auto" w:fill="00B050"/>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r>
      <w:tr w:rsidR="00BD5B7F" w:rsidRPr="00FF6562" w:rsidTr="000E5961">
        <w:trPr>
          <w:trHeight w:val="285"/>
        </w:trPr>
        <w:tc>
          <w:tcPr>
            <w:tcW w:w="1429" w:type="pct"/>
            <w:noWrap/>
            <w:vAlign w:val="center"/>
            <w:hideMark/>
          </w:tcPr>
          <w:p w:rsidR="00BD5B7F" w:rsidRPr="00FF6562" w:rsidRDefault="00BD5B7F" w:rsidP="000E5961">
            <w:pPr>
              <w:rPr>
                <w:rFonts w:ascii="Arial" w:hAnsi="Arial" w:cs="Arial"/>
                <w:color w:val="000000"/>
                <w:sz w:val="16"/>
                <w:szCs w:val="16"/>
                <w:lang w:eastAsia="it-IT"/>
              </w:rPr>
            </w:pPr>
            <w:r w:rsidRPr="00FF6562">
              <w:rPr>
                <w:rFonts w:ascii="Arial" w:eastAsia="Arial" w:hAnsi="Arial" w:cs="Arial"/>
                <w:color w:val="000000"/>
                <w:sz w:val="16"/>
                <w:szCs w:val="16"/>
                <w:bdr w:val="none" w:sz="0" w:space="0" w:color="auto" w:frame="1"/>
                <w:lang w:eastAsia="it-IT"/>
              </w:rPr>
              <w:t>MOP de l’AEWA</w:t>
            </w:r>
          </w:p>
        </w:tc>
        <w:tc>
          <w:tcPr>
            <w:tcW w:w="121" w:type="pct"/>
            <w:tcBorders>
              <w:top w:val="nil"/>
              <w:left w:val="single" w:sz="4" w:space="0" w:color="auto"/>
              <w:bottom w:val="single" w:sz="4" w:space="0" w:color="auto"/>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p>
        </w:tc>
        <w:tc>
          <w:tcPr>
            <w:tcW w:w="12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1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4"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8" w:type="pct"/>
            <w:tcBorders>
              <w:top w:val="nil"/>
              <w:left w:val="nil"/>
              <w:bottom w:val="single" w:sz="4" w:space="0" w:color="auto"/>
              <w:right w:val="single" w:sz="4" w:space="0" w:color="auto"/>
            </w:tcBorders>
            <w:shd w:val="clear" w:color="auto" w:fill="76923C"/>
            <w:noWrap/>
            <w:vAlign w:val="bottom"/>
            <w:hideMark/>
          </w:tcPr>
          <w:p w:rsidR="00BD5B7F" w:rsidRPr="00FF6562" w:rsidRDefault="00BD5B7F" w:rsidP="000E5961">
            <w:pPr>
              <w:rPr>
                <w:rFonts w:ascii="Arial" w:hAnsi="Arial" w:cs="Arial"/>
              </w:rPr>
            </w:pPr>
          </w:p>
        </w:tc>
        <w:tc>
          <w:tcPr>
            <w:tcW w:w="110"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09"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22"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1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8" w:type="pct"/>
            <w:tcBorders>
              <w:top w:val="nil"/>
              <w:left w:val="nil"/>
              <w:bottom w:val="single" w:sz="4" w:space="0" w:color="auto"/>
              <w:right w:val="single" w:sz="4" w:space="0" w:color="auto"/>
            </w:tcBorders>
            <w:shd w:val="clear" w:color="auto" w:fill="76923C"/>
            <w:noWrap/>
            <w:vAlign w:val="bottom"/>
            <w:hideMark/>
          </w:tcPr>
          <w:p w:rsidR="00BD5B7F" w:rsidRPr="00FF6562" w:rsidRDefault="00BD5B7F" w:rsidP="000E5961">
            <w:pPr>
              <w:rPr>
                <w:rFonts w:ascii="Arial" w:hAnsi="Arial" w:cs="Arial"/>
              </w:rPr>
            </w:pPr>
          </w:p>
        </w:tc>
        <w:tc>
          <w:tcPr>
            <w:tcW w:w="11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8"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1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2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31"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c>
          <w:tcPr>
            <w:tcW w:w="173" w:type="pct"/>
            <w:tcBorders>
              <w:top w:val="nil"/>
              <w:left w:val="nil"/>
              <w:bottom w:val="single" w:sz="4" w:space="0" w:color="auto"/>
              <w:right w:val="single" w:sz="4" w:space="0" w:color="auto"/>
            </w:tcBorders>
            <w:noWrap/>
            <w:vAlign w:val="bottom"/>
            <w:hideMark/>
          </w:tcPr>
          <w:p w:rsidR="00BD5B7F" w:rsidRPr="00FF6562" w:rsidRDefault="00BD5B7F" w:rsidP="000E5961">
            <w:pPr>
              <w:rPr>
                <w:rFonts w:ascii="Arial" w:hAnsi="Arial" w:cs="Arial"/>
              </w:rPr>
            </w:pPr>
          </w:p>
        </w:tc>
      </w:tr>
      <w:tr w:rsidR="00BD5B7F" w:rsidRPr="00FF6562" w:rsidTr="000E5961">
        <w:trPr>
          <w:trHeight w:val="285"/>
        </w:trPr>
        <w:tc>
          <w:tcPr>
            <w:tcW w:w="1429" w:type="pct"/>
            <w:noWrap/>
            <w:vAlign w:val="center"/>
            <w:hideMark/>
          </w:tcPr>
          <w:p w:rsidR="00BD5B7F" w:rsidRPr="00FF6562" w:rsidRDefault="00BD5B7F" w:rsidP="000E5961">
            <w:pPr>
              <w:rPr>
                <w:rFonts w:ascii="Arial" w:hAnsi="Arial" w:cs="Arial"/>
                <w:color w:val="000000"/>
                <w:sz w:val="16"/>
                <w:szCs w:val="16"/>
                <w:lang w:eastAsia="it-IT"/>
              </w:rPr>
            </w:pPr>
            <w:r w:rsidRPr="00FF6562">
              <w:rPr>
                <w:rFonts w:ascii="Arial" w:eastAsia="Arial" w:hAnsi="Arial" w:cs="Arial"/>
                <w:color w:val="000000"/>
                <w:sz w:val="16"/>
                <w:szCs w:val="16"/>
                <w:bdr w:val="none" w:sz="0" w:space="0" w:color="auto" w:frame="1"/>
                <w:lang w:eastAsia="it-IT"/>
              </w:rPr>
              <w:t>Reporting art. 12 Directive Oiseaux</w:t>
            </w:r>
          </w:p>
        </w:tc>
        <w:tc>
          <w:tcPr>
            <w:tcW w:w="121" w:type="pct"/>
            <w:tcBorders>
              <w:top w:val="nil"/>
              <w:left w:val="single" w:sz="4" w:space="0" w:color="auto"/>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1"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8"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4"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0"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nil"/>
              <w:right w:val="single" w:sz="4" w:space="0" w:color="auto"/>
            </w:tcBorders>
            <w:shd w:val="clear" w:color="auto" w:fill="E46D0A"/>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09"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2"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3"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1"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8"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13"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23"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31"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c>
          <w:tcPr>
            <w:tcW w:w="173" w:type="pct"/>
            <w:tcBorders>
              <w:top w:val="nil"/>
              <w:left w:val="nil"/>
              <w:bottom w:val="nil"/>
              <w:right w:val="single" w:sz="4" w:space="0" w:color="auto"/>
            </w:tcBorders>
            <w:noWrap/>
            <w:vAlign w:val="bottom"/>
            <w:hideMark/>
          </w:tcPr>
          <w:p w:rsidR="00BD5B7F" w:rsidRPr="00FF6562" w:rsidRDefault="00BD5B7F" w:rsidP="000E5961">
            <w:pPr>
              <w:rPr>
                <w:rFonts w:ascii="Arial" w:hAnsi="Arial" w:cs="Arial"/>
                <w:color w:val="000000"/>
                <w:sz w:val="16"/>
                <w:szCs w:val="16"/>
                <w:lang w:eastAsia="it-IT"/>
              </w:rPr>
            </w:pPr>
            <w:r w:rsidRPr="00FF6562">
              <w:rPr>
                <w:rFonts w:ascii="Arial" w:hAnsi="Arial" w:cs="Arial"/>
                <w:color w:val="000000"/>
                <w:sz w:val="16"/>
                <w:szCs w:val="16"/>
                <w:lang w:eastAsia="it-IT"/>
              </w:rPr>
              <w:t> </w:t>
            </w:r>
          </w:p>
        </w:tc>
      </w:tr>
      <w:tr w:rsidR="00BD5B7F" w:rsidRPr="00FF6562" w:rsidTr="000E5961">
        <w:trPr>
          <w:trHeight w:val="285"/>
        </w:trPr>
        <w:tc>
          <w:tcPr>
            <w:tcW w:w="1429" w:type="pct"/>
            <w:noWrap/>
            <w:vAlign w:val="center"/>
          </w:tcPr>
          <w:p w:rsidR="00BD5B7F" w:rsidRPr="00FF6562" w:rsidRDefault="00BD5B7F" w:rsidP="000E5961">
            <w:pPr>
              <w:rPr>
                <w:rFonts w:ascii="Arial" w:hAnsi="Arial" w:cs="Arial"/>
                <w:color w:val="000000"/>
                <w:sz w:val="16"/>
                <w:szCs w:val="16"/>
                <w:lang w:eastAsia="it-IT"/>
              </w:rPr>
            </w:pPr>
          </w:p>
        </w:tc>
        <w:tc>
          <w:tcPr>
            <w:tcW w:w="121" w:type="pct"/>
            <w:tcBorders>
              <w:top w:val="nil"/>
              <w:left w:val="single" w:sz="4" w:space="0" w:color="auto"/>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21"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1"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8"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18"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23"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4"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8"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10"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23" w:type="pct"/>
            <w:tcBorders>
              <w:top w:val="nil"/>
              <w:left w:val="nil"/>
              <w:bottom w:val="single" w:sz="4" w:space="0" w:color="auto"/>
              <w:right w:val="single" w:sz="4" w:space="0" w:color="auto"/>
            </w:tcBorders>
            <w:shd w:val="clear" w:color="auto" w:fill="E46D0A"/>
            <w:noWrap/>
            <w:vAlign w:val="bottom"/>
          </w:tcPr>
          <w:p w:rsidR="00BD5B7F" w:rsidRPr="00FF6562" w:rsidRDefault="00BD5B7F" w:rsidP="000E5961">
            <w:pPr>
              <w:rPr>
                <w:rFonts w:ascii="Arial" w:hAnsi="Arial" w:cs="Arial"/>
                <w:color w:val="000000"/>
                <w:sz w:val="16"/>
                <w:szCs w:val="16"/>
                <w:lang w:eastAsia="it-IT"/>
              </w:rPr>
            </w:pPr>
          </w:p>
        </w:tc>
        <w:tc>
          <w:tcPr>
            <w:tcW w:w="131"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8"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09"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22"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1"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8"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13"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23"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1"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8"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11"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23"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1"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8"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13"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23"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31"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c>
          <w:tcPr>
            <w:tcW w:w="173" w:type="pct"/>
            <w:tcBorders>
              <w:top w:val="nil"/>
              <w:left w:val="nil"/>
              <w:bottom w:val="single" w:sz="4" w:space="0" w:color="auto"/>
              <w:right w:val="single" w:sz="4" w:space="0" w:color="auto"/>
            </w:tcBorders>
            <w:noWrap/>
            <w:vAlign w:val="bottom"/>
          </w:tcPr>
          <w:p w:rsidR="00BD5B7F" w:rsidRPr="00FF6562" w:rsidRDefault="00BD5B7F" w:rsidP="000E5961">
            <w:pPr>
              <w:rPr>
                <w:rFonts w:ascii="Arial" w:hAnsi="Arial" w:cs="Arial"/>
                <w:color w:val="000000"/>
                <w:sz w:val="16"/>
                <w:szCs w:val="16"/>
                <w:lang w:eastAsia="it-IT"/>
              </w:rPr>
            </w:pPr>
          </w:p>
        </w:tc>
      </w:tr>
    </w:tbl>
    <w:p w:rsidR="00BD5B7F" w:rsidRPr="00865DA5" w:rsidRDefault="00BD5B7F" w:rsidP="00BD5B7F">
      <w:pPr>
        <w:ind w:left="993" w:hanging="993"/>
        <w:jc w:val="both"/>
        <w:rPr>
          <w:rFonts w:ascii="Arial" w:eastAsia="Calibri" w:hAnsi="Arial" w:cs="Arial"/>
          <w:bCs/>
          <w:sz w:val="18"/>
          <w:szCs w:val="18"/>
          <w:lang w:val="fr-FR"/>
        </w:rPr>
      </w:pPr>
      <w:r w:rsidRPr="00865DA5">
        <w:rPr>
          <w:rFonts w:ascii="Arial" w:eastAsia="Arial" w:hAnsi="Arial" w:cs="Arial"/>
          <w:b/>
          <w:bCs/>
          <w:color w:val="4F81BD"/>
          <w:sz w:val="18"/>
          <w:szCs w:val="18"/>
          <w:bdr w:val="none" w:sz="0" w:space="0" w:color="auto" w:frame="1"/>
          <w:lang w:val="fr-FR"/>
        </w:rPr>
        <w:t xml:space="preserve">Tableau 3 </w:t>
      </w:r>
      <w:r w:rsidRPr="00865DA5">
        <w:rPr>
          <w:rFonts w:ascii="Arial" w:eastAsia="Arial" w:hAnsi="Arial" w:cs="Arial"/>
          <w:color w:val="4F81BD"/>
          <w:sz w:val="18"/>
          <w:szCs w:val="18"/>
          <w:bdr w:val="none" w:sz="0" w:space="0" w:color="auto" w:frame="1"/>
          <w:lang w:val="fr-FR"/>
        </w:rPr>
        <w:t xml:space="preserve">- </w:t>
      </w:r>
      <w:r w:rsidRPr="00865DA5">
        <w:rPr>
          <w:rFonts w:ascii="Arial" w:eastAsia="Arial" w:hAnsi="Arial" w:cs="Arial"/>
          <w:sz w:val="18"/>
          <w:szCs w:val="18"/>
          <w:bdr w:val="none" w:sz="0" w:space="0" w:color="auto" w:frame="1"/>
          <w:lang w:val="fr-FR"/>
        </w:rPr>
        <w:t>Réunions et reporting IKB. L’évaluation de base ‘B’ permettra de comparer la situation à l’échelle nationale, alors que le rapport n° 1 sera utilisé pour auto-évaluer les progrès relatifs au TAP et au programme de travail du MIKT. L’évaluation n° 2 et les suivantes auront lieu tous les 3 ans de manière synchrone avec les sessions de la COP de la CMS.</w:t>
      </w:r>
    </w:p>
    <w:p w:rsidR="00BD5B7F" w:rsidRPr="00865DA5" w:rsidRDefault="00BD5B7F" w:rsidP="00BD5B7F">
      <w:pPr>
        <w:keepNext/>
        <w:keepLines/>
        <w:spacing w:after="120"/>
        <w:outlineLvl w:val="2"/>
        <w:rPr>
          <w:rFonts w:ascii="Arial" w:eastAsia="Arial" w:hAnsi="Arial" w:cs="Arial"/>
          <w:b/>
          <w:bCs/>
          <w:i/>
          <w:iCs/>
          <w:color w:val="000000"/>
          <w:bdr w:val="none" w:sz="0" w:space="0" w:color="auto" w:frame="1"/>
          <w:lang w:val="fr-FR"/>
        </w:rPr>
      </w:pPr>
      <w:bookmarkStart w:id="19" w:name="_Toc491245227"/>
      <w:bookmarkStart w:id="20" w:name="_Toc491245053"/>
      <w:bookmarkStart w:id="21" w:name="_Toc486539564"/>
    </w:p>
    <w:p w:rsidR="00BD5B7F" w:rsidRPr="00865DA5" w:rsidRDefault="00BD5B7F" w:rsidP="00BD5B7F">
      <w:pPr>
        <w:keepNext/>
        <w:keepLines/>
        <w:spacing w:after="120"/>
        <w:outlineLvl w:val="2"/>
        <w:rPr>
          <w:rFonts w:ascii="Arial" w:eastAsia="Calibri" w:hAnsi="Arial" w:cs="Arial"/>
          <w:b/>
          <w:i/>
          <w:color w:val="000000"/>
          <w:sz w:val="28"/>
          <w:szCs w:val="26"/>
          <w:lang w:val="fr-FR"/>
        </w:rPr>
      </w:pPr>
      <w:r w:rsidRPr="00865DA5">
        <w:rPr>
          <w:rFonts w:ascii="Arial" w:eastAsia="Arial" w:hAnsi="Arial" w:cs="Arial"/>
          <w:b/>
          <w:bCs/>
          <w:i/>
          <w:iCs/>
          <w:color w:val="000000"/>
          <w:sz w:val="28"/>
          <w:szCs w:val="28"/>
          <w:bdr w:val="none" w:sz="0" w:space="0" w:color="auto" w:frame="1"/>
          <w:lang w:val="fr-FR"/>
        </w:rPr>
        <w:t>Utilisation d’indicateurs d’auto-évaluation au niveau national</w:t>
      </w:r>
      <w:bookmarkEnd w:id="19"/>
      <w:bookmarkEnd w:id="20"/>
      <w:bookmarkEnd w:id="21"/>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La plupart des indicateurs sont mesurés en utilisant des avis d’experts des agences de lutte contre la fraude nationales pertinentes et des autres parties prenantes, le cas échéant. Chacun de ces indicateurs d’évaluation à dire d’expert propose une question suivie d’une échelle de réponse en quatre parties, chaque réponse contenant généralement plusieurs composantes. Bien que liées, ces composantes sont répertoriées séparément pour que les experts puissent évaluer chacune d’elles individuellement afin d’identifier celles qui correspondent le mieux à la situation nationale. Après avoir examiné les différentes composantes d’une réponse, il est alors possible d’identifier lequel des quatre scores de réponse - de 0 à 3 - représente le mieux la situation nationale. Dans certains cas, le choix entre les quatre scores peut ne pas être évident. Une brève justification écrite des choix devra être inscrite dans les commentaires sous chaque indicateur. Des orientations pouvant être suivies dans ces situations sont fournies dans les scénarios suivants.</w:t>
      </w:r>
    </w:p>
    <w:p w:rsidR="00BD5B7F" w:rsidRPr="00865DA5" w:rsidRDefault="00BD5B7F" w:rsidP="00BD5B7F">
      <w:pPr>
        <w:keepNext/>
        <w:keepLines/>
        <w:outlineLvl w:val="3"/>
        <w:rPr>
          <w:rFonts w:ascii="Arial" w:eastAsia="Arial" w:hAnsi="Arial" w:cs="Arial"/>
          <w:b/>
          <w:bCs/>
          <w:iCs/>
          <w:color w:val="000000"/>
          <w:sz w:val="28"/>
          <w:szCs w:val="28"/>
          <w:bdr w:val="none" w:sz="0" w:space="0" w:color="auto" w:frame="1"/>
          <w:lang w:val="fr-FR"/>
        </w:rPr>
      </w:pPr>
      <w:bookmarkStart w:id="22" w:name="_Toc486539565"/>
    </w:p>
    <w:p w:rsidR="00BD5B7F" w:rsidRPr="00865DA5" w:rsidRDefault="00BD5B7F" w:rsidP="00BD5B7F">
      <w:pPr>
        <w:spacing w:after="160" w:line="259" w:lineRule="auto"/>
        <w:rPr>
          <w:rFonts w:ascii="Arial" w:eastAsia="Arial" w:hAnsi="Arial" w:cs="Arial"/>
          <w:b/>
          <w:bCs/>
          <w:iCs/>
          <w:color w:val="000000"/>
          <w:sz w:val="28"/>
          <w:szCs w:val="28"/>
          <w:bdr w:val="none" w:sz="0" w:space="0" w:color="auto" w:frame="1"/>
          <w:lang w:val="fr-FR"/>
        </w:rPr>
      </w:pPr>
      <w:bookmarkStart w:id="23" w:name="_Toc491245228"/>
      <w:r w:rsidRPr="00865DA5">
        <w:rPr>
          <w:rFonts w:ascii="Arial" w:eastAsia="Arial" w:hAnsi="Arial" w:cs="Arial"/>
          <w:b/>
          <w:bCs/>
          <w:iCs/>
          <w:color w:val="000000"/>
          <w:sz w:val="28"/>
          <w:szCs w:val="28"/>
          <w:bdr w:val="none" w:sz="0" w:space="0" w:color="auto" w:frame="1"/>
          <w:lang w:val="fr-FR"/>
        </w:rPr>
        <w:br w:type="page"/>
      </w:r>
    </w:p>
    <w:p w:rsidR="00BD5B7F" w:rsidRPr="00865DA5" w:rsidRDefault="00BD5B7F" w:rsidP="00BD5B7F">
      <w:pPr>
        <w:keepNext/>
        <w:keepLines/>
        <w:spacing w:after="120"/>
        <w:outlineLvl w:val="3"/>
        <w:rPr>
          <w:rFonts w:ascii="Arial" w:hAnsi="Arial" w:cs="Arial"/>
          <w:b/>
          <w:iCs/>
          <w:color w:val="000000"/>
          <w:sz w:val="28"/>
          <w:szCs w:val="22"/>
          <w:lang w:val="fr-FR"/>
        </w:rPr>
      </w:pPr>
      <w:r w:rsidRPr="00865DA5">
        <w:rPr>
          <w:rFonts w:ascii="Arial" w:eastAsia="Arial" w:hAnsi="Arial" w:cs="Arial"/>
          <w:b/>
          <w:bCs/>
          <w:iCs/>
          <w:color w:val="000000"/>
          <w:sz w:val="28"/>
          <w:szCs w:val="28"/>
          <w:bdr w:val="none" w:sz="0" w:space="0" w:color="auto" w:frame="1"/>
          <w:lang w:val="fr-FR"/>
        </w:rPr>
        <w:lastRenderedPageBreak/>
        <w:t>Scénario 1 : Score unique</w:t>
      </w:r>
      <w:bookmarkEnd w:id="22"/>
      <w:bookmarkEnd w:id="23"/>
    </w:p>
    <w:p w:rsidR="00BD5B7F" w:rsidRPr="00865DA5" w:rsidRDefault="00BD5B7F" w:rsidP="00BD5B7F">
      <w:pPr>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Dans le scénario le plus simple, les experts participants choisiront des composantes correspondant toutes à un même score. Dans ce cas, ce score devra être choisi pour l’indicateur.</w:t>
      </w:r>
    </w:p>
    <w:p w:rsidR="00BD5B7F" w:rsidRPr="00FF6562" w:rsidRDefault="00BD5B7F" w:rsidP="00BD5B7F">
      <w:pPr>
        <w:rPr>
          <w:rFonts w:ascii="Arial" w:eastAsia="Calibri" w:hAnsi="Arial" w:cs="Arial"/>
          <w:color w:val="000000"/>
          <w:sz w:val="22"/>
          <w:szCs w:val="22"/>
        </w:rPr>
      </w:pPr>
      <w:r w:rsidRPr="00FF6562">
        <w:rPr>
          <w:rFonts w:ascii="Arial" w:eastAsia="Calibri" w:hAnsi="Arial" w:cs="Arial"/>
          <w:noProof/>
          <w:lang w:val="fr-FR" w:eastAsia="fr-FR"/>
        </w:rPr>
        <w:drawing>
          <wp:inline distT="0" distB="0" distL="0" distR="0" wp14:anchorId="404E5A80" wp14:editId="18F2C428">
            <wp:extent cx="5365819" cy="360171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56" cstate="print">
                      <a:extLst>
                        <a:ext uri="{28A0092B-C50C-407E-A947-70E740481C1C}">
                          <a14:useLocalDpi xmlns:a14="http://schemas.microsoft.com/office/drawing/2010/main" val="0"/>
                        </a:ext>
                      </a:extLst>
                    </a:blip>
                    <a:srcRect b="2199"/>
                    <a:stretch>
                      <a:fillRect/>
                    </a:stretch>
                  </pic:blipFill>
                  <pic:spPr bwMode="auto">
                    <a:xfrm>
                      <a:off x="0" y="0"/>
                      <a:ext cx="5361784" cy="3599006"/>
                    </a:xfrm>
                    <a:prstGeom prst="rect">
                      <a:avLst/>
                    </a:prstGeom>
                    <a:noFill/>
                    <a:ln>
                      <a:noFill/>
                    </a:ln>
                  </pic:spPr>
                </pic:pic>
              </a:graphicData>
            </a:graphic>
          </wp:inline>
        </w:drawing>
      </w:r>
    </w:p>
    <w:p w:rsidR="00BD5B7F" w:rsidRPr="00865DA5" w:rsidRDefault="00BD5B7F" w:rsidP="00BD5B7F">
      <w:pPr>
        <w:keepNext/>
        <w:keepLines/>
        <w:outlineLvl w:val="3"/>
        <w:rPr>
          <w:rFonts w:ascii="Arial" w:eastAsia="Arial" w:hAnsi="Arial" w:cs="Arial"/>
          <w:b/>
          <w:bCs/>
          <w:iCs/>
          <w:color w:val="000000"/>
          <w:sz w:val="28"/>
          <w:szCs w:val="28"/>
          <w:bdr w:val="none" w:sz="0" w:space="0" w:color="auto" w:frame="1"/>
          <w:lang w:val="fr-FR"/>
        </w:rPr>
      </w:pPr>
      <w:r w:rsidRPr="00865DA5">
        <w:rPr>
          <w:rFonts w:ascii="Arial" w:eastAsia="Arial" w:hAnsi="Arial" w:cs="Arial"/>
          <w:b/>
          <w:bCs/>
          <w:iCs/>
          <w:color w:val="000000"/>
          <w:sz w:val="28"/>
          <w:szCs w:val="28"/>
          <w:bdr w:val="none" w:sz="0" w:space="0" w:color="auto" w:frame="1"/>
          <w:lang w:val="fr-FR"/>
        </w:rPr>
        <w:t>Scénario 2 : Score multiple</w:t>
      </w:r>
    </w:p>
    <w:p w:rsidR="00BD5B7F" w:rsidRPr="00865DA5" w:rsidRDefault="00BD5B7F" w:rsidP="00BD5B7F">
      <w:pPr>
        <w:jc w:val="both"/>
        <w:rPr>
          <w:rFonts w:ascii="Arial" w:eastAsia="Arial" w:hAnsi="Arial" w:cs="Arial"/>
          <w:color w:val="000000"/>
          <w:sz w:val="22"/>
          <w:szCs w:val="22"/>
          <w:bdr w:val="none" w:sz="0" w:space="0" w:color="auto" w:frame="1"/>
          <w:lang w:val="fr-FR"/>
        </w:rPr>
      </w:pPr>
    </w:p>
    <w:p w:rsidR="00BD5B7F" w:rsidRPr="00865DA5" w:rsidRDefault="00BD5B7F" w:rsidP="00BD5B7F">
      <w:pPr>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Pour certains indicateurs, les experts participants pourront choisir des composantes qui relèvent de plusieurs scores de réponse. Dans ces cas, le score correspondant au plus grand nombre de réponses sélectionnées devra être choisi pour cet indicateur.</w:t>
      </w:r>
    </w:p>
    <w:p w:rsidR="00BD5B7F" w:rsidRPr="00865DA5" w:rsidRDefault="00BD5B7F" w:rsidP="00BD5B7F">
      <w:pPr>
        <w:jc w:val="both"/>
        <w:rPr>
          <w:rFonts w:ascii="Arial" w:eastAsia="Calibri" w:hAnsi="Arial" w:cs="Arial"/>
          <w:color w:val="000000"/>
          <w:sz w:val="22"/>
          <w:szCs w:val="22"/>
          <w:lang w:val="fr-FR"/>
        </w:rPr>
      </w:pPr>
    </w:p>
    <w:p w:rsidR="00BD5B7F" w:rsidRPr="00FF6562" w:rsidRDefault="00BD5B7F" w:rsidP="00BD5B7F">
      <w:pPr>
        <w:rPr>
          <w:rFonts w:ascii="Arial" w:eastAsia="Calibri" w:hAnsi="Arial" w:cs="Arial"/>
          <w:color w:val="000000"/>
          <w:sz w:val="22"/>
          <w:szCs w:val="22"/>
        </w:rPr>
      </w:pPr>
      <w:r w:rsidRPr="00FF6562">
        <w:rPr>
          <w:rFonts w:ascii="Arial" w:hAnsi="Arial" w:cs="Arial"/>
          <w:noProof/>
          <w:lang w:val="fr-FR" w:eastAsia="fr-FR"/>
        </w:rPr>
        <w:drawing>
          <wp:inline distT="0" distB="0" distL="0" distR="0" wp14:anchorId="71BF3EF9" wp14:editId="50DFCC78">
            <wp:extent cx="5404491" cy="3507604"/>
            <wp:effectExtent l="0" t="0" r="571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57" cstate="print">
                      <a:extLst>
                        <a:ext uri="{28A0092B-C50C-407E-A947-70E740481C1C}">
                          <a14:useLocalDpi xmlns:a14="http://schemas.microsoft.com/office/drawing/2010/main" val="0"/>
                        </a:ext>
                      </a:extLst>
                    </a:blip>
                    <a:srcRect b="1938"/>
                    <a:stretch>
                      <a:fillRect/>
                    </a:stretch>
                  </pic:blipFill>
                  <pic:spPr bwMode="auto">
                    <a:xfrm>
                      <a:off x="0" y="0"/>
                      <a:ext cx="5448705" cy="3536300"/>
                    </a:xfrm>
                    <a:prstGeom prst="rect">
                      <a:avLst/>
                    </a:prstGeom>
                    <a:noFill/>
                    <a:ln>
                      <a:noFill/>
                    </a:ln>
                  </pic:spPr>
                </pic:pic>
              </a:graphicData>
            </a:graphic>
          </wp:inline>
        </w:drawing>
      </w:r>
    </w:p>
    <w:p w:rsidR="00BD5B7F" w:rsidRDefault="00BD5B7F" w:rsidP="00BD5B7F">
      <w:pPr>
        <w:jc w:val="both"/>
        <w:rPr>
          <w:rFonts w:ascii="Arial" w:eastAsia="Arial" w:hAnsi="Arial" w:cs="Arial"/>
          <w:color w:val="000000"/>
          <w:sz w:val="22"/>
          <w:szCs w:val="22"/>
          <w:bdr w:val="none" w:sz="0" w:space="0" w:color="auto" w:frame="1"/>
        </w:rPr>
      </w:pPr>
    </w:p>
    <w:p w:rsidR="00BD5B7F" w:rsidRPr="00865DA5" w:rsidRDefault="00BD5B7F" w:rsidP="00BD5B7F">
      <w:pPr>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lastRenderedPageBreak/>
        <w:t>Si les composantes sont sélectionnées de manière égale entre deux (ou plusieurs) évaluations, une approche prudente devra être adoptée et le score le plus bas sera sélectionné pour cet indicateur.</w:t>
      </w:r>
    </w:p>
    <w:p w:rsidR="00BD5B7F" w:rsidRPr="00865DA5" w:rsidRDefault="00BD5B7F" w:rsidP="00BD5B7F">
      <w:pPr>
        <w:jc w:val="both"/>
        <w:rPr>
          <w:rFonts w:ascii="Arial" w:eastAsia="Arial" w:hAnsi="Arial" w:cs="Arial"/>
          <w:color w:val="000000"/>
          <w:sz w:val="22"/>
          <w:szCs w:val="22"/>
          <w:bdr w:val="none" w:sz="0" w:space="0" w:color="auto" w:frame="1"/>
          <w:lang w:val="fr-FR"/>
        </w:rPr>
      </w:pPr>
    </w:p>
    <w:p w:rsidR="00BD5B7F" w:rsidRPr="00FF6562" w:rsidRDefault="00BD5B7F" w:rsidP="00BD5B7F">
      <w:pPr>
        <w:jc w:val="both"/>
        <w:rPr>
          <w:rFonts w:ascii="Arial" w:eastAsia="Arial" w:hAnsi="Arial" w:cs="Arial"/>
          <w:color w:val="000000"/>
          <w:sz w:val="22"/>
          <w:szCs w:val="22"/>
          <w:bdr w:val="none" w:sz="0" w:space="0" w:color="auto" w:frame="1"/>
        </w:rPr>
      </w:pPr>
      <w:r w:rsidRPr="007A17EC">
        <w:rPr>
          <w:rFonts w:ascii="Arial" w:eastAsia="Arial" w:hAnsi="Arial" w:cs="Arial"/>
          <w:noProof/>
          <w:color w:val="000000"/>
          <w:sz w:val="22"/>
          <w:szCs w:val="22"/>
          <w:bdr w:val="none" w:sz="0" w:space="0" w:color="auto" w:frame="1"/>
          <w:lang w:val="fr-FR" w:eastAsia="fr-FR"/>
        </w:rPr>
        <w:drawing>
          <wp:inline distT="0" distB="0" distL="0" distR="0" wp14:anchorId="7243A051" wp14:editId="276A3AA3">
            <wp:extent cx="5880735" cy="5002763"/>
            <wp:effectExtent l="0" t="0" r="1206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890059" cy="5010695"/>
                    </a:xfrm>
                    <a:prstGeom prst="rect">
                      <a:avLst/>
                    </a:prstGeom>
                  </pic:spPr>
                </pic:pic>
              </a:graphicData>
            </a:graphic>
          </wp:inline>
        </w:drawing>
      </w:r>
    </w:p>
    <w:p w:rsidR="00BD5B7F" w:rsidRPr="00865DA5" w:rsidRDefault="00BD5B7F" w:rsidP="00BD5B7F">
      <w:pPr>
        <w:keepNext/>
        <w:keepLines/>
        <w:spacing w:after="120"/>
        <w:outlineLvl w:val="3"/>
        <w:rPr>
          <w:rFonts w:ascii="Arial" w:hAnsi="Arial" w:cs="Arial"/>
          <w:b/>
          <w:iCs/>
          <w:color w:val="000000"/>
          <w:sz w:val="28"/>
          <w:szCs w:val="22"/>
          <w:lang w:val="fr-FR"/>
        </w:rPr>
      </w:pPr>
      <w:bookmarkStart w:id="24" w:name="_Toc491245230"/>
      <w:bookmarkStart w:id="25" w:name="_Toc486539567"/>
      <w:r w:rsidRPr="00865DA5">
        <w:rPr>
          <w:rFonts w:ascii="Arial" w:eastAsia="Arial" w:hAnsi="Arial" w:cs="Arial"/>
          <w:b/>
          <w:bCs/>
          <w:iCs/>
          <w:color w:val="000000"/>
          <w:sz w:val="28"/>
          <w:szCs w:val="28"/>
          <w:bdr w:val="none" w:sz="0" w:space="0" w:color="auto" w:frame="1"/>
          <w:lang w:val="fr-FR"/>
        </w:rPr>
        <w:t>Scénario 3 : Absence de consensus</w:t>
      </w:r>
      <w:bookmarkEnd w:id="24"/>
      <w:r w:rsidRPr="00865DA5">
        <w:rPr>
          <w:rFonts w:ascii="Arial" w:eastAsia="Arial" w:hAnsi="Arial" w:cs="Arial"/>
          <w:b/>
          <w:bCs/>
          <w:iCs/>
          <w:color w:val="000000"/>
          <w:sz w:val="28"/>
          <w:szCs w:val="28"/>
          <w:bdr w:val="none" w:sz="0" w:space="0" w:color="auto" w:frame="1"/>
          <w:lang w:val="fr-FR"/>
        </w:rPr>
        <w:t xml:space="preserve"> </w:t>
      </w:r>
      <w:bookmarkEnd w:id="25"/>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La meilleure façon de conduire l’évaluation à dire d’expert fera appel à la participation d’experts de tous les organismes pertinents et il est recommandé qu’un groupe multipartite soit impliqué. Parfois, les experts n’arriveront pas à un consensus sur la situation nationale. Dans de telles situations, plusieurs approches peuvent être adoptées pour générer un score national unique, et il sera alors essentiel de documenter les diverses réponses pour chaque indicateur en fournissant des informations sur le contexte qui seront utiles pour l’analyse des résultats.</w:t>
      </w:r>
    </w:p>
    <w:p w:rsidR="00BD5B7F" w:rsidRPr="00865DA5" w:rsidRDefault="00BD5B7F" w:rsidP="00BD5B7F">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N w:val="0"/>
        <w:contextualSpacing/>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Si une agence de lutte contre la fraude a clairement un rôle dominant pour l’indicateur en question, il est suggéré d’adopter les composantes choisies par cette agence, et de décrire clairement les points de vue des autres agences dans la section des commentaires.</w:t>
      </w:r>
    </w:p>
    <w:p w:rsidR="00BD5B7F" w:rsidRPr="00865DA5" w:rsidRDefault="00BD5B7F" w:rsidP="00BD5B7F">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N w:val="0"/>
        <w:contextualSpacing/>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 S’il n’y a pas d’agence ayant clairement le leadership pour l’indicateur (p. ex. pour l’indicateur portant sur les besoins de formation de toutes les agences), il est suggéré d’adopter une approche prudente en choisissant le score global le plus faible, en prenant également soin de bien consigner les différents points de vue dans la section des commentaires. Pour ces indicateurs, il peut également être souhaitable de compléter l’évaluation au niveau de chaque agence afin de produire pour chacune d’elle un score distinct.</w:t>
      </w:r>
    </w:p>
    <w:p w:rsidR="00BD5B7F" w:rsidRPr="00865DA5" w:rsidRDefault="00BD5B7F" w:rsidP="00BD5B7F">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autoSpaceDN w:val="0"/>
        <w:spacing w:after="120"/>
        <w:ind w:left="714" w:hanging="357"/>
        <w:contextualSpacing/>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Lorsqu’il existe un large éventail d’opinions d’experts et aucune issue claire, il est suggéré de ne pas produire de score pour l’indicateur et de documenter clairement </w:t>
      </w:r>
      <w:r w:rsidRPr="00865DA5">
        <w:rPr>
          <w:rFonts w:ascii="Arial" w:eastAsia="Arial" w:hAnsi="Arial" w:cs="Arial"/>
          <w:color w:val="000000"/>
          <w:sz w:val="22"/>
          <w:szCs w:val="22"/>
          <w:bdr w:val="none" w:sz="0" w:space="0" w:color="auto" w:frame="1"/>
          <w:lang w:val="fr-FR"/>
        </w:rPr>
        <w:lastRenderedPageBreak/>
        <w:t xml:space="preserve">les points de vue divergents en enregistrant le score minimal et le score maximal ainsi que leur justification. </w:t>
      </w:r>
      <w:bookmarkStart w:id="26" w:name="_Toc491245231"/>
      <w:bookmarkStart w:id="27" w:name="_Toc491245054"/>
      <w:bookmarkStart w:id="28" w:name="_Toc486539568"/>
    </w:p>
    <w:p w:rsidR="00BD5B7F" w:rsidRPr="00865DA5" w:rsidRDefault="00BD5B7F" w:rsidP="00BD5B7F">
      <w:pPr>
        <w:keepNext/>
        <w:keepLines/>
        <w:spacing w:after="120"/>
        <w:outlineLvl w:val="1"/>
        <w:rPr>
          <w:rFonts w:ascii="Arial" w:hAnsi="Arial" w:cs="Arial"/>
          <w:b/>
          <w:color w:val="000000"/>
          <w:sz w:val="30"/>
          <w:szCs w:val="30"/>
          <w:lang w:val="fr-FR"/>
        </w:rPr>
      </w:pPr>
      <w:r w:rsidRPr="00865DA5">
        <w:rPr>
          <w:rFonts w:ascii="Arial" w:eastAsia="Arial" w:hAnsi="Arial" w:cs="Arial"/>
          <w:b/>
          <w:bCs/>
          <w:color w:val="000000"/>
          <w:sz w:val="30"/>
          <w:szCs w:val="30"/>
          <w:bdr w:val="none" w:sz="0" w:space="0" w:color="auto" w:frame="1"/>
          <w:lang w:val="fr-FR"/>
        </w:rPr>
        <w:t>Attribution des scores et évaluation des résultats</w:t>
      </w:r>
      <w:bookmarkEnd w:id="26"/>
      <w:bookmarkEnd w:id="27"/>
      <w:bookmarkEnd w:id="28"/>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La plupart des indicateurs peuvent recevoir un score situé entre 0 et 3. Deux indicateurs (n° 12 et n° 16) comprennent l’option « non applicable » qui, si elle est utilisée, ne générera pas de score pour cet indicateur en particulier. Les États devront clairement indiquer pourquoi ils considèrent que l’indicateur n’est pas applicable dans leur pays. Le score maximal de l’évaluation au niveau national (c.-à-d. la somme des scores de tous les indicateurs) sera de 75. Il sera également utile d’examiner le score pour chaque groupe d’indicateurs en calculant le score moyen par groupe, car le nombre d’indicateurs produisant des scores varie dans chacun des cinq groupes.</w:t>
      </w:r>
    </w:p>
    <w:tbl>
      <w:tblPr>
        <w:tblW w:w="9923" w:type="dxa"/>
        <w:tblInd w:w="-10"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226"/>
        <w:gridCol w:w="3177"/>
        <w:gridCol w:w="2520"/>
      </w:tblGrid>
      <w:tr w:rsidR="00BD5B7F" w:rsidRPr="00FF6562" w:rsidTr="000E5961">
        <w:trPr>
          <w:trHeight w:val="307"/>
        </w:trPr>
        <w:tc>
          <w:tcPr>
            <w:tcW w:w="4226" w:type="dxa"/>
            <w:tcBorders>
              <w:top w:val="single" w:sz="8" w:space="0" w:color="4F81BD"/>
              <w:left w:val="single" w:sz="8" w:space="0" w:color="4F81BD"/>
              <w:bottom w:val="nil"/>
              <w:right w:val="nil"/>
            </w:tcBorders>
            <w:shd w:val="clear" w:color="auto" w:fill="4F81BD"/>
            <w:vAlign w:val="center"/>
            <w:hideMark/>
          </w:tcPr>
          <w:p w:rsidR="00BD5B7F" w:rsidRPr="00FF6562" w:rsidRDefault="00BD5B7F" w:rsidP="000E5961">
            <w:pPr>
              <w:rPr>
                <w:rFonts w:ascii="Arial" w:eastAsia="Calibri" w:hAnsi="Arial" w:cs="Arial"/>
                <w:b/>
                <w:bCs/>
                <w:i/>
                <w:iCs/>
                <w:color w:val="FFFFFF"/>
              </w:rPr>
            </w:pPr>
            <w:r w:rsidRPr="00FF6562">
              <w:rPr>
                <w:rFonts w:ascii="Arial" w:eastAsia="Calibri" w:hAnsi="Arial" w:cs="Arial"/>
                <w:b/>
                <w:bCs/>
                <w:i/>
                <w:iCs/>
                <w:color w:val="FFFFFF"/>
                <w:bdr w:val="none" w:sz="0" w:space="0" w:color="auto" w:frame="1"/>
              </w:rPr>
              <w:t>Indicateur</w:t>
            </w:r>
          </w:p>
        </w:tc>
        <w:tc>
          <w:tcPr>
            <w:tcW w:w="3177" w:type="dxa"/>
            <w:tcBorders>
              <w:top w:val="single" w:sz="8" w:space="0" w:color="4F81BD"/>
              <w:left w:val="nil"/>
              <w:bottom w:val="nil"/>
              <w:right w:val="nil"/>
            </w:tcBorders>
            <w:shd w:val="clear" w:color="auto" w:fill="4F81BD"/>
            <w:vAlign w:val="center"/>
            <w:hideMark/>
          </w:tcPr>
          <w:p w:rsidR="00BD5B7F" w:rsidRPr="00FF6562" w:rsidRDefault="00BD5B7F" w:rsidP="000E5961">
            <w:pPr>
              <w:rPr>
                <w:rFonts w:ascii="Arial" w:eastAsia="Calibri" w:hAnsi="Arial" w:cs="Arial"/>
                <w:b/>
                <w:bCs/>
                <w:i/>
                <w:iCs/>
                <w:color w:val="FFFFFF"/>
              </w:rPr>
            </w:pPr>
            <w:r w:rsidRPr="00FF6562">
              <w:rPr>
                <w:rFonts w:ascii="Arial" w:eastAsia="Calibri" w:hAnsi="Arial" w:cs="Arial"/>
                <w:b/>
                <w:bCs/>
                <w:i/>
                <w:iCs/>
                <w:color w:val="FFFFFF"/>
                <w:bdr w:val="none" w:sz="0" w:space="0" w:color="auto" w:frame="1"/>
              </w:rPr>
              <w:t>Groupe d’indicateurs</w:t>
            </w:r>
          </w:p>
        </w:tc>
        <w:tc>
          <w:tcPr>
            <w:tcW w:w="2520" w:type="dxa"/>
            <w:tcBorders>
              <w:top w:val="single" w:sz="8" w:space="0" w:color="4F81BD"/>
              <w:left w:val="nil"/>
              <w:bottom w:val="nil"/>
              <w:right w:val="single" w:sz="8" w:space="0" w:color="4F81BD"/>
            </w:tcBorders>
            <w:shd w:val="clear" w:color="auto" w:fill="4F81BD"/>
            <w:vAlign w:val="center"/>
            <w:hideMark/>
          </w:tcPr>
          <w:p w:rsidR="00BD5B7F" w:rsidRPr="00FF6562" w:rsidRDefault="00BD5B7F" w:rsidP="000E5961">
            <w:pPr>
              <w:rPr>
                <w:rFonts w:ascii="Arial" w:eastAsia="Calibri" w:hAnsi="Arial" w:cs="Arial"/>
                <w:b/>
                <w:bCs/>
                <w:i/>
                <w:iCs/>
                <w:color w:val="FFFFFF"/>
              </w:rPr>
            </w:pPr>
            <w:r w:rsidRPr="00FF6562">
              <w:rPr>
                <w:rFonts w:ascii="Arial" w:eastAsia="Calibri" w:hAnsi="Arial" w:cs="Arial"/>
                <w:b/>
                <w:bCs/>
                <w:i/>
                <w:iCs/>
                <w:color w:val="FFFFFF"/>
                <w:bdr w:val="none" w:sz="0" w:space="0" w:color="auto" w:frame="1"/>
              </w:rPr>
              <w:t xml:space="preserve">Score maximal du groupe </w:t>
            </w:r>
          </w:p>
        </w:tc>
      </w:tr>
      <w:tr w:rsidR="00BD5B7F" w:rsidRPr="00FF6562" w:rsidTr="000E5961">
        <w:trPr>
          <w:cantSplit/>
          <w:trHeight w:val="116"/>
        </w:trPr>
        <w:tc>
          <w:tcPr>
            <w:tcW w:w="4226" w:type="dxa"/>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1. Situation et échelle de l’IKB</w:t>
            </w:r>
          </w:p>
        </w:tc>
        <w:tc>
          <w:tcPr>
            <w:tcW w:w="3177" w:type="dxa"/>
            <w:vMerge w:val="restart"/>
            <w:tcBorders>
              <w:top w:val="single" w:sz="8" w:space="0" w:color="4F81BD"/>
              <w:left w:val="nil"/>
              <w:bottom w:val="nil"/>
              <w:right w:val="nil"/>
            </w:tcBorders>
            <w:vAlign w:val="center"/>
            <w:hideMark/>
          </w:tcPr>
          <w:p w:rsidR="00BD5B7F" w:rsidRPr="00865DA5" w:rsidRDefault="00BD5B7F" w:rsidP="000E5961">
            <w:pPr>
              <w:ind w:left="317" w:hanging="317"/>
              <w:rPr>
                <w:rFonts w:ascii="Arial" w:eastAsia="Calibri" w:hAnsi="Arial" w:cs="Arial"/>
                <w:iCs/>
                <w:color w:val="000000"/>
                <w:lang w:val="fr-FR"/>
              </w:rPr>
            </w:pPr>
            <w:r w:rsidRPr="00865DA5">
              <w:rPr>
                <w:rFonts w:ascii="Arial" w:eastAsia="Calibri" w:hAnsi="Arial" w:cs="Arial"/>
                <w:iCs/>
                <w:color w:val="000000"/>
                <w:bdr w:val="none" w:sz="0" w:space="0" w:color="auto" w:frame="1"/>
                <w:lang w:val="fr-FR"/>
              </w:rPr>
              <w:t>A. Suivi national de l’IKB (Gestion des données sur la portée et l’échelle de l’IKB)</w:t>
            </w:r>
          </w:p>
        </w:tc>
        <w:tc>
          <w:tcPr>
            <w:tcW w:w="2520" w:type="dxa"/>
            <w:vMerge w:val="restart"/>
            <w:tcBorders>
              <w:top w:val="single" w:sz="8" w:space="0" w:color="4F81BD"/>
              <w:left w:val="nil"/>
              <w:bottom w:val="nil"/>
              <w:right w:val="single" w:sz="8" w:space="0" w:color="4F81BD"/>
            </w:tcBorders>
            <w:vAlign w:val="center"/>
            <w:hideMark/>
          </w:tcPr>
          <w:p w:rsidR="00BD5B7F" w:rsidRPr="00FF6562" w:rsidRDefault="00BD5B7F" w:rsidP="000E5961">
            <w:pPr>
              <w:rPr>
                <w:rFonts w:ascii="Arial" w:eastAsia="Calibri" w:hAnsi="Arial" w:cs="Arial"/>
                <w:iCs/>
                <w:color w:val="000000"/>
              </w:rPr>
            </w:pPr>
            <w:r w:rsidRPr="00FF6562">
              <w:rPr>
                <w:rFonts w:ascii="Arial" w:eastAsia="Calibri" w:hAnsi="Arial" w:cs="Arial"/>
                <w:iCs/>
                <w:color w:val="000000"/>
              </w:rPr>
              <w:t>6</w:t>
            </w:r>
          </w:p>
          <w:p w:rsidR="00BD5B7F" w:rsidRPr="00FF6562" w:rsidRDefault="00BD5B7F" w:rsidP="000E5961">
            <w:pPr>
              <w:rPr>
                <w:rFonts w:ascii="Arial" w:eastAsia="Calibri" w:hAnsi="Arial" w:cs="Arial"/>
                <w:iCs/>
                <w:color w:val="000000"/>
              </w:rPr>
            </w:pPr>
            <w:r w:rsidRPr="00FF6562">
              <w:rPr>
                <w:rFonts w:ascii="Arial" w:eastAsia="Calibri" w:hAnsi="Arial" w:cs="Arial"/>
                <w:iCs/>
                <w:color w:val="000000"/>
                <w:bdr w:val="none" w:sz="0" w:space="0" w:color="auto" w:frame="1"/>
              </w:rPr>
              <w:t>+ données</w:t>
            </w:r>
          </w:p>
        </w:tc>
      </w:tr>
      <w:tr w:rsidR="00BD5B7F" w:rsidRPr="00FC42B0" w:rsidTr="000E5961">
        <w:trPr>
          <w:cantSplit/>
          <w:trHeight w:val="116"/>
        </w:trPr>
        <w:tc>
          <w:tcPr>
            <w:tcW w:w="4226" w:type="dxa"/>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highlight w:val="green"/>
                <w:lang w:val="fr-FR"/>
              </w:rPr>
            </w:pPr>
            <w:r w:rsidRPr="00865DA5">
              <w:rPr>
                <w:rFonts w:ascii="Arial" w:eastAsia="Calibri" w:hAnsi="Arial" w:cs="Arial"/>
                <w:b/>
                <w:bCs/>
                <w:iCs/>
                <w:color w:val="000000"/>
                <w:bdr w:val="none" w:sz="0" w:space="0" w:color="auto" w:frame="1"/>
                <w:lang w:val="fr-FR"/>
              </w:rPr>
              <w:t xml:space="preserve">2. Nombre, répartition et tendance des oiseaux illégalement abattus, piégés ou commercialisés </w:t>
            </w:r>
          </w:p>
        </w:tc>
        <w:tc>
          <w:tcPr>
            <w:tcW w:w="0" w:type="auto"/>
            <w:vMerge/>
            <w:tcBorders>
              <w:top w:val="single" w:sz="8" w:space="0" w:color="4F81BD"/>
              <w:left w:val="nil"/>
              <w:bottom w:val="nil"/>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8" w:space="0" w:color="4F81BD"/>
              <w:left w:val="nil"/>
              <w:bottom w:val="nil"/>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C42B0" w:rsidTr="000E5961">
        <w:trPr>
          <w:cantSplit/>
          <w:trHeight w:val="116"/>
        </w:trPr>
        <w:tc>
          <w:tcPr>
            <w:tcW w:w="4226" w:type="dxa"/>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3. Connaissance de l’étendue des cas d’IKB par la justice</w:t>
            </w:r>
          </w:p>
        </w:tc>
        <w:tc>
          <w:tcPr>
            <w:tcW w:w="0" w:type="auto"/>
            <w:vMerge/>
            <w:tcBorders>
              <w:top w:val="single" w:sz="8" w:space="0" w:color="4F81BD"/>
              <w:left w:val="nil"/>
              <w:bottom w:val="nil"/>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8" w:space="0" w:color="4F81BD"/>
              <w:left w:val="nil"/>
              <w:bottom w:val="nil"/>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C42B0" w:rsidTr="000E5961">
        <w:trPr>
          <w:cantSplit/>
          <w:trHeight w:val="116"/>
        </w:trPr>
        <w:tc>
          <w:tcPr>
            <w:tcW w:w="4226" w:type="dxa"/>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highlight w:val="green"/>
                <w:lang w:val="fr-FR"/>
              </w:rPr>
            </w:pPr>
            <w:r w:rsidRPr="00865DA5">
              <w:rPr>
                <w:rFonts w:ascii="Arial" w:eastAsia="Calibri" w:hAnsi="Arial" w:cs="Arial"/>
                <w:b/>
                <w:bCs/>
                <w:iCs/>
                <w:color w:val="000000"/>
                <w:bdr w:val="none" w:sz="0" w:space="0" w:color="auto" w:frame="1"/>
                <w:lang w:val="fr-FR"/>
              </w:rPr>
              <w:t>4. Nombre de cas d’IKB ayant fait l’objet de poursuites au cours de l’année précédente (données)</w:t>
            </w:r>
          </w:p>
        </w:tc>
        <w:tc>
          <w:tcPr>
            <w:tcW w:w="0" w:type="auto"/>
            <w:vMerge/>
            <w:tcBorders>
              <w:top w:val="single" w:sz="8" w:space="0" w:color="4F81BD"/>
              <w:left w:val="nil"/>
              <w:bottom w:val="nil"/>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8" w:space="0" w:color="4F81BD"/>
              <w:left w:val="nil"/>
              <w:bottom w:val="nil"/>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C42B0" w:rsidTr="000E5961">
        <w:trPr>
          <w:cantSplit/>
          <w:trHeight w:val="116"/>
        </w:trPr>
        <w:tc>
          <w:tcPr>
            <w:tcW w:w="4226" w:type="dxa"/>
            <w:tcBorders>
              <w:top w:val="single" w:sz="12" w:space="0" w:color="95B3D7"/>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5. Législation nationale sur la faune sauvage</w:t>
            </w:r>
          </w:p>
        </w:tc>
        <w:tc>
          <w:tcPr>
            <w:tcW w:w="3177" w:type="dxa"/>
            <w:vMerge w:val="restart"/>
            <w:tcBorders>
              <w:top w:val="single" w:sz="12" w:space="0" w:color="95B3D7"/>
              <w:left w:val="nil"/>
              <w:bottom w:val="single" w:sz="8" w:space="0" w:color="4F81BD"/>
              <w:right w:val="nil"/>
            </w:tcBorders>
            <w:vAlign w:val="center"/>
            <w:hideMark/>
          </w:tcPr>
          <w:p w:rsidR="00BD5B7F" w:rsidRPr="00865DA5" w:rsidRDefault="00BD5B7F" w:rsidP="000E5961">
            <w:pPr>
              <w:ind w:left="317" w:hanging="317"/>
              <w:rPr>
                <w:rFonts w:ascii="Arial" w:eastAsia="Calibri" w:hAnsi="Arial" w:cs="Arial"/>
                <w:iCs/>
                <w:color w:val="000000"/>
                <w:lang w:val="fr-FR"/>
              </w:rPr>
            </w:pPr>
            <w:r w:rsidRPr="00865DA5">
              <w:rPr>
                <w:rFonts w:ascii="Arial" w:eastAsia="Calibri" w:hAnsi="Arial" w:cs="Arial"/>
                <w:iCs/>
                <w:color w:val="000000"/>
                <w:bdr w:val="none" w:sz="0" w:space="0" w:color="auto" w:frame="1"/>
                <w:lang w:val="fr-FR"/>
              </w:rPr>
              <w:t>B. Niveau d’exhaustivité de la législation nationale</w:t>
            </w:r>
          </w:p>
        </w:tc>
        <w:tc>
          <w:tcPr>
            <w:tcW w:w="2520" w:type="dxa"/>
            <w:vMerge w:val="restart"/>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r w:rsidRPr="00865DA5">
              <w:rPr>
                <w:rFonts w:ascii="Arial" w:eastAsia="Calibri" w:hAnsi="Arial" w:cs="Arial"/>
                <w:iCs/>
                <w:color w:val="000000"/>
                <w:lang w:val="fr-FR"/>
              </w:rPr>
              <w:t xml:space="preserve">27 </w:t>
            </w:r>
          </w:p>
          <w:p w:rsidR="00BD5B7F" w:rsidRPr="00865DA5" w:rsidRDefault="00BD5B7F" w:rsidP="000E5961">
            <w:pPr>
              <w:rPr>
                <w:rFonts w:ascii="Arial" w:eastAsia="Calibri" w:hAnsi="Arial" w:cs="Arial"/>
                <w:iCs/>
                <w:color w:val="000000"/>
                <w:lang w:val="fr-FR"/>
              </w:rPr>
            </w:pPr>
            <w:r w:rsidRPr="00865DA5">
              <w:rPr>
                <w:rFonts w:ascii="Arial" w:eastAsia="Calibri" w:hAnsi="Arial" w:cs="Arial"/>
                <w:iCs/>
                <w:color w:val="000000"/>
                <w:bdr w:val="none" w:sz="0" w:space="0" w:color="auto" w:frame="1"/>
                <w:lang w:val="fr-FR"/>
              </w:rPr>
              <w:t>(24 si le score de l’indicateur n° 12 est « Non applicable »)</w:t>
            </w:r>
          </w:p>
        </w:tc>
      </w:tr>
      <w:tr w:rsidR="00BD5B7F" w:rsidRPr="00FF6562" w:rsidTr="000E5961">
        <w:trPr>
          <w:cantSplit/>
          <w:trHeight w:val="116"/>
        </w:trPr>
        <w:tc>
          <w:tcPr>
            <w:tcW w:w="4226" w:type="dxa"/>
            <w:tcBorders>
              <w:top w:val="nil"/>
              <w:left w:val="single" w:sz="8" w:space="0" w:color="4F81BD"/>
              <w:bottom w:val="nil"/>
              <w:right w:val="nil"/>
            </w:tcBorders>
            <w:vAlign w:val="center"/>
            <w:hideMark/>
          </w:tcPr>
          <w:p w:rsidR="00BD5B7F" w:rsidRPr="00FF6562" w:rsidRDefault="00BD5B7F" w:rsidP="000E5961">
            <w:pPr>
              <w:ind w:left="284" w:hanging="284"/>
              <w:rPr>
                <w:rFonts w:ascii="Arial" w:eastAsia="Calibri" w:hAnsi="Arial" w:cs="Arial"/>
                <w:b/>
                <w:bCs/>
                <w:iCs/>
                <w:color w:val="000000"/>
              </w:rPr>
            </w:pPr>
            <w:r w:rsidRPr="00FF6562">
              <w:rPr>
                <w:rFonts w:ascii="Arial" w:eastAsia="Calibri" w:hAnsi="Arial" w:cs="Arial"/>
                <w:b/>
                <w:bCs/>
                <w:iCs/>
                <w:color w:val="000000"/>
                <w:bdr w:val="none" w:sz="0" w:space="0" w:color="auto" w:frame="1"/>
              </w:rPr>
              <w:t>6. Utilisation réglementée</w:t>
            </w: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rPr>
            </w:pPr>
          </w:p>
        </w:tc>
      </w:tr>
      <w:tr w:rsidR="00BD5B7F" w:rsidRPr="00FC42B0" w:rsidTr="000E5961">
        <w:trPr>
          <w:cantSplit/>
          <w:trHeight w:val="236"/>
        </w:trPr>
        <w:tc>
          <w:tcPr>
            <w:tcW w:w="4226" w:type="dxa"/>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7. Interdictions en vertu de la législation nationale</w:t>
            </w: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C42B0" w:rsidTr="000E5961">
        <w:trPr>
          <w:cantSplit/>
          <w:trHeight w:val="116"/>
        </w:trPr>
        <w:tc>
          <w:tcPr>
            <w:tcW w:w="4226" w:type="dxa"/>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8. Exceptions à la législation nationale</w:t>
            </w: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F6562" w:rsidTr="000E5961">
        <w:trPr>
          <w:cantSplit/>
          <w:trHeight w:val="116"/>
        </w:trPr>
        <w:tc>
          <w:tcPr>
            <w:tcW w:w="4226" w:type="dxa"/>
            <w:tcBorders>
              <w:top w:val="single" w:sz="8" w:space="0" w:color="4F81BD"/>
              <w:left w:val="single" w:sz="8" w:space="0" w:color="4F81BD"/>
              <w:bottom w:val="single" w:sz="8" w:space="0" w:color="4F81BD"/>
              <w:right w:val="nil"/>
            </w:tcBorders>
            <w:vAlign w:val="center"/>
            <w:hideMark/>
          </w:tcPr>
          <w:p w:rsidR="00BD5B7F" w:rsidRPr="00FF6562" w:rsidRDefault="00BD5B7F" w:rsidP="000E5961">
            <w:pPr>
              <w:ind w:left="284" w:hanging="284"/>
              <w:rPr>
                <w:rFonts w:ascii="Arial" w:eastAsia="Calibri" w:hAnsi="Arial" w:cs="Arial"/>
                <w:b/>
                <w:bCs/>
                <w:iCs/>
                <w:color w:val="000000"/>
              </w:rPr>
            </w:pPr>
            <w:r w:rsidRPr="00FF6562">
              <w:rPr>
                <w:rFonts w:ascii="Arial" w:eastAsia="Calibri" w:hAnsi="Arial" w:cs="Arial"/>
                <w:b/>
                <w:bCs/>
                <w:iCs/>
                <w:color w:val="000000"/>
                <w:bdr w:val="none" w:sz="0" w:space="0" w:color="auto" w:frame="1"/>
              </w:rPr>
              <w:t>9. Sanctions et peines</w:t>
            </w: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rPr>
            </w:pPr>
          </w:p>
        </w:tc>
      </w:tr>
      <w:tr w:rsidR="00BD5B7F" w:rsidRPr="00FF6562" w:rsidTr="000E5961">
        <w:trPr>
          <w:cantSplit/>
          <w:trHeight w:val="116"/>
        </w:trPr>
        <w:tc>
          <w:tcPr>
            <w:tcW w:w="4226" w:type="dxa"/>
            <w:tcBorders>
              <w:top w:val="nil"/>
              <w:left w:val="single" w:sz="8" w:space="0" w:color="4F81BD"/>
              <w:bottom w:val="nil"/>
              <w:right w:val="nil"/>
            </w:tcBorders>
            <w:vAlign w:val="center"/>
            <w:hideMark/>
          </w:tcPr>
          <w:p w:rsidR="00BD5B7F" w:rsidRPr="00FF6562" w:rsidRDefault="00BD5B7F" w:rsidP="000E5961">
            <w:pPr>
              <w:ind w:left="284" w:hanging="284"/>
              <w:rPr>
                <w:rFonts w:ascii="Arial" w:eastAsia="Calibri" w:hAnsi="Arial" w:cs="Arial"/>
                <w:b/>
                <w:bCs/>
                <w:iCs/>
                <w:color w:val="000000"/>
              </w:rPr>
            </w:pPr>
            <w:r w:rsidRPr="00FF6562">
              <w:rPr>
                <w:rFonts w:ascii="Arial" w:eastAsia="Calibri" w:hAnsi="Arial" w:cs="Arial"/>
                <w:b/>
                <w:bCs/>
                <w:iCs/>
                <w:color w:val="000000"/>
                <w:bdr w:val="none" w:sz="0" w:space="0" w:color="auto" w:frame="1"/>
              </w:rPr>
              <w:t>10. Proportionnalité des sanctions</w:t>
            </w: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rPr>
            </w:pPr>
          </w:p>
        </w:tc>
      </w:tr>
      <w:tr w:rsidR="00BD5B7F" w:rsidRPr="00FF6562" w:rsidTr="000E5961">
        <w:trPr>
          <w:cantSplit/>
          <w:trHeight w:val="116"/>
        </w:trPr>
        <w:tc>
          <w:tcPr>
            <w:tcW w:w="4226" w:type="dxa"/>
            <w:tcBorders>
              <w:top w:val="single" w:sz="8" w:space="0" w:color="4F81BD"/>
              <w:left w:val="single" w:sz="8" w:space="0" w:color="4F81BD"/>
              <w:bottom w:val="single" w:sz="8" w:space="0" w:color="4F81BD"/>
              <w:right w:val="nil"/>
            </w:tcBorders>
            <w:vAlign w:val="center"/>
            <w:hideMark/>
          </w:tcPr>
          <w:p w:rsidR="00BD5B7F" w:rsidRPr="00FF6562" w:rsidRDefault="00BD5B7F" w:rsidP="000E5961">
            <w:pPr>
              <w:ind w:left="284" w:hanging="284"/>
              <w:rPr>
                <w:rFonts w:ascii="Arial" w:eastAsia="Calibri" w:hAnsi="Arial" w:cs="Arial"/>
                <w:b/>
                <w:bCs/>
                <w:iCs/>
                <w:color w:val="000000"/>
              </w:rPr>
            </w:pPr>
            <w:r w:rsidRPr="00FF6562">
              <w:rPr>
                <w:rFonts w:ascii="Arial" w:eastAsia="Calibri" w:hAnsi="Arial" w:cs="Arial"/>
                <w:b/>
                <w:bCs/>
                <w:iCs/>
                <w:color w:val="000000"/>
                <w:bdr w:val="none" w:sz="0" w:space="0" w:color="auto" w:frame="1"/>
              </w:rPr>
              <w:t>11. Utilisation du droit pénal</w:t>
            </w:r>
            <w:r w:rsidRPr="00FF6562">
              <w:rPr>
                <w:rFonts w:ascii="Arial" w:eastAsia="Calibri" w:hAnsi="Arial" w:cs="Arial"/>
                <w:iCs/>
                <w:bdr w:val="none" w:sz="0" w:space="0" w:color="auto" w:frame="1"/>
              </w:rPr>
              <w:t xml:space="preserve"> </w:t>
            </w: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rPr>
            </w:pPr>
          </w:p>
        </w:tc>
      </w:tr>
      <w:tr w:rsidR="00BD5B7F" w:rsidRPr="00FC42B0" w:rsidTr="000E5961">
        <w:trPr>
          <w:cantSplit/>
          <w:trHeight w:val="116"/>
        </w:trPr>
        <w:tc>
          <w:tcPr>
            <w:tcW w:w="4226" w:type="dxa"/>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 xml:space="preserve">12. Législation relative à la criminalité organisée </w:t>
            </w: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C42B0" w:rsidTr="000E5961">
        <w:trPr>
          <w:cantSplit/>
          <w:trHeight w:val="116"/>
        </w:trPr>
        <w:tc>
          <w:tcPr>
            <w:tcW w:w="4226" w:type="dxa"/>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13. Transposition du droit et des engagements internationaux dans la législation nationale</w:t>
            </w: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F6562" w:rsidTr="000E5961">
        <w:trPr>
          <w:cantSplit/>
          <w:trHeight w:val="189"/>
        </w:trPr>
        <w:tc>
          <w:tcPr>
            <w:tcW w:w="4226" w:type="dxa"/>
            <w:tcBorders>
              <w:top w:val="single" w:sz="12" w:space="0" w:color="95B3D7"/>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14. Plan d’action national pour la lutte contre l’IKB</w:t>
            </w:r>
          </w:p>
        </w:tc>
        <w:tc>
          <w:tcPr>
            <w:tcW w:w="3177" w:type="dxa"/>
            <w:vMerge w:val="restart"/>
            <w:tcBorders>
              <w:top w:val="single" w:sz="12" w:space="0" w:color="95B3D7"/>
              <w:left w:val="nil"/>
              <w:bottom w:val="single" w:sz="8" w:space="0" w:color="4F81BD"/>
              <w:right w:val="nil"/>
            </w:tcBorders>
            <w:vAlign w:val="center"/>
            <w:hideMark/>
          </w:tcPr>
          <w:p w:rsidR="00BD5B7F" w:rsidRPr="00865DA5" w:rsidRDefault="00BD5B7F" w:rsidP="000E5961">
            <w:pPr>
              <w:ind w:left="318" w:hanging="318"/>
              <w:rPr>
                <w:rFonts w:ascii="Arial" w:eastAsia="Calibri" w:hAnsi="Arial" w:cs="Arial"/>
                <w:iCs/>
                <w:color w:val="000000"/>
                <w:lang w:val="fr-FR"/>
              </w:rPr>
            </w:pPr>
            <w:r w:rsidRPr="00865DA5">
              <w:rPr>
                <w:rFonts w:ascii="Arial" w:eastAsia="Calibri" w:hAnsi="Arial" w:cs="Arial"/>
                <w:iCs/>
                <w:color w:val="000000"/>
                <w:bdr w:val="none" w:sz="0" w:space="0" w:color="auto" w:frame="1"/>
                <w:lang w:val="fr-FR"/>
              </w:rPr>
              <w:t>C. Réponse en matière de lutte contre la fraude (Niveau de préparation des organes chargés de l’application des lois et de la lutte contre la fraude, et coordination des institutions nationales)</w:t>
            </w:r>
          </w:p>
        </w:tc>
        <w:tc>
          <w:tcPr>
            <w:tcW w:w="2520" w:type="dxa"/>
            <w:vMerge w:val="restart"/>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r w:rsidRPr="00865DA5">
              <w:rPr>
                <w:rFonts w:ascii="Arial" w:eastAsia="Calibri" w:hAnsi="Arial" w:cs="Arial"/>
                <w:iCs/>
                <w:color w:val="000000"/>
                <w:lang w:val="fr-FR"/>
              </w:rPr>
              <w:t xml:space="preserve">15 </w:t>
            </w:r>
          </w:p>
          <w:p w:rsidR="00BD5B7F" w:rsidRPr="00865DA5" w:rsidRDefault="00BD5B7F" w:rsidP="000E5961">
            <w:pPr>
              <w:rPr>
                <w:rFonts w:ascii="Arial" w:eastAsia="Calibri" w:hAnsi="Arial" w:cs="Arial"/>
                <w:iCs/>
                <w:color w:val="000000"/>
                <w:lang w:val="fr-FR"/>
              </w:rPr>
            </w:pPr>
            <w:r w:rsidRPr="00865DA5">
              <w:rPr>
                <w:rFonts w:ascii="Arial" w:eastAsia="Calibri" w:hAnsi="Arial" w:cs="Arial"/>
                <w:iCs/>
                <w:color w:val="000000"/>
                <w:bdr w:val="none" w:sz="0" w:space="0" w:color="auto" w:frame="1"/>
                <w:lang w:val="fr-FR"/>
              </w:rPr>
              <w:t>(12 si le score de l’indicateur n° 16 est « Non applicable »)</w:t>
            </w:r>
          </w:p>
          <w:p w:rsidR="00BD5B7F" w:rsidRPr="00FF6562" w:rsidRDefault="00BD5B7F" w:rsidP="000E5961">
            <w:pPr>
              <w:rPr>
                <w:rFonts w:ascii="Arial" w:eastAsia="Calibri" w:hAnsi="Arial" w:cs="Arial"/>
                <w:iCs/>
                <w:color w:val="000000"/>
              </w:rPr>
            </w:pPr>
            <w:r w:rsidRPr="00FF6562">
              <w:rPr>
                <w:rFonts w:ascii="Arial" w:eastAsia="Calibri" w:hAnsi="Arial" w:cs="Arial"/>
                <w:iCs/>
                <w:color w:val="000000"/>
                <w:bdr w:val="none" w:sz="0" w:space="0" w:color="auto" w:frame="1"/>
              </w:rPr>
              <w:t>+ données</w:t>
            </w:r>
          </w:p>
        </w:tc>
      </w:tr>
      <w:tr w:rsidR="00BD5B7F" w:rsidRPr="00FC42B0" w:rsidTr="000E5961">
        <w:trPr>
          <w:cantSplit/>
          <w:trHeight w:val="189"/>
        </w:trPr>
        <w:tc>
          <w:tcPr>
            <w:tcW w:w="4226" w:type="dxa"/>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15. Priorité de l’IKB dans la lutte contre la fraude</w:t>
            </w: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C42B0" w:rsidTr="000E5961">
        <w:trPr>
          <w:cantSplit/>
          <w:trHeight w:val="189"/>
        </w:trPr>
        <w:tc>
          <w:tcPr>
            <w:tcW w:w="4226" w:type="dxa"/>
            <w:tcBorders>
              <w:top w:val="nil"/>
              <w:left w:val="single" w:sz="8" w:space="0" w:color="4F81BD"/>
              <w:bottom w:val="single" w:sz="8" w:space="0" w:color="0070C0"/>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16. Parties prenantes et élaboration des politiques</w:t>
            </w: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F6562" w:rsidTr="000E5961">
        <w:trPr>
          <w:cantSplit/>
          <w:trHeight w:val="189"/>
        </w:trPr>
        <w:tc>
          <w:tcPr>
            <w:tcW w:w="4226" w:type="dxa"/>
            <w:tcBorders>
              <w:top w:val="single" w:sz="8" w:space="0" w:color="0070C0"/>
              <w:left w:val="single" w:sz="8" w:space="0" w:color="4F81BD"/>
              <w:bottom w:val="single" w:sz="8" w:space="0" w:color="4F81BD"/>
              <w:right w:val="nil"/>
            </w:tcBorders>
            <w:vAlign w:val="center"/>
            <w:hideMark/>
          </w:tcPr>
          <w:p w:rsidR="00BD5B7F" w:rsidRPr="00FF6562" w:rsidRDefault="00BD5B7F" w:rsidP="000E5961">
            <w:pPr>
              <w:ind w:left="284" w:hanging="284"/>
              <w:rPr>
                <w:rFonts w:ascii="Arial" w:eastAsia="Calibri" w:hAnsi="Arial" w:cs="Arial"/>
                <w:b/>
                <w:bCs/>
                <w:iCs/>
                <w:color w:val="000000"/>
              </w:rPr>
            </w:pPr>
            <w:r w:rsidRPr="00FF6562">
              <w:rPr>
                <w:rFonts w:ascii="Arial" w:eastAsia="Calibri" w:hAnsi="Arial" w:cs="Arial"/>
                <w:b/>
                <w:bCs/>
                <w:iCs/>
                <w:color w:val="000000"/>
                <w:bdr w:val="none" w:sz="0" w:space="0" w:color="auto" w:frame="1"/>
              </w:rPr>
              <w:t>17. Personnel et recrutement</w:t>
            </w: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rPr>
            </w:pPr>
          </w:p>
        </w:tc>
      </w:tr>
      <w:tr w:rsidR="00BD5B7F" w:rsidRPr="00FF6562" w:rsidTr="000E5961">
        <w:trPr>
          <w:cantSplit/>
          <w:trHeight w:val="303"/>
        </w:trPr>
        <w:tc>
          <w:tcPr>
            <w:tcW w:w="4226" w:type="dxa"/>
            <w:tcBorders>
              <w:top w:val="nil"/>
              <w:left w:val="single" w:sz="8" w:space="0" w:color="4F81BD"/>
              <w:bottom w:val="nil"/>
              <w:right w:val="nil"/>
            </w:tcBorders>
            <w:vAlign w:val="center"/>
            <w:hideMark/>
          </w:tcPr>
          <w:p w:rsidR="00BD5B7F" w:rsidRPr="00FF6562" w:rsidRDefault="00BD5B7F" w:rsidP="000E5961">
            <w:pPr>
              <w:ind w:left="284" w:hanging="284"/>
              <w:rPr>
                <w:rFonts w:ascii="Arial" w:eastAsia="Calibri" w:hAnsi="Arial" w:cs="Arial"/>
                <w:b/>
                <w:bCs/>
                <w:iCs/>
                <w:color w:val="000000"/>
              </w:rPr>
            </w:pPr>
            <w:r w:rsidRPr="00FF6562">
              <w:rPr>
                <w:rFonts w:ascii="Arial" w:eastAsia="Calibri" w:hAnsi="Arial" w:cs="Arial"/>
                <w:b/>
                <w:bCs/>
                <w:iCs/>
                <w:color w:val="000000"/>
                <w:bdr w:val="none" w:sz="0" w:space="0" w:color="auto" w:frame="1"/>
              </w:rPr>
              <w:t>18. Formation spécifique</w:t>
            </w: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rPr>
            </w:pPr>
          </w:p>
        </w:tc>
      </w:tr>
      <w:tr w:rsidR="00BD5B7F" w:rsidRPr="00FC42B0" w:rsidTr="000E5961">
        <w:trPr>
          <w:cantSplit/>
          <w:trHeight w:val="384"/>
        </w:trPr>
        <w:tc>
          <w:tcPr>
            <w:tcW w:w="4226" w:type="dxa"/>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19. Effort de lutte contre l’IKB sur le terrain</w:t>
            </w: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F6562" w:rsidTr="000E5961">
        <w:trPr>
          <w:cantSplit/>
          <w:trHeight w:val="170"/>
        </w:trPr>
        <w:tc>
          <w:tcPr>
            <w:tcW w:w="4226" w:type="dxa"/>
            <w:tcBorders>
              <w:top w:val="single" w:sz="12" w:space="0" w:color="95B3D7"/>
              <w:left w:val="single" w:sz="8" w:space="0" w:color="4F81BD"/>
              <w:bottom w:val="nil"/>
              <w:right w:val="nil"/>
            </w:tcBorders>
            <w:vAlign w:val="center"/>
            <w:hideMark/>
          </w:tcPr>
          <w:p w:rsidR="00BD5B7F" w:rsidRPr="00FF6562" w:rsidRDefault="00BD5B7F" w:rsidP="000E5961">
            <w:pPr>
              <w:ind w:left="284" w:hanging="284"/>
              <w:rPr>
                <w:rFonts w:ascii="Arial" w:eastAsia="Calibri" w:hAnsi="Arial" w:cs="Arial"/>
                <w:b/>
                <w:bCs/>
                <w:iCs/>
                <w:color w:val="000000"/>
              </w:rPr>
            </w:pPr>
            <w:r w:rsidRPr="00FF6562">
              <w:rPr>
                <w:rFonts w:ascii="Arial" w:eastAsia="Calibri" w:hAnsi="Arial" w:cs="Arial"/>
                <w:b/>
                <w:bCs/>
                <w:iCs/>
                <w:color w:val="000000"/>
                <w:bdr w:val="none" w:sz="0" w:space="0" w:color="auto" w:frame="1"/>
              </w:rPr>
              <w:lastRenderedPageBreak/>
              <w:t>20. Qualité des procédures judiciaires</w:t>
            </w:r>
          </w:p>
        </w:tc>
        <w:tc>
          <w:tcPr>
            <w:tcW w:w="3177" w:type="dxa"/>
            <w:vMerge w:val="restart"/>
            <w:tcBorders>
              <w:top w:val="single" w:sz="12" w:space="0" w:color="95B3D7"/>
              <w:left w:val="nil"/>
              <w:bottom w:val="single" w:sz="8" w:space="0" w:color="4F81BD"/>
              <w:right w:val="nil"/>
            </w:tcBorders>
            <w:vAlign w:val="center"/>
            <w:hideMark/>
          </w:tcPr>
          <w:p w:rsidR="00BD5B7F" w:rsidRPr="00865DA5" w:rsidRDefault="00BD5B7F" w:rsidP="000E5961">
            <w:pPr>
              <w:ind w:left="317" w:hanging="317"/>
              <w:rPr>
                <w:rFonts w:ascii="Arial" w:eastAsia="Calibri" w:hAnsi="Arial" w:cs="Arial"/>
                <w:iCs/>
                <w:color w:val="000000"/>
                <w:lang w:val="fr-FR"/>
              </w:rPr>
            </w:pPr>
            <w:r w:rsidRPr="00865DA5">
              <w:rPr>
                <w:rFonts w:ascii="Arial" w:eastAsia="Calibri" w:hAnsi="Arial" w:cs="Arial"/>
                <w:iCs/>
                <w:color w:val="000000"/>
                <w:bdr w:val="none" w:sz="0" w:space="0" w:color="auto" w:frame="1"/>
                <w:lang w:val="fr-FR"/>
              </w:rPr>
              <w:t>D. Poursuites et condamnations (Efficacité des procédures judiciaires)</w:t>
            </w:r>
          </w:p>
        </w:tc>
        <w:tc>
          <w:tcPr>
            <w:tcW w:w="2520" w:type="dxa"/>
            <w:vMerge w:val="restart"/>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rPr>
            </w:pPr>
            <w:r w:rsidRPr="00FF6562">
              <w:rPr>
                <w:rFonts w:ascii="Arial" w:eastAsia="Calibri" w:hAnsi="Arial" w:cs="Arial"/>
                <w:iCs/>
                <w:color w:val="000000"/>
              </w:rPr>
              <w:t>12</w:t>
            </w:r>
          </w:p>
        </w:tc>
      </w:tr>
      <w:tr w:rsidR="00BD5B7F" w:rsidRPr="00FC42B0" w:rsidTr="000E5961">
        <w:trPr>
          <w:cantSplit/>
          <w:trHeight w:val="171"/>
        </w:trPr>
        <w:tc>
          <w:tcPr>
            <w:tcW w:w="4226" w:type="dxa"/>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21. Lignes directrices sur les condamnations</w:t>
            </w: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C42B0" w:rsidTr="000E5961">
        <w:trPr>
          <w:cantSplit/>
          <w:trHeight w:val="171"/>
        </w:trPr>
        <w:tc>
          <w:tcPr>
            <w:tcW w:w="4226" w:type="dxa"/>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22. Prise de conscience au sein du système judiciaire</w:t>
            </w: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C42B0" w:rsidTr="000E5961">
        <w:trPr>
          <w:cantSplit/>
          <w:trHeight w:val="170"/>
        </w:trPr>
        <w:tc>
          <w:tcPr>
            <w:tcW w:w="4226" w:type="dxa"/>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23. Formation au sein du système judiciaire</w:t>
            </w: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F6562" w:rsidTr="000E5961">
        <w:trPr>
          <w:cantSplit/>
          <w:trHeight w:val="171"/>
        </w:trPr>
        <w:tc>
          <w:tcPr>
            <w:tcW w:w="4226" w:type="dxa"/>
            <w:tcBorders>
              <w:top w:val="single" w:sz="12" w:space="0" w:color="95B3D7"/>
              <w:left w:val="single" w:sz="8" w:space="0" w:color="4F81BD"/>
              <w:bottom w:val="single" w:sz="8" w:space="0" w:color="0070C0"/>
              <w:right w:val="nil"/>
            </w:tcBorders>
            <w:vAlign w:val="center"/>
            <w:hideMark/>
          </w:tcPr>
          <w:p w:rsidR="00BD5B7F" w:rsidRPr="00FF6562" w:rsidRDefault="00BD5B7F" w:rsidP="000E5961">
            <w:pPr>
              <w:ind w:left="284" w:hanging="284"/>
              <w:rPr>
                <w:rFonts w:ascii="Arial" w:eastAsia="Calibri" w:hAnsi="Arial" w:cs="Arial"/>
                <w:b/>
                <w:bCs/>
                <w:iCs/>
                <w:color w:val="000000"/>
              </w:rPr>
            </w:pPr>
            <w:r w:rsidRPr="00FF6562">
              <w:rPr>
                <w:rFonts w:ascii="Arial" w:eastAsia="Calibri" w:hAnsi="Arial" w:cs="Arial"/>
                <w:b/>
                <w:bCs/>
                <w:iCs/>
                <w:color w:val="000000"/>
                <w:bdr w:val="none" w:sz="0" w:space="0" w:color="auto" w:frame="1"/>
              </w:rPr>
              <w:t>24. Coopération internationale</w:t>
            </w:r>
          </w:p>
        </w:tc>
        <w:tc>
          <w:tcPr>
            <w:tcW w:w="3177" w:type="dxa"/>
            <w:vMerge w:val="restart"/>
            <w:tcBorders>
              <w:top w:val="single" w:sz="12" w:space="0" w:color="95B3D7"/>
              <w:left w:val="nil"/>
              <w:bottom w:val="nil"/>
              <w:right w:val="nil"/>
            </w:tcBorders>
            <w:vAlign w:val="center"/>
            <w:hideMark/>
          </w:tcPr>
          <w:p w:rsidR="00BD5B7F" w:rsidRPr="00865DA5" w:rsidRDefault="00BD5B7F" w:rsidP="000E5961">
            <w:pPr>
              <w:ind w:left="317" w:hanging="317"/>
              <w:rPr>
                <w:rFonts w:ascii="Arial" w:eastAsia="Calibri" w:hAnsi="Arial" w:cs="Arial"/>
                <w:iCs/>
                <w:color w:val="000000"/>
                <w:lang w:val="fr-FR"/>
              </w:rPr>
            </w:pPr>
            <w:r w:rsidRPr="00865DA5">
              <w:rPr>
                <w:rFonts w:ascii="Arial" w:eastAsia="Calibri" w:hAnsi="Arial" w:cs="Arial"/>
                <w:iCs/>
                <w:color w:val="000000"/>
                <w:bdr w:val="none" w:sz="0" w:space="0" w:color="auto" w:frame="1"/>
                <w:lang w:val="fr-FR"/>
              </w:rPr>
              <w:t>E. Prévention (Autres instruments utilisés pour lutter contre à l’IKB)</w:t>
            </w:r>
          </w:p>
        </w:tc>
        <w:tc>
          <w:tcPr>
            <w:tcW w:w="2520" w:type="dxa"/>
            <w:vMerge w:val="restart"/>
            <w:tcBorders>
              <w:top w:val="single" w:sz="12" w:space="0" w:color="95B3D7"/>
              <w:left w:val="nil"/>
              <w:bottom w:val="nil"/>
              <w:right w:val="single" w:sz="8" w:space="0" w:color="4F81BD"/>
            </w:tcBorders>
            <w:vAlign w:val="center"/>
            <w:hideMark/>
          </w:tcPr>
          <w:p w:rsidR="00BD5B7F" w:rsidRPr="00FF6562" w:rsidRDefault="00BD5B7F" w:rsidP="000E5961">
            <w:pPr>
              <w:rPr>
                <w:rFonts w:ascii="Arial" w:eastAsia="Calibri" w:hAnsi="Arial" w:cs="Arial"/>
                <w:iCs/>
                <w:color w:val="000000"/>
              </w:rPr>
            </w:pPr>
            <w:r w:rsidRPr="00FF6562">
              <w:rPr>
                <w:rFonts w:ascii="Arial" w:eastAsia="Calibri" w:hAnsi="Arial" w:cs="Arial"/>
                <w:iCs/>
                <w:color w:val="000000"/>
              </w:rPr>
              <w:t>15</w:t>
            </w:r>
          </w:p>
        </w:tc>
      </w:tr>
      <w:tr w:rsidR="00BD5B7F" w:rsidRPr="00FC42B0" w:rsidTr="000E5961">
        <w:trPr>
          <w:cantSplit/>
          <w:trHeight w:val="171"/>
        </w:trPr>
        <w:tc>
          <w:tcPr>
            <w:tcW w:w="4226" w:type="dxa"/>
            <w:tcBorders>
              <w:top w:val="single" w:sz="8" w:space="0" w:color="0070C0"/>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25. Moteurs de la criminalité liée aux espèces sauvages</w:t>
            </w:r>
          </w:p>
        </w:tc>
        <w:tc>
          <w:tcPr>
            <w:tcW w:w="0" w:type="auto"/>
            <w:vMerge/>
            <w:tcBorders>
              <w:top w:val="single" w:sz="12" w:space="0" w:color="95B3D7"/>
              <w:left w:val="nil"/>
              <w:bottom w:val="nil"/>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nil"/>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C42B0" w:rsidTr="000E5961">
        <w:trPr>
          <w:cantSplit/>
          <w:trHeight w:val="170"/>
        </w:trPr>
        <w:tc>
          <w:tcPr>
            <w:tcW w:w="4226" w:type="dxa"/>
            <w:tcBorders>
              <w:top w:val="single" w:sz="4" w:space="0" w:color="95B3D7"/>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26. Activités relatives à la demande</w:t>
            </w:r>
          </w:p>
        </w:tc>
        <w:tc>
          <w:tcPr>
            <w:tcW w:w="0" w:type="auto"/>
            <w:vMerge/>
            <w:tcBorders>
              <w:top w:val="single" w:sz="12" w:space="0" w:color="95B3D7"/>
              <w:left w:val="nil"/>
              <w:bottom w:val="nil"/>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nil"/>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F6562" w:rsidTr="000E5961">
        <w:trPr>
          <w:cantSplit/>
          <w:trHeight w:val="171"/>
        </w:trPr>
        <w:tc>
          <w:tcPr>
            <w:tcW w:w="4226" w:type="dxa"/>
            <w:tcBorders>
              <w:top w:val="single" w:sz="8" w:space="0" w:color="4F81BD"/>
              <w:left w:val="single" w:sz="8" w:space="0" w:color="4F81BD"/>
              <w:bottom w:val="single" w:sz="8" w:space="0" w:color="4F81BD"/>
              <w:right w:val="nil"/>
            </w:tcBorders>
            <w:vAlign w:val="center"/>
            <w:hideMark/>
          </w:tcPr>
          <w:p w:rsidR="00BD5B7F" w:rsidRPr="00FF6562" w:rsidRDefault="00BD5B7F" w:rsidP="000E5961">
            <w:pPr>
              <w:ind w:left="284" w:hanging="284"/>
              <w:rPr>
                <w:rFonts w:ascii="Arial" w:eastAsia="Calibri" w:hAnsi="Arial" w:cs="Arial"/>
                <w:b/>
                <w:bCs/>
                <w:iCs/>
                <w:color w:val="000000"/>
              </w:rPr>
            </w:pPr>
            <w:r w:rsidRPr="00FF6562">
              <w:rPr>
                <w:rFonts w:ascii="Arial" w:eastAsia="Calibri" w:hAnsi="Arial" w:cs="Arial"/>
                <w:b/>
                <w:bCs/>
                <w:iCs/>
                <w:color w:val="000000"/>
                <w:bdr w:val="none" w:sz="0" w:space="0" w:color="auto" w:frame="1"/>
              </w:rPr>
              <w:t>27. Communauté soumise aux réglementations</w:t>
            </w:r>
          </w:p>
        </w:tc>
        <w:tc>
          <w:tcPr>
            <w:tcW w:w="0" w:type="auto"/>
            <w:vMerge/>
            <w:tcBorders>
              <w:top w:val="single" w:sz="12" w:space="0" w:color="95B3D7"/>
              <w:left w:val="nil"/>
              <w:bottom w:val="nil"/>
              <w:right w:val="nil"/>
            </w:tcBorders>
            <w:vAlign w:val="center"/>
            <w:hideMark/>
          </w:tcPr>
          <w:p w:rsidR="00BD5B7F" w:rsidRPr="00FF6562" w:rsidRDefault="00BD5B7F" w:rsidP="000E5961">
            <w:pPr>
              <w:rPr>
                <w:rFonts w:ascii="Arial" w:eastAsia="Calibri" w:hAnsi="Arial" w:cs="Arial"/>
                <w:iCs/>
                <w:color w:val="000000"/>
              </w:rPr>
            </w:pPr>
          </w:p>
        </w:tc>
        <w:tc>
          <w:tcPr>
            <w:tcW w:w="2520" w:type="dxa"/>
            <w:vMerge/>
            <w:tcBorders>
              <w:top w:val="single" w:sz="12" w:space="0" w:color="95B3D7"/>
              <w:left w:val="nil"/>
              <w:bottom w:val="nil"/>
              <w:right w:val="single" w:sz="8" w:space="0" w:color="4F81BD"/>
            </w:tcBorders>
            <w:vAlign w:val="center"/>
            <w:hideMark/>
          </w:tcPr>
          <w:p w:rsidR="00BD5B7F" w:rsidRPr="00FF6562" w:rsidRDefault="00BD5B7F" w:rsidP="000E5961">
            <w:pPr>
              <w:rPr>
                <w:rFonts w:ascii="Arial" w:eastAsia="Calibri" w:hAnsi="Arial" w:cs="Arial"/>
                <w:iCs/>
                <w:color w:val="000000"/>
              </w:rPr>
            </w:pPr>
          </w:p>
        </w:tc>
      </w:tr>
      <w:tr w:rsidR="00BD5B7F" w:rsidRPr="00FC42B0" w:rsidTr="000E5961">
        <w:trPr>
          <w:cantSplit/>
          <w:trHeight w:val="171"/>
        </w:trPr>
        <w:tc>
          <w:tcPr>
            <w:tcW w:w="4226" w:type="dxa"/>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lang w:val="fr-FR"/>
              </w:rPr>
            </w:pPr>
            <w:r w:rsidRPr="00865DA5">
              <w:rPr>
                <w:rFonts w:ascii="Arial" w:eastAsia="Calibri" w:hAnsi="Arial" w:cs="Arial"/>
                <w:b/>
                <w:bCs/>
                <w:iCs/>
                <w:color w:val="000000"/>
                <w:bdr w:val="none" w:sz="0" w:space="0" w:color="auto" w:frame="1"/>
                <w:lang w:val="fr-FR"/>
              </w:rPr>
              <w:t>28. Actions de sensibilisation du public</w:t>
            </w:r>
          </w:p>
        </w:tc>
        <w:tc>
          <w:tcPr>
            <w:tcW w:w="0" w:type="auto"/>
            <w:vMerge/>
            <w:tcBorders>
              <w:top w:val="single" w:sz="12" w:space="0" w:color="95B3D7"/>
              <w:left w:val="nil"/>
              <w:bottom w:val="nil"/>
              <w:right w:val="nil"/>
            </w:tcBorders>
            <w:vAlign w:val="center"/>
            <w:hideMark/>
          </w:tcPr>
          <w:p w:rsidR="00BD5B7F" w:rsidRPr="00865DA5" w:rsidRDefault="00BD5B7F" w:rsidP="000E5961">
            <w:pPr>
              <w:rPr>
                <w:rFonts w:ascii="Arial" w:eastAsia="Calibri" w:hAnsi="Arial" w:cs="Arial"/>
                <w:iCs/>
                <w:color w:val="000000"/>
                <w:lang w:val="fr-FR"/>
              </w:rPr>
            </w:pPr>
          </w:p>
        </w:tc>
        <w:tc>
          <w:tcPr>
            <w:tcW w:w="2520" w:type="dxa"/>
            <w:vMerge/>
            <w:tcBorders>
              <w:top w:val="single" w:sz="12" w:space="0" w:color="95B3D7"/>
              <w:left w:val="nil"/>
              <w:bottom w:val="nil"/>
              <w:right w:val="single" w:sz="8" w:space="0" w:color="4F81BD"/>
            </w:tcBorders>
            <w:vAlign w:val="center"/>
            <w:hideMark/>
          </w:tcPr>
          <w:p w:rsidR="00BD5B7F" w:rsidRPr="00865DA5" w:rsidRDefault="00BD5B7F" w:rsidP="000E5961">
            <w:pPr>
              <w:rPr>
                <w:rFonts w:ascii="Arial" w:eastAsia="Calibri" w:hAnsi="Arial" w:cs="Arial"/>
                <w:iCs/>
                <w:color w:val="000000"/>
                <w:lang w:val="fr-FR"/>
              </w:rPr>
            </w:pPr>
          </w:p>
        </w:tc>
      </w:tr>
      <w:tr w:rsidR="00BD5B7F" w:rsidRPr="00FF6562" w:rsidTr="000E5961">
        <w:trPr>
          <w:trHeight w:val="145"/>
        </w:trPr>
        <w:tc>
          <w:tcPr>
            <w:tcW w:w="4226" w:type="dxa"/>
            <w:tcBorders>
              <w:top w:val="single" w:sz="8" w:space="0" w:color="4F81BD"/>
              <w:left w:val="single" w:sz="8" w:space="0" w:color="4F81BD"/>
              <w:bottom w:val="single" w:sz="8" w:space="0" w:color="4F81BD"/>
              <w:right w:val="nil"/>
            </w:tcBorders>
            <w:vAlign w:val="center"/>
            <w:hideMark/>
          </w:tcPr>
          <w:p w:rsidR="00BD5B7F" w:rsidRPr="00FF6562" w:rsidRDefault="00BD5B7F" w:rsidP="000E5961">
            <w:pPr>
              <w:jc w:val="right"/>
              <w:rPr>
                <w:rFonts w:ascii="Arial" w:eastAsia="Calibri" w:hAnsi="Arial" w:cs="Arial"/>
                <w:b/>
                <w:bCs/>
                <w:i/>
                <w:iCs/>
                <w:color w:val="000000"/>
              </w:rPr>
            </w:pPr>
            <w:r w:rsidRPr="00FF6562">
              <w:rPr>
                <w:rFonts w:ascii="Arial" w:eastAsia="Calibri" w:hAnsi="Arial" w:cs="Arial"/>
                <w:b/>
                <w:bCs/>
                <w:i/>
                <w:iCs/>
                <w:color w:val="000000"/>
                <w:bdr w:val="none" w:sz="0" w:space="0" w:color="auto" w:frame="1"/>
              </w:rPr>
              <w:t>SCORE TOTAL MAXIMUM</w:t>
            </w:r>
          </w:p>
        </w:tc>
        <w:tc>
          <w:tcPr>
            <w:tcW w:w="3177" w:type="dxa"/>
            <w:tcBorders>
              <w:top w:val="single" w:sz="8" w:space="0" w:color="4F81BD"/>
              <w:left w:val="nil"/>
              <w:bottom w:val="single" w:sz="8" w:space="0" w:color="4F81BD"/>
              <w:right w:val="nil"/>
            </w:tcBorders>
            <w:vAlign w:val="center"/>
          </w:tcPr>
          <w:p w:rsidR="00BD5B7F" w:rsidRPr="00FF6562" w:rsidRDefault="00BD5B7F" w:rsidP="000E5961">
            <w:pPr>
              <w:rPr>
                <w:rFonts w:ascii="Arial" w:eastAsia="Calibri" w:hAnsi="Arial" w:cs="Arial"/>
                <w:iCs/>
                <w:color w:val="000000"/>
              </w:rPr>
            </w:pPr>
          </w:p>
        </w:tc>
        <w:tc>
          <w:tcPr>
            <w:tcW w:w="2520" w:type="dxa"/>
            <w:tcBorders>
              <w:top w:val="single" w:sz="8" w:space="0" w:color="4F81BD"/>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rPr>
            </w:pPr>
            <w:r w:rsidRPr="00FF6562">
              <w:rPr>
                <w:rFonts w:ascii="Arial" w:eastAsia="Calibri" w:hAnsi="Arial" w:cs="Arial"/>
                <w:iCs/>
                <w:color w:val="000000"/>
                <w:bdr w:val="none" w:sz="0" w:space="0" w:color="auto" w:frame="1"/>
              </w:rPr>
              <w:t>75</w:t>
            </w:r>
          </w:p>
          <w:p w:rsidR="00BD5B7F" w:rsidRPr="00FF6562" w:rsidRDefault="00BD5B7F" w:rsidP="000E5961">
            <w:pPr>
              <w:rPr>
                <w:rFonts w:ascii="Arial" w:eastAsia="Calibri" w:hAnsi="Arial" w:cs="Arial"/>
                <w:iCs/>
                <w:color w:val="000000"/>
              </w:rPr>
            </w:pPr>
            <w:r w:rsidRPr="00FF6562">
              <w:rPr>
                <w:rFonts w:ascii="Arial" w:eastAsia="Calibri" w:hAnsi="Arial" w:cs="Arial"/>
                <w:iCs/>
                <w:color w:val="000000"/>
                <w:bdr w:val="none" w:sz="0" w:space="0" w:color="auto" w:frame="1"/>
              </w:rPr>
              <w:t>(72 ou 69)</w:t>
            </w:r>
          </w:p>
        </w:tc>
      </w:tr>
    </w:tbl>
    <w:p w:rsidR="00BD5B7F" w:rsidRPr="00FF6562" w:rsidRDefault="00BD5B7F" w:rsidP="00BD5B7F">
      <w:pPr>
        <w:jc w:val="both"/>
        <w:rPr>
          <w:rFonts w:ascii="Arial" w:eastAsia="Calibri" w:hAnsi="Arial" w:cs="Arial"/>
          <w:color w:val="000000"/>
          <w:sz w:val="22"/>
          <w:szCs w:val="22"/>
        </w:rPr>
      </w:pP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Trois indicateurs ne génèrent pas de score mais fournissent des données. Les données concernent en particulier : le nombre d’oiseaux illégalement abattus, piégés ou commercialisés (indicateur n° 2), le nombre de personnes poursuivies pour des faits d’IKB (indicateur n° 4) et l’effort de lutte contre l’IKB sur le terrain (indicateur n° 19). Les trois ensembles de données fournissent un aperçu important de l’étendue et de la tendance de l’IKB dans chaque pays.</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Des efforts seront probablement nécessaires pour générer l’estimation de la quantité d’oiseaux illégalement abattus, piégés ou commercialisés. Définir l’étendue d’une activité illégale est toujours une tâche complexe, qui nécessite une bonne connaissance des méthodes utilisées par les criminels et la participation d’un certain nombre de parties prenantes pertinentes. Aucun document d’orientation n’a été élaboré jusqu’à présent par la Convention de Berne ou la CMS et les seules lignes directrices spécifiques actuellement disponibles sont celles produites par BirdLife international et présentées lors de la première réunion du MIKT</w:t>
      </w:r>
      <w:r w:rsidRPr="00FF6562">
        <w:rPr>
          <w:rFonts w:ascii="Arial" w:eastAsia="Calibri" w:hAnsi="Arial" w:cs="Arial"/>
          <w:color w:val="000000"/>
          <w:sz w:val="22"/>
          <w:szCs w:val="22"/>
          <w:vertAlign w:val="superscript"/>
        </w:rPr>
        <w:footnoteReference w:id="6"/>
      </w:r>
      <w:r w:rsidRPr="00865DA5">
        <w:rPr>
          <w:rFonts w:ascii="Arial" w:eastAsia="Arial" w:hAnsi="Arial" w:cs="Arial"/>
          <w:color w:val="000000"/>
          <w:sz w:val="22"/>
          <w:szCs w:val="22"/>
          <w:bdr w:val="none" w:sz="0" w:space="0" w:color="auto" w:frame="1"/>
          <w:lang w:val="fr-FR"/>
        </w:rPr>
        <w:t>. Les autorités nationales sont invitées à fournir des informations sur la façon dont leurs estimations sont générées.</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Les données pour l’indicateur n° 4 devraient être disponibles via les bases de données gérées (ou alimentées) par le système judiciaire pour suivre ses activités. L’indicateur n° 19 peut être complété par des informations plus détaillées sur le nombre de membres du personnel (ou de journées de personnel) déployés sur le terrain, car ces informations peuvent être détenues par les agences de lutte contre la fraude et être utilisées pour rendre compte de leurs activités et résultats.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La plupart des indicateurs enquêtent sur les réponses des autorités nationales face à l’IKB et sont essentiels pour suivre les progrès et informer les autorités nationales sur les domaines où de plus amples efforts sont nécessaires. En d’autres termes, les indicateurs n° 1 et n° 2 mesurent l’état et la tendance de l’IKB, tandis que les autres permettent à l’État d’auto-évaluer les mesures prises contre l’IKB. </w:t>
      </w:r>
    </w:p>
    <w:p w:rsidR="00BD5B7F" w:rsidRPr="00865DA5" w:rsidRDefault="00BD5B7F" w:rsidP="00BD5B7F">
      <w:pPr>
        <w:keepNext/>
        <w:keepLines/>
        <w:spacing w:after="120"/>
        <w:outlineLvl w:val="1"/>
        <w:rPr>
          <w:rFonts w:ascii="Arial" w:hAnsi="Arial" w:cs="Arial"/>
          <w:b/>
          <w:color w:val="000000"/>
          <w:sz w:val="30"/>
          <w:szCs w:val="30"/>
          <w:lang w:val="fr-FR"/>
        </w:rPr>
      </w:pPr>
      <w:bookmarkStart w:id="29" w:name="_Toc491245232"/>
      <w:bookmarkStart w:id="30" w:name="_Toc491245055"/>
      <w:bookmarkStart w:id="31" w:name="_Toc486539569"/>
      <w:r w:rsidRPr="00865DA5">
        <w:rPr>
          <w:rFonts w:ascii="Arial" w:eastAsia="Arial" w:hAnsi="Arial" w:cs="Arial"/>
          <w:b/>
          <w:bCs/>
          <w:color w:val="000000"/>
          <w:sz w:val="30"/>
          <w:szCs w:val="30"/>
          <w:bdr w:val="none" w:sz="0" w:space="0" w:color="auto" w:frame="1"/>
          <w:lang w:val="fr-FR"/>
        </w:rPr>
        <w:t>Présentation des résultats</w:t>
      </w:r>
      <w:bookmarkEnd w:id="29"/>
      <w:bookmarkEnd w:id="30"/>
      <w:bookmarkEnd w:id="31"/>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Le score total produit par les indicateurs permet à l’État de mesurer l’étendue de ses efforts de lutte contre l’IKB. Bien qu’une simple méthode de notation puisse apparaître comme un </w:t>
      </w:r>
      <w:r w:rsidRPr="00865DA5">
        <w:rPr>
          <w:rFonts w:ascii="Arial" w:eastAsia="Arial" w:hAnsi="Arial" w:cs="Arial"/>
          <w:color w:val="000000"/>
          <w:sz w:val="22"/>
          <w:szCs w:val="22"/>
          <w:bdr w:val="none" w:sz="0" w:space="0" w:color="auto" w:frame="1"/>
          <w:lang w:val="fr-FR"/>
        </w:rPr>
        <w:lastRenderedPageBreak/>
        <w:t xml:space="preserve">moyen simple d’auto-évaluation des mesures de l’IKB, elle ne fournit pas une image complète de la question complexe en jeu. </w:t>
      </w:r>
    </w:p>
    <w:p w:rsidR="00BD5B7F" w:rsidRPr="00865DA5" w:rsidRDefault="00BD5B7F" w:rsidP="00BD5B7F">
      <w:pPr>
        <w:spacing w:after="120"/>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 xml:space="preserve">En outre, il est peu probable qu’un score unique fournisse des informations utiles sur les domaines sur lesquels chaque État devrait se concentrer pour développer une gamme complète de réponses à l’IKB appropriées. Par conséquent, les résultats agrégés peuvent être présentés sous une forme de tableau comparant les groupes d’indicateurs en fonction du score national par rapport au score maximal possible. Le score maximal possible pour les groupes B et C varie selon que l’option « non applicable » ait été utilisée ou non. Étant donné que les résultats nationaux sont exprimés en pourcentage du score total possible au niveau national, les résultats agrégés prennent en compte les pays qui répondent « non applicable » à l’un ou à l’autre des indicateurs.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Chaque résultat recevra un code de couleur :</w:t>
      </w:r>
    </w:p>
    <w:p w:rsidR="00BD5B7F" w:rsidRPr="00865DA5" w:rsidRDefault="00BD5B7F" w:rsidP="00BD5B7F">
      <w:pPr>
        <w:ind w:left="567"/>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Rouge - Score national &lt; 25 % du score maximal possible </w:t>
      </w:r>
    </w:p>
    <w:p w:rsidR="00BD5B7F" w:rsidRPr="00865DA5" w:rsidRDefault="00BD5B7F" w:rsidP="00BD5B7F">
      <w:pPr>
        <w:ind w:left="567"/>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Jaune - Score national entre 25 % et 50 % du score maximal possible</w:t>
      </w:r>
    </w:p>
    <w:p w:rsidR="00BD5B7F" w:rsidRPr="00865DA5" w:rsidRDefault="00BD5B7F" w:rsidP="00BD5B7F">
      <w:pPr>
        <w:ind w:left="567"/>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Vert clair - Score national entre 50 % et 75 % du score maximal possible</w:t>
      </w:r>
    </w:p>
    <w:p w:rsidR="00BD5B7F" w:rsidRPr="00865DA5" w:rsidRDefault="00BD5B7F" w:rsidP="00BD5B7F">
      <w:pPr>
        <w:ind w:left="567"/>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Vert - Score national &gt; 75 % du score maximal possible</w:t>
      </w:r>
    </w:p>
    <w:p w:rsidR="00BD5B7F" w:rsidRPr="00865DA5" w:rsidRDefault="00BD5B7F" w:rsidP="00BD5B7F">
      <w:pPr>
        <w:ind w:left="567"/>
        <w:jc w:val="both"/>
        <w:rPr>
          <w:rFonts w:ascii="Arial" w:eastAsia="Calibri" w:hAnsi="Arial" w:cs="Arial"/>
          <w:color w:val="000000"/>
          <w:sz w:val="22"/>
          <w:szCs w:val="22"/>
          <w:lang w:val="fr-FR"/>
        </w:rPr>
      </w:pP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Cela permettra une évaluation, au niveau national, des domaines où un travail supplémentaire pourrait être nécessaire, et permettra aux États de partager des informations au niveau international et d’identifier les domaines où des conseils et un soutien pourraient être utiles.</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Enfin, les actions que chaque pays a mises en œuvre ou qu’il considère devoir développer davantage sont également directement liées à la gravité du problème de l’IKB. Par conséquent, les informations fournies par chaque pays par l’intermédiaire de l’indicateur n° 4 (estimation du nombre d’oiseaux abattus ou prélevés illégalement) seront affichées (en tant que classe de gravité) dans une autre colonne. </w:t>
      </w:r>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Les classes de gravité du problème IKB seront les suivantes :</w:t>
      </w:r>
    </w:p>
    <w:p w:rsidR="00BD5B7F" w:rsidRPr="00865DA5" w:rsidRDefault="00BD5B7F" w:rsidP="00BD5B7F">
      <w:pPr>
        <w:ind w:left="567"/>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Classe I (Rouge) - Estimation annuelle de l’IKB &gt; 2,5 millions ; </w:t>
      </w:r>
    </w:p>
    <w:p w:rsidR="00BD5B7F" w:rsidRPr="00865DA5" w:rsidRDefault="00BD5B7F" w:rsidP="00BD5B7F">
      <w:pPr>
        <w:ind w:left="567"/>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Classe II (Orange) - Estimation annuelle de l’IKB entre 750 000 et 2,5 millions ;</w:t>
      </w:r>
    </w:p>
    <w:p w:rsidR="00BD5B7F" w:rsidRPr="00865DA5" w:rsidRDefault="00BD5B7F" w:rsidP="00BD5B7F">
      <w:pPr>
        <w:ind w:left="567"/>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Classe III (Orange clair) - Estimation annuelle de l’IKB entre 100 000 et 750 000 ;</w:t>
      </w:r>
    </w:p>
    <w:p w:rsidR="00BD5B7F" w:rsidRPr="00865DA5" w:rsidRDefault="00BD5B7F" w:rsidP="00BD5B7F">
      <w:pPr>
        <w:ind w:left="567"/>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Classe IV (Jaune) - Estimation annuelle IKB &lt; 100 000.</w:t>
      </w:r>
    </w:p>
    <w:p w:rsidR="00BD5B7F" w:rsidRPr="00865DA5" w:rsidRDefault="00BD5B7F" w:rsidP="00BD5B7F">
      <w:pPr>
        <w:jc w:val="both"/>
        <w:rPr>
          <w:rFonts w:ascii="Arial" w:eastAsia="Arial" w:hAnsi="Arial" w:cs="Arial"/>
          <w:color w:val="000000"/>
          <w:sz w:val="22"/>
          <w:szCs w:val="22"/>
          <w:bdr w:val="none" w:sz="0" w:space="0" w:color="auto" w:frame="1"/>
          <w:lang w:val="fr-FR"/>
        </w:rPr>
      </w:pPr>
    </w:p>
    <w:p w:rsidR="00BD5B7F" w:rsidRPr="00865DA5" w:rsidRDefault="00BD5B7F" w:rsidP="00BD5B7F">
      <w:pPr>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 xml:space="preserve">Cela situera les résultats présentés dans les premières colonnes dans le contexte de l’ampleur du problème de l’abattage illégal des oiseaux sauvages au niveau national. </w:t>
      </w:r>
    </w:p>
    <w:p w:rsidR="00BD5B7F" w:rsidRPr="00865DA5" w:rsidRDefault="00BD5B7F" w:rsidP="00BD5B7F">
      <w:pPr>
        <w:jc w:val="both"/>
        <w:rPr>
          <w:rFonts w:ascii="Arial" w:eastAsia="Arial" w:hAnsi="Arial" w:cs="Arial"/>
          <w:color w:val="000000"/>
          <w:sz w:val="22"/>
          <w:szCs w:val="22"/>
          <w:bdr w:val="none" w:sz="0" w:space="0" w:color="auto" w:frame="1"/>
          <w:lang w:val="fr-FR"/>
        </w:rPr>
      </w:pPr>
    </w:p>
    <w:tbl>
      <w:tblPr>
        <w:tblW w:w="95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1305"/>
        <w:gridCol w:w="1922"/>
        <w:gridCol w:w="1623"/>
        <w:gridCol w:w="1448"/>
        <w:gridCol w:w="1134"/>
        <w:gridCol w:w="992"/>
      </w:tblGrid>
      <w:tr w:rsidR="00BD5B7F" w:rsidRPr="00FF6562" w:rsidTr="000E5961">
        <w:tc>
          <w:tcPr>
            <w:tcW w:w="1116" w:type="dxa"/>
            <w:tcBorders>
              <w:top w:val="single" w:sz="4" w:space="0" w:color="auto"/>
              <w:left w:val="single" w:sz="4" w:space="0" w:color="auto"/>
              <w:bottom w:val="single" w:sz="4" w:space="0" w:color="auto"/>
              <w:right w:val="single" w:sz="4" w:space="0" w:color="auto"/>
            </w:tcBorders>
            <w:vAlign w:val="center"/>
            <w:hideMark/>
          </w:tcPr>
          <w:p w:rsidR="00BD5B7F" w:rsidRPr="00FF6562" w:rsidRDefault="00BD5B7F" w:rsidP="000E5961">
            <w:pPr>
              <w:rPr>
                <w:rFonts w:ascii="Arial" w:eastAsia="Calibri" w:hAnsi="Arial" w:cs="Arial"/>
                <w:color w:val="000000"/>
                <w:sz w:val="22"/>
                <w:szCs w:val="22"/>
              </w:rPr>
            </w:pPr>
            <w:r w:rsidRPr="00FF6562">
              <w:rPr>
                <w:rFonts w:ascii="Arial" w:eastAsia="Arial" w:hAnsi="Arial" w:cs="Arial"/>
                <w:color w:val="000000"/>
                <w:sz w:val="22"/>
                <w:szCs w:val="22"/>
                <w:bdr w:val="none" w:sz="0" w:space="0" w:color="auto" w:frame="1"/>
              </w:rPr>
              <w:t>Pays</w:t>
            </w:r>
          </w:p>
        </w:tc>
        <w:tc>
          <w:tcPr>
            <w:tcW w:w="1304" w:type="dxa"/>
            <w:tcBorders>
              <w:top w:val="single" w:sz="4" w:space="0" w:color="auto"/>
              <w:left w:val="single" w:sz="4" w:space="0" w:color="auto"/>
              <w:bottom w:val="single" w:sz="4" w:space="0" w:color="auto"/>
              <w:right w:val="single" w:sz="4" w:space="0" w:color="auto"/>
            </w:tcBorders>
            <w:vAlign w:val="center"/>
            <w:hideMark/>
          </w:tcPr>
          <w:p w:rsidR="00BD5B7F" w:rsidRPr="00865DA5" w:rsidRDefault="00BD5B7F" w:rsidP="000E5961">
            <w:pPr>
              <w:jc w:val="center"/>
              <w:rPr>
                <w:rFonts w:ascii="Arial" w:eastAsia="Calibri" w:hAnsi="Arial" w:cs="Arial"/>
                <w:bCs/>
                <w:iCs/>
                <w:color w:val="000000"/>
                <w:sz w:val="18"/>
                <w:szCs w:val="18"/>
                <w:lang w:val="fr-FR"/>
              </w:rPr>
            </w:pPr>
            <w:r w:rsidRPr="00865DA5">
              <w:rPr>
                <w:rFonts w:ascii="Arial" w:eastAsia="Arial" w:hAnsi="Arial" w:cs="Arial"/>
                <w:bCs/>
                <w:iCs/>
                <w:color w:val="000000"/>
                <w:sz w:val="18"/>
                <w:szCs w:val="18"/>
                <w:bdr w:val="none" w:sz="0" w:space="0" w:color="auto" w:frame="1"/>
                <w:lang w:val="fr-FR"/>
              </w:rPr>
              <w:t>A. Suivi national de l’IKB</w:t>
            </w:r>
          </w:p>
        </w:tc>
        <w:tc>
          <w:tcPr>
            <w:tcW w:w="1921" w:type="dxa"/>
            <w:tcBorders>
              <w:top w:val="single" w:sz="4" w:space="0" w:color="auto"/>
              <w:left w:val="single" w:sz="4" w:space="0" w:color="auto"/>
              <w:bottom w:val="single" w:sz="4" w:space="0" w:color="auto"/>
              <w:right w:val="single" w:sz="4" w:space="0" w:color="auto"/>
            </w:tcBorders>
            <w:vAlign w:val="center"/>
            <w:hideMark/>
          </w:tcPr>
          <w:p w:rsidR="00BD5B7F" w:rsidRPr="00865DA5" w:rsidRDefault="00BD5B7F" w:rsidP="000E5961">
            <w:pPr>
              <w:ind w:firstLine="51"/>
              <w:jc w:val="center"/>
              <w:rPr>
                <w:rFonts w:ascii="Arial" w:eastAsia="Calibri" w:hAnsi="Arial" w:cs="Arial"/>
                <w:color w:val="000000"/>
                <w:sz w:val="18"/>
                <w:szCs w:val="18"/>
                <w:lang w:val="fr-FR"/>
              </w:rPr>
            </w:pPr>
            <w:r w:rsidRPr="00865DA5">
              <w:rPr>
                <w:rFonts w:ascii="Arial" w:eastAsia="Arial" w:hAnsi="Arial" w:cs="Arial"/>
                <w:bCs/>
                <w:iCs/>
                <w:color w:val="000000"/>
                <w:sz w:val="18"/>
                <w:szCs w:val="18"/>
                <w:bdr w:val="none" w:sz="0" w:space="0" w:color="auto" w:frame="1"/>
                <w:lang w:val="fr-FR"/>
              </w:rPr>
              <w:t>B. Niveau d’exhaustivité de la législation nationale</w:t>
            </w:r>
          </w:p>
        </w:tc>
        <w:tc>
          <w:tcPr>
            <w:tcW w:w="1622" w:type="dxa"/>
            <w:tcBorders>
              <w:top w:val="single" w:sz="4" w:space="0" w:color="auto"/>
              <w:left w:val="single" w:sz="4" w:space="0" w:color="auto"/>
              <w:bottom w:val="single" w:sz="4" w:space="0" w:color="auto"/>
              <w:right w:val="single" w:sz="4" w:space="0" w:color="auto"/>
            </w:tcBorders>
            <w:vAlign w:val="center"/>
            <w:hideMark/>
          </w:tcPr>
          <w:p w:rsidR="00BD5B7F" w:rsidRPr="00865DA5" w:rsidRDefault="00BD5B7F" w:rsidP="000E5961">
            <w:pPr>
              <w:jc w:val="center"/>
              <w:rPr>
                <w:rFonts w:ascii="Arial" w:eastAsia="Calibri" w:hAnsi="Arial" w:cs="Arial"/>
                <w:color w:val="000000"/>
                <w:sz w:val="18"/>
                <w:szCs w:val="18"/>
                <w:lang w:val="fr-FR"/>
              </w:rPr>
            </w:pPr>
            <w:r w:rsidRPr="00865DA5">
              <w:rPr>
                <w:rFonts w:ascii="Arial" w:eastAsia="Arial" w:hAnsi="Arial" w:cs="Arial"/>
                <w:bCs/>
                <w:iCs/>
                <w:color w:val="000000"/>
                <w:sz w:val="18"/>
                <w:szCs w:val="18"/>
                <w:bdr w:val="none" w:sz="0" w:space="0" w:color="auto" w:frame="1"/>
                <w:lang w:val="fr-FR"/>
              </w:rPr>
              <w:t>C. Réponse en matière de lutte contre la fraude</w:t>
            </w:r>
          </w:p>
        </w:tc>
        <w:tc>
          <w:tcPr>
            <w:tcW w:w="1447" w:type="dxa"/>
            <w:tcBorders>
              <w:top w:val="single" w:sz="4" w:space="0" w:color="auto"/>
              <w:left w:val="single" w:sz="4" w:space="0" w:color="auto"/>
              <w:bottom w:val="single" w:sz="4" w:space="0" w:color="auto"/>
              <w:right w:val="single" w:sz="4" w:space="0" w:color="auto"/>
            </w:tcBorders>
            <w:vAlign w:val="center"/>
            <w:hideMark/>
          </w:tcPr>
          <w:p w:rsidR="00BD5B7F" w:rsidRPr="00FF6562" w:rsidRDefault="00BD5B7F" w:rsidP="000E5961">
            <w:pPr>
              <w:jc w:val="center"/>
              <w:rPr>
                <w:rFonts w:ascii="Arial" w:eastAsia="Calibri" w:hAnsi="Arial" w:cs="Arial"/>
                <w:color w:val="000000"/>
                <w:sz w:val="18"/>
                <w:szCs w:val="18"/>
              </w:rPr>
            </w:pPr>
            <w:r w:rsidRPr="00FF6562">
              <w:rPr>
                <w:rFonts w:ascii="Arial" w:eastAsia="Arial" w:hAnsi="Arial" w:cs="Arial"/>
                <w:bCs/>
                <w:iCs/>
                <w:color w:val="000000"/>
                <w:sz w:val="18"/>
                <w:szCs w:val="18"/>
                <w:bdr w:val="none" w:sz="0" w:space="0" w:color="auto" w:frame="1"/>
              </w:rPr>
              <w:t>D. Poursuites et condamnation</w:t>
            </w:r>
          </w:p>
        </w:tc>
        <w:tc>
          <w:tcPr>
            <w:tcW w:w="1134" w:type="dxa"/>
            <w:tcBorders>
              <w:top w:val="single" w:sz="4" w:space="0" w:color="auto"/>
              <w:left w:val="single" w:sz="4" w:space="0" w:color="auto"/>
              <w:bottom w:val="single" w:sz="4" w:space="0" w:color="auto"/>
              <w:right w:val="single" w:sz="4" w:space="0" w:color="auto"/>
            </w:tcBorders>
            <w:vAlign w:val="center"/>
            <w:hideMark/>
          </w:tcPr>
          <w:p w:rsidR="00BD5B7F" w:rsidRPr="00FF6562" w:rsidRDefault="00BD5B7F" w:rsidP="000E5961">
            <w:pPr>
              <w:jc w:val="center"/>
              <w:rPr>
                <w:rFonts w:ascii="Arial" w:eastAsia="Calibri" w:hAnsi="Arial" w:cs="Arial"/>
                <w:color w:val="000000"/>
                <w:sz w:val="18"/>
                <w:szCs w:val="18"/>
              </w:rPr>
            </w:pPr>
            <w:r w:rsidRPr="00FF6562">
              <w:rPr>
                <w:rFonts w:ascii="Arial" w:eastAsia="Arial" w:hAnsi="Arial" w:cs="Arial"/>
                <w:bCs/>
                <w:iCs/>
                <w:color w:val="000000"/>
                <w:sz w:val="18"/>
                <w:szCs w:val="18"/>
                <w:bdr w:val="none" w:sz="0" w:space="0" w:color="auto" w:frame="1"/>
              </w:rPr>
              <w:t>E. Prévention</w:t>
            </w:r>
          </w:p>
        </w:tc>
        <w:tc>
          <w:tcPr>
            <w:tcW w:w="992" w:type="dxa"/>
            <w:tcBorders>
              <w:top w:val="single" w:sz="4" w:space="0" w:color="auto"/>
              <w:left w:val="single" w:sz="4" w:space="0" w:color="auto"/>
              <w:bottom w:val="single" w:sz="4" w:space="0" w:color="auto"/>
              <w:right w:val="single" w:sz="4" w:space="0" w:color="auto"/>
            </w:tcBorders>
            <w:vAlign w:val="center"/>
            <w:hideMark/>
          </w:tcPr>
          <w:p w:rsidR="00BD5B7F" w:rsidRPr="00FF6562" w:rsidRDefault="00BD5B7F" w:rsidP="000E5961">
            <w:pPr>
              <w:jc w:val="center"/>
              <w:rPr>
                <w:rFonts w:ascii="Arial" w:eastAsia="Calibri" w:hAnsi="Arial" w:cs="Arial"/>
                <w:color w:val="000000"/>
                <w:sz w:val="18"/>
                <w:szCs w:val="18"/>
              </w:rPr>
            </w:pPr>
            <w:r w:rsidRPr="00FF6562">
              <w:rPr>
                <w:rFonts w:ascii="Arial" w:eastAsia="Arial" w:hAnsi="Arial" w:cs="Arial"/>
                <w:color w:val="000000"/>
                <w:sz w:val="18"/>
                <w:szCs w:val="18"/>
                <w:bdr w:val="none" w:sz="0" w:space="0" w:color="auto" w:frame="1"/>
              </w:rPr>
              <w:t>Ampleur du problème IKB</w:t>
            </w:r>
          </w:p>
        </w:tc>
      </w:tr>
      <w:tr w:rsidR="00BD5B7F" w:rsidRPr="00FF6562" w:rsidTr="000E5961">
        <w:tc>
          <w:tcPr>
            <w:tcW w:w="1116" w:type="dxa"/>
            <w:tcBorders>
              <w:top w:val="single" w:sz="4" w:space="0" w:color="auto"/>
              <w:left w:val="single" w:sz="4" w:space="0" w:color="auto"/>
              <w:bottom w:val="single" w:sz="4" w:space="0" w:color="auto"/>
              <w:right w:val="single" w:sz="4" w:space="0" w:color="auto"/>
            </w:tcBorders>
            <w:hideMark/>
          </w:tcPr>
          <w:p w:rsidR="00BD5B7F" w:rsidRPr="00FF6562" w:rsidRDefault="00BD5B7F" w:rsidP="000E5961">
            <w:pPr>
              <w:rPr>
                <w:rFonts w:ascii="Arial" w:eastAsia="Calibri" w:hAnsi="Arial" w:cs="Arial"/>
                <w:color w:val="000000"/>
                <w:sz w:val="22"/>
                <w:szCs w:val="22"/>
              </w:rPr>
            </w:pPr>
            <w:r w:rsidRPr="00FF6562">
              <w:rPr>
                <w:rFonts w:ascii="Arial" w:eastAsia="Arial" w:hAnsi="Arial" w:cs="Arial"/>
                <w:color w:val="000000"/>
                <w:sz w:val="22"/>
                <w:szCs w:val="22"/>
                <w:bdr w:val="none" w:sz="0" w:space="0" w:color="auto" w:frame="1"/>
              </w:rPr>
              <w:t>XXX</w:t>
            </w:r>
          </w:p>
        </w:tc>
        <w:tc>
          <w:tcPr>
            <w:tcW w:w="1304" w:type="dxa"/>
            <w:tcBorders>
              <w:top w:val="single" w:sz="4" w:space="0" w:color="auto"/>
              <w:left w:val="single" w:sz="4" w:space="0" w:color="auto"/>
              <w:bottom w:val="single" w:sz="4" w:space="0" w:color="auto"/>
              <w:right w:val="single" w:sz="4" w:space="0" w:color="auto"/>
            </w:tcBorders>
            <w:shd w:val="clear" w:color="auto" w:fill="92D050"/>
          </w:tcPr>
          <w:p w:rsidR="00BD5B7F" w:rsidRPr="00FF6562" w:rsidRDefault="00BD5B7F" w:rsidP="000E5961">
            <w:pPr>
              <w:rPr>
                <w:rFonts w:ascii="Arial" w:eastAsia="Calibri" w:hAnsi="Arial" w:cs="Arial"/>
                <w:color w:val="000000"/>
                <w:sz w:val="22"/>
                <w:szCs w:val="22"/>
              </w:rPr>
            </w:pPr>
          </w:p>
        </w:tc>
        <w:tc>
          <w:tcPr>
            <w:tcW w:w="1921" w:type="dxa"/>
            <w:tcBorders>
              <w:top w:val="single" w:sz="4" w:space="0" w:color="auto"/>
              <w:left w:val="single" w:sz="4" w:space="0" w:color="auto"/>
              <w:bottom w:val="single" w:sz="4" w:space="0" w:color="auto"/>
              <w:right w:val="single" w:sz="4" w:space="0" w:color="auto"/>
            </w:tcBorders>
            <w:shd w:val="clear" w:color="auto" w:fill="00B050"/>
          </w:tcPr>
          <w:p w:rsidR="00BD5B7F" w:rsidRPr="00FF6562" w:rsidRDefault="00BD5B7F" w:rsidP="000E5961">
            <w:pPr>
              <w:rPr>
                <w:rFonts w:ascii="Arial" w:eastAsia="Calibri" w:hAnsi="Arial" w:cs="Arial"/>
                <w:color w:val="000000"/>
                <w:sz w:val="22"/>
                <w:szCs w:val="22"/>
              </w:rPr>
            </w:pPr>
          </w:p>
        </w:tc>
        <w:tc>
          <w:tcPr>
            <w:tcW w:w="1622" w:type="dxa"/>
            <w:tcBorders>
              <w:top w:val="single" w:sz="4" w:space="0" w:color="auto"/>
              <w:left w:val="single" w:sz="4" w:space="0" w:color="auto"/>
              <w:bottom w:val="single" w:sz="4" w:space="0" w:color="auto"/>
              <w:right w:val="single" w:sz="4" w:space="0" w:color="auto"/>
            </w:tcBorders>
            <w:shd w:val="clear" w:color="auto" w:fill="FF6600"/>
          </w:tcPr>
          <w:p w:rsidR="00BD5B7F" w:rsidRPr="00FF6562" w:rsidRDefault="00BD5B7F" w:rsidP="000E5961">
            <w:pPr>
              <w:rPr>
                <w:rFonts w:ascii="Arial" w:eastAsia="Calibri" w:hAnsi="Arial" w:cs="Arial"/>
                <w:color w:val="000000"/>
                <w:sz w:val="22"/>
                <w:szCs w:val="22"/>
                <w:highlight w:val="red"/>
              </w:rPr>
            </w:pPr>
          </w:p>
        </w:tc>
        <w:tc>
          <w:tcPr>
            <w:tcW w:w="1447" w:type="dxa"/>
            <w:tcBorders>
              <w:top w:val="single" w:sz="4" w:space="0" w:color="auto"/>
              <w:left w:val="single" w:sz="4" w:space="0" w:color="auto"/>
              <w:bottom w:val="single" w:sz="4" w:space="0" w:color="auto"/>
              <w:right w:val="single" w:sz="4" w:space="0" w:color="auto"/>
            </w:tcBorders>
            <w:shd w:val="clear" w:color="auto" w:fill="FFFF00"/>
          </w:tcPr>
          <w:p w:rsidR="00BD5B7F" w:rsidRPr="00FF6562" w:rsidRDefault="00BD5B7F" w:rsidP="000E5961">
            <w:pPr>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BD5B7F" w:rsidRPr="00FF6562" w:rsidRDefault="00BD5B7F" w:rsidP="000E5961">
            <w:pPr>
              <w:rPr>
                <w:rFonts w:ascii="Arial" w:eastAsia="Calibri" w:hAnsi="Arial" w:cs="Arial"/>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0000"/>
          </w:tcPr>
          <w:p w:rsidR="00BD5B7F" w:rsidRPr="00FF6562" w:rsidRDefault="00BD5B7F" w:rsidP="000E5961">
            <w:pPr>
              <w:rPr>
                <w:rFonts w:ascii="Arial" w:eastAsia="Calibri" w:hAnsi="Arial" w:cs="Arial"/>
                <w:color w:val="000000"/>
                <w:sz w:val="22"/>
                <w:szCs w:val="22"/>
              </w:rPr>
            </w:pPr>
          </w:p>
        </w:tc>
      </w:tr>
      <w:tr w:rsidR="00BD5B7F" w:rsidRPr="00FF6562" w:rsidTr="000E5961">
        <w:tc>
          <w:tcPr>
            <w:tcW w:w="1116" w:type="dxa"/>
            <w:tcBorders>
              <w:top w:val="single" w:sz="4" w:space="0" w:color="auto"/>
              <w:left w:val="single" w:sz="4" w:space="0" w:color="auto"/>
              <w:bottom w:val="single" w:sz="4" w:space="0" w:color="auto"/>
              <w:right w:val="single" w:sz="4" w:space="0" w:color="auto"/>
            </w:tcBorders>
            <w:hideMark/>
          </w:tcPr>
          <w:p w:rsidR="00BD5B7F" w:rsidRPr="00FF6562" w:rsidRDefault="00BD5B7F" w:rsidP="000E5961">
            <w:pPr>
              <w:rPr>
                <w:rFonts w:ascii="Arial" w:eastAsia="Calibri" w:hAnsi="Arial" w:cs="Arial"/>
                <w:color w:val="000000"/>
                <w:sz w:val="22"/>
                <w:szCs w:val="22"/>
              </w:rPr>
            </w:pPr>
            <w:r w:rsidRPr="00FF6562">
              <w:rPr>
                <w:rFonts w:ascii="Arial" w:eastAsia="Arial" w:hAnsi="Arial" w:cs="Arial"/>
                <w:color w:val="000000"/>
                <w:sz w:val="22"/>
                <w:szCs w:val="22"/>
                <w:bdr w:val="none" w:sz="0" w:space="0" w:color="auto" w:frame="1"/>
              </w:rPr>
              <w:t>YYY</w:t>
            </w:r>
          </w:p>
        </w:tc>
        <w:tc>
          <w:tcPr>
            <w:tcW w:w="1304" w:type="dxa"/>
            <w:tcBorders>
              <w:top w:val="single" w:sz="4" w:space="0" w:color="auto"/>
              <w:left w:val="single" w:sz="4" w:space="0" w:color="auto"/>
              <w:bottom w:val="single" w:sz="4" w:space="0" w:color="auto"/>
              <w:right w:val="single" w:sz="4" w:space="0" w:color="auto"/>
            </w:tcBorders>
            <w:shd w:val="clear" w:color="auto" w:fill="FF6600"/>
          </w:tcPr>
          <w:p w:rsidR="00BD5B7F" w:rsidRPr="00FF6562" w:rsidRDefault="00BD5B7F" w:rsidP="000E5961">
            <w:pPr>
              <w:rPr>
                <w:rFonts w:ascii="Arial" w:eastAsia="Calibri" w:hAnsi="Arial" w:cs="Arial"/>
                <w:color w:val="000000"/>
                <w:sz w:val="22"/>
                <w:szCs w:val="22"/>
              </w:rPr>
            </w:pPr>
          </w:p>
        </w:tc>
        <w:tc>
          <w:tcPr>
            <w:tcW w:w="1921" w:type="dxa"/>
            <w:tcBorders>
              <w:top w:val="single" w:sz="4" w:space="0" w:color="auto"/>
              <w:left w:val="single" w:sz="4" w:space="0" w:color="auto"/>
              <w:bottom w:val="single" w:sz="4" w:space="0" w:color="auto"/>
              <w:right w:val="single" w:sz="4" w:space="0" w:color="auto"/>
            </w:tcBorders>
            <w:shd w:val="clear" w:color="auto" w:fill="FFFF00"/>
          </w:tcPr>
          <w:p w:rsidR="00BD5B7F" w:rsidRPr="00FF6562" w:rsidRDefault="00BD5B7F" w:rsidP="000E5961">
            <w:pPr>
              <w:rPr>
                <w:rFonts w:ascii="Arial" w:eastAsia="Calibri" w:hAnsi="Arial" w:cs="Arial"/>
                <w:color w:val="000000"/>
                <w:sz w:val="22"/>
                <w:szCs w:val="22"/>
              </w:rPr>
            </w:pPr>
          </w:p>
        </w:tc>
        <w:tc>
          <w:tcPr>
            <w:tcW w:w="1622" w:type="dxa"/>
            <w:tcBorders>
              <w:top w:val="single" w:sz="4" w:space="0" w:color="auto"/>
              <w:left w:val="single" w:sz="4" w:space="0" w:color="auto"/>
              <w:bottom w:val="single" w:sz="4" w:space="0" w:color="auto"/>
              <w:right w:val="single" w:sz="4" w:space="0" w:color="auto"/>
            </w:tcBorders>
            <w:shd w:val="clear" w:color="auto" w:fill="FFFF00"/>
          </w:tcPr>
          <w:p w:rsidR="00BD5B7F" w:rsidRPr="00FF6562" w:rsidRDefault="00BD5B7F" w:rsidP="000E5961">
            <w:pPr>
              <w:rPr>
                <w:rFonts w:ascii="Arial" w:eastAsia="Calibri" w:hAnsi="Arial" w:cs="Arial"/>
                <w:color w:val="000000"/>
                <w:sz w:val="22"/>
                <w:szCs w:val="22"/>
              </w:rPr>
            </w:pPr>
          </w:p>
        </w:tc>
        <w:tc>
          <w:tcPr>
            <w:tcW w:w="1447" w:type="dxa"/>
            <w:tcBorders>
              <w:top w:val="single" w:sz="4" w:space="0" w:color="auto"/>
              <w:left w:val="single" w:sz="4" w:space="0" w:color="auto"/>
              <w:bottom w:val="single" w:sz="4" w:space="0" w:color="auto"/>
              <w:right w:val="single" w:sz="4" w:space="0" w:color="auto"/>
            </w:tcBorders>
            <w:shd w:val="clear" w:color="auto" w:fill="00B050"/>
          </w:tcPr>
          <w:p w:rsidR="00BD5B7F" w:rsidRPr="00FF6562" w:rsidRDefault="00BD5B7F" w:rsidP="000E5961">
            <w:pPr>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00B050"/>
          </w:tcPr>
          <w:p w:rsidR="00BD5B7F" w:rsidRPr="00FF6562" w:rsidRDefault="00BD5B7F" w:rsidP="000E5961">
            <w:pPr>
              <w:rPr>
                <w:rFonts w:ascii="Arial" w:eastAsia="Calibri" w:hAnsi="Arial" w:cs="Arial"/>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C000"/>
          </w:tcPr>
          <w:p w:rsidR="00BD5B7F" w:rsidRPr="00FF6562" w:rsidRDefault="00BD5B7F" w:rsidP="000E5961">
            <w:pPr>
              <w:rPr>
                <w:rFonts w:ascii="Arial" w:eastAsia="Calibri" w:hAnsi="Arial" w:cs="Arial"/>
                <w:color w:val="000000"/>
                <w:sz w:val="22"/>
                <w:szCs w:val="22"/>
              </w:rPr>
            </w:pPr>
          </w:p>
        </w:tc>
      </w:tr>
      <w:tr w:rsidR="00BD5B7F" w:rsidRPr="00FF6562" w:rsidTr="000E5961">
        <w:tc>
          <w:tcPr>
            <w:tcW w:w="1116" w:type="dxa"/>
            <w:tcBorders>
              <w:top w:val="single" w:sz="4" w:space="0" w:color="auto"/>
              <w:left w:val="single" w:sz="4" w:space="0" w:color="auto"/>
              <w:bottom w:val="single" w:sz="4" w:space="0" w:color="auto"/>
              <w:right w:val="single" w:sz="4" w:space="0" w:color="auto"/>
            </w:tcBorders>
            <w:hideMark/>
          </w:tcPr>
          <w:p w:rsidR="00BD5B7F" w:rsidRPr="00FF6562" w:rsidRDefault="00BD5B7F" w:rsidP="000E5961">
            <w:pPr>
              <w:rPr>
                <w:rFonts w:ascii="Arial" w:eastAsia="Calibri" w:hAnsi="Arial" w:cs="Arial"/>
                <w:color w:val="000000"/>
                <w:sz w:val="22"/>
                <w:szCs w:val="22"/>
              </w:rPr>
            </w:pPr>
            <w:r w:rsidRPr="00FF6562">
              <w:rPr>
                <w:rFonts w:ascii="Arial" w:eastAsia="Arial" w:hAnsi="Arial" w:cs="Arial"/>
                <w:color w:val="000000"/>
                <w:sz w:val="22"/>
                <w:szCs w:val="22"/>
                <w:bdr w:val="none" w:sz="0" w:space="0" w:color="auto" w:frame="1"/>
              </w:rPr>
              <w:t>ZZZ</w:t>
            </w:r>
          </w:p>
        </w:tc>
        <w:tc>
          <w:tcPr>
            <w:tcW w:w="1304" w:type="dxa"/>
            <w:tcBorders>
              <w:top w:val="single" w:sz="4" w:space="0" w:color="auto"/>
              <w:left w:val="single" w:sz="4" w:space="0" w:color="auto"/>
              <w:bottom w:val="single" w:sz="4" w:space="0" w:color="auto"/>
              <w:right w:val="single" w:sz="4" w:space="0" w:color="auto"/>
            </w:tcBorders>
            <w:shd w:val="clear" w:color="auto" w:fill="00B050"/>
          </w:tcPr>
          <w:p w:rsidR="00BD5B7F" w:rsidRPr="00FF6562" w:rsidRDefault="00BD5B7F" w:rsidP="000E5961">
            <w:pPr>
              <w:rPr>
                <w:rFonts w:ascii="Arial" w:eastAsia="Calibri" w:hAnsi="Arial" w:cs="Arial"/>
                <w:color w:val="000000"/>
                <w:sz w:val="22"/>
                <w:szCs w:val="22"/>
              </w:rPr>
            </w:pPr>
          </w:p>
        </w:tc>
        <w:tc>
          <w:tcPr>
            <w:tcW w:w="1921" w:type="dxa"/>
            <w:tcBorders>
              <w:top w:val="single" w:sz="4" w:space="0" w:color="auto"/>
              <w:left w:val="single" w:sz="4" w:space="0" w:color="auto"/>
              <w:bottom w:val="single" w:sz="4" w:space="0" w:color="auto"/>
              <w:right w:val="single" w:sz="4" w:space="0" w:color="auto"/>
            </w:tcBorders>
            <w:shd w:val="clear" w:color="auto" w:fill="00B050"/>
          </w:tcPr>
          <w:p w:rsidR="00BD5B7F" w:rsidRPr="00FF6562" w:rsidRDefault="00BD5B7F" w:rsidP="000E5961">
            <w:pPr>
              <w:rPr>
                <w:rFonts w:ascii="Arial" w:eastAsia="Calibri" w:hAnsi="Arial" w:cs="Arial"/>
                <w:color w:val="000000"/>
                <w:sz w:val="22"/>
                <w:szCs w:val="22"/>
              </w:rPr>
            </w:pPr>
          </w:p>
        </w:tc>
        <w:tc>
          <w:tcPr>
            <w:tcW w:w="1622" w:type="dxa"/>
            <w:tcBorders>
              <w:top w:val="single" w:sz="4" w:space="0" w:color="auto"/>
              <w:left w:val="single" w:sz="4" w:space="0" w:color="auto"/>
              <w:bottom w:val="single" w:sz="4" w:space="0" w:color="auto"/>
              <w:right w:val="single" w:sz="4" w:space="0" w:color="auto"/>
            </w:tcBorders>
            <w:shd w:val="clear" w:color="auto" w:fill="FFFF00"/>
          </w:tcPr>
          <w:p w:rsidR="00BD5B7F" w:rsidRPr="00FF6562" w:rsidRDefault="00BD5B7F" w:rsidP="000E5961">
            <w:pPr>
              <w:rPr>
                <w:rFonts w:ascii="Arial" w:eastAsia="Calibri" w:hAnsi="Arial" w:cs="Arial"/>
                <w:color w:val="000000"/>
                <w:sz w:val="22"/>
                <w:szCs w:val="22"/>
              </w:rPr>
            </w:pPr>
          </w:p>
        </w:tc>
        <w:tc>
          <w:tcPr>
            <w:tcW w:w="1447" w:type="dxa"/>
            <w:tcBorders>
              <w:top w:val="single" w:sz="4" w:space="0" w:color="auto"/>
              <w:left w:val="single" w:sz="4" w:space="0" w:color="auto"/>
              <w:bottom w:val="single" w:sz="4" w:space="0" w:color="auto"/>
              <w:right w:val="single" w:sz="4" w:space="0" w:color="auto"/>
            </w:tcBorders>
            <w:shd w:val="clear" w:color="auto" w:fill="92D050"/>
          </w:tcPr>
          <w:p w:rsidR="00BD5B7F" w:rsidRPr="00FF6562" w:rsidRDefault="00BD5B7F" w:rsidP="000E5961">
            <w:pPr>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BD5B7F" w:rsidRPr="00FF6562" w:rsidRDefault="00BD5B7F" w:rsidP="000E5961">
            <w:pPr>
              <w:rPr>
                <w:rFonts w:ascii="Arial" w:eastAsia="Calibri" w:hAnsi="Arial" w:cs="Arial"/>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6600"/>
          </w:tcPr>
          <w:p w:rsidR="00BD5B7F" w:rsidRPr="00FF6562" w:rsidRDefault="00BD5B7F" w:rsidP="000E5961">
            <w:pPr>
              <w:rPr>
                <w:rFonts w:ascii="Arial" w:eastAsia="Calibri" w:hAnsi="Arial" w:cs="Arial"/>
                <w:color w:val="000000"/>
                <w:sz w:val="22"/>
                <w:szCs w:val="22"/>
              </w:rPr>
            </w:pPr>
          </w:p>
        </w:tc>
      </w:tr>
      <w:tr w:rsidR="00BD5B7F" w:rsidRPr="00FF6562" w:rsidTr="000E5961">
        <w:tc>
          <w:tcPr>
            <w:tcW w:w="1116" w:type="dxa"/>
            <w:tcBorders>
              <w:top w:val="single" w:sz="4" w:space="0" w:color="auto"/>
              <w:left w:val="single" w:sz="4" w:space="0" w:color="auto"/>
              <w:bottom w:val="single" w:sz="4" w:space="0" w:color="auto"/>
              <w:right w:val="single" w:sz="4" w:space="0" w:color="auto"/>
            </w:tcBorders>
            <w:hideMark/>
          </w:tcPr>
          <w:p w:rsidR="00BD5B7F" w:rsidRPr="00FF6562" w:rsidRDefault="00BD5B7F" w:rsidP="000E5961">
            <w:pPr>
              <w:rPr>
                <w:rFonts w:ascii="Arial" w:eastAsia="Calibri" w:hAnsi="Arial" w:cs="Arial"/>
                <w:color w:val="000000"/>
                <w:sz w:val="22"/>
                <w:szCs w:val="22"/>
              </w:rPr>
            </w:pPr>
            <w:r w:rsidRPr="00FF6562">
              <w:rPr>
                <w:rFonts w:ascii="Arial" w:eastAsia="Calibri" w:hAnsi="Arial" w:cs="Arial"/>
                <w:color w:val="000000"/>
                <w:sz w:val="22"/>
                <w:szCs w:val="22"/>
              </w:rPr>
              <w:t>....</w:t>
            </w:r>
          </w:p>
        </w:tc>
        <w:tc>
          <w:tcPr>
            <w:tcW w:w="1304" w:type="dxa"/>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22"/>
                <w:szCs w:val="22"/>
              </w:rPr>
            </w:pPr>
          </w:p>
        </w:tc>
        <w:tc>
          <w:tcPr>
            <w:tcW w:w="1921" w:type="dxa"/>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22"/>
                <w:szCs w:val="22"/>
              </w:rPr>
            </w:pPr>
          </w:p>
        </w:tc>
        <w:tc>
          <w:tcPr>
            <w:tcW w:w="1622" w:type="dxa"/>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22"/>
                <w:szCs w:val="22"/>
              </w:rPr>
            </w:pPr>
          </w:p>
        </w:tc>
        <w:tc>
          <w:tcPr>
            <w:tcW w:w="1447" w:type="dxa"/>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22"/>
                <w:szCs w:val="22"/>
              </w:rPr>
            </w:pPr>
          </w:p>
        </w:tc>
      </w:tr>
    </w:tbl>
    <w:p w:rsidR="00BD5B7F" w:rsidRPr="00FF6562" w:rsidRDefault="00BD5B7F" w:rsidP="00BD5B7F">
      <w:pPr>
        <w:jc w:val="both"/>
        <w:rPr>
          <w:rFonts w:ascii="Arial" w:eastAsia="Calibri" w:hAnsi="Arial" w:cs="Arial"/>
          <w:color w:val="000000"/>
          <w:sz w:val="22"/>
          <w:szCs w:val="22"/>
        </w:rPr>
      </w:pPr>
    </w:p>
    <w:p w:rsidR="00BD5B7F" w:rsidRPr="00865DA5" w:rsidRDefault="00BD5B7F" w:rsidP="00BD5B7F">
      <w:pPr>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 xml:space="preserve">Les six scores ensemble permettront une meilleure auto-évaluation des efforts déployés et des succès de chaque pays pour lutter contre l’abattage illégal des oiseaux sauvages, et les icônes suivantes pourront être utilisées comme indicateurs des résultats auto-évalués : </w:t>
      </w:r>
    </w:p>
    <w:p w:rsidR="00BD5B7F" w:rsidRPr="00865DA5" w:rsidRDefault="00BD5B7F" w:rsidP="00BD5B7F">
      <w:pPr>
        <w:jc w:val="both"/>
        <w:rPr>
          <w:rFonts w:ascii="Arial" w:eastAsia="Calibri" w:hAnsi="Arial" w:cs="Arial"/>
          <w:color w:val="000000"/>
          <w:sz w:val="22"/>
          <w:szCs w:val="22"/>
          <w:lang w:val="fr-FR"/>
        </w:rPr>
      </w:pPr>
    </w:p>
    <w:tbl>
      <w:tblPr>
        <w:tblW w:w="0" w:type="auto"/>
        <w:tblInd w:w="628" w:type="dxa"/>
        <w:tblLook w:val="04A0" w:firstRow="1" w:lastRow="0" w:firstColumn="1" w:lastColumn="0" w:noHBand="0" w:noVBand="1"/>
      </w:tblPr>
      <w:tblGrid>
        <w:gridCol w:w="1507"/>
        <w:gridCol w:w="3421"/>
      </w:tblGrid>
      <w:tr w:rsidR="00BD5B7F" w:rsidRPr="00FC42B0" w:rsidTr="000E5961">
        <w:tc>
          <w:tcPr>
            <w:tcW w:w="1507" w:type="dxa"/>
            <w:vAlign w:val="center"/>
            <w:hideMark/>
          </w:tcPr>
          <w:p w:rsidR="00BD5B7F" w:rsidRPr="00FF6562" w:rsidRDefault="00BD5B7F" w:rsidP="000E5961">
            <w:pPr>
              <w:jc w:val="center"/>
              <w:rPr>
                <w:rFonts w:ascii="Arial" w:eastAsia="Calibri" w:hAnsi="Arial" w:cs="Arial"/>
                <w:color w:val="000000"/>
                <w:sz w:val="18"/>
                <w:szCs w:val="22"/>
              </w:rPr>
            </w:pPr>
            <w:r w:rsidRPr="00FF6562">
              <w:rPr>
                <w:rFonts w:ascii="Arial" w:eastAsia="Calibri" w:hAnsi="Arial" w:cs="Arial"/>
                <w:noProof/>
                <w:color w:val="000000"/>
                <w:sz w:val="18"/>
                <w:szCs w:val="22"/>
                <w:lang w:val="fr-FR" w:eastAsia="fr-FR"/>
              </w:rPr>
              <w:drawing>
                <wp:inline distT="0" distB="0" distL="0" distR="0" wp14:anchorId="45E3553F" wp14:editId="3D4A2E20">
                  <wp:extent cx="438150" cy="352425"/>
                  <wp:effectExtent l="0" t="0" r="0" b="9525"/>
                  <wp:docPr id="6" name="Picture 6" descr="deadbi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deadbird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50" cy="352425"/>
                          </a:xfrm>
                          <a:prstGeom prst="rect">
                            <a:avLst/>
                          </a:prstGeom>
                          <a:noFill/>
                          <a:ln>
                            <a:noFill/>
                          </a:ln>
                        </pic:spPr>
                      </pic:pic>
                    </a:graphicData>
                  </a:graphic>
                </wp:inline>
              </w:drawing>
            </w:r>
          </w:p>
        </w:tc>
        <w:tc>
          <w:tcPr>
            <w:tcW w:w="3421" w:type="dxa"/>
            <w:vAlign w:val="center"/>
            <w:hideMark/>
          </w:tcPr>
          <w:p w:rsidR="00BD5B7F" w:rsidRPr="00865DA5" w:rsidRDefault="00BD5B7F" w:rsidP="000E5961">
            <w:pPr>
              <w:rPr>
                <w:rFonts w:ascii="Arial" w:eastAsia="Calibri" w:hAnsi="Arial" w:cs="Arial"/>
                <w:color w:val="000000"/>
                <w:sz w:val="18"/>
                <w:szCs w:val="22"/>
                <w:lang w:val="fr-FR"/>
              </w:rPr>
            </w:pPr>
            <w:r w:rsidRPr="00865DA5">
              <w:rPr>
                <w:rFonts w:ascii="Arial" w:eastAsia="Arial" w:hAnsi="Arial" w:cs="Arial"/>
                <w:color w:val="000000"/>
                <w:sz w:val="18"/>
                <w:szCs w:val="22"/>
                <w:bdr w:val="none" w:sz="0" w:space="0" w:color="auto" w:frame="1"/>
                <w:lang w:val="fr-FR"/>
              </w:rPr>
              <w:t>Le problème de l’IKB nécessite toujours un effort important</w:t>
            </w:r>
          </w:p>
        </w:tc>
      </w:tr>
      <w:tr w:rsidR="00BD5B7F" w:rsidRPr="00FC42B0" w:rsidTr="000E5961">
        <w:tc>
          <w:tcPr>
            <w:tcW w:w="1507" w:type="dxa"/>
            <w:vAlign w:val="center"/>
            <w:hideMark/>
          </w:tcPr>
          <w:p w:rsidR="00BD5B7F" w:rsidRPr="00FF6562" w:rsidRDefault="00BD5B7F" w:rsidP="000E5961">
            <w:pPr>
              <w:jc w:val="center"/>
              <w:rPr>
                <w:rFonts w:ascii="Arial" w:eastAsia="Calibri" w:hAnsi="Arial" w:cs="Arial"/>
                <w:color w:val="000000"/>
                <w:sz w:val="18"/>
                <w:szCs w:val="22"/>
              </w:rPr>
            </w:pPr>
            <w:r w:rsidRPr="00FF6562">
              <w:rPr>
                <w:rFonts w:ascii="Arial" w:eastAsia="Calibri" w:hAnsi="Arial" w:cs="Arial"/>
                <w:noProof/>
                <w:color w:val="000000"/>
                <w:sz w:val="18"/>
                <w:szCs w:val="22"/>
                <w:lang w:val="fr-FR" w:eastAsia="fr-FR"/>
              </w:rPr>
              <w:drawing>
                <wp:inline distT="0" distB="0" distL="0" distR="0" wp14:anchorId="19D4C35C" wp14:editId="12576536">
                  <wp:extent cx="361950" cy="409575"/>
                  <wp:effectExtent l="0" t="0" r="0" b="9525"/>
                  <wp:docPr id="10" name="Picture 5" descr="Bird perched rever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Bird perched reversed.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1950" cy="409575"/>
                          </a:xfrm>
                          <a:prstGeom prst="rect">
                            <a:avLst/>
                          </a:prstGeom>
                          <a:noFill/>
                          <a:ln>
                            <a:noFill/>
                          </a:ln>
                        </pic:spPr>
                      </pic:pic>
                    </a:graphicData>
                  </a:graphic>
                </wp:inline>
              </w:drawing>
            </w:r>
          </w:p>
        </w:tc>
        <w:tc>
          <w:tcPr>
            <w:tcW w:w="3421" w:type="dxa"/>
            <w:vAlign w:val="center"/>
            <w:hideMark/>
          </w:tcPr>
          <w:p w:rsidR="00BD5B7F" w:rsidRPr="00865DA5" w:rsidRDefault="00BD5B7F" w:rsidP="000E5961">
            <w:pPr>
              <w:rPr>
                <w:rFonts w:ascii="Arial" w:eastAsia="Calibri" w:hAnsi="Arial" w:cs="Arial"/>
                <w:color w:val="000000"/>
                <w:sz w:val="18"/>
                <w:szCs w:val="22"/>
                <w:lang w:val="fr-FR"/>
              </w:rPr>
            </w:pPr>
            <w:r w:rsidRPr="00865DA5">
              <w:rPr>
                <w:rFonts w:ascii="Arial" w:eastAsia="Arial" w:hAnsi="Arial" w:cs="Arial"/>
                <w:color w:val="000000"/>
                <w:sz w:val="18"/>
                <w:szCs w:val="22"/>
                <w:bdr w:val="none" w:sz="0" w:space="0" w:color="auto" w:frame="1"/>
                <w:lang w:val="fr-FR"/>
              </w:rPr>
              <w:t xml:space="preserve">Le problème de l’IKB nécessite davantage d’efforts </w:t>
            </w:r>
          </w:p>
        </w:tc>
      </w:tr>
      <w:tr w:rsidR="00BD5B7F" w:rsidRPr="00FC42B0" w:rsidTr="000E5961">
        <w:tc>
          <w:tcPr>
            <w:tcW w:w="1507" w:type="dxa"/>
            <w:vAlign w:val="center"/>
            <w:hideMark/>
          </w:tcPr>
          <w:p w:rsidR="00BD5B7F" w:rsidRPr="00FF6562" w:rsidRDefault="00BD5B7F" w:rsidP="000E5961">
            <w:pPr>
              <w:jc w:val="center"/>
              <w:rPr>
                <w:rFonts w:ascii="Arial" w:eastAsia="Calibri" w:hAnsi="Arial" w:cs="Arial"/>
                <w:color w:val="000000"/>
                <w:sz w:val="18"/>
                <w:szCs w:val="22"/>
              </w:rPr>
            </w:pPr>
            <w:r w:rsidRPr="00FF6562">
              <w:rPr>
                <w:rFonts w:ascii="Arial" w:eastAsia="Calibri" w:hAnsi="Arial" w:cs="Arial"/>
                <w:noProof/>
                <w:color w:val="000000"/>
                <w:sz w:val="18"/>
                <w:szCs w:val="22"/>
                <w:lang w:val="fr-FR" w:eastAsia="fr-FR"/>
              </w:rPr>
              <w:lastRenderedPageBreak/>
              <w:drawing>
                <wp:inline distT="0" distB="0" distL="0" distR="0" wp14:anchorId="3743ADB6" wp14:editId="3A6BE853">
                  <wp:extent cx="457200" cy="390525"/>
                  <wp:effectExtent l="0" t="0" r="0" b="9525"/>
                  <wp:docPr id="12" name="Picture 4" descr="bird fly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bird flying.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c>
          <w:tcPr>
            <w:tcW w:w="3421" w:type="dxa"/>
            <w:vAlign w:val="center"/>
            <w:hideMark/>
          </w:tcPr>
          <w:p w:rsidR="00BD5B7F" w:rsidRPr="00865DA5" w:rsidRDefault="00BD5B7F" w:rsidP="000E5961">
            <w:pPr>
              <w:rPr>
                <w:rFonts w:ascii="Arial" w:eastAsia="Calibri" w:hAnsi="Arial" w:cs="Arial"/>
                <w:color w:val="000000"/>
                <w:sz w:val="18"/>
                <w:szCs w:val="22"/>
                <w:lang w:val="fr-FR"/>
              </w:rPr>
            </w:pPr>
            <w:r w:rsidRPr="00865DA5">
              <w:rPr>
                <w:rFonts w:ascii="Arial" w:eastAsia="Arial" w:hAnsi="Arial" w:cs="Arial"/>
                <w:color w:val="000000"/>
                <w:sz w:val="18"/>
                <w:szCs w:val="22"/>
                <w:bdr w:val="none" w:sz="0" w:space="0" w:color="auto" w:frame="1"/>
                <w:lang w:val="fr-FR"/>
              </w:rPr>
              <w:t>Le problème de l’IKB est en grande partie traité</w:t>
            </w:r>
          </w:p>
        </w:tc>
      </w:tr>
    </w:tbl>
    <w:p w:rsidR="00BD5B7F" w:rsidRPr="00865DA5" w:rsidRDefault="00BD5B7F" w:rsidP="00BD5B7F">
      <w:pPr>
        <w:rPr>
          <w:rFonts w:ascii="Arial" w:eastAsia="Calibri" w:hAnsi="Arial" w:cs="Arial"/>
          <w:color w:val="4F81BD"/>
          <w:sz w:val="30"/>
          <w:szCs w:val="26"/>
          <w:highlight w:val="green"/>
          <w:lang w:val="fr-FR"/>
        </w:rPr>
      </w:pPr>
      <w:r w:rsidRPr="00865DA5">
        <w:rPr>
          <w:rFonts w:ascii="Arial" w:eastAsia="Calibri" w:hAnsi="Arial" w:cs="Arial"/>
          <w:color w:val="4F81BD"/>
          <w:sz w:val="30"/>
          <w:szCs w:val="26"/>
          <w:highlight w:val="green"/>
          <w:lang w:val="fr-FR"/>
        </w:rPr>
        <w:br w:type="page"/>
      </w:r>
    </w:p>
    <w:p w:rsidR="00BD5B7F" w:rsidRPr="00865DA5" w:rsidRDefault="00BD5B7F" w:rsidP="00BD5B7F">
      <w:pPr>
        <w:rPr>
          <w:rFonts w:ascii="Arial" w:eastAsia="Calibri" w:hAnsi="Arial" w:cs="Arial"/>
          <w:color w:val="4F81BD"/>
          <w:sz w:val="30"/>
          <w:szCs w:val="26"/>
          <w:highlight w:val="green"/>
          <w:lang w:val="fr-FR"/>
        </w:rPr>
      </w:pPr>
    </w:p>
    <w:p w:rsidR="00BD5B7F" w:rsidRPr="00865DA5" w:rsidRDefault="00BD5B7F" w:rsidP="00BD5B7F">
      <w:pPr>
        <w:rPr>
          <w:rFonts w:ascii="Arial" w:eastAsia="Calibri" w:hAnsi="Arial" w:cs="Arial"/>
          <w:color w:val="000000"/>
          <w:sz w:val="22"/>
          <w:szCs w:val="22"/>
          <w:lang w:val="fr-FR"/>
        </w:rPr>
      </w:pPr>
    </w:p>
    <w:p w:rsidR="00BD5B7F" w:rsidRPr="00865DA5" w:rsidRDefault="00BD5B7F" w:rsidP="00BD5B7F">
      <w:pPr>
        <w:jc w:val="center"/>
        <w:rPr>
          <w:rFonts w:ascii="Arial" w:eastAsia="Calibri" w:hAnsi="Arial" w:cs="Arial"/>
          <w:color w:val="000000"/>
          <w:sz w:val="22"/>
          <w:szCs w:val="22"/>
          <w:lang w:val="fr-FR"/>
        </w:rPr>
      </w:pPr>
      <w:r w:rsidRPr="00FF6562">
        <w:rPr>
          <w:rFonts w:ascii="Arial" w:eastAsia="Calibri" w:hAnsi="Arial" w:cs="Arial"/>
          <w:noProof/>
          <w:color w:val="000000"/>
          <w:sz w:val="22"/>
          <w:szCs w:val="22"/>
          <w:lang w:val="fr-FR" w:eastAsia="fr-FR"/>
        </w:rPr>
        <w:drawing>
          <wp:inline distT="0" distB="0" distL="0" distR="0" wp14:anchorId="16873F94" wp14:editId="5D9EC763">
            <wp:extent cx="1457325" cy="1104900"/>
            <wp:effectExtent l="0" t="0" r="9525" b="0"/>
            <wp:docPr id="13" name="Picture 3" descr="Berner Konven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Berner Konvention.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57325" cy="1104900"/>
                    </a:xfrm>
                    <a:prstGeom prst="rect">
                      <a:avLst/>
                    </a:prstGeom>
                    <a:noFill/>
                    <a:ln>
                      <a:noFill/>
                    </a:ln>
                  </pic:spPr>
                </pic:pic>
              </a:graphicData>
            </a:graphic>
          </wp:inline>
        </w:drawing>
      </w:r>
      <w:r w:rsidRPr="00865DA5">
        <w:rPr>
          <w:rFonts w:ascii="Arial" w:eastAsia="Calibri" w:hAnsi="Arial" w:cs="Arial"/>
          <w:color w:val="000000"/>
          <w:sz w:val="22"/>
          <w:szCs w:val="22"/>
          <w:lang w:val="fr-FR"/>
        </w:rPr>
        <w:t xml:space="preserve"> </w:t>
      </w:r>
      <w:r w:rsidRPr="00FF6562">
        <w:rPr>
          <w:rFonts w:ascii="Arial" w:eastAsia="Calibri" w:hAnsi="Arial" w:cs="Arial"/>
          <w:noProof/>
          <w:color w:val="000000"/>
          <w:sz w:val="22"/>
          <w:szCs w:val="22"/>
          <w:lang w:val="fr-FR" w:eastAsia="fr-FR"/>
        </w:rPr>
        <w:drawing>
          <wp:inline distT="0" distB="0" distL="0" distR="0" wp14:anchorId="2F540AC4" wp14:editId="462DC6F6">
            <wp:extent cx="1190625" cy="1190625"/>
            <wp:effectExtent l="0" t="0" r="9525" b="9525"/>
            <wp:docPr id="14" name="Picture 2" descr="CM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CMS-logo.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r w:rsidRPr="00865DA5">
        <w:rPr>
          <w:rFonts w:ascii="Arial" w:eastAsia="Calibri" w:hAnsi="Arial" w:cs="Arial"/>
          <w:color w:val="000000"/>
          <w:sz w:val="22"/>
          <w:szCs w:val="22"/>
          <w:lang w:val="fr-FR"/>
        </w:rPr>
        <w:t xml:space="preserve"> </w:t>
      </w:r>
      <w:r w:rsidRPr="00FF6562">
        <w:rPr>
          <w:rFonts w:ascii="Arial" w:eastAsia="Calibri" w:hAnsi="Arial" w:cs="Arial"/>
          <w:noProof/>
          <w:color w:val="000000"/>
          <w:sz w:val="22"/>
          <w:szCs w:val="22"/>
          <w:lang w:val="fr-FR" w:eastAsia="fr-FR"/>
        </w:rPr>
        <w:drawing>
          <wp:inline distT="0" distB="0" distL="0" distR="0" wp14:anchorId="6536A953" wp14:editId="7D0ACCCF">
            <wp:extent cx="1914525" cy="1104900"/>
            <wp:effectExtent l="0" t="0" r="9525" b="0"/>
            <wp:docPr id="15" name="Picture 1" descr="mikt-logo_high-re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mikt-logo_high-res_0.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p w:rsidR="00BD5B7F" w:rsidRPr="00865DA5" w:rsidRDefault="00BD5B7F" w:rsidP="00BD5B7F">
      <w:pPr>
        <w:rPr>
          <w:rFonts w:ascii="Arial" w:eastAsia="Calibri" w:hAnsi="Arial" w:cs="Arial"/>
          <w:color w:val="000000"/>
          <w:sz w:val="22"/>
          <w:szCs w:val="22"/>
          <w:lang w:val="fr-FR"/>
        </w:rPr>
      </w:pPr>
    </w:p>
    <w:p w:rsidR="00BD5B7F" w:rsidRPr="00865DA5" w:rsidRDefault="00BD5B7F" w:rsidP="00BD5B7F">
      <w:pPr>
        <w:rPr>
          <w:rFonts w:ascii="Arial" w:eastAsia="Calibri" w:hAnsi="Arial" w:cs="Arial"/>
          <w:color w:val="000000"/>
          <w:sz w:val="22"/>
          <w:szCs w:val="22"/>
          <w:lang w:val="fr-FR"/>
        </w:rPr>
      </w:pPr>
    </w:p>
    <w:p w:rsidR="00BD5B7F" w:rsidRPr="00865DA5" w:rsidRDefault="00BD5B7F" w:rsidP="00BD5B7F">
      <w:pPr>
        <w:keepNext/>
        <w:keepLines/>
        <w:jc w:val="center"/>
        <w:outlineLvl w:val="0"/>
        <w:rPr>
          <w:rFonts w:ascii="Arial" w:hAnsi="Arial" w:cs="Arial"/>
          <w:b/>
          <w:sz w:val="28"/>
          <w:szCs w:val="32"/>
          <w:lang w:val="fr-FR"/>
        </w:rPr>
      </w:pPr>
      <w:bookmarkStart w:id="32" w:name="_Toc491245233"/>
      <w:bookmarkStart w:id="33" w:name="_Toc491245056"/>
      <w:r w:rsidRPr="00865DA5">
        <w:rPr>
          <w:rFonts w:ascii="Arial" w:eastAsia="Arial" w:hAnsi="Arial" w:cs="Arial"/>
          <w:b/>
          <w:bCs/>
          <w:sz w:val="28"/>
          <w:szCs w:val="28"/>
          <w:bdr w:val="none" w:sz="0" w:space="0" w:color="auto" w:frame="1"/>
          <w:lang w:val="fr-FR"/>
        </w:rPr>
        <w:t>Tableau de bord IKB</w:t>
      </w:r>
      <w:bookmarkEnd w:id="32"/>
      <w:bookmarkEnd w:id="33"/>
    </w:p>
    <w:p w:rsidR="00BD5B7F" w:rsidRPr="00865DA5" w:rsidRDefault="00BD5B7F" w:rsidP="00BD5B7F">
      <w:pPr>
        <w:jc w:val="center"/>
        <w:rPr>
          <w:rFonts w:ascii="Arial" w:eastAsia="Calibri" w:hAnsi="Arial" w:cs="Arial"/>
          <w:color w:val="000000"/>
          <w:sz w:val="22"/>
          <w:szCs w:val="22"/>
          <w:lang w:val="fr-FR"/>
        </w:rPr>
      </w:pPr>
    </w:p>
    <w:p w:rsidR="00BD5B7F" w:rsidRPr="00865DA5" w:rsidRDefault="00BD5B7F" w:rsidP="00BD5B7F">
      <w:pPr>
        <w:jc w:val="center"/>
        <w:rPr>
          <w:rFonts w:ascii="Arial" w:eastAsia="Calibri" w:hAnsi="Arial" w:cs="Arial"/>
          <w:b/>
          <w:color w:val="548DD4"/>
          <w:sz w:val="38"/>
          <w:szCs w:val="22"/>
          <w:lang w:val="fr-FR"/>
        </w:rPr>
      </w:pPr>
      <w:bookmarkStart w:id="34" w:name="_Toc477191908"/>
      <w:r w:rsidRPr="00865DA5">
        <w:rPr>
          <w:rFonts w:ascii="Arial" w:eastAsia="Arial" w:hAnsi="Arial" w:cs="Arial"/>
          <w:b/>
          <w:bCs/>
          <w:color w:val="548DD4"/>
          <w:sz w:val="38"/>
          <w:szCs w:val="38"/>
          <w:bdr w:val="none" w:sz="0" w:space="0" w:color="auto" w:frame="1"/>
          <w:lang w:val="fr-FR"/>
        </w:rPr>
        <w:t>Modèle d’évaluation</w:t>
      </w:r>
      <w:bookmarkEnd w:id="34"/>
      <w:r w:rsidRPr="00FF6562">
        <w:rPr>
          <w:rFonts w:ascii="Arial" w:eastAsia="Calibri" w:hAnsi="Arial" w:cs="Arial"/>
          <w:color w:val="548DD4"/>
          <w:sz w:val="28"/>
          <w:szCs w:val="22"/>
          <w:vertAlign w:val="superscript"/>
        </w:rPr>
        <w:footnoteReference w:id="7"/>
      </w:r>
    </w:p>
    <w:p w:rsidR="00BD5B7F" w:rsidRPr="00865DA5" w:rsidRDefault="00BD5B7F" w:rsidP="00BD5B7F">
      <w:pPr>
        <w:jc w:val="center"/>
        <w:rPr>
          <w:rFonts w:ascii="Arial" w:eastAsia="Calibri" w:hAnsi="Arial" w:cs="Arial"/>
          <w:color w:val="000000"/>
          <w:sz w:val="22"/>
          <w:szCs w:val="22"/>
          <w:lang w:val="fr-FR"/>
        </w:rPr>
      </w:pPr>
    </w:p>
    <w:p w:rsidR="00BD5B7F" w:rsidRPr="00865DA5" w:rsidRDefault="00BD5B7F" w:rsidP="00BD5B7F">
      <w:pPr>
        <w:jc w:val="center"/>
        <w:rPr>
          <w:rFonts w:ascii="Arial" w:eastAsia="Calibri" w:hAnsi="Arial" w:cs="Arial"/>
          <w:color w:val="000000"/>
          <w:sz w:val="22"/>
          <w:szCs w:val="22"/>
          <w:lang w:val="fr-FR"/>
        </w:rPr>
      </w:pPr>
    </w:p>
    <w:p w:rsidR="00BD5B7F" w:rsidRPr="00865DA5" w:rsidRDefault="00BD5B7F" w:rsidP="00BD5B7F">
      <w:pPr>
        <w:jc w:val="center"/>
        <w:rPr>
          <w:rFonts w:ascii="Arial" w:eastAsia="Calibri" w:hAnsi="Arial" w:cs="Arial"/>
          <w:color w:val="000000"/>
          <w:sz w:val="22"/>
          <w:szCs w:val="22"/>
          <w:lang w:val="fr-FR"/>
        </w:rPr>
      </w:pPr>
    </w:p>
    <w:tbl>
      <w:tblPr>
        <w:tblW w:w="0" w:type="auto"/>
        <w:jc w:val="center"/>
        <w:tblBorders>
          <w:insideH w:val="single" w:sz="4" w:space="0" w:color="FFFFFF"/>
        </w:tblBorders>
        <w:tblLook w:val="04A0" w:firstRow="1" w:lastRow="0" w:firstColumn="1" w:lastColumn="0" w:noHBand="0" w:noVBand="1"/>
      </w:tblPr>
      <w:tblGrid>
        <w:gridCol w:w="2869"/>
        <w:gridCol w:w="6417"/>
      </w:tblGrid>
      <w:tr w:rsidR="00BD5B7F" w:rsidRPr="00FC42B0" w:rsidTr="000E5961">
        <w:trPr>
          <w:jc w:val="center"/>
        </w:trPr>
        <w:tc>
          <w:tcPr>
            <w:tcW w:w="2943" w:type="dxa"/>
            <w:tcBorders>
              <w:top w:val="nil"/>
              <w:left w:val="nil"/>
              <w:bottom w:val="single" w:sz="4" w:space="0" w:color="FFFFFF"/>
              <w:right w:val="nil"/>
            </w:tcBorders>
            <w:shd w:val="clear" w:color="auto" w:fill="B8CCE4" w:themeFill="accent1" w:themeFillTint="66"/>
          </w:tcPr>
          <w:p w:rsidR="00BD5B7F" w:rsidRPr="00865DA5" w:rsidRDefault="00BD5B7F" w:rsidP="000E5961">
            <w:pPr>
              <w:rPr>
                <w:rFonts w:ascii="Arial" w:eastAsia="Calibri" w:hAnsi="Arial" w:cs="Arial"/>
                <w:b/>
                <w:bCs/>
                <w:color w:val="FFFFFF"/>
                <w:sz w:val="16"/>
                <w:szCs w:val="16"/>
                <w:lang w:val="fr-FR"/>
              </w:rPr>
            </w:pPr>
          </w:p>
        </w:tc>
        <w:tc>
          <w:tcPr>
            <w:tcW w:w="6835" w:type="dxa"/>
            <w:tcBorders>
              <w:top w:val="nil"/>
              <w:left w:val="nil"/>
              <w:bottom w:val="single" w:sz="4" w:space="0" w:color="FFFFFF"/>
              <w:right w:val="nil"/>
            </w:tcBorders>
            <w:shd w:val="clear" w:color="auto" w:fill="B8CCE4" w:themeFill="accent1" w:themeFillTint="66"/>
          </w:tcPr>
          <w:p w:rsidR="00BD5B7F" w:rsidRPr="00865DA5" w:rsidRDefault="00BD5B7F" w:rsidP="000E5961">
            <w:pPr>
              <w:rPr>
                <w:rFonts w:ascii="Arial" w:eastAsia="Calibri" w:hAnsi="Arial" w:cs="Arial"/>
                <w:b/>
                <w:bCs/>
                <w:color w:val="000000"/>
                <w:sz w:val="4"/>
                <w:szCs w:val="4"/>
                <w:lang w:val="fr-FR"/>
              </w:rPr>
            </w:pPr>
          </w:p>
        </w:tc>
      </w:tr>
      <w:tr w:rsidR="00BD5B7F" w:rsidRPr="00FF6562" w:rsidTr="000E5961">
        <w:trPr>
          <w:jc w:val="center"/>
        </w:trPr>
        <w:tc>
          <w:tcPr>
            <w:tcW w:w="2943" w:type="dxa"/>
            <w:tcBorders>
              <w:top w:val="single" w:sz="4" w:space="0" w:color="FFFFFF"/>
              <w:left w:val="nil"/>
              <w:bottom w:val="single" w:sz="4" w:space="0" w:color="FFFFFF"/>
              <w:right w:val="nil"/>
            </w:tcBorders>
            <w:shd w:val="clear" w:color="auto" w:fill="244061" w:themeFill="accent1" w:themeFillShade="80"/>
            <w:hideMark/>
          </w:tcPr>
          <w:p w:rsidR="00BD5B7F" w:rsidRPr="00FF6562" w:rsidRDefault="00BD5B7F" w:rsidP="000E5961">
            <w:pPr>
              <w:rPr>
                <w:rFonts w:ascii="Arial" w:eastAsia="Calibri" w:hAnsi="Arial" w:cs="Arial"/>
                <w:color w:val="FFFFFF"/>
                <w:sz w:val="26"/>
                <w:szCs w:val="26"/>
              </w:rPr>
            </w:pPr>
            <w:r w:rsidRPr="00FF6562">
              <w:rPr>
                <w:rFonts w:ascii="Arial" w:eastAsia="Arial" w:hAnsi="Arial" w:cs="Arial"/>
                <w:color w:val="FFFFFF"/>
                <w:sz w:val="26"/>
                <w:szCs w:val="26"/>
                <w:bdr w:val="none" w:sz="0" w:space="0" w:color="auto" w:frame="1"/>
              </w:rPr>
              <w:t>Pays</w:t>
            </w:r>
          </w:p>
        </w:tc>
        <w:tc>
          <w:tcPr>
            <w:tcW w:w="6835" w:type="dxa"/>
            <w:tcBorders>
              <w:top w:val="single" w:sz="4" w:space="0" w:color="FFFFFF"/>
              <w:left w:val="nil"/>
              <w:bottom w:val="single" w:sz="4" w:space="0" w:color="FFFFFF"/>
              <w:right w:val="nil"/>
            </w:tcBorders>
            <w:shd w:val="clear" w:color="auto" w:fill="92CDDC" w:themeFill="accent5" w:themeFillTint="99"/>
          </w:tcPr>
          <w:p w:rsidR="00BD5B7F" w:rsidRPr="00FF6562" w:rsidRDefault="00BD5B7F" w:rsidP="000E5961">
            <w:pPr>
              <w:rPr>
                <w:rFonts w:ascii="Arial" w:eastAsia="Calibri" w:hAnsi="Arial" w:cs="Arial"/>
                <w:color w:val="000000"/>
                <w:sz w:val="22"/>
                <w:szCs w:val="22"/>
              </w:rPr>
            </w:pPr>
          </w:p>
        </w:tc>
      </w:tr>
      <w:tr w:rsidR="00BD5B7F" w:rsidRPr="00FF6562" w:rsidTr="000E5961">
        <w:trPr>
          <w:jc w:val="center"/>
        </w:trPr>
        <w:tc>
          <w:tcPr>
            <w:tcW w:w="2943" w:type="dxa"/>
            <w:tcBorders>
              <w:top w:val="single" w:sz="4" w:space="0" w:color="FFFFFF"/>
              <w:left w:val="nil"/>
              <w:bottom w:val="single" w:sz="4" w:space="0" w:color="FFFFFF"/>
              <w:right w:val="nil"/>
            </w:tcBorders>
            <w:shd w:val="clear" w:color="auto" w:fill="244061" w:themeFill="accent1" w:themeFillShade="80"/>
            <w:hideMark/>
          </w:tcPr>
          <w:p w:rsidR="00BD5B7F" w:rsidRPr="00FF6562" w:rsidRDefault="00BD5B7F" w:rsidP="000E5961">
            <w:pPr>
              <w:rPr>
                <w:rFonts w:ascii="Arial" w:eastAsia="Calibri" w:hAnsi="Arial" w:cs="Arial"/>
                <w:color w:val="FFFFFF"/>
                <w:sz w:val="26"/>
                <w:szCs w:val="26"/>
              </w:rPr>
            </w:pPr>
            <w:r w:rsidRPr="00FF6562">
              <w:rPr>
                <w:rFonts w:ascii="Arial" w:eastAsia="Arial" w:hAnsi="Arial" w:cs="Arial"/>
                <w:color w:val="FFFFFF"/>
                <w:sz w:val="26"/>
                <w:szCs w:val="26"/>
                <w:bdr w:val="none" w:sz="0" w:space="0" w:color="auto" w:frame="1"/>
              </w:rPr>
              <w:t>Date de l’évaluation</w:t>
            </w:r>
          </w:p>
        </w:tc>
        <w:tc>
          <w:tcPr>
            <w:tcW w:w="6835" w:type="dxa"/>
            <w:tcBorders>
              <w:top w:val="single" w:sz="4" w:space="0" w:color="FFFFFF"/>
              <w:left w:val="nil"/>
              <w:bottom w:val="single" w:sz="4" w:space="0" w:color="FFFFFF"/>
              <w:right w:val="nil"/>
            </w:tcBorders>
            <w:shd w:val="clear" w:color="auto" w:fill="B8CCE4" w:themeFill="accent1" w:themeFillTint="66"/>
          </w:tcPr>
          <w:p w:rsidR="00BD5B7F" w:rsidRPr="00FF6562" w:rsidRDefault="00BD5B7F" w:rsidP="000E5961">
            <w:pPr>
              <w:rPr>
                <w:rFonts w:ascii="Arial" w:eastAsia="Calibri" w:hAnsi="Arial" w:cs="Arial"/>
                <w:color w:val="000000"/>
                <w:sz w:val="22"/>
                <w:szCs w:val="22"/>
              </w:rPr>
            </w:pPr>
          </w:p>
        </w:tc>
      </w:tr>
      <w:tr w:rsidR="00BD5B7F" w:rsidRPr="00FF6562" w:rsidTr="000E5961">
        <w:trPr>
          <w:jc w:val="center"/>
        </w:trPr>
        <w:tc>
          <w:tcPr>
            <w:tcW w:w="2943" w:type="dxa"/>
            <w:tcBorders>
              <w:top w:val="single" w:sz="4" w:space="0" w:color="FFFFFF"/>
              <w:left w:val="nil"/>
              <w:bottom w:val="single" w:sz="4" w:space="0" w:color="FFFFFF"/>
              <w:right w:val="nil"/>
            </w:tcBorders>
            <w:shd w:val="clear" w:color="auto" w:fill="244061" w:themeFill="accent1" w:themeFillShade="80"/>
            <w:hideMark/>
          </w:tcPr>
          <w:p w:rsidR="00BD5B7F" w:rsidRPr="00FF6562" w:rsidRDefault="00BD5B7F" w:rsidP="000E5961">
            <w:pPr>
              <w:rPr>
                <w:rFonts w:ascii="Arial" w:eastAsia="Calibri" w:hAnsi="Arial" w:cs="Arial"/>
                <w:color w:val="FFFFFF"/>
                <w:sz w:val="26"/>
                <w:szCs w:val="26"/>
              </w:rPr>
            </w:pPr>
            <w:r w:rsidRPr="00FF6562">
              <w:rPr>
                <w:rFonts w:ascii="Arial" w:eastAsia="Arial" w:hAnsi="Arial" w:cs="Arial"/>
                <w:color w:val="FFFFFF"/>
                <w:sz w:val="26"/>
                <w:szCs w:val="26"/>
                <w:bdr w:val="none" w:sz="0" w:space="0" w:color="auto" w:frame="1"/>
              </w:rPr>
              <w:t>Période de rapport </w:t>
            </w:r>
          </w:p>
        </w:tc>
        <w:tc>
          <w:tcPr>
            <w:tcW w:w="6835" w:type="dxa"/>
            <w:tcBorders>
              <w:top w:val="single" w:sz="4" w:space="0" w:color="FFFFFF"/>
              <w:left w:val="nil"/>
              <w:bottom w:val="single" w:sz="4" w:space="0" w:color="FFFFFF"/>
              <w:right w:val="nil"/>
            </w:tcBorders>
            <w:shd w:val="clear" w:color="auto" w:fill="92CDDC" w:themeFill="accent5" w:themeFillTint="99"/>
          </w:tcPr>
          <w:p w:rsidR="00BD5B7F" w:rsidRPr="00FF6562" w:rsidRDefault="00BD5B7F" w:rsidP="000E5961">
            <w:pPr>
              <w:rPr>
                <w:rFonts w:ascii="Arial" w:eastAsia="Calibri" w:hAnsi="Arial" w:cs="Arial"/>
                <w:color w:val="000000"/>
                <w:sz w:val="22"/>
                <w:szCs w:val="22"/>
              </w:rPr>
            </w:pPr>
          </w:p>
        </w:tc>
      </w:tr>
      <w:tr w:rsidR="00BD5B7F" w:rsidRPr="00FF6562" w:rsidTr="000E5961">
        <w:trPr>
          <w:jc w:val="center"/>
        </w:trPr>
        <w:tc>
          <w:tcPr>
            <w:tcW w:w="2943" w:type="dxa"/>
            <w:tcBorders>
              <w:top w:val="single" w:sz="4" w:space="0" w:color="FFFFFF"/>
              <w:left w:val="nil"/>
              <w:bottom w:val="single" w:sz="4" w:space="0" w:color="FFFFFF"/>
              <w:right w:val="nil"/>
            </w:tcBorders>
            <w:shd w:val="clear" w:color="auto" w:fill="244061" w:themeFill="accent1" w:themeFillShade="80"/>
            <w:hideMark/>
          </w:tcPr>
          <w:p w:rsidR="00BD5B7F" w:rsidRPr="00FF6562" w:rsidRDefault="00BD5B7F" w:rsidP="000E5961">
            <w:pPr>
              <w:rPr>
                <w:rFonts w:ascii="Arial" w:eastAsia="Calibri" w:hAnsi="Arial" w:cs="Arial"/>
                <w:color w:val="FFFFFF"/>
                <w:sz w:val="26"/>
                <w:szCs w:val="26"/>
              </w:rPr>
            </w:pPr>
            <w:r w:rsidRPr="00FF6562">
              <w:rPr>
                <w:rFonts w:ascii="Arial" w:eastAsia="Arial" w:hAnsi="Arial" w:cs="Arial"/>
                <w:color w:val="FFFFFF"/>
                <w:sz w:val="26"/>
                <w:szCs w:val="26"/>
                <w:bdr w:val="none" w:sz="0" w:space="0" w:color="auto" w:frame="1"/>
              </w:rPr>
              <w:t>Personne contact</w:t>
            </w:r>
          </w:p>
        </w:tc>
        <w:tc>
          <w:tcPr>
            <w:tcW w:w="6835" w:type="dxa"/>
            <w:tcBorders>
              <w:top w:val="single" w:sz="4" w:space="0" w:color="FFFFFF"/>
              <w:left w:val="nil"/>
              <w:bottom w:val="single" w:sz="4" w:space="0" w:color="FFFFFF"/>
              <w:right w:val="nil"/>
            </w:tcBorders>
            <w:shd w:val="clear" w:color="auto" w:fill="B8CCE4" w:themeFill="accent1" w:themeFillTint="66"/>
          </w:tcPr>
          <w:p w:rsidR="00BD5B7F" w:rsidRPr="00FF6562" w:rsidRDefault="00BD5B7F" w:rsidP="000E5961">
            <w:pPr>
              <w:rPr>
                <w:rFonts w:ascii="Arial" w:eastAsia="Calibri" w:hAnsi="Arial" w:cs="Arial"/>
                <w:color w:val="000000"/>
                <w:sz w:val="22"/>
                <w:szCs w:val="22"/>
              </w:rPr>
            </w:pPr>
          </w:p>
        </w:tc>
      </w:tr>
      <w:tr w:rsidR="00BD5B7F" w:rsidRPr="00FF6562" w:rsidTr="000E5961">
        <w:trPr>
          <w:jc w:val="center"/>
        </w:trPr>
        <w:tc>
          <w:tcPr>
            <w:tcW w:w="2943" w:type="dxa"/>
            <w:tcBorders>
              <w:top w:val="single" w:sz="4" w:space="0" w:color="FFFFFF"/>
              <w:left w:val="nil"/>
              <w:bottom w:val="nil"/>
              <w:right w:val="nil"/>
            </w:tcBorders>
            <w:shd w:val="clear" w:color="auto" w:fill="244061" w:themeFill="accent1" w:themeFillShade="80"/>
          </w:tcPr>
          <w:p w:rsidR="00BD5B7F" w:rsidRPr="00FF6562" w:rsidRDefault="00BD5B7F" w:rsidP="000E5961">
            <w:pPr>
              <w:rPr>
                <w:rFonts w:ascii="Arial" w:eastAsia="Calibri" w:hAnsi="Arial" w:cs="Arial"/>
                <w:color w:val="FFFFFF"/>
                <w:sz w:val="26"/>
                <w:szCs w:val="26"/>
              </w:rPr>
            </w:pPr>
            <w:r w:rsidRPr="00FF6562">
              <w:rPr>
                <w:rFonts w:ascii="Arial" w:eastAsia="Arial" w:hAnsi="Arial" w:cs="Arial"/>
                <w:color w:val="FFFFFF"/>
                <w:sz w:val="26"/>
                <w:szCs w:val="26"/>
                <w:bdr w:val="none" w:sz="0" w:space="0" w:color="auto" w:frame="1"/>
              </w:rPr>
              <w:t>Coordonnées</w:t>
            </w:r>
          </w:p>
          <w:p w:rsidR="00BD5B7F" w:rsidRPr="00FF6562" w:rsidRDefault="00BD5B7F" w:rsidP="000E5961">
            <w:pPr>
              <w:rPr>
                <w:rFonts w:ascii="Arial" w:eastAsia="Calibri" w:hAnsi="Arial" w:cs="Arial"/>
                <w:color w:val="FFFFFF"/>
                <w:sz w:val="28"/>
                <w:szCs w:val="28"/>
              </w:rPr>
            </w:pPr>
          </w:p>
          <w:p w:rsidR="00BD5B7F" w:rsidRPr="00FF6562" w:rsidRDefault="00BD5B7F" w:rsidP="000E5961">
            <w:pPr>
              <w:rPr>
                <w:rFonts w:ascii="Arial" w:eastAsia="Calibri" w:hAnsi="Arial" w:cs="Arial"/>
                <w:color w:val="FFFFFF"/>
                <w:sz w:val="28"/>
                <w:szCs w:val="28"/>
              </w:rPr>
            </w:pPr>
          </w:p>
        </w:tc>
        <w:tc>
          <w:tcPr>
            <w:tcW w:w="6835" w:type="dxa"/>
            <w:tcBorders>
              <w:top w:val="single" w:sz="4" w:space="0" w:color="FFFFFF"/>
              <w:left w:val="nil"/>
              <w:bottom w:val="nil"/>
              <w:right w:val="nil"/>
            </w:tcBorders>
            <w:shd w:val="clear" w:color="auto" w:fill="92CDDC" w:themeFill="accent5" w:themeFillTint="99"/>
          </w:tcPr>
          <w:p w:rsidR="00BD5B7F" w:rsidRPr="00FF6562" w:rsidRDefault="00BD5B7F" w:rsidP="000E5961">
            <w:pPr>
              <w:rPr>
                <w:rFonts w:ascii="Arial" w:eastAsia="Calibri" w:hAnsi="Arial" w:cs="Arial"/>
                <w:color w:val="000000"/>
                <w:sz w:val="22"/>
                <w:szCs w:val="22"/>
              </w:rPr>
            </w:pPr>
          </w:p>
        </w:tc>
      </w:tr>
    </w:tbl>
    <w:p w:rsidR="00BD5B7F" w:rsidRPr="00FF6562" w:rsidRDefault="00BD5B7F" w:rsidP="00BD5B7F">
      <w:pPr>
        <w:rPr>
          <w:rFonts w:ascii="Arial" w:hAnsi="Arial" w:cs="Arial"/>
          <w:b/>
          <w:bCs/>
          <w:color w:val="4F81BD"/>
          <w:sz w:val="32"/>
          <w:szCs w:val="26"/>
        </w:rPr>
      </w:pPr>
      <w:r w:rsidRPr="00FF6562">
        <w:rPr>
          <w:rFonts w:ascii="Arial" w:eastAsia="Calibri" w:hAnsi="Arial" w:cs="Arial"/>
          <w:color w:val="000000"/>
          <w:sz w:val="32"/>
          <w:szCs w:val="22"/>
        </w:rPr>
        <w:br w:type="page"/>
      </w:r>
    </w:p>
    <w:p w:rsidR="00BD5B7F" w:rsidRPr="00865DA5" w:rsidRDefault="00BD5B7F" w:rsidP="00BD5B7F">
      <w:pPr>
        <w:keepNext/>
        <w:keepLines/>
        <w:spacing w:after="120"/>
        <w:outlineLvl w:val="1"/>
        <w:rPr>
          <w:rFonts w:ascii="Arial" w:hAnsi="Arial" w:cs="Arial"/>
          <w:b/>
          <w:color w:val="000000"/>
          <w:sz w:val="30"/>
          <w:szCs w:val="30"/>
          <w:lang w:val="fr-FR"/>
        </w:rPr>
      </w:pPr>
      <w:bookmarkStart w:id="35" w:name="_Toc491245234"/>
      <w:bookmarkStart w:id="36" w:name="_Toc491245057"/>
      <w:bookmarkStart w:id="37" w:name="_Toc486539571"/>
      <w:r w:rsidRPr="00865DA5">
        <w:rPr>
          <w:rFonts w:ascii="Arial" w:eastAsia="Arial" w:hAnsi="Arial" w:cs="Arial"/>
          <w:b/>
          <w:bCs/>
          <w:color w:val="000000"/>
          <w:sz w:val="30"/>
          <w:szCs w:val="30"/>
          <w:bdr w:val="none" w:sz="0" w:space="0" w:color="auto" w:frame="1"/>
          <w:lang w:val="fr-FR"/>
        </w:rPr>
        <w:lastRenderedPageBreak/>
        <w:t>A. Suivi national de l’IKB - Gestion des données sur la portée et l’échelle de l’IKB.</w:t>
      </w:r>
      <w:bookmarkEnd w:id="35"/>
      <w:bookmarkEnd w:id="36"/>
      <w:bookmarkEnd w:id="37"/>
    </w:p>
    <w:p w:rsidR="00BD5B7F" w:rsidRPr="00865DA5" w:rsidRDefault="00BD5B7F" w:rsidP="00BD5B7F">
      <w:pPr>
        <w:keepNext/>
        <w:keepLines/>
        <w:spacing w:after="120"/>
        <w:outlineLvl w:val="3"/>
        <w:rPr>
          <w:rFonts w:ascii="Arial" w:hAnsi="Arial" w:cs="Arial"/>
          <w:b/>
          <w:i/>
          <w:iCs/>
          <w:color w:val="000000"/>
          <w:sz w:val="28"/>
          <w:szCs w:val="22"/>
          <w:lang w:val="fr-FR"/>
        </w:rPr>
      </w:pPr>
      <w:bookmarkStart w:id="38" w:name="_Toc491245235"/>
      <w:bookmarkStart w:id="39" w:name="_Toc486539572"/>
      <w:r w:rsidRPr="00865DA5">
        <w:rPr>
          <w:rFonts w:ascii="Arial" w:eastAsia="Arial" w:hAnsi="Arial" w:cs="Arial"/>
          <w:b/>
          <w:bCs/>
          <w:iCs/>
          <w:color w:val="000000"/>
          <w:sz w:val="28"/>
          <w:szCs w:val="28"/>
          <w:bdr w:val="none" w:sz="0" w:space="0" w:color="auto" w:frame="1"/>
          <w:lang w:val="fr-FR"/>
        </w:rPr>
        <w:t>1. Situation et échelle de l’IKB</w:t>
      </w:r>
      <w:bookmarkEnd w:id="38"/>
      <w:bookmarkEnd w:id="39"/>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Le niveau de disponibilité des données sur les activités illégales à l’échelle nationale.</w:t>
      </w:r>
    </w:p>
    <w:p w:rsidR="00BD5B7F" w:rsidRPr="00865DA5" w:rsidRDefault="00BD5B7F" w:rsidP="00BD5B7F">
      <w:pPr>
        <w:rPr>
          <w:rFonts w:ascii="Arial" w:eastAsia="Calibri" w:hAnsi="Arial" w:cs="Arial"/>
          <w:color w:val="000000"/>
          <w:sz w:val="22"/>
          <w:szCs w:val="22"/>
          <w:lang w:val="fr-FR"/>
        </w:rPr>
      </w:pPr>
    </w:p>
    <w:p w:rsidR="00BD5B7F" w:rsidRPr="00865DA5" w:rsidRDefault="00BD5B7F" w:rsidP="00BD5B7F">
      <w:pPr>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 xml:space="preserve">Question : Quelle est la nature des données nationales sur l’IKB ? </w:t>
      </w:r>
    </w:p>
    <w:p w:rsidR="00BD5B7F" w:rsidRPr="00865DA5" w:rsidRDefault="00BD5B7F" w:rsidP="00BD5B7F">
      <w:pPr>
        <w:rPr>
          <w:rFonts w:ascii="Arial" w:eastAsia="Calibri" w:hAnsi="Arial" w:cs="Arial"/>
          <w:b/>
          <w:bCs/>
          <w:i/>
          <w:iCs/>
          <w:color w:val="000000"/>
          <w:sz w:val="22"/>
          <w:szCs w:val="22"/>
          <w:lang w:val="fr-FR"/>
        </w:rPr>
      </w:pPr>
    </w:p>
    <w:p w:rsidR="00BD5B7F" w:rsidRPr="00FF6562" w:rsidRDefault="00BD5B7F" w:rsidP="00BD5B7F">
      <w:pPr>
        <w:rPr>
          <w:rFonts w:ascii="Arial" w:eastAsia="Calibri" w:hAnsi="Arial" w:cs="Arial"/>
          <w:i/>
          <w:iCs/>
          <w:color w:val="000000"/>
          <w:sz w:val="22"/>
          <w:szCs w:val="22"/>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2264"/>
        <w:gridCol w:w="2284"/>
        <w:gridCol w:w="2275"/>
      </w:tblGrid>
      <w:tr w:rsidR="00BD5B7F" w:rsidRPr="00FF6562" w:rsidTr="000E5961">
        <w:tc>
          <w:tcPr>
            <w:tcW w:w="2246"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264" w:type="dxa"/>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28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275"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246"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données et informations sur le nombre total d’oiseaux abattus ou prélevés illégalement imputable à l’IKB </w:t>
            </w:r>
            <w:r w:rsidRPr="00865DA5">
              <w:rPr>
                <w:rFonts w:ascii="Arial" w:eastAsia="Arial" w:hAnsi="Arial" w:cs="Arial"/>
                <w:b/>
                <w:bCs/>
                <w:color w:val="000000"/>
                <w:sz w:val="18"/>
                <w:szCs w:val="18"/>
                <w:bdr w:val="none" w:sz="0" w:space="0" w:color="auto" w:frame="1"/>
                <w:lang w:val="fr-FR"/>
              </w:rPr>
              <w:t>ne sont pas disponibles</w:t>
            </w:r>
          </w:p>
        </w:tc>
        <w:tc>
          <w:tcPr>
            <w:tcW w:w="2264"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 </w:t>
            </w: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L’estimation nationale du nombre d’oiseaux abattus ou prélevés illégalement imputable à l’IKB est basée </w:t>
            </w:r>
            <w:r w:rsidRPr="00865DA5">
              <w:rPr>
                <w:rFonts w:ascii="Arial" w:eastAsia="Arial" w:hAnsi="Arial" w:cs="Arial"/>
                <w:b/>
                <w:bCs/>
                <w:color w:val="000000"/>
                <w:sz w:val="18"/>
                <w:szCs w:val="18"/>
                <w:bdr w:val="none" w:sz="0" w:space="0" w:color="auto" w:frame="1"/>
                <w:lang w:val="fr-FR"/>
              </w:rPr>
              <w:t>sur des avis d’experts</w:t>
            </w:r>
            <w:r w:rsidRPr="00FF6562">
              <w:rPr>
                <w:rFonts w:ascii="Arial" w:eastAsia="Calibri" w:hAnsi="Arial" w:cs="Arial"/>
                <w:color w:val="000000"/>
                <w:sz w:val="18"/>
                <w:szCs w:val="18"/>
                <w:vertAlign w:val="superscript"/>
              </w:rPr>
              <w:footnoteReference w:id="8"/>
            </w:r>
            <w:r w:rsidRPr="00865DA5">
              <w:rPr>
                <w:rFonts w:ascii="Arial" w:eastAsia="Arial" w:hAnsi="Arial" w:cs="Arial"/>
                <w:color w:val="000000"/>
                <w:sz w:val="18"/>
                <w:szCs w:val="18"/>
                <w:bdr w:val="none" w:sz="0" w:space="0" w:color="auto" w:frame="1"/>
                <w:lang w:val="fr-FR"/>
              </w:rPr>
              <w:t xml:space="preserve"> et des informations ponctuelles </w:t>
            </w:r>
          </w:p>
          <w:p w:rsidR="00BD5B7F" w:rsidRPr="00865DA5" w:rsidRDefault="00BD5B7F" w:rsidP="000E5961">
            <w:pPr>
              <w:rPr>
                <w:rFonts w:ascii="Arial" w:eastAsia="Calibri" w:hAnsi="Arial" w:cs="Arial"/>
                <w:color w:val="000000"/>
                <w:sz w:val="18"/>
                <w:szCs w:val="18"/>
                <w:lang w:val="fr-FR"/>
              </w:rPr>
            </w:pPr>
          </w:p>
        </w:tc>
        <w:tc>
          <w:tcPr>
            <w:tcW w:w="2284"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 </w:t>
            </w: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L’estimation nationale du nombre d’oiseaux abattus ou prélevés illégalement imputable à l’IKB est </w:t>
            </w:r>
            <w:r w:rsidRPr="00865DA5">
              <w:rPr>
                <w:rFonts w:ascii="Arial" w:eastAsia="Arial" w:hAnsi="Arial" w:cs="Arial"/>
                <w:b/>
                <w:bCs/>
                <w:color w:val="000000"/>
                <w:sz w:val="18"/>
                <w:szCs w:val="18"/>
                <w:bdr w:val="none" w:sz="0" w:space="0" w:color="auto" w:frame="1"/>
                <w:lang w:val="fr-FR"/>
              </w:rPr>
              <w:t xml:space="preserve">partiellement basée sur des données quantitatives </w:t>
            </w:r>
            <w:r w:rsidRPr="00865DA5">
              <w:rPr>
                <w:rFonts w:ascii="Arial" w:eastAsia="Arial" w:hAnsi="Arial" w:cs="Arial"/>
                <w:color w:val="000000"/>
                <w:sz w:val="18"/>
                <w:szCs w:val="18"/>
                <w:bdr w:val="none" w:sz="0" w:space="0" w:color="auto" w:frame="1"/>
                <w:lang w:val="fr-FR"/>
              </w:rPr>
              <w:t>et des mentions, et partiellement sur des estimations et extrapolations</w:t>
            </w:r>
          </w:p>
        </w:tc>
        <w:tc>
          <w:tcPr>
            <w:tcW w:w="2275"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 </w:t>
            </w: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L’estimation nationale du nombre d’oiseaux abattus ou prélevés illégalement imputable à l’IKB est </w:t>
            </w:r>
            <w:r w:rsidRPr="00865DA5">
              <w:rPr>
                <w:rFonts w:ascii="Arial" w:eastAsia="Arial" w:hAnsi="Arial" w:cs="Arial"/>
                <w:b/>
                <w:bCs/>
                <w:color w:val="000000"/>
                <w:sz w:val="18"/>
                <w:szCs w:val="18"/>
                <w:bdr w:val="none" w:sz="0" w:space="0" w:color="auto" w:frame="1"/>
                <w:lang w:val="fr-FR"/>
              </w:rPr>
              <w:t xml:space="preserve">largement basée sur des données quantitatives </w:t>
            </w:r>
            <w:r w:rsidRPr="00865DA5">
              <w:rPr>
                <w:rFonts w:ascii="Arial" w:eastAsia="Arial" w:hAnsi="Arial" w:cs="Arial"/>
                <w:color w:val="000000"/>
                <w:sz w:val="18"/>
                <w:szCs w:val="18"/>
                <w:bdr w:val="none" w:sz="0" w:space="0" w:color="auto" w:frame="1"/>
                <w:lang w:val="fr-FR"/>
              </w:rPr>
              <w:t>et des mentions</w:t>
            </w:r>
          </w:p>
          <w:p w:rsidR="00BD5B7F" w:rsidRPr="00865DA5" w:rsidRDefault="00BD5B7F" w:rsidP="000E5961">
            <w:pPr>
              <w:rPr>
                <w:rFonts w:ascii="Arial" w:eastAsia="Calibri" w:hAnsi="Arial" w:cs="Arial"/>
                <w:color w:val="000000"/>
                <w:sz w:val="18"/>
                <w:szCs w:val="18"/>
                <w:lang w:val="fr-FR"/>
              </w:rPr>
            </w:pPr>
          </w:p>
        </w:tc>
      </w:tr>
    </w:tbl>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rPr>
          <w:rFonts w:ascii="Arial" w:eastAsia="Calibri" w:hAnsi="Arial" w:cs="Arial"/>
          <w:color w:val="000000"/>
          <w:sz w:val="22"/>
          <w:szCs w:val="22"/>
          <w:lang w:val="fr-FR"/>
        </w:rPr>
      </w:pPr>
      <w:r w:rsidRPr="00865DA5">
        <w:rPr>
          <w:rFonts w:ascii="Arial" w:eastAsia="Calibri" w:hAnsi="Arial" w:cs="Arial"/>
          <w:color w:val="000000"/>
          <w:sz w:val="22"/>
          <w:szCs w:val="22"/>
          <w:lang w:val="fr-FR"/>
        </w:rPr>
        <w:br w:type="page"/>
      </w:r>
    </w:p>
    <w:p w:rsidR="00BD5B7F" w:rsidRPr="00865DA5" w:rsidRDefault="00BD5B7F" w:rsidP="00BD5B7F">
      <w:pPr>
        <w:keepNext/>
        <w:keepLines/>
        <w:spacing w:after="120"/>
        <w:jc w:val="both"/>
        <w:outlineLvl w:val="3"/>
        <w:rPr>
          <w:rFonts w:ascii="Arial" w:hAnsi="Arial" w:cs="Arial"/>
          <w:b/>
          <w:iCs/>
          <w:color w:val="000000"/>
          <w:sz w:val="28"/>
          <w:szCs w:val="22"/>
          <w:lang w:val="fr-FR"/>
        </w:rPr>
      </w:pPr>
      <w:bookmarkStart w:id="40" w:name="_Toc491245236"/>
      <w:bookmarkStart w:id="41" w:name="_Toc486539573"/>
      <w:r w:rsidRPr="00865DA5">
        <w:rPr>
          <w:rFonts w:ascii="Arial" w:eastAsia="Arial" w:hAnsi="Arial" w:cs="Arial"/>
          <w:b/>
          <w:bCs/>
          <w:iCs/>
          <w:color w:val="000000"/>
          <w:sz w:val="28"/>
          <w:szCs w:val="28"/>
          <w:bdr w:val="none" w:sz="0" w:space="0" w:color="auto" w:frame="1"/>
          <w:lang w:val="fr-FR"/>
        </w:rPr>
        <w:lastRenderedPageBreak/>
        <w:t>2. Nombre, répartition et tendance des oiseaux illégalement abattus, piégés ou commercialisés</w:t>
      </w:r>
      <w:bookmarkEnd w:id="40"/>
      <w:r w:rsidRPr="00865DA5">
        <w:rPr>
          <w:rFonts w:ascii="Arial" w:eastAsia="Arial" w:hAnsi="Arial" w:cs="Arial"/>
          <w:b/>
          <w:bCs/>
          <w:iCs/>
          <w:color w:val="000000"/>
          <w:sz w:val="28"/>
          <w:szCs w:val="28"/>
          <w:bdr w:val="none" w:sz="0" w:space="0" w:color="auto" w:frame="1"/>
          <w:lang w:val="fr-FR"/>
        </w:rPr>
        <w:t xml:space="preserve"> </w:t>
      </w:r>
      <w:bookmarkEnd w:id="41"/>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Le nombre, la tendance, la répartition saisonnière et géographique des oiseaux illégalement abattus, piégés ou commercialisés dans votre pays, y compris dans les territoires d’outre-mer</w:t>
      </w:r>
      <w:r w:rsidRPr="00FF6562">
        <w:rPr>
          <w:rFonts w:ascii="Arial" w:eastAsia="Calibri" w:hAnsi="Arial" w:cs="Arial"/>
          <w:color w:val="000000"/>
          <w:sz w:val="22"/>
          <w:szCs w:val="22"/>
          <w:vertAlign w:val="superscript"/>
        </w:rPr>
        <w:footnoteReference w:id="9"/>
      </w:r>
      <w:r w:rsidRPr="00865DA5">
        <w:rPr>
          <w:rFonts w:ascii="Arial" w:eastAsia="Arial" w:hAnsi="Arial" w:cs="Arial"/>
          <w:color w:val="000000"/>
          <w:sz w:val="22"/>
          <w:szCs w:val="22"/>
          <w:bdr w:val="none" w:sz="0" w:space="0" w:color="auto" w:frame="1"/>
          <w:lang w:val="fr-FR"/>
        </w:rPr>
        <w:t xml:space="preserve">. </w:t>
      </w:r>
    </w:p>
    <w:p w:rsidR="00BD5B7F" w:rsidRPr="00865DA5" w:rsidRDefault="00BD5B7F" w:rsidP="00BD5B7F">
      <w:pPr>
        <w:spacing w:after="120"/>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Quel est le nombre estimé d’oiseaux illégalement abattus, piégés ou commercialisés chaque année dans votre pays, y compris dans les territoires d’outre-mer concernés, et à quelle saison ? Quelle est la tendance ?</w:t>
      </w:r>
    </w:p>
    <w:p w:rsidR="00BD5B7F" w:rsidRPr="00865DA5" w:rsidRDefault="00BD5B7F" w:rsidP="00BD5B7F">
      <w:pPr>
        <w:spacing w:after="120"/>
        <w:rPr>
          <w:rFonts w:ascii="Arial" w:eastAsia="Calibri" w:hAnsi="Arial" w:cs="Arial"/>
          <w:b/>
          <w:bCs/>
          <w:i/>
          <w:iCs/>
          <w:color w:val="000000"/>
          <w:sz w:val="22"/>
          <w:szCs w:val="22"/>
          <w:lang w:val="fr-FR"/>
        </w:rPr>
      </w:pPr>
    </w:p>
    <w:p w:rsidR="00BD5B7F" w:rsidRPr="00865DA5" w:rsidRDefault="00BD5B7F" w:rsidP="00BD5B7F">
      <w:pPr>
        <w:spacing w:after="120"/>
        <w:jc w:val="both"/>
        <w:rPr>
          <w:rFonts w:ascii="Arial" w:eastAsia="Calibri" w:hAnsi="Arial" w:cs="Arial"/>
          <w:i/>
          <w:iCs/>
          <w:color w:val="000000"/>
          <w:sz w:val="22"/>
          <w:szCs w:val="22"/>
          <w:lang w:val="fr-FR"/>
        </w:rPr>
      </w:pPr>
      <w:r w:rsidRPr="00865DA5">
        <w:rPr>
          <w:rFonts w:ascii="Arial" w:eastAsia="Arial" w:hAnsi="Arial" w:cs="Arial"/>
          <w:i/>
          <w:iCs/>
          <w:color w:val="000000"/>
          <w:sz w:val="22"/>
          <w:szCs w:val="22"/>
          <w:bdr w:val="none" w:sz="0" w:space="0" w:color="auto" w:frame="1"/>
          <w:lang w:val="fr-FR"/>
        </w:rPr>
        <w:t xml:space="preserve">Mesure : Estimation du nombre d’oiseaux illégalement abattus, piégés ou commercialisés chaque année </w:t>
      </w:r>
    </w:p>
    <w:tbl>
      <w:tblPr>
        <w:tblW w:w="0" w:type="auto"/>
        <w:tblBorders>
          <w:top w:val="single" w:sz="18" w:space="0" w:color="auto"/>
          <w:bottom w:val="single" w:sz="18" w:space="0" w:color="auto"/>
        </w:tblBorders>
        <w:tblLook w:val="04A0" w:firstRow="1" w:lastRow="0" w:firstColumn="1" w:lastColumn="0" w:noHBand="0" w:noVBand="1"/>
      </w:tblPr>
      <w:tblGrid>
        <w:gridCol w:w="2857"/>
        <w:gridCol w:w="1150"/>
        <w:gridCol w:w="1188"/>
        <w:gridCol w:w="1457"/>
        <w:gridCol w:w="1463"/>
        <w:gridCol w:w="1171"/>
      </w:tblGrid>
      <w:tr w:rsidR="00BD5B7F" w:rsidRPr="00FF6562" w:rsidTr="000E5961">
        <w:tc>
          <w:tcPr>
            <w:tcW w:w="2307" w:type="dxa"/>
            <w:tcBorders>
              <w:top w:val="single" w:sz="18" w:space="0" w:color="auto"/>
              <w:left w:val="nil"/>
              <w:bottom w:val="single" w:sz="18" w:space="0" w:color="auto"/>
              <w:right w:val="nil"/>
            </w:tcBorders>
            <w:shd w:val="clear" w:color="auto" w:fill="4F81BD"/>
            <w:vAlign w:val="center"/>
          </w:tcPr>
          <w:p w:rsidR="00BD5B7F" w:rsidRPr="00865DA5" w:rsidRDefault="00BD5B7F" w:rsidP="000E5961">
            <w:pPr>
              <w:jc w:val="center"/>
              <w:rPr>
                <w:rFonts w:ascii="Arial" w:eastAsia="Calibri" w:hAnsi="Arial" w:cs="Arial"/>
                <w:b/>
                <w:bCs/>
                <w:color w:val="FFFFFF"/>
                <w:szCs w:val="22"/>
                <w:lang w:val="fr-FR"/>
              </w:rPr>
            </w:pPr>
          </w:p>
        </w:tc>
        <w:tc>
          <w:tcPr>
            <w:tcW w:w="1527" w:type="dxa"/>
            <w:tcBorders>
              <w:top w:val="single" w:sz="18" w:space="0" w:color="auto"/>
              <w:left w:val="nil"/>
              <w:bottom w:val="single" w:sz="18" w:space="0" w:color="auto"/>
              <w:right w:val="nil"/>
            </w:tcBorders>
            <w:shd w:val="clear" w:color="auto" w:fill="4F81BD"/>
            <w:vAlign w:val="center"/>
            <w:hideMark/>
          </w:tcPr>
          <w:p w:rsidR="00BD5B7F" w:rsidRPr="00FF6562" w:rsidRDefault="00BD5B7F" w:rsidP="000E5961">
            <w:pPr>
              <w:jc w:val="cente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t>Mars / Mai</w:t>
            </w:r>
          </w:p>
        </w:tc>
        <w:tc>
          <w:tcPr>
            <w:tcW w:w="1618" w:type="dxa"/>
            <w:tcBorders>
              <w:top w:val="single" w:sz="18" w:space="0" w:color="auto"/>
              <w:left w:val="nil"/>
              <w:bottom w:val="single" w:sz="18" w:space="0" w:color="auto"/>
              <w:right w:val="nil"/>
            </w:tcBorders>
            <w:shd w:val="clear" w:color="auto" w:fill="4F81BD"/>
            <w:vAlign w:val="center"/>
            <w:hideMark/>
          </w:tcPr>
          <w:p w:rsidR="00BD5B7F" w:rsidRPr="00FF6562" w:rsidRDefault="00BD5B7F" w:rsidP="000E5961">
            <w:pPr>
              <w:jc w:val="cente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t>Juin / Août</w:t>
            </w:r>
          </w:p>
        </w:tc>
        <w:tc>
          <w:tcPr>
            <w:tcW w:w="1363" w:type="dxa"/>
            <w:tcBorders>
              <w:top w:val="single" w:sz="18" w:space="0" w:color="auto"/>
              <w:left w:val="nil"/>
              <w:bottom w:val="single" w:sz="18" w:space="0" w:color="auto"/>
              <w:right w:val="nil"/>
            </w:tcBorders>
            <w:shd w:val="clear" w:color="auto" w:fill="4F81BD"/>
            <w:vAlign w:val="center"/>
            <w:hideMark/>
          </w:tcPr>
          <w:p w:rsidR="00BD5B7F" w:rsidRPr="00FF6562" w:rsidRDefault="00BD5B7F" w:rsidP="000E5961">
            <w:pPr>
              <w:jc w:val="cente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t>Septembre / Novembre</w:t>
            </w:r>
          </w:p>
        </w:tc>
        <w:tc>
          <w:tcPr>
            <w:tcW w:w="1550" w:type="dxa"/>
            <w:tcBorders>
              <w:top w:val="single" w:sz="18" w:space="0" w:color="auto"/>
              <w:left w:val="nil"/>
              <w:bottom w:val="single" w:sz="18" w:space="0" w:color="auto"/>
              <w:right w:val="nil"/>
            </w:tcBorders>
            <w:shd w:val="clear" w:color="auto" w:fill="4F81BD"/>
            <w:vAlign w:val="center"/>
            <w:hideMark/>
          </w:tcPr>
          <w:p w:rsidR="00BD5B7F" w:rsidRPr="00FF6562" w:rsidRDefault="00BD5B7F" w:rsidP="000E5961">
            <w:pPr>
              <w:jc w:val="cente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t>Décembre / Février</w:t>
            </w:r>
          </w:p>
        </w:tc>
        <w:tc>
          <w:tcPr>
            <w:tcW w:w="1489" w:type="dxa"/>
            <w:tcBorders>
              <w:top w:val="single" w:sz="18" w:space="0" w:color="auto"/>
              <w:left w:val="nil"/>
              <w:bottom w:val="single" w:sz="18" w:space="0" w:color="auto"/>
              <w:right w:val="nil"/>
            </w:tcBorders>
            <w:shd w:val="clear" w:color="auto" w:fill="4F81BD"/>
            <w:vAlign w:val="center"/>
            <w:hideMark/>
          </w:tcPr>
          <w:p w:rsidR="00BD5B7F" w:rsidRPr="00FF6562" w:rsidRDefault="00BD5B7F" w:rsidP="000E5961">
            <w:pPr>
              <w:jc w:val="cente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t>Total </w:t>
            </w:r>
          </w:p>
        </w:tc>
      </w:tr>
      <w:tr w:rsidR="00BD5B7F" w:rsidRPr="00FF6562" w:rsidTr="000E5961">
        <w:tc>
          <w:tcPr>
            <w:tcW w:w="2307" w:type="dxa"/>
            <w:tcBorders>
              <w:top w:val="nil"/>
              <w:left w:val="nil"/>
              <w:bottom w:val="nil"/>
              <w:right w:val="nil"/>
            </w:tcBorders>
            <w:shd w:val="clear" w:color="auto" w:fill="4F81BD"/>
            <w:hideMark/>
          </w:tcPr>
          <w:p w:rsidR="00BD5B7F" w:rsidRPr="00FF6562" w:rsidRDefault="00BD5B7F" w:rsidP="000E5961">
            <w:pP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t>Niveau national</w:t>
            </w:r>
          </w:p>
        </w:tc>
        <w:tc>
          <w:tcPr>
            <w:tcW w:w="1527" w:type="dxa"/>
            <w:tcBorders>
              <w:top w:val="nil"/>
              <w:left w:val="nil"/>
              <w:bottom w:val="nil"/>
              <w:right w:val="nil"/>
            </w:tcBorders>
            <w:shd w:val="clear" w:color="auto" w:fill="D8D8D8"/>
          </w:tcPr>
          <w:p w:rsidR="00BD5B7F" w:rsidRPr="00FF6562" w:rsidRDefault="00BD5B7F" w:rsidP="000E5961">
            <w:pPr>
              <w:rPr>
                <w:rFonts w:ascii="Arial" w:eastAsia="Calibri" w:hAnsi="Arial" w:cs="Arial"/>
                <w:color w:val="000000"/>
                <w:szCs w:val="22"/>
              </w:rPr>
            </w:pPr>
          </w:p>
        </w:tc>
        <w:tc>
          <w:tcPr>
            <w:tcW w:w="1618" w:type="dxa"/>
            <w:tcBorders>
              <w:top w:val="nil"/>
              <w:left w:val="nil"/>
              <w:bottom w:val="nil"/>
              <w:right w:val="nil"/>
            </w:tcBorders>
            <w:shd w:val="clear" w:color="auto" w:fill="D8D8D8"/>
          </w:tcPr>
          <w:p w:rsidR="00BD5B7F" w:rsidRPr="00FF6562" w:rsidRDefault="00BD5B7F" w:rsidP="000E5961">
            <w:pPr>
              <w:rPr>
                <w:rFonts w:ascii="Arial" w:eastAsia="Calibri" w:hAnsi="Arial" w:cs="Arial"/>
                <w:color w:val="000000"/>
                <w:szCs w:val="22"/>
              </w:rPr>
            </w:pPr>
          </w:p>
        </w:tc>
        <w:tc>
          <w:tcPr>
            <w:tcW w:w="1363" w:type="dxa"/>
            <w:tcBorders>
              <w:top w:val="nil"/>
              <w:left w:val="nil"/>
              <w:bottom w:val="nil"/>
              <w:right w:val="nil"/>
            </w:tcBorders>
            <w:shd w:val="clear" w:color="auto" w:fill="D8D8D8"/>
          </w:tcPr>
          <w:p w:rsidR="00BD5B7F" w:rsidRPr="00FF6562" w:rsidRDefault="00BD5B7F" w:rsidP="000E5961">
            <w:pPr>
              <w:rPr>
                <w:rFonts w:ascii="Arial" w:eastAsia="Calibri" w:hAnsi="Arial" w:cs="Arial"/>
                <w:color w:val="000000"/>
                <w:szCs w:val="22"/>
              </w:rPr>
            </w:pPr>
          </w:p>
        </w:tc>
        <w:tc>
          <w:tcPr>
            <w:tcW w:w="1550" w:type="dxa"/>
            <w:tcBorders>
              <w:top w:val="nil"/>
              <w:left w:val="nil"/>
              <w:bottom w:val="nil"/>
              <w:right w:val="nil"/>
            </w:tcBorders>
            <w:shd w:val="clear" w:color="auto" w:fill="D8D8D8"/>
          </w:tcPr>
          <w:p w:rsidR="00BD5B7F" w:rsidRPr="00FF6562" w:rsidRDefault="00BD5B7F" w:rsidP="000E5961">
            <w:pPr>
              <w:rPr>
                <w:rFonts w:ascii="Arial" w:eastAsia="Calibri" w:hAnsi="Arial" w:cs="Arial"/>
                <w:color w:val="000000"/>
                <w:szCs w:val="22"/>
              </w:rPr>
            </w:pPr>
          </w:p>
        </w:tc>
        <w:tc>
          <w:tcPr>
            <w:tcW w:w="1489" w:type="dxa"/>
            <w:tcBorders>
              <w:top w:val="nil"/>
              <w:left w:val="nil"/>
              <w:bottom w:val="nil"/>
              <w:right w:val="nil"/>
            </w:tcBorders>
            <w:shd w:val="clear" w:color="auto" w:fill="D8D8D8"/>
          </w:tcPr>
          <w:p w:rsidR="00BD5B7F" w:rsidRPr="00FF6562" w:rsidRDefault="00BD5B7F" w:rsidP="000E5961">
            <w:pPr>
              <w:rPr>
                <w:rFonts w:ascii="Arial" w:eastAsia="Calibri" w:hAnsi="Arial" w:cs="Arial"/>
                <w:color w:val="000000"/>
                <w:szCs w:val="22"/>
              </w:rPr>
            </w:pPr>
          </w:p>
        </w:tc>
      </w:tr>
      <w:tr w:rsidR="00BD5B7F" w:rsidRPr="00FF6562" w:rsidTr="000E5961">
        <w:tc>
          <w:tcPr>
            <w:tcW w:w="2307" w:type="dxa"/>
            <w:tcBorders>
              <w:top w:val="nil"/>
              <w:left w:val="nil"/>
              <w:bottom w:val="nil"/>
              <w:right w:val="nil"/>
            </w:tcBorders>
            <w:shd w:val="clear" w:color="auto" w:fill="4F81BD"/>
            <w:hideMark/>
          </w:tcPr>
          <w:p w:rsidR="00BD5B7F" w:rsidRPr="00FF6562" w:rsidRDefault="00BD5B7F" w:rsidP="000E5961">
            <w:pP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t>(Région/zone/territoire)</w:t>
            </w:r>
          </w:p>
        </w:tc>
        <w:tc>
          <w:tcPr>
            <w:tcW w:w="1527" w:type="dxa"/>
            <w:tcBorders>
              <w:top w:val="nil"/>
              <w:left w:val="nil"/>
              <w:bottom w:val="nil"/>
              <w:right w:val="nil"/>
            </w:tcBorders>
          </w:tcPr>
          <w:p w:rsidR="00BD5B7F" w:rsidRPr="00FF6562" w:rsidRDefault="00BD5B7F" w:rsidP="000E5961">
            <w:pPr>
              <w:rPr>
                <w:rFonts w:ascii="Arial" w:eastAsia="Calibri" w:hAnsi="Arial" w:cs="Arial"/>
                <w:color w:val="000000"/>
                <w:szCs w:val="22"/>
              </w:rPr>
            </w:pPr>
          </w:p>
        </w:tc>
        <w:tc>
          <w:tcPr>
            <w:tcW w:w="1618" w:type="dxa"/>
            <w:tcBorders>
              <w:top w:val="nil"/>
              <w:left w:val="nil"/>
              <w:bottom w:val="nil"/>
              <w:right w:val="nil"/>
            </w:tcBorders>
          </w:tcPr>
          <w:p w:rsidR="00BD5B7F" w:rsidRPr="00FF6562" w:rsidRDefault="00BD5B7F" w:rsidP="000E5961">
            <w:pPr>
              <w:rPr>
                <w:rFonts w:ascii="Arial" w:eastAsia="Calibri" w:hAnsi="Arial" w:cs="Arial"/>
                <w:color w:val="000000"/>
                <w:szCs w:val="22"/>
              </w:rPr>
            </w:pPr>
          </w:p>
        </w:tc>
        <w:tc>
          <w:tcPr>
            <w:tcW w:w="1363" w:type="dxa"/>
            <w:tcBorders>
              <w:top w:val="nil"/>
              <w:left w:val="nil"/>
              <w:bottom w:val="nil"/>
              <w:right w:val="nil"/>
            </w:tcBorders>
          </w:tcPr>
          <w:p w:rsidR="00BD5B7F" w:rsidRPr="00FF6562" w:rsidRDefault="00BD5B7F" w:rsidP="000E5961">
            <w:pPr>
              <w:rPr>
                <w:rFonts w:ascii="Arial" w:eastAsia="Calibri" w:hAnsi="Arial" w:cs="Arial"/>
                <w:color w:val="000000"/>
                <w:szCs w:val="22"/>
              </w:rPr>
            </w:pPr>
          </w:p>
        </w:tc>
        <w:tc>
          <w:tcPr>
            <w:tcW w:w="1550" w:type="dxa"/>
            <w:tcBorders>
              <w:top w:val="nil"/>
              <w:left w:val="nil"/>
              <w:bottom w:val="nil"/>
              <w:right w:val="nil"/>
            </w:tcBorders>
          </w:tcPr>
          <w:p w:rsidR="00BD5B7F" w:rsidRPr="00FF6562" w:rsidRDefault="00BD5B7F" w:rsidP="000E5961">
            <w:pPr>
              <w:rPr>
                <w:rFonts w:ascii="Arial" w:eastAsia="Calibri" w:hAnsi="Arial" w:cs="Arial"/>
                <w:color w:val="000000"/>
                <w:szCs w:val="22"/>
              </w:rPr>
            </w:pPr>
          </w:p>
        </w:tc>
        <w:tc>
          <w:tcPr>
            <w:tcW w:w="1489" w:type="dxa"/>
            <w:tcBorders>
              <w:top w:val="nil"/>
              <w:left w:val="nil"/>
              <w:bottom w:val="nil"/>
              <w:right w:val="nil"/>
            </w:tcBorders>
          </w:tcPr>
          <w:p w:rsidR="00BD5B7F" w:rsidRPr="00FF6562" w:rsidRDefault="00BD5B7F" w:rsidP="000E5961">
            <w:pPr>
              <w:rPr>
                <w:rFonts w:ascii="Arial" w:eastAsia="Calibri" w:hAnsi="Arial" w:cs="Arial"/>
                <w:color w:val="000000"/>
                <w:szCs w:val="22"/>
              </w:rPr>
            </w:pPr>
          </w:p>
        </w:tc>
      </w:tr>
      <w:tr w:rsidR="00BD5B7F" w:rsidRPr="00FC42B0" w:rsidTr="000E5961">
        <w:tc>
          <w:tcPr>
            <w:tcW w:w="2307" w:type="dxa"/>
            <w:tcBorders>
              <w:top w:val="nil"/>
              <w:left w:val="nil"/>
              <w:bottom w:val="nil"/>
              <w:right w:val="nil"/>
            </w:tcBorders>
            <w:shd w:val="clear" w:color="auto" w:fill="4F81BD"/>
            <w:hideMark/>
          </w:tcPr>
          <w:p w:rsidR="00BD5B7F" w:rsidRPr="00865DA5" w:rsidRDefault="00BD5B7F" w:rsidP="000E5961">
            <w:pPr>
              <w:rPr>
                <w:rFonts w:ascii="Arial" w:eastAsia="Calibri" w:hAnsi="Arial" w:cs="Arial"/>
                <w:b/>
                <w:bCs/>
                <w:color w:val="FFFFFF"/>
                <w:sz w:val="16"/>
                <w:szCs w:val="16"/>
                <w:lang w:val="fr-FR"/>
              </w:rPr>
            </w:pPr>
            <w:r w:rsidRPr="00865DA5">
              <w:rPr>
                <w:rFonts w:ascii="Arial" w:eastAsia="Arial" w:hAnsi="Arial" w:cs="Arial"/>
                <w:b/>
                <w:bCs/>
                <w:color w:val="FFFFFF"/>
                <w:sz w:val="16"/>
                <w:szCs w:val="16"/>
                <w:bdr w:val="none" w:sz="0" w:space="0" w:color="auto" w:frame="1"/>
                <w:lang w:val="fr-FR"/>
              </w:rPr>
              <w:t>[Ajouter des lignes pour chaque région pour laquelle des données ou des estimations sont disponibles]</w:t>
            </w:r>
          </w:p>
        </w:tc>
        <w:tc>
          <w:tcPr>
            <w:tcW w:w="1527" w:type="dxa"/>
            <w:tcBorders>
              <w:top w:val="nil"/>
              <w:left w:val="nil"/>
              <w:bottom w:val="nil"/>
              <w:right w:val="nil"/>
            </w:tcBorders>
            <w:shd w:val="clear" w:color="auto" w:fill="D8D8D8"/>
          </w:tcPr>
          <w:p w:rsidR="00BD5B7F" w:rsidRPr="00865DA5" w:rsidRDefault="00BD5B7F" w:rsidP="000E5961">
            <w:pPr>
              <w:rPr>
                <w:rFonts w:ascii="Arial" w:eastAsia="Calibri" w:hAnsi="Arial" w:cs="Arial"/>
                <w:color w:val="000000"/>
                <w:sz w:val="22"/>
                <w:szCs w:val="22"/>
                <w:lang w:val="fr-FR"/>
              </w:rPr>
            </w:pPr>
          </w:p>
        </w:tc>
        <w:tc>
          <w:tcPr>
            <w:tcW w:w="1618" w:type="dxa"/>
            <w:tcBorders>
              <w:top w:val="nil"/>
              <w:left w:val="nil"/>
              <w:bottom w:val="nil"/>
              <w:right w:val="nil"/>
            </w:tcBorders>
            <w:shd w:val="clear" w:color="auto" w:fill="D8D8D8"/>
          </w:tcPr>
          <w:p w:rsidR="00BD5B7F" w:rsidRPr="00865DA5" w:rsidRDefault="00BD5B7F" w:rsidP="000E5961">
            <w:pPr>
              <w:rPr>
                <w:rFonts w:ascii="Arial" w:eastAsia="Calibri" w:hAnsi="Arial" w:cs="Arial"/>
                <w:color w:val="000000"/>
                <w:sz w:val="22"/>
                <w:szCs w:val="22"/>
                <w:lang w:val="fr-FR"/>
              </w:rPr>
            </w:pPr>
          </w:p>
        </w:tc>
        <w:tc>
          <w:tcPr>
            <w:tcW w:w="1363" w:type="dxa"/>
            <w:tcBorders>
              <w:top w:val="nil"/>
              <w:left w:val="nil"/>
              <w:bottom w:val="nil"/>
              <w:right w:val="nil"/>
            </w:tcBorders>
            <w:shd w:val="clear" w:color="auto" w:fill="D8D8D8"/>
          </w:tcPr>
          <w:p w:rsidR="00BD5B7F" w:rsidRPr="00865DA5" w:rsidRDefault="00BD5B7F" w:rsidP="000E5961">
            <w:pPr>
              <w:rPr>
                <w:rFonts w:ascii="Arial" w:eastAsia="Calibri" w:hAnsi="Arial" w:cs="Arial"/>
                <w:color w:val="000000"/>
                <w:sz w:val="22"/>
                <w:szCs w:val="22"/>
                <w:lang w:val="fr-FR"/>
              </w:rPr>
            </w:pPr>
          </w:p>
        </w:tc>
        <w:tc>
          <w:tcPr>
            <w:tcW w:w="1550" w:type="dxa"/>
            <w:tcBorders>
              <w:top w:val="nil"/>
              <w:left w:val="nil"/>
              <w:bottom w:val="nil"/>
              <w:right w:val="nil"/>
            </w:tcBorders>
            <w:shd w:val="clear" w:color="auto" w:fill="D8D8D8"/>
          </w:tcPr>
          <w:p w:rsidR="00BD5B7F" w:rsidRPr="00865DA5" w:rsidRDefault="00BD5B7F" w:rsidP="000E5961">
            <w:pPr>
              <w:rPr>
                <w:rFonts w:ascii="Arial" w:eastAsia="Calibri" w:hAnsi="Arial" w:cs="Arial"/>
                <w:color w:val="000000"/>
                <w:sz w:val="22"/>
                <w:szCs w:val="22"/>
                <w:lang w:val="fr-FR"/>
              </w:rPr>
            </w:pPr>
          </w:p>
        </w:tc>
        <w:tc>
          <w:tcPr>
            <w:tcW w:w="1489" w:type="dxa"/>
            <w:tcBorders>
              <w:top w:val="nil"/>
              <w:left w:val="nil"/>
              <w:bottom w:val="nil"/>
              <w:right w:val="nil"/>
            </w:tcBorders>
            <w:shd w:val="clear" w:color="auto" w:fill="D8D8D8"/>
          </w:tcPr>
          <w:p w:rsidR="00BD5B7F" w:rsidRPr="00865DA5" w:rsidRDefault="00BD5B7F" w:rsidP="000E5961">
            <w:pPr>
              <w:rPr>
                <w:rFonts w:ascii="Arial" w:eastAsia="Calibri" w:hAnsi="Arial" w:cs="Arial"/>
                <w:color w:val="000000"/>
                <w:sz w:val="22"/>
                <w:szCs w:val="22"/>
                <w:lang w:val="fr-FR"/>
              </w:rPr>
            </w:pPr>
          </w:p>
        </w:tc>
      </w:tr>
      <w:tr w:rsidR="00BD5B7F" w:rsidRPr="00FC42B0" w:rsidTr="000E5961">
        <w:tc>
          <w:tcPr>
            <w:tcW w:w="2307" w:type="dxa"/>
            <w:tcBorders>
              <w:top w:val="nil"/>
              <w:left w:val="nil"/>
              <w:bottom w:val="nil"/>
              <w:right w:val="nil"/>
            </w:tcBorders>
            <w:shd w:val="clear" w:color="auto" w:fill="4F81BD"/>
          </w:tcPr>
          <w:p w:rsidR="00BD5B7F" w:rsidRPr="00865DA5" w:rsidRDefault="00BD5B7F" w:rsidP="000E5961">
            <w:pPr>
              <w:rPr>
                <w:rFonts w:ascii="Arial" w:eastAsia="Calibri" w:hAnsi="Arial" w:cs="Arial"/>
                <w:b/>
                <w:bCs/>
                <w:color w:val="FFFFFF"/>
                <w:sz w:val="16"/>
                <w:szCs w:val="16"/>
                <w:lang w:val="fr-FR"/>
              </w:rPr>
            </w:pPr>
          </w:p>
        </w:tc>
        <w:tc>
          <w:tcPr>
            <w:tcW w:w="1527" w:type="dxa"/>
            <w:tcBorders>
              <w:top w:val="nil"/>
              <w:left w:val="nil"/>
              <w:bottom w:val="nil"/>
              <w:right w:val="nil"/>
            </w:tcBorders>
            <w:shd w:val="clear" w:color="auto" w:fill="FFFFFF"/>
          </w:tcPr>
          <w:p w:rsidR="00BD5B7F" w:rsidRPr="00865DA5" w:rsidRDefault="00BD5B7F" w:rsidP="000E5961">
            <w:pPr>
              <w:rPr>
                <w:rFonts w:ascii="Arial" w:eastAsia="Calibri" w:hAnsi="Arial" w:cs="Arial"/>
                <w:color w:val="000000"/>
                <w:sz w:val="22"/>
                <w:szCs w:val="22"/>
                <w:lang w:val="fr-FR"/>
              </w:rPr>
            </w:pPr>
          </w:p>
        </w:tc>
        <w:tc>
          <w:tcPr>
            <w:tcW w:w="1618" w:type="dxa"/>
            <w:tcBorders>
              <w:top w:val="nil"/>
              <w:left w:val="nil"/>
              <w:bottom w:val="nil"/>
              <w:right w:val="nil"/>
            </w:tcBorders>
            <w:shd w:val="clear" w:color="auto" w:fill="FFFFFF"/>
          </w:tcPr>
          <w:p w:rsidR="00BD5B7F" w:rsidRPr="00865DA5" w:rsidRDefault="00BD5B7F" w:rsidP="000E5961">
            <w:pPr>
              <w:rPr>
                <w:rFonts w:ascii="Arial" w:eastAsia="Calibri" w:hAnsi="Arial" w:cs="Arial"/>
                <w:color w:val="000000"/>
                <w:sz w:val="22"/>
                <w:szCs w:val="22"/>
                <w:lang w:val="fr-FR"/>
              </w:rPr>
            </w:pPr>
          </w:p>
        </w:tc>
        <w:tc>
          <w:tcPr>
            <w:tcW w:w="1363" w:type="dxa"/>
            <w:tcBorders>
              <w:top w:val="nil"/>
              <w:left w:val="nil"/>
              <w:bottom w:val="nil"/>
              <w:right w:val="nil"/>
            </w:tcBorders>
            <w:shd w:val="clear" w:color="auto" w:fill="FFFFFF"/>
          </w:tcPr>
          <w:p w:rsidR="00BD5B7F" w:rsidRPr="00865DA5" w:rsidRDefault="00BD5B7F" w:rsidP="000E5961">
            <w:pPr>
              <w:rPr>
                <w:rFonts w:ascii="Arial" w:eastAsia="Calibri" w:hAnsi="Arial" w:cs="Arial"/>
                <w:color w:val="000000"/>
                <w:sz w:val="22"/>
                <w:szCs w:val="22"/>
                <w:lang w:val="fr-FR"/>
              </w:rPr>
            </w:pPr>
          </w:p>
        </w:tc>
        <w:tc>
          <w:tcPr>
            <w:tcW w:w="1550" w:type="dxa"/>
            <w:tcBorders>
              <w:top w:val="nil"/>
              <w:left w:val="nil"/>
              <w:bottom w:val="nil"/>
              <w:right w:val="nil"/>
            </w:tcBorders>
            <w:shd w:val="clear" w:color="auto" w:fill="FFFFFF"/>
          </w:tcPr>
          <w:p w:rsidR="00BD5B7F" w:rsidRPr="00865DA5" w:rsidRDefault="00BD5B7F" w:rsidP="000E5961">
            <w:pPr>
              <w:rPr>
                <w:rFonts w:ascii="Arial" w:eastAsia="Calibri" w:hAnsi="Arial" w:cs="Arial"/>
                <w:color w:val="000000"/>
                <w:sz w:val="22"/>
                <w:szCs w:val="22"/>
                <w:lang w:val="fr-FR"/>
              </w:rPr>
            </w:pPr>
          </w:p>
        </w:tc>
        <w:tc>
          <w:tcPr>
            <w:tcW w:w="1489" w:type="dxa"/>
            <w:tcBorders>
              <w:top w:val="nil"/>
              <w:left w:val="nil"/>
              <w:bottom w:val="nil"/>
              <w:right w:val="nil"/>
            </w:tcBorders>
            <w:shd w:val="clear" w:color="auto" w:fill="FFFFFF"/>
          </w:tcPr>
          <w:p w:rsidR="00BD5B7F" w:rsidRPr="00865DA5" w:rsidRDefault="00BD5B7F" w:rsidP="000E5961">
            <w:pPr>
              <w:rPr>
                <w:rFonts w:ascii="Arial" w:eastAsia="Calibri" w:hAnsi="Arial" w:cs="Arial"/>
                <w:color w:val="000000"/>
                <w:sz w:val="22"/>
                <w:szCs w:val="22"/>
                <w:lang w:val="fr-FR"/>
              </w:rPr>
            </w:pPr>
          </w:p>
        </w:tc>
      </w:tr>
      <w:tr w:rsidR="00BD5B7F" w:rsidRPr="00FC42B0" w:rsidTr="000E5961">
        <w:tc>
          <w:tcPr>
            <w:tcW w:w="2307" w:type="dxa"/>
            <w:tcBorders>
              <w:top w:val="nil"/>
              <w:left w:val="nil"/>
              <w:bottom w:val="single" w:sz="18" w:space="0" w:color="auto"/>
              <w:right w:val="nil"/>
            </w:tcBorders>
            <w:shd w:val="clear" w:color="auto" w:fill="4F81BD"/>
          </w:tcPr>
          <w:p w:rsidR="00BD5B7F" w:rsidRPr="00865DA5" w:rsidRDefault="00BD5B7F" w:rsidP="000E5961">
            <w:pPr>
              <w:rPr>
                <w:rFonts w:ascii="Arial" w:eastAsia="Calibri" w:hAnsi="Arial" w:cs="Arial"/>
                <w:b/>
                <w:bCs/>
                <w:color w:val="FFFFFF"/>
                <w:sz w:val="16"/>
                <w:szCs w:val="16"/>
                <w:lang w:val="fr-FR"/>
              </w:rPr>
            </w:pPr>
          </w:p>
        </w:tc>
        <w:tc>
          <w:tcPr>
            <w:tcW w:w="1527" w:type="dxa"/>
            <w:tcBorders>
              <w:top w:val="nil"/>
              <w:left w:val="nil"/>
              <w:bottom w:val="single" w:sz="18" w:space="0" w:color="auto"/>
              <w:right w:val="nil"/>
            </w:tcBorders>
            <w:shd w:val="clear" w:color="auto" w:fill="D8D8D8"/>
          </w:tcPr>
          <w:p w:rsidR="00BD5B7F" w:rsidRPr="00865DA5" w:rsidRDefault="00BD5B7F" w:rsidP="000E5961">
            <w:pPr>
              <w:rPr>
                <w:rFonts w:ascii="Arial" w:eastAsia="Calibri" w:hAnsi="Arial" w:cs="Arial"/>
                <w:color w:val="000000"/>
                <w:sz w:val="22"/>
                <w:szCs w:val="22"/>
                <w:lang w:val="fr-FR"/>
              </w:rPr>
            </w:pPr>
          </w:p>
        </w:tc>
        <w:tc>
          <w:tcPr>
            <w:tcW w:w="1618" w:type="dxa"/>
            <w:tcBorders>
              <w:top w:val="nil"/>
              <w:left w:val="nil"/>
              <w:bottom w:val="single" w:sz="18" w:space="0" w:color="auto"/>
              <w:right w:val="nil"/>
            </w:tcBorders>
            <w:shd w:val="clear" w:color="auto" w:fill="D8D8D8"/>
          </w:tcPr>
          <w:p w:rsidR="00BD5B7F" w:rsidRPr="00865DA5" w:rsidRDefault="00BD5B7F" w:rsidP="000E5961">
            <w:pPr>
              <w:rPr>
                <w:rFonts w:ascii="Arial" w:eastAsia="Calibri" w:hAnsi="Arial" w:cs="Arial"/>
                <w:color w:val="000000"/>
                <w:sz w:val="22"/>
                <w:szCs w:val="22"/>
                <w:lang w:val="fr-FR"/>
              </w:rPr>
            </w:pPr>
          </w:p>
        </w:tc>
        <w:tc>
          <w:tcPr>
            <w:tcW w:w="1363" w:type="dxa"/>
            <w:tcBorders>
              <w:top w:val="nil"/>
              <w:left w:val="nil"/>
              <w:bottom w:val="single" w:sz="18" w:space="0" w:color="auto"/>
              <w:right w:val="nil"/>
            </w:tcBorders>
            <w:shd w:val="clear" w:color="auto" w:fill="D8D8D8"/>
          </w:tcPr>
          <w:p w:rsidR="00BD5B7F" w:rsidRPr="00865DA5" w:rsidRDefault="00BD5B7F" w:rsidP="000E5961">
            <w:pPr>
              <w:rPr>
                <w:rFonts w:ascii="Arial" w:eastAsia="Calibri" w:hAnsi="Arial" w:cs="Arial"/>
                <w:color w:val="000000"/>
                <w:sz w:val="22"/>
                <w:szCs w:val="22"/>
                <w:lang w:val="fr-FR"/>
              </w:rPr>
            </w:pPr>
          </w:p>
        </w:tc>
        <w:tc>
          <w:tcPr>
            <w:tcW w:w="1550" w:type="dxa"/>
            <w:tcBorders>
              <w:top w:val="nil"/>
              <w:left w:val="nil"/>
              <w:bottom w:val="single" w:sz="18" w:space="0" w:color="auto"/>
              <w:right w:val="nil"/>
            </w:tcBorders>
            <w:shd w:val="clear" w:color="auto" w:fill="D8D8D8"/>
          </w:tcPr>
          <w:p w:rsidR="00BD5B7F" w:rsidRPr="00865DA5" w:rsidRDefault="00BD5B7F" w:rsidP="000E5961">
            <w:pPr>
              <w:rPr>
                <w:rFonts w:ascii="Arial" w:eastAsia="Calibri" w:hAnsi="Arial" w:cs="Arial"/>
                <w:color w:val="000000"/>
                <w:sz w:val="22"/>
                <w:szCs w:val="22"/>
                <w:lang w:val="fr-FR"/>
              </w:rPr>
            </w:pPr>
          </w:p>
        </w:tc>
        <w:tc>
          <w:tcPr>
            <w:tcW w:w="1489" w:type="dxa"/>
            <w:tcBorders>
              <w:top w:val="nil"/>
              <w:left w:val="nil"/>
              <w:bottom w:val="single" w:sz="18" w:space="0" w:color="auto"/>
              <w:right w:val="nil"/>
            </w:tcBorders>
            <w:shd w:val="clear" w:color="auto" w:fill="D8D8D8"/>
          </w:tcPr>
          <w:p w:rsidR="00BD5B7F" w:rsidRPr="00865DA5" w:rsidRDefault="00BD5B7F" w:rsidP="000E5961">
            <w:pPr>
              <w:rPr>
                <w:rFonts w:ascii="Arial" w:eastAsia="Calibri" w:hAnsi="Arial" w:cs="Arial"/>
                <w:color w:val="000000"/>
                <w:sz w:val="22"/>
                <w:szCs w:val="22"/>
                <w:lang w:val="fr-FR"/>
              </w:rPr>
            </w:pPr>
          </w:p>
        </w:tc>
      </w:tr>
    </w:tbl>
    <w:p w:rsidR="00BD5B7F" w:rsidRPr="00865DA5" w:rsidRDefault="00BD5B7F" w:rsidP="00BD5B7F">
      <w:pPr>
        <w:rPr>
          <w:rFonts w:ascii="Arial" w:eastAsia="Calibri" w:hAnsi="Arial" w:cs="Arial"/>
          <w:color w:val="000000"/>
          <w:sz w:val="22"/>
          <w:szCs w:val="22"/>
          <w:lang w:val="fr-FR"/>
        </w:rPr>
      </w:pPr>
    </w:p>
    <w:p w:rsidR="00BD5B7F" w:rsidRPr="00865DA5" w:rsidRDefault="00BD5B7F" w:rsidP="00BD5B7F">
      <w:pPr>
        <w:rPr>
          <w:rFonts w:ascii="Arial" w:eastAsia="Calibri" w:hAnsi="Arial" w:cs="Arial"/>
          <w:color w:val="000000"/>
          <w:sz w:val="22"/>
          <w:szCs w:val="22"/>
          <w:lang w:val="fr-FR"/>
        </w:rPr>
      </w:pPr>
    </w:p>
    <w:tbl>
      <w:tblPr>
        <w:tblW w:w="0" w:type="auto"/>
        <w:tblBorders>
          <w:top w:val="single" w:sz="18" w:space="0" w:color="auto"/>
          <w:bottom w:val="single" w:sz="18" w:space="0" w:color="auto"/>
        </w:tblBorders>
        <w:tblLook w:val="04A0" w:firstRow="1" w:lastRow="0" w:firstColumn="1" w:lastColumn="0" w:noHBand="0" w:noVBand="1"/>
      </w:tblPr>
      <w:tblGrid>
        <w:gridCol w:w="1639"/>
        <w:gridCol w:w="1830"/>
        <w:gridCol w:w="1905"/>
        <w:gridCol w:w="1999"/>
        <w:gridCol w:w="1913"/>
      </w:tblGrid>
      <w:tr w:rsidR="00BD5B7F" w:rsidRPr="00FC42B0" w:rsidTr="000E5961">
        <w:tc>
          <w:tcPr>
            <w:tcW w:w="1664" w:type="dxa"/>
            <w:tcBorders>
              <w:top w:val="single" w:sz="18" w:space="0" w:color="auto"/>
              <w:left w:val="nil"/>
              <w:bottom w:val="single" w:sz="18" w:space="0" w:color="auto"/>
              <w:right w:val="nil"/>
            </w:tcBorders>
            <w:shd w:val="clear" w:color="auto" w:fill="4F81BD"/>
            <w:hideMark/>
          </w:tcPr>
          <w:p w:rsidR="00BD5B7F" w:rsidRPr="00865DA5" w:rsidRDefault="00BD5B7F" w:rsidP="000E5961">
            <w:pPr>
              <w:jc w:val="center"/>
              <w:rPr>
                <w:rFonts w:ascii="Arial" w:eastAsia="Calibri" w:hAnsi="Arial" w:cs="Arial"/>
                <w:b/>
                <w:bCs/>
                <w:color w:val="FFFFFF"/>
                <w:szCs w:val="22"/>
                <w:lang w:val="fr-FR"/>
              </w:rPr>
            </w:pPr>
            <w:r w:rsidRPr="00865DA5">
              <w:rPr>
                <w:rFonts w:ascii="Arial" w:eastAsia="Arial" w:hAnsi="Arial" w:cs="Arial"/>
                <w:b/>
                <w:bCs/>
                <w:color w:val="FFFFFF"/>
                <w:szCs w:val="22"/>
                <w:bdr w:val="none" w:sz="0" w:space="0" w:color="auto" w:frame="1"/>
                <w:lang w:val="fr-FR"/>
              </w:rPr>
              <w:t>Tendance de l’IKB au cours des 3 dernières années</w:t>
            </w:r>
          </w:p>
        </w:tc>
        <w:tc>
          <w:tcPr>
            <w:tcW w:w="1485" w:type="dxa"/>
            <w:tcBorders>
              <w:top w:val="single" w:sz="18" w:space="0" w:color="auto"/>
              <w:left w:val="nil"/>
              <w:bottom w:val="single" w:sz="18" w:space="0" w:color="auto"/>
              <w:right w:val="nil"/>
            </w:tcBorders>
            <w:shd w:val="clear" w:color="auto" w:fill="D9D9D9"/>
            <w:vAlign w:val="center"/>
            <w:hideMark/>
          </w:tcPr>
          <w:p w:rsidR="00BD5B7F" w:rsidRPr="00FF6562" w:rsidRDefault="00BD5B7F" w:rsidP="000E5961">
            <w:pPr>
              <w:jc w:val="cente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t>Augmentation</w:t>
            </w:r>
          </w:p>
          <w:p w:rsidR="00BD5B7F" w:rsidRPr="00FF6562" w:rsidRDefault="00BD5B7F" w:rsidP="000E5961">
            <w:pPr>
              <w:jc w:val="center"/>
              <w:rPr>
                <w:rFonts w:ascii="Arial" w:eastAsia="Calibri" w:hAnsi="Arial" w:cs="Arial"/>
                <w:b/>
                <w:bCs/>
                <w:color w:val="FFFFFF"/>
                <w:szCs w:val="22"/>
              </w:rPr>
            </w:pPr>
            <w:r w:rsidRPr="00FF6562">
              <w:rPr>
                <w:rFonts w:ascii="Arial" w:eastAsia="Arial" w:hAnsi="Arial" w:cs="Arial"/>
                <w:b/>
                <w:bCs/>
                <w:color w:val="000000"/>
                <w:szCs w:val="22"/>
              </w:rPr>
              <w:t>􀜆</w:t>
            </w:r>
          </w:p>
        </w:tc>
        <w:tc>
          <w:tcPr>
            <w:tcW w:w="2034" w:type="dxa"/>
            <w:tcBorders>
              <w:top w:val="single" w:sz="18" w:space="0" w:color="auto"/>
              <w:left w:val="nil"/>
              <w:bottom w:val="single" w:sz="18" w:space="0" w:color="auto"/>
              <w:right w:val="nil"/>
            </w:tcBorders>
            <w:shd w:val="clear" w:color="auto" w:fill="D9D9D9"/>
            <w:vAlign w:val="center"/>
            <w:hideMark/>
          </w:tcPr>
          <w:p w:rsidR="00BD5B7F" w:rsidRPr="00FF6562" w:rsidRDefault="00BD5B7F" w:rsidP="000E5961">
            <w:pPr>
              <w:jc w:val="cente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t>Stabilité</w:t>
            </w:r>
          </w:p>
          <w:p w:rsidR="00BD5B7F" w:rsidRPr="00FF6562" w:rsidRDefault="00BD5B7F" w:rsidP="000E5961">
            <w:pPr>
              <w:jc w:val="center"/>
              <w:rPr>
                <w:rFonts w:ascii="Arial" w:eastAsia="Calibri" w:hAnsi="Arial" w:cs="Arial"/>
                <w:b/>
                <w:bCs/>
                <w:color w:val="FFFFFF"/>
                <w:szCs w:val="22"/>
              </w:rPr>
            </w:pPr>
            <w:r w:rsidRPr="00FF6562">
              <w:rPr>
                <w:rFonts w:ascii="Arial" w:eastAsia="Arial" w:hAnsi="Arial" w:cs="Arial"/>
                <w:b/>
                <w:bCs/>
                <w:color w:val="000000"/>
                <w:szCs w:val="22"/>
              </w:rPr>
              <w:t>􀜆</w:t>
            </w:r>
          </w:p>
        </w:tc>
        <w:tc>
          <w:tcPr>
            <w:tcW w:w="2089" w:type="dxa"/>
            <w:tcBorders>
              <w:top w:val="single" w:sz="18" w:space="0" w:color="auto"/>
              <w:left w:val="nil"/>
              <w:bottom w:val="single" w:sz="18" w:space="0" w:color="auto"/>
              <w:right w:val="nil"/>
            </w:tcBorders>
            <w:shd w:val="clear" w:color="auto" w:fill="D9D9D9"/>
            <w:vAlign w:val="center"/>
            <w:hideMark/>
          </w:tcPr>
          <w:p w:rsidR="00BD5B7F" w:rsidRPr="00FF6562" w:rsidRDefault="00BD5B7F" w:rsidP="000E5961">
            <w:pPr>
              <w:jc w:val="center"/>
              <w:rPr>
                <w:rFonts w:ascii="Arial" w:eastAsia="Calibri" w:hAnsi="Arial" w:cs="Arial"/>
                <w:b/>
                <w:bCs/>
                <w:color w:val="FFFFFF"/>
                <w:szCs w:val="22"/>
              </w:rPr>
            </w:pPr>
            <w:r w:rsidRPr="00FF6562">
              <w:rPr>
                <w:rFonts w:ascii="Arial" w:eastAsia="Arial" w:hAnsi="Arial" w:cs="Arial"/>
                <w:b/>
                <w:bCs/>
                <w:color w:val="FFFFFF"/>
                <w:szCs w:val="22"/>
                <w:bdr w:val="none" w:sz="0" w:space="0" w:color="auto" w:frame="1"/>
              </w:rPr>
              <w:t>Diminution</w:t>
            </w:r>
          </w:p>
          <w:p w:rsidR="00BD5B7F" w:rsidRPr="00FF6562" w:rsidRDefault="00BD5B7F" w:rsidP="000E5961">
            <w:pPr>
              <w:jc w:val="center"/>
              <w:rPr>
                <w:rFonts w:ascii="Arial" w:eastAsia="Calibri" w:hAnsi="Arial" w:cs="Arial"/>
                <w:b/>
                <w:bCs/>
                <w:color w:val="FFFFFF"/>
                <w:szCs w:val="22"/>
              </w:rPr>
            </w:pPr>
            <w:r w:rsidRPr="00FF6562">
              <w:rPr>
                <w:rFonts w:ascii="Arial" w:eastAsia="Arial" w:hAnsi="Arial" w:cs="Arial"/>
                <w:b/>
                <w:bCs/>
                <w:color w:val="000000"/>
                <w:szCs w:val="22"/>
              </w:rPr>
              <w:t>􀜆</w:t>
            </w:r>
          </w:p>
        </w:tc>
        <w:tc>
          <w:tcPr>
            <w:tcW w:w="2023" w:type="dxa"/>
            <w:tcBorders>
              <w:top w:val="single" w:sz="18" w:space="0" w:color="auto"/>
              <w:left w:val="nil"/>
              <w:bottom w:val="single" w:sz="18" w:space="0" w:color="auto"/>
              <w:right w:val="nil"/>
            </w:tcBorders>
            <w:shd w:val="clear" w:color="auto" w:fill="D9D9D9"/>
            <w:vAlign w:val="center"/>
            <w:hideMark/>
          </w:tcPr>
          <w:p w:rsidR="00BD5B7F" w:rsidRPr="00865DA5" w:rsidRDefault="00BD5B7F" w:rsidP="000E5961">
            <w:pPr>
              <w:jc w:val="center"/>
              <w:rPr>
                <w:rFonts w:ascii="Arial" w:eastAsia="Calibri" w:hAnsi="Arial" w:cs="Arial"/>
                <w:b/>
                <w:bCs/>
                <w:color w:val="FFFFFF"/>
                <w:szCs w:val="22"/>
                <w:lang w:val="fr-FR"/>
              </w:rPr>
            </w:pPr>
            <w:r w:rsidRPr="00865DA5">
              <w:rPr>
                <w:rFonts w:ascii="Arial" w:eastAsia="Arial" w:hAnsi="Arial" w:cs="Arial"/>
                <w:b/>
                <w:bCs/>
                <w:color w:val="FFFFFF"/>
                <w:szCs w:val="22"/>
                <w:bdr w:val="none" w:sz="0" w:space="0" w:color="auto" w:frame="1"/>
                <w:lang w:val="fr-FR"/>
              </w:rPr>
              <w:t>Pas de tendance claire</w:t>
            </w:r>
          </w:p>
          <w:p w:rsidR="00BD5B7F" w:rsidRPr="00865DA5" w:rsidRDefault="00BD5B7F" w:rsidP="000E5961">
            <w:pPr>
              <w:jc w:val="center"/>
              <w:rPr>
                <w:rFonts w:ascii="Arial" w:eastAsia="Calibri" w:hAnsi="Arial" w:cs="Arial"/>
                <w:b/>
                <w:bCs/>
                <w:color w:val="FFFFFF"/>
                <w:szCs w:val="22"/>
                <w:lang w:val="fr-FR"/>
              </w:rPr>
            </w:pPr>
            <w:r w:rsidRPr="00FF6562">
              <w:rPr>
                <w:rFonts w:ascii="Arial" w:eastAsia="Arial" w:hAnsi="Arial" w:cs="Arial"/>
                <w:b/>
                <w:bCs/>
                <w:color w:val="000000"/>
                <w:szCs w:val="22"/>
              </w:rPr>
              <w:t>􀜆</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w:t>
      </w:r>
      <w:r w:rsidRPr="00FF6562">
        <w:rPr>
          <w:rFonts w:ascii="Arial" w:eastAsia="Calibri" w:hAnsi="Arial" w:cs="Arial"/>
          <w:color w:val="000000"/>
          <w:sz w:val="22"/>
          <w:szCs w:val="22"/>
          <w:vertAlign w:val="superscript"/>
        </w:rPr>
        <w:footnoteReference w:id="10"/>
      </w:r>
      <w:r w:rsidRPr="00865DA5">
        <w:rPr>
          <w:rFonts w:ascii="Arial" w:eastAsia="Arial" w:hAnsi="Arial" w:cs="Arial"/>
          <w:color w:val="000000"/>
          <w:sz w:val="22"/>
          <w:szCs w:val="22"/>
          <w:bdr w:val="none" w:sz="0" w:space="0" w:color="auto" w:frame="1"/>
          <w:lang w:val="fr-FR"/>
        </w:rPr>
        <w:t> :</w:t>
      </w:r>
    </w:p>
    <w:p w:rsidR="00BD5B7F" w:rsidRPr="00865DA5" w:rsidRDefault="00BD5B7F" w:rsidP="00BD5B7F">
      <w:pPr>
        <w:rPr>
          <w:rFonts w:ascii="Arial" w:eastAsia="Calibri" w:hAnsi="Arial" w:cs="Arial"/>
          <w:color w:val="000000"/>
          <w:sz w:val="22"/>
          <w:szCs w:val="22"/>
          <w:lang w:val="fr-FR"/>
        </w:rPr>
      </w:pPr>
    </w:p>
    <w:p w:rsidR="00BD5B7F" w:rsidRPr="00865DA5" w:rsidRDefault="00BD5B7F" w:rsidP="00BD5B7F">
      <w:pPr>
        <w:rPr>
          <w:rFonts w:ascii="Arial" w:eastAsia="Calibri" w:hAnsi="Arial" w:cs="Arial"/>
          <w:b/>
          <w:bCs/>
          <w:color w:val="000000"/>
          <w:sz w:val="23"/>
          <w:szCs w:val="23"/>
          <w:lang w:val="fr-FR"/>
        </w:rPr>
      </w:pPr>
      <w:r w:rsidRPr="00865DA5">
        <w:rPr>
          <w:rFonts w:ascii="Arial" w:eastAsia="Calibri" w:hAnsi="Arial" w:cs="Arial"/>
          <w:b/>
          <w:bCs/>
          <w:color w:val="000000"/>
          <w:sz w:val="23"/>
          <w:szCs w:val="23"/>
          <w:lang w:val="fr-FR"/>
        </w:rPr>
        <w:br w:type="page"/>
      </w:r>
    </w:p>
    <w:p w:rsidR="00BD5B7F" w:rsidRPr="00865DA5" w:rsidRDefault="00BD5B7F" w:rsidP="00BD5B7F">
      <w:pPr>
        <w:keepNext/>
        <w:keepLines/>
        <w:spacing w:after="120"/>
        <w:jc w:val="both"/>
        <w:outlineLvl w:val="3"/>
        <w:rPr>
          <w:rFonts w:ascii="Arial" w:hAnsi="Arial" w:cs="Arial"/>
          <w:b/>
          <w:iCs/>
          <w:color w:val="000000"/>
          <w:sz w:val="28"/>
          <w:szCs w:val="18"/>
          <w:lang w:val="fr-FR"/>
        </w:rPr>
      </w:pPr>
      <w:bookmarkStart w:id="42" w:name="_Toc486539574"/>
      <w:bookmarkStart w:id="43" w:name="_Toc491245237"/>
      <w:r w:rsidRPr="00865DA5">
        <w:rPr>
          <w:rFonts w:ascii="Arial" w:eastAsia="Arial" w:hAnsi="Arial" w:cs="Arial"/>
          <w:b/>
          <w:bCs/>
          <w:iCs/>
          <w:color w:val="000000"/>
          <w:sz w:val="28"/>
          <w:szCs w:val="28"/>
          <w:bdr w:val="none" w:sz="0" w:space="0" w:color="auto" w:frame="1"/>
          <w:lang w:val="fr-FR"/>
        </w:rPr>
        <w:lastRenderedPageBreak/>
        <w:t xml:space="preserve">3. Connaissance de l’étendue des cas d’IKB par les </w:t>
      </w:r>
      <w:bookmarkEnd w:id="42"/>
      <w:r w:rsidRPr="00865DA5">
        <w:rPr>
          <w:rFonts w:ascii="Arial" w:eastAsia="Arial" w:hAnsi="Arial" w:cs="Arial"/>
          <w:b/>
          <w:bCs/>
          <w:iCs/>
          <w:color w:val="000000"/>
          <w:sz w:val="28"/>
          <w:szCs w:val="28"/>
          <w:bdr w:val="none" w:sz="0" w:space="0" w:color="auto" w:frame="1"/>
          <w:lang w:val="fr-FR"/>
        </w:rPr>
        <w:t>autorités nationales</w:t>
      </w:r>
      <w:bookmarkEnd w:id="43"/>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Le niveau de disponibilité des données sur les activités illégales à l’échelle nationale.</w:t>
      </w:r>
    </w:p>
    <w:p w:rsidR="00BD5B7F" w:rsidRPr="00865DA5" w:rsidRDefault="00BD5B7F" w:rsidP="00BD5B7F">
      <w:pPr>
        <w:spacing w:after="120"/>
        <w:jc w:val="both"/>
        <w:rPr>
          <w:rFonts w:ascii="Arial" w:eastAsia="Calibri" w:hAnsi="Arial" w:cs="Arial"/>
          <w:color w:val="000000"/>
          <w:sz w:val="22"/>
          <w:szCs w:val="22"/>
          <w:lang w:val="fr-FR"/>
        </w:rPr>
      </w:pPr>
    </w:p>
    <w:p w:rsidR="00BD5B7F" w:rsidRPr="00865DA5" w:rsidRDefault="00BD5B7F" w:rsidP="00BD5B7F">
      <w:pPr>
        <w:spacing w:after="120"/>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Des données sur la situation et l’échelle des cas d’IKB sont-elles disponibles ?</w:t>
      </w:r>
    </w:p>
    <w:p w:rsidR="00BD5B7F" w:rsidRPr="00865DA5" w:rsidRDefault="00BD5B7F" w:rsidP="00BD5B7F">
      <w:pPr>
        <w:spacing w:after="120"/>
        <w:jc w:val="both"/>
        <w:rPr>
          <w:rFonts w:ascii="Arial" w:eastAsia="Calibri" w:hAnsi="Arial" w:cs="Arial"/>
          <w:b/>
          <w:bCs/>
          <w:i/>
          <w:iCs/>
          <w:color w:val="000000"/>
          <w:sz w:val="22"/>
          <w:szCs w:val="22"/>
          <w:lang w:val="fr-FR"/>
        </w:rPr>
      </w:pPr>
    </w:p>
    <w:p w:rsidR="00BD5B7F" w:rsidRPr="00FF6562" w:rsidRDefault="00BD5B7F" w:rsidP="00BD5B7F">
      <w:pPr>
        <w:spacing w:after="120"/>
        <w:rPr>
          <w:rFonts w:ascii="Arial" w:eastAsia="Calibri" w:hAnsi="Arial" w:cs="Arial"/>
          <w:i/>
          <w:iCs/>
          <w:color w:val="000000"/>
          <w:sz w:val="22"/>
          <w:szCs w:val="22"/>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2304"/>
        <w:gridCol w:w="15"/>
        <w:gridCol w:w="2310"/>
        <w:gridCol w:w="24"/>
        <w:gridCol w:w="2327"/>
      </w:tblGrid>
      <w:tr w:rsidR="00BD5B7F" w:rsidRPr="00FF6562" w:rsidTr="000E5961">
        <w:tc>
          <w:tcPr>
            <w:tcW w:w="2310"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310"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données sur le nombre et la répartition des cas d’IKB </w:t>
            </w:r>
            <w:r w:rsidRPr="00865DA5">
              <w:rPr>
                <w:rFonts w:ascii="Arial" w:eastAsia="Arial" w:hAnsi="Arial" w:cs="Arial"/>
                <w:b/>
                <w:bCs/>
                <w:color w:val="000000"/>
                <w:sz w:val="18"/>
                <w:szCs w:val="18"/>
                <w:bdr w:val="none" w:sz="0" w:space="0" w:color="auto" w:frame="1"/>
                <w:lang w:val="fr-FR"/>
              </w:rPr>
              <w:t>ne sont pas</w:t>
            </w:r>
            <w:r w:rsidRPr="00865DA5">
              <w:rPr>
                <w:rFonts w:ascii="Arial" w:eastAsia="Arial" w:hAnsi="Arial" w:cs="Arial"/>
                <w:color w:val="000000"/>
                <w:sz w:val="18"/>
                <w:szCs w:val="18"/>
                <w:bdr w:val="none" w:sz="0" w:space="0" w:color="auto" w:frame="1"/>
                <w:lang w:val="fr-FR"/>
              </w:rPr>
              <w:t xml:space="preserve"> </w:t>
            </w:r>
            <w:r w:rsidRPr="00865DA5">
              <w:rPr>
                <w:rFonts w:ascii="Arial" w:eastAsia="Arial" w:hAnsi="Arial" w:cs="Arial"/>
                <w:b/>
                <w:bCs/>
                <w:color w:val="000000"/>
                <w:sz w:val="18"/>
                <w:szCs w:val="18"/>
                <w:bdr w:val="none" w:sz="0" w:space="0" w:color="auto" w:frame="1"/>
                <w:lang w:val="fr-FR"/>
              </w:rPr>
              <w:t>disponibles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données sur le nombre et la répartition des cas d’IKB sont disponibles mais </w:t>
            </w:r>
            <w:r w:rsidRPr="00865DA5">
              <w:rPr>
                <w:rFonts w:ascii="Arial" w:eastAsia="Arial" w:hAnsi="Arial" w:cs="Arial"/>
                <w:b/>
                <w:bCs/>
                <w:color w:val="000000"/>
                <w:sz w:val="18"/>
                <w:szCs w:val="18"/>
                <w:bdr w:val="none" w:sz="0" w:space="0" w:color="auto" w:frame="1"/>
                <w:lang w:val="fr-FR"/>
              </w:rPr>
              <w:t>n’ont pas été utilisées</w:t>
            </w:r>
            <w:r w:rsidRPr="00865DA5">
              <w:rPr>
                <w:rFonts w:ascii="Arial" w:eastAsia="Arial" w:hAnsi="Arial" w:cs="Arial"/>
                <w:color w:val="000000"/>
                <w:sz w:val="18"/>
                <w:szCs w:val="18"/>
                <w:bdr w:val="none" w:sz="0" w:space="0" w:color="auto" w:frame="1"/>
                <w:lang w:val="fr-FR"/>
              </w:rPr>
              <w:t xml:space="preserve"> pour évaluer l’échelle et la répartition de l’IKB</w:t>
            </w:r>
          </w:p>
        </w:tc>
        <w:tc>
          <w:tcPr>
            <w:tcW w:w="2307"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L’estimation nationale du nombre et de la répartition des cas d’IKB </w:t>
            </w:r>
            <w:r w:rsidRPr="00865DA5">
              <w:rPr>
                <w:rFonts w:ascii="Arial" w:eastAsia="Arial" w:hAnsi="Arial" w:cs="Arial"/>
                <w:b/>
                <w:bCs/>
                <w:color w:val="000000"/>
                <w:sz w:val="18"/>
                <w:szCs w:val="18"/>
                <w:bdr w:val="none" w:sz="0" w:space="0" w:color="auto" w:frame="1"/>
                <w:lang w:val="fr-FR"/>
              </w:rPr>
              <w:t>est entièrement basée sur des avis d’experts</w:t>
            </w:r>
            <w:r w:rsidRPr="00865DA5">
              <w:rPr>
                <w:rFonts w:ascii="Arial" w:eastAsia="Arial" w:hAnsi="Arial" w:cs="Arial"/>
                <w:color w:val="000000"/>
                <w:sz w:val="18"/>
                <w:szCs w:val="18"/>
                <w:bdr w:val="none" w:sz="0" w:space="0" w:color="auto" w:frame="1"/>
                <w:lang w:val="fr-FR"/>
              </w:rPr>
              <w:t xml:space="preserve"> / la modélisation / d’autres méthodes indirectes </w:t>
            </w:r>
          </w:p>
        </w:tc>
        <w:tc>
          <w:tcPr>
            <w:tcW w:w="2328"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L’estimation nationale de l’échelle et de la répartition des cas d’IKB </w:t>
            </w:r>
            <w:r w:rsidRPr="00865DA5">
              <w:rPr>
                <w:rFonts w:ascii="Arial" w:eastAsia="Arial" w:hAnsi="Arial" w:cs="Arial"/>
                <w:b/>
                <w:bCs/>
                <w:color w:val="000000"/>
                <w:sz w:val="18"/>
                <w:szCs w:val="18"/>
                <w:bdr w:val="none" w:sz="0" w:space="0" w:color="auto" w:frame="1"/>
                <w:lang w:val="fr-FR"/>
              </w:rPr>
              <w:t>est extrapolée</w:t>
            </w:r>
            <w:r w:rsidRPr="00865DA5">
              <w:rPr>
                <w:rFonts w:ascii="Arial" w:eastAsia="Arial" w:hAnsi="Arial" w:cs="Arial"/>
                <w:color w:val="000000"/>
                <w:sz w:val="18"/>
                <w:szCs w:val="18"/>
                <w:bdr w:val="none" w:sz="0" w:space="0" w:color="auto" w:frame="1"/>
                <w:lang w:val="fr-FR"/>
              </w:rPr>
              <w:t xml:space="preserve"> sur la base de statistiques</w:t>
            </w:r>
            <w:r w:rsidRPr="00865DA5">
              <w:rPr>
                <w:rFonts w:ascii="Arial" w:eastAsia="Arial" w:hAnsi="Arial" w:cs="Arial"/>
                <w:b/>
                <w:bCs/>
                <w:color w:val="000000"/>
                <w:sz w:val="18"/>
                <w:szCs w:val="18"/>
                <w:bdr w:val="none" w:sz="0" w:space="0" w:color="auto" w:frame="1"/>
                <w:lang w:val="fr-FR"/>
              </w:rPr>
              <w:t xml:space="preserve"> partielles</w:t>
            </w:r>
            <w:r w:rsidRPr="00865DA5">
              <w:rPr>
                <w:rFonts w:ascii="Arial" w:eastAsia="Arial" w:hAnsi="Arial" w:cs="Arial"/>
                <w:color w:val="000000"/>
                <w:sz w:val="18"/>
                <w:szCs w:val="18"/>
                <w:bdr w:val="none" w:sz="0" w:space="0" w:color="auto" w:frame="1"/>
                <w:lang w:val="fr-FR"/>
              </w:rPr>
              <w:t>, rendues publiques, portant sur la criminalité et notamment sur l’IKB</w:t>
            </w:r>
          </w:p>
        </w:tc>
        <w:tc>
          <w:tcPr>
            <w:tcW w:w="2354"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données nationales sur les cas d’IKB sont disponibles et sont </w:t>
            </w:r>
            <w:r w:rsidRPr="00865DA5">
              <w:rPr>
                <w:rFonts w:ascii="Arial" w:eastAsia="Arial" w:hAnsi="Arial" w:cs="Arial"/>
                <w:b/>
                <w:bCs/>
                <w:color w:val="000000"/>
                <w:sz w:val="18"/>
                <w:szCs w:val="18"/>
                <w:bdr w:val="none" w:sz="0" w:space="0" w:color="auto" w:frame="1"/>
                <w:lang w:val="fr-FR"/>
              </w:rPr>
              <w:t>basées sur des statistiques officielles complètes</w:t>
            </w:r>
            <w:r w:rsidRPr="00865DA5">
              <w:rPr>
                <w:rFonts w:ascii="Arial" w:eastAsia="Arial" w:hAnsi="Arial" w:cs="Arial"/>
                <w:color w:val="000000"/>
                <w:sz w:val="18"/>
                <w:szCs w:val="18"/>
                <w:bdr w:val="none" w:sz="0" w:space="0" w:color="auto" w:frame="1"/>
                <w:lang w:val="fr-FR"/>
              </w:rPr>
              <w:t xml:space="preserve"> et rendues publiques, portant sur la criminalité et notamment sur l’IKB</w:t>
            </w:r>
          </w:p>
        </w:tc>
      </w:tr>
    </w:tbl>
    <w:p w:rsidR="00BD5B7F" w:rsidRPr="00865DA5" w:rsidRDefault="00BD5B7F" w:rsidP="00BD5B7F">
      <w:pPr>
        <w:rPr>
          <w:rFonts w:ascii="Arial" w:eastAsia="Calibri" w:hAnsi="Arial" w:cs="Arial"/>
          <w:color w:val="000000"/>
          <w:sz w:val="22"/>
          <w:szCs w:val="22"/>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rPr>
          <w:rFonts w:ascii="Arial" w:eastAsia="Calibri" w:hAnsi="Arial" w:cs="Arial"/>
          <w:color w:val="000000"/>
          <w:sz w:val="22"/>
          <w:szCs w:val="22"/>
          <w:lang w:val="fr-FR"/>
        </w:rPr>
      </w:pPr>
      <w:r w:rsidRPr="00865DA5">
        <w:rPr>
          <w:rFonts w:ascii="Arial" w:eastAsia="Calibri" w:hAnsi="Arial" w:cs="Arial"/>
          <w:color w:val="000000"/>
          <w:sz w:val="22"/>
          <w:szCs w:val="22"/>
          <w:lang w:val="fr-FR"/>
        </w:rPr>
        <w:br w:type="page"/>
      </w:r>
    </w:p>
    <w:p w:rsidR="00BD5B7F" w:rsidRPr="00865DA5" w:rsidRDefault="00BD5B7F" w:rsidP="00BD5B7F">
      <w:pPr>
        <w:keepNext/>
        <w:keepLines/>
        <w:spacing w:after="120"/>
        <w:jc w:val="both"/>
        <w:outlineLvl w:val="3"/>
        <w:rPr>
          <w:rFonts w:ascii="Arial" w:hAnsi="Arial" w:cs="Arial"/>
          <w:b/>
          <w:iCs/>
          <w:color w:val="000000"/>
          <w:sz w:val="28"/>
          <w:szCs w:val="22"/>
          <w:lang w:val="fr-FR"/>
        </w:rPr>
      </w:pPr>
      <w:bookmarkStart w:id="44" w:name="_Toc491245238"/>
      <w:bookmarkStart w:id="45" w:name="_Toc486539575"/>
      <w:r w:rsidRPr="00865DA5">
        <w:rPr>
          <w:rFonts w:ascii="Arial" w:eastAsia="Arial" w:hAnsi="Arial" w:cs="Arial"/>
          <w:b/>
          <w:bCs/>
          <w:iCs/>
          <w:color w:val="000000"/>
          <w:sz w:val="28"/>
          <w:szCs w:val="28"/>
          <w:bdr w:val="none" w:sz="0" w:space="0" w:color="auto" w:frame="1"/>
          <w:lang w:val="fr-FR"/>
        </w:rPr>
        <w:lastRenderedPageBreak/>
        <w:t>4. Nombre de cas d’IKB ayant fait l’objet de poursuites au cours de la période considérée</w:t>
      </w:r>
      <w:bookmarkEnd w:id="44"/>
      <w:bookmarkEnd w:id="45"/>
    </w:p>
    <w:p w:rsidR="00BD5B7F" w:rsidRPr="00865DA5" w:rsidRDefault="00BD5B7F" w:rsidP="00BD5B7F">
      <w:pPr>
        <w:spacing w:after="120"/>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Le nombre cas d’IKB ayant fait l’objet de poursuites au cours de la période considérée.</w:t>
      </w:r>
    </w:p>
    <w:p w:rsidR="00BD5B7F" w:rsidRPr="00865DA5" w:rsidRDefault="00BD5B7F" w:rsidP="00BD5B7F">
      <w:pPr>
        <w:spacing w:after="120"/>
        <w:jc w:val="both"/>
        <w:rPr>
          <w:rFonts w:ascii="Arial" w:eastAsia="Calibri" w:hAnsi="Arial" w:cs="Arial"/>
          <w:color w:val="000000"/>
          <w:sz w:val="22"/>
          <w:szCs w:val="22"/>
          <w:lang w:val="fr-FR"/>
        </w:rPr>
      </w:pPr>
    </w:p>
    <w:p w:rsidR="00BD5B7F" w:rsidRPr="00865DA5" w:rsidRDefault="00BD5B7F" w:rsidP="00BD5B7F">
      <w:pPr>
        <w:spacing w:after="120"/>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Combien de cas d’IKB ont fait l’objet de poursuites dans votre pays au cours de la période considérée ?</w:t>
      </w:r>
    </w:p>
    <w:p w:rsidR="00BD5B7F" w:rsidRPr="00865DA5" w:rsidRDefault="00BD5B7F" w:rsidP="00BD5B7F">
      <w:pPr>
        <w:spacing w:after="120"/>
        <w:ind w:left="851" w:hanging="851"/>
        <w:jc w:val="both"/>
        <w:rPr>
          <w:rFonts w:ascii="Arial" w:eastAsia="Calibri" w:hAnsi="Arial" w:cs="Arial"/>
          <w:b/>
          <w:bCs/>
          <w:i/>
          <w:iCs/>
          <w:color w:val="000000"/>
          <w:sz w:val="22"/>
          <w:szCs w:val="22"/>
          <w:lang w:val="fr-FR"/>
        </w:rPr>
      </w:pPr>
    </w:p>
    <w:p w:rsidR="00BD5B7F" w:rsidRPr="00865DA5" w:rsidRDefault="00BD5B7F" w:rsidP="00BD5B7F">
      <w:pPr>
        <w:spacing w:after="120"/>
        <w:jc w:val="both"/>
        <w:rPr>
          <w:rFonts w:ascii="Arial" w:eastAsia="Calibri" w:hAnsi="Arial" w:cs="Arial"/>
          <w:i/>
          <w:iCs/>
          <w:color w:val="000000"/>
          <w:sz w:val="22"/>
          <w:szCs w:val="22"/>
          <w:lang w:val="fr-FR"/>
        </w:rPr>
      </w:pPr>
      <w:r w:rsidRPr="00865DA5">
        <w:rPr>
          <w:rFonts w:ascii="Arial" w:eastAsia="Arial" w:hAnsi="Arial" w:cs="Arial"/>
          <w:i/>
          <w:iCs/>
          <w:color w:val="000000"/>
          <w:sz w:val="22"/>
          <w:szCs w:val="22"/>
          <w:bdr w:val="none" w:sz="0" w:space="0" w:color="auto" w:frame="1"/>
          <w:lang w:val="fr-FR"/>
        </w:rPr>
        <w:t>Renseignements sur le nombre de cas d’IKB ayant fait l’objet de poursuites au cours de la période d’évaluation</w:t>
      </w:r>
    </w:p>
    <w:tbl>
      <w:tblPr>
        <w:tblW w:w="0" w:type="auto"/>
        <w:tblBorders>
          <w:top w:val="single" w:sz="18" w:space="0" w:color="auto"/>
          <w:bottom w:val="single" w:sz="18" w:space="0" w:color="auto"/>
        </w:tblBorders>
        <w:tblLook w:val="04A0" w:firstRow="1" w:lastRow="0" w:firstColumn="1" w:lastColumn="0" w:noHBand="0" w:noVBand="1"/>
      </w:tblPr>
      <w:tblGrid>
        <w:gridCol w:w="4729"/>
        <w:gridCol w:w="2298"/>
        <w:gridCol w:w="2259"/>
      </w:tblGrid>
      <w:tr w:rsidR="00BD5B7F" w:rsidRPr="00FC42B0" w:rsidTr="000E5961">
        <w:tc>
          <w:tcPr>
            <w:tcW w:w="5070" w:type="dxa"/>
            <w:tcBorders>
              <w:top w:val="inset" w:sz="6" w:space="0" w:color="auto"/>
              <w:left w:val="nil"/>
              <w:bottom w:val="inset" w:sz="6" w:space="0" w:color="auto"/>
              <w:right w:val="nil"/>
            </w:tcBorders>
            <w:shd w:val="clear" w:color="auto" w:fill="4F81BD"/>
            <w:vAlign w:val="center"/>
            <w:hideMark/>
          </w:tcPr>
          <w:p w:rsidR="00BD5B7F" w:rsidRPr="00FF6562" w:rsidRDefault="00BD5B7F" w:rsidP="000E5961">
            <w:pPr>
              <w:rPr>
                <w:rFonts w:ascii="Arial" w:eastAsia="Calibri" w:hAnsi="Arial" w:cs="Arial"/>
                <w:b/>
                <w:bCs/>
                <w:iCs/>
                <w:color w:val="FFFFFF"/>
                <w:sz w:val="22"/>
                <w:szCs w:val="22"/>
              </w:rPr>
            </w:pPr>
            <w:r w:rsidRPr="00FF6562">
              <w:rPr>
                <w:rFonts w:ascii="Arial" w:eastAsia="Arial" w:hAnsi="Arial" w:cs="Arial"/>
                <w:b/>
                <w:bCs/>
                <w:iCs/>
                <w:color w:val="FFFFFF"/>
                <w:sz w:val="22"/>
                <w:szCs w:val="22"/>
                <w:bdr w:val="none" w:sz="0" w:space="0" w:color="auto" w:frame="1"/>
              </w:rPr>
              <w:t>Catégorie d’infraction IKB</w:t>
            </w:r>
          </w:p>
        </w:tc>
        <w:tc>
          <w:tcPr>
            <w:tcW w:w="2409" w:type="dxa"/>
            <w:tcBorders>
              <w:top w:val="inset" w:sz="6" w:space="0" w:color="auto"/>
              <w:left w:val="nil"/>
              <w:bottom w:val="inset" w:sz="6" w:space="0" w:color="auto"/>
              <w:right w:val="nil"/>
            </w:tcBorders>
            <w:shd w:val="clear" w:color="auto" w:fill="4F81BD"/>
            <w:vAlign w:val="center"/>
            <w:hideMark/>
          </w:tcPr>
          <w:p w:rsidR="00BD5B7F" w:rsidRPr="00865DA5" w:rsidRDefault="00BD5B7F" w:rsidP="000E5961">
            <w:pPr>
              <w:jc w:val="center"/>
              <w:rPr>
                <w:rFonts w:ascii="Arial" w:eastAsia="Calibri" w:hAnsi="Arial" w:cs="Arial"/>
                <w:b/>
                <w:bCs/>
                <w:iCs/>
                <w:color w:val="FFFFFF"/>
                <w:sz w:val="22"/>
                <w:szCs w:val="22"/>
                <w:lang w:val="fr-FR"/>
              </w:rPr>
            </w:pPr>
            <w:r w:rsidRPr="00865DA5">
              <w:rPr>
                <w:rFonts w:ascii="Arial" w:eastAsia="Arial" w:hAnsi="Arial" w:cs="Arial"/>
                <w:b/>
                <w:bCs/>
                <w:iCs/>
                <w:color w:val="FFFFFF"/>
                <w:sz w:val="22"/>
                <w:szCs w:val="22"/>
                <w:bdr w:val="none" w:sz="0" w:space="0" w:color="auto" w:frame="1"/>
                <w:lang w:val="fr-FR"/>
              </w:rPr>
              <w:t xml:space="preserve">Nombre de personnes poursuivies au cours de la période d’évaluation </w:t>
            </w:r>
          </w:p>
        </w:tc>
        <w:tc>
          <w:tcPr>
            <w:tcW w:w="2375" w:type="dxa"/>
            <w:tcBorders>
              <w:top w:val="inset" w:sz="6" w:space="0" w:color="auto"/>
              <w:left w:val="nil"/>
              <w:bottom w:val="inset" w:sz="6" w:space="0" w:color="auto"/>
              <w:right w:val="nil"/>
            </w:tcBorders>
            <w:shd w:val="clear" w:color="auto" w:fill="4F81BD"/>
            <w:vAlign w:val="center"/>
            <w:hideMark/>
          </w:tcPr>
          <w:p w:rsidR="00BD5B7F" w:rsidRPr="00865DA5" w:rsidRDefault="00BD5B7F" w:rsidP="000E5961">
            <w:pPr>
              <w:jc w:val="center"/>
              <w:rPr>
                <w:rFonts w:ascii="Arial" w:eastAsia="Calibri" w:hAnsi="Arial" w:cs="Arial"/>
                <w:b/>
                <w:bCs/>
                <w:iCs/>
                <w:color w:val="FFFFFF"/>
                <w:sz w:val="22"/>
                <w:szCs w:val="22"/>
                <w:lang w:val="fr-FR"/>
              </w:rPr>
            </w:pPr>
            <w:r w:rsidRPr="00865DA5">
              <w:rPr>
                <w:rFonts w:ascii="Arial" w:eastAsia="Arial" w:hAnsi="Arial" w:cs="Arial"/>
                <w:b/>
                <w:bCs/>
                <w:iCs/>
                <w:color w:val="FFFFFF"/>
                <w:sz w:val="22"/>
                <w:szCs w:val="22"/>
                <w:bdr w:val="none" w:sz="0" w:space="0" w:color="auto" w:frame="1"/>
                <w:lang w:val="fr-FR"/>
              </w:rPr>
              <w:t>Nombre de spécimens d’oiseaux faisant l’objet de l’infraction (spécimens saisis)</w:t>
            </w:r>
          </w:p>
        </w:tc>
      </w:tr>
      <w:tr w:rsidR="00BD5B7F" w:rsidRPr="00FC42B0" w:rsidTr="000E5961">
        <w:tc>
          <w:tcPr>
            <w:tcW w:w="5070" w:type="dxa"/>
            <w:tcBorders>
              <w:top w:val="inset" w:sz="6" w:space="0" w:color="auto"/>
              <w:left w:val="nil"/>
              <w:bottom w:val="nil"/>
              <w:right w:val="nil"/>
            </w:tcBorders>
            <w:shd w:val="clear" w:color="auto" w:fill="4F81BD"/>
            <w:hideMark/>
          </w:tcPr>
          <w:p w:rsidR="00BD5B7F" w:rsidRPr="00865DA5" w:rsidRDefault="00BD5B7F" w:rsidP="000E5961">
            <w:pPr>
              <w:rPr>
                <w:rFonts w:ascii="Arial" w:eastAsia="Calibri" w:hAnsi="Arial" w:cs="Arial"/>
                <w:b/>
                <w:bCs/>
                <w:iCs/>
                <w:color w:val="FFFFFF"/>
                <w:szCs w:val="18"/>
                <w:lang w:val="fr-FR"/>
              </w:rPr>
            </w:pPr>
            <w:r w:rsidRPr="00865DA5">
              <w:rPr>
                <w:rFonts w:ascii="Arial" w:eastAsia="Arial" w:hAnsi="Arial" w:cs="Arial"/>
                <w:b/>
                <w:bCs/>
                <w:iCs/>
                <w:color w:val="FFFFFF"/>
                <w:bdr w:val="none" w:sz="0" w:space="0" w:color="auto" w:frame="1"/>
                <w:lang w:val="fr-FR"/>
              </w:rPr>
              <w:t>Abattage illégal d’oiseaux protégés (tir, empoisonnement, autres méthodes d’abattage)</w:t>
            </w:r>
          </w:p>
        </w:tc>
        <w:tc>
          <w:tcPr>
            <w:tcW w:w="2409" w:type="dxa"/>
            <w:tcBorders>
              <w:top w:val="inset" w:sz="6" w:space="0" w:color="auto"/>
              <w:left w:val="nil"/>
              <w:bottom w:val="nil"/>
              <w:right w:val="nil"/>
            </w:tcBorders>
            <w:shd w:val="clear" w:color="auto" w:fill="D8D8D8"/>
            <w:vAlign w:val="center"/>
          </w:tcPr>
          <w:p w:rsidR="00BD5B7F" w:rsidRPr="00865DA5" w:rsidRDefault="00BD5B7F" w:rsidP="000E5961">
            <w:pPr>
              <w:jc w:val="center"/>
              <w:rPr>
                <w:rFonts w:ascii="Arial" w:eastAsia="Calibri" w:hAnsi="Arial" w:cs="Arial"/>
                <w:i/>
                <w:iCs/>
                <w:color w:val="000000"/>
                <w:sz w:val="18"/>
                <w:szCs w:val="18"/>
                <w:lang w:val="fr-FR"/>
              </w:rPr>
            </w:pPr>
          </w:p>
        </w:tc>
        <w:tc>
          <w:tcPr>
            <w:tcW w:w="2375" w:type="dxa"/>
            <w:tcBorders>
              <w:top w:val="inset" w:sz="6" w:space="0" w:color="auto"/>
              <w:left w:val="nil"/>
              <w:bottom w:val="nil"/>
              <w:right w:val="nil"/>
            </w:tcBorders>
            <w:shd w:val="clear" w:color="auto" w:fill="D8D8D8"/>
            <w:vAlign w:val="center"/>
          </w:tcPr>
          <w:p w:rsidR="00BD5B7F" w:rsidRPr="00865DA5" w:rsidRDefault="00BD5B7F" w:rsidP="000E5961">
            <w:pPr>
              <w:jc w:val="center"/>
              <w:rPr>
                <w:rFonts w:ascii="Arial" w:eastAsia="Calibri" w:hAnsi="Arial" w:cs="Arial"/>
                <w:i/>
                <w:iCs/>
                <w:color w:val="000000"/>
                <w:sz w:val="18"/>
                <w:szCs w:val="18"/>
                <w:lang w:val="fr-FR"/>
              </w:rPr>
            </w:pPr>
          </w:p>
        </w:tc>
      </w:tr>
      <w:tr w:rsidR="00BD5B7F" w:rsidRPr="00FC42B0" w:rsidTr="000E5961">
        <w:tc>
          <w:tcPr>
            <w:tcW w:w="5070" w:type="dxa"/>
            <w:tcBorders>
              <w:top w:val="nil"/>
              <w:left w:val="nil"/>
              <w:bottom w:val="nil"/>
              <w:right w:val="nil"/>
            </w:tcBorders>
            <w:shd w:val="clear" w:color="auto" w:fill="4F81BD"/>
            <w:hideMark/>
          </w:tcPr>
          <w:p w:rsidR="00BD5B7F" w:rsidRPr="00865DA5" w:rsidRDefault="00BD5B7F" w:rsidP="000E5961">
            <w:pPr>
              <w:rPr>
                <w:rFonts w:ascii="Arial" w:eastAsia="Calibri" w:hAnsi="Arial" w:cs="Arial"/>
                <w:b/>
                <w:bCs/>
                <w:iCs/>
                <w:color w:val="FFFFFF"/>
                <w:szCs w:val="18"/>
                <w:lang w:val="fr-FR"/>
              </w:rPr>
            </w:pPr>
            <w:r w:rsidRPr="00865DA5">
              <w:rPr>
                <w:rFonts w:ascii="Arial" w:eastAsia="Arial" w:hAnsi="Arial" w:cs="Arial"/>
                <w:b/>
                <w:bCs/>
                <w:iCs/>
                <w:color w:val="FFFFFF"/>
                <w:bdr w:val="none" w:sz="0" w:space="0" w:color="auto" w:frame="1"/>
                <w:lang w:val="fr-FR"/>
              </w:rPr>
              <w:t>Prélèvement illégal d’oiseaux protégés (piégeage par tout moyen)</w:t>
            </w:r>
          </w:p>
        </w:tc>
        <w:tc>
          <w:tcPr>
            <w:tcW w:w="2409" w:type="dxa"/>
            <w:tcBorders>
              <w:top w:val="nil"/>
              <w:left w:val="nil"/>
              <w:bottom w:val="nil"/>
              <w:right w:val="nil"/>
            </w:tcBorders>
            <w:vAlign w:val="center"/>
          </w:tcPr>
          <w:p w:rsidR="00BD5B7F" w:rsidRPr="00865DA5" w:rsidRDefault="00BD5B7F" w:rsidP="000E5961">
            <w:pPr>
              <w:jc w:val="center"/>
              <w:rPr>
                <w:rFonts w:ascii="Arial" w:eastAsia="Calibri" w:hAnsi="Arial" w:cs="Arial"/>
                <w:i/>
                <w:iCs/>
                <w:color w:val="000000"/>
                <w:sz w:val="18"/>
                <w:szCs w:val="18"/>
                <w:lang w:val="fr-FR"/>
              </w:rPr>
            </w:pPr>
          </w:p>
        </w:tc>
        <w:tc>
          <w:tcPr>
            <w:tcW w:w="2375" w:type="dxa"/>
            <w:tcBorders>
              <w:top w:val="nil"/>
              <w:left w:val="nil"/>
              <w:bottom w:val="nil"/>
              <w:right w:val="nil"/>
            </w:tcBorders>
            <w:vAlign w:val="center"/>
          </w:tcPr>
          <w:p w:rsidR="00BD5B7F" w:rsidRPr="00865DA5" w:rsidRDefault="00BD5B7F" w:rsidP="000E5961">
            <w:pPr>
              <w:jc w:val="center"/>
              <w:rPr>
                <w:rFonts w:ascii="Arial" w:eastAsia="Calibri" w:hAnsi="Arial" w:cs="Arial"/>
                <w:i/>
                <w:iCs/>
                <w:color w:val="000000"/>
                <w:sz w:val="18"/>
                <w:szCs w:val="18"/>
                <w:lang w:val="fr-FR"/>
              </w:rPr>
            </w:pPr>
          </w:p>
        </w:tc>
      </w:tr>
      <w:tr w:rsidR="00BD5B7F" w:rsidRPr="00FC42B0" w:rsidTr="000E5961">
        <w:tc>
          <w:tcPr>
            <w:tcW w:w="5070" w:type="dxa"/>
            <w:tcBorders>
              <w:top w:val="nil"/>
              <w:left w:val="nil"/>
              <w:bottom w:val="nil"/>
              <w:right w:val="nil"/>
            </w:tcBorders>
            <w:shd w:val="clear" w:color="auto" w:fill="4F81BD"/>
            <w:hideMark/>
          </w:tcPr>
          <w:p w:rsidR="00BD5B7F" w:rsidRPr="00865DA5" w:rsidRDefault="00BD5B7F" w:rsidP="000E5961">
            <w:pPr>
              <w:rPr>
                <w:rFonts w:ascii="Arial" w:eastAsia="Calibri" w:hAnsi="Arial" w:cs="Arial"/>
                <w:b/>
                <w:bCs/>
                <w:iCs/>
                <w:color w:val="FFFFFF"/>
                <w:szCs w:val="18"/>
                <w:lang w:val="fr-FR"/>
              </w:rPr>
            </w:pPr>
            <w:r w:rsidRPr="00865DA5">
              <w:rPr>
                <w:rFonts w:ascii="Arial" w:eastAsia="Arial" w:hAnsi="Arial" w:cs="Arial"/>
                <w:b/>
                <w:bCs/>
                <w:iCs/>
                <w:color w:val="FFFFFF"/>
                <w:bdr w:val="none" w:sz="0" w:space="0" w:color="auto" w:frame="1"/>
                <w:lang w:val="fr-FR"/>
              </w:rPr>
              <w:t>Possession illégale d’oiseaux protégés vivants ou morts</w:t>
            </w:r>
          </w:p>
        </w:tc>
        <w:tc>
          <w:tcPr>
            <w:tcW w:w="2409" w:type="dxa"/>
            <w:tcBorders>
              <w:top w:val="nil"/>
              <w:left w:val="nil"/>
              <w:bottom w:val="nil"/>
              <w:right w:val="nil"/>
            </w:tcBorders>
            <w:shd w:val="clear" w:color="auto" w:fill="D8D8D8"/>
            <w:vAlign w:val="center"/>
          </w:tcPr>
          <w:p w:rsidR="00BD5B7F" w:rsidRPr="00865DA5" w:rsidRDefault="00BD5B7F" w:rsidP="000E5961">
            <w:pPr>
              <w:jc w:val="center"/>
              <w:rPr>
                <w:rFonts w:ascii="Arial" w:eastAsia="Calibri" w:hAnsi="Arial" w:cs="Arial"/>
                <w:i/>
                <w:iCs/>
                <w:color w:val="000000"/>
                <w:sz w:val="18"/>
                <w:szCs w:val="18"/>
                <w:lang w:val="fr-FR"/>
              </w:rPr>
            </w:pPr>
          </w:p>
        </w:tc>
        <w:tc>
          <w:tcPr>
            <w:tcW w:w="2375" w:type="dxa"/>
            <w:tcBorders>
              <w:top w:val="nil"/>
              <w:left w:val="nil"/>
              <w:bottom w:val="nil"/>
              <w:right w:val="nil"/>
            </w:tcBorders>
            <w:shd w:val="clear" w:color="auto" w:fill="D8D8D8"/>
            <w:vAlign w:val="center"/>
          </w:tcPr>
          <w:p w:rsidR="00BD5B7F" w:rsidRPr="00865DA5" w:rsidRDefault="00BD5B7F" w:rsidP="000E5961">
            <w:pPr>
              <w:jc w:val="center"/>
              <w:rPr>
                <w:rFonts w:ascii="Arial" w:eastAsia="Calibri" w:hAnsi="Arial" w:cs="Arial"/>
                <w:i/>
                <w:iCs/>
                <w:color w:val="000000"/>
                <w:sz w:val="18"/>
                <w:szCs w:val="18"/>
                <w:lang w:val="fr-FR"/>
              </w:rPr>
            </w:pPr>
          </w:p>
        </w:tc>
      </w:tr>
      <w:tr w:rsidR="00BD5B7F" w:rsidRPr="00FC42B0" w:rsidTr="000E5961">
        <w:tc>
          <w:tcPr>
            <w:tcW w:w="5070" w:type="dxa"/>
            <w:tcBorders>
              <w:top w:val="nil"/>
              <w:left w:val="nil"/>
              <w:bottom w:val="nil"/>
              <w:right w:val="nil"/>
            </w:tcBorders>
            <w:shd w:val="clear" w:color="auto" w:fill="4F81BD"/>
            <w:hideMark/>
          </w:tcPr>
          <w:p w:rsidR="00BD5B7F" w:rsidRPr="00865DA5" w:rsidRDefault="00BD5B7F" w:rsidP="000E5961">
            <w:pPr>
              <w:rPr>
                <w:rFonts w:ascii="Arial" w:eastAsia="Calibri" w:hAnsi="Arial" w:cs="Arial"/>
                <w:b/>
                <w:bCs/>
                <w:iCs/>
                <w:color w:val="FFFFFF"/>
                <w:szCs w:val="18"/>
                <w:lang w:val="fr-FR"/>
              </w:rPr>
            </w:pPr>
            <w:r w:rsidRPr="00865DA5">
              <w:rPr>
                <w:rFonts w:ascii="Arial" w:eastAsia="Arial" w:hAnsi="Arial" w:cs="Arial"/>
                <w:b/>
                <w:bCs/>
                <w:iCs/>
                <w:color w:val="FFFFFF"/>
                <w:bdr w:val="none" w:sz="0" w:space="0" w:color="auto" w:frame="1"/>
                <w:lang w:val="fr-FR"/>
              </w:rPr>
              <w:t>Importation ou transport illégal d’oiseaux protégés vivants ou morts</w:t>
            </w:r>
          </w:p>
        </w:tc>
        <w:tc>
          <w:tcPr>
            <w:tcW w:w="2409" w:type="dxa"/>
            <w:tcBorders>
              <w:top w:val="nil"/>
              <w:left w:val="nil"/>
              <w:bottom w:val="nil"/>
              <w:right w:val="nil"/>
            </w:tcBorders>
            <w:vAlign w:val="center"/>
          </w:tcPr>
          <w:p w:rsidR="00BD5B7F" w:rsidRPr="00865DA5" w:rsidRDefault="00BD5B7F" w:rsidP="000E5961">
            <w:pPr>
              <w:jc w:val="center"/>
              <w:rPr>
                <w:rFonts w:ascii="Arial" w:eastAsia="Calibri" w:hAnsi="Arial" w:cs="Arial"/>
                <w:i/>
                <w:iCs/>
                <w:color w:val="000000"/>
                <w:sz w:val="18"/>
                <w:szCs w:val="18"/>
                <w:lang w:val="fr-FR"/>
              </w:rPr>
            </w:pPr>
          </w:p>
        </w:tc>
        <w:tc>
          <w:tcPr>
            <w:tcW w:w="2375" w:type="dxa"/>
            <w:tcBorders>
              <w:top w:val="nil"/>
              <w:left w:val="nil"/>
              <w:bottom w:val="nil"/>
              <w:right w:val="nil"/>
            </w:tcBorders>
            <w:vAlign w:val="center"/>
          </w:tcPr>
          <w:p w:rsidR="00BD5B7F" w:rsidRPr="00865DA5" w:rsidRDefault="00BD5B7F" w:rsidP="000E5961">
            <w:pPr>
              <w:jc w:val="center"/>
              <w:rPr>
                <w:rFonts w:ascii="Arial" w:eastAsia="Calibri" w:hAnsi="Arial" w:cs="Arial"/>
                <w:i/>
                <w:iCs/>
                <w:color w:val="000000"/>
                <w:sz w:val="18"/>
                <w:szCs w:val="18"/>
                <w:lang w:val="fr-FR"/>
              </w:rPr>
            </w:pPr>
          </w:p>
        </w:tc>
      </w:tr>
      <w:tr w:rsidR="00BD5B7F" w:rsidRPr="00FF6562" w:rsidTr="000E5961">
        <w:tc>
          <w:tcPr>
            <w:tcW w:w="5070" w:type="dxa"/>
            <w:tcBorders>
              <w:top w:val="nil"/>
              <w:left w:val="nil"/>
              <w:bottom w:val="nil"/>
              <w:right w:val="nil"/>
            </w:tcBorders>
            <w:shd w:val="clear" w:color="auto" w:fill="4F81BD"/>
            <w:hideMark/>
          </w:tcPr>
          <w:p w:rsidR="00BD5B7F" w:rsidRPr="00FF6562" w:rsidRDefault="00BD5B7F" w:rsidP="000E5961">
            <w:pPr>
              <w:rPr>
                <w:rFonts w:ascii="Arial" w:eastAsia="Calibri" w:hAnsi="Arial" w:cs="Arial"/>
                <w:b/>
                <w:bCs/>
                <w:iCs/>
                <w:color w:val="FFFFFF"/>
                <w:szCs w:val="18"/>
              </w:rPr>
            </w:pPr>
            <w:r w:rsidRPr="00FF6562">
              <w:rPr>
                <w:rFonts w:ascii="Arial" w:eastAsia="Arial" w:hAnsi="Arial" w:cs="Arial"/>
                <w:b/>
                <w:bCs/>
                <w:iCs/>
                <w:color w:val="FFFFFF"/>
                <w:bdr w:val="none" w:sz="0" w:space="0" w:color="auto" w:frame="1"/>
              </w:rPr>
              <w:t>Taxidermie illégale d’oiseaux protégés</w:t>
            </w:r>
          </w:p>
        </w:tc>
        <w:tc>
          <w:tcPr>
            <w:tcW w:w="2409" w:type="dxa"/>
            <w:tcBorders>
              <w:top w:val="nil"/>
              <w:left w:val="nil"/>
              <w:bottom w:val="nil"/>
              <w:right w:val="nil"/>
            </w:tcBorders>
            <w:shd w:val="clear" w:color="auto" w:fill="D8D8D8"/>
            <w:vAlign w:val="center"/>
          </w:tcPr>
          <w:p w:rsidR="00BD5B7F" w:rsidRPr="00FF6562" w:rsidRDefault="00BD5B7F" w:rsidP="000E5961">
            <w:pPr>
              <w:jc w:val="center"/>
              <w:rPr>
                <w:rFonts w:ascii="Arial" w:eastAsia="Calibri" w:hAnsi="Arial" w:cs="Arial"/>
                <w:i/>
                <w:iCs/>
                <w:color w:val="000000"/>
                <w:sz w:val="18"/>
                <w:szCs w:val="18"/>
              </w:rPr>
            </w:pPr>
          </w:p>
        </w:tc>
        <w:tc>
          <w:tcPr>
            <w:tcW w:w="2375" w:type="dxa"/>
            <w:tcBorders>
              <w:top w:val="nil"/>
              <w:left w:val="nil"/>
              <w:bottom w:val="nil"/>
              <w:right w:val="nil"/>
            </w:tcBorders>
            <w:shd w:val="clear" w:color="auto" w:fill="D8D8D8"/>
            <w:vAlign w:val="center"/>
          </w:tcPr>
          <w:p w:rsidR="00BD5B7F" w:rsidRPr="00FF6562" w:rsidRDefault="00BD5B7F" w:rsidP="000E5961">
            <w:pPr>
              <w:jc w:val="center"/>
              <w:rPr>
                <w:rFonts w:ascii="Arial" w:eastAsia="Calibri" w:hAnsi="Arial" w:cs="Arial"/>
                <w:i/>
                <w:iCs/>
                <w:color w:val="000000"/>
                <w:sz w:val="18"/>
                <w:szCs w:val="18"/>
              </w:rPr>
            </w:pPr>
          </w:p>
        </w:tc>
      </w:tr>
      <w:tr w:rsidR="00BD5B7F" w:rsidRPr="00FC42B0" w:rsidTr="000E5961">
        <w:tc>
          <w:tcPr>
            <w:tcW w:w="5070" w:type="dxa"/>
            <w:tcBorders>
              <w:top w:val="nil"/>
              <w:left w:val="nil"/>
              <w:bottom w:val="nil"/>
              <w:right w:val="nil"/>
            </w:tcBorders>
            <w:shd w:val="clear" w:color="auto" w:fill="4F81BD"/>
            <w:hideMark/>
          </w:tcPr>
          <w:p w:rsidR="00BD5B7F" w:rsidRPr="00865DA5" w:rsidRDefault="00BD5B7F" w:rsidP="000E5961">
            <w:pPr>
              <w:rPr>
                <w:rFonts w:ascii="Arial" w:eastAsia="Calibri" w:hAnsi="Arial" w:cs="Arial"/>
                <w:b/>
                <w:bCs/>
                <w:iCs/>
                <w:color w:val="FFFFFF"/>
                <w:szCs w:val="18"/>
                <w:lang w:val="fr-FR"/>
              </w:rPr>
            </w:pPr>
            <w:r w:rsidRPr="00865DA5">
              <w:rPr>
                <w:rFonts w:ascii="Arial" w:eastAsia="Arial" w:hAnsi="Arial" w:cs="Arial"/>
                <w:b/>
                <w:bCs/>
                <w:iCs/>
                <w:color w:val="FFFFFF"/>
                <w:bdr w:val="none" w:sz="0" w:space="0" w:color="auto" w:frame="1"/>
                <w:lang w:val="fr-FR"/>
              </w:rPr>
              <w:t>Commerce illégal d’oiseaux protégés (y compris le trafic ou la publicité pour la vente de tout oiseau protégé vivant ou mort ou de ses parties)</w:t>
            </w:r>
          </w:p>
        </w:tc>
        <w:tc>
          <w:tcPr>
            <w:tcW w:w="2409" w:type="dxa"/>
            <w:tcBorders>
              <w:top w:val="nil"/>
              <w:left w:val="nil"/>
              <w:bottom w:val="nil"/>
              <w:right w:val="nil"/>
            </w:tcBorders>
            <w:vAlign w:val="center"/>
          </w:tcPr>
          <w:p w:rsidR="00BD5B7F" w:rsidRPr="00865DA5" w:rsidRDefault="00BD5B7F" w:rsidP="000E5961">
            <w:pPr>
              <w:jc w:val="center"/>
              <w:rPr>
                <w:rFonts w:ascii="Arial" w:eastAsia="Calibri" w:hAnsi="Arial" w:cs="Arial"/>
                <w:i/>
                <w:iCs/>
                <w:color w:val="000000"/>
                <w:sz w:val="18"/>
                <w:szCs w:val="18"/>
                <w:lang w:val="fr-FR"/>
              </w:rPr>
            </w:pPr>
          </w:p>
        </w:tc>
        <w:tc>
          <w:tcPr>
            <w:tcW w:w="2375" w:type="dxa"/>
            <w:tcBorders>
              <w:top w:val="nil"/>
              <w:left w:val="nil"/>
              <w:bottom w:val="nil"/>
              <w:right w:val="nil"/>
            </w:tcBorders>
            <w:vAlign w:val="center"/>
          </w:tcPr>
          <w:p w:rsidR="00BD5B7F" w:rsidRPr="00865DA5" w:rsidRDefault="00BD5B7F" w:rsidP="000E5961">
            <w:pPr>
              <w:jc w:val="center"/>
              <w:rPr>
                <w:rFonts w:ascii="Arial" w:eastAsia="Calibri" w:hAnsi="Arial" w:cs="Arial"/>
                <w:i/>
                <w:iCs/>
                <w:color w:val="000000"/>
                <w:sz w:val="18"/>
                <w:szCs w:val="18"/>
                <w:lang w:val="fr-FR"/>
              </w:rPr>
            </w:pPr>
          </w:p>
        </w:tc>
      </w:tr>
      <w:tr w:rsidR="00BD5B7F" w:rsidRPr="00FC42B0" w:rsidTr="000E5961">
        <w:tc>
          <w:tcPr>
            <w:tcW w:w="5070" w:type="dxa"/>
            <w:tcBorders>
              <w:top w:val="nil"/>
              <w:left w:val="nil"/>
              <w:bottom w:val="nil"/>
              <w:right w:val="nil"/>
            </w:tcBorders>
            <w:shd w:val="clear" w:color="auto" w:fill="4F81BD"/>
            <w:hideMark/>
          </w:tcPr>
          <w:p w:rsidR="00BD5B7F" w:rsidRPr="00865DA5" w:rsidRDefault="00BD5B7F" w:rsidP="000E5961">
            <w:pPr>
              <w:rPr>
                <w:rFonts w:ascii="Arial" w:eastAsia="Calibri" w:hAnsi="Arial" w:cs="Arial"/>
                <w:b/>
                <w:bCs/>
                <w:iCs/>
                <w:color w:val="FFFFFF"/>
                <w:szCs w:val="18"/>
                <w:lang w:val="fr-FR"/>
              </w:rPr>
            </w:pPr>
            <w:r w:rsidRPr="00865DA5">
              <w:rPr>
                <w:rFonts w:ascii="Arial" w:eastAsia="Arial" w:hAnsi="Arial" w:cs="Arial"/>
                <w:b/>
                <w:bCs/>
                <w:iCs/>
                <w:color w:val="FFFFFF"/>
                <w:bdr w:val="none" w:sz="0" w:space="0" w:color="auto" w:frame="1"/>
                <w:lang w:val="fr-FR"/>
              </w:rPr>
              <w:t>Proposition d’espèces protégées dans les restaurants</w:t>
            </w:r>
          </w:p>
        </w:tc>
        <w:tc>
          <w:tcPr>
            <w:tcW w:w="2409" w:type="dxa"/>
            <w:tcBorders>
              <w:top w:val="nil"/>
              <w:left w:val="nil"/>
              <w:bottom w:val="nil"/>
              <w:right w:val="nil"/>
            </w:tcBorders>
            <w:shd w:val="clear" w:color="auto" w:fill="D8D8D8"/>
            <w:vAlign w:val="center"/>
          </w:tcPr>
          <w:p w:rsidR="00BD5B7F" w:rsidRPr="00865DA5" w:rsidRDefault="00BD5B7F" w:rsidP="000E5961">
            <w:pPr>
              <w:jc w:val="center"/>
              <w:rPr>
                <w:rFonts w:ascii="Arial" w:eastAsia="Calibri" w:hAnsi="Arial" w:cs="Arial"/>
                <w:i/>
                <w:iCs/>
                <w:color w:val="000000"/>
                <w:sz w:val="18"/>
                <w:szCs w:val="18"/>
                <w:lang w:val="fr-FR"/>
              </w:rPr>
            </w:pPr>
          </w:p>
        </w:tc>
        <w:tc>
          <w:tcPr>
            <w:tcW w:w="2375" w:type="dxa"/>
            <w:tcBorders>
              <w:top w:val="nil"/>
              <w:left w:val="nil"/>
              <w:bottom w:val="nil"/>
              <w:right w:val="nil"/>
            </w:tcBorders>
            <w:shd w:val="clear" w:color="auto" w:fill="D8D8D8"/>
            <w:vAlign w:val="center"/>
          </w:tcPr>
          <w:p w:rsidR="00BD5B7F" w:rsidRPr="00865DA5" w:rsidRDefault="00BD5B7F" w:rsidP="000E5961">
            <w:pPr>
              <w:jc w:val="center"/>
              <w:rPr>
                <w:rFonts w:ascii="Arial" w:eastAsia="Calibri" w:hAnsi="Arial" w:cs="Arial"/>
                <w:i/>
                <w:iCs/>
                <w:color w:val="000000"/>
                <w:sz w:val="18"/>
                <w:szCs w:val="18"/>
                <w:lang w:val="fr-FR"/>
              </w:rPr>
            </w:pPr>
          </w:p>
        </w:tc>
      </w:tr>
      <w:tr w:rsidR="00BD5B7F" w:rsidRPr="00FC42B0" w:rsidTr="000E5961">
        <w:tc>
          <w:tcPr>
            <w:tcW w:w="5070" w:type="dxa"/>
            <w:tcBorders>
              <w:top w:val="nil"/>
              <w:left w:val="nil"/>
              <w:bottom w:val="nil"/>
              <w:right w:val="nil"/>
            </w:tcBorders>
            <w:shd w:val="clear" w:color="auto" w:fill="4F81BD"/>
            <w:hideMark/>
          </w:tcPr>
          <w:p w:rsidR="00BD5B7F" w:rsidRPr="00865DA5" w:rsidRDefault="00BD5B7F" w:rsidP="000E5961">
            <w:pPr>
              <w:rPr>
                <w:rFonts w:ascii="Arial" w:eastAsia="Calibri" w:hAnsi="Arial" w:cs="Arial"/>
                <w:b/>
                <w:bCs/>
                <w:iCs/>
                <w:color w:val="FFFFFF"/>
                <w:szCs w:val="18"/>
                <w:lang w:val="fr-FR"/>
              </w:rPr>
            </w:pPr>
            <w:r w:rsidRPr="00865DA5">
              <w:rPr>
                <w:rFonts w:ascii="Arial" w:eastAsia="Arial" w:hAnsi="Arial" w:cs="Arial"/>
                <w:b/>
                <w:bCs/>
                <w:iCs/>
                <w:color w:val="FFFFFF"/>
                <w:bdr w:val="none" w:sz="0" w:space="0" w:color="auto" w:frame="1"/>
                <w:lang w:val="fr-FR"/>
              </w:rPr>
              <w:t>Utilisation de méthodes de chasse interdites (appelants, pièges, filets, lumières, gaz, etc.)</w:t>
            </w:r>
          </w:p>
        </w:tc>
        <w:tc>
          <w:tcPr>
            <w:tcW w:w="2409" w:type="dxa"/>
            <w:tcBorders>
              <w:top w:val="nil"/>
              <w:left w:val="nil"/>
              <w:bottom w:val="nil"/>
              <w:right w:val="nil"/>
            </w:tcBorders>
            <w:vAlign w:val="center"/>
          </w:tcPr>
          <w:p w:rsidR="00BD5B7F" w:rsidRPr="00865DA5" w:rsidRDefault="00BD5B7F" w:rsidP="000E5961">
            <w:pPr>
              <w:jc w:val="center"/>
              <w:rPr>
                <w:rFonts w:ascii="Arial" w:eastAsia="Calibri" w:hAnsi="Arial" w:cs="Arial"/>
                <w:i/>
                <w:iCs/>
                <w:color w:val="000000"/>
                <w:sz w:val="18"/>
                <w:szCs w:val="18"/>
                <w:lang w:val="fr-FR"/>
              </w:rPr>
            </w:pPr>
          </w:p>
        </w:tc>
        <w:tc>
          <w:tcPr>
            <w:tcW w:w="2375" w:type="dxa"/>
            <w:tcBorders>
              <w:top w:val="nil"/>
              <w:left w:val="nil"/>
              <w:bottom w:val="nil"/>
              <w:right w:val="nil"/>
            </w:tcBorders>
            <w:vAlign w:val="center"/>
          </w:tcPr>
          <w:p w:rsidR="00BD5B7F" w:rsidRPr="00865DA5" w:rsidRDefault="00BD5B7F" w:rsidP="000E5961">
            <w:pPr>
              <w:jc w:val="center"/>
              <w:rPr>
                <w:rFonts w:ascii="Arial" w:eastAsia="Calibri" w:hAnsi="Arial" w:cs="Arial"/>
                <w:i/>
                <w:iCs/>
                <w:color w:val="000000"/>
                <w:sz w:val="18"/>
                <w:szCs w:val="18"/>
                <w:lang w:val="fr-FR"/>
              </w:rPr>
            </w:pPr>
          </w:p>
        </w:tc>
      </w:tr>
      <w:tr w:rsidR="00BD5B7F" w:rsidRPr="00FC42B0" w:rsidTr="000E5961">
        <w:tc>
          <w:tcPr>
            <w:tcW w:w="5070" w:type="dxa"/>
            <w:tcBorders>
              <w:top w:val="nil"/>
              <w:left w:val="nil"/>
              <w:bottom w:val="nil"/>
              <w:right w:val="nil"/>
            </w:tcBorders>
            <w:shd w:val="clear" w:color="auto" w:fill="4F81BD"/>
            <w:hideMark/>
          </w:tcPr>
          <w:p w:rsidR="00BD5B7F" w:rsidRPr="00865DA5" w:rsidRDefault="00BD5B7F" w:rsidP="000E5961">
            <w:pPr>
              <w:rPr>
                <w:rFonts w:ascii="Arial" w:eastAsia="Calibri" w:hAnsi="Arial" w:cs="Arial"/>
                <w:b/>
                <w:bCs/>
                <w:iCs/>
                <w:color w:val="FFFFFF"/>
                <w:szCs w:val="18"/>
                <w:lang w:val="fr-FR"/>
              </w:rPr>
            </w:pPr>
            <w:r w:rsidRPr="00865DA5">
              <w:rPr>
                <w:rFonts w:ascii="Arial" w:eastAsia="Arial" w:hAnsi="Arial" w:cs="Arial"/>
                <w:b/>
                <w:bCs/>
                <w:iCs/>
                <w:color w:val="FFFFFF"/>
                <w:bdr w:val="none" w:sz="0" w:space="0" w:color="auto" w:frame="1"/>
                <w:lang w:val="fr-FR"/>
              </w:rPr>
              <w:t>Chasse en dehors de la saison d’ouverture ou en dehors des horaires autorisés</w:t>
            </w:r>
          </w:p>
        </w:tc>
        <w:tc>
          <w:tcPr>
            <w:tcW w:w="2409" w:type="dxa"/>
            <w:tcBorders>
              <w:top w:val="nil"/>
              <w:left w:val="nil"/>
              <w:bottom w:val="nil"/>
              <w:right w:val="nil"/>
            </w:tcBorders>
            <w:shd w:val="clear" w:color="auto" w:fill="D8D8D8"/>
            <w:vAlign w:val="center"/>
          </w:tcPr>
          <w:p w:rsidR="00BD5B7F" w:rsidRPr="00865DA5" w:rsidRDefault="00BD5B7F" w:rsidP="000E5961">
            <w:pPr>
              <w:jc w:val="center"/>
              <w:rPr>
                <w:rFonts w:ascii="Arial" w:eastAsia="Calibri" w:hAnsi="Arial" w:cs="Arial"/>
                <w:i/>
                <w:iCs/>
                <w:color w:val="000000"/>
                <w:sz w:val="18"/>
                <w:szCs w:val="18"/>
                <w:lang w:val="fr-FR"/>
              </w:rPr>
            </w:pPr>
          </w:p>
        </w:tc>
        <w:tc>
          <w:tcPr>
            <w:tcW w:w="2375" w:type="dxa"/>
            <w:tcBorders>
              <w:top w:val="nil"/>
              <w:left w:val="nil"/>
              <w:bottom w:val="nil"/>
              <w:right w:val="nil"/>
            </w:tcBorders>
            <w:shd w:val="clear" w:color="auto" w:fill="D8D8D8"/>
            <w:vAlign w:val="center"/>
          </w:tcPr>
          <w:p w:rsidR="00BD5B7F" w:rsidRPr="00865DA5" w:rsidRDefault="00BD5B7F" w:rsidP="000E5961">
            <w:pPr>
              <w:jc w:val="center"/>
              <w:rPr>
                <w:rFonts w:ascii="Arial" w:eastAsia="Calibri" w:hAnsi="Arial" w:cs="Arial"/>
                <w:i/>
                <w:iCs/>
                <w:color w:val="000000"/>
                <w:sz w:val="18"/>
                <w:szCs w:val="18"/>
                <w:lang w:val="fr-FR"/>
              </w:rPr>
            </w:pPr>
          </w:p>
        </w:tc>
      </w:tr>
      <w:tr w:rsidR="00BD5B7F" w:rsidRPr="00FC42B0" w:rsidTr="000E5961">
        <w:tc>
          <w:tcPr>
            <w:tcW w:w="5070" w:type="dxa"/>
            <w:tcBorders>
              <w:top w:val="nil"/>
              <w:left w:val="nil"/>
              <w:bottom w:val="nil"/>
              <w:right w:val="nil"/>
            </w:tcBorders>
            <w:shd w:val="clear" w:color="auto" w:fill="4F81BD"/>
            <w:hideMark/>
          </w:tcPr>
          <w:p w:rsidR="00BD5B7F" w:rsidRPr="00865DA5" w:rsidRDefault="00BD5B7F" w:rsidP="000E5961">
            <w:pPr>
              <w:rPr>
                <w:rFonts w:ascii="Arial" w:eastAsia="Calibri" w:hAnsi="Arial" w:cs="Arial"/>
                <w:b/>
                <w:bCs/>
                <w:iCs/>
                <w:color w:val="FFFFFF"/>
                <w:szCs w:val="18"/>
                <w:lang w:val="fr-FR"/>
              </w:rPr>
            </w:pPr>
            <w:r w:rsidRPr="00865DA5">
              <w:rPr>
                <w:rFonts w:ascii="Arial" w:eastAsia="Arial" w:hAnsi="Arial" w:cs="Arial"/>
                <w:b/>
                <w:bCs/>
                <w:iCs/>
                <w:color w:val="FFFFFF"/>
                <w:bdr w:val="none" w:sz="0" w:space="0" w:color="auto" w:frame="1"/>
                <w:lang w:val="fr-FR"/>
              </w:rPr>
              <w:t>Chasse sans permis, violation des conditions de permis (p. ex. dépassement des quotas de chasse, défaut de déclaration des oiseaux capturés, etc.)</w:t>
            </w:r>
          </w:p>
        </w:tc>
        <w:tc>
          <w:tcPr>
            <w:tcW w:w="2409" w:type="dxa"/>
            <w:tcBorders>
              <w:top w:val="nil"/>
              <w:left w:val="nil"/>
              <w:bottom w:val="nil"/>
              <w:right w:val="nil"/>
            </w:tcBorders>
            <w:vAlign w:val="center"/>
          </w:tcPr>
          <w:p w:rsidR="00BD5B7F" w:rsidRPr="00865DA5" w:rsidRDefault="00BD5B7F" w:rsidP="000E5961">
            <w:pPr>
              <w:jc w:val="center"/>
              <w:rPr>
                <w:rFonts w:ascii="Arial" w:eastAsia="Calibri" w:hAnsi="Arial" w:cs="Arial"/>
                <w:i/>
                <w:iCs/>
                <w:color w:val="000000"/>
                <w:sz w:val="18"/>
                <w:szCs w:val="18"/>
                <w:lang w:val="fr-FR"/>
              </w:rPr>
            </w:pPr>
          </w:p>
        </w:tc>
        <w:tc>
          <w:tcPr>
            <w:tcW w:w="2375" w:type="dxa"/>
            <w:tcBorders>
              <w:top w:val="nil"/>
              <w:left w:val="nil"/>
              <w:bottom w:val="nil"/>
              <w:right w:val="nil"/>
            </w:tcBorders>
            <w:vAlign w:val="center"/>
          </w:tcPr>
          <w:p w:rsidR="00BD5B7F" w:rsidRPr="00865DA5" w:rsidRDefault="00BD5B7F" w:rsidP="000E5961">
            <w:pPr>
              <w:jc w:val="center"/>
              <w:rPr>
                <w:rFonts w:ascii="Arial" w:eastAsia="Calibri" w:hAnsi="Arial" w:cs="Arial"/>
                <w:i/>
                <w:iCs/>
                <w:color w:val="000000"/>
                <w:sz w:val="18"/>
                <w:szCs w:val="18"/>
                <w:lang w:val="fr-FR"/>
              </w:rPr>
            </w:pPr>
          </w:p>
        </w:tc>
      </w:tr>
      <w:tr w:rsidR="00BD5B7F" w:rsidRPr="00FC42B0" w:rsidTr="000E5961">
        <w:tc>
          <w:tcPr>
            <w:tcW w:w="5070" w:type="dxa"/>
            <w:tcBorders>
              <w:top w:val="nil"/>
              <w:left w:val="nil"/>
              <w:bottom w:val="nil"/>
              <w:right w:val="nil"/>
            </w:tcBorders>
            <w:shd w:val="clear" w:color="auto" w:fill="4F81BD"/>
            <w:hideMark/>
          </w:tcPr>
          <w:p w:rsidR="00BD5B7F" w:rsidRPr="00865DA5" w:rsidRDefault="00BD5B7F" w:rsidP="000E5961">
            <w:pPr>
              <w:rPr>
                <w:rFonts w:ascii="Arial" w:eastAsia="Calibri" w:hAnsi="Arial" w:cs="Arial"/>
                <w:b/>
                <w:bCs/>
                <w:iCs/>
                <w:color w:val="FFFFFF"/>
                <w:szCs w:val="18"/>
                <w:lang w:val="fr-FR"/>
              </w:rPr>
            </w:pPr>
            <w:r w:rsidRPr="00865DA5">
              <w:rPr>
                <w:rFonts w:ascii="Arial" w:eastAsia="Arial" w:hAnsi="Arial" w:cs="Arial"/>
                <w:b/>
                <w:bCs/>
                <w:iCs/>
                <w:color w:val="FFFFFF"/>
                <w:bdr w:val="none" w:sz="0" w:space="0" w:color="auto" w:frame="1"/>
                <w:lang w:val="fr-FR"/>
              </w:rPr>
              <w:t>Chasse dans les zones interdites (réserves de chasse)</w:t>
            </w:r>
          </w:p>
        </w:tc>
        <w:tc>
          <w:tcPr>
            <w:tcW w:w="2409" w:type="dxa"/>
            <w:tcBorders>
              <w:top w:val="nil"/>
              <w:left w:val="nil"/>
              <w:bottom w:val="nil"/>
              <w:right w:val="nil"/>
            </w:tcBorders>
            <w:shd w:val="clear" w:color="auto" w:fill="D8D8D8"/>
            <w:vAlign w:val="center"/>
          </w:tcPr>
          <w:p w:rsidR="00BD5B7F" w:rsidRPr="00865DA5" w:rsidRDefault="00BD5B7F" w:rsidP="000E5961">
            <w:pPr>
              <w:jc w:val="center"/>
              <w:rPr>
                <w:rFonts w:ascii="Arial" w:eastAsia="Calibri" w:hAnsi="Arial" w:cs="Arial"/>
                <w:i/>
                <w:iCs/>
                <w:color w:val="000000"/>
                <w:sz w:val="18"/>
                <w:szCs w:val="18"/>
                <w:lang w:val="fr-FR"/>
              </w:rPr>
            </w:pPr>
          </w:p>
        </w:tc>
        <w:tc>
          <w:tcPr>
            <w:tcW w:w="2375" w:type="dxa"/>
            <w:tcBorders>
              <w:top w:val="nil"/>
              <w:left w:val="nil"/>
              <w:bottom w:val="nil"/>
              <w:right w:val="nil"/>
            </w:tcBorders>
            <w:shd w:val="clear" w:color="auto" w:fill="D8D8D8"/>
            <w:vAlign w:val="center"/>
          </w:tcPr>
          <w:p w:rsidR="00BD5B7F" w:rsidRPr="00865DA5" w:rsidRDefault="00BD5B7F" w:rsidP="000E5961">
            <w:pPr>
              <w:jc w:val="center"/>
              <w:rPr>
                <w:rFonts w:ascii="Arial" w:eastAsia="Calibri" w:hAnsi="Arial" w:cs="Arial"/>
                <w:i/>
                <w:iCs/>
                <w:color w:val="000000"/>
                <w:sz w:val="18"/>
                <w:szCs w:val="18"/>
                <w:lang w:val="fr-FR"/>
              </w:rPr>
            </w:pPr>
          </w:p>
        </w:tc>
      </w:tr>
      <w:tr w:rsidR="00BD5B7F" w:rsidRPr="00FF6562" w:rsidTr="000E5961">
        <w:tc>
          <w:tcPr>
            <w:tcW w:w="5070" w:type="dxa"/>
            <w:tcBorders>
              <w:top w:val="nil"/>
              <w:left w:val="nil"/>
              <w:bottom w:val="inset" w:sz="6" w:space="0" w:color="auto"/>
              <w:right w:val="nil"/>
            </w:tcBorders>
            <w:shd w:val="clear" w:color="auto" w:fill="4F81BD"/>
            <w:hideMark/>
          </w:tcPr>
          <w:p w:rsidR="00BD5B7F" w:rsidRPr="00FF6562" w:rsidRDefault="00BD5B7F" w:rsidP="000E5961">
            <w:pPr>
              <w:rPr>
                <w:rFonts w:ascii="Arial" w:eastAsia="Calibri" w:hAnsi="Arial" w:cs="Arial"/>
                <w:b/>
                <w:bCs/>
                <w:iCs/>
                <w:color w:val="FFFFFF"/>
                <w:szCs w:val="18"/>
              </w:rPr>
            </w:pPr>
            <w:r w:rsidRPr="00FF6562">
              <w:rPr>
                <w:rFonts w:ascii="Arial" w:eastAsia="Arial" w:hAnsi="Arial" w:cs="Arial"/>
                <w:b/>
                <w:bCs/>
                <w:iCs/>
                <w:color w:val="FFFFFF"/>
                <w:bdr w:val="none" w:sz="0" w:space="0" w:color="auto" w:frame="1"/>
              </w:rPr>
              <w:t>Prélèvements d’œufs</w:t>
            </w:r>
          </w:p>
        </w:tc>
        <w:tc>
          <w:tcPr>
            <w:tcW w:w="2409" w:type="dxa"/>
            <w:tcBorders>
              <w:top w:val="nil"/>
              <w:left w:val="nil"/>
              <w:bottom w:val="inset" w:sz="6" w:space="0" w:color="auto"/>
              <w:right w:val="nil"/>
            </w:tcBorders>
            <w:vAlign w:val="center"/>
          </w:tcPr>
          <w:p w:rsidR="00BD5B7F" w:rsidRPr="00FF6562" w:rsidRDefault="00BD5B7F" w:rsidP="000E5961">
            <w:pPr>
              <w:jc w:val="center"/>
              <w:rPr>
                <w:rFonts w:ascii="Arial" w:eastAsia="Calibri" w:hAnsi="Arial" w:cs="Arial"/>
                <w:i/>
                <w:iCs/>
                <w:color w:val="000000"/>
                <w:sz w:val="18"/>
                <w:szCs w:val="18"/>
              </w:rPr>
            </w:pPr>
          </w:p>
        </w:tc>
        <w:tc>
          <w:tcPr>
            <w:tcW w:w="2375" w:type="dxa"/>
            <w:tcBorders>
              <w:top w:val="nil"/>
              <w:left w:val="nil"/>
              <w:bottom w:val="inset" w:sz="6" w:space="0" w:color="auto"/>
              <w:right w:val="nil"/>
            </w:tcBorders>
            <w:vAlign w:val="center"/>
          </w:tcPr>
          <w:p w:rsidR="00BD5B7F" w:rsidRPr="00FF6562" w:rsidRDefault="00BD5B7F" w:rsidP="000E5961">
            <w:pPr>
              <w:jc w:val="center"/>
              <w:rPr>
                <w:rFonts w:ascii="Arial" w:eastAsia="Calibri" w:hAnsi="Arial" w:cs="Arial"/>
                <w:i/>
                <w:iCs/>
                <w:color w:val="000000"/>
                <w:sz w:val="18"/>
                <w:szCs w:val="18"/>
              </w:rPr>
            </w:pPr>
          </w:p>
        </w:tc>
      </w:tr>
      <w:tr w:rsidR="00BD5B7F" w:rsidRPr="00FF6562" w:rsidTr="000E5961">
        <w:tc>
          <w:tcPr>
            <w:tcW w:w="5070" w:type="dxa"/>
            <w:tcBorders>
              <w:top w:val="inset" w:sz="6" w:space="0" w:color="auto"/>
              <w:left w:val="nil"/>
              <w:bottom w:val="inset" w:sz="6" w:space="0" w:color="auto"/>
              <w:right w:val="nil"/>
            </w:tcBorders>
            <w:shd w:val="clear" w:color="auto" w:fill="4F81BD"/>
            <w:hideMark/>
          </w:tcPr>
          <w:p w:rsidR="00BD5B7F" w:rsidRPr="00FF6562" w:rsidRDefault="00BD5B7F" w:rsidP="000E5961">
            <w:pPr>
              <w:jc w:val="center"/>
              <w:rPr>
                <w:rFonts w:ascii="Arial" w:eastAsia="Calibri" w:hAnsi="Arial" w:cs="Arial"/>
                <w:b/>
                <w:bCs/>
                <w:iCs/>
                <w:color w:val="FFFFFF"/>
                <w:sz w:val="22"/>
                <w:szCs w:val="18"/>
              </w:rPr>
            </w:pPr>
            <w:r w:rsidRPr="00FF6562">
              <w:rPr>
                <w:rFonts w:ascii="Arial" w:eastAsia="Arial" w:hAnsi="Arial" w:cs="Arial"/>
                <w:b/>
                <w:bCs/>
                <w:iCs/>
                <w:color w:val="FFFFFF"/>
                <w:sz w:val="22"/>
                <w:szCs w:val="22"/>
                <w:bdr w:val="none" w:sz="0" w:space="0" w:color="auto" w:frame="1"/>
              </w:rPr>
              <w:t>Totaux</w:t>
            </w:r>
          </w:p>
        </w:tc>
        <w:tc>
          <w:tcPr>
            <w:tcW w:w="2409" w:type="dxa"/>
            <w:tcBorders>
              <w:top w:val="inset" w:sz="6" w:space="0" w:color="auto"/>
              <w:left w:val="nil"/>
              <w:bottom w:val="inset" w:sz="6" w:space="0" w:color="auto"/>
              <w:right w:val="nil"/>
            </w:tcBorders>
            <w:shd w:val="clear" w:color="auto" w:fill="D8D8D8"/>
            <w:vAlign w:val="center"/>
          </w:tcPr>
          <w:p w:rsidR="00BD5B7F" w:rsidRPr="00FF6562" w:rsidRDefault="00BD5B7F" w:rsidP="000E5961">
            <w:pPr>
              <w:jc w:val="center"/>
              <w:rPr>
                <w:rFonts w:ascii="Arial" w:eastAsia="Calibri" w:hAnsi="Arial" w:cs="Arial"/>
                <w:i/>
                <w:iCs/>
                <w:color w:val="000000"/>
                <w:sz w:val="22"/>
                <w:szCs w:val="18"/>
              </w:rPr>
            </w:pPr>
          </w:p>
        </w:tc>
        <w:tc>
          <w:tcPr>
            <w:tcW w:w="2375" w:type="dxa"/>
            <w:tcBorders>
              <w:top w:val="inset" w:sz="6" w:space="0" w:color="auto"/>
              <w:left w:val="nil"/>
              <w:bottom w:val="inset" w:sz="6" w:space="0" w:color="auto"/>
              <w:right w:val="nil"/>
            </w:tcBorders>
            <w:shd w:val="clear" w:color="auto" w:fill="D8D8D8"/>
            <w:vAlign w:val="center"/>
          </w:tcPr>
          <w:p w:rsidR="00BD5B7F" w:rsidRPr="00FF6562" w:rsidRDefault="00BD5B7F" w:rsidP="000E5961">
            <w:pPr>
              <w:jc w:val="center"/>
              <w:rPr>
                <w:rFonts w:ascii="Arial" w:eastAsia="Calibri" w:hAnsi="Arial" w:cs="Arial"/>
                <w:i/>
                <w:iCs/>
                <w:color w:val="000000"/>
                <w:sz w:val="22"/>
                <w:szCs w:val="18"/>
              </w:rPr>
            </w:pPr>
          </w:p>
        </w:tc>
      </w:tr>
    </w:tbl>
    <w:p w:rsidR="00BD5B7F" w:rsidRPr="00FF6562" w:rsidRDefault="00BD5B7F" w:rsidP="00BD5B7F">
      <w:pPr>
        <w:rPr>
          <w:rFonts w:ascii="Arial" w:eastAsia="Calibri" w:hAnsi="Arial" w:cs="Arial"/>
          <w:i/>
          <w:iCs/>
          <w:color w:val="000000"/>
          <w:sz w:val="22"/>
          <w:szCs w:val="22"/>
        </w:rPr>
      </w:pPr>
    </w:p>
    <w:p w:rsidR="00BD5B7F" w:rsidRPr="00865DA5" w:rsidRDefault="00BD5B7F" w:rsidP="00BD5B7F">
      <w:pPr>
        <w:jc w:val="both"/>
        <w:rPr>
          <w:rFonts w:ascii="Arial" w:eastAsia="Calibri" w:hAnsi="Arial" w:cs="Arial"/>
          <w:iCs/>
          <w:color w:val="000000"/>
          <w:sz w:val="22"/>
          <w:szCs w:val="22"/>
          <w:lang w:val="fr-FR"/>
        </w:rPr>
      </w:pPr>
      <w:r w:rsidRPr="00865DA5">
        <w:rPr>
          <w:rFonts w:ascii="Arial" w:eastAsia="Arial" w:hAnsi="Arial" w:cs="Arial"/>
          <w:iCs/>
          <w:color w:val="000000"/>
          <w:sz w:val="22"/>
          <w:szCs w:val="22"/>
          <w:bdr w:val="none" w:sz="0" w:space="0" w:color="auto" w:frame="1"/>
          <w:lang w:val="fr-FR"/>
        </w:rPr>
        <w:t>Après avoir consulté le projet de formulaire de déclaration de la Convention de Berne pour l’enregistrement des cas de criminalité contre les oiseaux sauvages</w:t>
      </w:r>
      <w:r w:rsidRPr="00FF6562">
        <w:rPr>
          <w:rFonts w:ascii="Arial" w:eastAsia="Calibri" w:hAnsi="Arial" w:cs="Arial"/>
          <w:iCs/>
          <w:color w:val="000000"/>
          <w:sz w:val="22"/>
          <w:szCs w:val="22"/>
          <w:vertAlign w:val="superscript"/>
        </w:rPr>
        <w:footnoteReference w:id="11"/>
      </w:r>
      <w:r w:rsidRPr="00865DA5">
        <w:rPr>
          <w:rFonts w:ascii="Arial" w:eastAsia="Arial" w:hAnsi="Arial" w:cs="Arial"/>
          <w:iCs/>
          <w:color w:val="000000"/>
          <w:sz w:val="22"/>
          <w:szCs w:val="22"/>
          <w:bdr w:val="none" w:sz="0" w:space="0" w:color="auto" w:frame="1"/>
          <w:vertAlign w:val="superscript"/>
          <w:lang w:val="fr-FR"/>
        </w:rPr>
        <w:t>,</w:t>
      </w:r>
      <w:r w:rsidRPr="00865DA5">
        <w:rPr>
          <w:rFonts w:ascii="Arial" w:eastAsia="Arial" w:hAnsi="Arial" w:cs="Arial"/>
          <w:iCs/>
          <w:color w:val="000000"/>
          <w:sz w:val="22"/>
          <w:szCs w:val="22"/>
          <w:bdr w:val="none" w:sz="0" w:space="0" w:color="auto" w:frame="1"/>
          <w:lang w:val="fr-FR"/>
        </w:rPr>
        <w:t xml:space="preserve"> ainsi que la définition </w:t>
      </w:r>
      <w:r w:rsidRPr="00865DA5">
        <w:rPr>
          <w:rFonts w:ascii="Arial" w:eastAsia="Arial" w:hAnsi="Arial" w:cs="Arial"/>
          <w:iCs/>
          <w:color w:val="000000"/>
          <w:sz w:val="22"/>
          <w:szCs w:val="22"/>
          <w:bdr w:val="none" w:sz="0" w:space="0" w:color="auto" w:frame="1"/>
          <w:lang w:val="fr-FR"/>
        </w:rPr>
        <w:lastRenderedPageBreak/>
        <w:t>de travail suivante de l’IKB : « les activités illégales</w:t>
      </w:r>
      <w:r w:rsidRPr="00FF6562">
        <w:rPr>
          <w:rFonts w:ascii="Arial" w:eastAsia="Calibri" w:hAnsi="Arial" w:cs="Arial"/>
          <w:iCs/>
          <w:color w:val="000000"/>
          <w:sz w:val="22"/>
          <w:szCs w:val="22"/>
          <w:vertAlign w:val="superscript"/>
        </w:rPr>
        <w:footnoteReference w:id="12"/>
      </w:r>
      <w:r w:rsidRPr="00865DA5">
        <w:rPr>
          <w:rFonts w:ascii="Arial" w:eastAsia="Arial" w:hAnsi="Arial" w:cs="Arial"/>
          <w:iCs/>
          <w:color w:val="000000"/>
          <w:sz w:val="22"/>
          <w:szCs w:val="22"/>
          <w:bdr w:val="none" w:sz="0" w:space="0" w:color="auto" w:frame="1"/>
          <w:lang w:val="fr-FR"/>
        </w:rPr>
        <w:t xml:space="preserve"> </w:t>
      </w:r>
      <w:r w:rsidRPr="00865DA5">
        <w:rPr>
          <w:rFonts w:ascii="Arial" w:eastAsia="Arial" w:hAnsi="Arial" w:cs="Arial"/>
          <w:iCs/>
          <w:color w:val="000000"/>
          <w:sz w:val="22"/>
          <w:szCs w:val="22"/>
          <w:u w:val="single"/>
          <w:bdr w:val="none" w:sz="0" w:space="0" w:color="auto" w:frame="1"/>
          <w:lang w:val="fr-FR"/>
        </w:rPr>
        <w:t>commises intentionnellement</w:t>
      </w:r>
      <w:r w:rsidRPr="00865DA5">
        <w:rPr>
          <w:rFonts w:ascii="Arial" w:eastAsia="Arial" w:hAnsi="Arial" w:cs="Arial"/>
          <w:iCs/>
          <w:color w:val="000000"/>
          <w:sz w:val="22"/>
          <w:szCs w:val="22"/>
          <w:bdr w:val="none" w:sz="0" w:space="0" w:color="auto" w:frame="1"/>
          <w:lang w:val="fr-FR"/>
        </w:rPr>
        <w:t xml:space="preserve"> pouvant entraîner la mort, des blessures ou le prélèvement dans la nature de spécimens</w:t>
      </w:r>
      <w:r w:rsidRPr="00FF6562">
        <w:rPr>
          <w:rFonts w:ascii="Arial" w:eastAsia="Calibri" w:hAnsi="Arial" w:cs="Arial"/>
          <w:iCs/>
          <w:color w:val="000000"/>
          <w:sz w:val="22"/>
          <w:szCs w:val="22"/>
          <w:vertAlign w:val="superscript"/>
        </w:rPr>
        <w:footnoteReference w:id="13"/>
      </w:r>
      <w:r w:rsidRPr="00865DA5">
        <w:rPr>
          <w:rFonts w:ascii="Arial" w:eastAsia="Arial" w:hAnsi="Arial" w:cs="Arial"/>
          <w:iCs/>
          <w:color w:val="000000"/>
          <w:sz w:val="22"/>
          <w:szCs w:val="22"/>
          <w:bdr w:val="none" w:sz="0" w:space="0" w:color="auto" w:frame="1"/>
          <w:lang w:val="fr-FR"/>
        </w:rPr>
        <w:t xml:space="preserve"> d’oiseaux sauvages morts ou vivants, y compris leurs parties ou produits », les répondants devront indiquer le nombre de cas d’infractions relatives à l’IKB pour chaque catégorie d’infraction rendue publique</w:t>
      </w:r>
      <w:r w:rsidRPr="00FF6562">
        <w:rPr>
          <w:rFonts w:ascii="Arial" w:eastAsia="Calibri" w:hAnsi="Arial" w:cs="Arial"/>
          <w:iCs/>
          <w:color w:val="000000"/>
          <w:sz w:val="22"/>
          <w:szCs w:val="22"/>
          <w:vertAlign w:val="superscript"/>
        </w:rPr>
        <w:footnoteReference w:id="14"/>
      </w:r>
      <w:r w:rsidRPr="00865DA5">
        <w:rPr>
          <w:rFonts w:ascii="Arial" w:eastAsia="Arial" w:hAnsi="Arial" w:cs="Arial"/>
          <w:iCs/>
          <w:color w:val="000000"/>
          <w:sz w:val="22"/>
          <w:szCs w:val="22"/>
          <w:bdr w:val="none" w:sz="0" w:space="0" w:color="auto" w:frame="1"/>
          <w:lang w:val="fr-FR"/>
        </w:rPr>
        <w:t xml:space="preserve"> au cours de la période d’évaluation ainsi que, le cas échéant, le nombre de spécimens d’oiseaux faisant l’objet de l’infraction.</w:t>
      </w:r>
    </w:p>
    <w:p w:rsidR="00BD5B7F" w:rsidRPr="00865DA5" w:rsidRDefault="00BD5B7F" w:rsidP="00BD5B7F">
      <w:pPr>
        <w:jc w:val="both"/>
        <w:rPr>
          <w:rFonts w:ascii="Arial" w:eastAsia="Calibri" w:hAnsi="Arial" w:cs="Arial"/>
          <w:iCs/>
          <w:color w:val="000000"/>
          <w:sz w:val="22"/>
          <w:szCs w:val="22"/>
          <w:lang w:val="fr-FR"/>
        </w:rPr>
      </w:pPr>
    </w:p>
    <w:p w:rsidR="00BD5B7F" w:rsidRPr="00865DA5" w:rsidRDefault="00BD5B7F" w:rsidP="00BD5B7F">
      <w:pPr>
        <w:jc w:val="both"/>
        <w:rPr>
          <w:rFonts w:ascii="Arial" w:eastAsia="Calibri" w:hAnsi="Arial" w:cs="Arial"/>
          <w:iCs/>
          <w:color w:val="000000"/>
          <w:sz w:val="22"/>
          <w:szCs w:val="22"/>
          <w:lang w:val="fr-FR"/>
        </w:rPr>
      </w:pPr>
      <w:r w:rsidRPr="00865DA5">
        <w:rPr>
          <w:rFonts w:ascii="Arial" w:eastAsia="Arial" w:hAnsi="Arial" w:cs="Arial"/>
          <w:iCs/>
          <w:color w:val="000000"/>
          <w:sz w:val="22"/>
          <w:szCs w:val="22"/>
          <w:bdr w:val="none" w:sz="0" w:space="0" w:color="auto" w:frame="1"/>
          <w:lang w:val="fr-FR"/>
        </w:rPr>
        <w:t xml:space="preserve">Dans le cas où une infraction a été commise par un groupe de personnes, le nombre d’infractions à déclarer dans la deuxième colonne du tableau ci-dessus devra être multiplié par le nombre de personnes impliquées/poursuivies pour cette infraction. </w:t>
      </w:r>
    </w:p>
    <w:p w:rsidR="00BD5B7F" w:rsidRPr="00865DA5" w:rsidRDefault="00BD5B7F" w:rsidP="00BD5B7F">
      <w:pPr>
        <w:jc w:val="both"/>
        <w:rPr>
          <w:rFonts w:ascii="Arial" w:eastAsia="Calibri" w:hAnsi="Arial" w:cs="Arial"/>
          <w:iCs/>
          <w:color w:val="000000"/>
          <w:sz w:val="22"/>
          <w:szCs w:val="22"/>
          <w:lang w:val="fr-FR"/>
        </w:rPr>
      </w:pPr>
    </w:p>
    <w:p w:rsidR="00BD5B7F" w:rsidRPr="00865DA5" w:rsidRDefault="00BD5B7F" w:rsidP="00BD5B7F">
      <w:pPr>
        <w:jc w:val="both"/>
        <w:rPr>
          <w:rFonts w:ascii="Arial" w:eastAsia="Calibri" w:hAnsi="Arial" w:cs="Arial"/>
          <w:color w:val="000000"/>
          <w:sz w:val="22"/>
          <w:szCs w:val="22"/>
          <w:lang w:val="fr-FR"/>
        </w:rPr>
      </w:pPr>
      <w:r w:rsidRPr="00865DA5">
        <w:rPr>
          <w:rFonts w:ascii="Arial" w:eastAsia="Arial" w:hAnsi="Arial" w:cs="Arial"/>
          <w:iCs/>
          <w:color w:val="000000"/>
          <w:sz w:val="22"/>
          <w:szCs w:val="22"/>
          <w:bdr w:val="none" w:sz="0" w:space="0" w:color="auto" w:frame="1"/>
          <w:lang w:val="fr-FR"/>
        </w:rPr>
        <w:t>Dans le cas où une seule personne a fait l’objet de plusieurs accusations pour différentes catégories d’infractions (par exemple l’abattage illégal d’un oiseau protégé et l’utilisation de méthodes de chasse interdites), le cas devra être signalé dans chaque catégorie d’infraction dont cette personne a été accusée/poursuivie.</w:t>
      </w:r>
    </w:p>
    <w:p w:rsidR="00BD5B7F" w:rsidRPr="00865DA5" w:rsidRDefault="00BD5B7F" w:rsidP="00BD5B7F">
      <w:pPr>
        <w:rPr>
          <w:rFonts w:ascii="Arial" w:eastAsia="Calibri" w:hAnsi="Arial" w:cs="Arial"/>
          <w:color w:val="000000"/>
          <w:sz w:val="22"/>
          <w:szCs w:val="22"/>
          <w:lang w:val="fr-FR"/>
        </w:rPr>
      </w:pPr>
      <w:r w:rsidRPr="00865DA5">
        <w:rPr>
          <w:rFonts w:ascii="Arial" w:eastAsia="Calibri" w:hAnsi="Arial" w:cs="Arial"/>
          <w:color w:val="000000"/>
          <w:sz w:val="22"/>
          <w:szCs w:val="22"/>
          <w:lang w:val="fr-FR"/>
        </w:rPr>
        <w:br w:type="page"/>
      </w:r>
    </w:p>
    <w:p w:rsidR="00BD5B7F" w:rsidRPr="00865DA5" w:rsidRDefault="00BD5B7F" w:rsidP="00BD5B7F">
      <w:pPr>
        <w:keepNext/>
        <w:keepLines/>
        <w:jc w:val="both"/>
        <w:outlineLvl w:val="1"/>
        <w:rPr>
          <w:rFonts w:ascii="Arial" w:hAnsi="Arial" w:cs="Arial"/>
          <w:b/>
          <w:color w:val="000000"/>
          <w:sz w:val="30"/>
          <w:szCs w:val="30"/>
          <w:lang w:val="fr-FR"/>
        </w:rPr>
      </w:pPr>
      <w:bookmarkStart w:id="46" w:name="_Toc491245239"/>
      <w:bookmarkStart w:id="47" w:name="_Toc491245058"/>
      <w:bookmarkStart w:id="48" w:name="_Toc486539576"/>
      <w:r w:rsidRPr="00865DA5">
        <w:rPr>
          <w:rFonts w:ascii="Arial" w:eastAsia="Arial" w:hAnsi="Arial" w:cs="Arial"/>
          <w:b/>
          <w:bCs/>
          <w:color w:val="000000"/>
          <w:sz w:val="30"/>
          <w:szCs w:val="30"/>
          <w:bdr w:val="none" w:sz="0" w:space="0" w:color="auto" w:frame="1"/>
          <w:lang w:val="fr-FR"/>
        </w:rPr>
        <w:lastRenderedPageBreak/>
        <w:t>B. Niveau d’exhaustivité de la législation nationale</w:t>
      </w:r>
      <w:bookmarkEnd w:id="46"/>
      <w:bookmarkEnd w:id="47"/>
      <w:bookmarkEnd w:id="48"/>
      <w:r w:rsidRPr="00865DA5">
        <w:rPr>
          <w:rFonts w:ascii="Arial" w:eastAsia="Arial" w:hAnsi="Arial" w:cs="Arial"/>
          <w:b/>
          <w:bCs/>
          <w:color w:val="000000"/>
          <w:sz w:val="30"/>
          <w:szCs w:val="30"/>
          <w:bdr w:val="none" w:sz="0" w:space="0" w:color="auto" w:frame="1"/>
          <w:lang w:val="fr-FR"/>
        </w:rPr>
        <w:t xml:space="preserve"> </w:t>
      </w:r>
    </w:p>
    <w:p w:rsidR="00BD5B7F" w:rsidRPr="00865DA5" w:rsidRDefault="00BD5B7F" w:rsidP="00BD5B7F">
      <w:pPr>
        <w:jc w:val="both"/>
        <w:rPr>
          <w:rFonts w:ascii="Arial" w:eastAsia="Calibri" w:hAnsi="Arial" w:cs="Arial"/>
          <w:color w:val="000000"/>
          <w:sz w:val="22"/>
          <w:szCs w:val="22"/>
          <w:lang w:val="fr-FR"/>
        </w:rPr>
      </w:pPr>
    </w:p>
    <w:p w:rsidR="00BD5B7F" w:rsidRPr="00865DA5" w:rsidRDefault="00BD5B7F" w:rsidP="00BD5B7F">
      <w:pPr>
        <w:keepNext/>
        <w:keepLines/>
        <w:spacing w:after="120"/>
        <w:jc w:val="both"/>
        <w:outlineLvl w:val="3"/>
        <w:rPr>
          <w:rFonts w:ascii="Arial" w:hAnsi="Arial" w:cs="Arial"/>
          <w:b/>
          <w:iCs/>
          <w:color w:val="000000"/>
          <w:sz w:val="28"/>
          <w:szCs w:val="22"/>
          <w:lang w:val="fr-FR"/>
        </w:rPr>
      </w:pPr>
      <w:bookmarkStart w:id="49" w:name="_Toc491245240"/>
      <w:bookmarkStart w:id="50" w:name="_Toc486539577"/>
      <w:r w:rsidRPr="00865DA5">
        <w:rPr>
          <w:rFonts w:ascii="Arial" w:eastAsia="Arial" w:hAnsi="Arial" w:cs="Arial"/>
          <w:b/>
          <w:bCs/>
          <w:iCs/>
          <w:color w:val="000000"/>
          <w:sz w:val="28"/>
          <w:szCs w:val="28"/>
          <w:bdr w:val="none" w:sz="0" w:space="0" w:color="auto" w:frame="1"/>
          <w:lang w:val="fr-FR"/>
        </w:rPr>
        <w:t>5. Législation nationale sur la faune sauvage</w:t>
      </w:r>
      <w:r w:rsidRPr="00FF6562">
        <w:rPr>
          <w:rFonts w:ascii="Arial" w:hAnsi="Arial" w:cs="Arial"/>
          <w:b/>
          <w:iCs/>
          <w:color w:val="000000"/>
          <w:sz w:val="28"/>
          <w:szCs w:val="22"/>
          <w:vertAlign w:val="superscript"/>
        </w:rPr>
        <w:footnoteReference w:id="15"/>
      </w:r>
      <w:bookmarkEnd w:id="49"/>
      <w:bookmarkEnd w:id="50"/>
      <w:r w:rsidRPr="00865DA5">
        <w:rPr>
          <w:rFonts w:ascii="Arial" w:eastAsia="Arial" w:hAnsi="Arial" w:cs="Arial"/>
          <w:b/>
          <w:bCs/>
          <w:iCs/>
          <w:color w:val="000000"/>
          <w:sz w:val="28"/>
          <w:szCs w:val="28"/>
          <w:bdr w:val="none" w:sz="0" w:space="0" w:color="auto" w:frame="1"/>
          <w:lang w:val="fr-FR"/>
        </w:rPr>
        <w:t xml:space="preserve"> </w:t>
      </w:r>
    </w:p>
    <w:p w:rsidR="00BD5B7F" w:rsidRPr="00865DA5" w:rsidRDefault="00BD5B7F" w:rsidP="00BD5B7F">
      <w:pPr>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 xml:space="preserve">Le niveau d’exhaustivité des dispositions législatives nationales en vigueur pour la conservation, la gestion et l’utilisation de la faune sauvage, y compris l’interdiction de l’IKB. </w:t>
      </w:r>
    </w:p>
    <w:p w:rsidR="00BD5B7F" w:rsidRPr="00865DA5" w:rsidRDefault="00BD5B7F" w:rsidP="00BD5B7F">
      <w:pPr>
        <w:jc w:val="both"/>
        <w:rPr>
          <w:rFonts w:ascii="Arial" w:eastAsia="Calibri" w:hAnsi="Arial" w:cs="Arial"/>
          <w:color w:val="000000"/>
          <w:sz w:val="22"/>
          <w:szCs w:val="22"/>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Existe-t-il une législation nationale complète</w:t>
      </w:r>
      <w:r w:rsidRPr="00FF6562">
        <w:rPr>
          <w:rFonts w:ascii="Arial" w:eastAsia="Calibri" w:hAnsi="Arial" w:cs="Arial"/>
          <w:color w:val="000000"/>
          <w:sz w:val="22"/>
          <w:szCs w:val="22"/>
          <w:vertAlign w:val="superscript"/>
        </w:rPr>
        <w:footnoteReference w:id="16"/>
      </w:r>
      <w:r w:rsidRPr="00865DA5">
        <w:rPr>
          <w:rFonts w:ascii="Arial" w:eastAsia="Arial" w:hAnsi="Arial" w:cs="Arial"/>
          <w:b/>
          <w:bCs/>
          <w:i/>
          <w:iCs/>
          <w:color w:val="000000"/>
          <w:sz w:val="22"/>
          <w:szCs w:val="22"/>
          <w:bdr w:val="none" w:sz="0" w:space="0" w:color="auto" w:frame="1"/>
          <w:lang w:val="fr-FR"/>
        </w:rPr>
        <w:t xml:space="preserve"> sur la conservation de la faune sauvage, incluant des dispositions pour la réglementation du commerce international de la faune sauvage ou de ses produits ?</w:t>
      </w:r>
    </w:p>
    <w:p w:rsidR="00BD5B7F" w:rsidRPr="00865DA5" w:rsidRDefault="00BD5B7F" w:rsidP="00BD5B7F">
      <w:pPr>
        <w:rPr>
          <w:rFonts w:ascii="Arial" w:eastAsia="Calibri" w:hAnsi="Arial" w:cs="Arial"/>
          <w:i/>
          <w:iCs/>
          <w:color w:val="000000"/>
          <w:sz w:val="22"/>
          <w:szCs w:val="22"/>
          <w:lang w:val="fr-FR"/>
        </w:rPr>
      </w:pPr>
    </w:p>
    <w:p w:rsidR="00BD5B7F" w:rsidRPr="00FF6562" w:rsidRDefault="00BD5B7F" w:rsidP="00BD5B7F">
      <w:pPr>
        <w:spacing w:after="120"/>
        <w:rPr>
          <w:rFonts w:ascii="Arial" w:eastAsia="Calibri" w:hAnsi="Arial" w:cs="Arial"/>
          <w:i/>
          <w:iCs/>
          <w:color w:val="000000"/>
          <w:sz w:val="22"/>
          <w:szCs w:val="22"/>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12"/>
        <w:gridCol w:w="2306"/>
        <w:gridCol w:w="15"/>
        <w:gridCol w:w="2322"/>
        <w:gridCol w:w="2326"/>
      </w:tblGrid>
      <w:tr w:rsidR="00BD5B7F" w:rsidRPr="00FF6562" w:rsidTr="000E5961">
        <w:tc>
          <w:tcPr>
            <w:tcW w:w="2309"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1"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4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2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c>
          <w:tcPr>
            <w:tcW w:w="2321"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sur la faune sauvage :</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N’a pas été adoptée</w:t>
            </w:r>
          </w:p>
        </w:tc>
        <w:tc>
          <w:tcPr>
            <w:tcW w:w="2324"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sur la faune sauvage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N’inclut pas</w:t>
            </w:r>
            <w:r w:rsidRPr="00865DA5">
              <w:rPr>
                <w:rFonts w:ascii="Arial" w:eastAsia="Arial" w:hAnsi="Arial" w:cs="Arial"/>
                <w:color w:val="000000"/>
                <w:sz w:val="18"/>
                <w:szCs w:val="18"/>
                <w:bdr w:val="none" w:sz="0" w:space="0" w:color="auto" w:frame="1"/>
                <w:lang w:val="fr-FR"/>
              </w:rPr>
              <w:t xml:space="preserve"> de dispositions adéquates pour dissuader et combattre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N’est pas</w:t>
            </w:r>
            <w:r w:rsidRPr="00865DA5">
              <w:rPr>
                <w:rFonts w:ascii="Arial" w:eastAsia="Arial" w:hAnsi="Arial" w:cs="Arial"/>
                <w:color w:val="000000"/>
                <w:sz w:val="18"/>
                <w:szCs w:val="18"/>
                <w:bdr w:val="none" w:sz="0" w:space="0" w:color="auto" w:frame="1"/>
                <w:lang w:val="fr-FR"/>
              </w:rPr>
              <w:t xml:space="preserve"> soutenue par des réglementations et/ou un cadre législatif adapté</w:t>
            </w:r>
          </w:p>
        </w:tc>
        <w:tc>
          <w:tcPr>
            <w:tcW w:w="2325"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sur la faune sauvage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Inclut</w:t>
            </w:r>
            <w:r w:rsidRPr="00865DA5">
              <w:rPr>
                <w:rFonts w:ascii="Arial" w:eastAsia="Arial" w:hAnsi="Arial" w:cs="Arial"/>
                <w:color w:val="000000"/>
                <w:sz w:val="18"/>
                <w:szCs w:val="18"/>
                <w:bdr w:val="none" w:sz="0" w:space="0" w:color="auto" w:frame="1"/>
                <w:lang w:val="fr-FR"/>
              </w:rPr>
              <w:t xml:space="preserve"> des dispositions adéquates pour dissuader et combattre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N’est pas</w:t>
            </w:r>
            <w:r w:rsidRPr="00865DA5">
              <w:rPr>
                <w:rFonts w:ascii="Arial" w:eastAsia="Arial" w:hAnsi="Arial" w:cs="Arial"/>
                <w:color w:val="000000"/>
                <w:sz w:val="18"/>
                <w:szCs w:val="18"/>
                <w:bdr w:val="none" w:sz="0" w:space="0" w:color="auto" w:frame="1"/>
                <w:lang w:val="fr-FR"/>
              </w:rPr>
              <w:t xml:space="preserve"> soutenue par des réglementations et/ou un cadre législatif adapté</w:t>
            </w:r>
          </w:p>
        </w:tc>
        <w:tc>
          <w:tcPr>
            <w:tcW w:w="2329"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sur la faune sauvage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color w:val="000000"/>
                <w:sz w:val="18"/>
                <w:szCs w:val="18"/>
                <w:bdr w:val="none" w:sz="0" w:space="0" w:color="auto" w:frame="1"/>
                <w:lang w:val="fr-FR"/>
              </w:rPr>
              <w:t>Inclut</w:t>
            </w:r>
            <w:r w:rsidRPr="00865DA5">
              <w:rPr>
                <w:rFonts w:ascii="Arial" w:eastAsia="Arial" w:hAnsi="Arial" w:cs="Arial"/>
                <w:color w:val="000000"/>
                <w:sz w:val="18"/>
                <w:szCs w:val="18"/>
                <w:bdr w:val="none" w:sz="0" w:space="0" w:color="auto" w:frame="1"/>
                <w:lang w:val="fr-FR"/>
              </w:rPr>
              <w:t xml:space="preserve"> des dispositions adéquates pour dissuader et combattre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 xml:space="preserve">Est </w:t>
            </w:r>
            <w:r w:rsidRPr="00865DA5">
              <w:rPr>
                <w:rFonts w:ascii="Arial" w:eastAsia="Arial" w:hAnsi="Arial" w:cs="Arial"/>
                <w:color w:val="000000"/>
                <w:sz w:val="18"/>
                <w:szCs w:val="18"/>
                <w:bdr w:val="none" w:sz="0" w:space="0" w:color="auto" w:frame="1"/>
                <w:lang w:val="fr-FR"/>
              </w:rPr>
              <w:t>soutenue par des réglementations et/ou un cadre législatif adapté</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Calibri" w:hAnsi="Arial" w:cs="Arial"/>
          <w:color w:val="000000"/>
          <w:sz w:val="22"/>
          <w:szCs w:val="22"/>
          <w:lang w:val="fr-FR"/>
        </w:rPr>
        <w:br w:type="page"/>
      </w:r>
    </w:p>
    <w:p w:rsidR="00BD5B7F" w:rsidRPr="00865DA5" w:rsidRDefault="00BD5B7F" w:rsidP="00BD5B7F">
      <w:pPr>
        <w:keepNext/>
        <w:keepLines/>
        <w:outlineLvl w:val="3"/>
        <w:rPr>
          <w:rFonts w:ascii="Arial" w:hAnsi="Arial" w:cs="Arial"/>
          <w:b/>
          <w:iCs/>
          <w:color w:val="000000"/>
          <w:sz w:val="28"/>
          <w:szCs w:val="22"/>
          <w:lang w:val="fr-FR"/>
        </w:rPr>
      </w:pPr>
      <w:bookmarkStart w:id="51" w:name="_Toc491245241"/>
      <w:bookmarkStart w:id="52" w:name="_Toc486539578"/>
      <w:r w:rsidRPr="00865DA5">
        <w:rPr>
          <w:rFonts w:ascii="Arial" w:eastAsia="Arial" w:hAnsi="Arial" w:cs="Arial"/>
          <w:b/>
          <w:bCs/>
          <w:iCs/>
          <w:color w:val="000000"/>
          <w:sz w:val="28"/>
          <w:szCs w:val="28"/>
          <w:bdr w:val="none" w:sz="0" w:space="0" w:color="auto" w:frame="1"/>
          <w:lang w:val="fr-FR"/>
        </w:rPr>
        <w:lastRenderedPageBreak/>
        <w:t>6. Utilisation réglementée</w:t>
      </w:r>
      <w:bookmarkEnd w:id="51"/>
      <w:bookmarkEnd w:id="52"/>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Le niveau d’exhaustivité de la législation nationale concernant l’utilisation durable de la faune sauvage, y compris la chasse.</w:t>
      </w:r>
    </w:p>
    <w:p w:rsidR="00BD5B7F" w:rsidRPr="00865DA5" w:rsidRDefault="00BD5B7F" w:rsidP="00BD5B7F">
      <w:pPr>
        <w:jc w:val="both"/>
        <w:rPr>
          <w:rFonts w:ascii="Arial" w:eastAsia="Calibri" w:hAnsi="Arial" w:cs="Arial"/>
          <w:b/>
          <w:bCs/>
          <w:color w:val="000000"/>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Par quelles mesures et quels contrôles, la législation nationale règlemente-t-elle l’abattage et le prélèvement des oiseaux sauvages ?</w:t>
      </w:r>
    </w:p>
    <w:p w:rsidR="00BD5B7F" w:rsidRPr="00FF6562" w:rsidRDefault="00BD5B7F" w:rsidP="00BD5B7F">
      <w:pPr>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2301"/>
        <w:gridCol w:w="18"/>
        <w:gridCol w:w="2321"/>
        <w:gridCol w:w="13"/>
        <w:gridCol w:w="2327"/>
      </w:tblGrid>
      <w:tr w:rsidR="00BD5B7F" w:rsidRPr="00FF6562" w:rsidTr="000E5961">
        <w:tc>
          <w:tcPr>
            <w:tcW w:w="2310"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c>
          <w:tcPr>
            <w:tcW w:w="2310"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réglemente </w:t>
            </w:r>
            <w:r w:rsidRPr="00865DA5">
              <w:rPr>
                <w:rFonts w:ascii="Arial" w:eastAsia="Arial" w:hAnsi="Arial" w:cs="Arial"/>
                <w:b/>
                <w:bCs/>
                <w:color w:val="000000"/>
                <w:sz w:val="18"/>
                <w:szCs w:val="18"/>
                <w:bdr w:val="none" w:sz="0" w:space="0" w:color="auto" w:frame="1"/>
                <w:lang w:val="fr-FR"/>
              </w:rPr>
              <w:t>pas spécifiquement</w:t>
            </w:r>
            <w:r w:rsidRPr="00865DA5">
              <w:rPr>
                <w:rFonts w:ascii="Arial" w:eastAsia="Arial" w:hAnsi="Arial" w:cs="Arial"/>
                <w:color w:val="000000"/>
                <w:sz w:val="18"/>
                <w:szCs w:val="18"/>
                <w:bdr w:val="none" w:sz="0" w:space="0" w:color="auto" w:frame="1"/>
                <w:lang w:val="fr-FR"/>
              </w:rPr>
              <w:t xml:space="preserve"> la chasse des oiseaux du point de vue de la conservation / de l’utilisation durable. Certaines législations concernant la chasse des oiseaux peuvent exister, mais elles considèrent l’activité principalement du point de vue du contrôle des armes et de la sécurité publique, et ne traitent pas les problèmes de conservation de la faune sauvage</w:t>
            </w:r>
          </w:p>
        </w:tc>
        <w:tc>
          <w:tcPr>
            <w:tcW w:w="2304"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En ce qui concerne la chasse, existe et fixe </w:t>
            </w:r>
            <w:r w:rsidRPr="00865DA5">
              <w:rPr>
                <w:rFonts w:ascii="Arial" w:eastAsia="Arial" w:hAnsi="Arial" w:cs="Arial"/>
                <w:b/>
                <w:bCs/>
                <w:color w:val="000000"/>
                <w:sz w:val="18"/>
                <w:szCs w:val="18"/>
                <w:bdr w:val="none" w:sz="0" w:space="0" w:color="auto" w:frame="1"/>
                <w:lang w:val="fr-FR"/>
              </w:rPr>
              <w:t>des paramètres de base</w:t>
            </w:r>
            <w:r w:rsidRPr="00865DA5">
              <w:rPr>
                <w:rFonts w:ascii="Arial" w:eastAsia="Arial" w:hAnsi="Arial" w:cs="Arial"/>
                <w:color w:val="000000"/>
                <w:sz w:val="18"/>
                <w:szCs w:val="18"/>
                <w:bdr w:val="none" w:sz="0" w:space="0" w:color="auto" w:frame="1"/>
                <w:lang w:val="fr-FR"/>
              </w:rPr>
              <w:t xml:space="preserve"> qui s’appliquent à diverses espèces chassables, y compris les oiseaux, tels que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hAnsi="Arial" w:cs="Arial"/>
                <w:color w:val="000000"/>
                <w:sz w:val="16"/>
                <w:szCs w:val="16"/>
                <w:lang w:val="fr-FR"/>
              </w:rPr>
              <w:t xml:space="preserve"> </w:t>
            </w:r>
            <w:r w:rsidRPr="00865DA5">
              <w:rPr>
                <w:rFonts w:ascii="Arial" w:eastAsia="Arial" w:hAnsi="Arial" w:cs="Arial"/>
                <w:color w:val="000000"/>
                <w:sz w:val="18"/>
                <w:szCs w:val="18"/>
                <w:bdr w:val="none" w:sz="0" w:space="0" w:color="auto" w:frame="1"/>
                <w:lang w:val="fr-FR"/>
              </w:rPr>
              <w:t>L’établissement et la définition des saisons de chasse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hAnsi="Arial" w:cs="Arial"/>
                <w:color w:val="000000"/>
                <w:sz w:val="16"/>
                <w:szCs w:val="16"/>
                <w:lang w:val="fr-FR"/>
              </w:rPr>
              <w:t xml:space="preserve"> </w:t>
            </w:r>
            <w:r w:rsidRPr="00865DA5">
              <w:rPr>
                <w:rFonts w:ascii="Arial" w:eastAsia="Arial" w:hAnsi="Arial" w:cs="Arial"/>
                <w:color w:val="000000"/>
                <w:sz w:val="18"/>
                <w:szCs w:val="18"/>
                <w:bdr w:val="none" w:sz="0" w:space="0" w:color="auto" w:frame="1"/>
                <w:lang w:val="fr-FR"/>
              </w:rPr>
              <w:t>L’établissement de la liste des espèces chassables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réglementation des méthodes de chasse</w:t>
            </w:r>
          </w:p>
          <w:p w:rsidR="00BD5B7F" w:rsidRPr="00865DA5" w:rsidRDefault="00BD5B7F" w:rsidP="000E5961">
            <w:pPr>
              <w:rPr>
                <w:rFonts w:ascii="Arial" w:eastAsia="Calibri" w:hAnsi="Arial" w:cs="Arial"/>
                <w:color w:val="000000"/>
                <w:sz w:val="18"/>
                <w:szCs w:val="18"/>
                <w:lang w:val="fr-FR"/>
              </w:rPr>
            </w:pPr>
          </w:p>
        </w:tc>
        <w:tc>
          <w:tcPr>
            <w:tcW w:w="2342"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législation nationale :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En ce qui concerne la chasse, existe séparément de la législation nationale concernant la conservation de la faune sauvage et définit des </w:t>
            </w:r>
            <w:r w:rsidRPr="00865DA5">
              <w:rPr>
                <w:rFonts w:ascii="Arial" w:eastAsia="Arial" w:hAnsi="Arial" w:cs="Arial"/>
                <w:b/>
                <w:bCs/>
                <w:color w:val="000000"/>
                <w:sz w:val="18"/>
                <w:szCs w:val="18"/>
                <w:bdr w:val="none" w:sz="0" w:space="0" w:color="auto" w:frame="1"/>
                <w:lang w:val="fr-FR"/>
              </w:rPr>
              <w:t>dispositions complètes</w:t>
            </w:r>
            <w:r w:rsidRPr="00865DA5">
              <w:rPr>
                <w:rFonts w:ascii="Arial" w:eastAsia="Arial" w:hAnsi="Arial" w:cs="Arial"/>
                <w:color w:val="000000"/>
                <w:sz w:val="18"/>
                <w:szCs w:val="18"/>
                <w:bdr w:val="none" w:sz="0" w:space="0" w:color="auto" w:frame="1"/>
                <w:lang w:val="fr-FR"/>
              </w:rPr>
              <w:t xml:space="preserve"> concernant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L’établissement et la définition des saisons de chasse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L’établissement de la liste des espèces chassables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définition des zones de chasse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réglementation et la définition des méthodes autorisées pour la chasse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mise en œuvre d’un mécanisme d’autorisation efficace et de critères pour l’obtention des permis/ licences de chasse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L’établissement des limites et quotas de prélèvement pour les espèces chassables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réponse aux exigences de base en matière de rapport sur les tableaux de chasse</w:t>
            </w:r>
          </w:p>
          <w:p w:rsidR="00BD5B7F" w:rsidRPr="00865DA5" w:rsidRDefault="00BD5B7F" w:rsidP="000E5961">
            <w:pPr>
              <w:rPr>
                <w:rFonts w:ascii="Arial" w:eastAsia="Calibri" w:hAnsi="Arial" w:cs="Arial"/>
                <w:i/>
                <w:i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contrôles relatifs à la mise en œuvre</w:t>
            </w:r>
          </w:p>
        </w:tc>
        <w:tc>
          <w:tcPr>
            <w:tcW w:w="2343"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En ce qui concerne la chasse, est </w:t>
            </w:r>
            <w:r w:rsidRPr="00865DA5">
              <w:rPr>
                <w:rFonts w:ascii="Arial" w:eastAsia="Arial" w:hAnsi="Arial" w:cs="Arial"/>
                <w:b/>
                <w:bCs/>
                <w:color w:val="000000"/>
                <w:sz w:val="18"/>
                <w:szCs w:val="18"/>
                <w:bdr w:val="none" w:sz="0" w:space="0" w:color="auto" w:frame="1"/>
                <w:lang w:val="fr-FR"/>
              </w:rPr>
              <w:t xml:space="preserve">complètement intégrée </w:t>
            </w:r>
            <w:r w:rsidRPr="00865DA5">
              <w:rPr>
                <w:rFonts w:ascii="Arial" w:eastAsia="Arial" w:hAnsi="Arial" w:cs="Arial"/>
                <w:color w:val="000000"/>
                <w:sz w:val="18"/>
                <w:szCs w:val="18"/>
                <w:bdr w:val="none" w:sz="0" w:space="0" w:color="auto" w:frame="1"/>
                <w:lang w:val="fr-FR"/>
              </w:rPr>
              <w:t xml:space="preserve">dans le cadre de la législation nationale sur la conservation de la faune sauvage, ce qui garantit la prise en compte des aspects biologiques et de conservation dans les décisions relatives à la chasse et définit des </w:t>
            </w:r>
            <w:r w:rsidRPr="00865DA5">
              <w:rPr>
                <w:rFonts w:ascii="Arial" w:eastAsia="Arial" w:hAnsi="Arial" w:cs="Arial"/>
                <w:b/>
                <w:bCs/>
                <w:color w:val="000000"/>
                <w:sz w:val="18"/>
                <w:szCs w:val="18"/>
                <w:bdr w:val="none" w:sz="0" w:space="0" w:color="auto" w:frame="1"/>
                <w:lang w:val="fr-FR"/>
              </w:rPr>
              <w:t>dispositions complètes</w:t>
            </w:r>
            <w:r w:rsidRPr="00865DA5">
              <w:rPr>
                <w:rFonts w:ascii="Arial" w:eastAsia="Arial" w:hAnsi="Arial" w:cs="Arial"/>
                <w:color w:val="000000"/>
                <w:sz w:val="18"/>
                <w:szCs w:val="18"/>
                <w:bdr w:val="none" w:sz="0" w:space="0" w:color="auto" w:frame="1"/>
                <w:lang w:val="fr-FR"/>
              </w:rPr>
              <w:t xml:space="preserve"> concernant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L’établissement et la définition des saisons de chasse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L’établissement de la liste des espèces chassables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définition des zones de chasse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réglementation et la définition des méthodes autorisées pour la chasse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Les dispositions pour un mécanisme d’autorisation approprié et des critères pour l’obtention des permis/licences de chasse, y compris des exigences pour l’examen obligatoire des demandeurs de permis de chasser</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L’établissement de limites et des quotas de prélèvement pour les espèces chassables sur la base de considérations biologiques et de conservation</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collecte en temps opportun des données des tableaux de chasse et les mécanismes de déclaration</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Les contrôles liés à la mise en œuvre, y compris l’application des lois et la lutte contre la fraude (par exemple, en fournissant des pouvoirs d’application des lois aux gardes chasse, gardes des parcs, etc.)</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Calibri" w:hAnsi="Arial" w:cs="Arial"/>
          <w:color w:val="000000"/>
          <w:sz w:val="22"/>
          <w:szCs w:val="22"/>
          <w:lang w:val="fr-FR"/>
        </w:rPr>
        <w:br w:type="page"/>
      </w:r>
    </w:p>
    <w:p w:rsidR="00BD5B7F" w:rsidRPr="00865DA5" w:rsidRDefault="00BD5B7F" w:rsidP="00BD5B7F">
      <w:pPr>
        <w:keepNext/>
        <w:keepLines/>
        <w:spacing w:after="120"/>
        <w:outlineLvl w:val="3"/>
        <w:rPr>
          <w:rFonts w:ascii="Arial" w:hAnsi="Arial" w:cs="Arial"/>
          <w:b/>
          <w:iCs/>
          <w:color w:val="000000"/>
          <w:sz w:val="28"/>
          <w:szCs w:val="22"/>
          <w:lang w:val="fr-FR"/>
        </w:rPr>
      </w:pPr>
      <w:bookmarkStart w:id="53" w:name="_Toc491245242"/>
      <w:bookmarkStart w:id="54" w:name="_Toc486539579"/>
      <w:r w:rsidRPr="00865DA5">
        <w:rPr>
          <w:rFonts w:ascii="Arial" w:eastAsia="Arial" w:hAnsi="Arial" w:cs="Arial"/>
          <w:b/>
          <w:bCs/>
          <w:iCs/>
          <w:color w:val="000000"/>
          <w:sz w:val="28"/>
          <w:szCs w:val="28"/>
          <w:bdr w:val="none" w:sz="0" w:space="0" w:color="auto" w:frame="1"/>
          <w:lang w:val="fr-FR"/>
        </w:rPr>
        <w:lastRenderedPageBreak/>
        <w:t>7. Interdictions en vertu de la législation nationale</w:t>
      </w:r>
      <w:bookmarkEnd w:id="53"/>
      <w:bookmarkEnd w:id="54"/>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 xml:space="preserve">L’étendue des activités interdites par la législation nationale. </w:t>
      </w:r>
    </w:p>
    <w:p w:rsidR="00BD5B7F" w:rsidRPr="00865DA5" w:rsidRDefault="00BD5B7F" w:rsidP="00BD5B7F">
      <w:pPr>
        <w:jc w:val="both"/>
        <w:rPr>
          <w:rFonts w:ascii="Arial" w:eastAsia="Calibri" w:hAnsi="Arial" w:cs="Arial"/>
          <w:color w:val="000000"/>
          <w:sz w:val="28"/>
          <w:szCs w:val="22"/>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Dans quelle mesure la législation nationale prévoit-elle l’illégalité de l’abattage, du prélèvement et du commerce d’oiseaux sauvages ?</w:t>
      </w:r>
    </w:p>
    <w:p w:rsidR="00BD5B7F" w:rsidRPr="00865DA5" w:rsidRDefault="00BD5B7F" w:rsidP="00BD5B7F">
      <w:pPr>
        <w:rPr>
          <w:rFonts w:ascii="Arial" w:eastAsia="Calibri" w:hAnsi="Arial" w:cs="Arial"/>
          <w:color w:val="000000"/>
          <w:sz w:val="28"/>
          <w:szCs w:val="22"/>
          <w:lang w:val="fr-FR"/>
        </w:rPr>
      </w:pPr>
    </w:p>
    <w:p w:rsidR="00BD5B7F" w:rsidRPr="00FF6562" w:rsidRDefault="00BD5B7F" w:rsidP="00BD5B7F">
      <w:pPr>
        <w:spacing w:after="120"/>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48"/>
        <w:gridCol w:w="2271"/>
        <w:gridCol w:w="28"/>
        <w:gridCol w:w="2306"/>
        <w:gridCol w:w="10"/>
        <w:gridCol w:w="2317"/>
      </w:tblGrid>
      <w:tr w:rsidR="00BD5B7F" w:rsidRPr="00FF6562" w:rsidTr="000E5961">
        <w:tc>
          <w:tcPr>
            <w:tcW w:w="2310"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358"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législation nationale </w:t>
            </w:r>
            <w:r w:rsidRPr="00865DA5">
              <w:rPr>
                <w:rFonts w:ascii="Arial" w:eastAsia="Arial" w:hAnsi="Arial" w:cs="Arial"/>
                <w:b/>
                <w:color w:val="000000"/>
                <w:sz w:val="18"/>
                <w:szCs w:val="18"/>
                <w:bdr w:val="none" w:sz="0" w:space="0" w:color="auto" w:frame="1"/>
                <w:lang w:val="fr-FR"/>
              </w:rPr>
              <w:t xml:space="preserve">n’interdit </w:t>
            </w:r>
            <w:r w:rsidRPr="00865DA5">
              <w:rPr>
                <w:rFonts w:ascii="Arial" w:eastAsia="Arial" w:hAnsi="Arial" w:cs="Arial"/>
                <w:b/>
                <w:bCs/>
                <w:color w:val="000000"/>
                <w:sz w:val="18"/>
                <w:szCs w:val="18"/>
                <w:bdr w:val="none" w:sz="0" w:space="0" w:color="auto" w:frame="1"/>
                <w:lang w:val="fr-FR"/>
              </w:rPr>
              <w:t>généralement pas</w:t>
            </w:r>
            <w:r w:rsidRPr="00FF6562">
              <w:rPr>
                <w:rFonts w:ascii="Arial" w:eastAsia="Calibri" w:hAnsi="Arial" w:cs="Arial"/>
                <w:b/>
                <w:color w:val="000000"/>
                <w:sz w:val="18"/>
                <w:szCs w:val="18"/>
                <w:vertAlign w:val="superscript"/>
              </w:rPr>
              <w:footnoteReference w:id="17"/>
            </w:r>
            <w:r w:rsidRPr="00865DA5">
              <w:rPr>
                <w:rFonts w:ascii="Arial" w:eastAsia="Arial" w:hAnsi="Arial" w:cs="Arial"/>
                <w:color w:val="000000"/>
                <w:sz w:val="18"/>
                <w:szCs w:val="18"/>
                <w:bdr w:val="none" w:sz="0" w:space="0" w:color="auto" w:frame="1"/>
                <w:lang w:val="fr-FR"/>
              </w:rPr>
              <w:t>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L’abattage délibéré d’oiseaux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 prélèvement d’oiseaux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L’utilisation de moyens tels que les filets, pièges, bâtons enduits de glu, dispositifs sonores, etc. pour capturer des oiseaux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possession</w:t>
            </w:r>
            <w:r w:rsidRPr="00FF6562">
              <w:rPr>
                <w:rFonts w:ascii="Arial" w:eastAsia="Calibri" w:hAnsi="Arial" w:cs="Arial"/>
                <w:color w:val="000000"/>
                <w:sz w:val="18"/>
                <w:szCs w:val="18"/>
                <w:vertAlign w:val="superscript"/>
              </w:rPr>
              <w:footnoteReference w:id="18"/>
            </w:r>
            <w:r w:rsidRPr="00865DA5">
              <w:rPr>
                <w:rFonts w:ascii="Arial" w:eastAsia="Arial" w:hAnsi="Arial" w:cs="Arial"/>
                <w:color w:val="000000"/>
                <w:sz w:val="18"/>
                <w:szCs w:val="18"/>
                <w:bdr w:val="none" w:sz="0" w:space="0" w:color="auto" w:frame="1"/>
                <w:vertAlign w:val="superscript"/>
                <w:lang w:val="fr-FR"/>
              </w:rPr>
              <w:t xml:space="preserve"> </w:t>
            </w:r>
            <w:r w:rsidRPr="00865DA5">
              <w:rPr>
                <w:rFonts w:ascii="Arial" w:eastAsia="Arial" w:hAnsi="Arial" w:cs="Arial"/>
                <w:color w:val="000000"/>
                <w:sz w:val="18"/>
                <w:szCs w:val="18"/>
                <w:bdr w:val="none" w:sz="0" w:space="0" w:color="auto" w:frame="1"/>
                <w:lang w:val="fr-FR"/>
              </w:rPr>
              <w:t>d’oiseaux sauvages vivants ou morts ou de parties d’oiseaux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L’importation ou le transport d’oiseaux sauvages ou de leurs parties et produits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vente d’oiseaux sauvages</w:t>
            </w:r>
          </w:p>
        </w:tc>
        <w:tc>
          <w:tcPr>
            <w:tcW w:w="2302"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législation nationale </w:t>
            </w:r>
            <w:r w:rsidRPr="00865DA5">
              <w:rPr>
                <w:rFonts w:ascii="Arial" w:eastAsia="Arial" w:hAnsi="Arial" w:cs="Arial"/>
                <w:b/>
                <w:bCs/>
                <w:color w:val="000000"/>
                <w:sz w:val="18"/>
                <w:szCs w:val="18"/>
                <w:bdr w:val="none" w:sz="0" w:space="0" w:color="auto" w:frame="1"/>
                <w:lang w:val="fr-FR"/>
              </w:rPr>
              <w:t>interdit généralement</w:t>
            </w:r>
            <w:r w:rsidRPr="00865DA5">
              <w:rPr>
                <w:rFonts w:ascii="Arial" w:eastAsia="Arial" w:hAnsi="Arial" w:cs="Arial"/>
                <w:color w:val="000000"/>
                <w:sz w:val="18"/>
                <w:szCs w:val="18"/>
                <w:bdr w:val="none" w:sz="0" w:space="0" w:color="auto" w:frame="1"/>
                <w:lang w:val="fr-FR"/>
              </w:rPr>
              <w:t>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L’abattage délibéré d’oiseaux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 prélèvement d’oiseaux sauvages</w:t>
            </w:r>
          </w:p>
        </w:tc>
        <w:tc>
          <w:tcPr>
            <w:tcW w:w="2319"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législation nationale </w:t>
            </w:r>
            <w:r w:rsidRPr="00865DA5">
              <w:rPr>
                <w:rFonts w:ascii="Arial" w:eastAsia="Arial" w:hAnsi="Arial" w:cs="Arial"/>
                <w:b/>
                <w:bCs/>
                <w:color w:val="000000"/>
                <w:sz w:val="18"/>
                <w:szCs w:val="18"/>
                <w:bdr w:val="none" w:sz="0" w:space="0" w:color="auto" w:frame="1"/>
                <w:lang w:val="fr-FR"/>
              </w:rPr>
              <w:t>interdit généralement</w:t>
            </w:r>
            <w:r w:rsidRPr="00865DA5">
              <w:rPr>
                <w:rFonts w:ascii="Arial" w:eastAsia="Arial" w:hAnsi="Arial" w:cs="Arial"/>
                <w:color w:val="000000"/>
                <w:sz w:val="18"/>
                <w:szCs w:val="18"/>
                <w:bdr w:val="none" w:sz="0" w:space="0" w:color="auto" w:frame="1"/>
                <w:lang w:val="fr-FR"/>
              </w:rPr>
              <w:t xml:space="preserve"> :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L’abattage délibéré d’oiseaux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 prélèvement d’oiseaux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L’utilisation de moyens tels que les filets, pièges, bâtons enduis de glu, dispositifs sonores, etc. pour capturer des oiseaux</w:t>
            </w:r>
          </w:p>
          <w:p w:rsidR="00BD5B7F" w:rsidRPr="00865DA5" w:rsidRDefault="00BD5B7F" w:rsidP="000E5961">
            <w:pPr>
              <w:rPr>
                <w:rFonts w:ascii="Arial" w:eastAsia="Calibri" w:hAnsi="Arial" w:cs="Arial"/>
                <w:i/>
                <w:iCs/>
                <w:color w:val="000000"/>
                <w:sz w:val="18"/>
                <w:szCs w:val="18"/>
                <w:lang w:val="fr-FR"/>
              </w:rPr>
            </w:pPr>
          </w:p>
        </w:tc>
        <w:tc>
          <w:tcPr>
            <w:tcW w:w="2320"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législation nationale </w:t>
            </w:r>
            <w:r w:rsidRPr="00865DA5">
              <w:rPr>
                <w:rFonts w:ascii="Arial" w:eastAsia="Arial" w:hAnsi="Arial" w:cs="Arial"/>
                <w:b/>
                <w:bCs/>
                <w:color w:val="000000"/>
                <w:sz w:val="18"/>
                <w:szCs w:val="18"/>
                <w:bdr w:val="none" w:sz="0" w:space="0" w:color="auto" w:frame="1"/>
                <w:lang w:val="fr-FR"/>
              </w:rPr>
              <w:t>interdit généralement</w:t>
            </w:r>
            <w:r w:rsidRPr="00865DA5">
              <w:rPr>
                <w:rFonts w:ascii="Arial" w:eastAsia="Arial" w:hAnsi="Arial" w:cs="Arial"/>
                <w:color w:val="000000"/>
                <w:sz w:val="18"/>
                <w:szCs w:val="18"/>
                <w:bdr w:val="none" w:sz="0" w:space="0" w:color="auto" w:frame="1"/>
                <w:lang w:val="fr-FR"/>
              </w:rPr>
              <w:t>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L’abattage délibéré d’oiseaux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 prélèvement d’oiseaux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L’utilisation de moyens tels que les filets, pièges, bâtons enduits de glu, dispositifs sonores, etc. pour capturer des oiseaux</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possession d’oiseaux sauvages vivants ou morts ou de parties d’oiseaux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L’importation ou le transport d’oiseaux sauvages ou de leurs parties et produits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La vente d’oiseaux sauvages</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b/>
          <w:bCs/>
          <w:color w:val="000000"/>
          <w:sz w:val="23"/>
          <w:szCs w:val="23"/>
          <w:lang w:val="fr-FR"/>
        </w:rPr>
      </w:pPr>
      <w:r w:rsidRPr="00865DA5">
        <w:rPr>
          <w:rFonts w:ascii="Arial" w:eastAsia="Calibri" w:hAnsi="Arial" w:cs="Arial"/>
          <w:b/>
          <w:bCs/>
          <w:color w:val="000000"/>
          <w:sz w:val="23"/>
          <w:szCs w:val="23"/>
          <w:lang w:val="fr-FR"/>
        </w:rPr>
        <w:br w:type="page"/>
      </w:r>
    </w:p>
    <w:p w:rsidR="00BD5B7F" w:rsidRPr="00865DA5" w:rsidRDefault="00BD5B7F" w:rsidP="00BD5B7F">
      <w:pPr>
        <w:keepNext/>
        <w:keepLines/>
        <w:spacing w:after="120"/>
        <w:outlineLvl w:val="3"/>
        <w:rPr>
          <w:rFonts w:ascii="Arial" w:hAnsi="Arial" w:cs="Arial"/>
          <w:b/>
          <w:iCs/>
          <w:color w:val="000000"/>
          <w:sz w:val="28"/>
          <w:szCs w:val="22"/>
          <w:lang w:val="fr-FR"/>
        </w:rPr>
      </w:pPr>
      <w:bookmarkStart w:id="55" w:name="_Toc491245243"/>
      <w:bookmarkStart w:id="56" w:name="_Toc486539580"/>
      <w:r w:rsidRPr="00865DA5">
        <w:rPr>
          <w:rFonts w:ascii="Arial" w:eastAsia="Arial" w:hAnsi="Arial" w:cs="Arial"/>
          <w:b/>
          <w:bCs/>
          <w:iCs/>
          <w:color w:val="000000"/>
          <w:sz w:val="28"/>
          <w:szCs w:val="28"/>
          <w:bdr w:val="none" w:sz="0" w:space="0" w:color="auto" w:frame="1"/>
          <w:lang w:val="fr-FR"/>
        </w:rPr>
        <w:lastRenderedPageBreak/>
        <w:t>8. Exceptions à la législation nationale</w:t>
      </w:r>
      <w:bookmarkEnd w:id="55"/>
      <w:bookmarkEnd w:id="56"/>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 xml:space="preserve">L’étendue du contrôle réglementaire concernant toute autorisation de dérogation. </w:t>
      </w:r>
    </w:p>
    <w:p w:rsidR="00BD5B7F" w:rsidRPr="00865DA5" w:rsidRDefault="00BD5B7F" w:rsidP="00BD5B7F">
      <w:pPr>
        <w:jc w:val="both"/>
        <w:rPr>
          <w:rFonts w:ascii="Arial" w:eastAsia="Calibri" w:hAnsi="Arial" w:cs="Arial"/>
          <w:color w:val="000000"/>
          <w:sz w:val="18"/>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Dans quelle mesure la législation nationale prévoit-elle d’autoriser des dérogations aux interdictions générales énoncées dans la réponse à la question précédente ?</w:t>
      </w:r>
    </w:p>
    <w:p w:rsidR="00BD5B7F" w:rsidRPr="00865DA5" w:rsidRDefault="00BD5B7F" w:rsidP="00BD5B7F">
      <w:pPr>
        <w:ind w:left="993" w:hanging="993"/>
        <w:jc w:val="both"/>
        <w:rPr>
          <w:rFonts w:ascii="Arial" w:eastAsia="Calibri" w:hAnsi="Arial" w:cs="Arial"/>
          <w:color w:val="000000"/>
          <w:sz w:val="18"/>
          <w:szCs w:val="18"/>
          <w:lang w:val="fr-FR"/>
        </w:rPr>
      </w:pPr>
    </w:p>
    <w:p w:rsidR="00BD5B7F" w:rsidRPr="00FF6562" w:rsidRDefault="00BD5B7F" w:rsidP="00BD5B7F">
      <w:pPr>
        <w:spacing w:after="120"/>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08"/>
        <w:gridCol w:w="13"/>
        <w:gridCol w:w="2327"/>
        <w:gridCol w:w="9"/>
        <w:gridCol w:w="2568"/>
      </w:tblGrid>
      <w:tr w:rsidR="00BD5B7F" w:rsidRPr="00FF6562" w:rsidTr="000E5961">
        <w:tc>
          <w:tcPr>
            <w:tcW w:w="2310"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1"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568"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982"/>
        </w:trPr>
        <w:tc>
          <w:tcPr>
            <w:tcW w:w="2310"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Prévoit l’autorisation de dérogations impliquant </w:t>
            </w:r>
            <w:r w:rsidRPr="00865DA5">
              <w:rPr>
                <w:rFonts w:ascii="Arial" w:eastAsia="Arial" w:hAnsi="Arial" w:cs="Arial"/>
                <w:b/>
                <w:bCs/>
                <w:color w:val="000000"/>
                <w:sz w:val="18"/>
                <w:szCs w:val="18"/>
                <w:bdr w:val="none" w:sz="0" w:space="0" w:color="auto" w:frame="1"/>
                <w:lang w:val="fr-FR"/>
              </w:rPr>
              <w:t>une ou plusieurs</w:t>
            </w:r>
            <w:r w:rsidRPr="00865DA5">
              <w:rPr>
                <w:rFonts w:ascii="Arial" w:eastAsia="Arial" w:hAnsi="Arial" w:cs="Arial"/>
                <w:color w:val="000000"/>
                <w:sz w:val="18"/>
                <w:szCs w:val="18"/>
                <w:bdr w:val="none" w:sz="0" w:space="0" w:color="auto" w:frame="1"/>
                <w:lang w:val="fr-FR"/>
              </w:rPr>
              <w:t xml:space="preserve"> activités généralement interdites par la législation nationale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Ne comprend pas de critères ni de processus spécifiques pour l’octroi / le suivi de telles dérogations</w:t>
            </w:r>
            <w:r w:rsidRPr="00865DA5">
              <w:rPr>
                <w:rFonts w:ascii="Arial" w:eastAsia="Arial" w:hAnsi="Arial" w:cs="Arial"/>
                <w:color w:val="000000"/>
                <w:sz w:val="18"/>
                <w:szCs w:val="18"/>
                <w:bdr w:val="none" w:sz="0" w:space="0" w:color="auto" w:frame="1"/>
                <w:vertAlign w:val="superscript"/>
                <w:lang w:val="fr-FR"/>
              </w:rPr>
              <w:t xml:space="preserve"> </w:t>
            </w:r>
          </w:p>
        </w:tc>
        <w:tc>
          <w:tcPr>
            <w:tcW w:w="2308"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Prévoit l’autorisation de dérogations impliquant </w:t>
            </w:r>
            <w:r w:rsidRPr="00865DA5">
              <w:rPr>
                <w:rFonts w:ascii="Arial" w:eastAsia="Arial" w:hAnsi="Arial" w:cs="Arial"/>
                <w:b/>
                <w:bCs/>
                <w:color w:val="000000"/>
                <w:sz w:val="18"/>
                <w:szCs w:val="18"/>
                <w:bdr w:val="none" w:sz="0" w:space="0" w:color="auto" w:frame="1"/>
                <w:lang w:val="fr-FR"/>
              </w:rPr>
              <w:t>certaines</w:t>
            </w:r>
            <w:r w:rsidRPr="00865DA5">
              <w:rPr>
                <w:rFonts w:ascii="Arial" w:eastAsia="Arial" w:hAnsi="Arial" w:cs="Arial"/>
                <w:color w:val="000000"/>
                <w:sz w:val="18"/>
                <w:szCs w:val="18"/>
                <w:bdr w:val="none" w:sz="0" w:space="0" w:color="auto" w:frame="1"/>
                <w:lang w:val="fr-FR"/>
              </w:rPr>
              <w:t xml:space="preserve"> activités généralement interdites par la législation nationale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Définit les critères de base selon lesquels ces dérogations peuvent être accordées par l’autorité responsable ; toutefois, ces critères d’octroi de dérogation </w:t>
            </w:r>
            <w:r w:rsidRPr="00865DA5">
              <w:rPr>
                <w:rFonts w:ascii="Arial" w:eastAsia="Arial" w:hAnsi="Arial" w:cs="Arial"/>
                <w:b/>
                <w:bCs/>
                <w:color w:val="000000"/>
                <w:sz w:val="18"/>
                <w:szCs w:val="18"/>
                <w:bdr w:val="none" w:sz="0" w:space="0" w:color="auto" w:frame="1"/>
                <w:lang w:val="fr-FR"/>
              </w:rPr>
              <w:t>ne correspondent pas</w:t>
            </w:r>
            <w:r w:rsidRPr="00865DA5">
              <w:rPr>
                <w:rFonts w:ascii="Arial" w:eastAsia="Arial" w:hAnsi="Arial" w:cs="Arial"/>
                <w:color w:val="000000"/>
                <w:sz w:val="18"/>
                <w:szCs w:val="18"/>
                <w:bdr w:val="none" w:sz="0" w:space="0" w:color="auto" w:frame="1"/>
                <w:lang w:val="fr-FR"/>
              </w:rPr>
              <w:t xml:space="preserve"> aux critères prévus par la Convention de Berne</w:t>
            </w:r>
            <w:r w:rsidRPr="00FF6562">
              <w:rPr>
                <w:rFonts w:ascii="Arial" w:eastAsia="Calibri" w:hAnsi="Arial" w:cs="Arial"/>
                <w:color w:val="000000"/>
                <w:sz w:val="18"/>
                <w:szCs w:val="18"/>
                <w:vertAlign w:val="superscript"/>
              </w:rPr>
              <w:footnoteReference w:id="19"/>
            </w:r>
            <w:r w:rsidRPr="00865DA5">
              <w:rPr>
                <w:rFonts w:ascii="Arial" w:eastAsia="Arial" w:hAnsi="Arial" w:cs="Arial"/>
                <w:color w:val="000000"/>
                <w:sz w:val="18"/>
                <w:szCs w:val="18"/>
                <w:bdr w:val="none" w:sz="0" w:space="0" w:color="auto" w:frame="1"/>
                <w:lang w:val="fr-FR"/>
              </w:rPr>
              <w:t xml:space="preserve"> / la CMS</w:t>
            </w:r>
            <w:r w:rsidRPr="00FF6562">
              <w:rPr>
                <w:rFonts w:ascii="Arial" w:eastAsia="Calibri" w:hAnsi="Arial" w:cs="Arial"/>
                <w:color w:val="000000"/>
                <w:sz w:val="18"/>
                <w:szCs w:val="18"/>
                <w:vertAlign w:val="superscript"/>
              </w:rPr>
              <w:footnoteReference w:id="20"/>
            </w:r>
            <w:r w:rsidRPr="00865DA5">
              <w:rPr>
                <w:rFonts w:ascii="Arial" w:eastAsia="Arial" w:hAnsi="Arial" w:cs="Arial"/>
                <w:color w:val="000000"/>
                <w:sz w:val="18"/>
                <w:szCs w:val="18"/>
                <w:bdr w:val="none" w:sz="0" w:space="0" w:color="auto" w:frame="1"/>
                <w:lang w:val="fr-FR"/>
              </w:rPr>
              <w:t xml:space="preserve"> / la Directive Oiseaux de l’UE</w:t>
            </w:r>
            <w:r w:rsidRPr="00FF6562">
              <w:rPr>
                <w:rFonts w:ascii="Arial" w:eastAsia="Calibri" w:hAnsi="Arial" w:cs="Arial"/>
                <w:color w:val="000000"/>
                <w:sz w:val="18"/>
                <w:szCs w:val="18"/>
                <w:vertAlign w:val="superscript"/>
              </w:rPr>
              <w:footnoteReference w:id="21"/>
            </w:r>
            <w:r w:rsidRPr="00865DA5">
              <w:rPr>
                <w:rFonts w:ascii="Arial" w:eastAsia="Arial" w:hAnsi="Arial" w:cs="Arial"/>
                <w:color w:val="000000"/>
                <w:sz w:val="18"/>
                <w:szCs w:val="18"/>
                <w:bdr w:val="none" w:sz="0" w:space="0" w:color="auto" w:frame="1"/>
                <w:vertAlign w:val="superscript"/>
                <w:lang w:val="fr-FR"/>
              </w:rPr>
              <w:t xml:space="preserve"> </w:t>
            </w:r>
            <w:r w:rsidRPr="00865DA5">
              <w:rPr>
                <w:rFonts w:ascii="Arial" w:eastAsia="Arial" w:hAnsi="Arial" w:cs="Arial"/>
                <w:color w:val="000000"/>
                <w:sz w:val="18"/>
                <w:szCs w:val="18"/>
                <w:bdr w:val="none" w:sz="0" w:space="0" w:color="auto" w:frame="1"/>
                <w:lang w:val="fr-FR"/>
              </w:rPr>
              <w:t>(pour les États membres de l’UE seulement)</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N’inclut pas de mécanisme de réglementation spécifique pour le suivi / le rapport sur les dérogations accordées</w:t>
            </w:r>
          </w:p>
        </w:tc>
        <w:tc>
          <w:tcPr>
            <w:tcW w:w="2340"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Prévoit l’autorisation de dérogations impliquant </w:t>
            </w:r>
            <w:r w:rsidRPr="00865DA5">
              <w:rPr>
                <w:rFonts w:ascii="Arial" w:eastAsia="Arial" w:hAnsi="Arial" w:cs="Arial"/>
                <w:b/>
                <w:bCs/>
                <w:color w:val="000000"/>
                <w:sz w:val="18"/>
                <w:szCs w:val="18"/>
                <w:bdr w:val="none" w:sz="0" w:space="0" w:color="auto" w:frame="1"/>
                <w:lang w:val="fr-FR"/>
              </w:rPr>
              <w:t>certaines</w:t>
            </w:r>
            <w:r w:rsidRPr="00865DA5">
              <w:rPr>
                <w:rFonts w:ascii="Arial" w:eastAsia="Arial" w:hAnsi="Arial" w:cs="Arial"/>
                <w:color w:val="000000"/>
                <w:sz w:val="18"/>
                <w:szCs w:val="18"/>
                <w:bdr w:val="none" w:sz="0" w:space="0" w:color="auto" w:frame="1"/>
                <w:lang w:val="fr-FR"/>
              </w:rPr>
              <w:t xml:space="preserve"> activités généralement interdites par la législation nationale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Définit </w:t>
            </w:r>
            <w:r w:rsidRPr="00865DA5">
              <w:rPr>
                <w:rFonts w:ascii="Arial" w:eastAsia="Arial" w:hAnsi="Arial" w:cs="Arial"/>
                <w:b/>
                <w:bCs/>
                <w:color w:val="000000"/>
                <w:sz w:val="18"/>
                <w:szCs w:val="18"/>
                <w:bdr w:val="none" w:sz="0" w:space="0" w:color="auto" w:frame="1"/>
                <w:lang w:val="fr-FR"/>
              </w:rPr>
              <w:t>des critères complets</w:t>
            </w:r>
            <w:r w:rsidRPr="00865DA5">
              <w:rPr>
                <w:rFonts w:ascii="Arial" w:eastAsia="Arial" w:hAnsi="Arial" w:cs="Arial"/>
                <w:color w:val="000000"/>
                <w:sz w:val="18"/>
                <w:szCs w:val="18"/>
                <w:bdr w:val="none" w:sz="0" w:space="0" w:color="auto" w:frame="1"/>
                <w:lang w:val="fr-FR"/>
              </w:rPr>
              <w:t xml:space="preserve"> selon lesquels ces dérogations peuvent être accordées par l’autorité responsable ; de tels critères </w:t>
            </w:r>
            <w:r w:rsidRPr="00865DA5">
              <w:rPr>
                <w:rFonts w:ascii="Arial" w:eastAsia="Arial" w:hAnsi="Arial" w:cs="Arial"/>
                <w:b/>
                <w:bCs/>
                <w:color w:val="000000"/>
                <w:sz w:val="18"/>
                <w:szCs w:val="18"/>
                <w:bdr w:val="none" w:sz="0" w:space="0" w:color="auto" w:frame="1"/>
                <w:lang w:val="fr-FR"/>
              </w:rPr>
              <w:t>correspondent</w:t>
            </w:r>
            <w:r w:rsidRPr="00865DA5">
              <w:rPr>
                <w:rFonts w:ascii="Arial" w:eastAsia="Arial" w:hAnsi="Arial" w:cs="Arial"/>
                <w:color w:val="000000"/>
                <w:sz w:val="18"/>
                <w:szCs w:val="18"/>
                <w:bdr w:val="none" w:sz="0" w:space="0" w:color="auto" w:frame="1"/>
                <w:lang w:val="fr-FR"/>
              </w:rPr>
              <w:t xml:space="preserve"> aux critères prévus par la Convention de Berne / la CMS / la Directive Oiseaux de l’UE (pour les États membres de l’UE seulement)</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N’inclut pas de mécanisme de réglementation spécifique pour le suivi / le rapport sur les dérogations accordées</w:t>
            </w:r>
          </w:p>
        </w:tc>
        <w:tc>
          <w:tcPr>
            <w:tcW w:w="2577"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Permet l’autorisation de dérogations impliquant </w:t>
            </w:r>
            <w:r w:rsidRPr="00865DA5">
              <w:rPr>
                <w:rFonts w:ascii="Arial" w:eastAsia="Arial" w:hAnsi="Arial" w:cs="Arial"/>
                <w:b/>
                <w:bCs/>
                <w:color w:val="000000"/>
                <w:sz w:val="18"/>
                <w:szCs w:val="18"/>
                <w:bdr w:val="none" w:sz="0" w:space="0" w:color="auto" w:frame="1"/>
                <w:lang w:val="fr-FR"/>
              </w:rPr>
              <w:t>certaines</w:t>
            </w:r>
            <w:r w:rsidRPr="00865DA5">
              <w:rPr>
                <w:rFonts w:ascii="Arial" w:eastAsia="Arial" w:hAnsi="Arial" w:cs="Arial"/>
                <w:color w:val="000000"/>
                <w:sz w:val="18"/>
                <w:szCs w:val="18"/>
                <w:bdr w:val="none" w:sz="0" w:space="0" w:color="auto" w:frame="1"/>
                <w:lang w:val="fr-FR"/>
              </w:rPr>
              <w:t xml:space="preserve"> activités généralement interdites par la législation nationale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Définit </w:t>
            </w:r>
            <w:r w:rsidRPr="00865DA5">
              <w:rPr>
                <w:rFonts w:ascii="Arial" w:eastAsia="Arial" w:hAnsi="Arial" w:cs="Arial"/>
                <w:b/>
                <w:bCs/>
                <w:color w:val="000000"/>
                <w:sz w:val="18"/>
                <w:szCs w:val="18"/>
                <w:bdr w:val="none" w:sz="0" w:space="0" w:color="auto" w:frame="1"/>
                <w:lang w:val="fr-FR"/>
              </w:rPr>
              <w:t>des critères complets</w:t>
            </w:r>
            <w:r w:rsidRPr="00865DA5">
              <w:rPr>
                <w:rFonts w:ascii="Arial" w:eastAsia="Arial" w:hAnsi="Arial" w:cs="Arial"/>
                <w:color w:val="000000"/>
                <w:sz w:val="18"/>
                <w:szCs w:val="18"/>
                <w:bdr w:val="none" w:sz="0" w:space="0" w:color="auto" w:frame="1"/>
                <w:lang w:val="fr-FR"/>
              </w:rPr>
              <w:t xml:space="preserve"> selon lesquels ces dérogations peuvent être accordées par l’autorité responsable ; de tels critères </w:t>
            </w:r>
            <w:r w:rsidRPr="00865DA5">
              <w:rPr>
                <w:rFonts w:ascii="Arial" w:eastAsia="Arial" w:hAnsi="Arial" w:cs="Arial"/>
                <w:b/>
                <w:bCs/>
                <w:color w:val="000000"/>
                <w:sz w:val="18"/>
                <w:szCs w:val="18"/>
                <w:bdr w:val="none" w:sz="0" w:space="0" w:color="auto" w:frame="1"/>
                <w:lang w:val="fr-FR"/>
              </w:rPr>
              <w:t>correspondent</w:t>
            </w:r>
            <w:r w:rsidRPr="00865DA5">
              <w:rPr>
                <w:rFonts w:ascii="Arial" w:eastAsia="Arial" w:hAnsi="Arial" w:cs="Arial"/>
                <w:color w:val="000000"/>
                <w:sz w:val="18"/>
                <w:szCs w:val="18"/>
                <w:bdr w:val="none" w:sz="0" w:space="0" w:color="auto" w:frame="1"/>
                <w:lang w:val="fr-FR"/>
              </w:rPr>
              <w:t xml:space="preserve"> aux critères prévus par la Convention de Berne / la CMS / la Directive Oiseaux de l’UE (pour les États membres de l’UE seulement)</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Établit, pour </w:t>
            </w:r>
            <w:r w:rsidRPr="00865DA5">
              <w:rPr>
                <w:rFonts w:ascii="Arial" w:eastAsia="Arial" w:hAnsi="Arial" w:cs="Arial"/>
                <w:b/>
                <w:bCs/>
                <w:color w:val="000000"/>
                <w:sz w:val="18"/>
                <w:szCs w:val="18"/>
                <w:bdr w:val="none" w:sz="0" w:space="0" w:color="auto" w:frame="1"/>
                <w:lang w:val="fr-FR"/>
              </w:rPr>
              <w:t>chaque</w:t>
            </w:r>
            <w:r w:rsidRPr="00865DA5">
              <w:rPr>
                <w:rFonts w:ascii="Arial" w:eastAsia="Arial" w:hAnsi="Arial" w:cs="Arial"/>
                <w:color w:val="000000"/>
                <w:sz w:val="18"/>
                <w:szCs w:val="18"/>
                <w:bdr w:val="none" w:sz="0" w:space="0" w:color="auto" w:frame="1"/>
                <w:lang w:val="fr-FR"/>
              </w:rPr>
              <w:t xml:space="preserve"> dérogation accordée annuellement, un</w:t>
            </w:r>
            <w:r w:rsidRPr="00865DA5">
              <w:rPr>
                <w:rFonts w:ascii="Arial" w:eastAsia="Arial" w:hAnsi="Arial" w:cs="Arial"/>
                <w:b/>
                <w:bCs/>
                <w:color w:val="000000"/>
                <w:sz w:val="18"/>
                <w:szCs w:val="18"/>
                <w:bdr w:val="none" w:sz="0" w:space="0" w:color="auto" w:frame="1"/>
                <w:lang w:val="fr-FR"/>
              </w:rPr>
              <w:t xml:space="preserve"> </w:t>
            </w:r>
            <w:r w:rsidRPr="00865DA5">
              <w:rPr>
                <w:rFonts w:ascii="Arial" w:eastAsia="Arial" w:hAnsi="Arial" w:cs="Arial"/>
                <w:color w:val="000000"/>
                <w:sz w:val="18"/>
                <w:szCs w:val="18"/>
                <w:bdr w:val="none" w:sz="0" w:space="0" w:color="auto" w:frame="1"/>
                <w:lang w:val="fr-FR"/>
              </w:rPr>
              <w:t>mécanisme de réglementation spécifique qui assure une supervision stricte de son respect, du suivi et de la déclaration</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Nécessite que les données sur toutes les dérogations accordées soient compilées chaque année et soient disponibles publiquement, incluant des informations sur les espèces concernées, le nombre de spécimens, la justification, les autorités responsables, les procédures d’octroi de licences et permis, le suivi et la supervision du respect des règlementations </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b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b/>
          <w:bCs/>
          <w:color w:val="000000"/>
          <w:sz w:val="23"/>
          <w:szCs w:val="23"/>
          <w:lang w:val="fr-FR"/>
        </w:rPr>
      </w:pPr>
      <w:r w:rsidRPr="00865DA5">
        <w:rPr>
          <w:rFonts w:ascii="Arial" w:eastAsia="Calibri" w:hAnsi="Arial" w:cs="Arial"/>
          <w:color w:val="000000"/>
          <w:sz w:val="22"/>
          <w:szCs w:val="22"/>
          <w:lang w:val="fr-FR"/>
        </w:rPr>
        <w:br w:type="page"/>
      </w:r>
    </w:p>
    <w:p w:rsidR="00BD5B7F" w:rsidRPr="00865DA5" w:rsidRDefault="00BD5B7F" w:rsidP="00BD5B7F">
      <w:pPr>
        <w:keepNext/>
        <w:keepLines/>
        <w:spacing w:after="120"/>
        <w:outlineLvl w:val="3"/>
        <w:rPr>
          <w:rFonts w:ascii="Arial" w:hAnsi="Arial" w:cs="Arial"/>
          <w:b/>
          <w:iCs/>
          <w:color w:val="000000"/>
          <w:sz w:val="28"/>
          <w:szCs w:val="22"/>
          <w:lang w:val="fr-FR"/>
        </w:rPr>
      </w:pPr>
      <w:bookmarkStart w:id="57" w:name="_Toc491245244"/>
      <w:bookmarkStart w:id="58" w:name="_Toc486539581"/>
      <w:r w:rsidRPr="00865DA5">
        <w:rPr>
          <w:rFonts w:ascii="Arial" w:eastAsia="Arial" w:hAnsi="Arial" w:cs="Arial"/>
          <w:b/>
          <w:bCs/>
          <w:iCs/>
          <w:color w:val="000000"/>
          <w:sz w:val="28"/>
          <w:szCs w:val="28"/>
          <w:bdr w:val="none" w:sz="0" w:space="0" w:color="auto" w:frame="1"/>
          <w:lang w:val="fr-FR"/>
        </w:rPr>
        <w:lastRenderedPageBreak/>
        <w:t>9. Sanctions et peines</w:t>
      </w:r>
      <w:bookmarkEnd w:id="57"/>
      <w:bookmarkEnd w:id="58"/>
    </w:p>
    <w:p w:rsidR="00BD5B7F" w:rsidRPr="00865DA5" w:rsidRDefault="00BD5B7F" w:rsidP="00BD5B7F">
      <w:pPr>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Le niveau d’exhaustivité des sanctions relatives à l’IKB.</w:t>
      </w:r>
    </w:p>
    <w:p w:rsidR="00BD5B7F" w:rsidRPr="00865DA5" w:rsidRDefault="00BD5B7F" w:rsidP="00BD5B7F">
      <w:pPr>
        <w:jc w:val="both"/>
        <w:rPr>
          <w:rFonts w:ascii="Arial" w:eastAsia="Calibri" w:hAnsi="Arial" w:cs="Arial"/>
          <w:b/>
          <w:bCs/>
          <w:color w:val="000000"/>
          <w:sz w:val="28"/>
          <w:szCs w:val="23"/>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Quelles peines et sanctions sont imposées par la loi en ce qui concerne l’abattage, le prélèvement et le commerce illégaux des oiseaux sauvages ?</w:t>
      </w:r>
    </w:p>
    <w:p w:rsidR="00BD5B7F" w:rsidRPr="00865DA5" w:rsidRDefault="00BD5B7F" w:rsidP="00BD5B7F">
      <w:pPr>
        <w:rPr>
          <w:rFonts w:ascii="Arial" w:eastAsia="Calibri" w:hAnsi="Arial" w:cs="Arial"/>
          <w:color w:val="000000"/>
          <w:sz w:val="28"/>
          <w:szCs w:val="22"/>
          <w:lang w:val="fr-FR"/>
        </w:rPr>
      </w:pPr>
    </w:p>
    <w:p w:rsidR="00BD5B7F" w:rsidRPr="00FF6562" w:rsidRDefault="00BD5B7F" w:rsidP="00BD5B7F">
      <w:pPr>
        <w:spacing w:after="120"/>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27"/>
        <w:gridCol w:w="2302"/>
        <w:gridCol w:w="18"/>
        <w:gridCol w:w="2324"/>
        <w:gridCol w:w="11"/>
        <w:gridCol w:w="2327"/>
      </w:tblGrid>
      <w:tr w:rsidR="00BD5B7F" w:rsidRPr="00FF6562" w:rsidTr="000E5961">
        <w:tc>
          <w:tcPr>
            <w:tcW w:w="2310" w:type="dxa"/>
            <w:gridSpan w:val="2"/>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283"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législation nationale :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décrit </w:t>
            </w:r>
            <w:r w:rsidRPr="00865DA5">
              <w:rPr>
                <w:rFonts w:ascii="Arial" w:eastAsia="Arial" w:hAnsi="Arial" w:cs="Arial"/>
                <w:b/>
                <w:bCs/>
                <w:color w:val="000000"/>
                <w:sz w:val="18"/>
                <w:szCs w:val="18"/>
                <w:bdr w:val="none" w:sz="0" w:space="0" w:color="auto" w:frame="1"/>
                <w:lang w:val="fr-FR"/>
              </w:rPr>
              <w:t>pas spécifiquement</w:t>
            </w:r>
            <w:r w:rsidRPr="00865DA5">
              <w:rPr>
                <w:rFonts w:ascii="Arial" w:eastAsia="Arial" w:hAnsi="Arial" w:cs="Arial"/>
                <w:color w:val="000000"/>
                <w:sz w:val="18"/>
                <w:szCs w:val="18"/>
                <w:bdr w:val="none" w:sz="0" w:space="0" w:color="auto" w:frame="1"/>
                <w:lang w:val="fr-FR"/>
              </w:rPr>
              <w:t xml:space="preserve"> les infractions relatives à l’IKB et ne prévoit pas de sanctions spécifiques pour ces infractions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sanctionne </w:t>
            </w:r>
            <w:r w:rsidRPr="00865DA5">
              <w:rPr>
                <w:rFonts w:ascii="Arial" w:eastAsia="Arial" w:hAnsi="Arial" w:cs="Arial"/>
                <w:b/>
                <w:bCs/>
                <w:color w:val="000000"/>
                <w:sz w:val="18"/>
                <w:szCs w:val="18"/>
                <w:bdr w:val="none" w:sz="0" w:space="0" w:color="auto" w:frame="1"/>
                <w:lang w:val="fr-FR"/>
              </w:rPr>
              <w:t>pas spécifiquement</w:t>
            </w:r>
            <w:r w:rsidRPr="00865DA5">
              <w:rPr>
                <w:rFonts w:ascii="Arial" w:eastAsia="Arial" w:hAnsi="Arial" w:cs="Arial"/>
                <w:color w:val="000000"/>
                <w:sz w:val="18"/>
                <w:szCs w:val="18"/>
                <w:bdr w:val="none" w:sz="0" w:space="0" w:color="auto" w:frame="1"/>
                <w:lang w:val="fr-FR"/>
              </w:rPr>
              <w:t xml:space="preserve"> les infractions relatives à l’IKB à moins qu’elles ne soient associées à des infractions à d’autres lois, telles que les lois sur le contrôle des armes</w:t>
            </w:r>
          </w:p>
        </w:tc>
        <w:tc>
          <w:tcPr>
            <w:tcW w:w="2331"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législation nationale :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Fournit </w:t>
            </w:r>
            <w:r w:rsidRPr="00865DA5">
              <w:rPr>
                <w:rFonts w:ascii="Arial" w:eastAsia="Arial" w:hAnsi="Arial" w:cs="Arial"/>
                <w:b/>
                <w:bCs/>
                <w:color w:val="000000"/>
                <w:sz w:val="18"/>
                <w:szCs w:val="18"/>
                <w:bdr w:val="none" w:sz="0" w:space="0" w:color="auto" w:frame="1"/>
                <w:lang w:val="fr-FR"/>
              </w:rPr>
              <w:t xml:space="preserve">une description de base </w:t>
            </w:r>
            <w:r w:rsidRPr="00865DA5">
              <w:rPr>
                <w:rFonts w:ascii="Arial" w:eastAsia="Arial" w:hAnsi="Arial" w:cs="Arial"/>
                <w:color w:val="000000"/>
                <w:sz w:val="18"/>
                <w:szCs w:val="18"/>
                <w:bdr w:val="none" w:sz="0" w:space="0" w:color="auto" w:frame="1"/>
                <w:lang w:val="fr-FR"/>
              </w:rPr>
              <w:t xml:space="preserve">des infractions relatives à l’IKB englobant l’abattage, le piégeage et le commerce illégaux d’oiseaux sauvages </w:t>
            </w:r>
          </w:p>
          <w:p w:rsidR="00BD5B7F" w:rsidRPr="00865DA5" w:rsidRDefault="00BD5B7F" w:rsidP="000E5961">
            <w:pPr>
              <w:rPr>
                <w:rFonts w:ascii="Arial" w:eastAsia="Calibri" w:hAnsi="Arial" w:cs="Arial"/>
                <w:b/>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Prévoit des sanctions </w:t>
            </w:r>
            <w:r w:rsidRPr="00865DA5">
              <w:rPr>
                <w:rFonts w:ascii="Arial" w:eastAsia="Arial" w:hAnsi="Arial" w:cs="Arial"/>
                <w:b/>
                <w:bCs/>
                <w:color w:val="000000"/>
                <w:sz w:val="18"/>
                <w:szCs w:val="18"/>
                <w:bdr w:val="none" w:sz="0" w:space="0" w:color="auto" w:frame="1"/>
                <w:lang w:val="fr-FR"/>
              </w:rPr>
              <w:t>maximales</w:t>
            </w:r>
            <w:r w:rsidRPr="00865DA5">
              <w:rPr>
                <w:rFonts w:ascii="Arial" w:eastAsia="Arial" w:hAnsi="Arial" w:cs="Arial"/>
                <w:color w:val="000000"/>
                <w:sz w:val="18"/>
                <w:szCs w:val="18"/>
                <w:bdr w:val="none" w:sz="0" w:space="0" w:color="auto" w:frame="1"/>
                <w:lang w:val="fr-FR"/>
              </w:rPr>
              <w:t xml:space="preserve"> pour la plupart des infractions relatives à l’IKB </w:t>
            </w:r>
            <w:r w:rsidRPr="00865DA5">
              <w:rPr>
                <w:rFonts w:ascii="Arial" w:eastAsia="Arial" w:hAnsi="Arial" w:cs="Arial"/>
                <w:b/>
                <w:bCs/>
                <w:color w:val="000000"/>
                <w:sz w:val="18"/>
                <w:szCs w:val="18"/>
                <w:bdr w:val="none" w:sz="0" w:space="0" w:color="auto" w:frame="1"/>
                <w:lang w:val="fr-FR"/>
              </w:rPr>
              <w:t xml:space="preserve">mais ne prévoit pas de sanction minimale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Fournit un </w:t>
            </w:r>
            <w:r w:rsidRPr="00865DA5">
              <w:rPr>
                <w:rFonts w:ascii="Arial" w:eastAsia="Arial" w:hAnsi="Arial" w:cs="Arial"/>
                <w:b/>
                <w:bCs/>
                <w:color w:val="000000"/>
                <w:sz w:val="18"/>
                <w:szCs w:val="18"/>
                <w:bdr w:val="none" w:sz="0" w:space="0" w:color="auto" w:frame="1"/>
                <w:lang w:val="fr-FR"/>
              </w:rPr>
              <w:t>spectre limité</w:t>
            </w:r>
            <w:r w:rsidRPr="00865DA5">
              <w:rPr>
                <w:rFonts w:ascii="Arial" w:eastAsia="Arial" w:hAnsi="Arial" w:cs="Arial"/>
                <w:color w:val="000000"/>
                <w:sz w:val="18"/>
                <w:szCs w:val="18"/>
                <w:bdr w:val="none" w:sz="0" w:space="0" w:color="auto" w:frame="1"/>
                <w:lang w:val="fr-FR"/>
              </w:rPr>
              <w:t xml:space="preserve"> de sanctions pénales et administratives incluant :</w:t>
            </w:r>
          </w:p>
          <w:p w:rsidR="00BD5B7F" w:rsidRPr="00865DA5" w:rsidRDefault="00BD5B7F" w:rsidP="000E5961">
            <w:pPr>
              <w:ind w:left="323"/>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amendes</w:t>
            </w:r>
          </w:p>
          <w:p w:rsidR="00BD5B7F" w:rsidRPr="00865DA5" w:rsidRDefault="00BD5B7F" w:rsidP="000E5961">
            <w:pPr>
              <w:ind w:left="323"/>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peines d’emprisonnement (habituellement des peines avec sursis dans les cas d’IKB les plus graves)</w:t>
            </w:r>
          </w:p>
          <w:p w:rsidR="00BD5B7F" w:rsidRPr="00865DA5" w:rsidRDefault="00BD5B7F" w:rsidP="000E5961">
            <w:pPr>
              <w:ind w:left="323"/>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suspensions de licence/permis</w:t>
            </w:r>
          </w:p>
          <w:p w:rsidR="00BD5B7F" w:rsidRPr="00865DA5" w:rsidRDefault="00BD5B7F" w:rsidP="000E5961">
            <w:pPr>
              <w:ind w:left="323"/>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La confiscation du </w:t>
            </w:r>
            <w:r w:rsidRPr="00865DA5">
              <w:rPr>
                <w:rFonts w:ascii="Arial" w:eastAsia="Arial" w:hAnsi="Arial" w:cs="Arial"/>
                <w:i/>
                <w:iCs/>
                <w:color w:val="000000"/>
                <w:sz w:val="18"/>
                <w:szCs w:val="18"/>
                <w:bdr w:val="none" w:sz="0" w:space="0" w:color="auto" w:frame="1"/>
                <w:lang w:val="fr-FR"/>
              </w:rPr>
              <w:t>corpus delicti</w:t>
            </w:r>
          </w:p>
          <w:p w:rsidR="00BD5B7F" w:rsidRPr="00865DA5" w:rsidRDefault="00BD5B7F" w:rsidP="000E5961">
            <w:pPr>
              <w:rPr>
                <w:rFonts w:ascii="Arial" w:eastAsia="Calibri" w:hAnsi="Arial" w:cs="Arial"/>
                <w:color w:val="000000"/>
                <w:sz w:val="18"/>
                <w:szCs w:val="18"/>
                <w:lang w:val="fr-FR"/>
              </w:rPr>
            </w:pPr>
          </w:p>
        </w:tc>
        <w:tc>
          <w:tcPr>
            <w:tcW w:w="2344"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législation nationale :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Fournit </w:t>
            </w:r>
            <w:r w:rsidRPr="00865DA5">
              <w:rPr>
                <w:rFonts w:ascii="Arial" w:eastAsia="Arial" w:hAnsi="Arial" w:cs="Arial"/>
                <w:b/>
                <w:bCs/>
                <w:color w:val="000000"/>
                <w:sz w:val="18"/>
                <w:szCs w:val="18"/>
                <w:bdr w:val="none" w:sz="0" w:space="0" w:color="auto" w:frame="1"/>
                <w:lang w:val="fr-FR"/>
              </w:rPr>
              <w:t xml:space="preserve">une description complète </w:t>
            </w:r>
            <w:r w:rsidRPr="00865DA5">
              <w:rPr>
                <w:rFonts w:ascii="Arial" w:eastAsia="Arial" w:hAnsi="Arial" w:cs="Arial"/>
                <w:color w:val="000000"/>
                <w:sz w:val="18"/>
                <w:szCs w:val="18"/>
                <w:bdr w:val="none" w:sz="0" w:space="0" w:color="auto" w:frame="1"/>
                <w:lang w:val="fr-FR"/>
              </w:rPr>
              <w:t>des infractions relatives à l’IKB englobant les pratiques illégales d’abattage, piégeage, commerce, possession, transport, importation et taxidermie d’oiseaux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Prévoit </w:t>
            </w:r>
            <w:r w:rsidRPr="00865DA5">
              <w:rPr>
                <w:rFonts w:ascii="Arial" w:eastAsia="Arial" w:hAnsi="Arial" w:cs="Arial"/>
                <w:b/>
                <w:bCs/>
                <w:color w:val="000000"/>
                <w:sz w:val="18"/>
                <w:szCs w:val="18"/>
                <w:bdr w:val="none" w:sz="0" w:space="0" w:color="auto" w:frame="1"/>
                <w:lang w:val="fr-FR"/>
              </w:rPr>
              <w:t>à la fois une sanction minimale et une sanction maximale</w:t>
            </w:r>
            <w:r w:rsidRPr="00865DA5">
              <w:rPr>
                <w:rFonts w:ascii="Arial" w:eastAsia="Arial" w:hAnsi="Arial" w:cs="Arial"/>
                <w:color w:val="000000"/>
                <w:sz w:val="18"/>
                <w:szCs w:val="18"/>
                <w:bdr w:val="none" w:sz="0" w:space="0" w:color="auto" w:frame="1"/>
                <w:lang w:val="fr-FR"/>
              </w:rPr>
              <w:t xml:space="preserve"> pour certaines catégories d’infraction</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Fournit un </w:t>
            </w:r>
            <w:r w:rsidRPr="00865DA5">
              <w:rPr>
                <w:rFonts w:ascii="Arial" w:eastAsia="Arial" w:hAnsi="Arial" w:cs="Arial"/>
                <w:b/>
                <w:bCs/>
                <w:color w:val="000000"/>
                <w:sz w:val="18"/>
                <w:szCs w:val="18"/>
                <w:bdr w:val="none" w:sz="0" w:space="0" w:color="auto" w:frame="1"/>
                <w:lang w:val="fr-FR"/>
              </w:rPr>
              <w:t>large spectre</w:t>
            </w:r>
            <w:r w:rsidRPr="00865DA5">
              <w:rPr>
                <w:rFonts w:ascii="Arial" w:eastAsia="Arial" w:hAnsi="Arial" w:cs="Arial"/>
                <w:color w:val="000000"/>
                <w:sz w:val="18"/>
                <w:szCs w:val="18"/>
                <w:bdr w:val="none" w:sz="0" w:space="0" w:color="auto" w:frame="1"/>
                <w:lang w:val="fr-FR"/>
              </w:rPr>
              <w:t xml:space="preserve"> de sanctions pénales et administratives incluant :</w:t>
            </w:r>
          </w:p>
          <w:p w:rsidR="00BD5B7F" w:rsidRPr="00865DA5" w:rsidRDefault="00BD5B7F" w:rsidP="000E5961">
            <w:pPr>
              <w:ind w:left="356"/>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amendes</w:t>
            </w:r>
          </w:p>
          <w:p w:rsidR="00BD5B7F" w:rsidRPr="00865DA5" w:rsidRDefault="00BD5B7F" w:rsidP="000E5961">
            <w:pPr>
              <w:ind w:left="357"/>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peines d’emprisonnement (habituellement des peines avec sursis dans les cas d’IKB les plus graves)</w:t>
            </w:r>
          </w:p>
          <w:p w:rsidR="00BD5B7F" w:rsidRPr="00865DA5" w:rsidRDefault="00BD5B7F" w:rsidP="000E5961">
            <w:pPr>
              <w:ind w:left="356"/>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suspensions de licence/permis</w:t>
            </w:r>
          </w:p>
          <w:p w:rsidR="00BD5B7F" w:rsidRPr="00865DA5" w:rsidRDefault="00BD5B7F" w:rsidP="000E5961">
            <w:pPr>
              <w:ind w:left="356"/>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La confiscation du </w:t>
            </w:r>
            <w:r w:rsidRPr="00865DA5">
              <w:rPr>
                <w:rFonts w:ascii="Arial" w:eastAsia="Arial" w:hAnsi="Arial" w:cs="Arial"/>
                <w:i/>
                <w:iCs/>
                <w:color w:val="000000"/>
                <w:sz w:val="18"/>
                <w:szCs w:val="18"/>
                <w:bdr w:val="none" w:sz="0" w:space="0" w:color="auto" w:frame="1"/>
                <w:lang w:val="fr-FR"/>
              </w:rPr>
              <w:t>corpus delicti</w:t>
            </w:r>
          </w:p>
          <w:p w:rsidR="00BD5B7F" w:rsidRPr="00865DA5" w:rsidRDefault="00BD5B7F" w:rsidP="000E5961">
            <w:pPr>
              <w:ind w:left="356"/>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 retrait permanent de la licence / du permis</w:t>
            </w:r>
          </w:p>
          <w:p w:rsidR="00BD5B7F" w:rsidRPr="00865DA5" w:rsidRDefault="00BD5B7F" w:rsidP="000E5961">
            <w:pPr>
              <w:ind w:left="356"/>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travaux d’intérêt général</w:t>
            </w:r>
          </w:p>
          <w:p w:rsidR="00BD5B7F" w:rsidRPr="00865DA5" w:rsidRDefault="00BD5B7F" w:rsidP="000E5961">
            <w:pPr>
              <w:ind w:left="356"/>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D’autres sanctions</w:t>
            </w:r>
          </w:p>
        </w:tc>
        <w:tc>
          <w:tcPr>
            <w:tcW w:w="2341"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législation nationale :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Fournit </w:t>
            </w:r>
            <w:r w:rsidRPr="00865DA5">
              <w:rPr>
                <w:rFonts w:ascii="Arial" w:eastAsia="Arial" w:hAnsi="Arial" w:cs="Arial"/>
                <w:b/>
                <w:bCs/>
                <w:color w:val="000000"/>
                <w:sz w:val="18"/>
                <w:szCs w:val="18"/>
                <w:bdr w:val="none" w:sz="0" w:space="0" w:color="auto" w:frame="1"/>
                <w:lang w:val="fr-FR"/>
              </w:rPr>
              <w:t xml:space="preserve">une description complète </w:t>
            </w:r>
            <w:r w:rsidRPr="00865DA5">
              <w:rPr>
                <w:rFonts w:ascii="Arial" w:eastAsia="Arial" w:hAnsi="Arial" w:cs="Arial"/>
                <w:color w:val="000000"/>
                <w:sz w:val="18"/>
                <w:szCs w:val="18"/>
                <w:bdr w:val="none" w:sz="0" w:space="0" w:color="auto" w:frame="1"/>
                <w:lang w:val="fr-FR"/>
              </w:rPr>
              <w:t>des infractions relatives à l’IKB englobant les pratiques illégales d’abattage, piégeage, commerce, possession, transport, importation, et taxidermie d’oiseaux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Prévoit </w:t>
            </w:r>
            <w:r w:rsidRPr="00865DA5">
              <w:rPr>
                <w:rFonts w:ascii="Arial" w:eastAsia="Arial" w:hAnsi="Arial" w:cs="Arial"/>
                <w:b/>
                <w:bCs/>
                <w:color w:val="000000"/>
                <w:sz w:val="18"/>
                <w:szCs w:val="18"/>
                <w:bdr w:val="none" w:sz="0" w:space="0" w:color="auto" w:frame="1"/>
                <w:lang w:val="fr-FR"/>
              </w:rPr>
              <w:t>à la fois une sanction minimale et une sanction maximale</w:t>
            </w:r>
            <w:r w:rsidRPr="00865DA5">
              <w:rPr>
                <w:rFonts w:ascii="Arial" w:eastAsia="Arial" w:hAnsi="Arial" w:cs="Arial"/>
                <w:color w:val="000000"/>
                <w:sz w:val="18"/>
                <w:szCs w:val="18"/>
                <w:bdr w:val="none" w:sz="0" w:space="0" w:color="auto" w:frame="1"/>
                <w:lang w:val="fr-FR"/>
              </w:rPr>
              <w:t xml:space="preserve"> </w:t>
            </w:r>
            <w:r w:rsidRPr="00865DA5">
              <w:rPr>
                <w:rFonts w:ascii="Arial" w:eastAsia="Arial" w:hAnsi="Arial" w:cs="Arial"/>
                <w:b/>
                <w:bCs/>
                <w:color w:val="000000"/>
                <w:sz w:val="18"/>
                <w:szCs w:val="18"/>
                <w:bdr w:val="none" w:sz="0" w:space="0" w:color="auto" w:frame="1"/>
                <w:lang w:val="fr-FR"/>
              </w:rPr>
              <w:t>pour toute catégorie</w:t>
            </w:r>
            <w:r w:rsidRPr="00865DA5">
              <w:rPr>
                <w:rFonts w:ascii="Arial" w:eastAsia="Arial" w:hAnsi="Arial" w:cs="Arial"/>
                <w:color w:val="000000"/>
                <w:sz w:val="18"/>
                <w:szCs w:val="18"/>
                <w:bdr w:val="none" w:sz="0" w:space="0" w:color="auto" w:frame="1"/>
                <w:lang w:val="fr-FR"/>
              </w:rPr>
              <w:t xml:space="preserve"> d’infraction sauf celles pour lesquelles un niveau de sanction est fixé de manière permanente par la loi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Fournit un </w:t>
            </w:r>
            <w:r w:rsidRPr="00865DA5">
              <w:rPr>
                <w:rFonts w:ascii="Arial" w:eastAsia="Arial" w:hAnsi="Arial" w:cs="Arial"/>
                <w:b/>
                <w:bCs/>
                <w:color w:val="000000"/>
                <w:sz w:val="18"/>
                <w:szCs w:val="18"/>
                <w:bdr w:val="none" w:sz="0" w:space="0" w:color="auto" w:frame="1"/>
                <w:lang w:val="fr-FR"/>
              </w:rPr>
              <w:t>spectre complet</w:t>
            </w:r>
            <w:r w:rsidRPr="00865DA5">
              <w:rPr>
                <w:rFonts w:ascii="Arial" w:eastAsia="Arial" w:hAnsi="Arial" w:cs="Arial"/>
                <w:color w:val="000000"/>
                <w:sz w:val="18"/>
                <w:szCs w:val="18"/>
                <w:bdr w:val="none" w:sz="0" w:space="0" w:color="auto" w:frame="1"/>
                <w:lang w:val="fr-FR"/>
              </w:rPr>
              <w:t xml:space="preserve"> de sanctions pénales et administratives incluant :</w:t>
            </w:r>
          </w:p>
          <w:p w:rsidR="00BD5B7F" w:rsidRPr="00865DA5" w:rsidRDefault="00BD5B7F" w:rsidP="000E5961">
            <w:pPr>
              <w:ind w:left="323"/>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amendes</w:t>
            </w:r>
          </w:p>
          <w:p w:rsidR="00BD5B7F" w:rsidRPr="00865DA5" w:rsidRDefault="00BD5B7F" w:rsidP="000E5961">
            <w:pPr>
              <w:ind w:left="323"/>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peines d’emprisonnement (des peines d’emprisonnement ferme et avec sursis sont habituellement automatiques pour les cas les plus sévères d’IKB)</w:t>
            </w:r>
          </w:p>
          <w:p w:rsidR="00BD5B7F" w:rsidRPr="00865DA5" w:rsidRDefault="00BD5B7F" w:rsidP="000E5961">
            <w:pPr>
              <w:ind w:left="323"/>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suspensions de licence/permis</w:t>
            </w:r>
          </w:p>
          <w:p w:rsidR="00BD5B7F" w:rsidRPr="00865DA5" w:rsidRDefault="00BD5B7F" w:rsidP="000E5961">
            <w:pPr>
              <w:ind w:left="323"/>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La confiscation du </w:t>
            </w:r>
            <w:r w:rsidRPr="00865DA5">
              <w:rPr>
                <w:rFonts w:ascii="Arial" w:eastAsia="Arial" w:hAnsi="Arial" w:cs="Arial"/>
                <w:i/>
                <w:iCs/>
                <w:color w:val="000000"/>
                <w:sz w:val="18"/>
                <w:szCs w:val="18"/>
                <w:bdr w:val="none" w:sz="0" w:space="0" w:color="auto" w:frame="1"/>
                <w:lang w:val="fr-FR"/>
              </w:rPr>
              <w:t>corpus delicti</w:t>
            </w:r>
          </w:p>
          <w:p w:rsidR="00BD5B7F" w:rsidRPr="00865DA5" w:rsidRDefault="00BD5B7F" w:rsidP="000E5961">
            <w:pPr>
              <w:ind w:left="323"/>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 retrait permanent de la licence / du permis dans le cas d’IKB impliquant des oiseaux strictement protégés</w:t>
            </w:r>
          </w:p>
          <w:p w:rsidR="00BD5B7F" w:rsidRPr="00865DA5" w:rsidRDefault="00BD5B7F" w:rsidP="000E5961">
            <w:pPr>
              <w:ind w:left="323"/>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Des travaux d’intérêt général</w:t>
            </w:r>
          </w:p>
          <w:p w:rsidR="00BD5B7F" w:rsidRPr="00865DA5" w:rsidRDefault="00BD5B7F" w:rsidP="000E5961">
            <w:pPr>
              <w:ind w:left="323"/>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D’autres sanctions</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spacing w:after="160" w:line="259" w:lineRule="auto"/>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br w:type="page"/>
      </w: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lastRenderedPageBreak/>
        <w:t>Commentaires :</w:t>
      </w:r>
    </w:p>
    <w:p w:rsidR="00BD5B7F" w:rsidRPr="00865DA5" w:rsidRDefault="00BD5B7F" w:rsidP="00BD5B7F">
      <w:pPr>
        <w:rPr>
          <w:rFonts w:ascii="Arial" w:eastAsia="Calibri" w:hAnsi="Arial" w:cs="Arial"/>
          <w:b/>
          <w:bCs/>
          <w:color w:val="000000"/>
          <w:sz w:val="23"/>
          <w:szCs w:val="23"/>
          <w:lang w:val="fr-FR"/>
        </w:rPr>
      </w:pPr>
      <w:r w:rsidRPr="00865DA5">
        <w:rPr>
          <w:rFonts w:ascii="Arial" w:eastAsia="Calibri" w:hAnsi="Arial" w:cs="Arial"/>
          <w:b/>
          <w:bCs/>
          <w:color w:val="000000"/>
          <w:sz w:val="23"/>
          <w:szCs w:val="23"/>
          <w:lang w:val="fr-FR"/>
        </w:rPr>
        <w:br w:type="page"/>
      </w:r>
    </w:p>
    <w:p w:rsidR="00BD5B7F" w:rsidRPr="00865DA5" w:rsidRDefault="00BD5B7F" w:rsidP="00BD5B7F">
      <w:pPr>
        <w:keepNext/>
        <w:keepLines/>
        <w:spacing w:after="120"/>
        <w:outlineLvl w:val="3"/>
        <w:rPr>
          <w:rFonts w:ascii="Arial" w:hAnsi="Arial" w:cs="Arial"/>
          <w:b/>
          <w:i/>
          <w:iCs/>
          <w:color w:val="000000"/>
          <w:sz w:val="18"/>
          <w:szCs w:val="18"/>
          <w:lang w:val="fr-FR"/>
        </w:rPr>
      </w:pPr>
      <w:bookmarkStart w:id="59" w:name="_Toc491245245"/>
      <w:bookmarkStart w:id="60" w:name="_Toc486539582"/>
      <w:r w:rsidRPr="00865DA5">
        <w:rPr>
          <w:rFonts w:ascii="Arial" w:eastAsia="Arial" w:hAnsi="Arial" w:cs="Arial"/>
          <w:b/>
          <w:bCs/>
          <w:iCs/>
          <w:color w:val="000000"/>
          <w:sz w:val="28"/>
          <w:szCs w:val="28"/>
          <w:bdr w:val="none" w:sz="0" w:space="0" w:color="auto" w:frame="1"/>
          <w:lang w:val="fr-FR"/>
        </w:rPr>
        <w:lastRenderedPageBreak/>
        <w:t>10. Proportionnalité des sanctions</w:t>
      </w:r>
      <w:r w:rsidRPr="00FF6562">
        <w:rPr>
          <w:rFonts w:ascii="Arial" w:hAnsi="Arial" w:cs="Arial"/>
          <w:b/>
          <w:iCs/>
          <w:color w:val="000000"/>
          <w:sz w:val="28"/>
          <w:szCs w:val="22"/>
          <w:vertAlign w:val="superscript"/>
        </w:rPr>
        <w:footnoteReference w:id="22"/>
      </w:r>
      <w:bookmarkEnd w:id="59"/>
      <w:bookmarkEnd w:id="60"/>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Le niveau de prise en compte de la gravité des cas d’IKB dans la législation nationale pertinente.</w:t>
      </w:r>
    </w:p>
    <w:p w:rsidR="00BD5B7F" w:rsidRPr="00865DA5" w:rsidRDefault="00BD5B7F" w:rsidP="00BD5B7F">
      <w:pPr>
        <w:jc w:val="both"/>
        <w:rPr>
          <w:rFonts w:ascii="Arial" w:eastAsia="Calibri" w:hAnsi="Arial" w:cs="Arial"/>
          <w:b/>
          <w:bCs/>
          <w:i/>
          <w:iCs/>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La législation nationale punit-elle de manière adéquate les infractions relatives à l’IKB ?</w:t>
      </w:r>
    </w:p>
    <w:p w:rsidR="00BD5B7F" w:rsidRPr="00865DA5" w:rsidRDefault="00BD5B7F" w:rsidP="00BD5B7F">
      <w:pPr>
        <w:rPr>
          <w:rFonts w:ascii="Arial" w:eastAsia="Calibri" w:hAnsi="Arial" w:cs="Arial"/>
          <w:i/>
          <w:iCs/>
          <w:color w:val="000000"/>
          <w:sz w:val="22"/>
          <w:szCs w:val="18"/>
          <w:lang w:val="fr-FR"/>
        </w:rPr>
      </w:pPr>
    </w:p>
    <w:p w:rsidR="00BD5B7F" w:rsidRPr="00FF6562" w:rsidRDefault="00BD5B7F" w:rsidP="00BD5B7F">
      <w:pPr>
        <w:spacing w:after="120"/>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24"/>
        <w:gridCol w:w="2294"/>
        <w:gridCol w:w="22"/>
        <w:gridCol w:w="2312"/>
        <w:gridCol w:w="2328"/>
      </w:tblGrid>
      <w:tr w:rsidR="00BD5B7F" w:rsidRPr="00FF6562" w:rsidTr="000E5961">
        <w:tc>
          <w:tcPr>
            <w:tcW w:w="2309"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333"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sanctions relatives à l’IKB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comprennent que des sanctions </w:t>
            </w:r>
            <w:r w:rsidRPr="00865DA5">
              <w:rPr>
                <w:rFonts w:ascii="Arial" w:eastAsia="Arial" w:hAnsi="Arial" w:cs="Arial"/>
                <w:b/>
                <w:bCs/>
                <w:color w:val="000000"/>
                <w:sz w:val="18"/>
                <w:szCs w:val="18"/>
                <w:bdr w:val="none" w:sz="0" w:space="0" w:color="auto" w:frame="1"/>
                <w:lang w:val="fr-FR"/>
              </w:rPr>
              <w:t>administratives</w:t>
            </w:r>
            <w:r w:rsidRPr="00865DA5">
              <w:rPr>
                <w:rFonts w:ascii="Arial" w:eastAsia="Arial" w:hAnsi="Arial" w:cs="Arial"/>
                <w:color w:val="000000"/>
                <w:sz w:val="18"/>
                <w:szCs w:val="18"/>
                <w:bdr w:val="none" w:sz="0" w:space="0" w:color="auto" w:frame="1"/>
                <w:lang w:val="fr-FR"/>
              </w:rPr>
              <w:t xml:space="preserve"> (p. ex. amendes, interdictions, suspensions)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sont </w:t>
            </w:r>
            <w:r w:rsidRPr="00865DA5">
              <w:rPr>
                <w:rFonts w:ascii="Arial" w:eastAsia="Arial" w:hAnsi="Arial" w:cs="Arial"/>
                <w:b/>
                <w:bCs/>
                <w:color w:val="000000"/>
                <w:sz w:val="18"/>
                <w:szCs w:val="18"/>
                <w:bdr w:val="none" w:sz="0" w:space="0" w:color="auto" w:frame="1"/>
                <w:lang w:val="fr-FR"/>
              </w:rPr>
              <w:t>pas proportionnelles</w:t>
            </w:r>
            <w:r w:rsidRPr="00865DA5">
              <w:rPr>
                <w:rFonts w:ascii="Arial" w:eastAsia="Arial" w:hAnsi="Arial" w:cs="Arial"/>
                <w:color w:val="000000"/>
                <w:sz w:val="18"/>
                <w:szCs w:val="18"/>
                <w:bdr w:val="none" w:sz="0" w:space="0" w:color="auto" w:frame="1"/>
                <w:lang w:val="fr-FR"/>
              </w:rPr>
              <w:t xml:space="preserve"> à la nature ni à la gravité des infractions relatives à l’IKB</w:t>
            </w:r>
          </w:p>
          <w:p w:rsidR="00BD5B7F" w:rsidRPr="00865DA5" w:rsidRDefault="00BD5B7F" w:rsidP="000E5961">
            <w:pPr>
              <w:rPr>
                <w:rFonts w:ascii="Arial" w:eastAsia="Calibri" w:hAnsi="Arial" w:cs="Arial"/>
                <w:color w:val="000000"/>
                <w:sz w:val="18"/>
                <w:szCs w:val="18"/>
                <w:vertAlign w:val="superscript"/>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insuffisantes</w:t>
            </w:r>
            <w:r w:rsidRPr="00865DA5">
              <w:rPr>
                <w:rFonts w:ascii="Arial" w:eastAsia="Arial" w:hAnsi="Arial" w:cs="Arial"/>
                <w:color w:val="000000"/>
                <w:sz w:val="18"/>
                <w:szCs w:val="18"/>
                <w:bdr w:val="none" w:sz="0" w:space="0" w:color="auto" w:frame="1"/>
                <w:lang w:val="fr-FR"/>
              </w:rPr>
              <w:t xml:space="preserve"> car elles ne fournissent pas de moyens de dissuasion efficaces</w:t>
            </w:r>
            <w:r w:rsidRPr="00FF6562">
              <w:rPr>
                <w:rFonts w:ascii="Arial" w:eastAsia="Calibri" w:hAnsi="Arial" w:cs="Arial"/>
                <w:color w:val="000000"/>
                <w:sz w:val="18"/>
                <w:szCs w:val="18"/>
                <w:vertAlign w:val="superscript"/>
              </w:rPr>
              <w:footnoteReference w:id="23"/>
            </w:r>
          </w:p>
          <w:p w:rsidR="00BD5B7F" w:rsidRPr="00865DA5" w:rsidRDefault="00BD5B7F" w:rsidP="000E5961">
            <w:pPr>
              <w:rPr>
                <w:rFonts w:ascii="Arial" w:eastAsia="Calibri" w:hAnsi="Arial" w:cs="Arial"/>
                <w:color w:val="000000"/>
                <w:sz w:val="18"/>
                <w:szCs w:val="18"/>
                <w:lang w:val="fr-FR"/>
              </w:rPr>
            </w:pPr>
          </w:p>
        </w:tc>
        <w:tc>
          <w:tcPr>
            <w:tcW w:w="2320"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sanctions relatives à l’IKB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Sont prévues par la législation et comprennent des poursuites pénales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Ne font pas de distinction entre</w:t>
            </w:r>
            <w:r w:rsidRPr="00865DA5">
              <w:rPr>
                <w:rFonts w:ascii="Arial" w:eastAsia="Arial" w:hAnsi="Arial" w:cs="Arial"/>
                <w:color w:val="000000"/>
                <w:sz w:val="18"/>
                <w:szCs w:val="18"/>
                <w:bdr w:val="none" w:sz="0" w:space="0" w:color="auto" w:frame="1"/>
                <w:lang w:val="fr-FR"/>
              </w:rPr>
              <w:t xml:space="preserve"> les infractions en fonction des facteurs de gravité, laissant une large marge de manœuvre en matière de pouvoir judiciaire dans la détermination de l’ampleur des sanctions infligées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insuffisantes</w:t>
            </w:r>
            <w:r w:rsidRPr="00865DA5">
              <w:rPr>
                <w:rFonts w:ascii="Arial" w:eastAsia="Arial" w:hAnsi="Arial" w:cs="Arial"/>
                <w:color w:val="000000"/>
                <w:sz w:val="18"/>
                <w:szCs w:val="18"/>
                <w:bdr w:val="none" w:sz="0" w:space="0" w:color="auto" w:frame="1"/>
                <w:lang w:val="fr-FR"/>
              </w:rPr>
              <w:t xml:space="preserve"> car elles ne fournissent pas de moyens de dissuasion efficaces</w:t>
            </w:r>
          </w:p>
        </w:tc>
        <w:tc>
          <w:tcPr>
            <w:tcW w:w="2316"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Les sanctions relatives à l’IKB :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Sont prévues par la législation et comprennent des poursuites pénales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Fournissent une structure de sanction qui reflète </w:t>
            </w:r>
            <w:r w:rsidRPr="00865DA5">
              <w:rPr>
                <w:rFonts w:ascii="Arial" w:eastAsia="Arial" w:hAnsi="Arial" w:cs="Arial"/>
                <w:b/>
                <w:bCs/>
                <w:color w:val="000000"/>
                <w:sz w:val="18"/>
                <w:szCs w:val="18"/>
                <w:bdr w:val="none" w:sz="0" w:space="0" w:color="auto" w:frame="1"/>
                <w:lang w:val="fr-FR"/>
              </w:rPr>
              <w:t>d’une certaine manière</w:t>
            </w:r>
            <w:r w:rsidRPr="00865DA5">
              <w:rPr>
                <w:rFonts w:ascii="Arial" w:eastAsia="Arial" w:hAnsi="Arial" w:cs="Arial"/>
                <w:color w:val="000000"/>
                <w:sz w:val="18"/>
                <w:szCs w:val="18"/>
                <w:bdr w:val="none" w:sz="0" w:space="0" w:color="auto" w:frame="1"/>
                <w:lang w:val="fr-FR"/>
              </w:rPr>
              <w:t xml:space="preserve"> la gravité des infractions en fonction des facteurs de gravité ; laissant cependant une large marge de manœuvre en matière de pouvoir judiciaire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généralement considérées comme fournissant un moyen de dissuasion </w:t>
            </w:r>
            <w:r w:rsidRPr="00865DA5">
              <w:rPr>
                <w:rFonts w:ascii="Arial" w:eastAsia="Arial" w:hAnsi="Arial" w:cs="Arial"/>
                <w:b/>
                <w:bCs/>
                <w:color w:val="000000"/>
                <w:sz w:val="18"/>
                <w:szCs w:val="18"/>
                <w:bdr w:val="none" w:sz="0" w:space="0" w:color="auto" w:frame="1"/>
                <w:lang w:val="fr-FR"/>
              </w:rPr>
              <w:t>adéquat</w:t>
            </w:r>
            <w:r w:rsidRPr="00865DA5">
              <w:rPr>
                <w:rFonts w:ascii="Arial" w:eastAsia="Arial" w:hAnsi="Arial" w:cs="Arial"/>
                <w:color w:val="000000"/>
                <w:sz w:val="18"/>
                <w:szCs w:val="18"/>
                <w:bdr w:val="none" w:sz="0" w:space="0" w:color="auto" w:frame="1"/>
                <w:lang w:val="fr-FR"/>
              </w:rPr>
              <w:t xml:space="preserve"> et proportionné pour la plupart des cas d’IKB</w:t>
            </w:r>
          </w:p>
        </w:tc>
        <w:tc>
          <w:tcPr>
            <w:tcW w:w="2330"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Les sanctions relatives à l’IKB :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Sont prévues par la législation et comprennent des poursuites pénales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Reflètent </w:t>
            </w:r>
            <w:r w:rsidRPr="00865DA5">
              <w:rPr>
                <w:rFonts w:ascii="Arial" w:eastAsia="Arial" w:hAnsi="Arial" w:cs="Arial"/>
                <w:b/>
                <w:bCs/>
                <w:color w:val="000000"/>
                <w:sz w:val="18"/>
                <w:szCs w:val="18"/>
                <w:bdr w:val="none" w:sz="0" w:space="0" w:color="auto" w:frame="1"/>
                <w:lang w:val="fr-FR"/>
              </w:rPr>
              <w:t>pleinement</w:t>
            </w:r>
            <w:r w:rsidRPr="00865DA5">
              <w:rPr>
                <w:rFonts w:ascii="Arial" w:eastAsia="Arial" w:hAnsi="Arial" w:cs="Arial"/>
                <w:color w:val="000000"/>
                <w:sz w:val="18"/>
                <w:szCs w:val="18"/>
                <w:bdr w:val="none" w:sz="0" w:space="0" w:color="auto" w:frame="1"/>
                <w:lang w:val="fr-FR"/>
              </w:rPr>
              <w:t xml:space="preserve"> la gravité des infractions en fonction des facteurs de gravité recommandés dans le cadre du Plan d’action de Tunis de la Convention de Berne</w:t>
            </w:r>
            <w:r w:rsidRPr="00FF6562">
              <w:rPr>
                <w:rFonts w:ascii="Arial" w:eastAsia="Calibri" w:hAnsi="Arial" w:cs="Arial"/>
                <w:color w:val="000000"/>
                <w:sz w:val="18"/>
                <w:szCs w:val="18"/>
                <w:vertAlign w:val="superscript"/>
              </w:rPr>
              <w:footnoteReference w:id="24"/>
            </w:r>
            <w:r w:rsidRPr="00865DA5">
              <w:rPr>
                <w:rFonts w:ascii="Arial" w:eastAsia="Arial" w:hAnsi="Arial" w:cs="Arial"/>
                <w:color w:val="000000"/>
                <w:sz w:val="18"/>
                <w:szCs w:val="18"/>
                <w:bdr w:val="none" w:sz="0" w:space="0" w:color="auto" w:frame="1"/>
                <w:lang w:val="fr-FR"/>
              </w:rPr>
              <w:t xml:space="preserv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généralement considérés comme fournissant un moyen de dissuasion </w:t>
            </w:r>
            <w:r w:rsidRPr="00865DA5">
              <w:rPr>
                <w:rFonts w:ascii="Arial" w:eastAsia="Arial" w:hAnsi="Arial" w:cs="Arial"/>
                <w:b/>
                <w:bCs/>
                <w:color w:val="000000"/>
                <w:sz w:val="18"/>
                <w:szCs w:val="18"/>
                <w:bdr w:val="none" w:sz="0" w:space="0" w:color="auto" w:frame="1"/>
                <w:lang w:val="fr-FR"/>
              </w:rPr>
              <w:t>adéquat</w:t>
            </w:r>
            <w:r w:rsidRPr="00865DA5">
              <w:rPr>
                <w:rFonts w:ascii="Arial" w:eastAsia="Arial" w:hAnsi="Arial" w:cs="Arial"/>
                <w:color w:val="000000"/>
                <w:sz w:val="18"/>
                <w:szCs w:val="18"/>
                <w:bdr w:val="none" w:sz="0" w:space="0" w:color="auto" w:frame="1"/>
                <w:lang w:val="fr-FR"/>
              </w:rPr>
              <w:t xml:space="preserve"> et </w:t>
            </w:r>
            <w:r w:rsidRPr="00865DA5">
              <w:rPr>
                <w:rFonts w:ascii="Arial" w:eastAsia="Arial" w:hAnsi="Arial" w:cs="Arial"/>
                <w:b/>
                <w:bCs/>
                <w:color w:val="000000"/>
                <w:sz w:val="18"/>
                <w:szCs w:val="18"/>
                <w:bdr w:val="none" w:sz="0" w:space="0" w:color="auto" w:frame="1"/>
                <w:lang w:val="fr-FR"/>
              </w:rPr>
              <w:t>proportionné</w:t>
            </w:r>
            <w:r w:rsidRPr="00865DA5">
              <w:rPr>
                <w:rFonts w:ascii="Arial" w:eastAsia="Arial" w:hAnsi="Arial" w:cs="Arial"/>
                <w:color w:val="000000"/>
                <w:sz w:val="18"/>
                <w:szCs w:val="18"/>
                <w:bdr w:val="none" w:sz="0" w:space="0" w:color="auto" w:frame="1"/>
                <w:lang w:val="fr-FR"/>
              </w:rPr>
              <w:t xml:space="preserve"> pour tous les cas d’IKB, comme en témoigne le déclin soutenu de la criminalité IKB (déclin soutenu des cas d’IKB observés pendant au moins 3 ans)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Traitent les infractions relatives aux espèces sauvages impliquant des groupes criminels organisés comme étant des infractions graves</w:t>
            </w:r>
            <w:r w:rsidRPr="00FF6562">
              <w:rPr>
                <w:rFonts w:ascii="Arial" w:eastAsia="Calibri" w:hAnsi="Arial" w:cs="Arial"/>
                <w:color w:val="000000"/>
                <w:sz w:val="18"/>
                <w:szCs w:val="18"/>
                <w:vertAlign w:val="superscript"/>
              </w:rPr>
              <w:footnoteReference w:id="25"/>
            </w:r>
            <w:r w:rsidRPr="00865DA5">
              <w:rPr>
                <w:rFonts w:ascii="Arial" w:eastAsia="Arial" w:hAnsi="Arial" w:cs="Arial"/>
                <w:color w:val="000000"/>
                <w:sz w:val="18"/>
                <w:szCs w:val="18"/>
                <w:bdr w:val="none" w:sz="0" w:space="0" w:color="auto" w:frame="1"/>
                <w:lang w:val="fr-FR"/>
              </w:rPr>
              <w:t xml:space="preserve"> passibles d’au moins quatre ans d’emprisonnement</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color w:val="000000"/>
          <w:sz w:val="12"/>
          <w:szCs w:val="12"/>
          <w:lang w:val="fr-FR"/>
        </w:rPr>
      </w:pPr>
    </w:p>
    <w:p w:rsidR="00BD5B7F" w:rsidRPr="00865DA5" w:rsidRDefault="00BD5B7F" w:rsidP="00BD5B7F">
      <w:pPr>
        <w:rPr>
          <w:rFonts w:ascii="Arial" w:eastAsia="Calibri" w:hAnsi="Arial" w:cs="Arial"/>
          <w:color w:val="000000"/>
          <w:sz w:val="12"/>
          <w:szCs w:val="12"/>
          <w:lang w:val="fr-FR"/>
        </w:rPr>
      </w:pPr>
      <w:r w:rsidRPr="00865DA5">
        <w:rPr>
          <w:rFonts w:ascii="Arial" w:eastAsia="Calibri" w:hAnsi="Arial" w:cs="Arial"/>
          <w:color w:val="000000"/>
          <w:sz w:val="12"/>
          <w:szCs w:val="12"/>
          <w:lang w:val="fr-FR"/>
        </w:rPr>
        <w:br w:type="page"/>
      </w:r>
    </w:p>
    <w:p w:rsidR="00BD5B7F" w:rsidRPr="00865DA5" w:rsidRDefault="00BD5B7F" w:rsidP="00BD5B7F">
      <w:pPr>
        <w:keepNext/>
        <w:keepLines/>
        <w:spacing w:after="120"/>
        <w:outlineLvl w:val="3"/>
        <w:rPr>
          <w:rFonts w:ascii="Arial" w:hAnsi="Arial" w:cs="Arial"/>
          <w:b/>
          <w:i/>
          <w:iCs/>
          <w:color w:val="000000"/>
          <w:sz w:val="28"/>
          <w:szCs w:val="22"/>
          <w:lang w:val="fr-FR"/>
        </w:rPr>
      </w:pPr>
      <w:bookmarkStart w:id="61" w:name="_Toc491245246"/>
      <w:bookmarkStart w:id="62" w:name="_Toc486539583"/>
      <w:r w:rsidRPr="00865DA5">
        <w:rPr>
          <w:rFonts w:ascii="Arial" w:eastAsia="Arial" w:hAnsi="Arial" w:cs="Arial"/>
          <w:b/>
          <w:bCs/>
          <w:iCs/>
          <w:color w:val="000000"/>
          <w:sz w:val="28"/>
          <w:szCs w:val="28"/>
          <w:bdr w:val="none" w:sz="0" w:space="0" w:color="auto" w:frame="1"/>
          <w:lang w:val="fr-FR"/>
        </w:rPr>
        <w:lastRenderedPageBreak/>
        <w:t>11. Utilisation du droit pénal</w:t>
      </w:r>
      <w:r w:rsidRPr="00FF6562">
        <w:rPr>
          <w:rFonts w:ascii="Arial" w:hAnsi="Arial" w:cs="Arial"/>
          <w:b/>
          <w:iCs/>
          <w:color w:val="000000"/>
          <w:sz w:val="28"/>
          <w:szCs w:val="22"/>
          <w:vertAlign w:val="superscript"/>
        </w:rPr>
        <w:footnoteReference w:id="26"/>
      </w:r>
      <w:bookmarkEnd w:id="61"/>
      <w:bookmarkEnd w:id="62"/>
      <w:r w:rsidRPr="00865DA5">
        <w:rPr>
          <w:rFonts w:ascii="Arial" w:eastAsia="Arial" w:hAnsi="Arial" w:cs="Arial"/>
          <w:b/>
          <w:bCs/>
          <w:iCs/>
          <w:color w:val="000000"/>
          <w:sz w:val="28"/>
          <w:szCs w:val="28"/>
          <w:bdr w:val="none" w:sz="0" w:space="0" w:color="auto" w:frame="1"/>
          <w:lang w:val="fr-FR"/>
        </w:rPr>
        <w:t xml:space="preserve"> </w:t>
      </w:r>
    </w:p>
    <w:p w:rsidR="00BD5B7F" w:rsidRPr="00865DA5" w:rsidRDefault="00BD5B7F" w:rsidP="00BD5B7F">
      <w:pPr>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La mesure dans laquelle une combinaison entre la législation nationale pertinente et le droit pénal est utilisée pour poursuivre les infractions relatives à l’IKB à l’appui de la législation promulguée pour lutter contre la criminalité liée aux espèces sauvages.</w:t>
      </w:r>
    </w:p>
    <w:p w:rsidR="00BD5B7F" w:rsidRPr="00865DA5" w:rsidRDefault="00BD5B7F" w:rsidP="00BD5B7F">
      <w:pPr>
        <w:jc w:val="both"/>
        <w:rPr>
          <w:rFonts w:ascii="Arial" w:eastAsia="Calibri" w:hAnsi="Arial" w:cs="Arial"/>
          <w:color w:val="000000"/>
          <w:sz w:val="22"/>
          <w:szCs w:val="22"/>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La poursuite des infractions relatives à l’IKB au niveau national assure-t-elle les sanctions les plus élevées en tenant compte d’éléments croisés avec d’autres infractions à travers le droit pénal</w:t>
      </w:r>
      <w:r w:rsidRPr="00FF6562">
        <w:rPr>
          <w:rFonts w:ascii="Arial" w:eastAsia="Calibri" w:hAnsi="Arial" w:cs="Arial"/>
          <w:b/>
          <w:color w:val="000000"/>
          <w:sz w:val="22"/>
          <w:szCs w:val="22"/>
          <w:vertAlign w:val="superscript"/>
        </w:rPr>
        <w:footnoteReference w:id="27"/>
      </w:r>
      <w:r w:rsidRPr="00865DA5">
        <w:rPr>
          <w:rFonts w:ascii="Arial" w:eastAsia="Arial" w:hAnsi="Arial" w:cs="Arial"/>
          <w:b/>
          <w:bCs/>
          <w:i/>
          <w:iCs/>
          <w:color w:val="000000"/>
          <w:sz w:val="22"/>
          <w:szCs w:val="22"/>
          <w:bdr w:val="none" w:sz="0" w:space="0" w:color="auto" w:frame="1"/>
          <w:lang w:val="fr-FR"/>
        </w:rPr>
        <w:t> ?</w:t>
      </w:r>
    </w:p>
    <w:p w:rsidR="00BD5B7F" w:rsidRPr="00865DA5" w:rsidRDefault="00BD5B7F" w:rsidP="00BD5B7F">
      <w:pPr>
        <w:rPr>
          <w:rFonts w:ascii="Arial" w:eastAsia="Calibri" w:hAnsi="Arial" w:cs="Arial"/>
          <w:i/>
          <w:iCs/>
          <w:color w:val="000000"/>
          <w:sz w:val="22"/>
          <w:szCs w:val="22"/>
          <w:lang w:val="fr-FR"/>
        </w:rPr>
      </w:pPr>
    </w:p>
    <w:p w:rsidR="00BD5B7F" w:rsidRPr="00FF6562" w:rsidRDefault="00BD5B7F" w:rsidP="00BD5B7F">
      <w:pPr>
        <w:spacing w:after="120"/>
        <w:rPr>
          <w:rFonts w:ascii="Arial" w:eastAsia="Calibri" w:hAnsi="Arial" w:cs="Arial"/>
          <w:i/>
          <w:iCs/>
          <w:color w:val="000000"/>
          <w:sz w:val="22"/>
          <w:szCs w:val="22"/>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33"/>
        <w:gridCol w:w="2286"/>
        <w:gridCol w:w="40"/>
        <w:gridCol w:w="2293"/>
        <w:gridCol w:w="16"/>
        <w:gridCol w:w="2311"/>
      </w:tblGrid>
      <w:tr w:rsidR="00BD5B7F" w:rsidRPr="00FF6562" w:rsidTr="000E5961">
        <w:tc>
          <w:tcPr>
            <w:tcW w:w="2310"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343"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 droit pénal pertinent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Ne peux pas</w:t>
            </w:r>
            <w:r w:rsidRPr="00865DA5">
              <w:rPr>
                <w:rFonts w:ascii="Arial" w:eastAsia="Arial" w:hAnsi="Arial" w:cs="Arial"/>
                <w:color w:val="000000"/>
                <w:sz w:val="18"/>
                <w:szCs w:val="18"/>
                <w:bdr w:val="none" w:sz="0" w:space="0" w:color="auto" w:frame="1"/>
                <w:lang w:val="fr-FR"/>
              </w:rPr>
              <w:t xml:space="preserve"> être appliqué aux infractions relatives à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infractions relatives à l’IKB ne sont </w:t>
            </w:r>
            <w:r w:rsidRPr="00865DA5">
              <w:rPr>
                <w:rFonts w:ascii="Arial" w:eastAsia="Arial" w:hAnsi="Arial" w:cs="Arial"/>
                <w:b/>
                <w:bCs/>
                <w:color w:val="000000"/>
                <w:sz w:val="18"/>
                <w:szCs w:val="18"/>
                <w:bdr w:val="none" w:sz="0" w:space="0" w:color="auto" w:frame="1"/>
                <w:lang w:val="fr-FR"/>
              </w:rPr>
              <w:t>pas du tout sanctionnées</w:t>
            </w:r>
            <w:r w:rsidRPr="00865DA5">
              <w:rPr>
                <w:rFonts w:ascii="Arial" w:eastAsia="Arial" w:hAnsi="Arial" w:cs="Arial"/>
                <w:color w:val="000000"/>
                <w:sz w:val="18"/>
                <w:szCs w:val="18"/>
                <w:bdr w:val="none" w:sz="0" w:space="0" w:color="auto" w:frame="1"/>
                <w:lang w:val="fr-FR"/>
              </w:rPr>
              <w:t xml:space="preserve"> ou </w:t>
            </w:r>
            <w:r w:rsidRPr="00865DA5">
              <w:rPr>
                <w:rFonts w:ascii="Arial" w:eastAsia="Arial" w:hAnsi="Arial" w:cs="Arial"/>
                <w:b/>
                <w:bCs/>
                <w:color w:val="000000"/>
                <w:sz w:val="18"/>
                <w:szCs w:val="18"/>
                <w:bdr w:val="none" w:sz="0" w:space="0" w:color="auto" w:frame="1"/>
                <w:lang w:val="fr-FR"/>
              </w:rPr>
              <w:t xml:space="preserve">seulement </w:t>
            </w:r>
            <w:r w:rsidRPr="00865DA5">
              <w:rPr>
                <w:rFonts w:ascii="Arial" w:eastAsia="Arial" w:hAnsi="Arial" w:cs="Arial"/>
                <w:bCs/>
                <w:color w:val="000000"/>
                <w:sz w:val="18"/>
                <w:szCs w:val="18"/>
                <w:bdr w:val="none" w:sz="0" w:space="0" w:color="auto" w:frame="1"/>
                <w:lang w:val="fr-FR"/>
              </w:rPr>
              <w:t>l’objet de</w:t>
            </w:r>
            <w:r w:rsidRPr="00865DA5">
              <w:rPr>
                <w:rFonts w:ascii="Arial" w:eastAsia="Arial" w:hAnsi="Arial" w:cs="Arial"/>
                <w:b/>
                <w:bCs/>
                <w:color w:val="000000"/>
                <w:sz w:val="18"/>
                <w:szCs w:val="18"/>
                <w:bdr w:val="none" w:sz="0" w:space="0" w:color="auto" w:frame="1"/>
                <w:lang w:val="fr-FR"/>
              </w:rPr>
              <w:t xml:space="preserve"> sanctions administratives</w:t>
            </w:r>
          </w:p>
          <w:p w:rsidR="00BD5B7F" w:rsidRPr="00865DA5" w:rsidRDefault="00BD5B7F" w:rsidP="000E5961">
            <w:pPr>
              <w:rPr>
                <w:rFonts w:ascii="Arial" w:eastAsia="Calibri" w:hAnsi="Arial" w:cs="Arial"/>
                <w:color w:val="000000"/>
                <w:sz w:val="18"/>
                <w:szCs w:val="18"/>
                <w:lang w:val="fr-FR"/>
              </w:rPr>
            </w:pPr>
          </w:p>
        </w:tc>
        <w:tc>
          <w:tcPr>
            <w:tcW w:w="2329"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 droit pénal pertinent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bCs/>
                <w:color w:val="000000"/>
                <w:sz w:val="18"/>
                <w:szCs w:val="18"/>
                <w:bdr w:val="none" w:sz="0" w:space="0" w:color="auto" w:frame="1"/>
                <w:lang w:val="fr-FR"/>
              </w:rPr>
              <w:t>rarement</w:t>
            </w:r>
            <w:r w:rsidRPr="00865DA5">
              <w:rPr>
                <w:rFonts w:ascii="Arial" w:eastAsia="Arial" w:hAnsi="Arial" w:cs="Arial"/>
                <w:color w:val="000000"/>
                <w:sz w:val="18"/>
                <w:szCs w:val="18"/>
                <w:bdr w:val="none" w:sz="0" w:space="0" w:color="auto" w:frame="1"/>
                <w:lang w:val="fr-FR"/>
              </w:rPr>
              <w:t xml:space="preserve"> appliqué aux infractions relatives à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La plupart des cas d’IKB </w:t>
            </w:r>
            <w:r w:rsidRPr="00865DA5">
              <w:rPr>
                <w:rFonts w:ascii="Arial" w:eastAsia="Arial" w:hAnsi="Arial" w:cs="Arial"/>
                <w:b/>
                <w:bCs/>
                <w:color w:val="000000"/>
                <w:sz w:val="18"/>
                <w:szCs w:val="18"/>
                <w:bdr w:val="none" w:sz="0" w:space="0" w:color="auto" w:frame="1"/>
                <w:lang w:val="fr-FR"/>
              </w:rPr>
              <w:t>sauf les plus graves</w:t>
            </w:r>
            <w:r w:rsidRPr="00865DA5">
              <w:rPr>
                <w:rFonts w:ascii="Arial" w:eastAsia="Arial" w:hAnsi="Arial" w:cs="Arial"/>
                <w:color w:val="000000"/>
                <w:sz w:val="18"/>
                <w:szCs w:val="18"/>
                <w:bdr w:val="none" w:sz="0" w:space="0" w:color="auto" w:frame="1"/>
                <w:lang w:val="fr-FR"/>
              </w:rPr>
              <w:t xml:space="preserve"> sont </w:t>
            </w:r>
            <w:r w:rsidRPr="00865DA5">
              <w:rPr>
                <w:rFonts w:ascii="Arial" w:eastAsia="Arial" w:hAnsi="Arial" w:cs="Arial"/>
                <w:bCs/>
                <w:color w:val="000000"/>
                <w:sz w:val="18"/>
                <w:szCs w:val="18"/>
                <w:bdr w:val="none" w:sz="0" w:space="0" w:color="auto" w:frame="1"/>
                <w:lang w:val="fr-FR"/>
              </w:rPr>
              <w:t>l’objet de</w:t>
            </w:r>
            <w:r w:rsidRPr="00865DA5">
              <w:rPr>
                <w:rFonts w:ascii="Arial" w:eastAsia="Arial" w:hAnsi="Arial" w:cs="Arial"/>
                <w:b/>
                <w:bCs/>
                <w:color w:val="000000"/>
                <w:sz w:val="18"/>
                <w:szCs w:val="18"/>
                <w:bdr w:val="none" w:sz="0" w:space="0" w:color="auto" w:frame="1"/>
                <w:lang w:val="fr-FR"/>
              </w:rPr>
              <w:t xml:space="preserve"> sanctions administratives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Partout où le droit pénal est évoqué dans les affaires d’IKB les </w:t>
            </w:r>
            <w:r w:rsidRPr="00865DA5">
              <w:rPr>
                <w:rFonts w:ascii="Arial" w:eastAsia="Arial" w:hAnsi="Arial" w:cs="Arial"/>
                <w:b/>
                <w:bCs/>
                <w:color w:val="000000"/>
                <w:sz w:val="18"/>
                <w:szCs w:val="18"/>
                <w:bdr w:val="none" w:sz="0" w:space="0" w:color="auto" w:frame="1"/>
                <w:lang w:val="fr-FR"/>
              </w:rPr>
              <w:t>plus graves</w:t>
            </w:r>
            <w:r w:rsidRPr="00865DA5">
              <w:rPr>
                <w:rFonts w:ascii="Arial" w:eastAsia="Arial" w:hAnsi="Arial" w:cs="Arial"/>
                <w:color w:val="000000"/>
                <w:sz w:val="18"/>
                <w:szCs w:val="18"/>
                <w:bdr w:val="none" w:sz="0" w:space="0" w:color="auto" w:frame="1"/>
                <w:lang w:val="fr-FR"/>
              </w:rPr>
              <w:t>, cela provient généralement de lois non liées à la conservation de la faune sauvage, telles que les lois relatives au contrôle des armes ou à la sécurité publique</w:t>
            </w:r>
          </w:p>
        </w:tc>
        <w:tc>
          <w:tcPr>
            <w:tcW w:w="2313"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 droit pénal pertinent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bCs/>
                <w:color w:val="000000"/>
                <w:sz w:val="18"/>
                <w:szCs w:val="18"/>
                <w:bdr w:val="none" w:sz="0" w:space="0" w:color="auto" w:frame="1"/>
                <w:lang w:val="fr-FR"/>
              </w:rPr>
              <w:t>parfois</w:t>
            </w:r>
            <w:r w:rsidRPr="00865DA5">
              <w:rPr>
                <w:rFonts w:ascii="Arial" w:eastAsia="Arial" w:hAnsi="Arial" w:cs="Arial"/>
                <w:color w:val="000000"/>
                <w:sz w:val="18"/>
                <w:szCs w:val="18"/>
                <w:bdr w:val="none" w:sz="0" w:space="0" w:color="auto" w:frame="1"/>
                <w:lang w:val="fr-FR"/>
              </w:rPr>
              <w:t xml:space="preserve"> appliqué aux infractions relatives à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Décrit </w:t>
            </w:r>
            <w:r w:rsidRPr="00865DA5">
              <w:rPr>
                <w:rFonts w:ascii="Arial" w:eastAsia="Arial" w:hAnsi="Arial" w:cs="Arial"/>
                <w:b/>
                <w:bCs/>
                <w:color w:val="000000"/>
                <w:sz w:val="18"/>
                <w:szCs w:val="18"/>
                <w:bdr w:val="none" w:sz="0" w:space="0" w:color="auto" w:frame="1"/>
                <w:lang w:val="fr-FR"/>
              </w:rPr>
              <w:t>généralement</w:t>
            </w:r>
            <w:r w:rsidRPr="00865DA5">
              <w:rPr>
                <w:rFonts w:ascii="Arial" w:eastAsia="Arial" w:hAnsi="Arial" w:cs="Arial"/>
                <w:color w:val="000000"/>
                <w:sz w:val="18"/>
                <w:szCs w:val="18"/>
                <w:bdr w:val="none" w:sz="0" w:space="0" w:color="auto" w:frame="1"/>
                <w:lang w:val="fr-FR"/>
              </w:rPr>
              <w:t xml:space="preserve"> les catégories d’infractions relatives à l’IKB qui relèvent d’une responsabilité pénale et les catégories soumises à des sanctions administratives</w:t>
            </w:r>
          </w:p>
        </w:tc>
        <w:tc>
          <w:tcPr>
            <w:tcW w:w="2314"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 droit pénal pertinent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bCs/>
                <w:color w:val="000000"/>
                <w:sz w:val="18"/>
                <w:szCs w:val="18"/>
                <w:bdr w:val="none" w:sz="0" w:space="0" w:color="auto" w:frame="1"/>
                <w:lang w:val="fr-FR"/>
              </w:rPr>
              <w:t>généralement</w:t>
            </w:r>
            <w:r w:rsidRPr="00865DA5">
              <w:rPr>
                <w:rFonts w:ascii="Arial" w:eastAsia="Arial" w:hAnsi="Arial" w:cs="Arial"/>
                <w:color w:val="000000"/>
                <w:sz w:val="18"/>
                <w:szCs w:val="18"/>
                <w:bdr w:val="none" w:sz="0" w:space="0" w:color="auto" w:frame="1"/>
                <w:lang w:val="fr-FR"/>
              </w:rPr>
              <w:t xml:space="preserve"> appliqué à la plupart des infractions relatives à l’IKB, selon les besoins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Décrit </w:t>
            </w:r>
            <w:r w:rsidRPr="00865DA5">
              <w:rPr>
                <w:rFonts w:ascii="Arial" w:eastAsia="Arial" w:hAnsi="Arial" w:cs="Arial"/>
                <w:b/>
                <w:bCs/>
                <w:color w:val="000000"/>
                <w:sz w:val="18"/>
                <w:szCs w:val="18"/>
                <w:bdr w:val="none" w:sz="0" w:space="0" w:color="auto" w:frame="1"/>
                <w:lang w:val="fr-FR"/>
              </w:rPr>
              <w:t>clairement</w:t>
            </w:r>
            <w:r w:rsidRPr="00865DA5">
              <w:rPr>
                <w:rFonts w:ascii="Arial" w:eastAsia="Arial" w:hAnsi="Arial" w:cs="Arial"/>
                <w:color w:val="000000"/>
                <w:sz w:val="18"/>
                <w:szCs w:val="18"/>
                <w:bdr w:val="none" w:sz="0" w:space="0" w:color="auto" w:frame="1"/>
                <w:lang w:val="fr-FR"/>
              </w:rPr>
              <w:t xml:space="preserve"> les catégories d’infractions qui font l’objet d’une responsabilité pénale plutôt qu’administrative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soutenu par </w:t>
            </w:r>
            <w:r w:rsidRPr="00865DA5">
              <w:rPr>
                <w:rFonts w:ascii="Arial" w:eastAsia="Arial" w:hAnsi="Arial" w:cs="Arial"/>
                <w:b/>
                <w:bCs/>
                <w:color w:val="000000"/>
                <w:sz w:val="18"/>
                <w:szCs w:val="18"/>
                <w:bdr w:val="none" w:sz="0" w:space="0" w:color="auto" w:frame="1"/>
                <w:lang w:val="fr-FR"/>
              </w:rPr>
              <w:t>des mécanismes qui harmonisent</w:t>
            </w:r>
            <w:r w:rsidRPr="00865DA5">
              <w:rPr>
                <w:rFonts w:ascii="Arial" w:eastAsia="Arial" w:hAnsi="Arial" w:cs="Arial"/>
                <w:color w:val="000000"/>
                <w:sz w:val="18"/>
                <w:szCs w:val="18"/>
                <w:bdr w:val="none" w:sz="0" w:space="0" w:color="auto" w:frame="1"/>
                <w:lang w:val="fr-FR"/>
              </w:rPr>
              <w:t xml:space="preserve"> les législations relatives aux espèces sauvages et les autres législations nationales clés telles que le droit pénal</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b/>
          <w:bCs/>
          <w:color w:val="000000"/>
          <w:sz w:val="23"/>
          <w:szCs w:val="23"/>
          <w:lang w:val="fr-FR"/>
        </w:rPr>
      </w:pPr>
      <w:r w:rsidRPr="00865DA5">
        <w:rPr>
          <w:rFonts w:ascii="Arial" w:eastAsia="Calibri" w:hAnsi="Arial" w:cs="Arial"/>
          <w:b/>
          <w:bCs/>
          <w:color w:val="000000"/>
          <w:sz w:val="23"/>
          <w:szCs w:val="23"/>
          <w:lang w:val="fr-FR"/>
        </w:rPr>
        <w:br w:type="page"/>
      </w:r>
    </w:p>
    <w:p w:rsidR="00BD5B7F" w:rsidRPr="00865DA5" w:rsidRDefault="00BD5B7F" w:rsidP="00BD5B7F">
      <w:pPr>
        <w:keepNext/>
        <w:keepLines/>
        <w:spacing w:after="120"/>
        <w:outlineLvl w:val="3"/>
        <w:rPr>
          <w:rFonts w:ascii="Arial" w:hAnsi="Arial" w:cs="Arial"/>
          <w:b/>
          <w:iCs/>
          <w:color w:val="000000"/>
          <w:sz w:val="28"/>
          <w:szCs w:val="18"/>
          <w:lang w:val="fr-FR"/>
        </w:rPr>
      </w:pPr>
      <w:bookmarkStart w:id="63" w:name="_Toc491245247"/>
      <w:bookmarkStart w:id="64" w:name="_Toc486539584"/>
      <w:r w:rsidRPr="00865DA5">
        <w:rPr>
          <w:rFonts w:ascii="Arial" w:eastAsia="Arial" w:hAnsi="Arial" w:cs="Arial"/>
          <w:b/>
          <w:bCs/>
          <w:iCs/>
          <w:color w:val="000000"/>
          <w:sz w:val="28"/>
          <w:szCs w:val="28"/>
          <w:bdr w:val="none" w:sz="0" w:space="0" w:color="auto" w:frame="1"/>
          <w:lang w:val="fr-FR"/>
        </w:rPr>
        <w:lastRenderedPageBreak/>
        <w:t>12. Législation relative à la criminalité organisée</w:t>
      </w:r>
      <w:bookmarkEnd w:id="63"/>
      <w:bookmarkEnd w:id="64"/>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La mesure dans laquelle une législation spécifique visant à lutter contre la criminalité organisée</w:t>
      </w:r>
      <w:r w:rsidRPr="00FF6562">
        <w:rPr>
          <w:rFonts w:ascii="Arial" w:eastAsia="Calibri" w:hAnsi="Arial" w:cs="Arial"/>
          <w:color w:val="000000"/>
          <w:sz w:val="22"/>
          <w:szCs w:val="18"/>
          <w:vertAlign w:val="superscript"/>
        </w:rPr>
        <w:footnoteReference w:id="28"/>
      </w:r>
      <w:r w:rsidRPr="00865DA5">
        <w:rPr>
          <w:rFonts w:ascii="Arial" w:eastAsia="Arial" w:hAnsi="Arial" w:cs="Arial"/>
          <w:color w:val="000000"/>
          <w:sz w:val="22"/>
          <w:szCs w:val="22"/>
          <w:bdr w:val="none" w:sz="0" w:space="0" w:color="auto" w:frame="1"/>
          <w:lang w:val="fr-FR"/>
        </w:rPr>
        <w:t xml:space="preserve"> est utilisée pour lutter contre l’IKB.</w:t>
      </w:r>
    </w:p>
    <w:p w:rsidR="00BD5B7F" w:rsidRPr="00865DA5" w:rsidRDefault="00BD5B7F" w:rsidP="00BD5B7F">
      <w:pPr>
        <w:jc w:val="both"/>
        <w:rPr>
          <w:rFonts w:ascii="Arial" w:eastAsia="Calibri" w:hAnsi="Arial" w:cs="Arial"/>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 xml:space="preserve">Question : Comment la législation nationale relative à la criminalité organisée peut-elle être utilisée dans les enquêtes et les poursuites relatives à l’IKB ? </w:t>
      </w:r>
    </w:p>
    <w:p w:rsidR="00BD5B7F" w:rsidRPr="00FF6562" w:rsidRDefault="00BD5B7F" w:rsidP="00BD5B7F">
      <w:pPr>
        <w:spacing w:after="120"/>
        <w:rPr>
          <w:rFonts w:ascii="Arial" w:eastAsia="Calibri" w:hAnsi="Arial" w:cs="Arial"/>
          <w:i/>
          <w:iCs/>
          <w:color w:val="000000"/>
          <w:sz w:val="18"/>
          <w:szCs w:val="18"/>
        </w:rPr>
      </w:pPr>
      <w:proofErr w:type="gramStart"/>
      <w:r w:rsidRPr="00FF6562">
        <w:rPr>
          <w:rFonts w:ascii="Arial" w:eastAsia="Arial" w:hAnsi="Arial" w:cs="Arial"/>
          <w:i/>
          <w:iCs/>
          <w:color w:val="000000"/>
          <w:sz w:val="22"/>
          <w:szCs w:val="22"/>
          <w:bdr w:val="none" w:sz="0" w:space="0" w:color="auto" w:frame="1"/>
        </w:rPr>
        <w:t>Mesure</w:t>
      </w:r>
      <w:r w:rsidRPr="00FF6562">
        <w:rPr>
          <w:rFonts w:ascii="Arial" w:eastAsia="Arial" w:hAnsi="Arial" w:cs="Arial"/>
          <w:i/>
          <w:iCs/>
          <w:color w:val="000000"/>
          <w:sz w:val="18"/>
          <w:szCs w:val="18"/>
          <w:bdr w:val="none" w:sz="0" w:space="0" w:color="auto" w:frame="1"/>
        </w:rPr>
        <w:t>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1880"/>
        <w:gridCol w:w="1879"/>
        <w:gridCol w:w="1880"/>
        <w:gridCol w:w="1583"/>
      </w:tblGrid>
      <w:tr w:rsidR="00BD5B7F" w:rsidRPr="00FF6562" w:rsidTr="000E5961">
        <w:tc>
          <w:tcPr>
            <w:tcW w:w="1851"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color w:val="000000"/>
                <w:sz w:val="22"/>
              </w:rPr>
            </w:pPr>
            <w:r w:rsidRPr="00FF6562">
              <w:rPr>
                <w:rFonts w:ascii="Arial" w:eastAsia="Calibri" w:hAnsi="Arial" w:cs="Arial"/>
                <w:b/>
                <w:bCs/>
                <w:color w:val="000000"/>
                <w:sz w:val="22"/>
              </w:rPr>
              <w:t xml:space="preserve">0 </w:t>
            </w:r>
            <w:r w:rsidRPr="00FF6562">
              <w:rPr>
                <w:rFonts w:ascii="Arial" w:eastAsia="Arial" w:hAnsi="Arial" w:cs="Arial"/>
                <w:color w:val="000000"/>
                <w:sz w:val="22"/>
                <w:szCs w:val="22"/>
              </w:rPr>
              <w:t>􀜆</w:t>
            </w:r>
          </w:p>
        </w:tc>
        <w:tc>
          <w:tcPr>
            <w:tcW w:w="1880" w:type="dxa"/>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rPr>
            </w:pPr>
            <w:r w:rsidRPr="00FF6562">
              <w:rPr>
                <w:rFonts w:ascii="Arial" w:eastAsia="Calibri" w:hAnsi="Arial" w:cs="Arial"/>
                <w:b/>
                <w:bCs/>
                <w:color w:val="000000"/>
                <w:sz w:val="22"/>
                <w:szCs w:val="22"/>
              </w:rPr>
              <w:t>1</w:t>
            </w:r>
            <w:r w:rsidRPr="00FF6562">
              <w:rPr>
                <w:rFonts w:ascii="Arial" w:eastAsia="Calibri" w:hAnsi="Arial" w:cs="Arial"/>
                <w:b/>
                <w:bCs/>
                <w:color w:val="000000"/>
                <w:sz w:val="22"/>
              </w:rPr>
              <w:t xml:space="preserve"> </w:t>
            </w:r>
            <w:r w:rsidRPr="00FF6562">
              <w:rPr>
                <w:rFonts w:ascii="Arial" w:eastAsia="Arial" w:hAnsi="Arial" w:cs="Arial"/>
                <w:color w:val="000000"/>
                <w:sz w:val="22"/>
                <w:szCs w:val="22"/>
              </w:rPr>
              <w:t>􀜆</w:t>
            </w:r>
          </w:p>
        </w:tc>
        <w:tc>
          <w:tcPr>
            <w:tcW w:w="1879"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rPr>
            </w:pPr>
            <w:r w:rsidRPr="00FF6562">
              <w:rPr>
                <w:rFonts w:ascii="Arial" w:eastAsia="Calibri" w:hAnsi="Arial" w:cs="Arial"/>
                <w:b/>
                <w:bCs/>
                <w:color w:val="000000"/>
                <w:sz w:val="22"/>
                <w:szCs w:val="22"/>
              </w:rPr>
              <w:t>2</w:t>
            </w:r>
            <w:r w:rsidRPr="00FF6562">
              <w:rPr>
                <w:rFonts w:ascii="Arial" w:eastAsia="Calibri" w:hAnsi="Arial" w:cs="Arial"/>
                <w:b/>
                <w:bCs/>
                <w:color w:val="000000"/>
                <w:sz w:val="22"/>
              </w:rPr>
              <w:t xml:space="preserve"> </w:t>
            </w:r>
            <w:r w:rsidRPr="00FF6562">
              <w:rPr>
                <w:rFonts w:ascii="Arial" w:eastAsia="Arial" w:hAnsi="Arial" w:cs="Arial"/>
                <w:color w:val="000000"/>
                <w:sz w:val="22"/>
                <w:szCs w:val="22"/>
              </w:rPr>
              <w:t>􀜆</w:t>
            </w:r>
          </w:p>
        </w:tc>
        <w:tc>
          <w:tcPr>
            <w:tcW w:w="188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c>
          <w:tcPr>
            <w:tcW w:w="158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D5B7F" w:rsidRPr="00FF6562" w:rsidRDefault="00BD5B7F" w:rsidP="000E5961">
            <w:pPr>
              <w:jc w:val="center"/>
              <w:rPr>
                <w:rFonts w:ascii="Arial" w:eastAsia="Calibri" w:hAnsi="Arial" w:cs="Arial"/>
                <w:b/>
                <w:bCs/>
                <w:color w:val="000000"/>
                <w:sz w:val="22"/>
              </w:rPr>
            </w:pPr>
            <w:r w:rsidRPr="00FF6562">
              <w:rPr>
                <w:rFonts w:ascii="Arial" w:eastAsia="Calibri" w:hAnsi="Arial" w:cs="Arial"/>
                <w:b/>
                <w:bCs/>
                <w:color w:val="000000"/>
                <w:sz w:val="22"/>
                <w:szCs w:val="22"/>
                <w:bdr w:val="none" w:sz="0" w:space="0" w:color="auto" w:frame="1"/>
              </w:rPr>
              <w:t>Non applicable</w:t>
            </w:r>
            <w:r w:rsidRPr="00FF6562">
              <w:rPr>
                <w:rFonts w:ascii="Arial" w:eastAsia="Arial" w:hAnsi="Arial" w:cs="Arial"/>
                <w:b/>
                <w:bCs/>
                <w:color w:val="000000"/>
                <w:sz w:val="22"/>
                <w:szCs w:val="22"/>
                <w:bdr w:val="none" w:sz="0" w:space="0" w:color="auto" w:frame="1"/>
              </w:rPr>
              <w:t xml:space="preserve"> </w:t>
            </w:r>
          </w:p>
        </w:tc>
      </w:tr>
      <w:tr w:rsidR="00BD5B7F" w:rsidRPr="00FC42B0" w:rsidTr="000E5961">
        <w:tc>
          <w:tcPr>
            <w:tcW w:w="1851"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relative à la criminalité organisée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N’a pas été adoptée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Ne peut pas être utilisée pour les poursuites relatives à l’IKB</w:t>
            </w:r>
          </w:p>
        </w:tc>
        <w:tc>
          <w:tcPr>
            <w:tcW w:w="1880"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relative à la criminalité organisée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en vigueur mais est </w:t>
            </w:r>
            <w:r w:rsidRPr="00865DA5">
              <w:rPr>
                <w:rFonts w:ascii="Arial" w:eastAsia="Arial" w:hAnsi="Arial" w:cs="Arial"/>
                <w:b/>
                <w:bCs/>
                <w:color w:val="000000"/>
                <w:sz w:val="18"/>
                <w:szCs w:val="18"/>
                <w:bdr w:val="none" w:sz="0" w:space="0" w:color="auto" w:frame="1"/>
                <w:lang w:val="fr-FR"/>
              </w:rPr>
              <w:t>rarement</w:t>
            </w:r>
            <w:r w:rsidRPr="00865DA5">
              <w:rPr>
                <w:rFonts w:ascii="Arial" w:eastAsia="Arial" w:hAnsi="Arial" w:cs="Arial"/>
                <w:color w:val="000000"/>
                <w:sz w:val="18"/>
                <w:szCs w:val="18"/>
                <w:bdr w:val="none" w:sz="0" w:space="0" w:color="auto" w:frame="1"/>
                <w:lang w:val="fr-FR"/>
              </w:rPr>
              <w:t xml:space="preserve"> </w:t>
            </w:r>
            <w:r w:rsidRPr="00865DA5">
              <w:rPr>
                <w:rFonts w:ascii="Arial" w:eastAsia="Arial" w:hAnsi="Arial" w:cs="Arial"/>
                <w:b/>
                <w:color w:val="000000"/>
                <w:sz w:val="18"/>
                <w:szCs w:val="18"/>
                <w:bdr w:val="none" w:sz="0" w:space="0" w:color="auto" w:frame="1"/>
                <w:lang w:val="fr-FR"/>
              </w:rPr>
              <w:t>utilisée</w:t>
            </w:r>
            <w:r w:rsidRPr="00865DA5">
              <w:rPr>
                <w:rFonts w:ascii="Arial" w:eastAsia="Arial" w:hAnsi="Arial" w:cs="Arial"/>
                <w:color w:val="000000"/>
                <w:sz w:val="18"/>
                <w:szCs w:val="18"/>
                <w:bdr w:val="none" w:sz="0" w:space="0" w:color="auto" w:frame="1"/>
                <w:lang w:val="fr-FR"/>
              </w:rPr>
              <w:t xml:space="preserve"> dans les affaires d’IKB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prévoit </w:t>
            </w:r>
            <w:r w:rsidRPr="00865DA5">
              <w:rPr>
                <w:rFonts w:ascii="Arial" w:eastAsia="Arial" w:hAnsi="Arial" w:cs="Arial"/>
                <w:b/>
                <w:bCs/>
                <w:color w:val="000000"/>
                <w:sz w:val="18"/>
                <w:szCs w:val="18"/>
                <w:bdr w:val="none" w:sz="0" w:space="0" w:color="auto" w:frame="1"/>
                <w:lang w:val="fr-FR"/>
              </w:rPr>
              <w:t xml:space="preserve">pas </w:t>
            </w:r>
            <w:r w:rsidRPr="00865DA5">
              <w:rPr>
                <w:rFonts w:ascii="Arial" w:eastAsia="Arial" w:hAnsi="Arial" w:cs="Arial"/>
                <w:color w:val="000000"/>
                <w:sz w:val="18"/>
                <w:szCs w:val="18"/>
                <w:bdr w:val="none" w:sz="0" w:space="0" w:color="auto" w:frame="1"/>
                <w:lang w:val="fr-FR"/>
              </w:rPr>
              <w:t>de méthodes d’enquête spéciales</w:t>
            </w:r>
          </w:p>
        </w:tc>
        <w:tc>
          <w:tcPr>
            <w:tcW w:w="1879"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relative à la criminalité organisée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en vigueur et est </w:t>
            </w:r>
            <w:r w:rsidRPr="00865DA5">
              <w:rPr>
                <w:rFonts w:ascii="Arial" w:eastAsia="Arial" w:hAnsi="Arial" w:cs="Arial"/>
                <w:b/>
                <w:bCs/>
                <w:color w:val="000000"/>
                <w:sz w:val="18"/>
                <w:szCs w:val="18"/>
                <w:bdr w:val="none" w:sz="0" w:space="0" w:color="auto" w:frame="1"/>
                <w:lang w:val="fr-FR"/>
              </w:rPr>
              <w:t>parfois</w:t>
            </w:r>
            <w:r w:rsidRPr="00865DA5">
              <w:rPr>
                <w:rFonts w:ascii="Arial" w:eastAsia="Arial" w:hAnsi="Arial" w:cs="Arial"/>
                <w:color w:val="000000"/>
                <w:sz w:val="18"/>
                <w:szCs w:val="18"/>
                <w:bdr w:val="none" w:sz="0" w:space="0" w:color="auto" w:frame="1"/>
                <w:lang w:val="fr-FR"/>
              </w:rPr>
              <w:t xml:space="preserve"> </w:t>
            </w:r>
            <w:r w:rsidRPr="00865DA5">
              <w:rPr>
                <w:rFonts w:ascii="Arial" w:eastAsia="Arial" w:hAnsi="Arial" w:cs="Arial"/>
                <w:b/>
                <w:color w:val="000000"/>
                <w:sz w:val="18"/>
                <w:szCs w:val="18"/>
                <w:bdr w:val="none" w:sz="0" w:space="0" w:color="auto" w:frame="1"/>
                <w:lang w:val="fr-FR"/>
              </w:rPr>
              <w:t>utilisée</w:t>
            </w:r>
            <w:r w:rsidRPr="00865DA5">
              <w:rPr>
                <w:rFonts w:ascii="Arial" w:eastAsia="Arial" w:hAnsi="Arial" w:cs="Arial"/>
                <w:color w:val="000000"/>
                <w:sz w:val="18"/>
                <w:szCs w:val="18"/>
                <w:bdr w:val="none" w:sz="0" w:space="0" w:color="auto" w:frame="1"/>
                <w:lang w:val="fr-FR"/>
              </w:rPr>
              <w:t xml:space="preserve"> dans les affaires d’IKB</w:t>
            </w:r>
          </w:p>
          <w:p w:rsidR="00BD5B7F" w:rsidRPr="00865DA5" w:rsidRDefault="00BD5B7F" w:rsidP="000E5961">
            <w:pPr>
              <w:rPr>
                <w:rFonts w:ascii="Arial" w:eastAsia="Calibri" w:hAnsi="Arial" w:cs="Arial"/>
                <w:i/>
                <w:i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méthodes d’enquête spéciales utilisées pour la criminalité organisée ne sont </w:t>
            </w:r>
            <w:r w:rsidRPr="00865DA5">
              <w:rPr>
                <w:rFonts w:ascii="Arial" w:eastAsia="Arial" w:hAnsi="Arial" w:cs="Arial"/>
                <w:b/>
                <w:bCs/>
                <w:color w:val="000000"/>
                <w:sz w:val="18"/>
                <w:szCs w:val="18"/>
                <w:bdr w:val="none" w:sz="0" w:space="0" w:color="auto" w:frame="1"/>
                <w:lang w:val="fr-FR"/>
              </w:rPr>
              <w:t>pas disponibles</w:t>
            </w:r>
            <w:r w:rsidRPr="00865DA5">
              <w:rPr>
                <w:rFonts w:ascii="Arial" w:eastAsia="Arial" w:hAnsi="Arial" w:cs="Arial"/>
                <w:color w:val="000000"/>
                <w:sz w:val="18"/>
                <w:szCs w:val="18"/>
                <w:bdr w:val="none" w:sz="0" w:space="0" w:color="auto" w:frame="1"/>
                <w:lang w:val="fr-FR"/>
              </w:rPr>
              <w:t xml:space="preserve"> pour les affaires d’IKB</w:t>
            </w:r>
          </w:p>
        </w:tc>
        <w:tc>
          <w:tcPr>
            <w:tcW w:w="1880"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relative à la criminalité organisée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en vigueur et est </w:t>
            </w:r>
            <w:r w:rsidRPr="00865DA5">
              <w:rPr>
                <w:rFonts w:ascii="Arial" w:eastAsia="Arial" w:hAnsi="Arial" w:cs="Arial"/>
                <w:b/>
                <w:bCs/>
                <w:color w:val="000000"/>
                <w:sz w:val="18"/>
                <w:szCs w:val="18"/>
                <w:bdr w:val="none" w:sz="0" w:space="0" w:color="auto" w:frame="1"/>
                <w:lang w:val="fr-FR"/>
              </w:rPr>
              <w:t>utilisée de manière appropriée</w:t>
            </w:r>
            <w:r w:rsidRPr="00865DA5">
              <w:rPr>
                <w:rFonts w:ascii="Arial" w:eastAsia="Arial" w:hAnsi="Arial" w:cs="Arial"/>
                <w:color w:val="000000"/>
                <w:sz w:val="18"/>
                <w:szCs w:val="18"/>
                <w:bdr w:val="none" w:sz="0" w:space="0" w:color="auto" w:frame="1"/>
                <w:lang w:val="fr-FR"/>
              </w:rPr>
              <w:t xml:space="preserve"> dans les affaires d’IKB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méthodes d’enquête spéciales utilisées pour la criminalité organisée sont </w:t>
            </w:r>
            <w:r w:rsidRPr="00865DA5">
              <w:rPr>
                <w:rFonts w:ascii="Arial" w:eastAsia="Arial" w:hAnsi="Arial" w:cs="Arial"/>
                <w:b/>
                <w:bCs/>
                <w:color w:val="000000"/>
                <w:sz w:val="18"/>
                <w:szCs w:val="18"/>
                <w:bdr w:val="none" w:sz="0" w:space="0" w:color="auto" w:frame="1"/>
                <w:lang w:val="fr-FR"/>
              </w:rPr>
              <w:t>appliquées</w:t>
            </w:r>
            <w:r w:rsidRPr="00865DA5">
              <w:rPr>
                <w:rFonts w:ascii="Arial" w:eastAsia="Arial" w:hAnsi="Arial" w:cs="Arial"/>
                <w:color w:val="000000"/>
                <w:sz w:val="18"/>
                <w:szCs w:val="18"/>
                <w:bdr w:val="none" w:sz="0" w:space="0" w:color="auto" w:frame="1"/>
                <w:lang w:val="fr-FR"/>
              </w:rPr>
              <w:t xml:space="preserve"> aux affaires d’IKB</w:t>
            </w:r>
          </w:p>
        </w:tc>
        <w:tc>
          <w:tcPr>
            <w:tcW w:w="1583"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Non applicable car le pays n’a pas connu de cas de criminalité organisée</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hAnsi="Arial" w:cs="Arial"/>
          <w:b/>
          <w:bCs/>
          <w:iCs/>
          <w:color w:val="000000"/>
          <w:szCs w:val="22"/>
          <w:lang w:val="fr-FR"/>
        </w:rPr>
      </w:pPr>
      <w:r w:rsidRPr="00865DA5">
        <w:rPr>
          <w:rFonts w:ascii="Arial" w:eastAsia="Calibri" w:hAnsi="Arial" w:cs="Arial"/>
          <w:color w:val="000000"/>
          <w:sz w:val="22"/>
          <w:szCs w:val="22"/>
          <w:lang w:val="fr-FR"/>
        </w:rPr>
        <w:br w:type="page"/>
      </w:r>
    </w:p>
    <w:p w:rsidR="00BD5B7F" w:rsidRPr="00865DA5" w:rsidRDefault="00BD5B7F" w:rsidP="00BD5B7F">
      <w:pPr>
        <w:keepNext/>
        <w:keepLines/>
        <w:spacing w:after="120"/>
        <w:jc w:val="both"/>
        <w:outlineLvl w:val="3"/>
        <w:rPr>
          <w:rFonts w:ascii="Arial" w:hAnsi="Arial" w:cs="Arial"/>
          <w:b/>
          <w:iCs/>
          <w:color w:val="000000"/>
          <w:sz w:val="28"/>
          <w:szCs w:val="22"/>
          <w:lang w:val="fr-FR"/>
        </w:rPr>
      </w:pPr>
      <w:bookmarkStart w:id="65" w:name="_Toc491245248"/>
      <w:bookmarkStart w:id="66" w:name="_Toc486539585"/>
      <w:r w:rsidRPr="00865DA5">
        <w:rPr>
          <w:rFonts w:ascii="Arial" w:eastAsia="Arial" w:hAnsi="Arial" w:cs="Arial"/>
          <w:b/>
          <w:bCs/>
          <w:iCs/>
          <w:color w:val="000000"/>
          <w:sz w:val="28"/>
          <w:szCs w:val="28"/>
          <w:bdr w:val="none" w:sz="0" w:space="0" w:color="auto" w:frame="1"/>
          <w:lang w:val="fr-FR"/>
        </w:rPr>
        <w:lastRenderedPageBreak/>
        <w:t>13. Transposition du droit et des engagements internationaux dans la législation nationale</w:t>
      </w:r>
      <w:bookmarkEnd w:id="65"/>
      <w:bookmarkEnd w:id="66"/>
      <w:r w:rsidRPr="00865DA5">
        <w:rPr>
          <w:rFonts w:ascii="Arial" w:eastAsia="Arial" w:hAnsi="Arial" w:cs="Arial"/>
          <w:b/>
          <w:bCs/>
          <w:iCs/>
          <w:color w:val="000000"/>
          <w:sz w:val="28"/>
          <w:szCs w:val="28"/>
          <w:bdr w:val="none" w:sz="0" w:space="0" w:color="auto" w:frame="1"/>
          <w:lang w:val="fr-FR"/>
        </w:rPr>
        <w:t xml:space="preserve"> </w:t>
      </w:r>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Le niveau d’exhaustivité des dispositions législatives nationales pour transposer les obligations de la CMS et de la Convention de Berne concernant l’IKB, lorsque celles-ci sont applicables.</w:t>
      </w:r>
    </w:p>
    <w:p w:rsidR="00BD5B7F" w:rsidRPr="00865DA5" w:rsidRDefault="00BD5B7F" w:rsidP="00BD5B7F">
      <w:pPr>
        <w:jc w:val="both"/>
        <w:rPr>
          <w:rFonts w:ascii="Arial" w:eastAsia="Calibri" w:hAnsi="Arial" w:cs="Arial"/>
          <w:color w:val="000000"/>
          <w:sz w:val="28"/>
          <w:szCs w:val="22"/>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 xml:space="preserve">Question : Dans quelle mesure la législation nationale transpose les obligations internationales concernant l’IKB et découlant de la ratification de la Convention sur les espèces migratrices et/ou de la Convention de Berne ? </w:t>
      </w:r>
    </w:p>
    <w:p w:rsidR="00BD5B7F" w:rsidRPr="00FF6562" w:rsidRDefault="00BD5B7F" w:rsidP="00BD5B7F">
      <w:pPr>
        <w:spacing w:after="120"/>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
        <w:gridCol w:w="1941"/>
        <w:gridCol w:w="1920"/>
        <w:gridCol w:w="1917"/>
        <w:gridCol w:w="1530"/>
      </w:tblGrid>
      <w:tr w:rsidR="00BD5B7F" w:rsidRPr="00FF6562" w:rsidTr="000E5961">
        <w:tc>
          <w:tcPr>
            <w:tcW w:w="1761" w:type="dxa"/>
            <w:gridSpan w:val="2"/>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1941" w:type="dxa"/>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192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1917"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shd w:val="clear" w:color="auto" w:fill="BFBFBF"/>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bdr w:val="none" w:sz="0" w:space="0" w:color="auto" w:frame="1"/>
              </w:rPr>
              <w:t>Non applicable</w:t>
            </w:r>
          </w:p>
        </w:tc>
      </w:tr>
      <w:tr w:rsidR="00BD5B7F" w:rsidRPr="00FC42B0" w:rsidTr="000E5961">
        <w:tc>
          <w:tcPr>
            <w:tcW w:w="1747"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 pays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N’est </w:t>
            </w:r>
            <w:r w:rsidRPr="00865DA5">
              <w:rPr>
                <w:rFonts w:ascii="Arial" w:eastAsia="Arial" w:hAnsi="Arial" w:cs="Arial"/>
                <w:b/>
                <w:bCs/>
                <w:color w:val="000000"/>
                <w:sz w:val="18"/>
                <w:szCs w:val="18"/>
                <w:bdr w:val="none" w:sz="0" w:space="0" w:color="auto" w:frame="1"/>
                <w:lang w:val="fr-FR"/>
              </w:rPr>
              <w:t>pas Partie</w:t>
            </w:r>
            <w:r w:rsidRPr="00865DA5">
              <w:rPr>
                <w:rFonts w:ascii="Arial" w:eastAsia="Arial" w:hAnsi="Arial" w:cs="Arial"/>
                <w:color w:val="000000"/>
                <w:sz w:val="18"/>
                <w:szCs w:val="18"/>
                <w:bdr w:val="none" w:sz="0" w:space="0" w:color="auto" w:frame="1"/>
                <w:lang w:val="fr-FR"/>
              </w:rPr>
              <w:t xml:space="preserve"> à la CMS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N’est </w:t>
            </w:r>
            <w:r w:rsidRPr="00865DA5">
              <w:rPr>
                <w:rFonts w:ascii="Arial" w:eastAsia="Arial" w:hAnsi="Arial" w:cs="Arial"/>
                <w:b/>
                <w:bCs/>
                <w:color w:val="000000"/>
                <w:sz w:val="18"/>
                <w:szCs w:val="18"/>
                <w:bdr w:val="none" w:sz="0" w:space="0" w:color="auto" w:frame="1"/>
                <w:lang w:val="fr-FR"/>
              </w:rPr>
              <w:t>pas Partie</w:t>
            </w:r>
            <w:r w:rsidRPr="00865DA5">
              <w:rPr>
                <w:rFonts w:ascii="Arial" w:eastAsia="Arial" w:hAnsi="Arial" w:cs="Arial"/>
                <w:color w:val="000000"/>
                <w:sz w:val="18"/>
                <w:szCs w:val="18"/>
                <w:bdr w:val="none" w:sz="0" w:space="0" w:color="auto" w:frame="1"/>
                <w:lang w:val="fr-FR"/>
              </w:rPr>
              <w:t xml:space="preserve"> à la Convention de Berne</w:t>
            </w:r>
          </w:p>
        </w:tc>
        <w:tc>
          <w:tcPr>
            <w:tcW w:w="1955"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relative à la CMS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N’a </w:t>
            </w:r>
            <w:r w:rsidRPr="00865DA5">
              <w:rPr>
                <w:rFonts w:ascii="Arial" w:eastAsia="Arial" w:hAnsi="Arial" w:cs="Arial"/>
                <w:b/>
                <w:bCs/>
                <w:color w:val="000000"/>
                <w:sz w:val="18"/>
                <w:szCs w:val="18"/>
                <w:bdr w:val="none" w:sz="0" w:space="0" w:color="auto" w:frame="1"/>
                <w:lang w:val="fr-FR"/>
              </w:rPr>
              <w:t>pas</w:t>
            </w:r>
            <w:r w:rsidRPr="00865DA5">
              <w:rPr>
                <w:rFonts w:ascii="Arial" w:eastAsia="Arial" w:hAnsi="Arial" w:cs="Arial"/>
                <w:color w:val="000000"/>
                <w:sz w:val="18"/>
                <w:szCs w:val="18"/>
                <w:bdr w:val="none" w:sz="0" w:space="0" w:color="auto" w:frame="1"/>
                <w:lang w:val="fr-FR"/>
              </w:rPr>
              <w:t xml:space="preserve"> été adoptée</w:t>
            </w:r>
          </w:p>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législation nationale relative à la Convention de Berne :</w:t>
            </w:r>
          </w:p>
          <w:p w:rsidR="00BD5B7F" w:rsidRPr="00FF6562" w:rsidRDefault="00BD5B7F" w:rsidP="000E5961">
            <w:pPr>
              <w:rPr>
                <w:rFonts w:ascii="Arial" w:eastAsia="Calibri" w:hAnsi="Arial" w:cs="Arial"/>
                <w:color w:val="000000"/>
                <w:sz w:val="18"/>
                <w:szCs w:val="18"/>
              </w:rPr>
            </w:pPr>
            <w:r w:rsidRPr="00FF6562">
              <w:rPr>
                <w:rFonts w:ascii="Arial" w:eastAsia="Arial" w:hAnsi="Arial" w:cs="Arial"/>
                <w:color w:val="000000"/>
                <w:sz w:val="16"/>
                <w:szCs w:val="16"/>
              </w:rPr>
              <w:t>􁃱</w:t>
            </w:r>
            <w:r w:rsidRPr="00FF6562">
              <w:rPr>
                <w:rFonts w:ascii="Arial" w:eastAsia="Calibri" w:hAnsi="Arial" w:cs="Arial"/>
                <w:color w:val="000000"/>
                <w:sz w:val="18"/>
                <w:szCs w:val="18"/>
              </w:rPr>
              <w:t xml:space="preserve"> </w:t>
            </w:r>
            <w:r w:rsidRPr="00FF6562">
              <w:rPr>
                <w:rFonts w:ascii="Arial" w:eastAsia="Arial" w:hAnsi="Arial" w:cs="Arial"/>
                <w:color w:val="000000"/>
                <w:sz w:val="18"/>
                <w:szCs w:val="18"/>
                <w:bdr w:val="none" w:sz="0" w:space="0" w:color="auto" w:frame="1"/>
              </w:rPr>
              <w:t xml:space="preserve">N’a </w:t>
            </w:r>
            <w:r w:rsidRPr="00FF6562">
              <w:rPr>
                <w:rFonts w:ascii="Arial" w:eastAsia="Arial" w:hAnsi="Arial" w:cs="Arial"/>
                <w:b/>
                <w:bCs/>
                <w:color w:val="000000"/>
                <w:sz w:val="18"/>
                <w:szCs w:val="18"/>
                <w:bdr w:val="none" w:sz="0" w:space="0" w:color="auto" w:frame="1"/>
              </w:rPr>
              <w:t>pas</w:t>
            </w:r>
            <w:r w:rsidRPr="00FF6562">
              <w:rPr>
                <w:rFonts w:ascii="Arial" w:eastAsia="Arial" w:hAnsi="Arial" w:cs="Arial"/>
                <w:color w:val="000000"/>
                <w:sz w:val="18"/>
                <w:szCs w:val="18"/>
                <w:bdr w:val="none" w:sz="0" w:space="0" w:color="auto" w:frame="1"/>
              </w:rPr>
              <w:t xml:space="preserve"> été adoptée</w:t>
            </w:r>
          </w:p>
          <w:p w:rsidR="00BD5B7F" w:rsidRPr="00FF6562" w:rsidRDefault="00BD5B7F" w:rsidP="000E5961">
            <w:pPr>
              <w:rPr>
                <w:rFonts w:ascii="Arial" w:eastAsia="Calibri" w:hAnsi="Arial" w:cs="Arial"/>
                <w:color w:val="000000"/>
                <w:sz w:val="18"/>
                <w:szCs w:val="18"/>
              </w:rPr>
            </w:pPr>
          </w:p>
          <w:p w:rsidR="00BD5B7F" w:rsidRPr="00FF6562" w:rsidRDefault="00BD5B7F" w:rsidP="000E5961">
            <w:pPr>
              <w:rPr>
                <w:rFonts w:ascii="Arial" w:eastAsia="Calibri" w:hAnsi="Arial" w:cs="Arial"/>
                <w:color w:val="000000"/>
                <w:sz w:val="18"/>
                <w:szCs w:val="18"/>
              </w:rPr>
            </w:pPr>
          </w:p>
        </w:tc>
        <w:tc>
          <w:tcPr>
            <w:tcW w:w="1920"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engagements de la CMS concernant la lutte contre l’IKB ont été </w:t>
            </w:r>
            <w:r w:rsidRPr="00865DA5">
              <w:rPr>
                <w:rFonts w:ascii="Arial" w:eastAsia="Arial" w:hAnsi="Arial" w:cs="Arial"/>
                <w:b/>
                <w:bCs/>
                <w:color w:val="000000"/>
                <w:sz w:val="18"/>
                <w:szCs w:val="18"/>
                <w:bdr w:val="none" w:sz="0" w:space="0" w:color="auto" w:frame="1"/>
                <w:lang w:val="fr-FR"/>
              </w:rPr>
              <w:t>partiellement</w:t>
            </w:r>
            <w:r w:rsidRPr="00865DA5">
              <w:rPr>
                <w:rFonts w:ascii="Arial" w:eastAsia="Arial" w:hAnsi="Arial" w:cs="Arial"/>
                <w:color w:val="000000"/>
                <w:sz w:val="18"/>
                <w:szCs w:val="18"/>
                <w:bdr w:val="none" w:sz="0" w:space="0" w:color="auto" w:frame="1"/>
                <w:lang w:val="fr-FR"/>
              </w:rPr>
              <w:t xml:space="preserve"> transposés dans la législation nationale existante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engagements de la Convention de Berne concernant la lutte contre l’IKB ont été </w:t>
            </w:r>
            <w:r w:rsidRPr="00865DA5">
              <w:rPr>
                <w:rFonts w:ascii="Arial" w:eastAsia="Arial" w:hAnsi="Arial" w:cs="Arial"/>
                <w:b/>
                <w:bCs/>
                <w:color w:val="000000"/>
                <w:sz w:val="18"/>
                <w:szCs w:val="18"/>
                <w:bdr w:val="none" w:sz="0" w:space="0" w:color="auto" w:frame="1"/>
                <w:lang w:val="fr-FR"/>
              </w:rPr>
              <w:t>partiellement</w:t>
            </w:r>
            <w:r w:rsidRPr="00865DA5">
              <w:rPr>
                <w:rFonts w:ascii="Arial" w:eastAsia="Arial" w:hAnsi="Arial" w:cs="Arial"/>
                <w:color w:val="000000"/>
                <w:sz w:val="18"/>
                <w:szCs w:val="18"/>
                <w:bdr w:val="none" w:sz="0" w:space="0" w:color="auto" w:frame="1"/>
                <w:lang w:val="fr-FR"/>
              </w:rPr>
              <w:t xml:space="preserve"> transposés dans la législation nationale existante</w:t>
            </w:r>
          </w:p>
          <w:p w:rsidR="00BD5B7F" w:rsidRPr="00865DA5" w:rsidRDefault="00BD5B7F" w:rsidP="000E5961">
            <w:pPr>
              <w:rPr>
                <w:rFonts w:ascii="Arial" w:eastAsia="Calibri" w:hAnsi="Arial" w:cs="Arial"/>
                <w:i/>
                <w:i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 pays </w:t>
            </w:r>
            <w:r w:rsidRPr="00865DA5">
              <w:rPr>
                <w:rFonts w:ascii="Arial" w:eastAsia="Arial" w:hAnsi="Arial" w:cs="Arial"/>
                <w:b/>
                <w:bCs/>
                <w:color w:val="000000"/>
                <w:sz w:val="18"/>
                <w:szCs w:val="18"/>
                <w:bdr w:val="none" w:sz="0" w:space="0" w:color="auto" w:frame="1"/>
                <w:lang w:val="fr-FR"/>
              </w:rPr>
              <w:t>a</w:t>
            </w:r>
            <w:r w:rsidRPr="00865DA5">
              <w:rPr>
                <w:rFonts w:ascii="Arial" w:eastAsia="Arial" w:hAnsi="Arial" w:cs="Arial"/>
                <w:color w:val="000000"/>
                <w:sz w:val="18"/>
                <w:szCs w:val="18"/>
                <w:bdr w:val="none" w:sz="0" w:space="0" w:color="auto" w:frame="1"/>
                <w:lang w:val="fr-FR"/>
              </w:rPr>
              <w:t xml:space="preserve"> des affaires/plaintes en suspens/non résolues en vertu de la Convention de Berne concernant la transposition incorrecte ou incomplète des dispositions de la Convention dans le droit national</w:t>
            </w:r>
          </w:p>
          <w:p w:rsidR="00BD5B7F" w:rsidRPr="00865DA5" w:rsidRDefault="00BD5B7F" w:rsidP="000E5961">
            <w:pPr>
              <w:rPr>
                <w:rFonts w:ascii="Arial" w:eastAsia="Calibri" w:hAnsi="Arial" w:cs="Arial"/>
                <w:i/>
                <w:iCs/>
                <w:color w:val="000000"/>
                <w:sz w:val="18"/>
                <w:szCs w:val="18"/>
                <w:lang w:val="fr-FR"/>
              </w:rPr>
            </w:pPr>
          </w:p>
        </w:tc>
        <w:tc>
          <w:tcPr>
            <w:tcW w:w="1917"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engagements de la CMS concernant la lutte contre l’IKB ont été </w:t>
            </w:r>
            <w:r w:rsidRPr="00865DA5">
              <w:rPr>
                <w:rFonts w:ascii="Arial" w:eastAsia="Arial" w:hAnsi="Arial" w:cs="Arial"/>
                <w:b/>
                <w:bCs/>
                <w:color w:val="000000"/>
                <w:sz w:val="18"/>
                <w:szCs w:val="18"/>
                <w:bdr w:val="none" w:sz="0" w:space="0" w:color="auto" w:frame="1"/>
                <w:lang w:val="fr-FR"/>
              </w:rPr>
              <w:t>pleinement</w:t>
            </w:r>
            <w:r w:rsidRPr="00865DA5">
              <w:rPr>
                <w:rFonts w:ascii="Arial" w:eastAsia="Arial" w:hAnsi="Arial" w:cs="Arial"/>
                <w:color w:val="000000"/>
                <w:sz w:val="18"/>
                <w:szCs w:val="18"/>
                <w:bdr w:val="none" w:sz="0" w:space="0" w:color="auto" w:frame="1"/>
                <w:lang w:val="fr-FR"/>
              </w:rPr>
              <w:t xml:space="preserve"> transposés dans la législation nationale existante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engagements de la Convention de Berne concernant la lutte contre l’IKB ont été </w:t>
            </w:r>
            <w:r w:rsidRPr="00865DA5">
              <w:rPr>
                <w:rFonts w:ascii="Arial" w:eastAsia="Arial" w:hAnsi="Arial" w:cs="Arial"/>
                <w:b/>
                <w:bCs/>
                <w:color w:val="000000"/>
                <w:sz w:val="18"/>
                <w:szCs w:val="18"/>
                <w:bdr w:val="none" w:sz="0" w:space="0" w:color="auto" w:frame="1"/>
                <w:lang w:val="fr-FR"/>
              </w:rPr>
              <w:t>pleinement</w:t>
            </w:r>
            <w:r w:rsidRPr="00865DA5">
              <w:rPr>
                <w:rFonts w:ascii="Arial" w:eastAsia="Arial" w:hAnsi="Arial" w:cs="Arial"/>
                <w:color w:val="000000"/>
                <w:sz w:val="18"/>
                <w:szCs w:val="18"/>
                <w:bdr w:val="none" w:sz="0" w:space="0" w:color="auto" w:frame="1"/>
                <w:lang w:val="fr-FR"/>
              </w:rPr>
              <w:t xml:space="preserve"> transposés dans la législation nationale existante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 pays </w:t>
            </w:r>
            <w:r w:rsidRPr="00865DA5">
              <w:rPr>
                <w:rFonts w:ascii="Arial" w:eastAsia="Arial" w:hAnsi="Arial" w:cs="Arial"/>
                <w:b/>
                <w:bCs/>
                <w:color w:val="000000"/>
                <w:sz w:val="18"/>
                <w:szCs w:val="18"/>
                <w:bdr w:val="none" w:sz="0" w:space="0" w:color="auto" w:frame="1"/>
                <w:lang w:val="fr-FR"/>
              </w:rPr>
              <w:t>n’a pas</w:t>
            </w:r>
            <w:r w:rsidRPr="00865DA5">
              <w:rPr>
                <w:rFonts w:ascii="Arial" w:eastAsia="Arial" w:hAnsi="Arial" w:cs="Arial"/>
                <w:color w:val="000000"/>
                <w:sz w:val="18"/>
                <w:szCs w:val="18"/>
                <w:bdr w:val="none" w:sz="0" w:space="0" w:color="auto" w:frame="1"/>
                <w:lang w:val="fr-FR"/>
              </w:rPr>
              <w:t xml:space="preserve"> d’affaires/plaintes en suspens/non résolues en vertu de la Convention de Berne concernant la transposition incorrecte des dispositions de la Convention dans le droit national</w:t>
            </w:r>
          </w:p>
          <w:p w:rsidR="00BD5B7F" w:rsidRPr="00865DA5" w:rsidRDefault="00BD5B7F" w:rsidP="000E5961">
            <w:pPr>
              <w:rPr>
                <w:rFonts w:ascii="Arial" w:eastAsia="Calibri" w:hAnsi="Arial" w:cs="Arial"/>
                <w:color w:val="000000"/>
                <w:sz w:val="18"/>
                <w:szCs w:val="18"/>
                <w:lang w:val="fr-FR"/>
              </w:rPr>
            </w:pPr>
          </w:p>
        </w:tc>
        <w:tc>
          <w:tcPr>
            <w:tcW w:w="1530"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 pays n’est pas Partie d’un ou des deux Traités </w:t>
            </w:r>
          </w:p>
          <w:p w:rsidR="00BD5B7F" w:rsidRPr="00865DA5" w:rsidRDefault="00BD5B7F" w:rsidP="000E5961">
            <w:pPr>
              <w:rPr>
                <w:rFonts w:ascii="Arial" w:eastAsia="Calibri" w:hAnsi="Arial" w:cs="Arial"/>
                <w:color w:val="000000"/>
                <w:sz w:val="18"/>
                <w:szCs w:val="18"/>
                <w:lang w:val="fr-FR"/>
              </w:rPr>
            </w:pP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color w:val="000000"/>
          <w:sz w:val="22"/>
          <w:szCs w:val="22"/>
          <w:lang w:val="fr-FR"/>
        </w:rPr>
      </w:pPr>
    </w:p>
    <w:p w:rsidR="00BD5B7F" w:rsidRPr="00865DA5" w:rsidRDefault="00BD5B7F" w:rsidP="00BD5B7F">
      <w:pPr>
        <w:rPr>
          <w:rFonts w:ascii="Arial" w:eastAsia="Calibri" w:hAnsi="Arial" w:cs="Arial"/>
          <w:color w:val="000000"/>
          <w:sz w:val="12"/>
          <w:szCs w:val="12"/>
          <w:lang w:val="fr-FR"/>
        </w:rPr>
      </w:pPr>
      <w:r w:rsidRPr="00865DA5">
        <w:rPr>
          <w:rFonts w:ascii="Arial" w:eastAsia="Calibri" w:hAnsi="Arial" w:cs="Arial"/>
          <w:color w:val="000000"/>
          <w:sz w:val="12"/>
          <w:szCs w:val="12"/>
          <w:lang w:val="fr-FR"/>
        </w:rPr>
        <w:br w:type="page"/>
      </w:r>
    </w:p>
    <w:p w:rsidR="00BD5B7F" w:rsidRPr="00865DA5" w:rsidRDefault="00BD5B7F" w:rsidP="00BD5B7F">
      <w:pPr>
        <w:keepNext/>
        <w:keepLines/>
        <w:jc w:val="both"/>
        <w:outlineLvl w:val="1"/>
        <w:rPr>
          <w:rFonts w:ascii="Arial" w:hAnsi="Arial" w:cs="Arial"/>
          <w:b/>
          <w:color w:val="000000"/>
          <w:sz w:val="30"/>
          <w:szCs w:val="30"/>
          <w:lang w:val="fr-FR"/>
        </w:rPr>
      </w:pPr>
      <w:bookmarkStart w:id="67" w:name="_Toc491245249"/>
      <w:bookmarkStart w:id="68" w:name="_Toc491245059"/>
      <w:bookmarkStart w:id="69" w:name="_Toc486539586"/>
      <w:r w:rsidRPr="00865DA5">
        <w:rPr>
          <w:rFonts w:ascii="Arial" w:eastAsia="Arial" w:hAnsi="Arial" w:cs="Arial"/>
          <w:b/>
          <w:bCs/>
          <w:color w:val="000000"/>
          <w:sz w:val="30"/>
          <w:szCs w:val="30"/>
          <w:bdr w:val="none" w:sz="0" w:space="0" w:color="auto" w:frame="1"/>
          <w:lang w:val="fr-FR"/>
        </w:rPr>
        <w:lastRenderedPageBreak/>
        <w:t>C. Réponse en matière de lutte contre la fraude : Niveau de préparation des organes chargés de l’application des lois et de la lutte contre la fraude, et coordination des institutions nationales</w:t>
      </w:r>
      <w:bookmarkEnd w:id="67"/>
      <w:bookmarkEnd w:id="68"/>
      <w:bookmarkEnd w:id="69"/>
    </w:p>
    <w:p w:rsidR="00BD5B7F" w:rsidRPr="00865DA5" w:rsidRDefault="00BD5B7F" w:rsidP="00BD5B7F">
      <w:pPr>
        <w:jc w:val="both"/>
        <w:rPr>
          <w:rFonts w:ascii="Arial" w:eastAsia="Calibri" w:hAnsi="Arial" w:cs="Arial"/>
          <w:color w:val="000000"/>
          <w:sz w:val="12"/>
          <w:szCs w:val="12"/>
          <w:lang w:val="fr-FR"/>
        </w:rPr>
      </w:pPr>
    </w:p>
    <w:p w:rsidR="00BD5B7F" w:rsidRPr="00865DA5" w:rsidRDefault="00BD5B7F" w:rsidP="00BD5B7F">
      <w:pPr>
        <w:keepNext/>
        <w:keepLines/>
        <w:spacing w:after="120"/>
        <w:jc w:val="both"/>
        <w:outlineLvl w:val="3"/>
        <w:rPr>
          <w:rFonts w:ascii="Arial" w:hAnsi="Arial" w:cs="Arial"/>
          <w:b/>
          <w:i/>
          <w:iCs/>
          <w:color w:val="000000"/>
          <w:sz w:val="18"/>
          <w:szCs w:val="18"/>
          <w:lang w:val="fr-FR"/>
        </w:rPr>
      </w:pPr>
      <w:bookmarkStart w:id="70" w:name="_Toc491245250"/>
      <w:bookmarkStart w:id="71" w:name="_Toc486539587"/>
      <w:r w:rsidRPr="00865DA5">
        <w:rPr>
          <w:rFonts w:ascii="Arial" w:eastAsia="Arial" w:hAnsi="Arial" w:cs="Arial"/>
          <w:b/>
          <w:bCs/>
          <w:iCs/>
          <w:color w:val="000000"/>
          <w:sz w:val="28"/>
          <w:szCs w:val="28"/>
          <w:bdr w:val="none" w:sz="0" w:space="0" w:color="auto" w:frame="1"/>
          <w:lang w:val="fr-FR"/>
        </w:rPr>
        <w:t>14. Plan d’action national pour la lutte contre l’IKB</w:t>
      </w:r>
      <w:r w:rsidRPr="00FF6562">
        <w:rPr>
          <w:rFonts w:ascii="Arial" w:hAnsi="Arial" w:cs="Arial"/>
          <w:b/>
          <w:iCs/>
          <w:color w:val="000000"/>
          <w:sz w:val="28"/>
          <w:szCs w:val="22"/>
          <w:vertAlign w:val="superscript"/>
        </w:rPr>
        <w:footnoteReference w:id="29"/>
      </w:r>
      <w:bookmarkEnd w:id="70"/>
      <w:bookmarkEnd w:id="71"/>
      <w:r w:rsidRPr="00865DA5">
        <w:rPr>
          <w:rFonts w:ascii="Arial" w:eastAsia="Arial" w:hAnsi="Arial" w:cs="Arial"/>
          <w:b/>
          <w:bCs/>
          <w:iCs/>
          <w:color w:val="000000"/>
          <w:sz w:val="28"/>
          <w:szCs w:val="28"/>
          <w:bdr w:val="none" w:sz="0" w:space="0" w:color="auto" w:frame="1"/>
          <w:vertAlign w:val="superscript"/>
          <w:lang w:val="fr-FR"/>
        </w:rPr>
        <w:t xml:space="preserve"> </w:t>
      </w:r>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L’existence d’une stratégie nationale ou d’un plan d’action relatif à l’IKB.</w:t>
      </w:r>
    </w:p>
    <w:p w:rsidR="00BD5B7F" w:rsidRPr="00865DA5" w:rsidRDefault="00BD5B7F" w:rsidP="00BD5B7F">
      <w:pPr>
        <w:jc w:val="both"/>
        <w:rPr>
          <w:rFonts w:ascii="Arial" w:eastAsia="Calibri" w:hAnsi="Arial" w:cs="Arial"/>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 xml:space="preserve">Question : Existe-t-il un plan </w:t>
      </w:r>
      <w:proofErr w:type="gramStart"/>
      <w:r w:rsidRPr="00865DA5">
        <w:rPr>
          <w:rFonts w:ascii="Arial" w:eastAsia="Arial" w:hAnsi="Arial" w:cs="Arial"/>
          <w:b/>
          <w:bCs/>
          <w:i/>
          <w:iCs/>
          <w:color w:val="000000"/>
          <w:sz w:val="22"/>
          <w:szCs w:val="22"/>
          <w:bdr w:val="none" w:sz="0" w:space="0" w:color="auto" w:frame="1"/>
          <w:lang w:val="fr-FR"/>
        </w:rPr>
        <w:t>d’action national</w:t>
      </w:r>
      <w:proofErr w:type="gramEnd"/>
      <w:r w:rsidRPr="00865DA5">
        <w:rPr>
          <w:rFonts w:ascii="Arial" w:eastAsia="Arial" w:hAnsi="Arial" w:cs="Arial"/>
          <w:b/>
          <w:bCs/>
          <w:i/>
          <w:iCs/>
          <w:color w:val="000000"/>
          <w:sz w:val="22"/>
          <w:szCs w:val="22"/>
          <w:bdr w:val="none" w:sz="0" w:space="0" w:color="auto" w:frame="1"/>
          <w:lang w:val="fr-FR"/>
        </w:rPr>
        <w:t xml:space="preserve"> ou un document équivalent pour lutter contre l’IKB ?</w:t>
      </w:r>
    </w:p>
    <w:p w:rsidR="00BD5B7F" w:rsidRPr="00865DA5" w:rsidRDefault="00BD5B7F" w:rsidP="00BD5B7F">
      <w:pPr>
        <w:rPr>
          <w:rFonts w:ascii="Arial" w:eastAsia="Calibri" w:hAnsi="Arial" w:cs="Arial"/>
          <w:b/>
          <w:bCs/>
          <w:i/>
          <w:iCs/>
          <w:color w:val="000000"/>
          <w:sz w:val="22"/>
          <w:szCs w:val="18"/>
          <w:lang w:val="fr-FR"/>
        </w:rPr>
      </w:pPr>
    </w:p>
    <w:p w:rsidR="00BD5B7F" w:rsidRPr="00FF6562" w:rsidRDefault="00BD5B7F" w:rsidP="00BD5B7F">
      <w:pPr>
        <w:spacing w:after="120"/>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12"/>
        <w:gridCol w:w="2305"/>
        <w:gridCol w:w="14"/>
        <w:gridCol w:w="2322"/>
        <w:gridCol w:w="2326"/>
      </w:tblGrid>
      <w:tr w:rsidR="00BD5B7F" w:rsidRPr="00FF6562" w:rsidTr="000E5961">
        <w:tc>
          <w:tcPr>
            <w:tcW w:w="2310"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1"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9"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2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322"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Un plan d’action national 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N’a </w:t>
            </w:r>
            <w:r w:rsidRPr="00865DA5">
              <w:rPr>
                <w:rFonts w:ascii="Arial" w:eastAsia="Arial" w:hAnsi="Arial" w:cs="Arial"/>
                <w:b/>
                <w:bCs/>
                <w:color w:val="000000"/>
                <w:sz w:val="18"/>
                <w:szCs w:val="18"/>
                <w:bdr w:val="none" w:sz="0" w:space="0" w:color="auto" w:frame="1"/>
                <w:lang w:val="fr-FR"/>
              </w:rPr>
              <w:t xml:space="preserve">pas </w:t>
            </w:r>
            <w:r w:rsidRPr="00865DA5">
              <w:rPr>
                <w:rFonts w:ascii="Arial" w:eastAsia="Arial" w:hAnsi="Arial" w:cs="Arial"/>
                <w:color w:val="000000"/>
                <w:sz w:val="18"/>
                <w:szCs w:val="18"/>
                <w:bdr w:val="none" w:sz="0" w:space="0" w:color="auto" w:frame="1"/>
                <w:lang w:val="fr-FR"/>
              </w:rPr>
              <w:t>été élaboré</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L’IKB </w:t>
            </w:r>
            <w:r w:rsidRPr="00865DA5">
              <w:rPr>
                <w:rFonts w:ascii="Arial" w:eastAsia="Arial" w:hAnsi="Arial" w:cs="Arial"/>
                <w:b/>
                <w:bCs/>
                <w:color w:val="000000"/>
                <w:sz w:val="18"/>
                <w:szCs w:val="18"/>
                <w:bdr w:val="none" w:sz="0" w:space="0" w:color="auto" w:frame="1"/>
                <w:lang w:val="fr-FR"/>
              </w:rPr>
              <w:t>n’est pas</w:t>
            </w:r>
            <w:r w:rsidRPr="00865DA5">
              <w:rPr>
                <w:rFonts w:ascii="Arial" w:eastAsia="Arial" w:hAnsi="Arial" w:cs="Arial"/>
                <w:color w:val="000000"/>
                <w:sz w:val="18"/>
                <w:szCs w:val="18"/>
                <w:bdr w:val="none" w:sz="0" w:space="0" w:color="auto" w:frame="1"/>
                <w:lang w:val="fr-FR"/>
              </w:rPr>
              <w:t xml:space="preserve"> couvert par d’autres stratégies de lutte contre la fraude ou plans d’action pertinents</w:t>
            </w:r>
          </w:p>
        </w:tc>
        <w:tc>
          <w:tcPr>
            <w:tcW w:w="2323"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Un plan d’action national 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color w:val="000000"/>
                <w:sz w:val="18"/>
                <w:szCs w:val="18"/>
                <w:bdr w:val="none" w:sz="0" w:space="0" w:color="auto" w:frame="1"/>
                <w:lang w:val="fr-FR"/>
              </w:rPr>
              <w:t>en train</w:t>
            </w:r>
            <w:r w:rsidRPr="00865DA5">
              <w:rPr>
                <w:rFonts w:ascii="Arial" w:eastAsia="Arial" w:hAnsi="Arial" w:cs="Arial"/>
                <w:color w:val="000000"/>
                <w:sz w:val="18"/>
                <w:szCs w:val="18"/>
                <w:bdr w:val="none" w:sz="0" w:space="0" w:color="auto" w:frame="1"/>
                <w:lang w:val="fr-FR"/>
              </w:rPr>
              <w:t xml:space="preserve"> d’être élaboré</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L’IKB est couvert par d’autres stratégies de lutte contre la fraude ou plans d’action pertinents</w:t>
            </w:r>
          </w:p>
        </w:tc>
        <w:tc>
          <w:tcPr>
            <w:tcW w:w="2325"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Un plan d’action national 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A été élaboré</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A été adopté par certaines agences nationales pertinentes de lutte contre la fraude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N’est </w:t>
            </w:r>
            <w:r w:rsidRPr="00865DA5">
              <w:rPr>
                <w:rFonts w:ascii="Arial" w:eastAsia="Arial" w:hAnsi="Arial" w:cs="Arial"/>
                <w:b/>
                <w:bCs/>
                <w:color w:val="000000"/>
                <w:sz w:val="18"/>
                <w:szCs w:val="18"/>
                <w:bdr w:val="none" w:sz="0" w:space="0" w:color="auto" w:frame="1"/>
                <w:lang w:val="fr-FR"/>
              </w:rPr>
              <w:t>pas activement</w:t>
            </w:r>
            <w:r w:rsidRPr="00865DA5">
              <w:rPr>
                <w:rFonts w:ascii="Arial" w:eastAsia="Arial" w:hAnsi="Arial" w:cs="Arial"/>
                <w:color w:val="000000"/>
                <w:sz w:val="18"/>
                <w:szCs w:val="18"/>
                <w:bdr w:val="none" w:sz="0" w:space="0" w:color="auto" w:frame="1"/>
                <w:lang w:val="fr-FR"/>
              </w:rPr>
              <w:t xml:space="preserve"> mis en œuvre par toutes les agences pertinentes de lutte contre la fraude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N’a </w:t>
            </w:r>
            <w:r w:rsidRPr="00865DA5">
              <w:rPr>
                <w:rFonts w:ascii="Arial" w:eastAsia="Arial" w:hAnsi="Arial" w:cs="Arial"/>
                <w:b/>
                <w:bCs/>
                <w:color w:val="000000"/>
                <w:sz w:val="18"/>
                <w:szCs w:val="18"/>
                <w:bdr w:val="none" w:sz="0" w:space="0" w:color="auto" w:frame="1"/>
                <w:lang w:val="fr-FR"/>
              </w:rPr>
              <w:t>pas</w:t>
            </w:r>
            <w:r w:rsidRPr="00865DA5">
              <w:rPr>
                <w:rFonts w:ascii="Arial" w:eastAsia="Arial" w:hAnsi="Arial" w:cs="Arial"/>
                <w:color w:val="000000"/>
                <w:sz w:val="18"/>
                <w:szCs w:val="18"/>
                <w:bdr w:val="none" w:sz="0" w:space="0" w:color="auto" w:frame="1"/>
                <w:lang w:val="fr-FR"/>
              </w:rPr>
              <w:t xml:space="preserve"> été régulièrement mis à jour</w:t>
            </w:r>
          </w:p>
        </w:tc>
        <w:tc>
          <w:tcPr>
            <w:tcW w:w="2329"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Un plan d’action national 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A été élaboré</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A été adopté par toutes les agences nationales pertinentes de lutte contre la fraude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color w:val="000000"/>
                <w:sz w:val="18"/>
                <w:szCs w:val="18"/>
                <w:bdr w:val="none" w:sz="0" w:space="0" w:color="auto" w:frame="1"/>
                <w:lang w:val="fr-FR"/>
              </w:rPr>
              <w:t>activement</w:t>
            </w:r>
            <w:r w:rsidRPr="00865DA5">
              <w:rPr>
                <w:rFonts w:ascii="Arial" w:eastAsia="Arial" w:hAnsi="Arial" w:cs="Arial"/>
                <w:color w:val="000000"/>
                <w:sz w:val="18"/>
                <w:szCs w:val="18"/>
                <w:bdr w:val="none" w:sz="0" w:space="0" w:color="auto" w:frame="1"/>
                <w:lang w:val="fr-FR"/>
              </w:rPr>
              <w:t xml:space="preserve"> mis en œuvre par toutes les agences pertinentes de lutte contre la fraude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Est suivi et révisé pour veiller à ce qu’il reste à jour</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b/>
          <w:bCs/>
          <w:color w:val="000000"/>
          <w:sz w:val="23"/>
          <w:szCs w:val="23"/>
          <w:lang w:val="fr-FR"/>
        </w:rPr>
      </w:pPr>
      <w:r w:rsidRPr="00865DA5">
        <w:rPr>
          <w:rFonts w:ascii="Arial" w:eastAsia="Calibri" w:hAnsi="Arial" w:cs="Arial"/>
          <w:b/>
          <w:bCs/>
          <w:color w:val="000000"/>
          <w:sz w:val="23"/>
          <w:szCs w:val="23"/>
          <w:lang w:val="fr-FR"/>
        </w:rPr>
        <w:br w:type="page"/>
      </w:r>
    </w:p>
    <w:p w:rsidR="00BD5B7F" w:rsidRPr="00865DA5" w:rsidRDefault="00BD5B7F" w:rsidP="00BD5B7F">
      <w:pPr>
        <w:keepNext/>
        <w:keepLines/>
        <w:spacing w:after="120"/>
        <w:outlineLvl w:val="3"/>
        <w:rPr>
          <w:rFonts w:ascii="Arial" w:hAnsi="Arial" w:cs="Arial"/>
          <w:b/>
          <w:i/>
          <w:iCs/>
          <w:color w:val="000000"/>
          <w:sz w:val="18"/>
          <w:szCs w:val="18"/>
          <w:lang w:val="fr-FR"/>
        </w:rPr>
      </w:pPr>
      <w:bookmarkStart w:id="72" w:name="_Toc491245251"/>
      <w:bookmarkStart w:id="73" w:name="_Toc486539588"/>
      <w:r w:rsidRPr="00865DA5">
        <w:rPr>
          <w:rFonts w:ascii="Arial" w:eastAsia="Arial" w:hAnsi="Arial" w:cs="Arial"/>
          <w:b/>
          <w:bCs/>
          <w:iCs/>
          <w:color w:val="000000"/>
          <w:sz w:val="28"/>
          <w:szCs w:val="28"/>
          <w:bdr w:val="none" w:sz="0" w:space="0" w:color="auto" w:frame="1"/>
          <w:lang w:val="fr-FR"/>
        </w:rPr>
        <w:lastRenderedPageBreak/>
        <w:t>15. Priorité de l’IKB dans la lutte contre la fraude</w:t>
      </w:r>
      <w:r w:rsidRPr="00FF6562">
        <w:rPr>
          <w:rFonts w:ascii="Arial" w:hAnsi="Arial" w:cs="Arial"/>
          <w:b/>
          <w:iCs/>
          <w:color w:val="000000"/>
          <w:sz w:val="28"/>
          <w:szCs w:val="22"/>
          <w:vertAlign w:val="superscript"/>
        </w:rPr>
        <w:footnoteReference w:id="30"/>
      </w:r>
      <w:bookmarkEnd w:id="72"/>
      <w:bookmarkEnd w:id="73"/>
      <w:r w:rsidRPr="00865DA5">
        <w:rPr>
          <w:rFonts w:ascii="Arial" w:eastAsia="Arial" w:hAnsi="Arial" w:cs="Arial"/>
          <w:b/>
          <w:bCs/>
          <w:iCs/>
          <w:color w:val="000000"/>
          <w:sz w:val="28"/>
          <w:szCs w:val="28"/>
          <w:bdr w:val="none" w:sz="0" w:space="0" w:color="auto" w:frame="1"/>
          <w:vertAlign w:val="superscript"/>
          <w:lang w:val="fr-FR"/>
        </w:rPr>
        <w:t xml:space="preserve"> </w:t>
      </w:r>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La reconnaissance de la lutte contre la criminalité liée aux espèces sauvages comme une priorité élevée au niveau national.</w:t>
      </w:r>
    </w:p>
    <w:p w:rsidR="00BD5B7F" w:rsidRPr="00865DA5" w:rsidRDefault="00BD5B7F" w:rsidP="00BD5B7F">
      <w:pPr>
        <w:jc w:val="both"/>
        <w:rPr>
          <w:rFonts w:ascii="Arial" w:eastAsia="Calibri" w:hAnsi="Arial" w:cs="Arial"/>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La lutte contre l’IKB est-elle identifiée comme une priorité élevée au niveau national ?</w:t>
      </w:r>
    </w:p>
    <w:p w:rsidR="00BD5B7F" w:rsidRPr="00865DA5" w:rsidRDefault="00BD5B7F" w:rsidP="00BD5B7F">
      <w:pPr>
        <w:jc w:val="both"/>
        <w:rPr>
          <w:rFonts w:ascii="Arial" w:eastAsia="Calibri" w:hAnsi="Arial" w:cs="Arial"/>
          <w:i/>
          <w:iCs/>
          <w:color w:val="000000"/>
          <w:sz w:val="22"/>
          <w:szCs w:val="18"/>
          <w:lang w:val="fr-FR"/>
        </w:rPr>
      </w:pPr>
    </w:p>
    <w:p w:rsidR="00BD5B7F" w:rsidRPr="00FF6562" w:rsidRDefault="00BD5B7F" w:rsidP="00BD5B7F">
      <w:pPr>
        <w:spacing w:after="120"/>
        <w:jc w:val="both"/>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7"/>
        <w:gridCol w:w="2312"/>
        <w:gridCol w:w="2333"/>
        <w:gridCol w:w="2329"/>
      </w:tblGrid>
      <w:tr w:rsidR="00BD5B7F" w:rsidRPr="00FF6562" w:rsidTr="000E5961">
        <w:tc>
          <w:tcPr>
            <w:tcW w:w="2308"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3"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6"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2"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315"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criminalité relative à l’IKB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bCs/>
                <w:color w:val="000000"/>
                <w:sz w:val="18"/>
                <w:szCs w:val="18"/>
                <w:bdr w:val="none" w:sz="0" w:space="0" w:color="auto" w:frame="1"/>
                <w:lang w:val="fr-FR"/>
              </w:rPr>
              <w:t>rarement</w:t>
            </w:r>
            <w:r w:rsidRPr="00865DA5">
              <w:rPr>
                <w:rFonts w:ascii="Arial" w:eastAsia="Arial" w:hAnsi="Arial" w:cs="Arial"/>
                <w:color w:val="000000"/>
                <w:sz w:val="18"/>
                <w:szCs w:val="18"/>
                <w:bdr w:val="none" w:sz="0" w:space="0" w:color="auto" w:frame="1"/>
                <w:lang w:val="fr-FR"/>
              </w:rPr>
              <w:t xml:space="preserve"> identifiée comme une priorité élevée pour les agences d’application des lois et de lutte contre la fraude</w:t>
            </w:r>
          </w:p>
        </w:tc>
        <w:tc>
          <w:tcPr>
            <w:tcW w:w="2316"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criminalité relative à l’IKB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bCs/>
                <w:color w:val="000000"/>
                <w:sz w:val="18"/>
                <w:szCs w:val="18"/>
                <w:bdr w:val="none" w:sz="0" w:space="0" w:color="auto" w:frame="1"/>
                <w:lang w:val="fr-FR"/>
              </w:rPr>
              <w:t>parfois</w:t>
            </w:r>
            <w:r w:rsidRPr="00865DA5">
              <w:rPr>
                <w:rFonts w:ascii="Arial" w:eastAsia="Arial" w:hAnsi="Arial" w:cs="Arial"/>
                <w:color w:val="000000"/>
                <w:sz w:val="18"/>
                <w:szCs w:val="18"/>
                <w:bdr w:val="none" w:sz="0" w:space="0" w:color="auto" w:frame="1"/>
                <w:lang w:val="fr-FR"/>
              </w:rPr>
              <w:t xml:space="preserve"> identifiée comme une priorité élevée pour les agences d’application des lois et de lutte contre la fraude</w:t>
            </w:r>
          </w:p>
        </w:tc>
        <w:tc>
          <w:tcPr>
            <w:tcW w:w="2336"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criminalité relative à l’IKB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bCs/>
                <w:color w:val="000000"/>
                <w:sz w:val="18"/>
                <w:szCs w:val="18"/>
                <w:bdr w:val="none" w:sz="0" w:space="0" w:color="auto" w:frame="1"/>
                <w:lang w:val="fr-FR"/>
              </w:rPr>
              <w:t>généralement</w:t>
            </w:r>
            <w:r w:rsidRPr="00865DA5">
              <w:rPr>
                <w:rFonts w:ascii="Arial" w:eastAsia="Arial" w:hAnsi="Arial" w:cs="Arial"/>
                <w:color w:val="000000"/>
                <w:sz w:val="18"/>
                <w:szCs w:val="18"/>
                <w:bdr w:val="none" w:sz="0" w:space="0" w:color="auto" w:frame="1"/>
                <w:lang w:val="fr-FR"/>
              </w:rPr>
              <w:t xml:space="preserve"> identifiée comme une priorité élevée pour les agences d’application des lois et de lutte contre la fraude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N’a </w:t>
            </w:r>
            <w:r w:rsidRPr="00865DA5">
              <w:rPr>
                <w:rFonts w:ascii="Arial" w:eastAsia="Arial" w:hAnsi="Arial" w:cs="Arial"/>
                <w:b/>
                <w:bCs/>
                <w:color w:val="000000"/>
                <w:sz w:val="18"/>
                <w:szCs w:val="18"/>
                <w:bdr w:val="none" w:sz="0" w:space="0" w:color="auto" w:frame="1"/>
                <w:lang w:val="fr-FR"/>
              </w:rPr>
              <w:t>pas</w:t>
            </w:r>
            <w:r w:rsidRPr="00865DA5">
              <w:rPr>
                <w:rFonts w:ascii="Arial" w:eastAsia="Arial" w:hAnsi="Arial" w:cs="Arial"/>
                <w:color w:val="000000"/>
                <w:sz w:val="18"/>
                <w:szCs w:val="18"/>
                <w:bdr w:val="none" w:sz="0" w:space="0" w:color="auto" w:frame="1"/>
                <w:lang w:val="fr-FR"/>
              </w:rPr>
              <w:t xml:space="preserve"> été officiellement</w:t>
            </w:r>
            <w:r w:rsidRPr="00FF6562">
              <w:rPr>
                <w:rFonts w:ascii="Arial" w:eastAsia="Calibri" w:hAnsi="Arial" w:cs="Arial"/>
                <w:color w:val="000000"/>
                <w:sz w:val="18"/>
                <w:szCs w:val="18"/>
                <w:vertAlign w:val="superscript"/>
              </w:rPr>
              <w:footnoteReference w:id="31"/>
            </w:r>
            <w:r w:rsidRPr="00865DA5">
              <w:rPr>
                <w:rFonts w:ascii="Arial" w:eastAsia="Arial" w:hAnsi="Arial" w:cs="Arial"/>
                <w:color w:val="000000"/>
                <w:sz w:val="18"/>
                <w:szCs w:val="18"/>
                <w:bdr w:val="none" w:sz="0" w:space="0" w:color="auto" w:frame="1"/>
                <w:lang w:val="fr-FR"/>
              </w:rPr>
              <w:t xml:space="preserve"> adoptée et/ou reconnue comme une priorité élevée</w:t>
            </w:r>
          </w:p>
        </w:tc>
        <w:tc>
          <w:tcPr>
            <w:tcW w:w="2332"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criminalité relative à l’IKB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bCs/>
                <w:color w:val="000000"/>
                <w:sz w:val="18"/>
                <w:szCs w:val="18"/>
                <w:bdr w:val="none" w:sz="0" w:space="0" w:color="auto" w:frame="1"/>
                <w:lang w:val="fr-FR"/>
              </w:rPr>
              <w:t>généralement</w:t>
            </w:r>
            <w:r w:rsidRPr="00865DA5">
              <w:rPr>
                <w:rFonts w:ascii="Arial" w:eastAsia="Arial" w:hAnsi="Arial" w:cs="Arial"/>
                <w:color w:val="000000"/>
                <w:sz w:val="18"/>
                <w:szCs w:val="18"/>
                <w:bdr w:val="none" w:sz="0" w:space="0" w:color="auto" w:frame="1"/>
                <w:lang w:val="fr-FR"/>
              </w:rPr>
              <w:t xml:space="preserve"> identifiée comme une priorité élevée pour les agences d’application des lois et de lutte contre la fraude</w:t>
            </w:r>
          </w:p>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 </w:t>
            </w: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A été officiellement adoptée et/ou reconnue comme une priorité élevée</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b/>
          <w:bCs/>
          <w:color w:val="000000"/>
          <w:sz w:val="23"/>
          <w:szCs w:val="23"/>
          <w:lang w:val="fr-FR"/>
        </w:rPr>
      </w:pPr>
      <w:r w:rsidRPr="00865DA5">
        <w:rPr>
          <w:rFonts w:ascii="Arial" w:eastAsia="Calibri" w:hAnsi="Arial" w:cs="Arial"/>
          <w:b/>
          <w:bCs/>
          <w:color w:val="000000"/>
          <w:sz w:val="23"/>
          <w:szCs w:val="23"/>
          <w:lang w:val="fr-FR"/>
        </w:rPr>
        <w:br w:type="page"/>
      </w:r>
    </w:p>
    <w:p w:rsidR="00BD5B7F" w:rsidRPr="00865DA5" w:rsidRDefault="00BD5B7F" w:rsidP="00BD5B7F">
      <w:pPr>
        <w:keepNext/>
        <w:keepLines/>
        <w:spacing w:after="120"/>
        <w:outlineLvl w:val="3"/>
        <w:rPr>
          <w:rFonts w:ascii="Arial" w:hAnsi="Arial" w:cs="Arial"/>
          <w:b/>
          <w:iCs/>
          <w:color w:val="000000"/>
          <w:sz w:val="28"/>
          <w:szCs w:val="22"/>
          <w:lang w:val="fr-FR"/>
        </w:rPr>
      </w:pPr>
      <w:bookmarkStart w:id="74" w:name="_Toc491245252"/>
      <w:bookmarkStart w:id="75" w:name="_Toc486539589"/>
      <w:r w:rsidRPr="00865DA5">
        <w:rPr>
          <w:rFonts w:ascii="Arial" w:eastAsia="Arial" w:hAnsi="Arial" w:cs="Arial"/>
          <w:b/>
          <w:bCs/>
          <w:iCs/>
          <w:color w:val="000000"/>
          <w:sz w:val="28"/>
          <w:szCs w:val="28"/>
          <w:bdr w:val="none" w:sz="0" w:space="0" w:color="auto" w:frame="1"/>
          <w:lang w:val="fr-FR"/>
        </w:rPr>
        <w:lastRenderedPageBreak/>
        <w:t>16. Parties prenantes et élaboration des politiques</w:t>
      </w:r>
      <w:bookmarkEnd w:id="74"/>
      <w:bookmarkEnd w:id="75"/>
    </w:p>
    <w:p w:rsidR="00BD5B7F" w:rsidRPr="00865DA5" w:rsidRDefault="00BD5B7F" w:rsidP="00BD5B7F">
      <w:pPr>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Le niveau de participation des parties prenantes à l’élaboration des politiques relatives à l’IKB.</w:t>
      </w:r>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 xml:space="preserve"> </w:t>
      </w: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Dans quelle mesure et avec quels moyens les parties prenantes</w:t>
      </w:r>
      <w:r w:rsidRPr="00FF6562">
        <w:rPr>
          <w:rFonts w:ascii="Arial" w:eastAsia="Calibri" w:hAnsi="Arial" w:cs="Arial"/>
          <w:b/>
          <w:bCs/>
          <w:i/>
          <w:iCs/>
          <w:color w:val="000000"/>
          <w:sz w:val="22"/>
          <w:szCs w:val="22"/>
          <w:vertAlign w:val="superscript"/>
        </w:rPr>
        <w:footnoteReference w:id="32"/>
      </w:r>
      <w:r w:rsidRPr="00865DA5">
        <w:rPr>
          <w:rFonts w:ascii="Arial" w:eastAsia="Arial" w:hAnsi="Arial" w:cs="Arial"/>
          <w:b/>
          <w:bCs/>
          <w:i/>
          <w:iCs/>
          <w:color w:val="000000"/>
          <w:sz w:val="22"/>
          <w:szCs w:val="22"/>
          <w:bdr w:val="none" w:sz="0" w:space="0" w:color="auto" w:frame="1"/>
          <w:lang w:val="fr-FR"/>
        </w:rPr>
        <w:t xml:space="preserve"> participent à l’élaboration des politiques de lutte contre l’IKB ?</w:t>
      </w:r>
    </w:p>
    <w:p w:rsidR="00BD5B7F" w:rsidRPr="00865DA5" w:rsidRDefault="00BD5B7F" w:rsidP="00BD5B7F">
      <w:pPr>
        <w:jc w:val="both"/>
        <w:rPr>
          <w:rFonts w:ascii="Arial" w:eastAsia="Calibri" w:hAnsi="Arial" w:cs="Arial"/>
          <w:b/>
          <w:bCs/>
          <w:i/>
          <w:iCs/>
          <w:color w:val="000000"/>
          <w:sz w:val="22"/>
          <w:szCs w:val="18"/>
          <w:lang w:val="fr-FR"/>
        </w:rPr>
      </w:pPr>
    </w:p>
    <w:p w:rsidR="00BD5B7F" w:rsidRPr="00FF6562" w:rsidRDefault="00BD5B7F" w:rsidP="00BD5B7F">
      <w:pPr>
        <w:spacing w:after="120"/>
        <w:jc w:val="both"/>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38"/>
        <w:gridCol w:w="2338"/>
        <w:gridCol w:w="42"/>
        <w:gridCol w:w="2333"/>
        <w:gridCol w:w="48"/>
        <w:gridCol w:w="2328"/>
        <w:gridCol w:w="53"/>
      </w:tblGrid>
      <w:tr w:rsidR="00BD5B7F" w:rsidRPr="00FF6562" w:rsidTr="000E5961">
        <w:trPr>
          <w:gridAfter w:val="1"/>
          <w:wAfter w:w="53" w:type="dxa"/>
          <w:trHeight w:val="485"/>
        </w:trPr>
        <w:tc>
          <w:tcPr>
            <w:tcW w:w="2341"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color w:val="000000"/>
                <w:sz w:val="22"/>
              </w:rPr>
            </w:pPr>
            <w:r w:rsidRPr="00FF6562">
              <w:rPr>
                <w:rFonts w:ascii="Arial" w:eastAsia="Calibri" w:hAnsi="Arial" w:cs="Arial"/>
                <w:b/>
                <w:bCs/>
                <w:color w:val="000000"/>
                <w:sz w:val="22"/>
              </w:rPr>
              <w:t xml:space="preserve">0 </w:t>
            </w:r>
            <w:r w:rsidRPr="00FF6562">
              <w:rPr>
                <w:rFonts w:ascii="Arial" w:eastAsia="Arial" w:hAnsi="Arial" w:cs="Arial"/>
                <w:color w:val="000000"/>
                <w:sz w:val="22"/>
                <w:szCs w:val="22"/>
              </w:rPr>
              <w:t>􀜆</w:t>
            </w:r>
          </w:p>
        </w:tc>
        <w:tc>
          <w:tcPr>
            <w:tcW w:w="2376"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rPr>
            </w:pPr>
            <w:r w:rsidRPr="00FF6562">
              <w:rPr>
                <w:rFonts w:ascii="Arial" w:eastAsia="Calibri" w:hAnsi="Arial" w:cs="Arial"/>
                <w:b/>
                <w:bCs/>
                <w:color w:val="000000"/>
                <w:sz w:val="22"/>
                <w:szCs w:val="22"/>
              </w:rPr>
              <w:t>1</w:t>
            </w:r>
            <w:r w:rsidRPr="00FF6562">
              <w:rPr>
                <w:rFonts w:ascii="Arial" w:eastAsia="Calibri" w:hAnsi="Arial" w:cs="Arial"/>
                <w:b/>
                <w:bCs/>
                <w:color w:val="000000"/>
                <w:sz w:val="22"/>
              </w:rPr>
              <w:t xml:space="preserve"> </w:t>
            </w:r>
            <w:r w:rsidRPr="00FF6562">
              <w:rPr>
                <w:rFonts w:ascii="Arial" w:eastAsia="Arial" w:hAnsi="Arial" w:cs="Arial"/>
                <w:color w:val="000000"/>
                <w:sz w:val="22"/>
                <w:szCs w:val="22"/>
              </w:rPr>
              <w:t>􀜆</w:t>
            </w:r>
          </w:p>
        </w:tc>
        <w:tc>
          <w:tcPr>
            <w:tcW w:w="2375"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rPr>
            </w:pPr>
            <w:r w:rsidRPr="00FF6562">
              <w:rPr>
                <w:rFonts w:ascii="Arial" w:eastAsia="Calibri" w:hAnsi="Arial" w:cs="Arial"/>
                <w:b/>
                <w:bCs/>
                <w:color w:val="000000"/>
                <w:sz w:val="22"/>
                <w:szCs w:val="22"/>
              </w:rPr>
              <w:t>2</w:t>
            </w:r>
            <w:r w:rsidRPr="00FF6562">
              <w:rPr>
                <w:rFonts w:ascii="Arial" w:eastAsia="Calibri" w:hAnsi="Arial" w:cs="Arial"/>
                <w:b/>
                <w:bCs/>
                <w:color w:val="000000"/>
                <w:sz w:val="22"/>
              </w:rPr>
              <w:t xml:space="preserve"> </w:t>
            </w:r>
            <w:r w:rsidRPr="00FF6562">
              <w:rPr>
                <w:rFonts w:ascii="Arial" w:eastAsia="Arial" w:hAnsi="Arial" w:cs="Arial"/>
                <w:color w:val="000000"/>
                <w:sz w:val="22"/>
                <w:szCs w:val="22"/>
              </w:rPr>
              <w:t>􀜆</w:t>
            </w:r>
          </w:p>
        </w:tc>
        <w:tc>
          <w:tcPr>
            <w:tcW w:w="2376"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5876"/>
        </w:trPr>
        <w:tc>
          <w:tcPr>
            <w:tcW w:w="2379"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participation des parties prenantes </w:t>
            </w:r>
            <w:r w:rsidRPr="00865DA5">
              <w:rPr>
                <w:rFonts w:ascii="Arial" w:eastAsia="Arial" w:hAnsi="Arial" w:cs="Arial"/>
                <w:b/>
                <w:bCs/>
                <w:color w:val="000000"/>
                <w:sz w:val="18"/>
                <w:szCs w:val="18"/>
                <w:bdr w:val="none" w:sz="0" w:space="0" w:color="auto" w:frame="1"/>
                <w:lang w:val="fr-FR"/>
              </w:rPr>
              <w:t>aux décisions politiques concernant l’IKB</w:t>
            </w:r>
            <w:r w:rsidRPr="00865DA5">
              <w:rPr>
                <w:rFonts w:ascii="Arial" w:eastAsia="Arial" w:hAnsi="Arial" w:cs="Arial"/>
                <w:color w:val="000000"/>
                <w:sz w:val="18"/>
                <w:szCs w:val="18"/>
                <w:bdr w:val="none" w:sz="0" w:space="0" w:color="auto" w:frame="1"/>
                <w:lang w:val="fr-FR"/>
              </w:rPr>
              <w:t> :</w:t>
            </w:r>
          </w:p>
          <w:p w:rsidR="00BD5B7F" w:rsidRPr="00865DA5" w:rsidRDefault="00BD5B7F" w:rsidP="000E5961">
            <w:pPr>
              <w:rPr>
                <w:rFonts w:ascii="Arial" w:eastAsia="Calibri" w:hAnsi="Arial" w:cs="Arial"/>
                <w:b/>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N’est pas envisagée ou prévue dans la législation nationale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Est</w:t>
            </w:r>
            <w:r w:rsidRPr="00865DA5">
              <w:rPr>
                <w:rFonts w:ascii="Arial" w:eastAsia="Arial" w:hAnsi="Arial" w:cs="Arial"/>
                <w:color w:val="000000"/>
                <w:sz w:val="18"/>
                <w:szCs w:val="18"/>
                <w:bdr w:val="none" w:sz="0" w:space="0" w:color="auto" w:frame="1"/>
                <w:lang w:val="fr-FR"/>
              </w:rPr>
              <w:t xml:space="preserve"> limitée et informelle, </w:t>
            </w:r>
            <w:r w:rsidRPr="00865DA5">
              <w:rPr>
                <w:rFonts w:ascii="Arial" w:eastAsia="Arial" w:hAnsi="Arial" w:cs="Arial"/>
                <w:b/>
                <w:bCs/>
                <w:color w:val="000000"/>
                <w:sz w:val="18"/>
                <w:szCs w:val="18"/>
                <w:bdr w:val="none" w:sz="0" w:space="0" w:color="auto" w:frame="1"/>
                <w:lang w:val="fr-FR"/>
              </w:rPr>
              <w:t>chaque fois qu’elle a lieu de manière ponctuelle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 xml:space="preserve">Est </w:t>
            </w:r>
            <w:r w:rsidRPr="00865DA5">
              <w:rPr>
                <w:rFonts w:ascii="Arial" w:eastAsia="Arial" w:hAnsi="Arial" w:cs="Arial"/>
                <w:color w:val="000000"/>
                <w:sz w:val="18"/>
                <w:szCs w:val="18"/>
                <w:bdr w:val="none" w:sz="0" w:space="0" w:color="auto" w:frame="1"/>
                <w:lang w:val="fr-FR"/>
              </w:rPr>
              <w:t xml:space="preserve">largement limitée à </w:t>
            </w:r>
            <w:r w:rsidRPr="00865DA5">
              <w:rPr>
                <w:rFonts w:ascii="Arial" w:eastAsia="Arial" w:hAnsi="Arial" w:cs="Arial"/>
                <w:b/>
                <w:bCs/>
                <w:color w:val="000000"/>
                <w:sz w:val="18"/>
                <w:szCs w:val="18"/>
                <w:bdr w:val="none" w:sz="0" w:space="0" w:color="auto" w:frame="1"/>
                <w:lang w:val="fr-FR"/>
              </w:rPr>
              <w:t>la fourniture</w:t>
            </w:r>
            <w:r w:rsidRPr="00865DA5">
              <w:rPr>
                <w:rFonts w:ascii="Arial" w:eastAsia="Arial" w:hAnsi="Arial" w:cs="Arial"/>
                <w:color w:val="000000"/>
                <w:sz w:val="18"/>
                <w:szCs w:val="18"/>
                <w:bdr w:val="none" w:sz="0" w:space="0" w:color="auto" w:frame="1"/>
                <w:lang w:val="fr-FR"/>
              </w:rPr>
              <w:t xml:space="preserve"> d’informations de base sur les politiques qui </w:t>
            </w:r>
            <w:r w:rsidRPr="00865DA5">
              <w:rPr>
                <w:rFonts w:ascii="Arial" w:eastAsia="Arial" w:hAnsi="Arial" w:cs="Arial"/>
                <w:b/>
                <w:bCs/>
                <w:color w:val="000000"/>
                <w:sz w:val="18"/>
                <w:szCs w:val="18"/>
                <w:bdr w:val="none" w:sz="0" w:space="0" w:color="auto" w:frame="1"/>
                <w:lang w:val="fr-FR"/>
              </w:rPr>
              <w:t>sont en cours</w:t>
            </w:r>
            <w:r w:rsidRPr="00865DA5">
              <w:rPr>
                <w:rFonts w:ascii="Arial" w:eastAsia="Arial" w:hAnsi="Arial" w:cs="Arial"/>
                <w:color w:val="000000"/>
                <w:sz w:val="18"/>
                <w:szCs w:val="18"/>
                <w:bdr w:val="none" w:sz="0" w:space="0" w:color="auto" w:frame="1"/>
                <w:lang w:val="fr-FR"/>
              </w:rPr>
              <w:t xml:space="preserve"> d’élaboration</w:t>
            </w:r>
          </w:p>
        </w:tc>
        <w:tc>
          <w:tcPr>
            <w:tcW w:w="2380"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participation des parties prenantes </w:t>
            </w:r>
            <w:r w:rsidRPr="00865DA5">
              <w:rPr>
                <w:rFonts w:ascii="Arial" w:eastAsia="Arial" w:hAnsi="Arial" w:cs="Arial"/>
                <w:b/>
                <w:bCs/>
                <w:color w:val="000000"/>
                <w:sz w:val="18"/>
                <w:szCs w:val="18"/>
                <w:bdr w:val="none" w:sz="0" w:space="0" w:color="auto" w:frame="1"/>
                <w:lang w:val="fr-FR"/>
              </w:rPr>
              <w:t>aux décisions politiques concernant l’IKB</w:t>
            </w:r>
            <w:r w:rsidRPr="00865DA5">
              <w:rPr>
                <w:rFonts w:ascii="Arial" w:eastAsia="Arial" w:hAnsi="Arial" w:cs="Arial"/>
                <w:color w:val="000000"/>
                <w:sz w:val="18"/>
                <w:szCs w:val="18"/>
                <w:bdr w:val="none" w:sz="0" w:space="0" w:color="auto" w:frame="1"/>
                <w:lang w:val="fr-FR"/>
              </w:rPr>
              <w:t> :</w:t>
            </w:r>
          </w:p>
          <w:p w:rsidR="00BD5B7F" w:rsidRPr="00865DA5" w:rsidRDefault="00BD5B7F" w:rsidP="000E5961">
            <w:pPr>
              <w:rPr>
                <w:rFonts w:ascii="Arial" w:eastAsia="Calibri" w:hAnsi="Arial" w:cs="Arial"/>
                <w:b/>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 xml:space="preserve">Est envisagée ou prévue dans la législation nationale, </w:t>
            </w:r>
            <w:r w:rsidRPr="00865DA5">
              <w:rPr>
                <w:rFonts w:ascii="Arial" w:eastAsia="Arial" w:hAnsi="Arial" w:cs="Arial"/>
                <w:b/>
                <w:bCs/>
                <w:color w:val="000000"/>
                <w:sz w:val="18"/>
                <w:szCs w:val="18"/>
                <w:u w:val="single"/>
                <w:bdr w:val="none" w:sz="0" w:space="0" w:color="auto" w:frame="1"/>
                <w:lang w:val="fr-FR"/>
              </w:rPr>
              <w:t>mais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limitée à la consultation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réalisée à travers des réunions ponctuelles car aucun comité formel n’est établi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réalisée à travers des consultations avec des universitaires à travers l’agence nationale chargée de la faune sauvage (ou d’un organisme technique similaire) </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p>
        </w:tc>
        <w:tc>
          <w:tcPr>
            <w:tcW w:w="2381"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participation des parties prenantes </w:t>
            </w:r>
            <w:r w:rsidRPr="00865DA5">
              <w:rPr>
                <w:rFonts w:ascii="Arial" w:eastAsia="Arial" w:hAnsi="Arial" w:cs="Arial"/>
                <w:b/>
                <w:bCs/>
                <w:color w:val="000000"/>
                <w:sz w:val="18"/>
                <w:szCs w:val="18"/>
                <w:bdr w:val="none" w:sz="0" w:space="0" w:color="auto" w:frame="1"/>
                <w:lang w:val="fr-FR"/>
              </w:rPr>
              <w:t>aux décisions politiques concernant l’IKB</w:t>
            </w:r>
            <w:r w:rsidRPr="00865DA5">
              <w:rPr>
                <w:rFonts w:ascii="Arial" w:eastAsia="Arial" w:hAnsi="Arial" w:cs="Arial"/>
                <w:color w:val="000000"/>
                <w:sz w:val="18"/>
                <w:szCs w:val="18"/>
                <w:bdr w:val="none" w:sz="0" w:space="0" w:color="auto" w:frame="1"/>
                <w:lang w:val="fr-FR"/>
              </w:rPr>
              <w:t> :</w:t>
            </w:r>
          </w:p>
          <w:p w:rsidR="00BD5B7F" w:rsidRPr="00865DA5" w:rsidRDefault="00BD5B7F" w:rsidP="000E5961">
            <w:pPr>
              <w:rPr>
                <w:rFonts w:ascii="Arial" w:eastAsia="Calibri" w:hAnsi="Arial" w:cs="Arial"/>
                <w:b/>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 xml:space="preserve">Est envisagée ou prévue dans la législation nationale, </w:t>
            </w:r>
            <w:r w:rsidRPr="00865DA5">
              <w:rPr>
                <w:rFonts w:ascii="Arial" w:eastAsia="Arial" w:hAnsi="Arial" w:cs="Arial"/>
                <w:b/>
                <w:bCs/>
                <w:color w:val="000000"/>
                <w:sz w:val="18"/>
                <w:szCs w:val="18"/>
                <w:u w:val="single"/>
                <w:bdr w:val="none" w:sz="0" w:space="0" w:color="auto" w:frame="1"/>
                <w:lang w:val="fr-FR"/>
              </w:rPr>
              <w:t>et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Assure que leurs contributions sont traitées comme des avis et sont prises en compte dans le processus d’élaboration des politiques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Est réalisé à travers des structures et comités formels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Mais est cependant</w:t>
            </w:r>
            <w:r w:rsidRPr="00865DA5">
              <w:rPr>
                <w:rFonts w:ascii="Arial" w:eastAsia="Arial" w:hAnsi="Arial" w:cs="Arial"/>
                <w:color w:val="000000"/>
                <w:sz w:val="18"/>
                <w:szCs w:val="18"/>
                <w:bdr w:val="none" w:sz="0" w:space="0" w:color="auto" w:frame="1"/>
                <w:lang w:val="fr-FR"/>
              </w:rPr>
              <w:t xml:space="preserve"> incomplète car un ou plusieurs groupes de parties prenantes ne sont pas impliqués ou ne veulent pas participer</w:t>
            </w:r>
          </w:p>
        </w:tc>
        <w:tc>
          <w:tcPr>
            <w:tcW w:w="2381"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La participation des parties prenantes </w:t>
            </w:r>
            <w:r w:rsidRPr="00865DA5">
              <w:rPr>
                <w:rFonts w:ascii="Arial" w:eastAsia="Arial" w:hAnsi="Arial" w:cs="Arial"/>
                <w:b/>
                <w:bCs/>
                <w:color w:val="000000"/>
                <w:sz w:val="18"/>
                <w:szCs w:val="18"/>
                <w:bdr w:val="none" w:sz="0" w:space="0" w:color="auto" w:frame="1"/>
                <w:lang w:val="fr-FR"/>
              </w:rPr>
              <w:t>aux décisions politiques concernant l’IKB</w:t>
            </w:r>
            <w:r w:rsidRPr="00865DA5">
              <w:rPr>
                <w:rFonts w:ascii="Arial" w:eastAsia="Arial" w:hAnsi="Arial" w:cs="Arial"/>
                <w:color w:val="000000"/>
                <w:sz w:val="18"/>
                <w:szCs w:val="18"/>
                <w:bdr w:val="none" w:sz="0" w:space="0" w:color="auto" w:frame="1"/>
                <w:lang w:val="fr-FR"/>
              </w:rPr>
              <w:t> :</w:t>
            </w:r>
          </w:p>
          <w:p w:rsidR="00BD5B7F" w:rsidRPr="00865DA5" w:rsidRDefault="00BD5B7F" w:rsidP="000E5961">
            <w:pPr>
              <w:rPr>
                <w:rFonts w:ascii="Arial" w:eastAsia="Calibri" w:hAnsi="Arial" w:cs="Arial"/>
                <w:b/>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 xml:space="preserve">Est envisagée ou prévue dans la législation nationale, </w:t>
            </w:r>
            <w:r w:rsidRPr="00865DA5">
              <w:rPr>
                <w:rFonts w:ascii="Arial" w:eastAsia="Arial" w:hAnsi="Arial" w:cs="Arial"/>
                <w:b/>
                <w:bCs/>
                <w:color w:val="000000"/>
                <w:sz w:val="18"/>
                <w:szCs w:val="18"/>
                <w:u w:val="single"/>
                <w:bdr w:val="none" w:sz="0" w:space="0" w:color="auto" w:frame="1"/>
                <w:lang w:val="fr-FR"/>
              </w:rPr>
              <w:t>et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Assure qu’elles sont </w:t>
            </w:r>
            <w:r w:rsidRPr="00865DA5">
              <w:rPr>
                <w:rFonts w:ascii="Arial" w:eastAsia="Arial" w:hAnsi="Arial" w:cs="Arial"/>
                <w:b/>
                <w:bCs/>
                <w:color w:val="000000"/>
                <w:sz w:val="18"/>
                <w:szCs w:val="18"/>
                <w:bdr w:val="none" w:sz="0" w:space="0" w:color="auto" w:frame="1"/>
                <w:lang w:val="fr-FR"/>
              </w:rPr>
              <w:t>pleinement consultées sur les changements de politique clés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Est assurée par des structures formelles et des comités qui se rencontrent avec une fréquence appropriée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complète, toutes les </w:t>
            </w:r>
            <w:r w:rsidRPr="00865DA5">
              <w:rPr>
                <w:rFonts w:ascii="Arial" w:eastAsia="Arial" w:hAnsi="Arial" w:cs="Arial"/>
                <w:b/>
                <w:bCs/>
                <w:color w:val="000000"/>
                <w:sz w:val="18"/>
                <w:szCs w:val="18"/>
                <w:bdr w:val="none" w:sz="0" w:space="0" w:color="auto" w:frame="1"/>
                <w:lang w:val="fr-FR"/>
              </w:rPr>
              <w:t>principales</w:t>
            </w:r>
            <w:r w:rsidRPr="00865DA5">
              <w:rPr>
                <w:rFonts w:ascii="Arial" w:eastAsia="Arial" w:hAnsi="Arial" w:cs="Arial"/>
                <w:color w:val="000000"/>
                <w:sz w:val="18"/>
                <w:szCs w:val="18"/>
                <w:bdr w:val="none" w:sz="0" w:space="0" w:color="auto" w:frame="1"/>
                <w:lang w:val="fr-FR"/>
              </w:rPr>
              <w:t xml:space="preserve"> parties prenantes étant impliquées</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b/>
          <w:bCs/>
          <w:color w:val="000000"/>
          <w:sz w:val="23"/>
          <w:szCs w:val="23"/>
          <w:lang w:val="fr-FR"/>
        </w:rPr>
      </w:pPr>
      <w:r w:rsidRPr="00865DA5">
        <w:rPr>
          <w:rFonts w:ascii="Arial" w:eastAsia="Calibri" w:hAnsi="Arial" w:cs="Arial"/>
          <w:color w:val="000000"/>
          <w:sz w:val="32"/>
          <w:szCs w:val="32"/>
          <w:lang w:val="fr-FR"/>
        </w:rPr>
        <w:br w:type="page"/>
      </w:r>
    </w:p>
    <w:p w:rsidR="00BD5B7F" w:rsidRPr="00865DA5" w:rsidRDefault="00BD5B7F" w:rsidP="00BD5B7F">
      <w:pPr>
        <w:keepNext/>
        <w:keepLines/>
        <w:spacing w:after="120"/>
        <w:outlineLvl w:val="3"/>
        <w:rPr>
          <w:rFonts w:ascii="Arial" w:hAnsi="Arial" w:cs="Arial"/>
          <w:b/>
          <w:i/>
          <w:iCs/>
          <w:color w:val="000000"/>
          <w:sz w:val="18"/>
          <w:szCs w:val="18"/>
          <w:lang w:val="fr-FR"/>
        </w:rPr>
      </w:pPr>
      <w:bookmarkStart w:id="76" w:name="_Toc491245253"/>
      <w:bookmarkStart w:id="77" w:name="_Toc486539590"/>
      <w:r w:rsidRPr="00865DA5">
        <w:rPr>
          <w:rFonts w:ascii="Arial" w:eastAsia="Arial" w:hAnsi="Arial" w:cs="Arial"/>
          <w:b/>
          <w:bCs/>
          <w:iCs/>
          <w:color w:val="000000"/>
          <w:sz w:val="28"/>
          <w:szCs w:val="28"/>
          <w:bdr w:val="none" w:sz="0" w:space="0" w:color="auto" w:frame="1"/>
          <w:lang w:val="fr-FR"/>
        </w:rPr>
        <w:lastRenderedPageBreak/>
        <w:t>17. Personnel et recrutement</w:t>
      </w:r>
      <w:r w:rsidRPr="00FF6562">
        <w:rPr>
          <w:rFonts w:ascii="Arial" w:hAnsi="Arial" w:cs="Arial"/>
          <w:b/>
          <w:iCs/>
          <w:color w:val="000000"/>
          <w:sz w:val="28"/>
          <w:szCs w:val="22"/>
          <w:vertAlign w:val="superscript"/>
        </w:rPr>
        <w:footnoteReference w:id="33"/>
      </w:r>
      <w:bookmarkEnd w:id="76"/>
      <w:bookmarkEnd w:id="77"/>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Le niveau des ressources humaines</w:t>
      </w:r>
      <w:r w:rsidRPr="00FF6562">
        <w:rPr>
          <w:rFonts w:ascii="Arial" w:eastAsia="Calibri" w:hAnsi="Arial" w:cs="Arial"/>
          <w:color w:val="000000"/>
          <w:sz w:val="22"/>
          <w:szCs w:val="18"/>
          <w:vertAlign w:val="superscript"/>
        </w:rPr>
        <w:footnoteReference w:id="34"/>
      </w:r>
      <w:r w:rsidRPr="00865DA5">
        <w:rPr>
          <w:rFonts w:ascii="Arial" w:eastAsia="Arial" w:hAnsi="Arial" w:cs="Arial"/>
          <w:color w:val="000000"/>
          <w:sz w:val="22"/>
          <w:szCs w:val="22"/>
          <w:bdr w:val="none" w:sz="0" w:space="0" w:color="auto" w:frame="1"/>
          <w:lang w:val="fr-FR"/>
        </w:rPr>
        <w:t xml:space="preserve"> dans les agences nationales de lutte contre la fraude et d’application des lois pour lutter contre la criminalité liée aux espèces sauvages.</w:t>
      </w:r>
    </w:p>
    <w:p w:rsidR="00BD5B7F" w:rsidRPr="00865DA5" w:rsidRDefault="00BD5B7F" w:rsidP="00BD5B7F">
      <w:pPr>
        <w:jc w:val="both"/>
        <w:rPr>
          <w:rFonts w:ascii="Arial" w:eastAsia="Calibri" w:hAnsi="Arial" w:cs="Arial"/>
          <w:b/>
          <w:bCs/>
          <w:i/>
          <w:iCs/>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De quelles ressources humaines disposent les agences nationales de lutte contre la fraude et d’application des lois pour combattre l’IKB ?</w:t>
      </w:r>
    </w:p>
    <w:p w:rsidR="00BD5B7F" w:rsidRPr="00865DA5" w:rsidRDefault="00BD5B7F" w:rsidP="00BD5B7F">
      <w:pPr>
        <w:jc w:val="both"/>
        <w:rPr>
          <w:rFonts w:ascii="Arial" w:eastAsia="Calibri" w:hAnsi="Arial" w:cs="Arial"/>
          <w:i/>
          <w:iCs/>
          <w:color w:val="000000"/>
          <w:sz w:val="22"/>
          <w:szCs w:val="18"/>
          <w:lang w:val="fr-FR"/>
        </w:rPr>
      </w:pPr>
    </w:p>
    <w:p w:rsidR="00BD5B7F" w:rsidRPr="00FF6562" w:rsidRDefault="00BD5B7F" w:rsidP="00BD5B7F">
      <w:pPr>
        <w:spacing w:after="120"/>
        <w:jc w:val="both"/>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18"/>
        <w:gridCol w:w="2300"/>
        <w:gridCol w:w="20"/>
        <w:gridCol w:w="2313"/>
        <w:gridCol w:w="6"/>
        <w:gridCol w:w="2320"/>
      </w:tblGrid>
      <w:tr w:rsidR="00BD5B7F" w:rsidRPr="00FF6562" w:rsidTr="000E5961">
        <w:tc>
          <w:tcPr>
            <w:tcW w:w="2310"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cantSplit/>
          <w:trHeight w:val="2346"/>
        </w:trPr>
        <w:tc>
          <w:tcPr>
            <w:tcW w:w="2328"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agences de lutte contre la fraude</w:t>
            </w:r>
            <w:r w:rsidRPr="00865DA5">
              <w:rPr>
                <w:rFonts w:ascii="Arial" w:eastAsia="Arial" w:hAnsi="Arial" w:cs="Arial"/>
                <w:color w:val="000000"/>
                <w:sz w:val="22"/>
                <w:szCs w:val="22"/>
                <w:bdr w:val="none" w:sz="0" w:space="0" w:color="auto" w:frame="1"/>
                <w:lang w:val="fr-FR"/>
              </w:rPr>
              <w:t xml:space="preserve"> </w:t>
            </w:r>
            <w:r w:rsidRPr="00865DA5">
              <w:rPr>
                <w:rFonts w:ascii="Arial" w:eastAsia="Arial" w:hAnsi="Arial" w:cs="Arial"/>
                <w:color w:val="000000"/>
                <w:sz w:val="18"/>
                <w:szCs w:val="18"/>
                <w:bdr w:val="none" w:sz="0" w:space="0" w:color="auto" w:frame="1"/>
                <w:lang w:val="fr-FR"/>
              </w:rPr>
              <w:t>et d’application des lois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significativement</w:t>
            </w:r>
            <w:r w:rsidRPr="00865DA5">
              <w:rPr>
                <w:rFonts w:ascii="Arial" w:eastAsia="Arial" w:hAnsi="Arial" w:cs="Arial"/>
                <w:color w:val="000000"/>
                <w:sz w:val="18"/>
                <w:szCs w:val="18"/>
                <w:bdr w:val="none" w:sz="0" w:space="0" w:color="auto" w:frame="1"/>
                <w:lang w:val="fr-FR"/>
              </w:rPr>
              <w:t xml:space="preserve"> en sous-effectif</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rarement</w:t>
            </w:r>
            <w:r w:rsidRPr="00865DA5">
              <w:rPr>
                <w:rFonts w:ascii="Arial" w:eastAsia="Arial" w:hAnsi="Arial" w:cs="Arial"/>
                <w:color w:val="000000"/>
                <w:sz w:val="18"/>
                <w:szCs w:val="18"/>
                <w:bdr w:val="none" w:sz="0" w:space="0" w:color="auto" w:frame="1"/>
                <w:lang w:val="fr-FR"/>
              </w:rPr>
              <w:t xml:space="preserve"> en mesure de recruter et/ou d’attirer du personnel supplémentaire</w:t>
            </w:r>
          </w:p>
        </w:tc>
        <w:tc>
          <w:tcPr>
            <w:tcW w:w="2324"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agences de lutte contre la fraude</w:t>
            </w:r>
            <w:r w:rsidRPr="00865DA5">
              <w:rPr>
                <w:rFonts w:ascii="Arial" w:eastAsia="Arial" w:hAnsi="Arial" w:cs="Arial"/>
                <w:color w:val="000000"/>
                <w:sz w:val="22"/>
                <w:szCs w:val="22"/>
                <w:bdr w:val="none" w:sz="0" w:space="0" w:color="auto" w:frame="1"/>
                <w:lang w:val="fr-FR"/>
              </w:rPr>
              <w:t xml:space="preserve"> </w:t>
            </w:r>
            <w:r w:rsidRPr="00865DA5">
              <w:rPr>
                <w:rFonts w:ascii="Arial" w:eastAsia="Arial" w:hAnsi="Arial" w:cs="Arial"/>
                <w:color w:val="000000"/>
                <w:sz w:val="18"/>
                <w:szCs w:val="18"/>
                <w:bdr w:val="none" w:sz="0" w:space="0" w:color="auto" w:frame="1"/>
                <w:lang w:val="fr-FR"/>
              </w:rPr>
              <w:t>et d’application des lois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Disposent </w:t>
            </w:r>
            <w:r w:rsidRPr="00865DA5">
              <w:rPr>
                <w:rFonts w:ascii="Arial" w:eastAsia="Arial" w:hAnsi="Arial" w:cs="Arial"/>
                <w:b/>
                <w:bCs/>
                <w:color w:val="000000"/>
                <w:sz w:val="18"/>
                <w:szCs w:val="18"/>
                <w:bdr w:val="none" w:sz="0" w:space="0" w:color="auto" w:frame="1"/>
                <w:lang w:val="fr-FR"/>
              </w:rPr>
              <w:t>parfois</w:t>
            </w:r>
            <w:r w:rsidRPr="00865DA5">
              <w:rPr>
                <w:rFonts w:ascii="Arial" w:eastAsia="Arial" w:hAnsi="Arial" w:cs="Arial"/>
                <w:color w:val="000000"/>
                <w:sz w:val="18"/>
                <w:szCs w:val="18"/>
                <w:bdr w:val="none" w:sz="0" w:space="0" w:color="auto" w:frame="1"/>
                <w:lang w:val="fr-FR"/>
              </w:rPr>
              <w:t xml:space="preserve"> d’un personnel au complet</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N’ont </w:t>
            </w:r>
            <w:r w:rsidRPr="00865DA5">
              <w:rPr>
                <w:rFonts w:ascii="Arial" w:eastAsia="Arial" w:hAnsi="Arial" w:cs="Arial"/>
                <w:b/>
                <w:bCs/>
                <w:color w:val="000000"/>
                <w:sz w:val="18"/>
                <w:szCs w:val="18"/>
                <w:bdr w:val="none" w:sz="0" w:space="0" w:color="auto" w:frame="1"/>
                <w:lang w:val="fr-FR"/>
              </w:rPr>
              <w:t>généralement</w:t>
            </w:r>
            <w:r w:rsidRPr="00865DA5">
              <w:rPr>
                <w:rFonts w:ascii="Arial" w:eastAsia="Arial" w:hAnsi="Arial" w:cs="Arial"/>
                <w:color w:val="000000"/>
                <w:sz w:val="18"/>
                <w:szCs w:val="18"/>
                <w:bdr w:val="none" w:sz="0" w:space="0" w:color="auto" w:frame="1"/>
                <w:lang w:val="fr-FR"/>
              </w:rPr>
              <w:t xml:space="preserve"> pas suffisamment de personnel</w:t>
            </w:r>
            <w:r w:rsidRPr="00FF6562">
              <w:rPr>
                <w:rFonts w:ascii="Arial" w:eastAsia="Calibri" w:hAnsi="Arial" w:cs="Arial"/>
                <w:color w:val="000000"/>
                <w:sz w:val="18"/>
                <w:szCs w:val="18"/>
                <w:vertAlign w:val="superscript"/>
              </w:rPr>
              <w:footnoteReference w:id="35"/>
            </w:r>
            <w:r w:rsidRPr="00865DA5">
              <w:rPr>
                <w:rFonts w:ascii="Arial" w:eastAsia="Arial" w:hAnsi="Arial" w:cs="Arial"/>
                <w:color w:val="000000"/>
                <w:sz w:val="18"/>
                <w:szCs w:val="18"/>
                <w:bdr w:val="none" w:sz="0" w:space="0" w:color="auto" w:frame="1"/>
                <w:vertAlign w:val="superscript"/>
                <w:lang w:val="fr-FR"/>
              </w:rPr>
              <w:t xml:space="preserve"> </w:t>
            </w:r>
            <w:r w:rsidRPr="00865DA5">
              <w:rPr>
                <w:rFonts w:ascii="Arial" w:eastAsia="Arial" w:hAnsi="Arial" w:cs="Arial"/>
                <w:color w:val="000000"/>
                <w:sz w:val="18"/>
                <w:szCs w:val="18"/>
                <w:bdr w:val="none" w:sz="0" w:space="0" w:color="auto" w:frame="1"/>
                <w:lang w:val="fr-FR"/>
              </w:rPr>
              <w:t>et/ou de compétences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Rencontrent généralement des retards et/ou des difficultés de recrutement</w:t>
            </w:r>
          </w:p>
        </w:tc>
        <w:tc>
          <w:tcPr>
            <w:tcW w:w="2323"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agences de lutte contre la fraude</w:t>
            </w:r>
            <w:r w:rsidRPr="00865DA5">
              <w:rPr>
                <w:rFonts w:ascii="Arial" w:eastAsia="Arial" w:hAnsi="Arial" w:cs="Arial"/>
                <w:color w:val="000000"/>
                <w:sz w:val="22"/>
                <w:szCs w:val="22"/>
                <w:bdr w:val="none" w:sz="0" w:space="0" w:color="auto" w:frame="1"/>
                <w:lang w:val="fr-FR"/>
              </w:rPr>
              <w:t xml:space="preserve"> </w:t>
            </w:r>
            <w:r w:rsidRPr="00865DA5">
              <w:rPr>
                <w:rFonts w:ascii="Arial" w:eastAsia="Arial" w:hAnsi="Arial" w:cs="Arial"/>
                <w:color w:val="000000"/>
                <w:sz w:val="18"/>
                <w:szCs w:val="18"/>
                <w:bdr w:val="none" w:sz="0" w:space="0" w:color="auto" w:frame="1"/>
                <w:lang w:val="fr-FR"/>
              </w:rPr>
              <w:t>et d’application des lois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Disposent </w:t>
            </w:r>
            <w:r w:rsidRPr="00865DA5">
              <w:rPr>
                <w:rFonts w:ascii="Arial" w:eastAsia="Arial" w:hAnsi="Arial" w:cs="Arial"/>
                <w:b/>
                <w:bCs/>
                <w:color w:val="000000"/>
                <w:sz w:val="18"/>
                <w:szCs w:val="18"/>
                <w:bdr w:val="none" w:sz="0" w:space="0" w:color="auto" w:frame="1"/>
                <w:lang w:val="fr-FR"/>
              </w:rPr>
              <w:t xml:space="preserve">généralement </w:t>
            </w:r>
            <w:r w:rsidRPr="00865DA5">
              <w:rPr>
                <w:rFonts w:ascii="Arial" w:eastAsia="Arial" w:hAnsi="Arial" w:cs="Arial"/>
                <w:color w:val="000000"/>
                <w:sz w:val="18"/>
                <w:szCs w:val="18"/>
                <w:bdr w:val="none" w:sz="0" w:space="0" w:color="auto" w:frame="1"/>
                <w:lang w:val="fr-FR"/>
              </w:rPr>
              <w:t>d’un personnel au complet mais qui n’est pas toujours informé de l’évolution des tendances de la criminalité liée aux espèces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N’ont </w:t>
            </w:r>
            <w:r w:rsidRPr="00865DA5">
              <w:rPr>
                <w:rFonts w:ascii="Arial" w:eastAsia="Arial" w:hAnsi="Arial" w:cs="Arial"/>
                <w:b/>
                <w:bCs/>
                <w:color w:val="000000"/>
                <w:sz w:val="18"/>
                <w:szCs w:val="18"/>
                <w:bdr w:val="none" w:sz="0" w:space="0" w:color="auto" w:frame="1"/>
                <w:lang w:val="fr-FR"/>
              </w:rPr>
              <w:t>parfois</w:t>
            </w:r>
            <w:r w:rsidRPr="00865DA5">
              <w:rPr>
                <w:rFonts w:ascii="Arial" w:eastAsia="Arial" w:hAnsi="Arial" w:cs="Arial"/>
                <w:color w:val="000000"/>
                <w:sz w:val="18"/>
                <w:szCs w:val="18"/>
                <w:bdr w:val="none" w:sz="0" w:space="0" w:color="auto" w:frame="1"/>
                <w:lang w:val="fr-FR"/>
              </w:rPr>
              <w:t xml:space="preserve"> pas suffisamment de personnel et/ou de compétences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Rencontrent </w:t>
            </w:r>
            <w:r w:rsidRPr="00865DA5">
              <w:rPr>
                <w:rFonts w:ascii="Arial" w:eastAsia="Arial" w:hAnsi="Arial" w:cs="Arial"/>
                <w:b/>
                <w:bCs/>
                <w:color w:val="000000"/>
                <w:sz w:val="18"/>
                <w:szCs w:val="18"/>
                <w:bdr w:val="none" w:sz="0" w:space="0" w:color="auto" w:frame="1"/>
                <w:lang w:val="fr-FR"/>
              </w:rPr>
              <w:t>parfois</w:t>
            </w:r>
            <w:r w:rsidRPr="00865DA5">
              <w:rPr>
                <w:rFonts w:ascii="Arial" w:eastAsia="Arial" w:hAnsi="Arial" w:cs="Arial"/>
                <w:color w:val="000000"/>
                <w:sz w:val="18"/>
                <w:szCs w:val="18"/>
                <w:bdr w:val="none" w:sz="0" w:space="0" w:color="auto" w:frame="1"/>
                <w:lang w:val="fr-FR"/>
              </w:rPr>
              <w:t xml:space="preserve"> des retards et/ou des difficultés pour recruter des candidats suffisamment qualifiés</w:t>
            </w:r>
          </w:p>
        </w:tc>
        <w:tc>
          <w:tcPr>
            <w:tcW w:w="2324"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agences de lutte contre la fraude</w:t>
            </w:r>
            <w:r w:rsidRPr="00865DA5">
              <w:rPr>
                <w:rFonts w:ascii="Arial" w:eastAsia="Arial" w:hAnsi="Arial" w:cs="Arial"/>
                <w:color w:val="000000"/>
                <w:sz w:val="22"/>
                <w:szCs w:val="22"/>
                <w:bdr w:val="none" w:sz="0" w:space="0" w:color="auto" w:frame="1"/>
                <w:lang w:val="fr-FR"/>
              </w:rPr>
              <w:t xml:space="preserve"> </w:t>
            </w:r>
            <w:r w:rsidRPr="00865DA5">
              <w:rPr>
                <w:rFonts w:ascii="Arial" w:eastAsia="Arial" w:hAnsi="Arial" w:cs="Arial"/>
                <w:color w:val="000000"/>
                <w:sz w:val="18"/>
                <w:szCs w:val="18"/>
                <w:bdr w:val="none" w:sz="0" w:space="0" w:color="auto" w:frame="1"/>
                <w:lang w:val="fr-FR"/>
              </w:rPr>
              <w:t>et d’application des lois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Disposent</w:t>
            </w:r>
            <w:r w:rsidRPr="00865DA5">
              <w:rPr>
                <w:rFonts w:ascii="Arial" w:eastAsia="Arial" w:hAnsi="Arial" w:cs="Arial"/>
                <w:b/>
                <w:bCs/>
                <w:color w:val="000000"/>
                <w:sz w:val="18"/>
                <w:szCs w:val="18"/>
                <w:bdr w:val="none" w:sz="0" w:space="0" w:color="auto" w:frame="1"/>
                <w:lang w:val="fr-FR"/>
              </w:rPr>
              <w:t xml:space="preserve"> généralement</w:t>
            </w:r>
            <w:r w:rsidRPr="00865DA5">
              <w:rPr>
                <w:rFonts w:ascii="Arial" w:eastAsia="Arial" w:hAnsi="Arial" w:cs="Arial"/>
                <w:color w:val="000000"/>
                <w:sz w:val="18"/>
                <w:szCs w:val="18"/>
                <w:bdr w:val="none" w:sz="0" w:space="0" w:color="auto" w:frame="1"/>
                <w:lang w:val="fr-FR"/>
              </w:rPr>
              <w:t xml:space="preserve"> d’un personnel au complet qui est généralement informé de l’évolution des tendances de la criminalité liée aux espèces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Disposent </w:t>
            </w:r>
            <w:r w:rsidRPr="00865DA5">
              <w:rPr>
                <w:rFonts w:ascii="Arial" w:eastAsia="Arial" w:hAnsi="Arial" w:cs="Arial"/>
                <w:b/>
                <w:bCs/>
                <w:color w:val="000000"/>
                <w:sz w:val="18"/>
                <w:szCs w:val="18"/>
                <w:bdr w:val="none" w:sz="0" w:space="0" w:color="auto" w:frame="1"/>
                <w:lang w:val="fr-FR"/>
              </w:rPr>
              <w:t>généralement</w:t>
            </w:r>
            <w:r w:rsidRPr="00865DA5">
              <w:rPr>
                <w:rFonts w:ascii="Arial" w:eastAsia="Arial" w:hAnsi="Arial" w:cs="Arial"/>
                <w:color w:val="000000"/>
                <w:sz w:val="18"/>
                <w:szCs w:val="18"/>
                <w:bdr w:val="none" w:sz="0" w:space="0" w:color="auto" w:frame="1"/>
                <w:lang w:val="fr-FR"/>
              </w:rPr>
              <w:t xml:space="preserve"> d’un personnel et de compétences diversifiées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Procèdent </w:t>
            </w:r>
            <w:r w:rsidRPr="00865DA5">
              <w:rPr>
                <w:rFonts w:ascii="Arial" w:eastAsia="Arial" w:hAnsi="Arial" w:cs="Arial"/>
                <w:b/>
                <w:bCs/>
                <w:color w:val="000000"/>
                <w:sz w:val="18"/>
                <w:szCs w:val="18"/>
                <w:bdr w:val="none" w:sz="0" w:space="0" w:color="auto" w:frame="1"/>
                <w:lang w:val="fr-FR"/>
              </w:rPr>
              <w:t>généralement</w:t>
            </w:r>
            <w:r w:rsidRPr="00865DA5">
              <w:rPr>
                <w:rFonts w:ascii="Arial" w:eastAsia="Arial" w:hAnsi="Arial" w:cs="Arial"/>
                <w:color w:val="000000"/>
                <w:sz w:val="18"/>
                <w:szCs w:val="18"/>
                <w:bdr w:val="none" w:sz="0" w:space="0" w:color="auto" w:frame="1"/>
                <w:lang w:val="fr-FR"/>
              </w:rPr>
              <w:t xml:space="preserve"> à des recrutements de candidats dûment qualifiés lorsque nécessaire</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b/>
          <w:bCs/>
          <w:color w:val="000000"/>
          <w:sz w:val="23"/>
          <w:szCs w:val="23"/>
          <w:lang w:val="fr-FR"/>
        </w:rPr>
      </w:pPr>
      <w:r w:rsidRPr="00865DA5">
        <w:rPr>
          <w:rFonts w:ascii="Arial" w:eastAsia="Calibri" w:hAnsi="Arial" w:cs="Arial"/>
          <w:b/>
          <w:bCs/>
          <w:color w:val="000000"/>
          <w:sz w:val="23"/>
          <w:szCs w:val="23"/>
          <w:lang w:val="fr-FR"/>
        </w:rPr>
        <w:br w:type="page"/>
      </w:r>
    </w:p>
    <w:p w:rsidR="00BD5B7F" w:rsidRPr="00865DA5" w:rsidRDefault="00BD5B7F" w:rsidP="00BD5B7F">
      <w:pPr>
        <w:keepNext/>
        <w:keepLines/>
        <w:spacing w:after="120"/>
        <w:outlineLvl w:val="3"/>
        <w:rPr>
          <w:rFonts w:ascii="Arial" w:hAnsi="Arial" w:cs="Arial"/>
          <w:b/>
          <w:i/>
          <w:iCs/>
          <w:color w:val="000000"/>
          <w:sz w:val="18"/>
          <w:szCs w:val="18"/>
          <w:lang w:val="fr-FR"/>
        </w:rPr>
      </w:pPr>
      <w:bookmarkStart w:id="78" w:name="_Toc491245254"/>
      <w:bookmarkStart w:id="79" w:name="_Toc486539591"/>
      <w:r w:rsidRPr="00865DA5">
        <w:rPr>
          <w:rFonts w:ascii="Arial" w:eastAsia="Arial" w:hAnsi="Arial" w:cs="Arial"/>
          <w:b/>
          <w:bCs/>
          <w:iCs/>
          <w:color w:val="000000"/>
          <w:sz w:val="28"/>
          <w:szCs w:val="28"/>
          <w:bdr w:val="none" w:sz="0" w:space="0" w:color="auto" w:frame="1"/>
          <w:lang w:val="fr-FR"/>
        </w:rPr>
        <w:lastRenderedPageBreak/>
        <w:t>18. Formation spécifique</w:t>
      </w:r>
      <w:bookmarkEnd w:id="78"/>
      <w:bookmarkEnd w:id="79"/>
      <w:r w:rsidRPr="00865DA5">
        <w:rPr>
          <w:rFonts w:ascii="Arial" w:eastAsia="Arial" w:hAnsi="Arial" w:cs="Arial"/>
          <w:b/>
          <w:bCs/>
          <w:iCs/>
          <w:color w:val="000000"/>
          <w:sz w:val="28"/>
          <w:szCs w:val="28"/>
          <w:bdr w:val="none" w:sz="0" w:space="0" w:color="auto" w:frame="1"/>
          <w:lang w:val="fr-FR"/>
        </w:rPr>
        <w:t xml:space="preserve"> </w:t>
      </w:r>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Le pourcentage d’agents chargés de la lutte contre la fraude et de l’application des lois formés chaque année sur les questions relatives à l’IKB.</w:t>
      </w:r>
    </w:p>
    <w:p w:rsidR="00BD5B7F" w:rsidRPr="00865DA5" w:rsidRDefault="00BD5B7F" w:rsidP="00BD5B7F">
      <w:pPr>
        <w:jc w:val="both"/>
        <w:rPr>
          <w:rFonts w:ascii="Arial" w:eastAsia="Calibri" w:hAnsi="Arial" w:cs="Arial"/>
          <w:b/>
          <w:bCs/>
          <w:i/>
          <w:iCs/>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Combien d’agents chargés de la lutte contre la fraude et de l’application des lois</w:t>
      </w:r>
      <w:r w:rsidRPr="00FF6562">
        <w:rPr>
          <w:rFonts w:ascii="Arial" w:eastAsia="Calibri" w:hAnsi="Arial" w:cs="Arial"/>
          <w:color w:val="000000"/>
          <w:sz w:val="22"/>
          <w:szCs w:val="22"/>
          <w:vertAlign w:val="superscript"/>
        </w:rPr>
        <w:footnoteReference w:id="36"/>
      </w:r>
      <w:r w:rsidRPr="00865DA5">
        <w:rPr>
          <w:rFonts w:ascii="Arial" w:eastAsia="Arial" w:hAnsi="Arial" w:cs="Arial"/>
          <w:b/>
          <w:bCs/>
          <w:i/>
          <w:iCs/>
          <w:color w:val="000000"/>
          <w:sz w:val="22"/>
          <w:szCs w:val="22"/>
          <w:bdr w:val="none" w:sz="0" w:space="0" w:color="auto" w:frame="1"/>
          <w:lang w:val="fr-FR"/>
        </w:rPr>
        <w:t xml:space="preserve"> ont reçu une formation régulière sur les questions relatives à l’IKB ?</w:t>
      </w:r>
    </w:p>
    <w:p w:rsidR="00BD5B7F" w:rsidRPr="00865DA5" w:rsidRDefault="00BD5B7F" w:rsidP="00BD5B7F">
      <w:pPr>
        <w:jc w:val="both"/>
        <w:rPr>
          <w:rFonts w:ascii="Arial" w:eastAsia="Calibri" w:hAnsi="Arial" w:cs="Arial"/>
          <w:i/>
          <w:iCs/>
          <w:color w:val="000000"/>
          <w:sz w:val="22"/>
          <w:szCs w:val="18"/>
          <w:lang w:val="fr-FR"/>
        </w:rPr>
      </w:pPr>
    </w:p>
    <w:p w:rsidR="00BD5B7F" w:rsidRPr="00FF6562" w:rsidRDefault="00BD5B7F" w:rsidP="00BD5B7F">
      <w:pPr>
        <w:spacing w:after="120"/>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12"/>
        <w:gridCol w:w="2307"/>
        <w:gridCol w:w="8"/>
        <w:gridCol w:w="2326"/>
        <w:gridCol w:w="10"/>
        <w:gridCol w:w="2317"/>
      </w:tblGrid>
      <w:tr w:rsidR="00BD5B7F" w:rsidRPr="00FF6562" w:rsidTr="000E5961">
        <w:tc>
          <w:tcPr>
            <w:tcW w:w="2310"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F6562" w:rsidTr="000E5961">
        <w:trPr>
          <w:cantSplit/>
        </w:trPr>
        <w:tc>
          <w:tcPr>
            <w:tcW w:w="2322" w:type="dxa"/>
            <w:gridSpan w:val="2"/>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18"/>
                <w:szCs w:val="18"/>
              </w:rPr>
            </w:pPr>
          </w:p>
          <w:p w:rsidR="00BD5B7F" w:rsidRPr="00FF6562" w:rsidRDefault="00BD5B7F" w:rsidP="000E5961">
            <w:pPr>
              <w:rPr>
                <w:rFonts w:ascii="Arial" w:eastAsia="Calibri" w:hAnsi="Arial" w:cs="Arial"/>
                <w:color w:val="000000"/>
                <w:sz w:val="18"/>
                <w:szCs w:val="18"/>
              </w:rPr>
            </w:pPr>
            <w:r w:rsidRPr="00FF6562">
              <w:rPr>
                <w:rFonts w:ascii="Arial" w:eastAsia="Arial" w:hAnsi="Arial" w:cs="Arial"/>
                <w:color w:val="000000"/>
                <w:sz w:val="18"/>
                <w:szCs w:val="18"/>
                <w:bdr w:val="none" w:sz="0" w:space="0" w:color="auto" w:frame="1"/>
              </w:rPr>
              <w:t xml:space="preserve"> </w:t>
            </w:r>
            <w:r w:rsidRPr="00FF6562">
              <w:rPr>
                <w:rFonts w:ascii="Arial" w:eastAsia="Arial" w:hAnsi="Arial" w:cs="Arial"/>
                <w:color w:val="000000"/>
                <w:sz w:val="18"/>
                <w:szCs w:val="18"/>
              </w:rPr>
              <w:t>􀜆</w:t>
            </w:r>
            <w:r w:rsidRPr="00FF6562">
              <w:rPr>
                <w:rFonts w:ascii="Arial" w:eastAsia="Calibri" w:hAnsi="Arial" w:cs="Arial"/>
                <w:color w:val="000000"/>
                <w:sz w:val="18"/>
                <w:szCs w:val="18"/>
              </w:rPr>
              <w:t xml:space="preserve"> </w:t>
            </w:r>
            <w:r w:rsidRPr="00FF6562">
              <w:rPr>
                <w:rFonts w:ascii="Arial" w:eastAsia="Arial" w:hAnsi="Arial" w:cs="Arial"/>
                <w:color w:val="000000"/>
                <w:sz w:val="18"/>
                <w:szCs w:val="18"/>
                <w:bdr w:val="none" w:sz="0" w:space="0" w:color="auto" w:frame="1"/>
              </w:rPr>
              <w:t>Aucun</w:t>
            </w:r>
          </w:p>
          <w:p w:rsidR="00BD5B7F" w:rsidRPr="00FF6562" w:rsidRDefault="00BD5B7F" w:rsidP="000E5961">
            <w:pPr>
              <w:rPr>
                <w:rFonts w:ascii="Arial" w:eastAsia="Calibri" w:hAnsi="Arial" w:cs="Arial"/>
                <w:color w:val="000000"/>
                <w:sz w:val="18"/>
                <w:szCs w:val="18"/>
              </w:rPr>
            </w:pPr>
          </w:p>
          <w:p w:rsidR="00BD5B7F" w:rsidRPr="00FF6562" w:rsidRDefault="00BD5B7F" w:rsidP="000E5961">
            <w:pPr>
              <w:rPr>
                <w:rFonts w:ascii="Arial" w:eastAsia="Calibri" w:hAnsi="Arial" w:cs="Arial"/>
                <w:color w:val="000000"/>
                <w:sz w:val="18"/>
                <w:szCs w:val="18"/>
              </w:rPr>
            </w:pPr>
          </w:p>
        </w:tc>
        <w:tc>
          <w:tcPr>
            <w:tcW w:w="2318" w:type="dxa"/>
            <w:gridSpan w:val="2"/>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18"/>
                <w:szCs w:val="18"/>
              </w:rPr>
            </w:pPr>
          </w:p>
          <w:p w:rsidR="00BD5B7F" w:rsidRPr="00FF6562" w:rsidRDefault="00BD5B7F" w:rsidP="000E5961">
            <w:pPr>
              <w:rPr>
                <w:rFonts w:ascii="Arial" w:eastAsia="Calibri" w:hAnsi="Arial" w:cs="Arial"/>
                <w:color w:val="000000"/>
                <w:sz w:val="18"/>
                <w:szCs w:val="18"/>
              </w:rPr>
            </w:pPr>
            <w:r w:rsidRPr="00FF6562">
              <w:rPr>
                <w:rFonts w:ascii="Arial" w:eastAsia="Arial" w:hAnsi="Arial" w:cs="Arial"/>
                <w:color w:val="000000"/>
                <w:sz w:val="18"/>
                <w:szCs w:val="18"/>
                <w:bdr w:val="none" w:sz="0" w:space="0" w:color="auto" w:frame="1"/>
              </w:rPr>
              <w:t xml:space="preserve"> </w:t>
            </w:r>
            <w:r w:rsidRPr="00FF6562">
              <w:rPr>
                <w:rFonts w:ascii="Arial" w:eastAsia="Arial" w:hAnsi="Arial" w:cs="Arial"/>
                <w:color w:val="000000"/>
                <w:sz w:val="18"/>
                <w:szCs w:val="18"/>
              </w:rPr>
              <w:t>􀜆</w:t>
            </w:r>
            <w:r w:rsidRPr="00FF6562">
              <w:rPr>
                <w:rFonts w:ascii="Arial" w:eastAsia="Calibri" w:hAnsi="Arial" w:cs="Arial"/>
                <w:color w:val="000000"/>
                <w:sz w:val="18"/>
                <w:szCs w:val="18"/>
              </w:rPr>
              <w:t xml:space="preserve"> </w:t>
            </w:r>
            <w:r w:rsidRPr="00FF6562">
              <w:rPr>
                <w:rFonts w:ascii="Arial" w:eastAsia="Arial" w:hAnsi="Arial" w:cs="Arial"/>
                <w:color w:val="000000"/>
                <w:sz w:val="18"/>
                <w:szCs w:val="18"/>
                <w:bdr w:val="none" w:sz="0" w:space="0" w:color="auto" w:frame="1"/>
              </w:rPr>
              <w:t>Moins de 10 %</w:t>
            </w:r>
          </w:p>
        </w:tc>
        <w:tc>
          <w:tcPr>
            <w:tcW w:w="2339" w:type="dxa"/>
            <w:gridSpan w:val="2"/>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18"/>
                <w:szCs w:val="18"/>
              </w:rPr>
            </w:pPr>
          </w:p>
          <w:p w:rsidR="00BD5B7F" w:rsidRPr="00FF6562" w:rsidRDefault="00BD5B7F" w:rsidP="000E5961">
            <w:pPr>
              <w:rPr>
                <w:rFonts w:ascii="Arial" w:eastAsia="Calibri" w:hAnsi="Arial" w:cs="Arial"/>
                <w:color w:val="000000"/>
                <w:sz w:val="18"/>
                <w:szCs w:val="18"/>
              </w:rPr>
            </w:pPr>
            <w:r w:rsidRPr="00FF6562">
              <w:rPr>
                <w:rFonts w:ascii="Arial" w:eastAsia="Arial" w:hAnsi="Arial" w:cs="Arial"/>
                <w:color w:val="000000"/>
                <w:sz w:val="18"/>
                <w:szCs w:val="18"/>
                <w:bdr w:val="none" w:sz="0" w:space="0" w:color="auto" w:frame="1"/>
              </w:rPr>
              <w:t xml:space="preserve"> </w:t>
            </w:r>
            <w:r w:rsidRPr="00FF6562">
              <w:rPr>
                <w:rFonts w:ascii="Arial" w:eastAsia="Arial" w:hAnsi="Arial" w:cs="Arial"/>
                <w:color w:val="000000"/>
                <w:sz w:val="18"/>
                <w:szCs w:val="18"/>
              </w:rPr>
              <w:t>􀜆</w:t>
            </w:r>
            <w:r w:rsidRPr="00FF6562">
              <w:rPr>
                <w:rFonts w:ascii="Arial" w:eastAsia="Calibri" w:hAnsi="Arial" w:cs="Arial"/>
                <w:color w:val="000000"/>
                <w:sz w:val="18"/>
                <w:szCs w:val="18"/>
              </w:rPr>
              <w:t xml:space="preserve"> </w:t>
            </w:r>
            <w:r w:rsidRPr="00FF6562">
              <w:rPr>
                <w:rFonts w:ascii="Arial" w:eastAsia="Arial" w:hAnsi="Arial" w:cs="Arial"/>
                <w:color w:val="000000"/>
                <w:sz w:val="18"/>
                <w:szCs w:val="18"/>
                <w:bdr w:val="none" w:sz="0" w:space="0" w:color="auto" w:frame="1"/>
              </w:rPr>
              <w:t>Entre 10 % et 50 %</w:t>
            </w:r>
          </w:p>
          <w:p w:rsidR="00BD5B7F" w:rsidRPr="00FF6562" w:rsidRDefault="00BD5B7F" w:rsidP="000E5961">
            <w:pPr>
              <w:rPr>
                <w:rFonts w:ascii="Arial" w:eastAsia="Calibri" w:hAnsi="Arial" w:cs="Arial"/>
                <w:color w:val="000000"/>
                <w:sz w:val="18"/>
                <w:szCs w:val="18"/>
              </w:rPr>
            </w:pPr>
          </w:p>
          <w:p w:rsidR="00BD5B7F" w:rsidRPr="00FF6562" w:rsidRDefault="00BD5B7F" w:rsidP="000E5961">
            <w:pPr>
              <w:rPr>
                <w:rFonts w:ascii="Arial" w:eastAsia="Calibri" w:hAnsi="Arial" w:cs="Arial"/>
                <w:color w:val="000000"/>
                <w:sz w:val="18"/>
                <w:szCs w:val="18"/>
              </w:rPr>
            </w:pPr>
          </w:p>
        </w:tc>
        <w:tc>
          <w:tcPr>
            <w:tcW w:w="2320" w:type="dxa"/>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18"/>
                <w:szCs w:val="18"/>
              </w:rPr>
            </w:pPr>
          </w:p>
          <w:p w:rsidR="00BD5B7F" w:rsidRPr="00FF6562" w:rsidRDefault="00BD5B7F" w:rsidP="000E5961">
            <w:pPr>
              <w:rPr>
                <w:rFonts w:ascii="Arial" w:eastAsia="Calibri" w:hAnsi="Arial" w:cs="Arial"/>
                <w:color w:val="000000"/>
                <w:sz w:val="18"/>
                <w:szCs w:val="18"/>
              </w:rPr>
            </w:pPr>
            <w:r w:rsidRPr="00FF6562">
              <w:rPr>
                <w:rFonts w:ascii="Arial" w:eastAsia="Arial" w:hAnsi="Arial" w:cs="Arial"/>
                <w:color w:val="000000"/>
                <w:sz w:val="18"/>
                <w:szCs w:val="18"/>
                <w:bdr w:val="none" w:sz="0" w:space="0" w:color="auto" w:frame="1"/>
              </w:rPr>
              <w:t xml:space="preserve"> </w:t>
            </w:r>
            <w:r w:rsidRPr="00FF6562">
              <w:rPr>
                <w:rFonts w:ascii="Arial" w:eastAsia="Arial" w:hAnsi="Arial" w:cs="Arial"/>
                <w:color w:val="000000"/>
                <w:sz w:val="18"/>
                <w:szCs w:val="18"/>
              </w:rPr>
              <w:t>􀜆</w:t>
            </w:r>
            <w:r w:rsidRPr="00FF6562">
              <w:rPr>
                <w:rFonts w:ascii="Arial" w:eastAsia="Calibri" w:hAnsi="Arial" w:cs="Arial"/>
                <w:color w:val="000000"/>
                <w:sz w:val="18"/>
                <w:szCs w:val="18"/>
              </w:rPr>
              <w:t xml:space="preserve"> </w:t>
            </w:r>
            <w:r w:rsidRPr="00FF6562">
              <w:rPr>
                <w:rFonts w:ascii="Arial" w:eastAsia="Arial" w:hAnsi="Arial" w:cs="Arial"/>
                <w:color w:val="000000"/>
                <w:sz w:val="18"/>
                <w:szCs w:val="18"/>
                <w:bdr w:val="none" w:sz="0" w:space="0" w:color="auto" w:frame="1"/>
              </w:rPr>
              <w:t>Plus de 50 %</w:t>
            </w:r>
          </w:p>
          <w:p w:rsidR="00BD5B7F" w:rsidRPr="00FF6562" w:rsidRDefault="00BD5B7F" w:rsidP="000E5961">
            <w:pPr>
              <w:rPr>
                <w:rFonts w:ascii="Arial" w:eastAsia="Calibri" w:hAnsi="Arial" w:cs="Arial"/>
                <w:color w:val="000000"/>
                <w:sz w:val="18"/>
                <w:szCs w:val="18"/>
              </w:rPr>
            </w:pPr>
          </w:p>
        </w:tc>
      </w:tr>
    </w:tbl>
    <w:p w:rsidR="00BD5B7F" w:rsidRPr="00FF6562" w:rsidRDefault="00BD5B7F" w:rsidP="00BD5B7F">
      <w:pPr>
        <w:rPr>
          <w:rFonts w:ascii="Arial" w:eastAsia="Calibri" w:hAnsi="Arial" w:cs="Arial"/>
          <w:b/>
          <w:bCs/>
          <w:color w:val="000000"/>
          <w:sz w:val="23"/>
          <w:szCs w:val="23"/>
        </w:rPr>
      </w:pPr>
    </w:p>
    <w:p w:rsidR="00BD5B7F" w:rsidRPr="00FF6562" w:rsidRDefault="00BD5B7F" w:rsidP="00BD5B7F">
      <w:pPr>
        <w:rPr>
          <w:rFonts w:ascii="Arial" w:eastAsia="Calibri" w:hAnsi="Arial" w:cs="Arial"/>
          <w:color w:val="000000"/>
          <w:sz w:val="22"/>
          <w:szCs w:val="22"/>
        </w:rPr>
      </w:pPr>
      <w:r w:rsidRPr="00FF6562">
        <w:rPr>
          <w:rFonts w:ascii="Arial" w:eastAsia="Arial" w:hAnsi="Arial" w:cs="Arial"/>
          <w:color w:val="000000"/>
          <w:sz w:val="22"/>
          <w:szCs w:val="22"/>
          <w:bdr w:val="none" w:sz="0" w:space="0" w:color="auto" w:frame="1"/>
        </w:rPr>
        <w:t>Commentaires</w:t>
      </w:r>
      <w:r w:rsidRPr="00FF6562">
        <w:rPr>
          <w:rFonts w:ascii="Arial" w:eastAsia="Calibri" w:hAnsi="Arial" w:cs="Arial"/>
          <w:color w:val="000000"/>
          <w:sz w:val="22"/>
          <w:szCs w:val="22"/>
          <w:vertAlign w:val="superscript"/>
        </w:rPr>
        <w:footnoteReference w:id="37"/>
      </w:r>
      <w:r w:rsidRPr="00FF6562">
        <w:rPr>
          <w:rFonts w:ascii="Arial" w:eastAsia="Arial" w:hAnsi="Arial" w:cs="Arial"/>
          <w:color w:val="000000"/>
          <w:sz w:val="22"/>
          <w:szCs w:val="22"/>
          <w:bdr w:val="none" w:sz="0" w:space="0" w:color="auto" w:frame="1"/>
        </w:rPr>
        <w:t> :</w:t>
      </w:r>
    </w:p>
    <w:p w:rsidR="00BD5B7F" w:rsidRPr="00FF6562" w:rsidRDefault="00BD5B7F" w:rsidP="00BD5B7F">
      <w:pPr>
        <w:ind w:firstLine="708"/>
        <w:rPr>
          <w:rFonts w:ascii="Arial" w:eastAsia="Calibri" w:hAnsi="Arial" w:cs="Arial"/>
          <w:color w:val="000000"/>
          <w:sz w:val="22"/>
          <w:szCs w:val="22"/>
        </w:rPr>
      </w:pPr>
    </w:p>
    <w:p w:rsidR="00BD5B7F" w:rsidRPr="00FF6562" w:rsidRDefault="00BD5B7F" w:rsidP="00BD5B7F">
      <w:pPr>
        <w:rPr>
          <w:rFonts w:ascii="Arial" w:eastAsia="Calibri" w:hAnsi="Arial" w:cs="Arial"/>
          <w:color w:val="000000"/>
          <w:sz w:val="18"/>
          <w:szCs w:val="18"/>
        </w:rPr>
      </w:pPr>
      <w:r w:rsidRPr="00FF6562">
        <w:rPr>
          <w:rFonts w:ascii="Arial" w:eastAsia="Calibri" w:hAnsi="Arial" w:cs="Arial"/>
          <w:color w:val="000000"/>
          <w:sz w:val="18"/>
          <w:szCs w:val="18"/>
        </w:rPr>
        <w:br w:type="page"/>
      </w:r>
    </w:p>
    <w:p w:rsidR="00BD5B7F" w:rsidRPr="00865DA5" w:rsidRDefault="00BD5B7F" w:rsidP="00BD5B7F">
      <w:pPr>
        <w:keepNext/>
        <w:keepLines/>
        <w:spacing w:after="120"/>
        <w:outlineLvl w:val="3"/>
        <w:rPr>
          <w:rFonts w:ascii="Arial" w:hAnsi="Arial" w:cs="Arial"/>
          <w:b/>
          <w:i/>
          <w:iCs/>
          <w:color w:val="000000"/>
          <w:sz w:val="18"/>
          <w:szCs w:val="18"/>
          <w:lang w:val="fr-FR"/>
        </w:rPr>
      </w:pPr>
      <w:bookmarkStart w:id="80" w:name="_Toc491245255"/>
      <w:bookmarkStart w:id="81" w:name="_Toc486539592"/>
      <w:r w:rsidRPr="00865DA5">
        <w:rPr>
          <w:rFonts w:ascii="Arial" w:eastAsia="Arial" w:hAnsi="Arial" w:cs="Arial"/>
          <w:b/>
          <w:bCs/>
          <w:iCs/>
          <w:color w:val="000000"/>
          <w:sz w:val="28"/>
          <w:szCs w:val="28"/>
          <w:bdr w:val="none" w:sz="0" w:space="0" w:color="auto" w:frame="1"/>
          <w:lang w:val="fr-FR"/>
        </w:rPr>
        <w:lastRenderedPageBreak/>
        <w:t>19. Effort de lutte contre l’IKB sur le terrain</w:t>
      </w:r>
      <w:bookmarkEnd w:id="80"/>
      <w:bookmarkEnd w:id="81"/>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L’intensité des efforts déployés par les agences de lutte contre la fraude et d’application des lois pour lutter contre l’IKB.</w:t>
      </w:r>
    </w:p>
    <w:p w:rsidR="00BD5B7F" w:rsidRPr="00865DA5" w:rsidRDefault="00BD5B7F" w:rsidP="00BD5B7F">
      <w:pPr>
        <w:jc w:val="both"/>
        <w:rPr>
          <w:rFonts w:ascii="Arial" w:eastAsia="Calibri" w:hAnsi="Arial" w:cs="Arial"/>
          <w:b/>
          <w:bCs/>
          <w:i/>
          <w:iCs/>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Les efforts de surveillance déployés pour lutter contre l’IKB sont-ils jugés suffisants ?</w:t>
      </w:r>
    </w:p>
    <w:p w:rsidR="00BD5B7F" w:rsidRPr="00865DA5" w:rsidRDefault="00BD5B7F" w:rsidP="00BD5B7F">
      <w:pPr>
        <w:jc w:val="both"/>
        <w:rPr>
          <w:rFonts w:ascii="Arial" w:eastAsia="Calibri" w:hAnsi="Arial" w:cs="Arial"/>
          <w:b/>
          <w:bCs/>
          <w:i/>
          <w:iCs/>
          <w:color w:val="000000"/>
          <w:sz w:val="22"/>
          <w:szCs w:val="18"/>
          <w:lang w:val="fr-FR"/>
        </w:rPr>
      </w:pPr>
    </w:p>
    <w:p w:rsidR="00BD5B7F" w:rsidRPr="00865DA5" w:rsidRDefault="00BD5B7F" w:rsidP="00BD5B7F">
      <w:pPr>
        <w:jc w:val="both"/>
        <w:rPr>
          <w:rFonts w:ascii="Arial" w:eastAsia="Calibri" w:hAnsi="Arial" w:cs="Arial"/>
          <w:i/>
          <w:iCs/>
          <w:color w:val="000000"/>
          <w:sz w:val="22"/>
          <w:szCs w:val="18"/>
          <w:lang w:val="fr-FR"/>
        </w:rPr>
      </w:pPr>
      <w:r w:rsidRPr="00865DA5">
        <w:rPr>
          <w:rFonts w:ascii="Arial" w:eastAsia="Arial" w:hAnsi="Arial" w:cs="Arial"/>
          <w:i/>
          <w:iCs/>
          <w:color w:val="000000"/>
          <w:sz w:val="22"/>
          <w:szCs w:val="22"/>
          <w:bdr w:val="none" w:sz="0" w:space="0" w:color="auto" w:frame="1"/>
          <w:lang w:val="fr-FR"/>
        </w:rPr>
        <w:t>Mesure : Sur une échelle de 1 à 5 - 5 étant le score le plus positif - veuillez attribuer un score à l’effort de lutte contre l’IKB sur le terrain déployé par les agences de lutte contre la fraude et d’application des lois dans votre pays.</w:t>
      </w:r>
    </w:p>
    <w:p w:rsidR="00BD5B7F" w:rsidRPr="00865DA5" w:rsidRDefault="00BD5B7F" w:rsidP="00BD5B7F">
      <w:pPr>
        <w:rPr>
          <w:rFonts w:ascii="Arial" w:eastAsia="Calibri" w:hAnsi="Arial" w:cs="Arial"/>
          <w:i/>
          <w:iCs/>
          <w:color w:val="000000"/>
          <w:sz w:val="18"/>
          <w:szCs w:val="18"/>
          <w:lang w:val="fr-FR"/>
        </w:rPr>
      </w:pPr>
    </w:p>
    <w:p w:rsidR="00BD5B7F" w:rsidRPr="00865DA5" w:rsidRDefault="00BD5B7F" w:rsidP="00BD5B7F">
      <w:pPr>
        <w:rPr>
          <w:rFonts w:ascii="Arial" w:eastAsia="Calibri" w:hAnsi="Arial" w:cs="Arial"/>
          <w:i/>
          <w:iCs/>
          <w:color w:val="000000"/>
          <w:sz w:val="18"/>
          <w:szCs w:val="18"/>
          <w:lang w:val="fr-FR"/>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858"/>
        <w:gridCol w:w="1857"/>
        <w:gridCol w:w="1857"/>
        <w:gridCol w:w="1857"/>
        <w:gridCol w:w="1857"/>
      </w:tblGrid>
      <w:tr w:rsidR="00BD5B7F" w:rsidRPr="00FC42B0" w:rsidTr="000E5961">
        <w:tc>
          <w:tcPr>
            <w:tcW w:w="1000" w:type="pct"/>
            <w:tcBorders>
              <w:top w:val="single" w:sz="8" w:space="0" w:color="4F81BD"/>
              <w:left w:val="single" w:sz="8" w:space="0" w:color="4F81BD"/>
              <w:bottom w:val="nil"/>
              <w:right w:val="nil"/>
            </w:tcBorders>
            <w:shd w:val="clear" w:color="auto" w:fill="4F81BD"/>
            <w:vAlign w:val="center"/>
            <w:hideMark/>
          </w:tcPr>
          <w:p w:rsidR="00BD5B7F" w:rsidRPr="00865DA5" w:rsidRDefault="00BD5B7F" w:rsidP="000E5961">
            <w:pPr>
              <w:jc w:val="center"/>
              <w:rPr>
                <w:rFonts w:ascii="Arial" w:eastAsia="Calibri" w:hAnsi="Arial" w:cs="Arial"/>
                <w:b/>
                <w:bCs/>
                <w:i/>
                <w:iCs/>
                <w:color w:val="FFFFFF"/>
                <w:sz w:val="18"/>
                <w:szCs w:val="18"/>
                <w:lang w:val="fr-FR"/>
              </w:rPr>
            </w:pPr>
            <w:r w:rsidRPr="00865DA5">
              <w:rPr>
                <w:rFonts w:ascii="Arial" w:eastAsia="Arial" w:hAnsi="Arial" w:cs="Arial"/>
                <w:b/>
                <w:bCs/>
                <w:i/>
                <w:iCs/>
                <w:color w:val="FFFFFF"/>
                <w:sz w:val="18"/>
                <w:szCs w:val="18"/>
                <w:bdr w:val="none" w:sz="0" w:space="0" w:color="auto" w:frame="1"/>
                <w:lang w:val="fr-FR"/>
              </w:rPr>
              <w:t xml:space="preserve">Insuffisant </w:t>
            </w:r>
          </w:p>
          <w:p w:rsidR="00BD5B7F" w:rsidRPr="00865DA5" w:rsidRDefault="00BD5B7F" w:rsidP="000E5961">
            <w:pPr>
              <w:jc w:val="center"/>
              <w:rPr>
                <w:rFonts w:ascii="Arial" w:eastAsia="Calibri" w:hAnsi="Arial" w:cs="Arial"/>
                <w:b/>
                <w:bCs/>
                <w:i/>
                <w:iCs/>
                <w:color w:val="FFFFFF"/>
                <w:sz w:val="18"/>
                <w:szCs w:val="18"/>
                <w:lang w:val="fr-FR"/>
              </w:rPr>
            </w:pPr>
            <w:r w:rsidRPr="00865DA5">
              <w:rPr>
                <w:rFonts w:ascii="Arial" w:eastAsia="Arial" w:hAnsi="Arial" w:cs="Arial"/>
                <w:b/>
                <w:bCs/>
                <w:i/>
                <w:iCs/>
                <w:color w:val="FFFFFF"/>
                <w:sz w:val="18"/>
                <w:szCs w:val="18"/>
                <w:bdr w:val="none" w:sz="0" w:space="0" w:color="auto" w:frame="1"/>
                <w:lang w:val="fr-FR"/>
              </w:rPr>
              <w:t>pour lutter contre l’IKB</w:t>
            </w:r>
          </w:p>
        </w:tc>
        <w:tc>
          <w:tcPr>
            <w:tcW w:w="1000" w:type="pct"/>
            <w:tcBorders>
              <w:top w:val="single" w:sz="8" w:space="0" w:color="4F81BD"/>
              <w:left w:val="nil"/>
              <w:bottom w:val="nil"/>
              <w:right w:val="nil"/>
            </w:tcBorders>
            <w:shd w:val="clear" w:color="auto" w:fill="4F81BD"/>
            <w:vAlign w:val="center"/>
          </w:tcPr>
          <w:p w:rsidR="00BD5B7F" w:rsidRPr="00865DA5" w:rsidRDefault="00BD5B7F" w:rsidP="000E5961">
            <w:pPr>
              <w:jc w:val="center"/>
              <w:rPr>
                <w:rFonts w:ascii="Arial" w:eastAsia="Calibri" w:hAnsi="Arial" w:cs="Arial"/>
                <w:b/>
                <w:bCs/>
                <w:i/>
                <w:iCs/>
                <w:color w:val="FFFFFF"/>
                <w:sz w:val="18"/>
                <w:szCs w:val="18"/>
                <w:lang w:val="fr-FR"/>
              </w:rPr>
            </w:pPr>
          </w:p>
        </w:tc>
        <w:tc>
          <w:tcPr>
            <w:tcW w:w="1000" w:type="pct"/>
            <w:tcBorders>
              <w:top w:val="single" w:sz="8" w:space="0" w:color="4F81BD"/>
              <w:left w:val="nil"/>
              <w:bottom w:val="nil"/>
              <w:right w:val="nil"/>
            </w:tcBorders>
            <w:shd w:val="clear" w:color="auto" w:fill="4F81BD"/>
            <w:vAlign w:val="center"/>
          </w:tcPr>
          <w:p w:rsidR="00BD5B7F" w:rsidRPr="00865DA5" w:rsidRDefault="00BD5B7F" w:rsidP="000E5961">
            <w:pPr>
              <w:jc w:val="center"/>
              <w:rPr>
                <w:rFonts w:ascii="Arial" w:eastAsia="Calibri" w:hAnsi="Arial" w:cs="Arial"/>
                <w:b/>
                <w:bCs/>
                <w:i/>
                <w:iCs/>
                <w:color w:val="FFFFFF"/>
                <w:sz w:val="18"/>
                <w:szCs w:val="18"/>
                <w:lang w:val="fr-FR"/>
              </w:rPr>
            </w:pPr>
          </w:p>
        </w:tc>
        <w:tc>
          <w:tcPr>
            <w:tcW w:w="1000" w:type="pct"/>
            <w:tcBorders>
              <w:top w:val="single" w:sz="8" w:space="0" w:color="4F81BD"/>
              <w:left w:val="nil"/>
              <w:bottom w:val="nil"/>
              <w:right w:val="nil"/>
            </w:tcBorders>
            <w:shd w:val="clear" w:color="auto" w:fill="4F81BD"/>
            <w:vAlign w:val="center"/>
          </w:tcPr>
          <w:p w:rsidR="00BD5B7F" w:rsidRPr="00865DA5" w:rsidRDefault="00BD5B7F" w:rsidP="000E5961">
            <w:pPr>
              <w:jc w:val="center"/>
              <w:rPr>
                <w:rFonts w:ascii="Arial" w:eastAsia="Calibri" w:hAnsi="Arial" w:cs="Arial"/>
                <w:b/>
                <w:bCs/>
                <w:i/>
                <w:iCs/>
                <w:color w:val="FFFFFF"/>
                <w:sz w:val="18"/>
                <w:szCs w:val="18"/>
                <w:lang w:val="fr-FR"/>
              </w:rPr>
            </w:pPr>
          </w:p>
        </w:tc>
        <w:tc>
          <w:tcPr>
            <w:tcW w:w="1000" w:type="pct"/>
            <w:tcBorders>
              <w:top w:val="single" w:sz="8" w:space="0" w:color="4F81BD"/>
              <w:left w:val="nil"/>
              <w:bottom w:val="nil"/>
              <w:right w:val="single" w:sz="8" w:space="0" w:color="4F81BD"/>
            </w:tcBorders>
            <w:shd w:val="clear" w:color="auto" w:fill="4F81BD"/>
            <w:vAlign w:val="center"/>
            <w:hideMark/>
          </w:tcPr>
          <w:p w:rsidR="00BD5B7F" w:rsidRPr="00865DA5" w:rsidRDefault="00BD5B7F" w:rsidP="000E5961">
            <w:pPr>
              <w:jc w:val="center"/>
              <w:rPr>
                <w:rFonts w:ascii="Arial" w:eastAsia="Calibri" w:hAnsi="Arial" w:cs="Arial"/>
                <w:b/>
                <w:bCs/>
                <w:i/>
                <w:iCs/>
                <w:color w:val="FFFFFF"/>
                <w:sz w:val="18"/>
                <w:szCs w:val="18"/>
                <w:lang w:val="fr-FR"/>
              </w:rPr>
            </w:pPr>
            <w:r w:rsidRPr="00865DA5">
              <w:rPr>
                <w:rFonts w:ascii="Arial" w:eastAsia="Arial" w:hAnsi="Arial" w:cs="Arial"/>
                <w:b/>
                <w:bCs/>
                <w:i/>
                <w:iCs/>
                <w:color w:val="FFFFFF"/>
                <w:sz w:val="18"/>
                <w:szCs w:val="18"/>
                <w:bdr w:val="none" w:sz="0" w:space="0" w:color="auto" w:frame="1"/>
                <w:lang w:val="fr-FR"/>
              </w:rPr>
              <w:t>Suffisant pour lutter correctement contre l’IKB</w:t>
            </w:r>
          </w:p>
        </w:tc>
      </w:tr>
      <w:tr w:rsidR="00BD5B7F" w:rsidRPr="00FF6562" w:rsidTr="000E5961">
        <w:tc>
          <w:tcPr>
            <w:tcW w:w="1000" w:type="pct"/>
            <w:tcBorders>
              <w:top w:val="single" w:sz="8" w:space="0" w:color="4F81BD"/>
              <w:left w:val="single" w:sz="8" w:space="0" w:color="4F81BD"/>
              <w:bottom w:val="single" w:sz="8" w:space="0" w:color="4F81BD"/>
              <w:right w:val="nil"/>
            </w:tcBorders>
            <w:hideMark/>
          </w:tcPr>
          <w:p w:rsidR="00BD5B7F" w:rsidRPr="00FF6562" w:rsidRDefault="00BD5B7F" w:rsidP="000E5961">
            <w:pPr>
              <w:jc w:val="center"/>
              <w:rPr>
                <w:rFonts w:ascii="Arial" w:eastAsia="Calibri" w:hAnsi="Arial" w:cs="Arial"/>
                <w:b/>
                <w:bCs/>
                <w:iCs/>
                <w:color w:val="000000"/>
                <w:sz w:val="18"/>
                <w:szCs w:val="18"/>
              </w:rPr>
            </w:pPr>
            <w:r w:rsidRPr="00FF6562">
              <w:rPr>
                <w:rFonts w:ascii="Arial" w:eastAsia="Calibri" w:hAnsi="Arial" w:cs="Arial"/>
                <w:b/>
                <w:bCs/>
                <w:iCs/>
                <w:color w:val="000000"/>
                <w:sz w:val="18"/>
                <w:szCs w:val="18"/>
              </w:rPr>
              <w:t xml:space="preserve">1 </w:t>
            </w:r>
            <w:r w:rsidRPr="00FF6562">
              <w:rPr>
                <w:rFonts w:ascii="Arial" w:eastAsia="Arial" w:hAnsi="Arial" w:cs="Arial"/>
                <w:b/>
                <w:bCs/>
                <w:color w:val="000000"/>
                <w:sz w:val="18"/>
                <w:szCs w:val="18"/>
              </w:rPr>
              <w:t>􀜆</w:t>
            </w:r>
          </w:p>
        </w:tc>
        <w:tc>
          <w:tcPr>
            <w:tcW w:w="1000" w:type="pct"/>
            <w:tcBorders>
              <w:top w:val="single" w:sz="8" w:space="0" w:color="4F81BD"/>
              <w:left w:val="nil"/>
              <w:bottom w:val="single" w:sz="8" w:space="0" w:color="4F81BD"/>
              <w:right w:val="nil"/>
            </w:tcBorders>
            <w:hideMark/>
          </w:tcPr>
          <w:p w:rsidR="00BD5B7F" w:rsidRPr="00FF6562" w:rsidRDefault="00BD5B7F" w:rsidP="000E5961">
            <w:pPr>
              <w:jc w:val="center"/>
              <w:rPr>
                <w:rFonts w:ascii="Arial" w:eastAsia="Calibri" w:hAnsi="Arial" w:cs="Arial"/>
                <w:b/>
                <w:iCs/>
                <w:color w:val="000000"/>
                <w:sz w:val="18"/>
                <w:szCs w:val="18"/>
              </w:rPr>
            </w:pPr>
            <w:r w:rsidRPr="00FF6562">
              <w:rPr>
                <w:rFonts w:ascii="Arial" w:eastAsia="Calibri" w:hAnsi="Arial" w:cs="Arial"/>
                <w:b/>
                <w:iCs/>
                <w:color w:val="000000"/>
                <w:sz w:val="18"/>
                <w:szCs w:val="18"/>
              </w:rPr>
              <w:t xml:space="preserve">2 </w:t>
            </w:r>
            <w:r w:rsidRPr="00FF6562">
              <w:rPr>
                <w:rFonts w:ascii="Arial" w:eastAsia="Arial" w:hAnsi="Arial" w:cs="Arial"/>
                <w:color w:val="000000"/>
                <w:sz w:val="18"/>
                <w:szCs w:val="18"/>
              </w:rPr>
              <w:t>􀜆</w:t>
            </w:r>
          </w:p>
        </w:tc>
        <w:tc>
          <w:tcPr>
            <w:tcW w:w="1000" w:type="pct"/>
            <w:tcBorders>
              <w:top w:val="single" w:sz="8" w:space="0" w:color="4F81BD"/>
              <w:left w:val="nil"/>
              <w:bottom w:val="single" w:sz="8" w:space="0" w:color="4F81BD"/>
              <w:right w:val="nil"/>
            </w:tcBorders>
            <w:hideMark/>
          </w:tcPr>
          <w:p w:rsidR="00BD5B7F" w:rsidRPr="00FF6562" w:rsidRDefault="00BD5B7F" w:rsidP="000E5961">
            <w:pPr>
              <w:jc w:val="center"/>
              <w:rPr>
                <w:rFonts w:ascii="Arial" w:eastAsia="Calibri" w:hAnsi="Arial" w:cs="Arial"/>
                <w:b/>
                <w:iCs/>
                <w:color w:val="000000"/>
                <w:sz w:val="18"/>
                <w:szCs w:val="18"/>
              </w:rPr>
            </w:pPr>
            <w:r w:rsidRPr="00FF6562">
              <w:rPr>
                <w:rFonts w:ascii="Arial" w:eastAsia="Calibri" w:hAnsi="Arial" w:cs="Arial"/>
                <w:b/>
                <w:iCs/>
                <w:color w:val="000000"/>
                <w:sz w:val="18"/>
                <w:szCs w:val="18"/>
              </w:rPr>
              <w:t xml:space="preserve">3 </w:t>
            </w:r>
            <w:r w:rsidRPr="00FF6562">
              <w:rPr>
                <w:rFonts w:ascii="Arial" w:eastAsia="Arial" w:hAnsi="Arial" w:cs="Arial"/>
                <w:color w:val="000000"/>
                <w:sz w:val="18"/>
                <w:szCs w:val="18"/>
              </w:rPr>
              <w:t>􀜆</w:t>
            </w:r>
          </w:p>
        </w:tc>
        <w:tc>
          <w:tcPr>
            <w:tcW w:w="1000" w:type="pct"/>
            <w:tcBorders>
              <w:top w:val="single" w:sz="8" w:space="0" w:color="4F81BD"/>
              <w:left w:val="nil"/>
              <w:bottom w:val="single" w:sz="8" w:space="0" w:color="4F81BD"/>
              <w:right w:val="nil"/>
            </w:tcBorders>
            <w:hideMark/>
          </w:tcPr>
          <w:p w:rsidR="00BD5B7F" w:rsidRPr="00FF6562" w:rsidRDefault="00BD5B7F" w:rsidP="000E5961">
            <w:pPr>
              <w:jc w:val="center"/>
              <w:rPr>
                <w:rFonts w:ascii="Arial" w:eastAsia="Calibri" w:hAnsi="Arial" w:cs="Arial"/>
                <w:b/>
                <w:iCs/>
                <w:color w:val="000000"/>
                <w:sz w:val="18"/>
                <w:szCs w:val="18"/>
              </w:rPr>
            </w:pPr>
            <w:r w:rsidRPr="00FF6562">
              <w:rPr>
                <w:rFonts w:ascii="Arial" w:eastAsia="Calibri" w:hAnsi="Arial" w:cs="Arial"/>
                <w:b/>
                <w:iCs/>
                <w:color w:val="000000"/>
                <w:sz w:val="18"/>
                <w:szCs w:val="18"/>
              </w:rPr>
              <w:t xml:space="preserve">4 </w:t>
            </w:r>
            <w:r w:rsidRPr="00FF6562">
              <w:rPr>
                <w:rFonts w:ascii="Arial" w:eastAsia="Arial" w:hAnsi="Arial" w:cs="Arial"/>
                <w:color w:val="000000"/>
                <w:sz w:val="18"/>
                <w:szCs w:val="18"/>
              </w:rPr>
              <w:t>􀜆</w:t>
            </w:r>
          </w:p>
        </w:tc>
        <w:tc>
          <w:tcPr>
            <w:tcW w:w="1000" w:type="pct"/>
            <w:tcBorders>
              <w:top w:val="single" w:sz="8" w:space="0" w:color="4F81BD"/>
              <w:left w:val="nil"/>
              <w:bottom w:val="single" w:sz="8" w:space="0" w:color="4F81BD"/>
              <w:right w:val="single" w:sz="8" w:space="0" w:color="4F81BD"/>
            </w:tcBorders>
            <w:hideMark/>
          </w:tcPr>
          <w:p w:rsidR="00BD5B7F" w:rsidRPr="00FF6562" w:rsidRDefault="00BD5B7F" w:rsidP="000E5961">
            <w:pPr>
              <w:jc w:val="center"/>
              <w:rPr>
                <w:rFonts w:ascii="Arial" w:eastAsia="Calibri" w:hAnsi="Arial" w:cs="Arial"/>
                <w:b/>
                <w:iCs/>
                <w:color w:val="000000"/>
                <w:sz w:val="18"/>
                <w:szCs w:val="18"/>
              </w:rPr>
            </w:pPr>
            <w:r w:rsidRPr="00FF6562">
              <w:rPr>
                <w:rFonts w:ascii="Arial" w:eastAsia="Calibri" w:hAnsi="Arial" w:cs="Arial"/>
                <w:b/>
                <w:iCs/>
                <w:color w:val="000000"/>
                <w:sz w:val="18"/>
                <w:szCs w:val="18"/>
              </w:rPr>
              <w:t xml:space="preserve">5 </w:t>
            </w:r>
            <w:r w:rsidRPr="00FF6562">
              <w:rPr>
                <w:rFonts w:ascii="Arial" w:eastAsia="Arial" w:hAnsi="Arial" w:cs="Arial"/>
                <w:color w:val="000000"/>
                <w:sz w:val="18"/>
                <w:szCs w:val="18"/>
              </w:rPr>
              <w:t>􀜆</w:t>
            </w:r>
          </w:p>
        </w:tc>
      </w:tr>
    </w:tbl>
    <w:p w:rsidR="00BD5B7F" w:rsidRPr="00FF6562" w:rsidRDefault="00BD5B7F" w:rsidP="00BD5B7F">
      <w:pPr>
        <w:rPr>
          <w:rFonts w:ascii="Arial" w:eastAsia="Calibri" w:hAnsi="Arial" w:cs="Arial"/>
          <w:i/>
          <w:iCs/>
          <w:color w:val="000000"/>
          <w:sz w:val="18"/>
          <w:szCs w:val="18"/>
        </w:rPr>
      </w:pPr>
    </w:p>
    <w:p w:rsidR="00BD5B7F" w:rsidRPr="00FF6562" w:rsidRDefault="00BD5B7F" w:rsidP="00BD5B7F">
      <w:pPr>
        <w:rPr>
          <w:rFonts w:ascii="Arial" w:eastAsia="Calibri" w:hAnsi="Arial" w:cs="Arial"/>
          <w:color w:val="000000"/>
          <w:sz w:val="12"/>
          <w:szCs w:val="12"/>
        </w:rPr>
      </w:pPr>
    </w:p>
    <w:p w:rsidR="00BD5B7F" w:rsidRPr="00FF6562" w:rsidRDefault="00BD5B7F" w:rsidP="00BD5B7F">
      <w:pPr>
        <w:rPr>
          <w:rFonts w:ascii="Arial" w:eastAsia="Calibri" w:hAnsi="Arial" w:cs="Arial"/>
          <w:color w:val="000000"/>
          <w:sz w:val="12"/>
          <w:szCs w:val="12"/>
        </w:rPr>
      </w:pPr>
    </w:p>
    <w:p w:rsidR="00BD5B7F" w:rsidRPr="00FF6562" w:rsidRDefault="00BD5B7F" w:rsidP="00BD5B7F">
      <w:pPr>
        <w:rPr>
          <w:rFonts w:ascii="Arial" w:eastAsia="Calibri" w:hAnsi="Arial" w:cs="Arial"/>
          <w:color w:val="000000"/>
          <w:sz w:val="22"/>
          <w:szCs w:val="22"/>
        </w:rPr>
      </w:pPr>
      <w:r w:rsidRPr="00FF6562">
        <w:rPr>
          <w:rFonts w:ascii="Arial" w:eastAsia="Arial" w:hAnsi="Arial" w:cs="Arial"/>
          <w:color w:val="000000"/>
          <w:sz w:val="22"/>
          <w:szCs w:val="22"/>
          <w:bdr w:val="none" w:sz="0" w:space="0" w:color="auto" w:frame="1"/>
        </w:rPr>
        <w:t>Commentaires</w:t>
      </w:r>
      <w:r w:rsidRPr="00FF6562">
        <w:rPr>
          <w:rFonts w:ascii="Arial" w:eastAsia="Calibri" w:hAnsi="Arial" w:cs="Arial"/>
          <w:color w:val="000000"/>
          <w:sz w:val="22"/>
          <w:szCs w:val="22"/>
          <w:vertAlign w:val="superscript"/>
        </w:rPr>
        <w:footnoteReference w:id="38"/>
      </w:r>
      <w:r w:rsidRPr="00FF6562">
        <w:rPr>
          <w:rFonts w:ascii="Arial" w:eastAsia="Arial" w:hAnsi="Arial" w:cs="Arial"/>
          <w:color w:val="000000"/>
          <w:sz w:val="22"/>
          <w:szCs w:val="22"/>
          <w:bdr w:val="none" w:sz="0" w:space="0" w:color="auto" w:frame="1"/>
        </w:rPr>
        <w:t> :</w:t>
      </w:r>
    </w:p>
    <w:p w:rsidR="00BD5B7F" w:rsidRPr="00FF6562" w:rsidRDefault="00BD5B7F" w:rsidP="00BD5B7F">
      <w:pPr>
        <w:rPr>
          <w:rFonts w:ascii="Arial" w:eastAsia="Calibri" w:hAnsi="Arial" w:cs="Arial"/>
          <w:color w:val="000000"/>
          <w:sz w:val="12"/>
          <w:szCs w:val="12"/>
        </w:rPr>
      </w:pPr>
    </w:p>
    <w:p w:rsidR="00BD5B7F" w:rsidRPr="00FF6562" w:rsidRDefault="00BD5B7F" w:rsidP="00BD5B7F">
      <w:pPr>
        <w:rPr>
          <w:rFonts w:ascii="Arial" w:hAnsi="Arial" w:cs="Arial"/>
          <w:b/>
          <w:bCs/>
          <w:color w:val="4F81BD"/>
          <w:sz w:val="32"/>
          <w:szCs w:val="32"/>
        </w:rPr>
      </w:pPr>
      <w:r w:rsidRPr="00FF6562">
        <w:rPr>
          <w:rFonts w:ascii="Arial" w:eastAsia="Calibri" w:hAnsi="Arial" w:cs="Arial"/>
          <w:color w:val="000000"/>
          <w:sz w:val="32"/>
          <w:szCs w:val="32"/>
        </w:rPr>
        <w:br w:type="page"/>
      </w:r>
    </w:p>
    <w:p w:rsidR="00BD5B7F" w:rsidRPr="00865DA5" w:rsidRDefault="00BD5B7F" w:rsidP="00BD5B7F">
      <w:pPr>
        <w:keepNext/>
        <w:keepLines/>
        <w:spacing w:after="120"/>
        <w:jc w:val="both"/>
        <w:outlineLvl w:val="1"/>
        <w:rPr>
          <w:rFonts w:ascii="Arial" w:hAnsi="Arial" w:cs="Arial"/>
          <w:b/>
          <w:color w:val="000000"/>
          <w:sz w:val="30"/>
          <w:szCs w:val="30"/>
          <w:lang w:val="fr-FR"/>
        </w:rPr>
      </w:pPr>
      <w:bookmarkStart w:id="82" w:name="_Toc491245256"/>
      <w:bookmarkStart w:id="83" w:name="_Toc491245060"/>
      <w:bookmarkStart w:id="84" w:name="_Toc486539593"/>
      <w:r w:rsidRPr="00865DA5">
        <w:rPr>
          <w:rFonts w:ascii="Arial" w:eastAsia="Arial" w:hAnsi="Arial" w:cs="Arial"/>
          <w:b/>
          <w:bCs/>
          <w:color w:val="000000"/>
          <w:sz w:val="30"/>
          <w:szCs w:val="30"/>
          <w:bdr w:val="none" w:sz="0" w:space="0" w:color="auto" w:frame="1"/>
          <w:lang w:val="fr-FR"/>
        </w:rPr>
        <w:lastRenderedPageBreak/>
        <w:t>D. Poursuites et condamnations - Efficacité des procédures judiciaires</w:t>
      </w:r>
      <w:bookmarkEnd w:id="82"/>
      <w:bookmarkEnd w:id="83"/>
      <w:bookmarkEnd w:id="84"/>
    </w:p>
    <w:p w:rsidR="00BD5B7F" w:rsidRPr="00865DA5" w:rsidRDefault="00BD5B7F" w:rsidP="00BD5B7F">
      <w:pPr>
        <w:keepNext/>
        <w:keepLines/>
        <w:jc w:val="both"/>
        <w:outlineLvl w:val="3"/>
        <w:rPr>
          <w:rFonts w:ascii="Arial" w:hAnsi="Arial" w:cs="Arial"/>
          <w:b/>
          <w:iCs/>
          <w:color w:val="000000"/>
          <w:sz w:val="28"/>
          <w:szCs w:val="22"/>
          <w:lang w:val="fr-FR"/>
        </w:rPr>
      </w:pPr>
      <w:bookmarkStart w:id="85" w:name="_Toc491245257"/>
      <w:bookmarkStart w:id="86" w:name="_Toc486539594"/>
      <w:r w:rsidRPr="00865DA5">
        <w:rPr>
          <w:rFonts w:ascii="Arial" w:eastAsia="Arial" w:hAnsi="Arial" w:cs="Arial"/>
          <w:b/>
          <w:bCs/>
          <w:iCs/>
          <w:color w:val="000000"/>
          <w:sz w:val="28"/>
          <w:szCs w:val="28"/>
          <w:bdr w:val="none" w:sz="0" w:space="0" w:color="auto" w:frame="1"/>
          <w:lang w:val="fr-FR"/>
        </w:rPr>
        <w:t>20. Qualité des procédures judiciaires</w:t>
      </w:r>
      <w:bookmarkEnd w:id="85"/>
      <w:bookmarkEnd w:id="86"/>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L’efficacité et l’efficience de l’administration de sanctions pour les infractions relatives à l’IKB.</w:t>
      </w:r>
    </w:p>
    <w:p w:rsidR="00BD5B7F" w:rsidRPr="00865DA5" w:rsidRDefault="00BD5B7F" w:rsidP="00BD5B7F">
      <w:pPr>
        <w:jc w:val="both"/>
        <w:rPr>
          <w:rFonts w:ascii="Arial" w:eastAsia="Calibri" w:hAnsi="Arial" w:cs="Arial"/>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Les sanctions pour des infractions relatives à l’IKB sont-elles administrées de manière efficace et efficiente ?</w:t>
      </w:r>
    </w:p>
    <w:p w:rsidR="00BD5B7F" w:rsidRPr="00FF6562" w:rsidRDefault="00BD5B7F" w:rsidP="00BD5B7F">
      <w:pPr>
        <w:spacing w:after="120"/>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9"/>
        <w:gridCol w:w="2309"/>
        <w:gridCol w:w="14"/>
        <w:gridCol w:w="2322"/>
        <w:gridCol w:w="2326"/>
      </w:tblGrid>
      <w:tr w:rsidR="00BD5B7F" w:rsidRPr="00FF6562" w:rsidTr="000E5961">
        <w:tc>
          <w:tcPr>
            <w:tcW w:w="2310"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1"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9"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2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319"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affaires d’IKB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sont </w:t>
            </w:r>
            <w:r w:rsidRPr="00865DA5">
              <w:rPr>
                <w:rFonts w:ascii="Arial" w:eastAsia="Arial" w:hAnsi="Arial" w:cs="Arial"/>
                <w:b/>
                <w:color w:val="000000"/>
                <w:sz w:val="18"/>
                <w:szCs w:val="18"/>
                <w:bdr w:val="none" w:sz="0" w:space="0" w:color="auto" w:frame="1"/>
                <w:lang w:val="fr-FR"/>
              </w:rPr>
              <w:t>pas</w:t>
            </w:r>
            <w:r w:rsidRPr="00865DA5">
              <w:rPr>
                <w:rFonts w:ascii="Arial" w:eastAsia="Arial" w:hAnsi="Arial" w:cs="Arial"/>
                <w:color w:val="000000"/>
                <w:sz w:val="18"/>
                <w:szCs w:val="18"/>
                <w:bdr w:val="none" w:sz="0" w:space="0" w:color="auto" w:frame="1"/>
                <w:lang w:val="fr-FR"/>
              </w:rPr>
              <w:t xml:space="preserve"> traduites devant le tribunal pénal</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N’entraînent </w:t>
            </w:r>
            <w:r w:rsidRPr="00865DA5">
              <w:rPr>
                <w:rFonts w:ascii="Arial" w:eastAsia="Arial" w:hAnsi="Arial" w:cs="Arial"/>
                <w:b/>
                <w:bCs/>
                <w:color w:val="000000"/>
                <w:sz w:val="18"/>
                <w:szCs w:val="18"/>
                <w:bdr w:val="none" w:sz="0" w:space="0" w:color="auto" w:frame="1"/>
                <w:lang w:val="fr-FR"/>
              </w:rPr>
              <w:t>pas</w:t>
            </w:r>
            <w:r w:rsidRPr="00865DA5">
              <w:rPr>
                <w:rFonts w:ascii="Arial" w:eastAsia="Arial" w:hAnsi="Arial" w:cs="Arial"/>
                <w:color w:val="000000"/>
                <w:sz w:val="18"/>
                <w:szCs w:val="18"/>
                <w:bdr w:val="none" w:sz="0" w:space="0" w:color="auto" w:frame="1"/>
                <w:lang w:val="fr-FR"/>
              </w:rPr>
              <w:t xml:space="preserve"> de sanctions administratives ou d’autres types de sanctions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Ne sont pas enregistrées et ne sont pas accessibles à d’autres procureurs/juges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Les rapports de la société civile concernant l’IKB sont rarement étudiés</w:t>
            </w:r>
          </w:p>
        </w:tc>
        <w:tc>
          <w:tcPr>
            <w:tcW w:w="2326"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affaires d’IKB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Prennent généralement</w:t>
            </w:r>
            <w:r w:rsidRPr="00FF6562">
              <w:rPr>
                <w:rFonts w:ascii="Arial" w:eastAsia="Calibri" w:hAnsi="Arial" w:cs="Arial"/>
                <w:color w:val="000000"/>
                <w:sz w:val="18"/>
                <w:szCs w:val="18"/>
                <w:vertAlign w:val="superscript"/>
              </w:rPr>
              <w:footnoteReference w:id="39"/>
            </w:r>
            <w:r w:rsidRPr="00865DA5">
              <w:rPr>
                <w:rFonts w:ascii="Arial" w:eastAsia="Arial" w:hAnsi="Arial" w:cs="Arial"/>
                <w:color w:val="000000"/>
                <w:sz w:val="18"/>
                <w:szCs w:val="18"/>
                <w:bdr w:val="none" w:sz="0" w:space="0" w:color="auto" w:frame="1"/>
                <w:lang w:val="fr-FR"/>
              </w:rPr>
              <w:t xml:space="preserve"> plus de </w:t>
            </w:r>
            <w:r w:rsidRPr="00865DA5">
              <w:rPr>
                <w:rFonts w:ascii="Arial" w:eastAsia="Arial" w:hAnsi="Arial" w:cs="Arial"/>
                <w:b/>
                <w:bCs/>
                <w:color w:val="000000"/>
                <w:sz w:val="18"/>
                <w:szCs w:val="18"/>
                <w:bdr w:val="none" w:sz="0" w:space="0" w:color="auto" w:frame="1"/>
                <w:lang w:val="fr-FR"/>
              </w:rPr>
              <w:t>deux ans</w:t>
            </w:r>
            <w:r w:rsidRPr="00865DA5">
              <w:rPr>
                <w:rFonts w:ascii="Arial" w:eastAsia="Arial" w:hAnsi="Arial" w:cs="Arial"/>
                <w:color w:val="000000"/>
                <w:sz w:val="18"/>
                <w:szCs w:val="18"/>
                <w:bdr w:val="none" w:sz="0" w:space="0" w:color="auto" w:frame="1"/>
                <w:lang w:val="fr-FR"/>
              </w:rPr>
              <w:t xml:space="preserve"> pour être conclues dans le cas d’une procédure pénale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Prennent généralement</w:t>
            </w:r>
            <w:r w:rsidRPr="00FF6562">
              <w:rPr>
                <w:rFonts w:ascii="Arial" w:eastAsia="Calibri" w:hAnsi="Arial" w:cs="Arial"/>
                <w:color w:val="000000"/>
                <w:sz w:val="18"/>
                <w:szCs w:val="18"/>
                <w:vertAlign w:val="superscript"/>
              </w:rPr>
              <w:footnoteReference w:id="40"/>
            </w:r>
            <w:r w:rsidRPr="00865DA5">
              <w:rPr>
                <w:rFonts w:ascii="Arial" w:eastAsia="Arial" w:hAnsi="Arial" w:cs="Arial"/>
                <w:color w:val="000000"/>
                <w:sz w:val="18"/>
                <w:szCs w:val="18"/>
                <w:bdr w:val="none" w:sz="0" w:space="0" w:color="auto" w:frame="1"/>
                <w:lang w:val="fr-FR"/>
              </w:rPr>
              <w:t xml:space="preserve"> plus de </w:t>
            </w:r>
            <w:r w:rsidRPr="00865DA5">
              <w:rPr>
                <w:rFonts w:ascii="Arial" w:eastAsia="Arial" w:hAnsi="Arial" w:cs="Arial"/>
                <w:b/>
                <w:color w:val="000000"/>
                <w:sz w:val="18"/>
                <w:szCs w:val="18"/>
                <w:bdr w:val="none" w:sz="0" w:space="0" w:color="auto" w:frame="1"/>
                <w:lang w:val="fr-FR"/>
              </w:rPr>
              <w:t>six mois</w:t>
            </w:r>
            <w:r w:rsidRPr="00865DA5">
              <w:rPr>
                <w:rFonts w:ascii="Arial" w:eastAsia="Arial" w:hAnsi="Arial" w:cs="Arial"/>
                <w:color w:val="000000"/>
                <w:sz w:val="18"/>
                <w:szCs w:val="18"/>
                <w:bdr w:val="none" w:sz="0" w:space="0" w:color="auto" w:frame="1"/>
                <w:lang w:val="fr-FR"/>
              </w:rPr>
              <w:t xml:space="preserve"> pour être conclues dans le cas d’une sanction administrative ou d’un autre type de sanction</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En général, il en résulte </w:t>
            </w:r>
            <w:r w:rsidRPr="00865DA5">
              <w:rPr>
                <w:rFonts w:ascii="Arial" w:eastAsia="Arial" w:hAnsi="Arial" w:cs="Arial"/>
                <w:b/>
                <w:color w:val="000000"/>
                <w:sz w:val="18"/>
                <w:szCs w:val="18"/>
                <w:bdr w:val="none" w:sz="0" w:space="0" w:color="auto" w:frame="1"/>
                <w:lang w:val="fr-FR"/>
              </w:rPr>
              <w:t>plus de 50 %</w:t>
            </w:r>
            <w:r w:rsidRPr="00865DA5">
              <w:rPr>
                <w:rFonts w:ascii="Arial" w:eastAsia="Arial" w:hAnsi="Arial" w:cs="Arial"/>
                <w:color w:val="000000"/>
                <w:sz w:val="18"/>
                <w:szCs w:val="18"/>
                <w:bdr w:val="none" w:sz="0" w:space="0" w:color="auto" w:frame="1"/>
                <w:lang w:val="fr-FR"/>
              </w:rPr>
              <w:t xml:space="preserve"> d’acquittements</w:t>
            </w:r>
            <w:r w:rsidRPr="00FF6562">
              <w:rPr>
                <w:rFonts w:ascii="Arial" w:eastAsia="Calibri" w:hAnsi="Arial" w:cs="Arial"/>
                <w:color w:val="000000"/>
                <w:sz w:val="18"/>
                <w:szCs w:val="18"/>
                <w:vertAlign w:val="superscript"/>
              </w:rPr>
              <w:footnoteReference w:id="41"/>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traitées par des procureurs généraux et des juges </w:t>
            </w:r>
            <w:r w:rsidRPr="00865DA5">
              <w:rPr>
                <w:rFonts w:ascii="Arial" w:eastAsia="Arial" w:hAnsi="Arial" w:cs="Arial"/>
                <w:b/>
                <w:bCs/>
                <w:color w:val="000000"/>
                <w:sz w:val="18"/>
                <w:szCs w:val="18"/>
                <w:bdr w:val="none" w:sz="0" w:space="0" w:color="auto" w:frame="1"/>
                <w:lang w:val="fr-FR"/>
              </w:rPr>
              <w:t>non</w:t>
            </w:r>
            <w:r w:rsidRPr="00865DA5">
              <w:rPr>
                <w:rFonts w:ascii="Arial" w:eastAsia="Arial" w:hAnsi="Arial" w:cs="Arial"/>
                <w:color w:val="000000"/>
                <w:sz w:val="18"/>
                <w:szCs w:val="18"/>
                <w:bdr w:val="none" w:sz="0" w:space="0" w:color="auto" w:frame="1"/>
                <w:lang w:val="fr-FR"/>
              </w:rPr>
              <w:t xml:space="preserve"> spécialisés dans la criminalité liée aux espèces sauvages</w:t>
            </w:r>
          </w:p>
          <w:p w:rsidR="00BD5B7F" w:rsidRPr="00865DA5" w:rsidRDefault="00BD5B7F" w:rsidP="000E5961">
            <w:pPr>
              <w:rPr>
                <w:rFonts w:ascii="Arial" w:eastAsia="Arial" w:hAnsi="Arial" w:cs="Arial"/>
                <w:color w:val="000000"/>
                <w:sz w:val="18"/>
                <w:szCs w:val="18"/>
                <w:bdr w:val="none" w:sz="0" w:space="0" w:color="auto" w:frame="1"/>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enregistrées mais ne sont pas facilement accessibles à d’autres procureurs/juges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Les rapports de la société civile concernant l’IKB font habituellement l’objet d’enquêtes.</w:t>
            </w:r>
          </w:p>
          <w:p w:rsidR="00BD5B7F" w:rsidRPr="00865DA5" w:rsidRDefault="00BD5B7F" w:rsidP="000E5961">
            <w:pPr>
              <w:rPr>
                <w:rFonts w:ascii="Arial" w:eastAsia="Calibri" w:hAnsi="Arial" w:cs="Arial"/>
                <w:color w:val="000000"/>
                <w:sz w:val="18"/>
                <w:szCs w:val="18"/>
                <w:lang w:val="fr-FR"/>
              </w:rPr>
            </w:pPr>
          </w:p>
        </w:tc>
        <w:tc>
          <w:tcPr>
            <w:tcW w:w="2325"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affaires d’IKB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Prennent généralement </w:t>
            </w:r>
            <w:r w:rsidRPr="00865DA5">
              <w:rPr>
                <w:rFonts w:ascii="Arial" w:eastAsia="Arial" w:hAnsi="Arial" w:cs="Arial"/>
                <w:b/>
                <w:bCs/>
                <w:color w:val="000000"/>
                <w:sz w:val="18"/>
                <w:szCs w:val="18"/>
                <w:bdr w:val="none" w:sz="0" w:space="0" w:color="auto" w:frame="1"/>
                <w:lang w:val="fr-FR"/>
              </w:rPr>
              <w:t>plus d’un an</w:t>
            </w:r>
            <w:r w:rsidRPr="00865DA5">
              <w:rPr>
                <w:rFonts w:ascii="Arial" w:eastAsia="Arial" w:hAnsi="Arial" w:cs="Arial"/>
                <w:color w:val="000000"/>
                <w:sz w:val="18"/>
                <w:szCs w:val="18"/>
                <w:bdr w:val="none" w:sz="0" w:space="0" w:color="auto" w:frame="1"/>
                <w:lang w:val="fr-FR"/>
              </w:rPr>
              <w:t xml:space="preserve"> mais moins de deux ans pour être conclues dans le cas d’une procédure pénale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Prennent généralement </w:t>
            </w:r>
            <w:r w:rsidRPr="00865DA5">
              <w:rPr>
                <w:rFonts w:ascii="Arial" w:eastAsia="Arial" w:hAnsi="Arial" w:cs="Arial"/>
                <w:b/>
                <w:bCs/>
                <w:color w:val="000000"/>
                <w:sz w:val="18"/>
                <w:szCs w:val="18"/>
                <w:bdr w:val="none" w:sz="0" w:space="0" w:color="auto" w:frame="1"/>
                <w:lang w:val="fr-FR"/>
              </w:rPr>
              <w:t xml:space="preserve">plus de trois mois </w:t>
            </w:r>
            <w:r w:rsidRPr="00865DA5">
              <w:rPr>
                <w:rFonts w:ascii="Arial" w:eastAsia="Arial" w:hAnsi="Arial" w:cs="Arial"/>
                <w:color w:val="000000"/>
                <w:sz w:val="18"/>
                <w:szCs w:val="18"/>
                <w:bdr w:val="none" w:sz="0" w:space="0" w:color="auto" w:frame="1"/>
                <w:lang w:val="fr-FR"/>
              </w:rPr>
              <w:t>mais moins de six mois pour être conclues dans le cas d’une sanction administrative ou d’un autre type de sanction</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En général, il en résulte </w:t>
            </w:r>
            <w:r w:rsidRPr="00865DA5">
              <w:rPr>
                <w:rFonts w:ascii="Arial" w:eastAsia="Arial" w:hAnsi="Arial" w:cs="Arial"/>
                <w:b/>
                <w:bCs/>
                <w:color w:val="000000"/>
                <w:sz w:val="18"/>
                <w:szCs w:val="18"/>
                <w:bdr w:val="none" w:sz="0" w:space="0" w:color="auto" w:frame="1"/>
                <w:lang w:val="fr-FR"/>
              </w:rPr>
              <w:t>moins de 25 %</w:t>
            </w:r>
            <w:r w:rsidRPr="00865DA5">
              <w:rPr>
                <w:rFonts w:ascii="Arial" w:eastAsia="Arial" w:hAnsi="Arial" w:cs="Arial"/>
                <w:color w:val="000000"/>
                <w:sz w:val="18"/>
                <w:szCs w:val="18"/>
                <w:bdr w:val="none" w:sz="0" w:space="0" w:color="auto" w:frame="1"/>
                <w:lang w:val="fr-FR"/>
              </w:rPr>
              <w:t xml:space="preserve"> d’acquittements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principalement traitées par des procureurs généraux et des juges </w:t>
            </w:r>
            <w:r w:rsidRPr="00865DA5">
              <w:rPr>
                <w:rFonts w:ascii="Arial" w:eastAsia="Arial" w:hAnsi="Arial" w:cs="Arial"/>
                <w:b/>
                <w:bCs/>
                <w:color w:val="000000"/>
                <w:sz w:val="18"/>
                <w:szCs w:val="18"/>
                <w:bdr w:val="none" w:sz="0" w:space="0" w:color="auto" w:frame="1"/>
                <w:lang w:val="fr-FR"/>
              </w:rPr>
              <w:t>qui tendent</w:t>
            </w:r>
            <w:r w:rsidRPr="00865DA5">
              <w:rPr>
                <w:rFonts w:ascii="Arial" w:eastAsia="Arial" w:hAnsi="Arial" w:cs="Arial"/>
                <w:color w:val="000000"/>
                <w:sz w:val="18"/>
                <w:szCs w:val="18"/>
                <w:bdr w:val="none" w:sz="0" w:space="0" w:color="auto" w:frame="1"/>
                <w:lang w:val="fr-FR"/>
              </w:rPr>
              <w:t xml:space="preserve"> à être spécialisés dans les affaires de criminalité liée aux espèces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Sont enregistrées et sont accessibles à d’autres procureurs/juges à l’échelle nationale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Les rapports de la société civile concernant l’IKB sont non seulement habituellement examinés, mais les données et les avis des ONG concernées sont régulièrement consultés et utilisés.</w:t>
            </w:r>
          </w:p>
        </w:tc>
        <w:tc>
          <w:tcPr>
            <w:tcW w:w="2329"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affaires d’IKB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Prennent généralement </w:t>
            </w:r>
            <w:r w:rsidRPr="00865DA5">
              <w:rPr>
                <w:rFonts w:ascii="Arial" w:eastAsia="Arial" w:hAnsi="Arial" w:cs="Arial"/>
                <w:b/>
                <w:bCs/>
                <w:color w:val="000000"/>
                <w:sz w:val="18"/>
                <w:szCs w:val="18"/>
                <w:bdr w:val="none" w:sz="0" w:space="0" w:color="auto" w:frame="1"/>
                <w:lang w:val="fr-FR"/>
              </w:rPr>
              <w:t>moins d’</w:t>
            </w:r>
            <w:r w:rsidRPr="00865DA5">
              <w:rPr>
                <w:rFonts w:ascii="Arial" w:eastAsia="Arial" w:hAnsi="Arial" w:cs="Arial"/>
                <w:b/>
                <w:color w:val="000000"/>
                <w:sz w:val="18"/>
                <w:szCs w:val="18"/>
                <w:bdr w:val="none" w:sz="0" w:space="0" w:color="auto" w:frame="1"/>
                <w:lang w:val="fr-FR"/>
              </w:rPr>
              <w:t>un an</w:t>
            </w:r>
            <w:r w:rsidRPr="00865DA5">
              <w:rPr>
                <w:rFonts w:ascii="Arial" w:eastAsia="Arial" w:hAnsi="Arial" w:cs="Arial"/>
                <w:sz w:val="18"/>
                <w:szCs w:val="18"/>
                <w:bdr w:val="none" w:sz="0" w:space="0" w:color="auto" w:frame="1"/>
                <w:lang w:val="fr-FR"/>
              </w:rPr>
              <w:t xml:space="preserve"> pour être conclues dans le cas d’une procédure pénale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Prennent généralement </w:t>
            </w:r>
            <w:r w:rsidRPr="00865DA5">
              <w:rPr>
                <w:rFonts w:ascii="Arial" w:eastAsia="Arial" w:hAnsi="Arial" w:cs="Arial"/>
                <w:b/>
                <w:bCs/>
                <w:color w:val="000000"/>
                <w:sz w:val="18"/>
                <w:szCs w:val="18"/>
                <w:bdr w:val="none" w:sz="0" w:space="0" w:color="auto" w:frame="1"/>
                <w:lang w:val="fr-FR"/>
              </w:rPr>
              <w:t>moins de trois mois</w:t>
            </w:r>
            <w:r w:rsidRPr="00865DA5">
              <w:rPr>
                <w:rFonts w:ascii="Arial" w:eastAsia="Arial" w:hAnsi="Arial" w:cs="Arial"/>
                <w:color w:val="000000"/>
                <w:sz w:val="18"/>
                <w:szCs w:val="18"/>
                <w:bdr w:val="none" w:sz="0" w:space="0" w:color="auto" w:frame="1"/>
                <w:lang w:val="fr-FR"/>
              </w:rPr>
              <w:t xml:space="preserve"> pour être conclues dans le cas d’une sanction administrative ou d’un autre type de sanction</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En général, il en résulte </w:t>
            </w:r>
            <w:r w:rsidRPr="00865DA5">
              <w:rPr>
                <w:rFonts w:ascii="Arial" w:eastAsia="Arial" w:hAnsi="Arial" w:cs="Arial"/>
                <w:b/>
                <w:bCs/>
                <w:color w:val="000000"/>
                <w:sz w:val="18"/>
                <w:szCs w:val="18"/>
                <w:bdr w:val="none" w:sz="0" w:space="0" w:color="auto" w:frame="1"/>
                <w:lang w:val="fr-FR"/>
              </w:rPr>
              <w:t>moins de 10 %</w:t>
            </w:r>
            <w:r w:rsidRPr="00865DA5">
              <w:rPr>
                <w:rFonts w:ascii="Arial" w:eastAsia="Arial" w:hAnsi="Arial" w:cs="Arial"/>
                <w:color w:val="000000"/>
                <w:sz w:val="18"/>
                <w:szCs w:val="18"/>
                <w:bdr w:val="none" w:sz="0" w:space="0" w:color="auto" w:frame="1"/>
                <w:lang w:val="fr-FR"/>
              </w:rPr>
              <w:t xml:space="preserve"> d’acquittements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principalement</w:t>
            </w:r>
            <w:r w:rsidRPr="00865DA5">
              <w:rPr>
                <w:rFonts w:ascii="Arial" w:eastAsia="Arial" w:hAnsi="Arial" w:cs="Arial"/>
                <w:color w:val="000000"/>
                <w:sz w:val="18"/>
                <w:szCs w:val="18"/>
                <w:bdr w:val="none" w:sz="0" w:space="0" w:color="auto" w:frame="1"/>
                <w:lang w:val="fr-FR"/>
              </w:rPr>
              <w:t xml:space="preserve"> gérées par des procureurs et des juges spécialisés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Sont enregistrées et accessibles à d’autres procureurs/juges à l’échelle régionale au niveau géographique du tableau de bord 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Les rapports de la société civile concernant l’IKB sont non seulement généralement examinés, mais les données et les avis des ONG concernées sont fréquemment consultés et utilisés.</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spacing w:after="160" w:line="259" w:lineRule="auto"/>
        <w:rPr>
          <w:rFonts w:ascii="Arial" w:eastAsia="Arial" w:hAnsi="Arial" w:cs="Arial"/>
          <w:b/>
          <w:bCs/>
          <w:iCs/>
          <w:color w:val="000000"/>
          <w:sz w:val="28"/>
          <w:szCs w:val="28"/>
          <w:bdr w:val="none" w:sz="0" w:space="0" w:color="auto" w:frame="1"/>
          <w:lang w:val="fr-FR"/>
        </w:rPr>
      </w:pPr>
      <w:bookmarkStart w:id="87" w:name="_Toc491245258"/>
      <w:bookmarkStart w:id="88" w:name="_Toc486539595"/>
      <w:r w:rsidRPr="00865DA5">
        <w:rPr>
          <w:rFonts w:ascii="Arial" w:eastAsia="Arial" w:hAnsi="Arial" w:cs="Arial"/>
          <w:b/>
          <w:bCs/>
          <w:iCs/>
          <w:color w:val="000000"/>
          <w:sz w:val="28"/>
          <w:szCs w:val="28"/>
          <w:bdr w:val="none" w:sz="0" w:space="0" w:color="auto" w:frame="1"/>
          <w:lang w:val="fr-FR"/>
        </w:rPr>
        <w:br w:type="page"/>
      </w:r>
    </w:p>
    <w:p w:rsidR="00BD5B7F" w:rsidRPr="00865DA5" w:rsidRDefault="00BD5B7F" w:rsidP="00BD5B7F">
      <w:pPr>
        <w:keepNext/>
        <w:keepLines/>
        <w:outlineLvl w:val="3"/>
        <w:rPr>
          <w:rFonts w:ascii="Arial" w:hAnsi="Arial" w:cs="Arial"/>
          <w:b/>
          <w:i/>
          <w:iCs/>
          <w:color w:val="000000"/>
          <w:sz w:val="18"/>
          <w:szCs w:val="18"/>
          <w:lang w:val="fr-FR"/>
        </w:rPr>
      </w:pPr>
      <w:r w:rsidRPr="00865DA5">
        <w:rPr>
          <w:rFonts w:ascii="Arial" w:eastAsia="Arial" w:hAnsi="Arial" w:cs="Arial"/>
          <w:b/>
          <w:bCs/>
          <w:iCs/>
          <w:color w:val="000000"/>
          <w:sz w:val="28"/>
          <w:szCs w:val="28"/>
          <w:bdr w:val="none" w:sz="0" w:space="0" w:color="auto" w:frame="1"/>
          <w:lang w:val="fr-FR"/>
        </w:rPr>
        <w:lastRenderedPageBreak/>
        <w:t>21. Lignes directrices sur les condamnations</w:t>
      </w:r>
      <w:r w:rsidRPr="00FF6562">
        <w:rPr>
          <w:rFonts w:ascii="Arial" w:hAnsi="Arial" w:cs="Arial"/>
          <w:b/>
          <w:iCs/>
          <w:color w:val="000000"/>
          <w:sz w:val="28"/>
          <w:szCs w:val="22"/>
          <w:vertAlign w:val="superscript"/>
        </w:rPr>
        <w:footnoteReference w:id="42"/>
      </w:r>
      <w:bookmarkEnd w:id="87"/>
      <w:bookmarkEnd w:id="88"/>
      <w:r w:rsidRPr="00865DA5">
        <w:rPr>
          <w:rFonts w:ascii="Arial" w:eastAsia="Arial" w:hAnsi="Arial" w:cs="Arial"/>
          <w:b/>
          <w:bCs/>
          <w:iCs/>
          <w:color w:val="000000"/>
          <w:sz w:val="28"/>
          <w:szCs w:val="28"/>
          <w:bdr w:val="none" w:sz="0" w:space="0" w:color="auto" w:frame="1"/>
          <w:lang w:val="fr-FR"/>
        </w:rPr>
        <w:t xml:space="preserve"> </w:t>
      </w:r>
    </w:p>
    <w:p w:rsidR="00BD5B7F" w:rsidRPr="00865DA5" w:rsidRDefault="00BD5B7F" w:rsidP="00BD5B7F">
      <w:pPr>
        <w:rPr>
          <w:rFonts w:ascii="Arial" w:eastAsia="Calibri" w:hAnsi="Arial" w:cs="Arial"/>
          <w:b/>
          <w:bCs/>
          <w:i/>
          <w:iCs/>
          <w:color w:val="000000"/>
          <w:sz w:val="22"/>
          <w:szCs w:val="18"/>
          <w:lang w:val="fr-FR"/>
        </w:rPr>
      </w:pPr>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L’existence de lignes directrices nationales ou d’autres principes pour la détermination des sanctions à appliquer aux contrevenants condamnés pour des faits de criminalité liée aux espèces sauvages.</w:t>
      </w:r>
    </w:p>
    <w:p w:rsidR="00BD5B7F" w:rsidRPr="00865DA5" w:rsidRDefault="00BD5B7F" w:rsidP="00BD5B7F">
      <w:pPr>
        <w:jc w:val="both"/>
        <w:rPr>
          <w:rFonts w:ascii="Arial" w:eastAsia="Calibri" w:hAnsi="Arial" w:cs="Arial"/>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Existe-t-il des lignes directrices nationales ou d’autres principes pour la détermination des sanctions à appliquer aux contrevenants condamnés pour IKB ?</w:t>
      </w:r>
    </w:p>
    <w:p w:rsidR="00BD5B7F" w:rsidRPr="00865DA5" w:rsidRDefault="00BD5B7F" w:rsidP="00BD5B7F">
      <w:pPr>
        <w:rPr>
          <w:rFonts w:ascii="Arial" w:eastAsia="Calibri" w:hAnsi="Arial" w:cs="Arial"/>
          <w:b/>
          <w:bCs/>
          <w:i/>
          <w:iCs/>
          <w:color w:val="000000"/>
          <w:sz w:val="22"/>
          <w:szCs w:val="18"/>
          <w:lang w:val="fr-FR"/>
        </w:rPr>
      </w:pPr>
    </w:p>
    <w:p w:rsidR="00BD5B7F" w:rsidRPr="00865DA5" w:rsidRDefault="00BD5B7F" w:rsidP="00BD5B7F">
      <w:pPr>
        <w:rPr>
          <w:rFonts w:ascii="Arial" w:eastAsia="Calibri" w:hAnsi="Arial" w:cs="Arial"/>
          <w:b/>
          <w:bCs/>
          <w:i/>
          <w:iCs/>
          <w:color w:val="000000"/>
          <w:sz w:val="22"/>
          <w:szCs w:val="18"/>
          <w:lang w:val="fr-FR"/>
        </w:rPr>
      </w:pPr>
    </w:p>
    <w:p w:rsidR="00BD5B7F" w:rsidRPr="00FF6562" w:rsidRDefault="00BD5B7F" w:rsidP="00BD5B7F">
      <w:pPr>
        <w:spacing w:after="120"/>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7"/>
        <w:gridCol w:w="2329"/>
        <w:gridCol w:w="2317"/>
        <w:gridCol w:w="2328"/>
      </w:tblGrid>
      <w:tr w:rsidR="00BD5B7F" w:rsidRPr="00FF6562" w:rsidTr="000E5961">
        <w:tc>
          <w:tcPr>
            <w:tcW w:w="2308"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38"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19"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cantSplit/>
        </w:trPr>
        <w:tc>
          <w:tcPr>
            <w:tcW w:w="2315"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ind w:left="284" w:hanging="284"/>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Il n’existe pas de lignes directrices pour la détermination des sanctions dans les affaires d’IKB</w:t>
            </w:r>
          </w:p>
          <w:p w:rsidR="00BD5B7F" w:rsidRPr="00865DA5" w:rsidRDefault="00BD5B7F" w:rsidP="000E5961">
            <w:pPr>
              <w:ind w:left="284" w:hanging="284"/>
              <w:rPr>
                <w:rFonts w:ascii="Arial" w:eastAsia="Calibri" w:hAnsi="Arial" w:cs="Arial"/>
                <w:color w:val="000000"/>
                <w:sz w:val="18"/>
                <w:szCs w:val="18"/>
                <w:lang w:val="fr-FR"/>
              </w:rPr>
            </w:pPr>
            <w:r w:rsidRPr="00865DA5">
              <w:rPr>
                <w:rFonts w:ascii="Arial" w:eastAsia="Calibri" w:hAnsi="Arial" w:cs="Arial"/>
                <w:color w:val="000000"/>
                <w:sz w:val="18"/>
                <w:szCs w:val="18"/>
                <w:lang w:val="fr-FR"/>
              </w:rPr>
              <w:t xml:space="preserve"> </w:t>
            </w:r>
          </w:p>
        </w:tc>
        <w:tc>
          <w:tcPr>
            <w:tcW w:w="2331"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lignes directrices pour la détermination des sanctions dans les affaires d’IKB sont en cours d’élaboration </w:t>
            </w:r>
          </w:p>
        </w:tc>
        <w:tc>
          <w:tcPr>
            <w:tcW w:w="2319"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Les lignes directrices pour la détermination des sanctions dans les affaires d’IKB ont été finalisées mais pas adoptées</w:t>
            </w:r>
          </w:p>
        </w:tc>
        <w:tc>
          <w:tcPr>
            <w:tcW w:w="2330"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ind w:left="284" w:hanging="284"/>
              <w:jc w:val="cente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lignes directrices pour la détermination des sanctions dans les affaires d’IKB ont été finalisées et adoptées </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i/>
          <w:iCs/>
          <w:color w:val="000000"/>
          <w:sz w:val="18"/>
          <w:szCs w:val="18"/>
          <w:lang w:val="fr-FR"/>
        </w:rPr>
      </w:pPr>
      <w:r w:rsidRPr="00865DA5">
        <w:rPr>
          <w:rFonts w:ascii="Arial" w:eastAsia="Calibri" w:hAnsi="Arial" w:cs="Arial"/>
          <w:i/>
          <w:iCs/>
          <w:color w:val="000000"/>
          <w:sz w:val="18"/>
          <w:szCs w:val="18"/>
          <w:lang w:val="fr-FR"/>
        </w:rPr>
        <w:br w:type="page"/>
      </w:r>
    </w:p>
    <w:p w:rsidR="00BD5B7F" w:rsidRPr="00865DA5" w:rsidRDefault="00BD5B7F" w:rsidP="00BD5B7F">
      <w:pPr>
        <w:keepNext/>
        <w:keepLines/>
        <w:spacing w:after="120"/>
        <w:outlineLvl w:val="3"/>
        <w:rPr>
          <w:rFonts w:ascii="Arial" w:hAnsi="Arial" w:cs="Arial"/>
          <w:b/>
          <w:i/>
          <w:iCs/>
          <w:color w:val="000000"/>
          <w:sz w:val="18"/>
          <w:szCs w:val="18"/>
          <w:lang w:val="fr-FR"/>
        </w:rPr>
      </w:pPr>
      <w:bookmarkStart w:id="89" w:name="_Toc491245259"/>
      <w:bookmarkStart w:id="90" w:name="_Toc486539596"/>
      <w:r w:rsidRPr="00865DA5">
        <w:rPr>
          <w:rFonts w:ascii="Arial" w:eastAsia="Arial" w:hAnsi="Arial" w:cs="Arial"/>
          <w:b/>
          <w:bCs/>
          <w:iCs/>
          <w:color w:val="000000"/>
          <w:sz w:val="28"/>
          <w:szCs w:val="28"/>
          <w:bdr w:val="none" w:sz="0" w:space="0" w:color="auto" w:frame="1"/>
          <w:lang w:val="fr-FR"/>
        </w:rPr>
        <w:lastRenderedPageBreak/>
        <w:t>22. Prise de conscience au sein du système judiciaire</w:t>
      </w:r>
      <w:r w:rsidRPr="00FF6562">
        <w:rPr>
          <w:rFonts w:ascii="Arial" w:hAnsi="Arial" w:cs="Arial"/>
          <w:b/>
          <w:iCs/>
          <w:color w:val="000000"/>
          <w:sz w:val="28"/>
          <w:szCs w:val="22"/>
          <w:vertAlign w:val="superscript"/>
        </w:rPr>
        <w:footnoteReference w:id="43"/>
      </w:r>
      <w:bookmarkEnd w:id="89"/>
      <w:bookmarkEnd w:id="90"/>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L’ampleur de la prise de conscience des procureurs et des juges vis-à-vis de l’importance de la criminalité liée aux espèces sauvages, et la pertinence des jugements rendus.</w:t>
      </w:r>
    </w:p>
    <w:p w:rsidR="00BD5B7F" w:rsidRPr="00865DA5" w:rsidRDefault="00BD5B7F" w:rsidP="00BD5B7F">
      <w:pPr>
        <w:jc w:val="both"/>
        <w:rPr>
          <w:rFonts w:ascii="Arial" w:eastAsia="Calibri" w:hAnsi="Arial" w:cs="Arial"/>
          <w:color w:val="000000"/>
          <w:sz w:val="22"/>
          <w:szCs w:val="18"/>
          <w:lang w:val="fr-FR"/>
        </w:rPr>
      </w:pPr>
    </w:p>
    <w:p w:rsidR="00BD5B7F" w:rsidRPr="00FF6562" w:rsidRDefault="00BD5B7F" w:rsidP="00BD5B7F">
      <w:pPr>
        <w:ind w:left="1134" w:hanging="1134"/>
        <w:jc w:val="both"/>
        <w:rPr>
          <w:rFonts w:ascii="Arial" w:eastAsia="Calibri" w:hAnsi="Arial" w:cs="Arial"/>
          <w:b/>
          <w:bCs/>
          <w:i/>
          <w:iCs/>
          <w:color w:val="000000"/>
          <w:sz w:val="22"/>
          <w:szCs w:val="22"/>
        </w:rPr>
      </w:pPr>
      <w:r w:rsidRPr="00865DA5">
        <w:rPr>
          <w:rFonts w:ascii="Arial" w:eastAsia="Arial" w:hAnsi="Arial" w:cs="Arial"/>
          <w:b/>
          <w:bCs/>
          <w:i/>
          <w:iCs/>
          <w:color w:val="000000"/>
          <w:sz w:val="22"/>
          <w:szCs w:val="22"/>
          <w:bdr w:val="none" w:sz="0" w:space="0" w:color="auto" w:frame="1"/>
          <w:lang w:val="fr-FR"/>
        </w:rPr>
        <w:t xml:space="preserve">Question : Les procureurs et les juges sont-ils conscients de la gravité de l’IKB ? </w:t>
      </w:r>
      <w:r w:rsidRPr="00FF6562">
        <w:rPr>
          <w:rFonts w:ascii="Arial" w:eastAsia="Arial" w:hAnsi="Arial" w:cs="Arial"/>
          <w:b/>
          <w:bCs/>
          <w:i/>
          <w:iCs/>
          <w:color w:val="000000"/>
          <w:sz w:val="22"/>
          <w:szCs w:val="22"/>
          <w:bdr w:val="none" w:sz="0" w:space="0" w:color="auto" w:frame="1"/>
        </w:rPr>
        <w:t xml:space="preserve">Des sanctions appropriées sont-elles </w:t>
      </w:r>
      <w:proofErr w:type="gramStart"/>
      <w:r w:rsidRPr="00FF6562">
        <w:rPr>
          <w:rFonts w:ascii="Arial" w:eastAsia="Arial" w:hAnsi="Arial" w:cs="Arial"/>
          <w:b/>
          <w:bCs/>
          <w:i/>
          <w:iCs/>
          <w:color w:val="000000"/>
          <w:sz w:val="22"/>
          <w:szCs w:val="22"/>
          <w:bdr w:val="none" w:sz="0" w:space="0" w:color="auto" w:frame="1"/>
        </w:rPr>
        <w:t>appliquées ?</w:t>
      </w:r>
      <w:proofErr w:type="gramEnd"/>
    </w:p>
    <w:p w:rsidR="00BD5B7F" w:rsidRPr="00FF6562" w:rsidRDefault="00BD5B7F" w:rsidP="00BD5B7F">
      <w:pPr>
        <w:rPr>
          <w:rFonts w:ascii="Arial" w:eastAsia="Calibri" w:hAnsi="Arial" w:cs="Arial"/>
          <w:i/>
          <w:iCs/>
          <w:color w:val="000000"/>
          <w:sz w:val="22"/>
          <w:szCs w:val="18"/>
        </w:rPr>
      </w:pPr>
    </w:p>
    <w:p w:rsidR="00BD5B7F" w:rsidRPr="00FF6562" w:rsidRDefault="00BD5B7F" w:rsidP="00BD5B7F">
      <w:pPr>
        <w:spacing w:after="120"/>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13"/>
        <w:gridCol w:w="2305"/>
        <w:gridCol w:w="16"/>
        <w:gridCol w:w="2322"/>
        <w:gridCol w:w="2326"/>
      </w:tblGrid>
      <w:tr w:rsidR="00BD5B7F" w:rsidRPr="00FF6562" w:rsidTr="000E5961">
        <w:tc>
          <w:tcPr>
            <w:tcW w:w="2308"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1"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41"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2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cantSplit/>
          <w:trHeight w:val="2346"/>
        </w:trPr>
        <w:tc>
          <w:tcPr>
            <w:tcW w:w="2321"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procureurs et les juges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sont </w:t>
            </w:r>
            <w:r w:rsidRPr="00865DA5">
              <w:rPr>
                <w:rFonts w:ascii="Arial" w:eastAsia="Arial" w:hAnsi="Arial" w:cs="Arial"/>
                <w:b/>
                <w:bCs/>
                <w:color w:val="000000"/>
                <w:sz w:val="18"/>
                <w:szCs w:val="18"/>
                <w:bdr w:val="none" w:sz="0" w:space="0" w:color="auto" w:frame="1"/>
                <w:lang w:val="fr-FR"/>
              </w:rPr>
              <w:t>pas conscients</w:t>
            </w:r>
            <w:r w:rsidRPr="00865DA5">
              <w:rPr>
                <w:rFonts w:ascii="Arial" w:eastAsia="Arial" w:hAnsi="Arial" w:cs="Arial"/>
                <w:color w:val="000000"/>
                <w:sz w:val="18"/>
                <w:szCs w:val="18"/>
                <w:bdr w:val="none" w:sz="0" w:space="0" w:color="auto" w:frame="1"/>
                <w:lang w:val="fr-FR"/>
              </w:rPr>
              <w:t xml:space="preserve"> de la nature et de la prévalence de l’IKB, ni de son impact et des profits potentiels tirés de la criminalité liée aux espèces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N’ont </w:t>
            </w:r>
            <w:r w:rsidRPr="00865DA5">
              <w:rPr>
                <w:rFonts w:ascii="Arial" w:eastAsia="Arial" w:hAnsi="Arial" w:cs="Arial"/>
                <w:b/>
                <w:color w:val="000000"/>
                <w:sz w:val="18"/>
                <w:szCs w:val="18"/>
                <w:bdr w:val="none" w:sz="0" w:space="0" w:color="auto" w:frame="1"/>
                <w:lang w:val="fr-FR"/>
              </w:rPr>
              <w:t xml:space="preserve">pas connaissance </w:t>
            </w:r>
            <w:r w:rsidRPr="00865DA5">
              <w:rPr>
                <w:rFonts w:ascii="Arial" w:eastAsia="Arial" w:hAnsi="Arial" w:cs="Arial"/>
                <w:color w:val="000000"/>
                <w:sz w:val="18"/>
                <w:szCs w:val="18"/>
                <w:bdr w:val="none" w:sz="0" w:space="0" w:color="auto" w:frame="1"/>
                <w:lang w:val="fr-FR"/>
              </w:rPr>
              <w:t>des charges relatives à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Traitent habituellement l’IKB comme une </w:t>
            </w:r>
            <w:r w:rsidRPr="00865DA5">
              <w:rPr>
                <w:rFonts w:ascii="Arial" w:eastAsia="Arial" w:hAnsi="Arial" w:cs="Arial"/>
                <w:b/>
                <w:bCs/>
                <w:color w:val="000000"/>
                <w:sz w:val="18"/>
                <w:szCs w:val="18"/>
                <w:bdr w:val="none" w:sz="0" w:space="0" w:color="auto" w:frame="1"/>
                <w:lang w:val="fr-FR"/>
              </w:rPr>
              <w:t>infraction mineure</w:t>
            </w:r>
            <w:r w:rsidRPr="00865DA5">
              <w:rPr>
                <w:rFonts w:ascii="Arial" w:eastAsia="Arial" w:hAnsi="Arial" w:cs="Arial"/>
                <w:color w:val="000000"/>
                <w:sz w:val="18"/>
                <w:szCs w:val="18"/>
                <w:bdr w:val="none" w:sz="0" w:space="0" w:color="auto" w:frame="1"/>
                <w:lang w:val="fr-FR"/>
              </w:rPr>
              <w:t xml:space="preserv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Ne respecte pas</w:t>
            </w:r>
            <w:r w:rsidRPr="00865DA5">
              <w:rPr>
                <w:rFonts w:ascii="Arial" w:eastAsia="Arial" w:hAnsi="Arial" w:cs="Arial"/>
                <w:color w:val="000000"/>
                <w:sz w:val="18"/>
                <w:szCs w:val="18"/>
                <w:bdr w:val="none" w:sz="0" w:space="0" w:color="auto" w:frame="1"/>
                <w:lang w:val="fr-FR"/>
              </w:rPr>
              <w:t xml:space="preserve"> les lignes directrices de détermination des peines lorsqu’elles existent</w:t>
            </w:r>
          </w:p>
        </w:tc>
        <w:tc>
          <w:tcPr>
            <w:tcW w:w="2324"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procureurs et les juges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peu conscients</w:t>
            </w:r>
            <w:r w:rsidRPr="00865DA5">
              <w:rPr>
                <w:rFonts w:ascii="Arial" w:eastAsia="Arial" w:hAnsi="Arial" w:cs="Arial"/>
                <w:color w:val="000000"/>
                <w:sz w:val="18"/>
                <w:szCs w:val="18"/>
                <w:bdr w:val="none" w:sz="0" w:space="0" w:color="auto" w:frame="1"/>
                <w:lang w:val="fr-FR"/>
              </w:rPr>
              <w:t xml:space="preserve"> de la nature et de la prévalence de la criminalité liée aux espèces sauvages, et de son impact et des profits potentiels qui en sont tirés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Ont une connaissance </w:t>
            </w:r>
            <w:r w:rsidRPr="00865DA5">
              <w:rPr>
                <w:rFonts w:ascii="Arial" w:eastAsia="Arial" w:hAnsi="Arial" w:cs="Arial"/>
                <w:b/>
                <w:bCs/>
                <w:color w:val="000000"/>
                <w:sz w:val="18"/>
                <w:szCs w:val="18"/>
                <w:bdr w:val="none" w:sz="0" w:space="0" w:color="auto" w:frame="1"/>
                <w:lang w:val="fr-FR"/>
              </w:rPr>
              <w:t>limitée</w:t>
            </w:r>
            <w:r w:rsidRPr="00865DA5">
              <w:rPr>
                <w:rFonts w:ascii="Arial" w:eastAsia="Arial" w:hAnsi="Arial" w:cs="Arial"/>
                <w:color w:val="000000"/>
                <w:sz w:val="18"/>
                <w:szCs w:val="18"/>
                <w:bdr w:val="none" w:sz="0" w:space="0" w:color="auto" w:frame="1"/>
                <w:lang w:val="fr-FR"/>
              </w:rPr>
              <w:t xml:space="preserve"> des charges relatives à la criminalité liée aux espèces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Collaborent pour rendre des verdicts </w:t>
            </w:r>
            <w:r w:rsidRPr="00865DA5">
              <w:rPr>
                <w:rFonts w:ascii="Arial" w:eastAsia="Arial" w:hAnsi="Arial" w:cs="Arial"/>
                <w:b/>
                <w:bCs/>
                <w:color w:val="000000"/>
                <w:sz w:val="18"/>
                <w:szCs w:val="18"/>
                <w:bdr w:val="none" w:sz="0" w:space="0" w:color="auto" w:frame="1"/>
                <w:lang w:val="fr-FR"/>
              </w:rPr>
              <w:t>parfois</w:t>
            </w:r>
            <w:r w:rsidRPr="00865DA5">
              <w:rPr>
                <w:rFonts w:ascii="Arial" w:eastAsia="Arial" w:hAnsi="Arial" w:cs="Arial"/>
                <w:color w:val="000000"/>
                <w:sz w:val="18"/>
                <w:szCs w:val="18"/>
                <w:bdr w:val="none" w:sz="0" w:space="0" w:color="auto" w:frame="1"/>
                <w:lang w:val="fr-FR"/>
              </w:rPr>
              <w:t xml:space="preserve"> adaptés à la nature et à la gravité de l’infraction</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Respectent </w:t>
            </w:r>
            <w:r w:rsidRPr="00865DA5">
              <w:rPr>
                <w:rFonts w:ascii="Arial" w:eastAsia="Arial" w:hAnsi="Arial" w:cs="Arial"/>
                <w:b/>
                <w:bCs/>
                <w:color w:val="000000"/>
                <w:sz w:val="18"/>
                <w:szCs w:val="18"/>
                <w:bdr w:val="none" w:sz="0" w:space="0" w:color="auto" w:frame="1"/>
                <w:lang w:val="fr-FR"/>
              </w:rPr>
              <w:t>rarement</w:t>
            </w:r>
            <w:r w:rsidRPr="00865DA5">
              <w:rPr>
                <w:rFonts w:ascii="Arial" w:eastAsia="Arial" w:hAnsi="Arial" w:cs="Arial"/>
                <w:color w:val="000000"/>
                <w:sz w:val="18"/>
                <w:szCs w:val="18"/>
                <w:bdr w:val="none" w:sz="0" w:space="0" w:color="auto" w:frame="1"/>
                <w:lang w:val="fr-FR"/>
              </w:rPr>
              <w:t xml:space="preserve"> les lignes directrices de détermination des peines lorsqu’elles existent</w:t>
            </w:r>
          </w:p>
        </w:tc>
        <w:tc>
          <w:tcPr>
            <w:tcW w:w="2325"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procureurs et les juges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relativement conscients</w:t>
            </w:r>
            <w:r w:rsidRPr="00865DA5">
              <w:rPr>
                <w:rFonts w:ascii="Arial" w:eastAsia="Arial" w:hAnsi="Arial" w:cs="Arial"/>
                <w:color w:val="000000"/>
                <w:sz w:val="18"/>
                <w:szCs w:val="18"/>
                <w:bdr w:val="none" w:sz="0" w:space="0" w:color="auto" w:frame="1"/>
                <w:lang w:val="fr-FR"/>
              </w:rPr>
              <w:t xml:space="preserve"> de la nature et de la prévalence de la criminalité liée aux espèces sauvages, et de son impact et des profits potentiels qui en sont tirés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Ont une connaissance </w:t>
            </w:r>
            <w:r w:rsidRPr="00865DA5">
              <w:rPr>
                <w:rFonts w:ascii="Arial" w:eastAsia="Arial" w:hAnsi="Arial" w:cs="Arial"/>
                <w:b/>
                <w:bCs/>
                <w:color w:val="000000"/>
                <w:sz w:val="18"/>
                <w:szCs w:val="18"/>
                <w:bdr w:val="none" w:sz="0" w:space="0" w:color="auto" w:frame="1"/>
                <w:lang w:val="fr-FR"/>
              </w:rPr>
              <w:t>partielle</w:t>
            </w:r>
            <w:r w:rsidRPr="00865DA5">
              <w:rPr>
                <w:rFonts w:ascii="Arial" w:eastAsia="Arial" w:hAnsi="Arial" w:cs="Arial"/>
                <w:color w:val="000000"/>
                <w:sz w:val="18"/>
                <w:szCs w:val="18"/>
                <w:bdr w:val="none" w:sz="0" w:space="0" w:color="auto" w:frame="1"/>
                <w:lang w:val="fr-FR"/>
              </w:rPr>
              <w:t xml:space="preserve"> les charges relatives à la criminalité liée aux espèces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Collaborent pour rendre des verdicts </w:t>
            </w:r>
            <w:r w:rsidRPr="00865DA5">
              <w:rPr>
                <w:rFonts w:ascii="Arial" w:eastAsia="Arial" w:hAnsi="Arial" w:cs="Arial"/>
                <w:b/>
                <w:bCs/>
                <w:color w:val="000000"/>
                <w:sz w:val="18"/>
                <w:szCs w:val="18"/>
                <w:bdr w:val="none" w:sz="0" w:space="0" w:color="auto" w:frame="1"/>
                <w:lang w:val="fr-FR"/>
              </w:rPr>
              <w:t>généralement</w:t>
            </w:r>
            <w:r w:rsidRPr="00865DA5">
              <w:rPr>
                <w:rFonts w:ascii="Arial" w:eastAsia="Arial" w:hAnsi="Arial" w:cs="Arial"/>
                <w:color w:val="000000"/>
                <w:sz w:val="18"/>
                <w:szCs w:val="18"/>
                <w:bdr w:val="none" w:sz="0" w:space="0" w:color="auto" w:frame="1"/>
                <w:lang w:val="fr-FR"/>
              </w:rPr>
              <w:t xml:space="preserve"> adaptés à la nature et à la gravité de l’infraction</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Respectent </w:t>
            </w:r>
            <w:r w:rsidRPr="00865DA5">
              <w:rPr>
                <w:rFonts w:ascii="Arial" w:eastAsia="Arial" w:hAnsi="Arial" w:cs="Arial"/>
                <w:b/>
                <w:bCs/>
                <w:color w:val="000000"/>
                <w:sz w:val="18"/>
                <w:szCs w:val="18"/>
                <w:bdr w:val="none" w:sz="0" w:space="0" w:color="auto" w:frame="1"/>
                <w:lang w:val="fr-FR"/>
              </w:rPr>
              <w:t>parfois</w:t>
            </w:r>
            <w:r w:rsidRPr="00865DA5">
              <w:rPr>
                <w:rFonts w:ascii="Arial" w:eastAsia="Arial" w:hAnsi="Arial" w:cs="Arial"/>
                <w:color w:val="000000"/>
                <w:sz w:val="18"/>
                <w:szCs w:val="18"/>
                <w:bdr w:val="none" w:sz="0" w:space="0" w:color="auto" w:frame="1"/>
                <w:lang w:val="fr-FR"/>
              </w:rPr>
              <w:t xml:space="preserve"> les lignes directrices de détermination des peines lorsqu’elles existent</w:t>
            </w:r>
          </w:p>
        </w:tc>
        <w:tc>
          <w:tcPr>
            <w:tcW w:w="2329"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procureurs et les juges :</w:t>
            </w:r>
          </w:p>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 </w:t>
            </w: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color w:val="000000"/>
                <w:sz w:val="18"/>
                <w:szCs w:val="18"/>
                <w:bdr w:val="none" w:sz="0" w:space="0" w:color="auto" w:frame="1"/>
                <w:lang w:val="fr-FR"/>
              </w:rPr>
              <w:t>conscients</w:t>
            </w:r>
            <w:r w:rsidRPr="00865DA5">
              <w:rPr>
                <w:rFonts w:ascii="Arial" w:eastAsia="Arial" w:hAnsi="Arial" w:cs="Arial"/>
                <w:color w:val="000000"/>
                <w:sz w:val="18"/>
                <w:szCs w:val="18"/>
                <w:bdr w:val="none" w:sz="0" w:space="0" w:color="auto" w:frame="1"/>
                <w:lang w:val="fr-FR"/>
              </w:rPr>
              <w:t xml:space="preserve"> de la nature et de la prévalence de la criminalité liée aux espèces sauvages, et de son impact et des profits potentiels qui en sont tirés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b/>
                <w:bCs/>
                <w:color w:val="000000"/>
                <w:sz w:val="18"/>
                <w:szCs w:val="18"/>
                <w:bdr w:val="none" w:sz="0" w:space="0" w:color="auto" w:frame="1"/>
                <w:lang w:val="fr-FR"/>
              </w:rPr>
              <w:t>Connaissent</w:t>
            </w:r>
            <w:r w:rsidRPr="00865DA5">
              <w:rPr>
                <w:rFonts w:ascii="Arial" w:eastAsia="Arial" w:hAnsi="Arial" w:cs="Arial"/>
                <w:color w:val="000000"/>
                <w:sz w:val="18"/>
                <w:szCs w:val="18"/>
                <w:bdr w:val="none" w:sz="0" w:space="0" w:color="auto" w:frame="1"/>
                <w:lang w:val="fr-FR"/>
              </w:rPr>
              <w:t xml:space="preserve"> les charges relatives à la criminalité liée aux espèces sauvages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Collaborent pour rendre des verdicts </w:t>
            </w:r>
            <w:r w:rsidRPr="00865DA5">
              <w:rPr>
                <w:rFonts w:ascii="Arial" w:eastAsia="Arial" w:hAnsi="Arial" w:cs="Arial"/>
                <w:b/>
                <w:color w:val="000000"/>
                <w:sz w:val="18"/>
                <w:szCs w:val="18"/>
                <w:bdr w:val="none" w:sz="0" w:space="0" w:color="auto" w:frame="1"/>
                <w:lang w:val="fr-FR"/>
              </w:rPr>
              <w:t>généralement</w:t>
            </w:r>
            <w:r w:rsidRPr="00865DA5">
              <w:rPr>
                <w:rFonts w:ascii="Arial" w:eastAsia="Arial" w:hAnsi="Arial" w:cs="Arial"/>
                <w:color w:val="000000"/>
                <w:sz w:val="18"/>
                <w:szCs w:val="18"/>
                <w:bdr w:val="none" w:sz="0" w:space="0" w:color="auto" w:frame="1"/>
                <w:lang w:val="fr-FR"/>
              </w:rPr>
              <w:t xml:space="preserve"> adaptés à la nature et à la gravité de l’infraction</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Respectent </w:t>
            </w:r>
            <w:r w:rsidRPr="00865DA5">
              <w:rPr>
                <w:rFonts w:ascii="Arial" w:eastAsia="Arial" w:hAnsi="Arial" w:cs="Arial"/>
                <w:b/>
                <w:bCs/>
                <w:color w:val="000000"/>
                <w:sz w:val="18"/>
                <w:szCs w:val="18"/>
                <w:bdr w:val="none" w:sz="0" w:space="0" w:color="auto" w:frame="1"/>
                <w:lang w:val="fr-FR"/>
              </w:rPr>
              <w:t>couramment</w:t>
            </w:r>
            <w:r w:rsidRPr="00865DA5">
              <w:rPr>
                <w:rFonts w:ascii="Arial" w:eastAsia="Arial" w:hAnsi="Arial" w:cs="Arial"/>
                <w:color w:val="000000"/>
                <w:sz w:val="18"/>
                <w:szCs w:val="18"/>
                <w:bdr w:val="none" w:sz="0" w:space="0" w:color="auto" w:frame="1"/>
                <w:lang w:val="fr-FR"/>
              </w:rPr>
              <w:t xml:space="preserve"> les lignes directrices de détermination des peines lorsqu’elles existent</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i/>
          <w:iCs/>
          <w:color w:val="000000"/>
          <w:sz w:val="18"/>
          <w:szCs w:val="18"/>
          <w:lang w:val="fr-FR"/>
        </w:rPr>
      </w:pPr>
      <w:r w:rsidRPr="00865DA5">
        <w:rPr>
          <w:rFonts w:ascii="Arial" w:eastAsia="Calibri" w:hAnsi="Arial" w:cs="Arial"/>
          <w:i/>
          <w:iCs/>
          <w:color w:val="000000"/>
          <w:sz w:val="18"/>
          <w:szCs w:val="18"/>
          <w:lang w:val="fr-FR"/>
        </w:rPr>
        <w:br w:type="page"/>
      </w:r>
    </w:p>
    <w:p w:rsidR="00BD5B7F" w:rsidRPr="00865DA5" w:rsidRDefault="00BD5B7F" w:rsidP="00BD5B7F">
      <w:pPr>
        <w:keepNext/>
        <w:keepLines/>
        <w:spacing w:after="120"/>
        <w:outlineLvl w:val="3"/>
        <w:rPr>
          <w:rFonts w:ascii="Arial" w:hAnsi="Arial" w:cs="Arial"/>
          <w:b/>
          <w:i/>
          <w:iCs/>
          <w:color w:val="000000"/>
          <w:sz w:val="18"/>
          <w:szCs w:val="18"/>
          <w:lang w:val="fr-FR"/>
        </w:rPr>
      </w:pPr>
      <w:bookmarkStart w:id="91" w:name="_Toc491245260"/>
      <w:bookmarkStart w:id="92" w:name="_Toc486539597"/>
      <w:r w:rsidRPr="00865DA5">
        <w:rPr>
          <w:rFonts w:ascii="Arial" w:eastAsia="Arial" w:hAnsi="Arial" w:cs="Arial"/>
          <w:b/>
          <w:bCs/>
          <w:iCs/>
          <w:color w:val="000000"/>
          <w:sz w:val="28"/>
          <w:szCs w:val="28"/>
          <w:bdr w:val="none" w:sz="0" w:space="0" w:color="auto" w:frame="1"/>
          <w:lang w:val="fr-FR"/>
        </w:rPr>
        <w:lastRenderedPageBreak/>
        <w:t>23. Formation au sein du système judiciaire</w:t>
      </w:r>
      <w:bookmarkEnd w:id="91"/>
      <w:bookmarkEnd w:id="92"/>
      <w:r w:rsidRPr="00865DA5">
        <w:rPr>
          <w:rFonts w:ascii="Arial" w:eastAsia="Arial" w:hAnsi="Arial" w:cs="Arial"/>
          <w:b/>
          <w:bCs/>
          <w:iCs/>
          <w:color w:val="000000"/>
          <w:sz w:val="28"/>
          <w:szCs w:val="28"/>
          <w:bdr w:val="none" w:sz="0" w:space="0" w:color="auto" w:frame="1"/>
          <w:lang w:val="fr-FR"/>
        </w:rPr>
        <w:t xml:space="preserve"> </w:t>
      </w:r>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Le pourcentage de procureurs et de juges spécialisés en environnement formés aux aspects relatifs à l’IKB.</w:t>
      </w:r>
    </w:p>
    <w:p w:rsidR="00BD5B7F" w:rsidRPr="00865DA5" w:rsidRDefault="00BD5B7F" w:rsidP="00BD5B7F">
      <w:pPr>
        <w:jc w:val="both"/>
        <w:rPr>
          <w:rFonts w:ascii="Arial" w:eastAsia="Calibri" w:hAnsi="Arial" w:cs="Arial"/>
          <w:b/>
          <w:bCs/>
          <w:i/>
          <w:iCs/>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Combien de procureurs et de juges spécialisés en environnement traitant des affaires de criminalité liée aux espèces sauvages ont reçu une formation sur les aspects relatifs à l’IKB ?</w:t>
      </w:r>
    </w:p>
    <w:p w:rsidR="00BD5B7F" w:rsidRPr="00865DA5" w:rsidRDefault="00BD5B7F" w:rsidP="00BD5B7F">
      <w:pPr>
        <w:jc w:val="both"/>
        <w:rPr>
          <w:rFonts w:ascii="Arial" w:eastAsia="Calibri" w:hAnsi="Arial" w:cs="Arial"/>
          <w:i/>
          <w:iCs/>
          <w:color w:val="000000"/>
          <w:sz w:val="22"/>
          <w:szCs w:val="18"/>
          <w:lang w:val="fr-FR"/>
        </w:rPr>
      </w:pPr>
    </w:p>
    <w:p w:rsidR="00BD5B7F" w:rsidRPr="00FF6562" w:rsidRDefault="00BD5B7F" w:rsidP="00BD5B7F">
      <w:pPr>
        <w:spacing w:after="120"/>
        <w:jc w:val="both"/>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12"/>
        <w:gridCol w:w="2307"/>
        <w:gridCol w:w="8"/>
        <w:gridCol w:w="2326"/>
        <w:gridCol w:w="10"/>
        <w:gridCol w:w="2317"/>
      </w:tblGrid>
      <w:tr w:rsidR="00BD5B7F" w:rsidRPr="00FF6562" w:rsidTr="000E5961">
        <w:tc>
          <w:tcPr>
            <w:tcW w:w="2310"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F6562" w:rsidTr="000E5961">
        <w:trPr>
          <w:cantSplit/>
        </w:trPr>
        <w:tc>
          <w:tcPr>
            <w:tcW w:w="2322" w:type="dxa"/>
            <w:gridSpan w:val="2"/>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18"/>
                <w:szCs w:val="18"/>
              </w:rPr>
            </w:pPr>
          </w:p>
          <w:p w:rsidR="00BD5B7F" w:rsidRPr="00FF6562" w:rsidRDefault="00BD5B7F" w:rsidP="000E5961">
            <w:pPr>
              <w:rPr>
                <w:rFonts w:ascii="Arial" w:eastAsia="Calibri" w:hAnsi="Arial" w:cs="Arial"/>
                <w:color w:val="000000"/>
                <w:sz w:val="18"/>
                <w:szCs w:val="18"/>
              </w:rPr>
            </w:pPr>
            <w:r w:rsidRPr="00FF6562">
              <w:rPr>
                <w:rFonts w:ascii="Arial" w:eastAsia="Arial" w:hAnsi="Arial" w:cs="Arial"/>
                <w:color w:val="000000"/>
                <w:sz w:val="18"/>
                <w:szCs w:val="18"/>
                <w:bdr w:val="none" w:sz="0" w:space="0" w:color="auto" w:frame="1"/>
              </w:rPr>
              <w:t xml:space="preserve"> </w:t>
            </w:r>
            <w:r w:rsidRPr="00FF6562">
              <w:rPr>
                <w:rFonts w:ascii="Arial" w:eastAsia="Arial" w:hAnsi="Arial" w:cs="Arial"/>
                <w:color w:val="000000"/>
                <w:sz w:val="16"/>
                <w:szCs w:val="16"/>
              </w:rPr>
              <w:t>􁃱</w:t>
            </w:r>
            <w:r w:rsidRPr="00FF6562">
              <w:rPr>
                <w:rFonts w:ascii="Arial" w:eastAsia="Calibri" w:hAnsi="Arial" w:cs="Arial"/>
                <w:color w:val="000000"/>
                <w:sz w:val="18"/>
                <w:szCs w:val="18"/>
              </w:rPr>
              <w:t xml:space="preserve"> </w:t>
            </w:r>
            <w:r w:rsidRPr="00FF6562">
              <w:rPr>
                <w:rFonts w:ascii="Arial" w:eastAsia="Arial" w:hAnsi="Arial" w:cs="Arial"/>
                <w:color w:val="000000"/>
                <w:sz w:val="18"/>
                <w:szCs w:val="18"/>
                <w:bdr w:val="none" w:sz="0" w:space="0" w:color="auto" w:frame="1"/>
              </w:rPr>
              <w:t>Aucun</w:t>
            </w:r>
          </w:p>
          <w:p w:rsidR="00BD5B7F" w:rsidRPr="00FF6562" w:rsidRDefault="00BD5B7F" w:rsidP="000E5961">
            <w:pPr>
              <w:rPr>
                <w:rFonts w:ascii="Arial" w:eastAsia="Calibri" w:hAnsi="Arial" w:cs="Arial"/>
                <w:color w:val="000000"/>
                <w:sz w:val="18"/>
                <w:szCs w:val="18"/>
              </w:rPr>
            </w:pPr>
          </w:p>
        </w:tc>
        <w:tc>
          <w:tcPr>
            <w:tcW w:w="2318" w:type="dxa"/>
            <w:gridSpan w:val="2"/>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18"/>
                <w:szCs w:val="18"/>
              </w:rPr>
            </w:pPr>
          </w:p>
          <w:p w:rsidR="00BD5B7F" w:rsidRPr="00FF6562" w:rsidRDefault="00BD5B7F" w:rsidP="000E5961">
            <w:pPr>
              <w:rPr>
                <w:rFonts w:ascii="Arial" w:eastAsia="Calibri" w:hAnsi="Arial" w:cs="Arial"/>
                <w:color w:val="000000"/>
                <w:sz w:val="18"/>
                <w:szCs w:val="18"/>
              </w:rPr>
            </w:pPr>
            <w:r w:rsidRPr="00FF6562">
              <w:rPr>
                <w:rFonts w:ascii="Arial" w:eastAsia="Arial" w:hAnsi="Arial" w:cs="Arial"/>
                <w:color w:val="000000"/>
                <w:sz w:val="18"/>
                <w:szCs w:val="18"/>
                <w:bdr w:val="none" w:sz="0" w:space="0" w:color="auto" w:frame="1"/>
              </w:rPr>
              <w:t xml:space="preserve"> </w:t>
            </w:r>
            <w:r w:rsidRPr="00FF6562">
              <w:rPr>
                <w:rFonts w:ascii="Arial" w:eastAsia="Arial" w:hAnsi="Arial" w:cs="Arial"/>
                <w:color w:val="000000"/>
                <w:sz w:val="16"/>
                <w:szCs w:val="16"/>
              </w:rPr>
              <w:t>􁃱</w:t>
            </w:r>
            <w:r w:rsidRPr="00FF6562">
              <w:rPr>
                <w:rFonts w:ascii="Arial" w:eastAsia="Calibri" w:hAnsi="Arial" w:cs="Arial"/>
                <w:color w:val="000000"/>
                <w:sz w:val="18"/>
                <w:szCs w:val="18"/>
              </w:rPr>
              <w:t xml:space="preserve"> </w:t>
            </w:r>
            <w:r w:rsidRPr="00FF6562">
              <w:rPr>
                <w:rFonts w:ascii="Arial" w:eastAsia="Arial" w:hAnsi="Arial" w:cs="Arial"/>
                <w:color w:val="000000"/>
                <w:sz w:val="18"/>
                <w:szCs w:val="18"/>
                <w:bdr w:val="none" w:sz="0" w:space="0" w:color="auto" w:frame="1"/>
              </w:rPr>
              <w:t xml:space="preserve">Moins de </w:t>
            </w:r>
            <w:r w:rsidRPr="00FF6562">
              <w:rPr>
                <w:rFonts w:ascii="Arial" w:eastAsia="Arial" w:hAnsi="Arial" w:cs="Arial"/>
                <w:b/>
                <w:bCs/>
                <w:color w:val="000000"/>
                <w:sz w:val="18"/>
                <w:szCs w:val="18"/>
                <w:bdr w:val="none" w:sz="0" w:space="0" w:color="auto" w:frame="1"/>
              </w:rPr>
              <w:t>10 %</w:t>
            </w:r>
          </w:p>
          <w:p w:rsidR="00BD5B7F" w:rsidRPr="00FF6562" w:rsidRDefault="00BD5B7F" w:rsidP="000E5961">
            <w:pPr>
              <w:rPr>
                <w:rFonts w:ascii="Arial" w:eastAsia="Calibri" w:hAnsi="Arial" w:cs="Arial"/>
                <w:color w:val="000000"/>
                <w:sz w:val="18"/>
                <w:szCs w:val="18"/>
              </w:rPr>
            </w:pPr>
          </w:p>
        </w:tc>
        <w:tc>
          <w:tcPr>
            <w:tcW w:w="2339" w:type="dxa"/>
            <w:gridSpan w:val="2"/>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18"/>
                <w:szCs w:val="18"/>
              </w:rPr>
            </w:pPr>
          </w:p>
          <w:p w:rsidR="00BD5B7F" w:rsidRPr="00FF6562" w:rsidRDefault="00BD5B7F" w:rsidP="000E5961">
            <w:pPr>
              <w:rPr>
                <w:rFonts w:ascii="Arial" w:eastAsia="Calibri" w:hAnsi="Arial" w:cs="Arial"/>
                <w:color w:val="000000"/>
                <w:sz w:val="18"/>
                <w:szCs w:val="18"/>
              </w:rPr>
            </w:pPr>
            <w:r w:rsidRPr="00FF6562">
              <w:rPr>
                <w:rFonts w:ascii="Arial" w:eastAsia="Arial" w:hAnsi="Arial" w:cs="Arial"/>
                <w:color w:val="000000"/>
                <w:sz w:val="18"/>
                <w:szCs w:val="18"/>
                <w:bdr w:val="none" w:sz="0" w:space="0" w:color="auto" w:frame="1"/>
              </w:rPr>
              <w:t xml:space="preserve"> </w:t>
            </w:r>
            <w:r w:rsidRPr="00FF6562">
              <w:rPr>
                <w:rFonts w:ascii="Arial" w:eastAsia="Arial" w:hAnsi="Arial" w:cs="Arial"/>
                <w:color w:val="000000"/>
                <w:sz w:val="16"/>
                <w:szCs w:val="16"/>
              </w:rPr>
              <w:t>􁃱</w:t>
            </w:r>
            <w:r w:rsidRPr="00FF6562">
              <w:rPr>
                <w:rFonts w:ascii="Arial" w:eastAsia="Calibri" w:hAnsi="Arial" w:cs="Arial"/>
                <w:color w:val="000000"/>
                <w:sz w:val="18"/>
                <w:szCs w:val="18"/>
              </w:rPr>
              <w:t xml:space="preserve"> </w:t>
            </w:r>
            <w:r w:rsidRPr="00FF6562">
              <w:rPr>
                <w:rFonts w:ascii="Arial" w:eastAsia="Arial" w:hAnsi="Arial" w:cs="Arial"/>
                <w:color w:val="000000"/>
                <w:sz w:val="18"/>
                <w:szCs w:val="18"/>
                <w:bdr w:val="none" w:sz="0" w:space="0" w:color="auto" w:frame="1"/>
              </w:rPr>
              <w:t xml:space="preserve">Entre </w:t>
            </w:r>
            <w:r w:rsidRPr="00FF6562">
              <w:rPr>
                <w:rFonts w:ascii="Arial" w:eastAsia="Arial" w:hAnsi="Arial" w:cs="Arial"/>
                <w:b/>
                <w:bCs/>
                <w:color w:val="000000"/>
                <w:sz w:val="18"/>
                <w:szCs w:val="18"/>
                <w:bdr w:val="none" w:sz="0" w:space="0" w:color="auto" w:frame="1"/>
              </w:rPr>
              <w:t>10 %</w:t>
            </w:r>
            <w:r w:rsidRPr="00FF6562">
              <w:rPr>
                <w:rFonts w:ascii="Arial" w:eastAsia="Arial" w:hAnsi="Arial" w:cs="Arial"/>
                <w:color w:val="000000"/>
                <w:sz w:val="18"/>
                <w:szCs w:val="18"/>
                <w:bdr w:val="none" w:sz="0" w:space="0" w:color="auto" w:frame="1"/>
              </w:rPr>
              <w:t xml:space="preserve"> et </w:t>
            </w:r>
            <w:r w:rsidRPr="00FF6562">
              <w:rPr>
                <w:rFonts w:ascii="Arial" w:eastAsia="Arial" w:hAnsi="Arial" w:cs="Arial"/>
                <w:b/>
                <w:bCs/>
                <w:color w:val="000000"/>
                <w:sz w:val="18"/>
                <w:szCs w:val="18"/>
                <w:bdr w:val="none" w:sz="0" w:space="0" w:color="auto" w:frame="1"/>
              </w:rPr>
              <w:t>50 %</w:t>
            </w:r>
          </w:p>
          <w:p w:rsidR="00BD5B7F" w:rsidRPr="00FF6562" w:rsidRDefault="00BD5B7F" w:rsidP="000E5961">
            <w:pPr>
              <w:rPr>
                <w:rFonts w:ascii="Arial" w:eastAsia="Calibri" w:hAnsi="Arial" w:cs="Arial"/>
                <w:color w:val="000000"/>
                <w:sz w:val="18"/>
                <w:szCs w:val="18"/>
              </w:rPr>
            </w:pPr>
          </w:p>
        </w:tc>
        <w:tc>
          <w:tcPr>
            <w:tcW w:w="2320" w:type="dxa"/>
            <w:tcBorders>
              <w:top w:val="single" w:sz="4" w:space="0" w:color="auto"/>
              <w:left w:val="single" w:sz="4" w:space="0" w:color="auto"/>
              <w:bottom w:val="single" w:sz="4" w:space="0" w:color="auto"/>
              <w:right w:val="single" w:sz="4" w:space="0" w:color="auto"/>
            </w:tcBorders>
          </w:tcPr>
          <w:p w:rsidR="00BD5B7F" w:rsidRPr="00FF6562" w:rsidRDefault="00BD5B7F" w:rsidP="000E5961">
            <w:pPr>
              <w:rPr>
                <w:rFonts w:ascii="Arial" w:eastAsia="Calibri" w:hAnsi="Arial" w:cs="Arial"/>
                <w:color w:val="000000"/>
                <w:sz w:val="18"/>
                <w:szCs w:val="18"/>
              </w:rPr>
            </w:pPr>
          </w:p>
          <w:p w:rsidR="00BD5B7F" w:rsidRPr="00FF6562" w:rsidRDefault="00BD5B7F" w:rsidP="000E5961">
            <w:pPr>
              <w:rPr>
                <w:rFonts w:ascii="Arial" w:eastAsia="Calibri" w:hAnsi="Arial" w:cs="Arial"/>
                <w:color w:val="000000"/>
                <w:sz w:val="18"/>
                <w:szCs w:val="18"/>
              </w:rPr>
            </w:pPr>
            <w:r w:rsidRPr="00FF6562">
              <w:rPr>
                <w:rFonts w:ascii="Arial" w:eastAsia="Arial" w:hAnsi="Arial" w:cs="Arial"/>
                <w:color w:val="000000"/>
                <w:sz w:val="18"/>
                <w:szCs w:val="18"/>
                <w:bdr w:val="none" w:sz="0" w:space="0" w:color="auto" w:frame="1"/>
              </w:rPr>
              <w:t xml:space="preserve"> </w:t>
            </w:r>
            <w:r w:rsidRPr="00FF6562">
              <w:rPr>
                <w:rFonts w:ascii="Arial" w:eastAsia="Arial" w:hAnsi="Arial" w:cs="Arial"/>
                <w:color w:val="000000"/>
                <w:sz w:val="16"/>
                <w:szCs w:val="16"/>
              </w:rPr>
              <w:t>􁃱</w:t>
            </w:r>
            <w:r w:rsidRPr="00FF6562">
              <w:rPr>
                <w:rFonts w:ascii="Arial" w:eastAsia="Calibri" w:hAnsi="Arial" w:cs="Arial"/>
                <w:color w:val="000000"/>
                <w:sz w:val="18"/>
                <w:szCs w:val="18"/>
              </w:rPr>
              <w:t xml:space="preserve"> </w:t>
            </w:r>
            <w:r w:rsidRPr="00FF6562">
              <w:rPr>
                <w:rFonts w:ascii="Arial" w:eastAsia="Arial" w:hAnsi="Arial" w:cs="Arial"/>
                <w:color w:val="000000"/>
                <w:sz w:val="18"/>
                <w:szCs w:val="18"/>
                <w:bdr w:val="none" w:sz="0" w:space="0" w:color="auto" w:frame="1"/>
              </w:rPr>
              <w:t xml:space="preserve">Plus que </w:t>
            </w:r>
            <w:r w:rsidRPr="00FF6562">
              <w:rPr>
                <w:rFonts w:ascii="Arial" w:eastAsia="Arial" w:hAnsi="Arial" w:cs="Arial"/>
                <w:b/>
                <w:bCs/>
                <w:color w:val="000000"/>
                <w:sz w:val="18"/>
                <w:szCs w:val="18"/>
                <w:bdr w:val="none" w:sz="0" w:space="0" w:color="auto" w:frame="1"/>
              </w:rPr>
              <w:t>50 %</w:t>
            </w:r>
          </w:p>
          <w:p w:rsidR="00BD5B7F" w:rsidRPr="00FF6562" w:rsidRDefault="00BD5B7F" w:rsidP="000E5961">
            <w:pPr>
              <w:rPr>
                <w:rFonts w:ascii="Arial" w:eastAsia="Calibri" w:hAnsi="Arial" w:cs="Arial"/>
                <w:color w:val="000000"/>
                <w:sz w:val="18"/>
                <w:szCs w:val="18"/>
              </w:rPr>
            </w:pPr>
          </w:p>
        </w:tc>
      </w:tr>
    </w:tbl>
    <w:p w:rsidR="00BD5B7F" w:rsidRPr="00FF6562" w:rsidRDefault="00BD5B7F" w:rsidP="00BD5B7F">
      <w:pPr>
        <w:rPr>
          <w:rFonts w:ascii="Arial" w:eastAsia="Calibri" w:hAnsi="Arial" w:cs="Arial"/>
          <w:b/>
          <w:bCs/>
          <w:color w:val="000000"/>
          <w:sz w:val="23"/>
          <w:szCs w:val="23"/>
        </w:rPr>
      </w:pPr>
    </w:p>
    <w:p w:rsidR="00BD5B7F" w:rsidRPr="00FF6562" w:rsidRDefault="00BD5B7F" w:rsidP="00BD5B7F">
      <w:pPr>
        <w:rPr>
          <w:rFonts w:ascii="Arial" w:eastAsia="Calibri" w:hAnsi="Arial" w:cs="Arial"/>
          <w:color w:val="000000"/>
          <w:sz w:val="22"/>
          <w:szCs w:val="22"/>
        </w:rPr>
      </w:pPr>
      <w:r w:rsidRPr="00FF6562">
        <w:rPr>
          <w:rFonts w:ascii="Arial" w:eastAsia="Arial" w:hAnsi="Arial" w:cs="Arial"/>
          <w:color w:val="000000"/>
          <w:sz w:val="22"/>
          <w:szCs w:val="22"/>
          <w:bdr w:val="none" w:sz="0" w:space="0" w:color="auto" w:frame="1"/>
        </w:rPr>
        <w:t>Commentaires</w:t>
      </w:r>
      <w:r w:rsidRPr="00FF6562">
        <w:rPr>
          <w:rFonts w:ascii="Arial" w:eastAsia="Calibri" w:hAnsi="Arial" w:cs="Arial"/>
          <w:color w:val="000000"/>
          <w:sz w:val="22"/>
          <w:szCs w:val="22"/>
          <w:vertAlign w:val="superscript"/>
        </w:rPr>
        <w:footnoteReference w:id="44"/>
      </w:r>
      <w:r w:rsidRPr="00FF6562">
        <w:rPr>
          <w:rFonts w:ascii="Arial" w:eastAsia="Arial" w:hAnsi="Arial" w:cs="Arial"/>
          <w:color w:val="000000"/>
          <w:sz w:val="22"/>
          <w:szCs w:val="22"/>
          <w:bdr w:val="none" w:sz="0" w:space="0" w:color="auto" w:frame="1"/>
        </w:rPr>
        <w:t> :</w:t>
      </w:r>
    </w:p>
    <w:p w:rsidR="00BD5B7F" w:rsidRPr="00FF6562" w:rsidRDefault="00BD5B7F" w:rsidP="00BD5B7F">
      <w:pPr>
        <w:ind w:firstLine="708"/>
        <w:rPr>
          <w:rFonts w:ascii="Arial" w:eastAsia="Calibri" w:hAnsi="Arial" w:cs="Arial"/>
          <w:color w:val="000000"/>
          <w:sz w:val="22"/>
          <w:szCs w:val="22"/>
        </w:rPr>
      </w:pPr>
    </w:p>
    <w:p w:rsidR="00BD5B7F" w:rsidRPr="00FF6562" w:rsidRDefault="00BD5B7F" w:rsidP="00BD5B7F">
      <w:pPr>
        <w:ind w:left="3600"/>
        <w:contextualSpacing/>
        <w:rPr>
          <w:rFonts w:ascii="Arial" w:eastAsia="Calibri" w:hAnsi="Arial" w:cs="Arial"/>
          <w:b/>
          <w:bCs/>
          <w:color w:val="000000"/>
          <w:sz w:val="23"/>
          <w:szCs w:val="23"/>
        </w:rPr>
      </w:pPr>
      <w:r w:rsidRPr="00FF6562">
        <w:rPr>
          <w:rFonts w:ascii="Arial" w:eastAsia="Calibri" w:hAnsi="Arial" w:cs="Arial"/>
          <w:b/>
          <w:bCs/>
          <w:color w:val="000000"/>
          <w:sz w:val="23"/>
          <w:szCs w:val="23"/>
        </w:rPr>
        <w:br w:type="page"/>
      </w:r>
    </w:p>
    <w:p w:rsidR="00BD5B7F" w:rsidRPr="00865DA5" w:rsidRDefault="00BD5B7F" w:rsidP="00BD5B7F">
      <w:pPr>
        <w:keepNext/>
        <w:keepLines/>
        <w:jc w:val="both"/>
        <w:outlineLvl w:val="1"/>
        <w:rPr>
          <w:rFonts w:ascii="Arial" w:hAnsi="Arial" w:cs="Arial"/>
          <w:b/>
          <w:color w:val="000000"/>
          <w:sz w:val="30"/>
          <w:szCs w:val="30"/>
          <w:lang w:val="fr-FR"/>
        </w:rPr>
      </w:pPr>
      <w:bookmarkStart w:id="93" w:name="_Toc491245261"/>
      <w:bookmarkStart w:id="94" w:name="_Toc491245061"/>
      <w:bookmarkStart w:id="95" w:name="_Toc486539598"/>
      <w:r w:rsidRPr="00865DA5">
        <w:rPr>
          <w:rFonts w:ascii="Arial" w:eastAsia="Arial" w:hAnsi="Arial" w:cs="Arial"/>
          <w:b/>
          <w:bCs/>
          <w:color w:val="000000"/>
          <w:sz w:val="30"/>
          <w:szCs w:val="30"/>
          <w:bdr w:val="none" w:sz="0" w:space="0" w:color="auto" w:frame="1"/>
          <w:lang w:val="fr-FR"/>
        </w:rPr>
        <w:lastRenderedPageBreak/>
        <w:t>E. Prévention - Autres instruments utilisés pour lutter contre l’IKB</w:t>
      </w:r>
      <w:bookmarkEnd w:id="93"/>
      <w:bookmarkEnd w:id="94"/>
      <w:bookmarkEnd w:id="95"/>
      <w:r w:rsidRPr="00865DA5">
        <w:rPr>
          <w:rFonts w:ascii="Arial" w:eastAsia="Arial" w:hAnsi="Arial" w:cs="Arial"/>
          <w:b/>
          <w:bCs/>
          <w:color w:val="000000"/>
          <w:sz w:val="30"/>
          <w:szCs w:val="30"/>
          <w:bdr w:val="none" w:sz="0" w:space="0" w:color="auto" w:frame="1"/>
          <w:lang w:val="fr-FR"/>
        </w:rPr>
        <w:t xml:space="preserve"> </w:t>
      </w:r>
    </w:p>
    <w:p w:rsidR="00BD5B7F" w:rsidRPr="00865DA5" w:rsidRDefault="00BD5B7F" w:rsidP="00BD5B7F">
      <w:pPr>
        <w:jc w:val="both"/>
        <w:rPr>
          <w:rFonts w:ascii="Arial" w:eastAsia="Calibri" w:hAnsi="Arial" w:cs="Arial"/>
          <w:color w:val="000000"/>
          <w:sz w:val="22"/>
          <w:szCs w:val="22"/>
          <w:lang w:val="fr-FR"/>
        </w:rPr>
      </w:pPr>
    </w:p>
    <w:p w:rsidR="00BD5B7F" w:rsidRPr="00865DA5" w:rsidRDefault="00BD5B7F" w:rsidP="00BD5B7F">
      <w:pPr>
        <w:keepNext/>
        <w:keepLines/>
        <w:spacing w:after="120"/>
        <w:jc w:val="both"/>
        <w:outlineLvl w:val="3"/>
        <w:rPr>
          <w:rFonts w:ascii="Arial" w:hAnsi="Arial" w:cs="Arial"/>
          <w:b/>
          <w:iCs/>
          <w:color w:val="000000"/>
          <w:sz w:val="28"/>
          <w:szCs w:val="22"/>
          <w:lang w:val="fr-FR"/>
        </w:rPr>
      </w:pPr>
      <w:bookmarkStart w:id="96" w:name="_Toc491245262"/>
      <w:bookmarkStart w:id="97" w:name="_Toc486539599"/>
      <w:r w:rsidRPr="00865DA5">
        <w:rPr>
          <w:rFonts w:ascii="Arial" w:eastAsia="Arial" w:hAnsi="Arial" w:cs="Arial"/>
          <w:b/>
          <w:bCs/>
          <w:iCs/>
          <w:color w:val="000000"/>
          <w:sz w:val="28"/>
          <w:szCs w:val="28"/>
          <w:bdr w:val="none" w:sz="0" w:space="0" w:color="auto" w:frame="1"/>
          <w:lang w:val="fr-FR"/>
        </w:rPr>
        <w:t>24. Coopération internationale</w:t>
      </w:r>
      <w:bookmarkEnd w:id="96"/>
      <w:bookmarkEnd w:id="97"/>
    </w:p>
    <w:p w:rsidR="00BD5B7F" w:rsidRPr="00865DA5" w:rsidRDefault="00BD5B7F" w:rsidP="00BD5B7F">
      <w:pPr>
        <w:jc w:val="both"/>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La mesure dans laquelle les institutions nationales profitent des initiatives internationales et des groupes de travail sur l’IKB.</w:t>
      </w:r>
    </w:p>
    <w:p w:rsidR="00BD5B7F" w:rsidRPr="00865DA5" w:rsidRDefault="00BD5B7F" w:rsidP="00BD5B7F">
      <w:pPr>
        <w:jc w:val="both"/>
        <w:rPr>
          <w:rFonts w:ascii="Arial" w:eastAsia="Calibri" w:hAnsi="Arial" w:cs="Arial"/>
          <w:color w:val="000000"/>
          <w:sz w:val="22"/>
          <w:szCs w:val="22"/>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 xml:space="preserve">Question : Les institutions gouvernementales nationales participent-elles activement aux initiatives internationales relatives à l’IKB ? </w:t>
      </w:r>
    </w:p>
    <w:p w:rsidR="00BD5B7F" w:rsidRPr="00865DA5" w:rsidRDefault="00BD5B7F" w:rsidP="00BD5B7F">
      <w:pPr>
        <w:jc w:val="both"/>
        <w:rPr>
          <w:rFonts w:ascii="Arial" w:eastAsia="Calibri" w:hAnsi="Arial" w:cs="Arial"/>
          <w:i/>
          <w:iCs/>
          <w:color w:val="000000"/>
          <w:sz w:val="22"/>
          <w:szCs w:val="22"/>
          <w:lang w:val="fr-FR"/>
        </w:rPr>
      </w:pPr>
    </w:p>
    <w:p w:rsidR="00BD5B7F" w:rsidRPr="00FF6562" w:rsidRDefault="00BD5B7F" w:rsidP="00BD5B7F">
      <w:pPr>
        <w:spacing w:after="120"/>
        <w:jc w:val="both"/>
        <w:rPr>
          <w:rFonts w:ascii="Arial" w:eastAsia="Calibri" w:hAnsi="Arial" w:cs="Arial"/>
          <w:i/>
          <w:iCs/>
          <w:color w:val="000000"/>
          <w:sz w:val="22"/>
          <w:szCs w:val="22"/>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15"/>
        <w:gridCol w:w="2303"/>
        <w:gridCol w:w="18"/>
        <w:gridCol w:w="2320"/>
        <w:gridCol w:w="2326"/>
      </w:tblGrid>
      <w:tr w:rsidR="00BD5B7F" w:rsidRPr="00FF6562" w:rsidTr="000E5961">
        <w:tc>
          <w:tcPr>
            <w:tcW w:w="2308"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1"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41"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MS Gothic" w:hAnsi="Arial" w:cs="Arial"/>
                <w:color w:val="000000"/>
                <w:sz w:val="22"/>
                <w:szCs w:val="22"/>
              </w:rPr>
              <w:t>􀜆</w:t>
            </w:r>
          </w:p>
        </w:tc>
        <w:tc>
          <w:tcPr>
            <w:tcW w:w="232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323"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Le gouvernement national </w:t>
            </w:r>
            <w:r w:rsidRPr="00865DA5">
              <w:rPr>
                <w:rFonts w:ascii="Arial" w:eastAsia="Arial" w:hAnsi="Arial" w:cs="Arial"/>
                <w:b/>
                <w:bCs/>
                <w:color w:val="000000"/>
                <w:sz w:val="18"/>
                <w:szCs w:val="18"/>
                <w:bdr w:val="none" w:sz="0" w:space="0" w:color="auto" w:frame="1"/>
                <w:lang w:val="fr-FR"/>
              </w:rPr>
              <w:t>ne participe pas</w:t>
            </w:r>
            <w:r w:rsidRPr="00865DA5">
              <w:rPr>
                <w:rFonts w:ascii="Arial" w:eastAsia="Arial" w:hAnsi="Arial" w:cs="Arial"/>
                <w:color w:val="000000"/>
                <w:sz w:val="18"/>
                <w:szCs w:val="18"/>
                <w:bdr w:val="none" w:sz="0" w:space="0" w:color="auto" w:frame="1"/>
                <w:lang w:val="fr-FR"/>
              </w:rPr>
              <w:t xml:space="preserve"> aux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Réunions du Groupe spécial intergouvernemental de la CMS sur l’abattage, le prélèvement et le commerce illégaux des oiseaux migrateurs en Méditerranée </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Réunions du Réseau de correspondants spéciaux de la Convention de Berne sur l’éradication de la mise à mort, du piégeage et du commerce illégaux d’oiseaux sauvages</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Initiatives CITES relatives à l’IKB</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Initiatives de l’UE relatives à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Toute initiative bilatérale relative à l’IKB</w:t>
            </w:r>
          </w:p>
        </w:tc>
        <w:tc>
          <w:tcPr>
            <w:tcW w:w="2324"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Le gouvernement national </w:t>
            </w:r>
            <w:r w:rsidRPr="00865DA5">
              <w:rPr>
                <w:rFonts w:ascii="Arial" w:eastAsia="Arial" w:hAnsi="Arial" w:cs="Arial"/>
                <w:b/>
                <w:color w:val="000000"/>
                <w:sz w:val="18"/>
                <w:szCs w:val="18"/>
                <w:bdr w:val="none" w:sz="0" w:space="0" w:color="auto" w:frame="1"/>
                <w:lang w:val="fr-FR"/>
              </w:rPr>
              <w:t>a</w:t>
            </w:r>
            <w:r w:rsidRPr="00865DA5">
              <w:rPr>
                <w:rFonts w:ascii="Arial" w:eastAsia="Arial" w:hAnsi="Arial" w:cs="Arial"/>
                <w:color w:val="000000"/>
                <w:sz w:val="18"/>
                <w:szCs w:val="18"/>
                <w:bdr w:val="none" w:sz="0" w:space="0" w:color="auto" w:frame="1"/>
                <w:lang w:val="fr-FR"/>
              </w:rPr>
              <w:t xml:space="preserve"> </w:t>
            </w:r>
            <w:r w:rsidRPr="00865DA5">
              <w:rPr>
                <w:rFonts w:ascii="Arial" w:eastAsia="Arial" w:hAnsi="Arial" w:cs="Arial"/>
                <w:b/>
                <w:color w:val="000000"/>
                <w:sz w:val="18"/>
                <w:szCs w:val="18"/>
                <w:bdr w:val="none" w:sz="0" w:space="0" w:color="auto" w:frame="1"/>
                <w:lang w:val="fr-FR"/>
              </w:rPr>
              <w:t>participé</w:t>
            </w:r>
            <w:r w:rsidRPr="00865DA5">
              <w:rPr>
                <w:rFonts w:ascii="Arial" w:eastAsia="Arial" w:hAnsi="Arial" w:cs="Arial"/>
                <w:color w:val="000000"/>
                <w:sz w:val="18"/>
                <w:szCs w:val="18"/>
                <w:bdr w:val="none" w:sz="0" w:space="0" w:color="auto" w:frame="1"/>
                <w:lang w:val="fr-FR"/>
              </w:rPr>
              <w:t xml:space="preserve"> au cours des 3 dernières années à moins de 50 % des réunions et initiatives suivantes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Réunions du Groupe spécial intergouvernemental de la CMS sur l’abattage, le prélèvement et le commerce illégaux des oiseaux migrateurs en Méditerranée </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Réunions du Réseau de correspondants spéciaux de la Convention de Berne sur l’éradication de la mise à mort, du piégeage et du commerce illégaux d’oiseaux sauvages</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Initiatives CITES relatives à l’IKB</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Initiatives de l’UE relatives à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Toute initiative bilatérale relative à l’IKB</w:t>
            </w:r>
          </w:p>
        </w:tc>
        <w:tc>
          <w:tcPr>
            <w:tcW w:w="2323"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Le gouvernement national </w:t>
            </w:r>
            <w:r w:rsidRPr="00865DA5">
              <w:rPr>
                <w:rFonts w:ascii="Arial" w:eastAsia="Arial" w:hAnsi="Arial" w:cs="Arial"/>
                <w:b/>
                <w:color w:val="000000"/>
                <w:sz w:val="18"/>
                <w:szCs w:val="18"/>
                <w:bdr w:val="none" w:sz="0" w:space="0" w:color="auto" w:frame="1"/>
                <w:lang w:val="fr-FR"/>
              </w:rPr>
              <w:t>a</w:t>
            </w:r>
            <w:r w:rsidRPr="00865DA5">
              <w:rPr>
                <w:rFonts w:ascii="Arial" w:eastAsia="Arial" w:hAnsi="Arial" w:cs="Arial"/>
                <w:color w:val="000000"/>
                <w:sz w:val="18"/>
                <w:szCs w:val="18"/>
                <w:bdr w:val="none" w:sz="0" w:space="0" w:color="auto" w:frame="1"/>
                <w:lang w:val="fr-FR"/>
              </w:rPr>
              <w:t xml:space="preserve"> </w:t>
            </w:r>
            <w:r w:rsidRPr="00865DA5">
              <w:rPr>
                <w:rFonts w:ascii="Arial" w:eastAsia="Arial" w:hAnsi="Arial" w:cs="Arial"/>
                <w:b/>
                <w:color w:val="000000"/>
                <w:sz w:val="18"/>
                <w:szCs w:val="18"/>
                <w:bdr w:val="none" w:sz="0" w:space="0" w:color="auto" w:frame="1"/>
                <w:lang w:val="fr-FR"/>
              </w:rPr>
              <w:t>participé</w:t>
            </w:r>
            <w:r w:rsidRPr="00865DA5">
              <w:rPr>
                <w:rFonts w:ascii="Arial" w:eastAsia="Arial" w:hAnsi="Arial" w:cs="Arial"/>
                <w:color w:val="000000"/>
                <w:sz w:val="18"/>
                <w:szCs w:val="18"/>
                <w:bdr w:val="none" w:sz="0" w:space="0" w:color="auto" w:frame="1"/>
                <w:lang w:val="fr-FR"/>
              </w:rPr>
              <w:t xml:space="preserve"> au cours des 3 dernières années à plus de 50 % des réunions et initiatives suivantes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Réunions du Groupe spécial intergouvernemental de la CMS sur l’abattage, le prélèvement et le commerce illégaux des oiseaux migrateurs en Méditerranée </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Réunions du Réseau de correspondants spéciaux de la Convention de Berne sur l’éradication de la mise à mort, du piégeage et du commerce illégaux d’oiseaux sauvages</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Initiatives CITES relatives à l’IKB</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Initiatives de l’UE relatives à l’IKB</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Toute initiative bilatérale relative à l’IKB</w:t>
            </w:r>
          </w:p>
        </w:tc>
        <w:tc>
          <w:tcPr>
            <w:tcW w:w="2329"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 xml:space="preserve">Le gouvernement national </w:t>
            </w:r>
            <w:r w:rsidRPr="00865DA5">
              <w:rPr>
                <w:rFonts w:ascii="Arial" w:eastAsia="Arial" w:hAnsi="Arial" w:cs="Arial"/>
                <w:b/>
                <w:color w:val="000000"/>
                <w:sz w:val="18"/>
                <w:szCs w:val="18"/>
                <w:bdr w:val="none" w:sz="0" w:space="0" w:color="auto" w:frame="1"/>
                <w:lang w:val="fr-FR"/>
              </w:rPr>
              <w:t>joue un rôle actif</w:t>
            </w:r>
            <w:r w:rsidRPr="00FF6562">
              <w:rPr>
                <w:rFonts w:ascii="Arial" w:eastAsia="Calibri" w:hAnsi="Arial" w:cs="Arial"/>
                <w:color w:val="000000"/>
                <w:sz w:val="18"/>
                <w:szCs w:val="18"/>
                <w:vertAlign w:val="superscript"/>
              </w:rPr>
              <w:footnoteReference w:id="45"/>
            </w:r>
            <w:r w:rsidRPr="00865DA5">
              <w:rPr>
                <w:rFonts w:ascii="Arial" w:eastAsia="Arial" w:hAnsi="Arial" w:cs="Arial"/>
                <w:color w:val="000000"/>
                <w:sz w:val="18"/>
                <w:szCs w:val="18"/>
                <w:bdr w:val="none" w:sz="0" w:space="0" w:color="auto" w:frame="1"/>
                <w:lang w:val="fr-FR"/>
              </w:rPr>
              <w:t xml:space="preserve"> dans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Réunions du Groupe spécial intergouvernemental de la CMS sur l’abattage, le prélèvement et le commerce illégaux des oiseaux migrateurs en Méditerranée </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Réunions du Réseau de correspondants spéciaux de la Convention de Berne sur l’éradication de la mise à mort, du piégeage et du commerce illégaux d’oiseaux sauvages</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Initiatives CITES relatives à l’IKB</w:t>
            </w:r>
          </w:p>
          <w:p w:rsidR="00BD5B7F" w:rsidRPr="00865DA5" w:rsidRDefault="00BD5B7F" w:rsidP="000E5961">
            <w:pPr>
              <w:rPr>
                <w:rFonts w:ascii="Arial" w:eastAsia="Calibri" w:hAnsi="Arial" w:cs="Arial"/>
                <w:bCs/>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Initiatives de l’UE relatives à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Toute initiative bilatérale relative à l’IKB</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b/>
          <w:bCs/>
          <w:color w:val="000000"/>
          <w:sz w:val="23"/>
          <w:szCs w:val="23"/>
          <w:lang w:val="fr-FR"/>
        </w:rPr>
      </w:pPr>
      <w:r w:rsidRPr="00865DA5">
        <w:rPr>
          <w:rFonts w:ascii="Arial" w:eastAsia="Calibri" w:hAnsi="Arial" w:cs="Arial"/>
          <w:b/>
          <w:bCs/>
          <w:color w:val="000000"/>
          <w:sz w:val="23"/>
          <w:szCs w:val="23"/>
          <w:lang w:val="fr-FR"/>
        </w:rPr>
        <w:br w:type="page"/>
      </w:r>
    </w:p>
    <w:p w:rsidR="00BD5B7F" w:rsidRPr="00865DA5" w:rsidRDefault="00BD5B7F" w:rsidP="00BD5B7F">
      <w:pPr>
        <w:keepNext/>
        <w:keepLines/>
        <w:spacing w:after="120"/>
        <w:outlineLvl w:val="3"/>
        <w:rPr>
          <w:rFonts w:ascii="Arial" w:hAnsi="Arial" w:cs="Arial"/>
          <w:b/>
          <w:i/>
          <w:iCs/>
          <w:color w:val="000000"/>
          <w:sz w:val="18"/>
          <w:szCs w:val="18"/>
          <w:lang w:val="fr-FR"/>
        </w:rPr>
      </w:pPr>
      <w:bookmarkStart w:id="98" w:name="_Toc491245263"/>
      <w:bookmarkStart w:id="99" w:name="_Toc486539600"/>
      <w:r w:rsidRPr="00865DA5">
        <w:rPr>
          <w:rFonts w:ascii="Arial" w:eastAsia="Arial" w:hAnsi="Arial" w:cs="Arial"/>
          <w:b/>
          <w:bCs/>
          <w:iCs/>
          <w:color w:val="000000"/>
          <w:sz w:val="28"/>
          <w:szCs w:val="28"/>
          <w:bdr w:val="none" w:sz="0" w:space="0" w:color="auto" w:frame="1"/>
          <w:lang w:val="fr-FR"/>
        </w:rPr>
        <w:lastRenderedPageBreak/>
        <w:t>25. Moteurs de la criminalité liée aux espèces sauvages</w:t>
      </w:r>
      <w:r w:rsidRPr="00FF6562">
        <w:rPr>
          <w:rFonts w:ascii="Arial" w:hAnsi="Arial" w:cs="Arial"/>
          <w:b/>
          <w:iCs/>
          <w:color w:val="000000"/>
          <w:sz w:val="28"/>
          <w:szCs w:val="22"/>
          <w:vertAlign w:val="superscript"/>
        </w:rPr>
        <w:footnoteReference w:id="46"/>
      </w:r>
      <w:bookmarkEnd w:id="98"/>
      <w:bookmarkEnd w:id="99"/>
    </w:p>
    <w:p w:rsidR="00BD5B7F" w:rsidRPr="00865DA5" w:rsidRDefault="00BD5B7F" w:rsidP="00BD5B7F">
      <w:pPr>
        <w:jc w:val="both"/>
        <w:rPr>
          <w:rFonts w:ascii="Arial" w:eastAsia="Arial" w:hAnsi="Arial" w:cs="Arial"/>
          <w:color w:val="000000"/>
          <w:sz w:val="22"/>
          <w:szCs w:val="22"/>
          <w:bdr w:val="none" w:sz="0" w:space="0" w:color="auto" w:frame="1"/>
          <w:lang w:val="fr-FR"/>
        </w:rPr>
      </w:pPr>
      <w:r w:rsidRPr="00865DA5">
        <w:rPr>
          <w:rFonts w:ascii="Arial" w:eastAsia="Arial" w:hAnsi="Arial" w:cs="Arial"/>
          <w:color w:val="000000"/>
          <w:sz w:val="22"/>
          <w:szCs w:val="22"/>
          <w:bdr w:val="none" w:sz="0" w:space="0" w:color="auto" w:frame="1"/>
          <w:lang w:val="fr-FR"/>
        </w:rPr>
        <w:t>Le niveau de connaissance et de compréhension des moteurs de l’IKB dans le pays.</w:t>
      </w:r>
    </w:p>
    <w:p w:rsidR="00BD5B7F" w:rsidRPr="00865DA5" w:rsidRDefault="00BD5B7F" w:rsidP="00BD5B7F">
      <w:pPr>
        <w:jc w:val="both"/>
        <w:rPr>
          <w:rFonts w:ascii="Arial" w:eastAsia="Calibri" w:hAnsi="Arial" w:cs="Arial"/>
          <w:b/>
          <w:bCs/>
          <w:i/>
          <w:iCs/>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Quel est le niveau de connaissance des moteurs</w:t>
      </w:r>
      <w:r w:rsidRPr="00FF6562">
        <w:rPr>
          <w:rFonts w:ascii="Arial" w:eastAsia="Calibri" w:hAnsi="Arial" w:cs="Arial"/>
          <w:b/>
          <w:bCs/>
          <w:i/>
          <w:iCs/>
          <w:color w:val="000000"/>
          <w:sz w:val="22"/>
          <w:szCs w:val="22"/>
          <w:vertAlign w:val="superscript"/>
        </w:rPr>
        <w:footnoteReference w:id="47"/>
      </w:r>
      <w:r w:rsidRPr="00865DA5">
        <w:rPr>
          <w:rFonts w:ascii="Arial" w:eastAsia="Arial" w:hAnsi="Arial" w:cs="Arial"/>
          <w:b/>
          <w:bCs/>
          <w:i/>
          <w:iCs/>
          <w:color w:val="000000"/>
          <w:sz w:val="22"/>
          <w:szCs w:val="22"/>
          <w:bdr w:val="none" w:sz="0" w:space="0" w:color="auto" w:frame="1"/>
          <w:lang w:val="fr-FR"/>
        </w:rPr>
        <w:t xml:space="preserve"> de l’IKB dans votre pays, y compris des moteurs de l’offre de produits illicites et de la demande des consommateurs ?</w:t>
      </w:r>
    </w:p>
    <w:p w:rsidR="00BD5B7F" w:rsidRPr="00865DA5" w:rsidRDefault="00BD5B7F" w:rsidP="00BD5B7F">
      <w:pPr>
        <w:jc w:val="both"/>
        <w:rPr>
          <w:rFonts w:ascii="Arial" w:eastAsia="Calibri" w:hAnsi="Arial" w:cs="Arial"/>
          <w:b/>
          <w:bCs/>
          <w:i/>
          <w:iCs/>
          <w:color w:val="000000"/>
          <w:sz w:val="22"/>
          <w:szCs w:val="18"/>
          <w:lang w:val="fr-FR"/>
        </w:rPr>
      </w:pPr>
    </w:p>
    <w:p w:rsidR="00BD5B7F" w:rsidRPr="00FF6562" w:rsidRDefault="00BD5B7F" w:rsidP="00BD5B7F">
      <w:pPr>
        <w:spacing w:after="120"/>
        <w:jc w:val="both"/>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8"/>
        <w:gridCol w:w="2307"/>
        <w:gridCol w:w="12"/>
        <w:gridCol w:w="2304"/>
        <w:gridCol w:w="30"/>
        <w:gridCol w:w="2327"/>
      </w:tblGrid>
      <w:tr w:rsidR="00BD5B7F" w:rsidRPr="00FF6562" w:rsidTr="000E5961">
        <w:tc>
          <w:tcPr>
            <w:tcW w:w="2310" w:type="dxa"/>
            <w:gridSpan w:val="2"/>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302"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moteurs de l’IKB sont inconnus</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p>
        </w:tc>
        <w:tc>
          <w:tcPr>
            <w:tcW w:w="2318"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connaissance des moteurs de l’IKB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bCs/>
                <w:color w:val="000000"/>
                <w:sz w:val="18"/>
                <w:szCs w:val="18"/>
                <w:bdr w:val="none" w:sz="0" w:space="0" w:color="auto" w:frame="1"/>
                <w:lang w:val="fr-FR"/>
              </w:rPr>
              <w:t>basique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bCs/>
                <w:color w:val="000000"/>
                <w:sz w:val="18"/>
                <w:szCs w:val="18"/>
                <w:bdr w:val="none" w:sz="0" w:space="0" w:color="auto" w:frame="1"/>
                <w:lang w:val="fr-FR"/>
              </w:rPr>
              <w:t>anecdotique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basée sur des sources </w:t>
            </w:r>
            <w:r w:rsidRPr="00865DA5">
              <w:rPr>
                <w:rFonts w:ascii="Arial" w:eastAsia="Arial" w:hAnsi="Arial" w:cs="Arial"/>
                <w:b/>
                <w:bCs/>
                <w:color w:val="000000"/>
                <w:sz w:val="18"/>
                <w:szCs w:val="18"/>
                <w:bdr w:val="none" w:sz="0" w:space="0" w:color="auto" w:frame="1"/>
                <w:lang w:val="fr-FR"/>
              </w:rPr>
              <w:t>limitées</w:t>
            </w:r>
          </w:p>
        </w:tc>
        <w:tc>
          <w:tcPr>
            <w:tcW w:w="2319"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connaissance des moteurs de l’IKB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bCs/>
                <w:color w:val="000000"/>
                <w:sz w:val="18"/>
                <w:szCs w:val="18"/>
                <w:bdr w:val="none" w:sz="0" w:space="0" w:color="auto" w:frame="1"/>
                <w:lang w:val="fr-FR"/>
              </w:rPr>
              <w:t>modérée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Comporte des </w:t>
            </w:r>
            <w:r w:rsidRPr="00865DA5">
              <w:rPr>
                <w:rFonts w:ascii="Arial" w:eastAsia="Arial" w:hAnsi="Arial" w:cs="Arial"/>
                <w:b/>
                <w:bCs/>
                <w:color w:val="000000"/>
                <w:sz w:val="18"/>
                <w:szCs w:val="18"/>
                <w:bdr w:val="none" w:sz="0" w:space="0" w:color="auto" w:frame="1"/>
                <w:lang w:val="fr-FR"/>
              </w:rPr>
              <w:t>lacunes</w:t>
            </w:r>
          </w:p>
          <w:p w:rsidR="00BD5B7F" w:rsidRPr="00865DA5" w:rsidRDefault="00BD5B7F" w:rsidP="000E5961">
            <w:pPr>
              <w:rPr>
                <w:rFonts w:ascii="Arial" w:eastAsia="Calibri" w:hAnsi="Arial" w:cs="Arial"/>
                <w:color w:val="000000"/>
                <w:sz w:val="18"/>
                <w:szCs w:val="18"/>
                <w:lang w:val="fr-FR"/>
              </w:rPr>
            </w:pPr>
          </w:p>
        </w:tc>
        <w:tc>
          <w:tcPr>
            <w:tcW w:w="2360"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La connaissance des moteurs de l’IKB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w:t>
            </w:r>
            <w:r w:rsidRPr="00865DA5">
              <w:rPr>
                <w:rFonts w:ascii="Arial" w:eastAsia="Arial" w:hAnsi="Arial" w:cs="Arial"/>
                <w:b/>
                <w:bCs/>
                <w:color w:val="000000"/>
                <w:sz w:val="18"/>
                <w:szCs w:val="18"/>
                <w:bdr w:val="none" w:sz="0" w:space="0" w:color="auto" w:frame="1"/>
                <w:lang w:val="fr-FR"/>
              </w:rPr>
              <w:t>bonne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Est assez </w:t>
            </w:r>
            <w:r w:rsidRPr="00865DA5">
              <w:rPr>
                <w:rFonts w:ascii="Arial" w:eastAsia="Arial" w:hAnsi="Arial" w:cs="Arial"/>
                <w:b/>
                <w:bCs/>
                <w:color w:val="000000"/>
                <w:sz w:val="18"/>
                <w:szCs w:val="18"/>
                <w:bdr w:val="none" w:sz="0" w:space="0" w:color="auto" w:frame="1"/>
                <w:lang w:val="fr-FR"/>
              </w:rPr>
              <w:t>complète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Est basée sur des informations provenant de diverses sources,</w:t>
            </w:r>
            <w:r w:rsidRPr="00865DA5">
              <w:rPr>
                <w:rFonts w:ascii="Arial" w:eastAsia="Arial" w:hAnsi="Arial" w:cs="Arial"/>
                <w:b/>
                <w:bCs/>
                <w:color w:val="000000"/>
                <w:sz w:val="18"/>
                <w:szCs w:val="18"/>
                <w:bdr w:val="none" w:sz="0" w:space="0" w:color="auto" w:frame="1"/>
                <w:lang w:val="fr-FR"/>
              </w:rPr>
              <w:t xml:space="preserve"> y compris des recherches scientifiques </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hAnsi="Arial" w:cs="Arial"/>
          <w:b/>
          <w:bCs/>
          <w:color w:val="000000"/>
          <w:sz w:val="28"/>
          <w:szCs w:val="22"/>
          <w:lang w:val="fr-FR"/>
        </w:rPr>
      </w:pPr>
      <w:r w:rsidRPr="00865DA5">
        <w:rPr>
          <w:rFonts w:ascii="Arial" w:eastAsia="Calibri" w:hAnsi="Arial" w:cs="Arial"/>
          <w:color w:val="000000"/>
          <w:sz w:val="22"/>
          <w:szCs w:val="22"/>
          <w:lang w:val="fr-FR"/>
        </w:rPr>
        <w:br w:type="page"/>
      </w:r>
    </w:p>
    <w:p w:rsidR="00BD5B7F" w:rsidRPr="00865DA5" w:rsidRDefault="00BD5B7F" w:rsidP="00BD5B7F">
      <w:pPr>
        <w:keepNext/>
        <w:keepLines/>
        <w:spacing w:after="120"/>
        <w:outlineLvl w:val="3"/>
        <w:rPr>
          <w:rFonts w:ascii="Arial" w:hAnsi="Arial" w:cs="Arial"/>
          <w:b/>
          <w:i/>
          <w:iCs/>
          <w:color w:val="000000"/>
          <w:sz w:val="18"/>
          <w:szCs w:val="18"/>
          <w:lang w:val="fr-FR"/>
        </w:rPr>
      </w:pPr>
      <w:bookmarkStart w:id="100" w:name="_Toc491245264"/>
      <w:bookmarkStart w:id="101" w:name="_Toc486539601"/>
      <w:r w:rsidRPr="00865DA5">
        <w:rPr>
          <w:rFonts w:ascii="Arial" w:eastAsia="Arial" w:hAnsi="Arial" w:cs="Arial"/>
          <w:b/>
          <w:bCs/>
          <w:iCs/>
          <w:color w:val="000000"/>
          <w:sz w:val="28"/>
          <w:szCs w:val="28"/>
          <w:bdr w:val="none" w:sz="0" w:space="0" w:color="auto" w:frame="1"/>
          <w:lang w:val="fr-FR"/>
        </w:rPr>
        <w:lastRenderedPageBreak/>
        <w:t>26. Activités relatives à la demande</w:t>
      </w:r>
      <w:r w:rsidRPr="00FF6562">
        <w:rPr>
          <w:rFonts w:ascii="Arial" w:hAnsi="Arial" w:cs="Arial"/>
          <w:b/>
          <w:iCs/>
          <w:color w:val="000000"/>
          <w:sz w:val="28"/>
          <w:szCs w:val="22"/>
          <w:vertAlign w:val="superscript"/>
        </w:rPr>
        <w:footnoteReference w:id="48"/>
      </w:r>
      <w:bookmarkEnd w:id="100"/>
      <w:bookmarkEnd w:id="101"/>
      <w:r w:rsidRPr="00865DA5">
        <w:rPr>
          <w:rFonts w:ascii="Arial" w:eastAsia="Arial" w:hAnsi="Arial" w:cs="Arial"/>
          <w:b/>
          <w:bCs/>
          <w:iCs/>
          <w:color w:val="000000"/>
          <w:sz w:val="28"/>
          <w:szCs w:val="28"/>
          <w:bdr w:val="none" w:sz="0" w:space="0" w:color="auto" w:frame="1"/>
          <w:lang w:val="fr-FR"/>
        </w:rPr>
        <w:t xml:space="preserve"> </w:t>
      </w:r>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Le niveau de mise en œuvre des activités permettant de traiter la demande en produits illégaux issus des espèces sauvages.</w:t>
      </w:r>
    </w:p>
    <w:p w:rsidR="00BD5B7F" w:rsidRPr="00865DA5" w:rsidRDefault="00BD5B7F" w:rsidP="00BD5B7F">
      <w:pPr>
        <w:jc w:val="both"/>
        <w:rPr>
          <w:rFonts w:ascii="Arial" w:eastAsia="Calibri" w:hAnsi="Arial" w:cs="Arial"/>
          <w:color w:val="000000"/>
          <w:sz w:val="22"/>
          <w:szCs w:val="22"/>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Des activités sont-elles mises en œuvre pour traiter la demande</w:t>
      </w:r>
      <w:r w:rsidRPr="00FF6562">
        <w:rPr>
          <w:rFonts w:ascii="Arial" w:eastAsia="Calibri" w:hAnsi="Arial" w:cs="Arial"/>
          <w:b/>
          <w:bCs/>
          <w:i/>
          <w:iCs/>
          <w:color w:val="000000"/>
          <w:sz w:val="22"/>
          <w:szCs w:val="22"/>
          <w:vertAlign w:val="superscript"/>
        </w:rPr>
        <w:footnoteReference w:id="49"/>
      </w:r>
      <w:r w:rsidRPr="00865DA5">
        <w:rPr>
          <w:rFonts w:ascii="Arial" w:eastAsia="Arial" w:hAnsi="Arial" w:cs="Arial"/>
          <w:b/>
          <w:bCs/>
          <w:i/>
          <w:iCs/>
          <w:color w:val="000000"/>
          <w:sz w:val="22"/>
          <w:szCs w:val="22"/>
          <w:bdr w:val="none" w:sz="0" w:space="0" w:color="auto" w:frame="1"/>
          <w:lang w:val="fr-FR"/>
        </w:rPr>
        <w:t xml:space="preserve"> en oiseaux sauvages obtenus illégalement ?</w:t>
      </w:r>
    </w:p>
    <w:p w:rsidR="00BD5B7F" w:rsidRPr="00865DA5" w:rsidRDefault="00BD5B7F" w:rsidP="00BD5B7F">
      <w:pPr>
        <w:rPr>
          <w:rFonts w:ascii="Arial" w:eastAsia="Calibri" w:hAnsi="Arial" w:cs="Arial"/>
          <w:i/>
          <w:iCs/>
          <w:color w:val="000000"/>
          <w:sz w:val="22"/>
          <w:szCs w:val="22"/>
          <w:lang w:val="fr-FR"/>
        </w:rPr>
      </w:pPr>
    </w:p>
    <w:p w:rsidR="00BD5B7F" w:rsidRPr="00FF6562" w:rsidRDefault="00BD5B7F" w:rsidP="00BD5B7F">
      <w:pPr>
        <w:spacing w:after="120"/>
        <w:rPr>
          <w:rFonts w:ascii="Arial" w:eastAsia="Calibri" w:hAnsi="Arial" w:cs="Arial"/>
          <w:i/>
          <w:iCs/>
          <w:color w:val="000000"/>
          <w:sz w:val="22"/>
          <w:szCs w:val="22"/>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4"/>
        <w:gridCol w:w="14"/>
        <w:gridCol w:w="2304"/>
        <w:gridCol w:w="16"/>
        <w:gridCol w:w="2322"/>
        <w:gridCol w:w="2326"/>
      </w:tblGrid>
      <w:tr w:rsidR="00BD5B7F" w:rsidRPr="00FF6562" w:rsidTr="000E5961">
        <w:tc>
          <w:tcPr>
            <w:tcW w:w="2308" w:type="dxa"/>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1"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41"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2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322"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activités relatives à la demande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N’ont </w:t>
            </w:r>
            <w:r w:rsidRPr="00865DA5">
              <w:rPr>
                <w:rFonts w:ascii="Arial" w:eastAsia="Arial" w:hAnsi="Arial" w:cs="Arial"/>
                <w:b/>
                <w:bCs/>
                <w:color w:val="000000"/>
                <w:sz w:val="18"/>
                <w:szCs w:val="18"/>
                <w:bdr w:val="none" w:sz="0" w:space="0" w:color="auto" w:frame="1"/>
                <w:lang w:val="fr-FR"/>
              </w:rPr>
              <w:t>pas</w:t>
            </w:r>
            <w:r w:rsidRPr="00865DA5">
              <w:rPr>
                <w:rFonts w:ascii="Arial" w:eastAsia="Arial" w:hAnsi="Arial" w:cs="Arial"/>
                <w:color w:val="000000"/>
                <w:sz w:val="18"/>
                <w:szCs w:val="18"/>
                <w:bdr w:val="none" w:sz="0" w:space="0" w:color="auto" w:frame="1"/>
                <w:lang w:val="fr-FR"/>
              </w:rPr>
              <w:t xml:space="preserve"> été développées ni mises en œuvre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Il n’y a </w:t>
            </w:r>
            <w:r w:rsidRPr="00865DA5">
              <w:rPr>
                <w:rFonts w:ascii="Arial" w:eastAsia="Arial" w:hAnsi="Arial" w:cs="Arial"/>
                <w:b/>
                <w:bCs/>
                <w:color w:val="000000"/>
                <w:sz w:val="18"/>
                <w:szCs w:val="18"/>
                <w:bdr w:val="none" w:sz="0" w:space="0" w:color="auto" w:frame="1"/>
                <w:lang w:val="fr-FR"/>
              </w:rPr>
              <w:t>pas</w:t>
            </w:r>
            <w:r w:rsidRPr="00865DA5">
              <w:rPr>
                <w:rFonts w:ascii="Arial" w:eastAsia="Arial" w:hAnsi="Arial" w:cs="Arial"/>
                <w:color w:val="000000"/>
                <w:sz w:val="18"/>
                <w:szCs w:val="18"/>
                <w:bdr w:val="none" w:sz="0" w:space="0" w:color="auto" w:frame="1"/>
                <w:lang w:val="fr-FR"/>
              </w:rPr>
              <w:t xml:space="preserve"> d’information disponible sur la demande en oiseaux sauvages obtenus illégalement dans le pays</w:t>
            </w:r>
          </w:p>
          <w:p w:rsidR="00BD5B7F" w:rsidRPr="00865DA5" w:rsidRDefault="00BD5B7F" w:rsidP="000E5961">
            <w:pPr>
              <w:rPr>
                <w:rFonts w:ascii="Arial" w:eastAsia="Calibri" w:hAnsi="Arial" w:cs="Arial"/>
                <w:color w:val="000000"/>
                <w:sz w:val="18"/>
                <w:szCs w:val="18"/>
                <w:lang w:val="fr-FR"/>
              </w:rPr>
            </w:pPr>
          </w:p>
        </w:tc>
        <w:tc>
          <w:tcPr>
            <w:tcW w:w="2323" w:type="dxa"/>
            <w:gridSpan w:val="2"/>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activités relatives à la demande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Ont été </w:t>
            </w:r>
            <w:r w:rsidRPr="00865DA5">
              <w:rPr>
                <w:rFonts w:ascii="Arial" w:eastAsia="Arial" w:hAnsi="Arial" w:cs="Arial"/>
                <w:b/>
                <w:bCs/>
                <w:color w:val="000000"/>
                <w:sz w:val="18"/>
                <w:szCs w:val="18"/>
                <w:bdr w:val="none" w:sz="0" w:space="0" w:color="auto" w:frame="1"/>
                <w:lang w:val="fr-FR"/>
              </w:rPr>
              <w:t>développées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 xml:space="preserve">rarement </w:t>
            </w:r>
            <w:r w:rsidRPr="00865DA5">
              <w:rPr>
                <w:rFonts w:ascii="Arial" w:eastAsia="Arial" w:hAnsi="Arial" w:cs="Arial"/>
                <w:color w:val="000000"/>
                <w:sz w:val="18"/>
                <w:szCs w:val="18"/>
                <w:bdr w:val="none" w:sz="0" w:space="0" w:color="auto" w:frame="1"/>
                <w:lang w:val="fr-FR"/>
              </w:rPr>
              <w:t>mises en œuvre pleinement en raison d’un manque de ressources disponibles (p. ex. techniques, humaines, financières)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Sont basées sur des informations disponibles sur la demande en oiseaux sauvages obtenus illégalement dans le pays</w:t>
            </w:r>
          </w:p>
        </w:tc>
        <w:tc>
          <w:tcPr>
            <w:tcW w:w="2325"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activités relatives à la demande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Ont été développées et mises en œuvre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régulièrement</w:t>
            </w:r>
            <w:r w:rsidRPr="00865DA5">
              <w:rPr>
                <w:rFonts w:ascii="Arial" w:eastAsia="Arial" w:hAnsi="Arial" w:cs="Arial"/>
                <w:color w:val="000000"/>
                <w:sz w:val="18"/>
                <w:szCs w:val="18"/>
                <w:bdr w:val="none" w:sz="0" w:space="0" w:color="auto" w:frame="1"/>
                <w:lang w:val="fr-FR"/>
              </w:rPr>
              <w:t xml:space="preserve"> examinées pour identifier les résultats obtenus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Sont basées sur des informations disponibles sur la demande en oiseaux sauvages obtenus illégalement dans le pays</w:t>
            </w:r>
          </w:p>
        </w:tc>
        <w:tc>
          <w:tcPr>
            <w:tcW w:w="2329" w:type="dxa"/>
            <w:tcBorders>
              <w:top w:val="single" w:sz="4" w:space="0" w:color="auto"/>
              <w:left w:val="single" w:sz="4" w:space="0" w:color="auto"/>
              <w:bottom w:val="single" w:sz="4" w:space="0" w:color="auto"/>
              <w:right w:val="single" w:sz="4" w:space="0" w:color="auto"/>
            </w:tcBorders>
            <w:hideMark/>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activités relatives à la demande :</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Ont été développées et mises en œuvre</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régulièrement</w:t>
            </w:r>
            <w:r w:rsidRPr="00865DA5">
              <w:rPr>
                <w:rFonts w:ascii="Arial" w:eastAsia="Arial" w:hAnsi="Arial" w:cs="Arial"/>
                <w:color w:val="000000"/>
                <w:sz w:val="18"/>
                <w:szCs w:val="18"/>
                <w:bdr w:val="none" w:sz="0" w:space="0" w:color="auto" w:frame="1"/>
                <w:lang w:val="fr-FR"/>
              </w:rPr>
              <w:t xml:space="preserve"> examinées pour identifier les résultats obtenus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sont </w:t>
            </w:r>
            <w:r w:rsidRPr="00865DA5">
              <w:rPr>
                <w:rFonts w:ascii="Arial" w:eastAsia="Arial" w:hAnsi="Arial" w:cs="Arial"/>
                <w:b/>
                <w:bCs/>
                <w:color w:val="000000"/>
                <w:sz w:val="18"/>
                <w:szCs w:val="18"/>
                <w:bdr w:val="none" w:sz="0" w:space="0" w:color="auto" w:frame="1"/>
                <w:lang w:val="fr-FR"/>
              </w:rPr>
              <w:t>pas nécessaires</w:t>
            </w:r>
            <w:r w:rsidRPr="00865DA5">
              <w:rPr>
                <w:rFonts w:ascii="Arial" w:eastAsia="Arial" w:hAnsi="Arial" w:cs="Arial"/>
                <w:color w:val="000000"/>
                <w:sz w:val="18"/>
                <w:szCs w:val="18"/>
                <w:bdr w:val="none" w:sz="0" w:space="0" w:color="auto" w:frame="1"/>
                <w:lang w:val="fr-FR"/>
              </w:rPr>
              <w:t xml:space="preserve"> car les données confirment qu’il y a très peu de demande en oiseaux sauvages obtenus illégalement dans le pays</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Calibri" w:hAnsi="Arial" w:cs="Arial"/>
          <w:color w:val="000000"/>
          <w:sz w:val="22"/>
          <w:szCs w:val="22"/>
          <w:lang w:val="fr-FR"/>
        </w:rPr>
        <w:br w:type="page"/>
      </w:r>
    </w:p>
    <w:p w:rsidR="00BD5B7F" w:rsidRPr="00865DA5" w:rsidRDefault="00BD5B7F" w:rsidP="00BD5B7F">
      <w:pPr>
        <w:keepNext/>
        <w:keepLines/>
        <w:spacing w:after="120"/>
        <w:outlineLvl w:val="3"/>
        <w:rPr>
          <w:rFonts w:ascii="Arial" w:hAnsi="Arial" w:cs="Arial"/>
          <w:b/>
          <w:i/>
          <w:iCs/>
          <w:color w:val="000000"/>
          <w:sz w:val="18"/>
          <w:szCs w:val="18"/>
          <w:lang w:val="fr-FR"/>
        </w:rPr>
      </w:pPr>
      <w:bookmarkStart w:id="102" w:name="_Toc491245265"/>
      <w:bookmarkStart w:id="103" w:name="_Toc486539602"/>
      <w:r w:rsidRPr="00865DA5">
        <w:rPr>
          <w:rFonts w:ascii="Arial" w:eastAsia="Arial" w:hAnsi="Arial" w:cs="Arial"/>
          <w:b/>
          <w:bCs/>
          <w:iCs/>
          <w:color w:val="000000"/>
          <w:sz w:val="28"/>
          <w:szCs w:val="28"/>
          <w:bdr w:val="none" w:sz="0" w:space="0" w:color="auto" w:frame="1"/>
          <w:lang w:val="fr-FR"/>
        </w:rPr>
        <w:lastRenderedPageBreak/>
        <w:t>27. Communauté soumise aux réglementations</w:t>
      </w:r>
      <w:r w:rsidRPr="00FF6562">
        <w:rPr>
          <w:rFonts w:ascii="Arial" w:hAnsi="Arial" w:cs="Arial"/>
          <w:b/>
          <w:iCs/>
          <w:color w:val="000000"/>
          <w:sz w:val="28"/>
          <w:szCs w:val="22"/>
          <w:vertAlign w:val="superscript"/>
        </w:rPr>
        <w:footnoteReference w:id="50"/>
      </w:r>
      <w:bookmarkEnd w:id="102"/>
      <w:bookmarkEnd w:id="103"/>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La mesure dans laquelle du matériel et/ou des programmes de sensibilisation sont en place afin que la communauté soumise aux réglementations soit sensibilisée aux lois applicables en matière d’utilisation durable des oiseaux sauvages.</w:t>
      </w:r>
    </w:p>
    <w:p w:rsidR="00BD5B7F" w:rsidRPr="00865DA5" w:rsidRDefault="00BD5B7F" w:rsidP="00BD5B7F">
      <w:pPr>
        <w:jc w:val="both"/>
        <w:rPr>
          <w:rFonts w:ascii="Arial" w:eastAsia="Calibri" w:hAnsi="Arial" w:cs="Arial"/>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Des efforts sont-ils déployés pour que la communauté soumise aux réglementations</w:t>
      </w:r>
      <w:r w:rsidRPr="00FF6562">
        <w:rPr>
          <w:rFonts w:ascii="Arial" w:eastAsia="Calibri" w:hAnsi="Arial" w:cs="Arial"/>
          <w:b/>
          <w:bCs/>
          <w:i/>
          <w:iCs/>
          <w:color w:val="000000"/>
          <w:sz w:val="22"/>
          <w:szCs w:val="22"/>
          <w:vertAlign w:val="superscript"/>
        </w:rPr>
        <w:footnoteReference w:id="51"/>
      </w:r>
      <w:r w:rsidRPr="00865DA5">
        <w:rPr>
          <w:rFonts w:ascii="Arial" w:eastAsia="Arial" w:hAnsi="Arial" w:cs="Arial"/>
          <w:b/>
          <w:bCs/>
          <w:i/>
          <w:iCs/>
          <w:color w:val="000000"/>
          <w:sz w:val="22"/>
          <w:szCs w:val="22"/>
          <w:bdr w:val="none" w:sz="0" w:space="0" w:color="auto" w:frame="1"/>
          <w:lang w:val="fr-FR"/>
        </w:rPr>
        <w:t xml:space="preserve"> soit sensibilisée aux exigences de la législation sur l’utilisation durable des espèces sauvages et aux sanctions pour non-respect ?</w:t>
      </w:r>
    </w:p>
    <w:p w:rsidR="00BD5B7F" w:rsidRPr="00865DA5" w:rsidRDefault="00BD5B7F" w:rsidP="00BD5B7F">
      <w:pPr>
        <w:jc w:val="both"/>
        <w:rPr>
          <w:rFonts w:ascii="Arial" w:eastAsia="Calibri" w:hAnsi="Arial" w:cs="Arial"/>
          <w:b/>
          <w:bCs/>
          <w:i/>
          <w:iCs/>
          <w:color w:val="000000"/>
          <w:sz w:val="22"/>
          <w:szCs w:val="18"/>
          <w:lang w:val="fr-FR"/>
        </w:rPr>
      </w:pPr>
    </w:p>
    <w:p w:rsidR="00BD5B7F" w:rsidRPr="00FF6562" w:rsidRDefault="00BD5B7F" w:rsidP="00BD5B7F">
      <w:pPr>
        <w:spacing w:after="120"/>
        <w:jc w:val="both"/>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1"/>
        <w:gridCol w:w="2301"/>
        <w:gridCol w:w="18"/>
        <w:gridCol w:w="2305"/>
        <w:gridCol w:w="29"/>
        <w:gridCol w:w="2327"/>
      </w:tblGrid>
      <w:tr w:rsidR="00BD5B7F" w:rsidRPr="00FF6562" w:rsidTr="000E5961">
        <w:tc>
          <w:tcPr>
            <w:tcW w:w="2310" w:type="dxa"/>
            <w:gridSpan w:val="2"/>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289"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efforts visant à sensibiliser la communauté soumise aux réglementations :</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sont </w:t>
            </w:r>
            <w:r w:rsidRPr="00865DA5">
              <w:rPr>
                <w:rFonts w:ascii="Arial" w:eastAsia="Arial" w:hAnsi="Arial" w:cs="Arial"/>
                <w:b/>
                <w:bCs/>
                <w:color w:val="000000"/>
                <w:sz w:val="18"/>
                <w:szCs w:val="18"/>
                <w:bdr w:val="none" w:sz="0" w:space="0" w:color="auto" w:frame="1"/>
                <w:lang w:val="fr-FR"/>
              </w:rPr>
              <w:t>pas</w:t>
            </w:r>
            <w:r w:rsidRPr="00865DA5">
              <w:rPr>
                <w:rFonts w:ascii="Arial" w:eastAsia="Arial" w:hAnsi="Arial" w:cs="Arial"/>
                <w:color w:val="000000"/>
                <w:sz w:val="18"/>
                <w:szCs w:val="18"/>
                <w:bdr w:val="none" w:sz="0" w:space="0" w:color="auto" w:frame="1"/>
                <w:lang w:val="fr-FR"/>
              </w:rPr>
              <w:t xml:space="preserve"> déployés</w:t>
            </w:r>
          </w:p>
        </w:tc>
        <w:tc>
          <w:tcPr>
            <w:tcW w:w="2325"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efforts visant à sensibiliser la communauté soumise aux réglementations :</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Sont généralement informels et en réaction à des faits</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sont </w:t>
            </w:r>
            <w:r w:rsidRPr="00865DA5">
              <w:rPr>
                <w:rFonts w:ascii="Arial" w:eastAsia="Arial" w:hAnsi="Arial" w:cs="Arial"/>
                <w:b/>
                <w:bCs/>
                <w:color w:val="000000"/>
                <w:sz w:val="18"/>
                <w:szCs w:val="18"/>
                <w:bdr w:val="none" w:sz="0" w:space="0" w:color="auto" w:frame="1"/>
                <w:lang w:val="fr-FR"/>
              </w:rPr>
              <w:t>pas</w:t>
            </w:r>
            <w:r w:rsidRPr="00865DA5">
              <w:rPr>
                <w:rFonts w:ascii="Arial" w:eastAsia="Arial" w:hAnsi="Arial" w:cs="Arial"/>
                <w:color w:val="000000"/>
                <w:sz w:val="18"/>
                <w:szCs w:val="18"/>
                <w:bdr w:val="none" w:sz="0" w:space="0" w:color="auto" w:frame="1"/>
                <w:lang w:val="fr-FR"/>
              </w:rPr>
              <w:t xml:space="preserve"> complets ou généralisés</w:t>
            </w:r>
          </w:p>
        </w:tc>
        <w:tc>
          <w:tcPr>
            <w:tcW w:w="2326"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efforts visant à sensibiliser la communauté soumise aux réglementations :</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Reposent sur le matériel de sensibilisation ayant été développé</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relativement</w:t>
            </w:r>
            <w:r w:rsidRPr="00865DA5">
              <w:rPr>
                <w:rFonts w:ascii="Arial" w:eastAsia="Arial" w:hAnsi="Arial" w:cs="Arial"/>
                <w:color w:val="000000"/>
                <w:sz w:val="18"/>
                <w:szCs w:val="18"/>
                <w:bdr w:val="none" w:sz="0" w:space="0" w:color="auto" w:frame="1"/>
                <w:lang w:val="fr-FR"/>
              </w:rPr>
              <w:t xml:space="preserve"> actualisés</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parfois</w:t>
            </w:r>
            <w:r w:rsidRPr="00865DA5">
              <w:rPr>
                <w:rFonts w:ascii="Arial" w:eastAsia="Arial" w:hAnsi="Arial" w:cs="Arial"/>
                <w:color w:val="000000"/>
                <w:sz w:val="18"/>
                <w:szCs w:val="18"/>
                <w:bdr w:val="none" w:sz="0" w:space="0" w:color="auto" w:frame="1"/>
                <w:lang w:val="fr-FR"/>
              </w:rPr>
              <w:t xml:space="preserve"> complets ou généralisés</w:t>
            </w:r>
          </w:p>
        </w:tc>
        <w:tc>
          <w:tcPr>
            <w:tcW w:w="2359"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efforts visant à sensibiliser la communauté soumise aux réglementations :</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Reposent sur du matériel de sensibilisation </w:t>
            </w:r>
            <w:r w:rsidRPr="00865DA5">
              <w:rPr>
                <w:rFonts w:ascii="Arial" w:eastAsia="Arial" w:hAnsi="Arial" w:cs="Arial"/>
                <w:b/>
                <w:bCs/>
                <w:color w:val="000000"/>
                <w:sz w:val="18"/>
                <w:szCs w:val="18"/>
                <w:bdr w:val="none" w:sz="0" w:space="0" w:color="auto" w:frame="1"/>
                <w:lang w:val="fr-FR"/>
              </w:rPr>
              <w:t>bien développé</w:t>
            </w:r>
            <w:r w:rsidRPr="00865DA5">
              <w:rPr>
                <w:rFonts w:ascii="Arial" w:eastAsia="Arial" w:hAnsi="Arial" w:cs="Arial"/>
                <w:color w:val="000000"/>
                <w:sz w:val="18"/>
                <w:szCs w:val="18"/>
                <w:bdr w:val="none" w:sz="0" w:space="0" w:color="auto" w:frame="1"/>
                <w:lang w:val="fr-FR"/>
              </w:rPr>
              <w:t xml:space="preserve"> et actualisé</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Ciblent </w:t>
            </w:r>
            <w:r w:rsidRPr="00865DA5">
              <w:rPr>
                <w:rFonts w:ascii="Arial" w:eastAsia="Arial" w:hAnsi="Arial" w:cs="Arial"/>
                <w:b/>
                <w:bCs/>
                <w:color w:val="000000"/>
                <w:sz w:val="18"/>
                <w:szCs w:val="18"/>
                <w:bdr w:val="none" w:sz="0" w:space="0" w:color="auto" w:frame="1"/>
                <w:lang w:val="fr-FR"/>
              </w:rPr>
              <w:t>de manière exhaustive</w:t>
            </w:r>
            <w:r w:rsidRPr="00865DA5">
              <w:rPr>
                <w:rFonts w:ascii="Arial" w:eastAsia="Arial" w:hAnsi="Arial" w:cs="Arial"/>
                <w:color w:val="000000"/>
                <w:sz w:val="18"/>
                <w:szCs w:val="18"/>
                <w:bdr w:val="none" w:sz="0" w:space="0" w:color="auto" w:frame="1"/>
                <w:lang w:val="fr-FR"/>
              </w:rPr>
              <w:t xml:space="preserve"> les différents types d’utilisateurs et de détenteurs d’autorisation</w:t>
            </w:r>
          </w:p>
        </w:tc>
      </w:tr>
    </w:tbl>
    <w:p w:rsidR="00BD5B7F" w:rsidRPr="00865DA5" w:rsidRDefault="00BD5B7F" w:rsidP="00BD5B7F">
      <w:pPr>
        <w:rPr>
          <w:rFonts w:ascii="Arial" w:eastAsia="Calibri" w:hAnsi="Arial" w:cs="Arial"/>
          <w:b/>
          <w:bCs/>
          <w:color w:val="000000"/>
          <w:sz w:val="23"/>
          <w:szCs w:val="23"/>
          <w:lang w:val="fr-FR"/>
        </w:rPr>
      </w:pPr>
    </w:p>
    <w:p w:rsidR="00BD5B7F" w:rsidRPr="00865DA5" w:rsidRDefault="00BD5B7F" w:rsidP="00BD5B7F">
      <w:pPr>
        <w:rPr>
          <w:rFonts w:ascii="Arial" w:eastAsia="Calibri" w:hAnsi="Arial" w:cs="Arial"/>
          <w:color w:val="000000"/>
          <w:sz w:val="22"/>
          <w:szCs w:val="22"/>
          <w:lang w:val="fr-FR"/>
        </w:rPr>
      </w:pPr>
      <w:r w:rsidRPr="00865DA5">
        <w:rPr>
          <w:rFonts w:ascii="Arial" w:eastAsia="Arial" w:hAnsi="Arial" w:cs="Arial"/>
          <w:color w:val="000000"/>
          <w:sz w:val="22"/>
          <w:szCs w:val="22"/>
          <w:bdr w:val="none" w:sz="0" w:space="0" w:color="auto" w:frame="1"/>
          <w:lang w:val="fr-FR"/>
        </w:rPr>
        <w:t>Commentaires :</w:t>
      </w:r>
    </w:p>
    <w:p w:rsidR="00BD5B7F" w:rsidRPr="00865DA5" w:rsidRDefault="00BD5B7F" w:rsidP="00BD5B7F">
      <w:pPr>
        <w:ind w:firstLine="708"/>
        <w:rPr>
          <w:rFonts w:ascii="Arial" w:eastAsia="Calibri" w:hAnsi="Arial" w:cs="Arial"/>
          <w:color w:val="000000"/>
          <w:sz w:val="22"/>
          <w:szCs w:val="22"/>
          <w:lang w:val="fr-FR"/>
        </w:rPr>
      </w:pPr>
    </w:p>
    <w:p w:rsidR="00BD5B7F" w:rsidRPr="00865DA5" w:rsidRDefault="00BD5B7F" w:rsidP="00BD5B7F">
      <w:pPr>
        <w:rPr>
          <w:rFonts w:ascii="Arial" w:hAnsi="Arial" w:cs="Arial"/>
          <w:b/>
          <w:bCs/>
          <w:color w:val="000000"/>
          <w:sz w:val="28"/>
          <w:szCs w:val="22"/>
          <w:lang w:val="fr-FR"/>
        </w:rPr>
      </w:pPr>
      <w:r w:rsidRPr="00865DA5">
        <w:rPr>
          <w:rFonts w:ascii="Arial" w:eastAsia="Calibri" w:hAnsi="Arial" w:cs="Arial"/>
          <w:color w:val="000000"/>
          <w:sz w:val="22"/>
          <w:szCs w:val="22"/>
          <w:lang w:val="fr-FR"/>
        </w:rPr>
        <w:br w:type="page"/>
      </w:r>
    </w:p>
    <w:p w:rsidR="00BD5B7F" w:rsidRPr="00865DA5" w:rsidRDefault="00BD5B7F" w:rsidP="00BD5B7F">
      <w:pPr>
        <w:keepNext/>
        <w:keepLines/>
        <w:spacing w:after="120"/>
        <w:outlineLvl w:val="3"/>
        <w:rPr>
          <w:rFonts w:ascii="Arial" w:hAnsi="Arial" w:cs="Arial"/>
          <w:b/>
          <w:i/>
          <w:iCs/>
          <w:color w:val="000000"/>
          <w:sz w:val="18"/>
          <w:szCs w:val="18"/>
          <w:lang w:val="fr-FR"/>
        </w:rPr>
      </w:pPr>
      <w:bookmarkStart w:id="104" w:name="_Toc491245266"/>
      <w:bookmarkStart w:id="105" w:name="_Toc486539603"/>
      <w:r w:rsidRPr="00865DA5">
        <w:rPr>
          <w:rFonts w:ascii="Arial" w:eastAsia="Arial" w:hAnsi="Arial" w:cs="Arial"/>
          <w:b/>
          <w:bCs/>
          <w:iCs/>
          <w:color w:val="000000"/>
          <w:sz w:val="28"/>
          <w:szCs w:val="28"/>
          <w:bdr w:val="none" w:sz="0" w:space="0" w:color="auto" w:frame="1"/>
          <w:lang w:val="fr-FR"/>
        </w:rPr>
        <w:lastRenderedPageBreak/>
        <w:t>28. Actions de sensibilisation du public</w:t>
      </w:r>
      <w:r w:rsidRPr="00FF6562">
        <w:rPr>
          <w:rFonts w:ascii="Arial" w:hAnsi="Arial" w:cs="Arial"/>
          <w:b/>
          <w:iCs/>
          <w:color w:val="000000"/>
          <w:sz w:val="28"/>
          <w:szCs w:val="22"/>
          <w:vertAlign w:val="superscript"/>
        </w:rPr>
        <w:footnoteReference w:id="52"/>
      </w:r>
      <w:bookmarkEnd w:id="104"/>
      <w:bookmarkEnd w:id="105"/>
      <w:r w:rsidRPr="00865DA5">
        <w:rPr>
          <w:rFonts w:ascii="Arial" w:eastAsia="Arial" w:hAnsi="Arial" w:cs="Arial"/>
          <w:b/>
          <w:bCs/>
          <w:iCs/>
          <w:color w:val="000000"/>
          <w:sz w:val="28"/>
          <w:szCs w:val="28"/>
          <w:bdr w:val="none" w:sz="0" w:space="0" w:color="auto" w:frame="1"/>
          <w:lang w:val="fr-FR"/>
        </w:rPr>
        <w:t xml:space="preserve"> </w:t>
      </w:r>
    </w:p>
    <w:p w:rsidR="00BD5B7F" w:rsidRPr="00865DA5" w:rsidRDefault="00BD5B7F" w:rsidP="00BD5B7F">
      <w:pPr>
        <w:jc w:val="both"/>
        <w:rPr>
          <w:rFonts w:ascii="Arial" w:eastAsia="Calibri" w:hAnsi="Arial" w:cs="Arial"/>
          <w:color w:val="000000"/>
          <w:sz w:val="22"/>
          <w:szCs w:val="18"/>
          <w:lang w:val="fr-FR"/>
        </w:rPr>
      </w:pPr>
      <w:r w:rsidRPr="00865DA5">
        <w:rPr>
          <w:rFonts w:ascii="Arial" w:eastAsia="Arial" w:hAnsi="Arial" w:cs="Arial"/>
          <w:color w:val="000000"/>
          <w:sz w:val="22"/>
          <w:szCs w:val="22"/>
          <w:bdr w:val="none" w:sz="0" w:space="0" w:color="auto" w:frame="1"/>
          <w:lang w:val="fr-FR"/>
        </w:rPr>
        <w:t>La mesure dans laquelle du matériel et/ou des programmes de sensibilisation sont en place pour renforcer la prise de conscience du public vis-à-vis de l’IKB.</w:t>
      </w:r>
    </w:p>
    <w:p w:rsidR="00BD5B7F" w:rsidRPr="00865DA5" w:rsidRDefault="00BD5B7F" w:rsidP="00BD5B7F">
      <w:pPr>
        <w:jc w:val="both"/>
        <w:rPr>
          <w:rFonts w:ascii="Arial" w:eastAsia="Calibri" w:hAnsi="Arial" w:cs="Arial"/>
          <w:color w:val="000000"/>
          <w:sz w:val="22"/>
          <w:szCs w:val="18"/>
          <w:lang w:val="fr-FR"/>
        </w:rPr>
      </w:pPr>
    </w:p>
    <w:p w:rsidR="00BD5B7F" w:rsidRPr="00865DA5" w:rsidRDefault="00BD5B7F" w:rsidP="00BD5B7F">
      <w:pPr>
        <w:ind w:left="1134" w:hanging="1134"/>
        <w:jc w:val="both"/>
        <w:rPr>
          <w:rFonts w:ascii="Arial" w:eastAsia="Calibri" w:hAnsi="Arial" w:cs="Arial"/>
          <w:b/>
          <w:bCs/>
          <w:i/>
          <w:iCs/>
          <w:color w:val="000000"/>
          <w:sz w:val="22"/>
          <w:szCs w:val="22"/>
          <w:lang w:val="fr-FR"/>
        </w:rPr>
      </w:pPr>
      <w:r w:rsidRPr="00865DA5">
        <w:rPr>
          <w:rFonts w:ascii="Arial" w:eastAsia="Arial" w:hAnsi="Arial" w:cs="Arial"/>
          <w:b/>
          <w:bCs/>
          <w:i/>
          <w:iCs/>
          <w:color w:val="000000"/>
          <w:sz w:val="22"/>
          <w:szCs w:val="22"/>
          <w:bdr w:val="none" w:sz="0" w:space="0" w:color="auto" w:frame="1"/>
          <w:lang w:val="fr-FR"/>
        </w:rPr>
        <w:t>Question : Des efforts sont-ils déployés pour accroître la sensibilisation</w:t>
      </w:r>
      <w:r w:rsidRPr="00FF6562">
        <w:rPr>
          <w:rFonts w:ascii="Arial" w:eastAsia="Calibri" w:hAnsi="Arial" w:cs="Arial"/>
          <w:b/>
          <w:bCs/>
          <w:i/>
          <w:iCs/>
          <w:color w:val="000000"/>
          <w:sz w:val="22"/>
          <w:szCs w:val="22"/>
          <w:vertAlign w:val="superscript"/>
        </w:rPr>
        <w:footnoteReference w:id="53"/>
      </w:r>
      <w:r w:rsidRPr="00865DA5">
        <w:rPr>
          <w:rFonts w:ascii="Arial" w:eastAsia="Arial" w:hAnsi="Arial" w:cs="Arial"/>
          <w:b/>
          <w:bCs/>
          <w:i/>
          <w:iCs/>
          <w:color w:val="000000"/>
          <w:sz w:val="22"/>
          <w:szCs w:val="22"/>
          <w:bdr w:val="none" w:sz="0" w:space="0" w:color="auto" w:frame="1"/>
          <w:lang w:val="fr-FR"/>
        </w:rPr>
        <w:t xml:space="preserve"> du public vis-à-vis des impacts environnementaux, sociaux et économiques de l’IKB ?</w:t>
      </w:r>
    </w:p>
    <w:p w:rsidR="00BD5B7F" w:rsidRPr="00865DA5" w:rsidRDefault="00BD5B7F" w:rsidP="00BD5B7F">
      <w:pPr>
        <w:rPr>
          <w:rFonts w:ascii="Arial" w:eastAsia="Calibri" w:hAnsi="Arial" w:cs="Arial"/>
          <w:b/>
          <w:bCs/>
          <w:i/>
          <w:iCs/>
          <w:color w:val="000000"/>
          <w:sz w:val="22"/>
          <w:szCs w:val="18"/>
          <w:lang w:val="fr-FR"/>
        </w:rPr>
      </w:pPr>
    </w:p>
    <w:p w:rsidR="00BD5B7F" w:rsidRPr="00FF6562" w:rsidRDefault="00BD5B7F" w:rsidP="00BD5B7F">
      <w:pPr>
        <w:spacing w:after="120"/>
        <w:rPr>
          <w:rFonts w:ascii="Arial" w:eastAsia="Calibri" w:hAnsi="Arial" w:cs="Arial"/>
          <w:i/>
          <w:iCs/>
          <w:color w:val="000000"/>
          <w:sz w:val="22"/>
          <w:szCs w:val="18"/>
        </w:rPr>
      </w:pPr>
      <w:proofErr w:type="gramStart"/>
      <w:r w:rsidRPr="00FF6562">
        <w:rPr>
          <w:rFonts w:ascii="Arial" w:eastAsia="Arial" w:hAnsi="Arial" w:cs="Arial"/>
          <w:i/>
          <w:iCs/>
          <w:color w:val="000000"/>
          <w:sz w:val="22"/>
          <w:szCs w:val="22"/>
          <w:bdr w:val="none" w:sz="0" w:space="0" w:color="auto" w:frame="1"/>
        </w:rPr>
        <w:t>Mesure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18"/>
        <w:gridCol w:w="2302"/>
        <w:gridCol w:w="16"/>
        <w:gridCol w:w="2306"/>
        <w:gridCol w:w="28"/>
        <w:gridCol w:w="2327"/>
      </w:tblGrid>
      <w:tr w:rsidR="00BD5B7F" w:rsidRPr="00FF6562" w:rsidTr="000E5961">
        <w:tc>
          <w:tcPr>
            <w:tcW w:w="2310" w:type="dxa"/>
            <w:gridSpan w:val="2"/>
            <w:tcBorders>
              <w:top w:val="single" w:sz="4" w:space="0" w:color="auto"/>
              <w:left w:val="single" w:sz="4" w:space="0" w:color="auto"/>
              <w:bottom w:val="single" w:sz="4" w:space="0" w:color="auto"/>
              <w:right w:val="single" w:sz="4" w:space="0" w:color="auto"/>
            </w:tcBorders>
            <w:shd w:val="clear" w:color="auto" w:fill="FF6600"/>
            <w:vAlign w:val="center"/>
            <w:hideMark/>
          </w:tcPr>
          <w:p w:rsidR="00BD5B7F" w:rsidRPr="00FF6562" w:rsidRDefault="00BD5B7F" w:rsidP="000E5961">
            <w:pPr>
              <w:jc w:val="center"/>
              <w:rPr>
                <w:rFonts w:ascii="Arial" w:eastAsia="Calibri" w:hAnsi="Arial" w:cs="Arial"/>
                <w:b/>
                <w:bCs/>
                <w:color w:val="000000"/>
                <w:sz w:val="22"/>
                <w:szCs w:val="22"/>
              </w:rPr>
            </w:pPr>
            <w:r w:rsidRPr="00FF6562">
              <w:rPr>
                <w:rFonts w:ascii="Arial" w:eastAsia="Calibri" w:hAnsi="Arial" w:cs="Arial"/>
                <w:b/>
                <w:bCs/>
                <w:color w:val="000000"/>
                <w:sz w:val="22"/>
                <w:szCs w:val="22"/>
              </w:rPr>
              <w:t xml:space="preserve">0 </w:t>
            </w:r>
            <w:r w:rsidRPr="00FF6562">
              <w:rPr>
                <w:rFonts w:ascii="Arial" w:eastAsia="Arial" w:hAnsi="Arial" w:cs="Arial"/>
                <w:color w:val="000000"/>
                <w:sz w:val="22"/>
                <w:szCs w:val="22"/>
              </w:rPr>
              <w:t>􀜆</w:t>
            </w:r>
          </w:p>
        </w:tc>
        <w:tc>
          <w:tcPr>
            <w:tcW w:w="2322" w:type="dxa"/>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1 </w:t>
            </w:r>
            <w:r w:rsidRPr="00FF6562">
              <w:rPr>
                <w:rFonts w:ascii="Arial" w:eastAsia="Arial" w:hAnsi="Arial" w:cs="Arial"/>
                <w:color w:val="000000"/>
                <w:sz w:val="22"/>
                <w:szCs w:val="22"/>
              </w:rPr>
              <w:t>􀜆</w:t>
            </w:r>
          </w:p>
        </w:tc>
        <w:tc>
          <w:tcPr>
            <w:tcW w:w="233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2 </w:t>
            </w:r>
            <w:r w:rsidRPr="00FF6562">
              <w:rPr>
                <w:rFonts w:ascii="Arial" w:eastAsia="Arial" w:hAnsi="Arial" w:cs="Arial"/>
                <w:color w:val="000000"/>
                <w:sz w:val="22"/>
                <w:szCs w:val="22"/>
              </w:rPr>
              <w:t>􀜆</w:t>
            </w:r>
          </w:p>
        </w:tc>
        <w:tc>
          <w:tcPr>
            <w:tcW w:w="233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BD5B7F" w:rsidRPr="00FF6562" w:rsidRDefault="00BD5B7F" w:rsidP="000E5961">
            <w:pPr>
              <w:jc w:val="center"/>
              <w:rPr>
                <w:rFonts w:ascii="Arial" w:eastAsia="Calibri" w:hAnsi="Arial" w:cs="Arial"/>
                <w:color w:val="000000"/>
                <w:sz w:val="22"/>
                <w:szCs w:val="22"/>
              </w:rPr>
            </w:pPr>
            <w:r w:rsidRPr="00FF6562">
              <w:rPr>
                <w:rFonts w:ascii="Arial" w:eastAsia="Calibri" w:hAnsi="Arial" w:cs="Arial"/>
                <w:b/>
                <w:bCs/>
                <w:color w:val="000000"/>
                <w:sz w:val="22"/>
                <w:szCs w:val="22"/>
              </w:rPr>
              <w:t xml:space="preserve">3 </w:t>
            </w:r>
            <w:r w:rsidRPr="00FF6562">
              <w:rPr>
                <w:rFonts w:ascii="Arial" w:eastAsia="Arial" w:hAnsi="Arial" w:cs="Arial"/>
                <w:color w:val="000000"/>
                <w:sz w:val="22"/>
                <w:szCs w:val="22"/>
              </w:rPr>
              <w:t>􀜆</w:t>
            </w:r>
          </w:p>
        </w:tc>
      </w:tr>
      <w:tr w:rsidR="00BD5B7F" w:rsidRPr="00FC42B0" w:rsidTr="000E5961">
        <w:trPr>
          <w:trHeight w:val="2346"/>
        </w:trPr>
        <w:tc>
          <w:tcPr>
            <w:tcW w:w="2292" w:type="dxa"/>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efforts visant à accroître la sensibilisation du public :</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Ne sont </w:t>
            </w:r>
            <w:r w:rsidRPr="00865DA5">
              <w:rPr>
                <w:rFonts w:ascii="Arial" w:eastAsia="Arial" w:hAnsi="Arial" w:cs="Arial"/>
                <w:b/>
                <w:bCs/>
                <w:color w:val="000000"/>
                <w:sz w:val="18"/>
                <w:szCs w:val="18"/>
                <w:bdr w:val="none" w:sz="0" w:space="0" w:color="auto" w:frame="1"/>
                <w:lang w:val="fr-FR"/>
              </w:rPr>
              <w:t>pas</w:t>
            </w:r>
            <w:r w:rsidRPr="00865DA5">
              <w:rPr>
                <w:rFonts w:ascii="Arial" w:eastAsia="Arial" w:hAnsi="Arial" w:cs="Arial"/>
                <w:color w:val="000000"/>
                <w:sz w:val="18"/>
                <w:szCs w:val="18"/>
                <w:bdr w:val="none" w:sz="0" w:space="0" w:color="auto" w:frame="1"/>
                <w:lang w:val="fr-FR"/>
              </w:rPr>
              <w:t xml:space="preserve"> déployés</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sanctions dans les affaires d’IKB ne sont </w:t>
            </w:r>
            <w:r w:rsidRPr="00865DA5">
              <w:rPr>
                <w:rFonts w:ascii="Arial" w:eastAsia="Arial" w:hAnsi="Arial" w:cs="Arial"/>
                <w:b/>
                <w:bCs/>
                <w:color w:val="000000"/>
                <w:sz w:val="18"/>
                <w:szCs w:val="18"/>
                <w:bdr w:val="none" w:sz="0" w:space="0" w:color="auto" w:frame="1"/>
                <w:lang w:val="fr-FR"/>
              </w:rPr>
              <w:t xml:space="preserve">jamais </w:t>
            </w:r>
            <w:r w:rsidRPr="00865DA5">
              <w:rPr>
                <w:rFonts w:ascii="Arial" w:eastAsia="Arial" w:hAnsi="Arial" w:cs="Arial"/>
                <w:color w:val="000000"/>
                <w:sz w:val="18"/>
                <w:szCs w:val="18"/>
                <w:bdr w:val="none" w:sz="0" w:space="0" w:color="auto" w:frame="1"/>
                <w:lang w:val="fr-FR"/>
              </w:rPr>
              <w:t>rendues publiques</w:t>
            </w:r>
          </w:p>
          <w:p w:rsidR="00BD5B7F" w:rsidRPr="00865DA5" w:rsidRDefault="00BD5B7F" w:rsidP="000E5961">
            <w:pPr>
              <w:rPr>
                <w:rFonts w:ascii="Arial" w:eastAsia="Calibri" w:hAnsi="Arial" w:cs="Arial"/>
                <w:color w:val="000000"/>
                <w:sz w:val="18"/>
                <w:szCs w:val="18"/>
                <w:lang w:val="fr-FR"/>
              </w:rPr>
            </w:pPr>
          </w:p>
        </w:tc>
        <w:tc>
          <w:tcPr>
            <w:tcW w:w="2324"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efforts visant à accroître la sensibilisation du public :</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généralement </w:t>
            </w:r>
            <w:r w:rsidRPr="00865DA5">
              <w:rPr>
                <w:rFonts w:ascii="Arial" w:eastAsia="Arial" w:hAnsi="Arial" w:cs="Arial"/>
                <w:b/>
                <w:bCs/>
                <w:color w:val="000000"/>
                <w:sz w:val="18"/>
                <w:szCs w:val="18"/>
                <w:bdr w:val="none" w:sz="0" w:space="0" w:color="auto" w:frame="1"/>
                <w:lang w:val="fr-FR"/>
              </w:rPr>
              <w:t>informels</w:t>
            </w:r>
            <w:r w:rsidRPr="00865DA5">
              <w:rPr>
                <w:rFonts w:ascii="Arial" w:eastAsia="Arial" w:hAnsi="Arial" w:cs="Arial"/>
                <w:color w:val="000000"/>
                <w:sz w:val="18"/>
                <w:szCs w:val="18"/>
                <w:bdr w:val="none" w:sz="0" w:space="0" w:color="auto" w:frame="1"/>
                <w:lang w:val="fr-FR"/>
              </w:rPr>
              <w:t xml:space="preserve"> et en </w:t>
            </w:r>
            <w:r w:rsidRPr="00865DA5">
              <w:rPr>
                <w:rFonts w:ascii="Arial" w:eastAsia="Arial" w:hAnsi="Arial" w:cs="Arial"/>
                <w:b/>
                <w:bCs/>
                <w:color w:val="000000"/>
                <w:sz w:val="18"/>
                <w:szCs w:val="18"/>
                <w:bdr w:val="none" w:sz="0" w:space="0" w:color="auto" w:frame="1"/>
                <w:lang w:val="fr-FR"/>
              </w:rPr>
              <w:t>réaction à des faits</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 xml:space="preserve">ni </w:t>
            </w:r>
            <w:r w:rsidRPr="00865DA5">
              <w:rPr>
                <w:rFonts w:ascii="Arial" w:eastAsia="Arial" w:hAnsi="Arial" w:cs="Arial"/>
                <w:color w:val="000000"/>
                <w:sz w:val="18"/>
                <w:szCs w:val="18"/>
                <w:bdr w:val="none" w:sz="0" w:space="0" w:color="auto" w:frame="1"/>
                <w:lang w:val="fr-FR"/>
              </w:rPr>
              <w:t xml:space="preserve">complets </w:t>
            </w:r>
            <w:r w:rsidRPr="00865DA5">
              <w:rPr>
                <w:rFonts w:ascii="Arial" w:eastAsia="Arial" w:hAnsi="Arial" w:cs="Arial"/>
                <w:b/>
                <w:color w:val="000000"/>
                <w:sz w:val="18"/>
                <w:szCs w:val="18"/>
                <w:bdr w:val="none" w:sz="0" w:space="0" w:color="auto" w:frame="1"/>
                <w:lang w:val="fr-FR"/>
              </w:rPr>
              <w:t>ni</w:t>
            </w:r>
            <w:r w:rsidRPr="00865DA5">
              <w:rPr>
                <w:rFonts w:ascii="Arial" w:eastAsia="Arial" w:hAnsi="Arial" w:cs="Arial"/>
                <w:color w:val="000000"/>
                <w:sz w:val="18"/>
                <w:szCs w:val="18"/>
                <w:bdr w:val="none" w:sz="0" w:space="0" w:color="auto" w:frame="1"/>
                <w:lang w:val="fr-FR"/>
              </w:rPr>
              <w:t xml:space="preserve"> répandus</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Il n’y a </w:t>
            </w:r>
            <w:r w:rsidRPr="00865DA5">
              <w:rPr>
                <w:rFonts w:ascii="Arial" w:eastAsia="Arial" w:hAnsi="Arial" w:cs="Arial"/>
                <w:b/>
                <w:bCs/>
                <w:color w:val="000000"/>
                <w:sz w:val="18"/>
                <w:szCs w:val="18"/>
                <w:bdr w:val="none" w:sz="0" w:space="0" w:color="auto" w:frame="1"/>
                <w:lang w:val="fr-FR"/>
              </w:rPr>
              <w:t xml:space="preserve">pas </w:t>
            </w:r>
            <w:r w:rsidRPr="00865DA5">
              <w:rPr>
                <w:rFonts w:ascii="Arial" w:eastAsia="Arial" w:hAnsi="Arial" w:cs="Arial"/>
                <w:color w:val="000000"/>
                <w:sz w:val="18"/>
                <w:szCs w:val="18"/>
                <w:bdr w:val="none" w:sz="0" w:space="0" w:color="auto" w:frame="1"/>
                <w:lang w:val="fr-FR"/>
              </w:rPr>
              <w:t>de stratégie nationale de communication sur l’IKB</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sanctions dans les affaires d’IKB sont </w:t>
            </w:r>
            <w:r w:rsidRPr="00865DA5">
              <w:rPr>
                <w:rFonts w:ascii="Arial" w:eastAsia="Arial" w:hAnsi="Arial" w:cs="Arial"/>
                <w:b/>
                <w:bCs/>
                <w:color w:val="000000"/>
                <w:sz w:val="18"/>
                <w:szCs w:val="18"/>
                <w:bdr w:val="none" w:sz="0" w:space="0" w:color="auto" w:frame="1"/>
                <w:lang w:val="fr-FR"/>
              </w:rPr>
              <w:t xml:space="preserve">rarement </w:t>
            </w:r>
            <w:r w:rsidRPr="00865DA5">
              <w:rPr>
                <w:rFonts w:ascii="Arial" w:eastAsia="Arial" w:hAnsi="Arial" w:cs="Arial"/>
                <w:color w:val="000000"/>
                <w:sz w:val="18"/>
                <w:szCs w:val="18"/>
                <w:bdr w:val="none" w:sz="0" w:space="0" w:color="auto" w:frame="1"/>
                <w:lang w:val="fr-FR"/>
              </w:rPr>
              <w:t>rendues publiques</w:t>
            </w:r>
          </w:p>
        </w:tc>
        <w:tc>
          <w:tcPr>
            <w:tcW w:w="2325"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efforts visant à accroître la sensibilisation du public :</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Reposent sur le matériel de sensibilisation élaboré par les ONG de conservation</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 xml:space="preserve">localement </w:t>
            </w:r>
            <w:r w:rsidRPr="00865DA5">
              <w:rPr>
                <w:rFonts w:ascii="Arial" w:eastAsia="Arial" w:hAnsi="Arial" w:cs="Arial"/>
                <w:color w:val="000000"/>
                <w:sz w:val="18"/>
                <w:szCs w:val="18"/>
                <w:bdr w:val="none" w:sz="0" w:space="0" w:color="auto" w:frame="1"/>
                <w:lang w:val="fr-FR"/>
              </w:rPr>
              <w:t xml:space="preserve">mis en œuvre par les organes gouvernementaux </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Sont </w:t>
            </w:r>
            <w:r w:rsidRPr="00865DA5">
              <w:rPr>
                <w:rFonts w:ascii="Arial" w:eastAsia="Arial" w:hAnsi="Arial" w:cs="Arial"/>
                <w:b/>
                <w:bCs/>
                <w:color w:val="000000"/>
                <w:sz w:val="18"/>
                <w:szCs w:val="18"/>
                <w:bdr w:val="none" w:sz="0" w:space="0" w:color="auto" w:frame="1"/>
                <w:lang w:val="fr-FR"/>
              </w:rPr>
              <w:t>parfois</w:t>
            </w:r>
            <w:r w:rsidRPr="00865DA5">
              <w:rPr>
                <w:rFonts w:ascii="Arial" w:eastAsia="Arial" w:hAnsi="Arial" w:cs="Arial"/>
                <w:color w:val="000000"/>
                <w:sz w:val="18"/>
                <w:szCs w:val="18"/>
                <w:bdr w:val="none" w:sz="0" w:space="0" w:color="auto" w:frame="1"/>
                <w:lang w:val="fr-FR"/>
              </w:rPr>
              <w:t xml:space="preserve"> complets ou généralisés</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Mettent </w:t>
            </w:r>
            <w:r w:rsidRPr="00865DA5">
              <w:rPr>
                <w:rFonts w:ascii="Arial" w:eastAsia="Arial" w:hAnsi="Arial" w:cs="Arial"/>
                <w:b/>
                <w:bCs/>
                <w:color w:val="000000"/>
                <w:sz w:val="18"/>
                <w:szCs w:val="18"/>
                <w:bdr w:val="none" w:sz="0" w:space="0" w:color="auto" w:frame="1"/>
                <w:lang w:val="fr-FR"/>
              </w:rPr>
              <w:t>seulement partiellement</w:t>
            </w:r>
            <w:r w:rsidRPr="00865DA5">
              <w:rPr>
                <w:rFonts w:ascii="Arial" w:eastAsia="Arial" w:hAnsi="Arial" w:cs="Arial"/>
                <w:color w:val="000000"/>
                <w:sz w:val="18"/>
                <w:szCs w:val="18"/>
                <w:bdr w:val="none" w:sz="0" w:space="0" w:color="auto" w:frame="1"/>
                <w:lang w:val="fr-FR"/>
              </w:rPr>
              <w:t xml:space="preserve"> en œuvre une stratégie de communication nationale sur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sanctions dans les affaires d’IKB sont </w:t>
            </w:r>
            <w:r w:rsidRPr="00865DA5">
              <w:rPr>
                <w:rFonts w:ascii="Arial" w:eastAsia="Arial" w:hAnsi="Arial" w:cs="Arial"/>
                <w:b/>
                <w:bCs/>
                <w:color w:val="000000"/>
                <w:sz w:val="18"/>
                <w:szCs w:val="18"/>
                <w:bdr w:val="none" w:sz="0" w:space="0" w:color="auto" w:frame="1"/>
                <w:lang w:val="fr-FR"/>
              </w:rPr>
              <w:t xml:space="preserve">souvent </w:t>
            </w:r>
            <w:r w:rsidRPr="00865DA5">
              <w:rPr>
                <w:rFonts w:ascii="Arial" w:eastAsia="Arial" w:hAnsi="Arial" w:cs="Arial"/>
                <w:color w:val="000000"/>
                <w:sz w:val="18"/>
                <w:szCs w:val="18"/>
                <w:bdr w:val="none" w:sz="0" w:space="0" w:color="auto" w:frame="1"/>
                <w:lang w:val="fr-FR"/>
              </w:rPr>
              <w:t>rendues publiques</w:t>
            </w:r>
          </w:p>
        </w:tc>
        <w:tc>
          <w:tcPr>
            <w:tcW w:w="2358" w:type="dxa"/>
            <w:gridSpan w:val="2"/>
            <w:tcBorders>
              <w:top w:val="single" w:sz="4" w:space="0" w:color="auto"/>
              <w:left w:val="single" w:sz="4" w:space="0" w:color="auto"/>
              <w:bottom w:val="single" w:sz="4" w:space="0" w:color="auto"/>
              <w:right w:val="single" w:sz="4" w:space="0" w:color="auto"/>
            </w:tcBorders>
          </w:tcPr>
          <w:p w:rsidR="00BD5B7F" w:rsidRPr="00865DA5" w:rsidRDefault="00BD5B7F" w:rsidP="000E5961">
            <w:pPr>
              <w:rPr>
                <w:rFonts w:ascii="Arial" w:eastAsia="Calibri" w:hAnsi="Arial" w:cs="Arial"/>
                <w:color w:val="000000"/>
                <w:sz w:val="18"/>
                <w:szCs w:val="18"/>
                <w:lang w:val="fr-FR"/>
              </w:rPr>
            </w:pPr>
            <w:r w:rsidRPr="00865DA5">
              <w:rPr>
                <w:rFonts w:ascii="Arial" w:eastAsia="Arial" w:hAnsi="Arial" w:cs="Arial"/>
                <w:color w:val="000000"/>
                <w:sz w:val="18"/>
                <w:szCs w:val="18"/>
                <w:bdr w:val="none" w:sz="0" w:space="0" w:color="auto" w:frame="1"/>
                <w:lang w:val="fr-FR"/>
              </w:rPr>
              <w:t>Les efforts visant à accroître la sensibilisation du public :</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Reposent sur du matériel de sensibilisation bien développé et actualisé, élaboré par les organes gouvernementaux</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Ciblent </w:t>
            </w:r>
            <w:r w:rsidRPr="00865DA5">
              <w:rPr>
                <w:rFonts w:ascii="Arial" w:eastAsia="Arial" w:hAnsi="Arial" w:cs="Arial"/>
                <w:b/>
                <w:bCs/>
                <w:color w:val="000000"/>
                <w:sz w:val="18"/>
                <w:szCs w:val="18"/>
                <w:bdr w:val="none" w:sz="0" w:space="0" w:color="auto" w:frame="1"/>
                <w:lang w:val="fr-FR"/>
              </w:rPr>
              <w:t>de manière exhaustive</w:t>
            </w:r>
            <w:r w:rsidRPr="00865DA5">
              <w:rPr>
                <w:rFonts w:ascii="Arial" w:eastAsia="Arial" w:hAnsi="Arial" w:cs="Arial"/>
                <w:color w:val="000000"/>
                <w:sz w:val="18"/>
                <w:szCs w:val="18"/>
                <w:bdr w:val="none" w:sz="0" w:space="0" w:color="auto" w:frame="1"/>
                <w:lang w:val="fr-FR"/>
              </w:rPr>
              <w:t xml:space="preserve"> les différents types de parties prenantes</w:t>
            </w:r>
          </w:p>
          <w:p w:rsidR="00BD5B7F" w:rsidRPr="00865DA5" w:rsidRDefault="00BD5B7F" w:rsidP="000E5961">
            <w:pPr>
              <w:rPr>
                <w:rFonts w:ascii="Arial" w:eastAsia="Calibri" w:hAnsi="Arial" w:cs="Arial"/>
                <w:color w:val="000000"/>
                <w:sz w:val="18"/>
                <w:szCs w:val="18"/>
                <w:lang w:val="fr-FR"/>
              </w:rPr>
            </w:pP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Mettent </w:t>
            </w:r>
            <w:r w:rsidRPr="00865DA5">
              <w:rPr>
                <w:rFonts w:ascii="Arial" w:eastAsia="Arial" w:hAnsi="Arial" w:cs="Arial"/>
                <w:b/>
                <w:bCs/>
                <w:color w:val="000000"/>
                <w:sz w:val="18"/>
                <w:szCs w:val="18"/>
                <w:bdr w:val="none" w:sz="0" w:space="0" w:color="auto" w:frame="1"/>
                <w:lang w:val="fr-FR"/>
              </w:rPr>
              <w:t xml:space="preserve">entièrement </w:t>
            </w:r>
            <w:r w:rsidRPr="00865DA5">
              <w:rPr>
                <w:rFonts w:ascii="Arial" w:eastAsia="Arial" w:hAnsi="Arial" w:cs="Arial"/>
                <w:color w:val="000000"/>
                <w:sz w:val="18"/>
                <w:szCs w:val="18"/>
                <w:bdr w:val="none" w:sz="0" w:space="0" w:color="auto" w:frame="1"/>
                <w:lang w:val="fr-FR"/>
              </w:rPr>
              <w:t>en œuvre une stratégie de communication nationale sur l’IKB</w:t>
            </w:r>
          </w:p>
          <w:p w:rsidR="00BD5B7F" w:rsidRPr="00865DA5" w:rsidRDefault="00BD5B7F" w:rsidP="000E5961">
            <w:pPr>
              <w:rPr>
                <w:rFonts w:ascii="Arial" w:eastAsia="Calibri" w:hAnsi="Arial" w:cs="Arial"/>
                <w:color w:val="000000"/>
                <w:sz w:val="18"/>
                <w:szCs w:val="18"/>
                <w:lang w:val="fr-FR"/>
              </w:rPr>
            </w:pPr>
            <w:r w:rsidRPr="00FF6562">
              <w:rPr>
                <w:rFonts w:ascii="Arial" w:eastAsia="Arial" w:hAnsi="Arial" w:cs="Arial"/>
                <w:color w:val="000000"/>
                <w:sz w:val="16"/>
                <w:szCs w:val="16"/>
              </w:rPr>
              <w:t>􁃱</w:t>
            </w:r>
            <w:r w:rsidRPr="00865DA5">
              <w:rPr>
                <w:rFonts w:ascii="Arial" w:eastAsia="Calibri" w:hAnsi="Arial" w:cs="Arial"/>
                <w:color w:val="000000"/>
                <w:sz w:val="18"/>
                <w:szCs w:val="18"/>
                <w:lang w:val="fr-FR"/>
              </w:rPr>
              <w:t xml:space="preserve"> </w:t>
            </w:r>
            <w:r w:rsidRPr="00865DA5">
              <w:rPr>
                <w:rFonts w:ascii="Arial" w:eastAsia="Arial" w:hAnsi="Arial" w:cs="Arial"/>
                <w:color w:val="000000"/>
                <w:sz w:val="18"/>
                <w:szCs w:val="18"/>
                <w:bdr w:val="none" w:sz="0" w:space="0" w:color="auto" w:frame="1"/>
                <w:lang w:val="fr-FR"/>
              </w:rPr>
              <w:t xml:space="preserve">Les sanctions dans les affaires d’IKB sont </w:t>
            </w:r>
            <w:r w:rsidRPr="00865DA5">
              <w:rPr>
                <w:rFonts w:ascii="Arial" w:eastAsia="Arial" w:hAnsi="Arial" w:cs="Arial"/>
                <w:b/>
                <w:bCs/>
                <w:color w:val="000000"/>
                <w:sz w:val="18"/>
                <w:szCs w:val="18"/>
                <w:bdr w:val="none" w:sz="0" w:space="0" w:color="auto" w:frame="1"/>
                <w:lang w:val="fr-FR"/>
              </w:rPr>
              <w:t xml:space="preserve">toujours </w:t>
            </w:r>
            <w:r w:rsidRPr="00865DA5">
              <w:rPr>
                <w:rFonts w:ascii="Arial" w:eastAsia="Arial" w:hAnsi="Arial" w:cs="Arial"/>
                <w:color w:val="000000"/>
                <w:sz w:val="18"/>
                <w:szCs w:val="18"/>
                <w:bdr w:val="none" w:sz="0" w:space="0" w:color="auto" w:frame="1"/>
                <w:lang w:val="fr-FR"/>
              </w:rPr>
              <w:t>rendues publiques</w:t>
            </w:r>
          </w:p>
        </w:tc>
      </w:tr>
    </w:tbl>
    <w:p w:rsidR="00BD5B7F" w:rsidRPr="00865DA5" w:rsidRDefault="00BD5B7F" w:rsidP="00BD5B7F">
      <w:pPr>
        <w:rPr>
          <w:rFonts w:ascii="Arial" w:eastAsia="Calibri" w:hAnsi="Arial" w:cs="Arial"/>
          <w:b/>
          <w:bCs/>
          <w:color w:val="000000"/>
          <w:sz w:val="23"/>
          <w:szCs w:val="23"/>
          <w:lang w:val="fr-FR"/>
        </w:rPr>
      </w:pPr>
    </w:p>
    <w:p w:rsidR="00BD5B7F" w:rsidRPr="00FF6562" w:rsidRDefault="00BD5B7F" w:rsidP="00BD5B7F">
      <w:pPr>
        <w:rPr>
          <w:rFonts w:ascii="Arial" w:eastAsia="Calibri" w:hAnsi="Arial" w:cs="Arial"/>
          <w:color w:val="000000"/>
          <w:sz w:val="22"/>
          <w:szCs w:val="22"/>
        </w:rPr>
      </w:pPr>
      <w:proofErr w:type="gramStart"/>
      <w:r w:rsidRPr="00FF6562">
        <w:rPr>
          <w:rFonts w:ascii="Arial" w:eastAsia="Arial" w:hAnsi="Arial" w:cs="Arial"/>
          <w:color w:val="000000"/>
          <w:sz w:val="22"/>
          <w:szCs w:val="22"/>
          <w:bdr w:val="none" w:sz="0" w:space="0" w:color="auto" w:frame="1"/>
        </w:rPr>
        <w:t>Commentaires :</w:t>
      </w:r>
      <w:proofErr w:type="gramEnd"/>
    </w:p>
    <w:p w:rsidR="00BD5B7F" w:rsidRPr="00FF6562" w:rsidRDefault="00BD5B7F" w:rsidP="00BD5B7F">
      <w:pPr>
        <w:ind w:firstLine="708"/>
        <w:rPr>
          <w:rFonts w:ascii="Arial" w:eastAsia="Calibri" w:hAnsi="Arial" w:cs="Arial"/>
          <w:color w:val="000000"/>
          <w:sz w:val="22"/>
          <w:szCs w:val="22"/>
        </w:rPr>
      </w:pPr>
    </w:p>
    <w:p w:rsidR="00BD5B7F" w:rsidRPr="00FF6562" w:rsidRDefault="00BD5B7F" w:rsidP="00BD5B7F">
      <w:pPr>
        <w:rPr>
          <w:rFonts w:ascii="Arial" w:eastAsia="Calibri" w:hAnsi="Arial" w:cs="Arial"/>
          <w:b/>
          <w:bCs/>
          <w:i/>
          <w:iCs/>
          <w:color w:val="000000"/>
          <w:sz w:val="18"/>
          <w:szCs w:val="18"/>
        </w:rPr>
      </w:pPr>
      <w:r w:rsidRPr="00FF6562">
        <w:rPr>
          <w:rFonts w:ascii="Arial" w:eastAsia="Calibri" w:hAnsi="Arial" w:cs="Arial"/>
          <w:b/>
          <w:bCs/>
          <w:i/>
          <w:iCs/>
          <w:color w:val="000000"/>
          <w:sz w:val="18"/>
          <w:szCs w:val="18"/>
        </w:rPr>
        <w:br w:type="page"/>
      </w:r>
    </w:p>
    <w:p w:rsidR="00BD5B7F" w:rsidRPr="00FF6562" w:rsidRDefault="00BD5B7F" w:rsidP="00BD5B7F">
      <w:pPr>
        <w:keepNext/>
        <w:keepLines/>
        <w:outlineLvl w:val="1"/>
        <w:rPr>
          <w:rFonts w:ascii="Arial" w:hAnsi="Arial" w:cs="Arial"/>
          <w:b/>
          <w:color w:val="000000"/>
          <w:sz w:val="30"/>
          <w:szCs w:val="30"/>
        </w:rPr>
      </w:pPr>
      <w:bookmarkStart w:id="106" w:name="_Toc491245267"/>
      <w:bookmarkStart w:id="107" w:name="_Toc491245062"/>
      <w:bookmarkStart w:id="108" w:name="_Toc486539604"/>
      <w:r w:rsidRPr="00FF6562">
        <w:rPr>
          <w:rFonts w:ascii="Arial" w:eastAsia="Arial" w:hAnsi="Arial" w:cs="Arial"/>
          <w:b/>
          <w:bCs/>
          <w:color w:val="000000"/>
          <w:sz w:val="30"/>
          <w:szCs w:val="30"/>
          <w:bdr w:val="none" w:sz="0" w:space="0" w:color="auto" w:frame="1"/>
        </w:rPr>
        <w:lastRenderedPageBreak/>
        <w:t>Résumé des scores</w:t>
      </w:r>
      <w:bookmarkEnd w:id="106"/>
      <w:bookmarkEnd w:id="107"/>
      <w:bookmarkEnd w:id="108"/>
    </w:p>
    <w:p w:rsidR="00BD5B7F" w:rsidRPr="00FF6562" w:rsidRDefault="00BD5B7F" w:rsidP="00BD5B7F">
      <w:pPr>
        <w:rPr>
          <w:rFonts w:ascii="Arial" w:eastAsia="Calibri" w:hAnsi="Arial" w:cs="Arial"/>
          <w:b/>
          <w:bCs/>
          <w:i/>
          <w:iCs/>
          <w:color w:val="000000"/>
          <w:sz w:val="18"/>
          <w:szCs w:val="18"/>
        </w:rPr>
      </w:pPr>
    </w:p>
    <w:tbl>
      <w:tblPr>
        <w:tblW w:w="505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429"/>
        <w:gridCol w:w="1390"/>
        <w:gridCol w:w="2354"/>
        <w:gridCol w:w="1206"/>
      </w:tblGrid>
      <w:tr w:rsidR="00BD5B7F" w:rsidRPr="00FF6562" w:rsidTr="000E5961">
        <w:trPr>
          <w:trHeight w:val="401"/>
        </w:trPr>
        <w:tc>
          <w:tcPr>
            <w:tcW w:w="2383" w:type="pct"/>
            <w:tcBorders>
              <w:top w:val="single" w:sz="8" w:space="0" w:color="4F81BD"/>
              <w:left w:val="single" w:sz="8" w:space="0" w:color="4F81BD"/>
              <w:bottom w:val="nil"/>
              <w:right w:val="nil"/>
            </w:tcBorders>
            <w:shd w:val="clear" w:color="auto" w:fill="4F81BD"/>
            <w:vAlign w:val="center"/>
            <w:hideMark/>
          </w:tcPr>
          <w:p w:rsidR="00BD5B7F" w:rsidRPr="00FF6562" w:rsidRDefault="00BD5B7F" w:rsidP="000E5961">
            <w:pPr>
              <w:rPr>
                <w:rFonts w:ascii="Arial" w:eastAsia="Calibri" w:hAnsi="Arial" w:cs="Arial"/>
                <w:b/>
                <w:bCs/>
                <w:i/>
                <w:iCs/>
                <w:color w:val="FFFFFF"/>
                <w:sz w:val="22"/>
                <w:szCs w:val="18"/>
              </w:rPr>
            </w:pPr>
            <w:r w:rsidRPr="00FF6562">
              <w:rPr>
                <w:rFonts w:ascii="Arial" w:eastAsia="Calibri" w:hAnsi="Arial" w:cs="Arial"/>
                <w:b/>
                <w:bCs/>
                <w:i/>
                <w:iCs/>
                <w:color w:val="FFFFFF"/>
                <w:sz w:val="22"/>
                <w:szCs w:val="22"/>
                <w:bdr w:val="none" w:sz="0" w:space="0" w:color="auto" w:frame="1"/>
              </w:rPr>
              <w:t>Indicateur</w:t>
            </w:r>
          </w:p>
        </w:tc>
        <w:tc>
          <w:tcPr>
            <w:tcW w:w="676" w:type="pct"/>
            <w:tcBorders>
              <w:top w:val="single" w:sz="8" w:space="0" w:color="4F81BD"/>
              <w:left w:val="nil"/>
              <w:bottom w:val="nil"/>
              <w:right w:val="nil"/>
            </w:tcBorders>
            <w:shd w:val="clear" w:color="auto" w:fill="4F81BD"/>
            <w:vAlign w:val="center"/>
            <w:hideMark/>
          </w:tcPr>
          <w:p w:rsidR="00BD5B7F" w:rsidRPr="00FF6562" w:rsidRDefault="00BD5B7F" w:rsidP="000E5961">
            <w:pPr>
              <w:rPr>
                <w:rFonts w:ascii="Arial" w:eastAsia="Calibri" w:hAnsi="Arial" w:cs="Arial"/>
                <w:b/>
                <w:bCs/>
                <w:i/>
                <w:iCs/>
                <w:color w:val="FFFFFF"/>
                <w:sz w:val="22"/>
                <w:szCs w:val="18"/>
              </w:rPr>
            </w:pPr>
            <w:r w:rsidRPr="00FF6562">
              <w:rPr>
                <w:rFonts w:ascii="Arial" w:eastAsia="Calibri" w:hAnsi="Arial" w:cs="Arial"/>
                <w:b/>
                <w:bCs/>
                <w:i/>
                <w:iCs/>
                <w:color w:val="FFFFFF"/>
                <w:sz w:val="22"/>
                <w:szCs w:val="22"/>
                <w:bdr w:val="none" w:sz="0" w:space="0" w:color="auto" w:frame="1"/>
              </w:rPr>
              <w:t>Score de l’indicateur</w:t>
            </w:r>
          </w:p>
        </w:tc>
        <w:tc>
          <w:tcPr>
            <w:tcW w:w="1277" w:type="pct"/>
            <w:tcBorders>
              <w:top w:val="single" w:sz="8" w:space="0" w:color="4F81BD"/>
              <w:left w:val="nil"/>
              <w:bottom w:val="nil"/>
              <w:right w:val="nil"/>
            </w:tcBorders>
            <w:shd w:val="clear" w:color="auto" w:fill="4F81BD"/>
            <w:vAlign w:val="center"/>
            <w:hideMark/>
          </w:tcPr>
          <w:p w:rsidR="00BD5B7F" w:rsidRPr="00FF6562" w:rsidRDefault="00BD5B7F" w:rsidP="000E5961">
            <w:pPr>
              <w:rPr>
                <w:rFonts w:ascii="Arial" w:eastAsia="Calibri" w:hAnsi="Arial" w:cs="Arial"/>
                <w:b/>
                <w:bCs/>
                <w:i/>
                <w:iCs/>
                <w:color w:val="FFFFFF"/>
                <w:sz w:val="22"/>
                <w:szCs w:val="18"/>
              </w:rPr>
            </w:pPr>
            <w:r w:rsidRPr="00FF6562">
              <w:rPr>
                <w:rFonts w:ascii="Arial" w:eastAsia="Calibri" w:hAnsi="Arial" w:cs="Arial"/>
                <w:b/>
                <w:bCs/>
                <w:i/>
                <w:iCs/>
                <w:color w:val="FFFFFF"/>
                <w:sz w:val="22"/>
                <w:szCs w:val="22"/>
                <w:bdr w:val="none" w:sz="0" w:space="0" w:color="auto" w:frame="1"/>
              </w:rPr>
              <w:t>Groupe d’indicateurs</w:t>
            </w:r>
          </w:p>
        </w:tc>
        <w:tc>
          <w:tcPr>
            <w:tcW w:w="664" w:type="pct"/>
            <w:tcBorders>
              <w:top w:val="single" w:sz="8" w:space="0" w:color="4F81BD"/>
              <w:left w:val="nil"/>
              <w:bottom w:val="nil"/>
              <w:right w:val="single" w:sz="8" w:space="0" w:color="4F81BD"/>
            </w:tcBorders>
            <w:shd w:val="clear" w:color="auto" w:fill="4F81BD"/>
            <w:vAlign w:val="center"/>
            <w:hideMark/>
          </w:tcPr>
          <w:p w:rsidR="00BD5B7F" w:rsidRPr="00FF6562" w:rsidRDefault="00BD5B7F" w:rsidP="000E5961">
            <w:pPr>
              <w:rPr>
                <w:rFonts w:ascii="Arial" w:eastAsia="Calibri" w:hAnsi="Arial" w:cs="Arial"/>
                <w:b/>
                <w:bCs/>
                <w:i/>
                <w:iCs/>
                <w:color w:val="FFFFFF"/>
                <w:sz w:val="22"/>
                <w:szCs w:val="18"/>
              </w:rPr>
            </w:pPr>
            <w:r w:rsidRPr="00FF6562">
              <w:rPr>
                <w:rFonts w:ascii="Arial" w:eastAsia="Calibri" w:hAnsi="Arial" w:cs="Arial"/>
                <w:b/>
                <w:bCs/>
                <w:i/>
                <w:iCs/>
                <w:color w:val="FFFFFF"/>
                <w:sz w:val="22"/>
                <w:szCs w:val="22"/>
                <w:bdr w:val="none" w:sz="0" w:space="0" w:color="auto" w:frame="1"/>
              </w:rPr>
              <w:t>Score du groupe</w:t>
            </w:r>
            <w:r w:rsidRPr="00FF6562">
              <w:rPr>
                <w:rFonts w:ascii="Arial" w:eastAsia="Calibri" w:hAnsi="Arial" w:cs="Arial"/>
                <w:b/>
                <w:bCs/>
                <w:i/>
                <w:iCs/>
                <w:color w:val="FFFFFF"/>
                <w:sz w:val="22"/>
                <w:szCs w:val="18"/>
                <w:vertAlign w:val="superscript"/>
              </w:rPr>
              <w:footnoteReference w:id="54"/>
            </w:r>
          </w:p>
        </w:tc>
      </w:tr>
      <w:tr w:rsidR="00BD5B7F" w:rsidRPr="00FC42B0" w:rsidTr="000E5961">
        <w:trPr>
          <w:trHeight w:val="214"/>
        </w:trPr>
        <w:tc>
          <w:tcPr>
            <w:tcW w:w="2383" w:type="pct"/>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1. Situation et échelle de l’IKB</w:t>
            </w:r>
          </w:p>
        </w:tc>
        <w:tc>
          <w:tcPr>
            <w:tcW w:w="676" w:type="pct"/>
            <w:tcBorders>
              <w:top w:val="single" w:sz="8" w:space="0" w:color="4F81BD"/>
              <w:left w:val="nil"/>
              <w:bottom w:val="single" w:sz="8" w:space="0" w:color="4F81BD"/>
              <w:right w:val="nil"/>
            </w:tcBorders>
            <w:vAlign w:val="center"/>
          </w:tcPr>
          <w:p w:rsidR="00BD5B7F" w:rsidRPr="00865DA5" w:rsidRDefault="00BD5B7F" w:rsidP="000E5961">
            <w:pPr>
              <w:rPr>
                <w:rFonts w:ascii="Arial" w:eastAsia="Calibri" w:hAnsi="Arial" w:cs="Arial"/>
                <w:iCs/>
                <w:color w:val="000000"/>
                <w:szCs w:val="18"/>
                <w:lang w:val="fr-FR"/>
              </w:rPr>
            </w:pPr>
          </w:p>
        </w:tc>
        <w:tc>
          <w:tcPr>
            <w:tcW w:w="1277" w:type="pct"/>
            <w:vMerge w:val="restart"/>
            <w:tcBorders>
              <w:top w:val="single" w:sz="8" w:space="0" w:color="4F81BD"/>
              <w:left w:val="nil"/>
              <w:bottom w:val="nil"/>
              <w:right w:val="nil"/>
            </w:tcBorders>
            <w:vAlign w:val="center"/>
            <w:hideMark/>
          </w:tcPr>
          <w:p w:rsidR="00BD5B7F" w:rsidRPr="00865DA5" w:rsidRDefault="00BD5B7F" w:rsidP="000E5961">
            <w:pPr>
              <w:ind w:left="175" w:hanging="175"/>
              <w:rPr>
                <w:rFonts w:ascii="Arial" w:eastAsia="Calibri" w:hAnsi="Arial" w:cs="Arial"/>
                <w:iCs/>
                <w:color w:val="000000"/>
                <w:szCs w:val="18"/>
                <w:lang w:val="fr-FR"/>
              </w:rPr>
            </w:pPr>
            <w:r w:rsidRPr="00865DA5">
              <w:rPr>
                <w:rFonts w:ascii="Arial" w:eastAsia="Calibri" w:hAnsi="Arial" w:cs="Arial"/>
                <w:iCs/>
                <w:color w:val="000000"/>
                <w:bdr w:val="none" w:sz="0" w:space="0" w:color="auto" w:frame="1"/>
                <w:lang w:val="fr-FR"/>
              </w:rPr>
              <w:t>A. Suivi national de l’IKB (Gestion des données sur la portée et l’échelle de l’IKB)</w:t>
            </w:r>
          </w:p>
        </w:tc>
        <w:tc>
          <w:tcPr>
            <w:tcW w:w="664" w:type="pct"/>
            <w:vMerge w:val="restart"/>
            <w:tcBorders>
              <w:top w:val="single" w:sz="8" w:space="0" w:color="4F81BD"/>
              <w:left w:val="nil"/>
              <w:bottom w:val="nil"/>
              <w:right w:val="single" w:sz="8" w:space="0" w:color="4F81BD"/>
            </w:tcBorders>
            <w:vAlign w:val="center"/>
          </w:tcPr>
          <w:p w:rsidR="00BD5B7F" w:rsidRPr="00865DA5" w:rsidRDefault="00BD5B7F" w:rsidP="000E5961">
            <w:pPr>
              <w:rPr>
                <w:rFonts w:ascii="Arial" w:eastAsia="Calibri" w:hAnsi="Arial" w:cs="Arial"/>
                <w:iCs/>
                <w:color w:val="000000"/>
                <w:szCs w:val="18"/>
                <w:lang w:val="fr-FR"/>
              </w:rPr>
            </w:pPr>
          </w:p>
        </w:tc>
      </w:tr>
      <w:tr w:rsidR="00BD5B7F" w:rsidRPr="00FF6562" w:rsidTr="000E5961">
        <w:trPr>
          <w:trHeight w:val="324"/>
        </w:trPr>
        <w:tc>
          <w:tcPr>
            <w:tcW w:w="2383" w:type="pct"/>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szCs w:val="18"/>
                <w:highlight w:val="green"/>
                <w:lang w:val="fr-FR"/>
              </w:rPr>
            </w:pPr>
            <w:r w:rsidRPr="00865DA5">
              <w:rPr>
                <w:rFonts w:ascii="Arial" w:eastAsia="Calibri" w:hAnsi="Arial" w:cs="Arial"/>
                <w:b/>
                <w:bCs/>
                <w:iCs/>
                <w:color w:val="000000"/>
                <w:bdr w:val="none" w:sz="0" w:space="0" w:color="auto" w:frame="1"/>
                <w:lang w:val="fr-FR"/>
              </w:rPr>
              <w:t>2. Nombre et répartition des oiseaux abattus, piégés ou commercialisés illégalement</w:t>
            </w:r>
          </w:p>
        </w:tc>
        <w:tc>
          <w:tcPr>
            <w:tcW w:w="676" w:type="pct"/>
            <w:tcBorders>
              <w:top w:val="nil"/>
              <w:left w:val="nil"/>
              <w:bottom w:val="nil"/>
              <w:right w:val="nil"/>
            </w:tcBorders>
            <w:vAlign w:val="center"/>
            <w:hideMark/>
          </w:tcPr>
          <w:p w:rsidR="00BD5B7F" w:rsidRPr="00FF6562" w:rsidRDefault="00BD5B7F" w:rsidP="000E5961">
            <w:pPr>
              <w:rPr>
                <w:rFonts w:ascii="Arial" w:eastAsia="Calibri" w:hAnsi="Arial" w:cs="Arial"/>
                <w:iCs/>
                <w:color w:val="000000"/>
                <w:szCs w:val="18"/>
              </w:rPr>
            </w:pPr>
            <w:r w:rsidRPr="00FF6562">
              <w:rPr>
                <w:rFonts w:ascii="Arial" w:eastAsia="Calibri" w:hAnsi="Arial" w:cs="Arial"/>
                <w:iCs/>
                <w:color w:val="000000"/>
                <w:bdr w:val="none" w:sz="0" w:space="0" w:color="auto" w:frame="1"/>
              </w:rPr>
              <w:t>données</w:t>
            </w:r>
          </w:p>
        </w:tc>
        <w:tc>
          <w:tcPr>
            <w:tcW w:w="0" w:type="auto"/>
            <w:vMerge/>
            <w:tcBorders>
              <w:top w:val="single" w:sz="8" w:space="0" w:color="4F81BD"/>
              <w:left w:val="nil"/>
              <w:bottom w:val="nil"/>
              <w:right w:val="nil"/>
            </w:tcBorders>
            <w:vAlign w:val="center"/>
            <w:hideMark/>
          </w:tcPr>
          <w:p w:rsidR="00BD5B7F" w:rsidRPr="00FF6562" w:rsidRDefault="00BD5B7F" w:rsidP="000E5961">
            <w:pPr>
              <w:rPr>
                <w:rFonts w:ascii="Arial" w:eastAsia="Calibri" w:hAnsi="Arial" w:cs="Arial"/>
                <w:iCs/>
                <w:color w:val="000000"/>
                <w:szCs w:val="18"/>
              </w:rPr>
            </w:pPr>
          </w:p>
        </w:tc>
        <w:tc>
          <w:tcPr>
            <w:tcW w:w="0" w:type="auto"/>
            <w:vMerge/>
            <w:tcBorders>
              <w:top w:val="single" w:sz="8" w:space="0" w:color="4F81BD"/>
              <w:left w:val="nil"/>
              <w:bottom w:val="nil"/>
              <w:right w:val="single" w:sz="8" w:space="0" w:color="4F81BD"/>
            </w:tcBorders>
            <w:vAlign w:val="center"/>
            <w:hideMark/>
          </w:tcPr>
          <w:p w:rsidR="00BD5B7F" w:rsidRPr="00FF6562" w:rsidRDefault="00BD5B7F" w:rsidP="000E5961">
            <w:pPr>
              <w:rPr>
                <w:rFonts w:ascii="Arial" w:eastAsia="Calibri" w:hAnsi="Arial" w:cs="Arial"/>
                <w:iCs/>
                <w:color w:val="000000"/>
                <w:szCs w:val="18"/>
              </w:rPr>
            </w:pPr>
          </w:p>
        </w:tc>
      </w:tr>
      <w:tr w:rsidR="00BD5B7F" w:rsidRPr="00FC42B0" w:rsidTr="000E5961">
        <w:trPr>
          <w:trHeight w:val="271"/>
        </w:trPr>
        <w:tc>
          <w:tcPr>
            <w:tcW w:w="2383" w:type="pct"/>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3. Connaissance de l’étendue des cas d’IKB par la justice</w:t>
            </w:r>
          </w:p>
        </w:tc>
        <w:tc>
          <w:tcPr>
            <w:tcW w:w="676" w:type="pct"/>
            <w:tcBorders>
              <w:top w:val="single" w:sz="8" w:space="0" w:color="4F81BD"/>
              <w:left w:val="nil"/>
              <w:bottom w:val="single" w:sz="8" w:space="0" w:color="4F81BD"/>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8" w:space="0" w:color="4F81BD"/>
              <w:left w:val="nil"/>
              <w:bottom w:val="nil"/>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8" w:space="0" w:color="4F81BD"/>
              <w:left w:val="nil"/>
              <w:bottom w:val="nil"/>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F6562" w:rsidTr="000E5961">
        <w:trPr>
          <w:trHeight w:val="214"/>
        </w:trPr>
        <w:tc>
          <w:tcPr>
            <w:tcW w:w="2383" w:type="pct"/>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szCs w:val="18"/>
                <w:highlight w:val="green"/>
                <w:lang w:val="fr-FR"/>
              </w:rPr>
            </w:pPr>
            <w:r w:rsidRPr="00865DA5">
              <w:rPr>
                <w:rFonts w:ascii="Arial" w:eastAsia="Calibri" w:hAnsi="Arial" w:cs="Arial"/>
                <w:b/>
                <w:bCs/>
                <w:iCs/>
                <w:color w:val="000000"/>
                <w:bdr w:val="none" w:sz="0" w:space="0" w:color="auto" w:frame="1"/>
                <w:lang w:val="fr-FR"/>
              </w:rPr>
              <w:t>4. Nombre de cas d’IKB ayant fait l’objet de poursuite au cours de la période considérée</w:t>
            </w:r>
          </w:p>
        </w:tc>
        <w:tc>
          <w:tcPr>
            <w:tcW w:w="676" w:type="pct"/>
            <w:tcBorders>
              <w:top w:val="nil"/>
              <w:left w:val="nil"/>
              <w:bottom w:val="nil"/>
              <w:right w:val="nil"/>
            </w:tcBorders>
            <w:vAlign w:val="center"/>
            <w:hideMark/>
          </w:tcPr>
          <w:p w:rsidR="00BD5B7F" w:rsidRPr="00FF6562" w:rsidRDefault="00BD5B7F" w:rsidP="000E5961">
            <w:pPr>
              <w:rPr>
                <w:rFonts w:ascii="Arial" w:eastAsia="Calibri" w:hAnsi="Arial" w:cs="Arial"/>
                <w:iCs/>
                <w:color w:val="000000"/>
                <w:szCs w:val="18"/>
                <w:highlight w:val="green"/>
              </w:rPr>
            </w:pPr>
            <w:r w:rsidRPr="00FF6562">
              <w:rPr>
                <w:rFonts w:ascii="Arial" w:eastAsia="Calibri" w:hAnsi="Arial" w:cs="Arial"/>
                <w:iCs/>
                <w:color w:val="000000"/>
                <w:bdr w:val="none" w:sz="0" w:space="0" w:color="auto" w:frame="1"/>
              </w:rPr>
              <w:t>données</w:t>
            </w:r>
          </w:p>
        </w:tc>
        <w:tc>
          <w:tcPr>
            <w:tcW w:w="0" w:type="auto"/>
            <w:vMerge/>
            <w:tcBorders>
              <w:top w:val="single" w:sz="8" w:space="0" w:color="4F81BD"/>
              <w:left w:val="nil"/>
              <w:bottom w:val="nil"/>
              <w:right w:val="nil"/>
            </w:tcBorders>
            <w:vAlign w:val="center"/>
            <w:hideMark/>
          </w:tcPr>
          <w:p w:rsidR="00BD5B7F" w:rsidRPr="00FF6562" w:rsidRDefault="00BD5B7F" w:rsidP="000E5961">
            <w:pPr>
              <w:rPr>
                <w:rFonts w:ascii="Arial" w:eastAsia="Calibri" w:hAnsi="Arial" w:cs="Arial"/>
                <w:iCs/>
                <w:color w:val="000000"/>
                <w:szCs w:val="18"/>
              </w:rPr>
            </w:pPr>
          </w:p>
        </w:tc>
        <w:tc>
          <w:tcPr>
            <w:tcW w:w="0" w:type="auto"/>
            <w:vMerge/>
            <w:tcBorders>
              <w:top w:val="single" w:sz="8" w:space="0" w:color="4F81BD"/>
              <w:left w:val="nil"/>
              <w:bottom w:val="nil"/>
              <w:right w:val="single" w:sz="8" w:space="0" w:color="4F81BD"/>
            </w:tcBorders>
            <w:vAlign w:val="center"/>
            <w:hideMark/>
          </w:tcPr>
          <w:p w:rsidR="00BD5B7F" w:rsidRPr="00FF6562" w:rsidRDefault="00BD5B7F" w:rsidP="000E5961">
            <w:pPr>
              <w:rPr>
                <w:rFonts w:ascii="Arial" w:eastAsia="Calibri" w:hAnsi="Arial" w:cs="Arial"/>
                <w:iCs/>
                <w:color w:val="000000"/>
                <w:szCs w:val="18"/>
              </w:rPr>
            </w:pPr>
          </w:p>
        </w:tc>
      </w:tr>
      <w:tr w:rsidR="00BD5B7F" w:rsidRPr="00FC42B0" w:rsidTr="000E5961">
        <w:trPr>
          <w:trHeight w:val="214"/>
        </w:trPr>
        <w:tc>
          <w:tcPr>
            <w:tcW w:w="2383" w:type="pct"/>
            <w:tcBorders>
              <w:top w:val="single" w:sz="12" w:space="0" w:color="95B3D7"/>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5. Législation nationale sur la faune sauvage</w:t>
            </w:r>
          </w:p>
        </w:tc>
        <w:tc>
          <w:tcPr>
            <w:tcW w:w="676" w:type="pct"/>
            <w:tcBorders>
              <w:top w:val="single" w:sz="12" w:space="0" w:color="95B3D7"/>
              <w:left w:val="nil"/>
              <w:bottom w:val="single" w:sz="8" w:space="0" w:color="4F81BD"/>
              <w:right w:val="nil"/>
            </w:tcBorders>
            <w:vAlign w:val="center"/>
          </w:tcPr>
          <w:p w:rsidR="00BD5B7F" w:rsidRPr="00865DA5" w:rsidRDefault="00BD5B7F" w:rsidP="000E5961">
            <w:pPr>
              <w:rPr>
                <w:rFonts w:ascii="Arial" w:eastAsia="Calibri" w:hAnsi="Arial" w:cs="Arial"/>
                <w:iCs/>
                <w:color w:val="000000"/>
                <w:szCs w:val="18"/>
                <w:lang w:val="fr-FR"/>
              </w:rPr>
            </w:pPr>
          </w:p>
        </w:tc>
        <w:tc>
          <w:tcPr>
            <w:tcW w:w="1277" w:type="pct"/>
            <w:vMerge w:val="restart"/>
            <w:tcBorders>
              <w:top w:val="single" w:sz="12" w:space="0" w:color="95B3D7"/>
              <w:left w:val="nil"/>
              <w:bottom w:val="single" w:sz="8" w:space="0" w:color="4F81BD"/>
              <w:right w:val="nil"/>
            </w:tcBorders>
            <w:vAlign w:val="center"/>
            <w:hideMark/>
          </w:tcPr>
          <w:p w:rsidR="00BD5B7F" w:rsidRPr="00865DA5" w:rsidRDefault="00BD5B7F" w:rsidP="000E5961">
            <w:pPr>
              <w:ind w:left="175" w:hanging="175"/>
              <w:rPr>
                <w:rFonts w:ascii="Arial" w:eastAsia="Calibri" w:hAnsi="Arial" w:cs="Arial"/>
                <w:iCs/>
                <w:color w:val="000000"/>
                <w:szCs w:val="18"/>
                <w:lang w:val="fr-FR"/>
              </w:rPr>
            </w:pPr>
            <w:r w:rsidRPr="00865DA5">
              <w:rPr>
                <w:rFonts w:ascii="Arial" w:eastAsia="Calibri" w:hAnsi="Arial" w:cs="Arial"/>
                <w:iCs/>
                <w:color w:val="000000"/>
                <w:bdr w:val="none" w:sz="0" w:space="0" w:color="auto" w:frame="1"/>
                <w:lang w:val="fr-FR"/>
              </w:rPr>
              <w:t>B. Niveau d’exhaustivité de la législation nationale</w:t>
            </w:r>
          </w:p>
        </w:tc>
        <w:tc>
          <w:tcPr>
            <w:tcW w:w="664" w:type="pct"/>
            <w:vMerge w:val="restart"/>
            <w:tcBorders>
              <w:top w:val="single" w:sz="12" w:space="0" w:color="95B3D7"/>
              <w:left w:val="nil"/>
              <w:bottom w:val="single" w:sz="8" w:space="0" w:color="4F81BD"/>
              <w:right w:val="single" w:sz="8" w:space="0" w:color="4F81BD"/>
            </w:tcBorders>
            <w:vAlign w:val="center"/>
          </w:tcPr>
          <w:p w:rsidR="00BD5B7F" w:rsidRPr="00865DA5" w:rsidRDefault="00BD5B7F" w:rsidP="000E5961">
            <w:pPr>
              <w:rPr>
                <w:rFonts w:ascii="Arial" w:eastAsia="Calibri" w:hAnsi="Arial" w:cs="Arial"/>
                <w:iCs/>
                <w:color w:val="000000"/>
                <w:szCs w:val="18"/>
                <w:lang w:val="fr-FR"/>
              </w:rPr>
            </w:pPr>
          </w:p>
        </w:tc>
      </w:tr>
      <w:tr w:rsidR="00BD5B7F" w:rsidRPr="00FF6562" w:rsidTr="000E5961">
        <w:trPr>
          <w:trHeight w:val="214"/>
        </w:trPr>
        <w:tc>
          <w:tcPr>
            <w:tcW w:w="2383" w:type="pct"/>
            <w:tcBorders>
              <w:top w:val="nil"/>
              <w:left w:val="single" w:sz="8" w:space="0" w:color="4F81BD"/>
              <w:bottom w:val="nil"/>
              <w:right w:val="nil"/>
            </w:tcBorders>
            <w:vAlign w:val="center"/>
            <w:hideMark/>
          </w:tcPr>
          <w:p w:rsidR="00BD5B7F" w:rsidRPr="00FF6562" w:rsidRDefault="00BD5B7F" w:rsidP="000E5961">
            <w:pPr>
              <w:ind w:left="284" w:hanging="284"/>
              <w:rPr>
                <w:rFonts w:ascii="Arial" w:eastAsia="Calibri" w:hAnsi="Arial" w:cs="Arial"/>
                <w:b/>
                <w:bCs/>
                <w:iCs/>
                <w:color w:val="000000"/>
                <w:szCs w:val="18"/>
              </w:rPr>
            </w:pPr>
            <w:r w:rsidRPr="00FF6562">
              <w:rPr>
                <w:rFonts w:ascii="Arial" w:eastAsia="Calibri" w:hAnsi="Arial" w:cs="Arial"/>
                <w:b/>
                <w:bCs/>
                <w:iCs/>
                <w:color w:val="000000"/>
                <w:bdr w:val="none" w:sz="0" w:space="0" w:color="auto" w:frame="1"/>
              </w:rPr>
              <w:t>6. Utilisation réglementée</w:t>
            </w:r>
          </w:p>
        </w:tc>
        <w:tc>
          <w:tcPr>
            <w:tcW w:w="676" w:type="pct"/>
            <w:tcBorders>
              <w:top w:val="nil"/>
              <w:left w:val="nil"/>
              <w:bottom w:val="nil"/>
              <w:right w:val="nil"/>
            </w:tcBorders>
            <w:vAlign w:val="center"/>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szCs w:val="18"/>
              </w:rPr>
            </w:pPr>
          </w:p>
        </w:tc>
      </w:tr>
      <w:tr w:rsidR="00BD5B7F" w:rsidRPr="00FC42B0" w:rsidTr="000E5961">
        <w:trPr>
          <w:trHeight w:val="214"/>
        </w:trPr>
        <w:tc>
          <w:tcPr>
            <w:tcW w:w="2383" w:type="pct"/>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7. Interdictions en vertu de la législation nationale</w:t>
            </w:r>
          </w:p>
        </w:tc>
        <w:tc>
          <w:tcPr>
            <w:tcW w:w="676" w:type="pct"/>
            <w:tcBorders>
              <w:top w:val="single" w:sz="8" w:space="0" w:color="4F81BD"/>
              <w:left w:val="nil"/>
              <w:bottom w:val="single" w:sz="8" w:space="0" w:color="4F81BD"/>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C42B0" w:rsidTr="000E5961">
        <w:trPr>
          <w:trHeight w:val="214"/>
        </w:trPr>
        <w:tc>
          <w:tcPr>
            <w:tcW w:w="2383" w:type="pct"/>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8. Exceptions à la législation nationale</w:t>
            </w:r>
          </w:p>
        </w:tc>
        <w:tc>
          <w:tcPr>
            <w:tcW w:w="676" w:type="pct"/>
            <w:tcBorders>
              <w:top w:val="nil"/>
              <w:left w:val="nil"/>
              <w:bottom w:val="nil"/>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F6562" w:rsidTr="000E5961">
        <w:trPr>
          <w:trHeight w:val="214"/>
        </w:trPr>
        <w:tc>
          <w:tcPr>
            <w:tcW w:w="2383" w:type="pct"/>
            <w:tcBorders>
              <w:top w:val="single" w:sz="8" w:space="0" w:color="4F81BD"/>
              <w:left w:val="single" w:sz="8" w:space="0" w:color="4F81BD"/>
              <w:bottom w:val="single" w:sz="8" w:space="0" w:color="4F81BD"/>
              <w:right w:val="nil"/>
            </w:tcBorders>
            <w:vAlign w:val="center"/>
            <w:hideMark/>
          </w:tcPr>
          <w:p w:rsidR="00BD5B7F" w:rsidRPr="00FF6562" w:rsidRDefault="00BD5B7F" w:rsidP="000E5961">
            <w:pPr>
              <w:ind w:left="284" w:hanging="284"/>
              <w:rPr>
                <w:rFonts w:ascii="Arial" w:eastAsia="Calibri" w:hAnsi="Arial" w:cs="Arial"/>
                <w:b/>
                <w:bCs/>
                <w:iCs/>
                <w:color w:val="000000"/>
                <w:szCs w:val="18"/>
              </w:rPr>
            </w:pPr>
            <w:r w:rsidRPr="00FF6562">
              <w:rPr>
                <w:rFonts w:ascii="Arial" w:eastAsia="Calibri" w:hAnsi="Arial" w:cs="Arial"/>
                <w:b/>
                <w:bCs/>
                <w:iCs/>
                <w:color w:val="000000"/>
                <w:bdr w:val="none" w:sz="0" w:space="0" w:color="auto" w:frame="1"/>
              </w:rPr>
              <w:t>9. Sanctions et peines</w:t>
            </w:r>
          </w:p>
        </w:tc>
        <w:tc>
          <w:tcPr>
            <w:tcW w:w="676" w:type="pct"/>
            <w:tcBorders>
              <w:top w:val="single" w:sz="8" w:space="0" w:color="4F81BD"/>
              <w:left w:val="nil"/>
              <w:bottom w:val="single" w:sz="8" w:space="0" w:color="4F81BD"/>
              <w:right w:val="nil"/>
            </w:tcBorders>
            <w:vAlign w:val="center"/>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szCs w:val="18"/>
              </w:rPr>
            </w:pPr>
          </w:p>
        </w:tc>
      </w:tr>
      <w:tr w:rsidR="00BD5B7F" w:rsidRPr="00FF6562" w:rsidTr="000E5961">
        <w:trPr>
          <w:trHeight w:val="214"/>
        </w:trPr>
        <w:tc>
          <w:tcPr>
            <w:tcW w:w="2383" w:type="pct"/>
            <w:tcBorders>
              <w:top w:val="nil"/>
              <w:left w:val="single" w:sz="8" w:space="0" w:color="4F81BD"/>
              <w:bottom w:val="nil"/>
              <w:right w:val="nil"/>
            </w:tcBorders>
            <w:vAlign w:val="center"/>
            <w:hideMark/>
          </w:tcPr>
          <w:p w:rsidR="00BD5B7F" w:rsidRPr="00FF6562" w:rsidRDefault="00BD5B7F" w:rsidP="000E5961">
            <w:pPr>
              <w:ind w:left="284" w:hanging="284"/>
              <w:rPr>
                <w:rFonts w:ascii="Arial" w:eastAsia="Calibri" w:hAnsi="Arial" w:cs="Arial"/>
                <w:b/>
                <w:bCs/>
                <w:iCs/>
                <w:color w:val="000000"/>
                <w:szCs w:val="18"/>
              </w:rPr>
            </w:pPr>
            <w:r w:rsidRPr="00FF6562">
              <w:rPr>
                <w:rFonts w:ascii="Arial" w:eastAsia="Calibri" w:hAnsi="Arial" w:cs="Arial"/>
                <w:b/>
                <w:bCs/>
                <w:iCs/>
                <w:color w:val="000000"/>
                <w:bdr w:val="none" w:sz="0" w:space="0" w:color="auto" w:frame="1"/>
              </w:rPr>
              <w:t>10. Proportionnalité des sanctions</w:t>
            </w:r>
          </w:p>
        </w:tc>
        <w:tc>
          <w:tcPr>
            <w:tcW w:w="676" w:type="pct"/>
            <w:tcBorders>
              <w:top w:val="nil"/>
              <w:left w:val="nil"/>
              <w:bottom w:val="nil"/>
              <w:right w:val="nil"/>
            </w:tcBorders>
            <w:vAlign w:val="center"/>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szCs w:val="18"/>
              </w:rPr>
            </w:pPr>
          </w:p>
        </w:tc>
      </w:tr>
      <w:tr w:rsidR="00BD5B7F" w:rsidRPr="00FF6562" w:rsidTr="000E5961">
        <w:trPr>
          <w:trHeight w:val="214"/>
        </w:trPr>
        <w:tc>
          <w:tcPr>
            <w:tcW w:w="2383" w:type="pct"/>
            <w:tcBorders>
              <w:top w:val="single" w:sz="8" w:space="0" w:color="4F81BD"/>
              <w:left w:val="single" w:sz="8" w:space="0" w:color="4F81BD"/>
              <w:bottom w:val="single" w:sz="8" w:space="0" w:color="4F81BD"/>
              <w:right w:val="nil"/>
            </w:tcBorders>
            <w:vAlign w:val="center"/>
            <w:hideMark/>
          </w:tcPr>
          <w:p w:rsidR="00BD5B7F" w:rsidRPr="00FF6562" w:rsidRDefault="00BD5B7F" w:rsidP="000E5961">
            <w:pPr>
              <w:ind w:left="284" w:hanging="284"/>
              <w:rPr>
                <w:rFonts w:ascii="Arial" w:eastAsia="Calibri" w:hAnsi="Arial" w:cs="Arial"/>
                <w:b/>
                <w:bCs/>
                <w:iCs/>
                <w:color w:val="000000"/>
                <w:szCs w:val="18"/>
              </w:rPr>
            </w:pPr>
            <w:r w:rsidRPr="00FF6562">
              <w:rPr>
                <w:rFonts w:ascii="Arial" w:eastAsia="Calibri" w:hAnsi="Arial" w:cs="Arial"/>
                <w:b/>
                <w:bCs/>
                <w:iCs/>
                <w:color w:val="000000"/>
                <w:bdr w:val="none" w:sz="0" w:space="0" w:color="auto" w:frame="1"/>
              </w:rPr>
              <w:t>11. Utilisation du droit pénal</w:t>
            </w:r>
            <w:r w:rsidRPr="00FF6562">
              <w:rPr>
                <w:rFonts w:ascii="Arial" w:eastAsia="Calibri" w:hAnsi="Arial" w:cs="Arial"/>
                <w:iCs/>
                <w:bdr w:val="none" w:sz="0" w:space="0" w:color="auto" w:frame="1"/>
              </w:rPr>
              <w:t xml:space="preserve"> </w:t>
            </w:r>
          </w:p>
        </w:tc>
        <w:tc>
          <w:tcPr>
            <w:tcW w:w="676" w:type="pct"/>
            <w:tcBorders>
              <w:top w:val="single" w:sz="8" w:space="0" w:color="4F81BD"/>
              <w:left w:val="nil"/>
              <w:bottom w:val="single" w:sz="8" w:space="0" w:color="4F81BD"/>
              <w:right w:val="nil"/>
            </w:tcBorders>
            <w:vAlign w:val="center"/>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szCs w:val="18"/>
              </w:rPr>
            </w:pPr>
          </w:p>
        </w:tc>
      </w:tr>
      <w:tr w:rsidR="00BD5B7F" w:rsidRPr="00FC42B0" w:rsidTr="000E5961">
        <w:trPr>
          <w:trHeight w:val="214"/>
        </w:trPr>
        <w:tc>
          <w:tcPr>
            <w:tcW w:w="2383" w:type="pct"/>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12. Législation relative à la criminalité organisée</w:t>
            </w:r>
          </w:p>
        </w:tc>
        <w:tc>
          <w:tcPr>
            <w:tcW w:w="676" w:type="pct"/>
            <w:tcBorders>
              <w:top w:val="nil"/>
              <w:left w:val="nil"/>
              <w:bottom w:val="nil"/>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C42B0" w:rsidTr="000E5961">
        <w:trPr>
          <w:trHeight w:val="214"/>
        </w:trPr>
        <w:tc>
          <w:tcPr>
            <w:tcW w:w="2383" w:type="pct"/>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13. Transposition du droit et des engagements internationaux dans la législation nationale</w:t>
            </w:r>
            <w:r w:rsidRPr="00865DA5">
              <w:rPr>
                <w:rFonts w:ascii="Arial" w:eastAsia="Calibri" w:hAnsi="Arial" w:cs="Arial"/>
                <w:iCs/>
                <w:bdr w:val="none" w:sz="0" w:space="0" w:color="auto" w:frame="1"/>
                <w:lang w:val="fr-FR"/>
              </w:rPr>
              <w:t xml:space="preserve"> </w:t>
            </w:r>
          </w:p>
        </w:tc>
        <w:tc>
          <w:tcPr>
            <w:tcW w:w="676" w:type="pct"/>
            <w:tcBorders>
              <w:top w:val="single" w:sz="8" w:space="0" w:color="4F81BD"/>
              <w:left w:val="nil"/>
              <w:bottom w:val="single" w:sz="8" w:space="0" w:color="4F81BD"/>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C42B0" w:rsidTr="000E5961">
        <w:trPr>
          <w:trHeight w:val="214"/>
        </w:trPr>
        <w:tc>
          <w:tcPr>
            <w:tcW w:w="2383" w:type="pct"/>
            <w:tcBorders>
              <w:top w:val="single" w:sz="12" w:space="0" w:color="95B3D7"/>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14. Plan d’action national pour la lutte contre l’IKB</w:t>
            </w:r>
          </w:p>
        </w:tc>
        <w:tc>
          <w:tcPr>
            <w:tcW w:w="676" w:type="pct"/>
            <w:tcBorders>
              <w:top w:val="single" w:sz="12" w:space="0" w:color="95B3D7"/>
              <w:left w:val="nil"/>
              <w:bottom w:val="nil"/>
              <w:right w:val="nil"/>
            </w:tcBorders>
            <w:vAlign w:val="center"/>
          </w:tcPr>
          <w:p w:rsidR="00BD5B7F" w:rsidRPr="00865DA5" w:rsidRDefault="00BD5B7F" w:rsidP="000E5961">
            <w:pPr>
              <w:rPr>
                <w:rFonts w:ascii="Arial" w:eastAsia="Calibri" w:hAnsi="Arial" w:cs="Arial"/>
                <w:iCs/>
                <w:color w:val="000000"/>
                <w:szCs w:val="18"/>
                <w:lang w:val="fr-FR"/>
              </w:rPr>
            </w:pPr>
          </w:p>
        </w:tc>
        <w:tc>
          <w:tcPr>
            <w:tcW w:w="1277" w:type="pct"/>
            <w:vMerge w:val="restart"/>
            <w:tcBorders>
              <w:top w:val="single" w:sz="12" w:space="0" w:color="95B3D7"/>
              <w:left w:val="nil"/>
              <w:bottom w:val="single" w:sz="8" w:space="0" w:color="4F81BD"/>
              <w:right w:val="nil"/>
            </w:tcBorders>
            <w:vAlign w:val="center"/>
            <w:hideMark/>
          </w:tcPr>
          <w:p w:rsidR="00BD5B7F" w:rsidRPr="00865DA5" w:rsidRDefault="00BD5B7F" w:rsidP="000E5961">
            <w:pPr>
              <w:ind w:left="175" w:hanging="175"/>
              <w:rPr>
                <w:rFonts w:ascii="Arial" w:eastAsia="Calibri" w:hAnsi="Arial" w:cs="Arial"/>
                <w:iCs/>
                <w:color w:val="000000"/>
                <w:szCs w:val="18"/>
                <w:lang w:val="fr-FR"/>
              </w:rPr>
            </w:pPr>
            <w:r w:rsidRPr="00865DA5">
              <w:rPr>
                <w:rFonts w:ascii="Arial" w:eastAsia="Calibri" w:hAnsi="Arial" w:cs="Arial"/>
                <w:iCs/>
                <w:color w:val="000000"/>
                <w:bdr w:val="none" w:sz="0" w:space="0" w:color="auto" w:frame="1"/>
                <w:lang w:val="fr-FR"/>
              </w:rPr>
              <w:t>C. Réponse en matière de lutte contre la fraude (Niveau de préparation des organes chargés de l’application des lois et de la lutte contre la fraude, et coordination des institutions nationales)</w:t>
            </w:r>
          </w:p>
        </w:tc>
        <w:tc>
          <w:tcPr>
            <w:tcW w:w="664" w:type="pct"/>
            <w:vMerge w:val="restart"/>
            <w:tcBorders>
              <w:top w:val="single" w:sz="12" w:space="0" w:color="95B3D7"/>
              <w:left w:val="nil"/>
              <w:bottom w:val="single" w:sz="8" w:space="0" w:color="4F81BD"/>
              <w:right w:val="single" w:sz="8" w:space="0" w:color="4F81BD"/>
            </w:tcBorders>
            <w:vAlign w:val="center"/>
          </w:tcPr>
          <w:p w:rsidR="00BD5B7F" w:rsidRPr="00865DA5" w:rsidRDefault="00BD5B7F" w:rsidP="000E5961">
            <w:pPr>
              <w:rPr>
                <w:rFonts w:ascii="Arial" w:eastAsia="Calibri" w:hAnsi="Arial" w:cs="Arial"/>
                <w:iCs/>
                <w:color w:val="000000"/>
                <w:szCs w:val="18"/>
                <w:lang w:val="fr-FR"/>
              </w:rPr>
            </w:pPr>
          </w:p>
        </w:tc>
      </w:tr>
      <w:tr w:rsidR="00BD5B7F" w:rsidRPr="00FC42B0" w:rsidTr="000E5961">
        <w:trPr>
          <w:trHeight w:val="214"/>
        </w:trPr>
        <w:tc>
          <w:tcPr>
            <w:tcW w:w="2383" w:type="pct"/>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15. Priorité de l’IKB dans la lutte contre la fraude</w:t>
            </w:r>
          </w:p>
        </w:tc>
        <w:tc>
          <w:tcPr>
            <w:tcW w:w="676" w:type="pct"/>
            <w:tcBorders>
              <w:top w:val="single" w:sz="8" w:space="0" w:color="4F81BD"/>
              <w:left w:val="nil"/>
              <w:bottom w:val="single" w:sz="8" w:space="0" w:color="4F81BD"/>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C42B0" w:rsidTr="000E5961">
        <w:trPr>
          <w:trHeight w:val="214"/>
        </w:trPr>
        <w:tc>
          <w:tcPr>
            <w:tcW w:w="2383" w:type="pct"/>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16. Parties prenantes et élaboration des politiques</w:t>
            </w:r>
          </w:p>
        </w:tc>
        <w:tc>
          <w:tcPr>
            <w:tcW w:w="676" w:type="pct"/>
            <w:tcBorders>
              <w:top w:val="nil"/>
              <w:left w:val="nil"/>
              <w:bottom w:val="nil"/>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F6562" w:rsidTr="000E5961">
        <w:trPr>
          <w:trHeight w:val="214"/>
        </w:trPr>
        <w:tc>
          <w:tcPr>
            <w:tcW w:w="2383" w:type="pct"/>
            <w:tcBorders>
              <w:top w:val="single" w:sz="12" w:space="0" w:color="95B3D7"/>
              <w:left w:val="single" w:sz="8" w:space="0" w:color="4F81BD"/>
              <w:bottom w:val="single" w:sz="8" w:space="0" w:color="4F81BD"/>
              <w:right w:val="nil"/>
            </w:tcBorders>
            <w:vAlign w:val="center"/>
            <w:hideMark/>
          </w:tcPr>
          <w:p w:rsidR="00BD5B7F" w:rsidRPr="00FF6562" w:rsidRDefault="00BD5B7F" w:rsidP="000E5961">
            <w:pPr>
              <w:ind w:left="284" w:hanging="284"/>
              <w:rPr>
                <w:rFonts w:ascii="Arial" w:eastAsia="Calibri" w:hAnsi="Arial" w:cs="Arial"/>
                <w:b/>
                <w:bCs/>
                <w:iCs/>
                <w:color w:val="000000"/>
                <w:szCs w:val="18"/>
              </w:rPr>
            </w:pPr>
            <w:r w:rsidRPr="00FF6562">
              <w:rPr>
                <w:rFonts w:ascii="Arial" w:eastAsia="Calibri" w:hAnsi="Arial" w:cs="Arial"/>
                <w:b/>
                <w:bCs/>
                <w:iCs/>
                <w:color w:val="000000"/>
                <w:bdr w:val="none" w:sz="0" w:space="0" w:color="auto" w:frame="1"/>
              </w:rPr>
              <w:t>17. Personnel et recrutement</w:t>
            </w:r>
          </w:p>
        </w:tc>
        <w:tc>
          <w:tcPr>
            <w:tcW w:w="676" w:type="pct"/>
            <w:tcBorders>
              <w:top w:val="single" w:sz="8" w:space="0" w:color="4F81BD"/>
              <w:left w:val="nil"/>
              <w:bottom w:val="single" w:sz="8" w:space="0" w:color="4F81BD"/>
              <w:right w:val="nil"/>
            </w:tcBorders>
            <w:vAlign w:val="center"/>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szCs w:val="18"/>
              </w:rPr>
            </w:pPr>
          </w:p>
        </w:tc>
      </w:tr>
      <w:tr w:rsidR="00BD5B7F" w:rsidRPr="00FF6562" w:rsidTr="000E5961">
        <w:trPr>
          <w:trHeight w:val="214"/>
        </w:trPr>
        <w:tc>
          <w:tcPr>
            <w:tcW w:w="2383" w:type="pct"/>
            <w:tcBorders>
              <w:top w:val="nil"/>
              <w:left w:val="single" w:sz="8" w:space="0" w:color="4F81BD"/>
              <w:bottom w:val="nil"/>
              <w:right w:val="nil"/>
            </w:tcBorders>
            <w:vAlign w:val="center"/>
            <w:hideMark/>
          </w:tcPr>
          <w:p w:rsidR="00BD5B7F" w:rsidRPr="00FF6562" w:rsidRDefault="00BD5B7F" w:rsidP="000E5961">
            <w:pPr>
              <w:ind w:left="284" w:hanging="284"/>
              <w:rPr>
                <w:rFonts w:ascii="Arial" w:eastAsia="Calibri" w:hAnsi="Arial" w:cs="Arial"/>
                <w:b/>
                <w:bCs/>
                <w:iCs/>
                <w:color w:val="000000"/>
                <w:szCs w:val="18"/>
              </w:rPr>
            </w:pPr>
            <w:r w:rsidRPr="00FF6562">
              <w:rPr>
                <w:rFonts w:ascii="Arial" w:eastAsia="Calibri" w:hAnsi="Arial" w:cs="Arial"/>
                <w:b/>
                <w:bCs/>
                <w:iCs/>
                <w:color w:val="000000"/>
                <w:bdr w:val="none" w:sz="0" w:space="0" w:color="auto" w:frame="1"/>
              </w:rPr>
              <w:t>18. Formation spécifique</w:t>
            </w:r>
            <w:r w:rsidRPr="00FF6562">
              <w:rPr>
                <w:rFonts w:ascii="Arial" w:eastAsia="Calibri" w:hAnsi="Arial" w:cs="Arial"/>
                <w:iCs/>
                <w:bdr w:val="none" w:sz="0" w:space="0" w:color="auto" w:frame="1"/>
              </w:rPr>
              <w:t xml:space="preserve"> </w:t>
            </w:r>
          </w:p>
        </w:tc>
        <w:tc>
          <w:tcPr>
            <w:tcW w:w="676" w:type="pct"/>
            <w:tcBorders>
              <w:top w:val="nil"/>
              <w:left w:val="nil"/>
              <w:bottom w:val="nil"/>
              <w:right w:val="nil"/>
            </w:tcBorders>
            <w:vAlign w:val="center"/>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szCs w:val="18"/>
              </w:rPr>
            </w:pPr>
          </w:p>
        </w:tc>
      </w:tr>
      <w:tr w:rsidR="00BD5B7F" w:rsidRPr="00FF6562" w:rsidTr="000E5961">
        <w:trPr>
          <w:trHeight w:val="214"/>
        </w:trPr>
        <w:tc>
          <w:tcPr>
            <w:tcW w:w="2383" w:type="pct"/>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19. Effort de lutte contre l’IKB sur le terrain</w:t>
            </w:r>
          </w:p>
        </w:tc>
        <w:tc>
          <w:tcPr>
            <w:tcW w:w="676" w:type="pct"/>
            <w:tcBorders>
              <w:top w:val="single" w:sz="8" w:space="0" w:color="4F81BD"/>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szCs w:val="18"/>
              </w:rPr>
            </w:pPr>
            <w:r w:rsidRPr="00FF6562">
              <w:rPr>
                <w:rFonts w:ascii="Arial" w:eastAsia="Calibri" w:hAnsi="Arial" w:cs="Arial"/>
                <w:iCs/>
                <w:color w:val="000000"/>
                <w:bdr w:val="none" w:sz="0" w:space="0" w:color="auto" w:frame="1"/>
              </w:rPr>
              <w:t>données</w:t>
            </w:r>
          </w:p>
        </w:tc>
        <w:tc>
          <w:tcPr>
            <w:tcW w:w="0" w:type="auto"/>
            <w:vMerge/>
            <w:tcBorders>
              <w:top w:val="single" w:sz="12" w:space="0" w:color="95B3D7"/>
              <w:left w:val="nil"/>
              <w:bottom w:val="single" w:sz="8" w:space="0" w:color="4F81BD"/>
              <w:right w:val="nil"/>
            </w:tcBorders>
            <w:vAlign w:val="center"/>
            <w:hideMark/>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FF6562" w:rsidRDefault="00BD5B7F" w:rsidP="000E5961">
            <w:pPr>
              <w:rPr>
                <w:rFonts w:ascii="Arial" w:eastAsia="Calibri" w:hAnsi="Arial" w:cs="Arial"/>
                <w:iCs/>
                <w:color w:val="000000"/>
                <w:szCs w:val="18"/>
              </w:rPr>
            </w:pPr>
          </w:p>
        </w:tc>
      </w:tr>
      <w:tr w:rsidR="00BD5B7F" w:rsidRPr="00FC42B0" w:rsidTr="000E5961">
        <w:trPr>
          <w:trHeight w:val="214"/>
        </w:trPr>
        <w:tc>
          <w:tcPr>
            <w:tcW w:w="2383" w:type="pct"/>
            <w:tcBorders>
              <w:top w:val="single" w:sz="12" w:space="0" w:color="95B3D7"/>
              <w:left w:val="single" w:sz="8" w:space="0" w:color="4F81BD"/>
              <w:bottom w:val="nil"/>
              <w:right w:val="nil"/>
            </w:tcBorders>
            <w:vAlign w:val="center"/>
            <w:hideMark/>
          </w:tcPr>
          <w:p w:rsidR="00BD5B7F" w:rsidRPr="00FF6562" w:rsidRDefault="00BD5B7F" w:rsidP="000E5961">
            <w:pPr>
              <w:ind w:left="284" w:hanging="284"/>
              <w:rPr>
                <w:rFonts w:ascii="Arial" w:eastAsia="Calibri" w:hAnsi="Arial" w:cs="Arial"/>
                <w:b/>
                <w:bCs/>
                <w:iCs/>
                <w:color w:val="000000"/>
                <w:szCs w:val="18"/>
              </w:rPr>
            </w:pPr>
            <w:r w:rsidRPr="00FF6562">
              <w:rPr>
                <w:rFonts w:ascii="Arial" w:eastAsia="Calibri" w:hAnsi="Arial" w:cs="Arial"/>
                <w:b/>
                <w:bCs/>
                <w:iCs/>
                <w:color w:val="000000"/>
                <w:bdr w:val="none" w:sz="0" w:space="0" w:color="auto" w:frame="1"/>
              </w:rPr>
              <w:t>20. Qualité des procédures judiciaires</w:t>
            </w:r>
          </w:p>
        </w:tc>
        <w:tc>
          <w:tcPr>
            <w:tcW w:w="676" w:type="pct"/>
            <w:tcBorders>
              <w:top w:val="single" w:sz="12" w:space="0" w:color="95B3D7"/>
              <w:left w:val="nil"/>
              <w:bottom w:val="nil"/>
              <w:right w:val="nil"/>
            </w:tcBorders>
            <w:vAlign w:val="center"/>
          </w:tcPr>
          <w:p w:rsidR="00BD5B7F" w:rsidRPr="00FF6562" w:rsidRDefault="00BD5B7F" w:rsidP="000E5961">
            <w:pPr>
              <w:rPr>
                <w:rFonts w:ascii="Arial" w:eastAsia="Calibri" w:hAnsi="Arial" w:cs="Arial"/>
                <w:iCs/>
                <w:color w:val="000000"/>
                <w:szCs w:val="18"/>
              </w:rPr>
            </w:pPr>
          </w:p>
        </w:tc>
        <w:tc>
          <w:tcPr>
            <w:tcW w:w="1277" w:type="pct"/>
            <w:vMerge w:val="restart"/>
            <w:tcBorders>
              <w:top w:val="single" w:sz="12" w:space="0" w:color="95B3D7"/>
              <w:left w:val="nil"/>
              <w:bottom w:val="single" w:sz="8" w:space="0" w:color="4F81BD"/>
              <w:right w:val="nil"/>
            </w:tcBorders>
            <w:vAlign w:val="center"/>
            <w:hideMark/>
          </w:tcPr>
          <w:p w:rsidR="00BD5B7F" w:rsidRPr="00865DA5" w:rsidRDefault="00BD5B7F" w:rsidP="000E5961">
            <w:pPr>
              <w:ind w:left="175" w:hanging="175"/>
              <w:rPr>
                <w:rFonts w:ascii="Arial" w:eastAsia="Calibri" w:hAnsi="Arial" w:cs="Arial"/>
                <w:iCs/>
                <w:color w:val="000000"/>
                <w:szCs w:val="18"/>
                <w:lang w:val="fr-FR"/>
              </w:rPr>
            </w:pPr>
            <w:r w:rsidRPr="00865DA5">
              <w:rPr>
                <w:rFonts w:ascii="Arial" w:eastAsia="Calibri" w:hAnsi="Arial" w:cs="Arial"/>
                <w:iCs/>
                <w:color w:val="000000"/>
                <w:bdr w:val="none" w:sz="0" w:space="0" w:color="auto" w:frame="1"/>
                <w:lang w:val="fr-FR"/>
              </w:rPr>
              <w:t>D. Poursuites et condamnations (Efficacité des procédures judiciaires)</w:t>
            </w:r>
          </w:p>
        </w:tc>
        <w:tc>
          <w:tcPr>
            <w:tcW w:w="664" w:type="pct"/>
            <w:vMerge w:val="restart"/>
            <w:tcBorders>
              <w:top w:val="single" w:sz="12" w:space="0" w:color="95B3D7"/>
              <w:left w:val="nil"/>
              <w:bottom w:val="single" w:sz="8" w:space="0" w:color="4F81BD"/>
              <w:right w:val="single" w:sz="8" w:space="0" w:color="4F81BD"/>
            </w:tcBorders>
            <w:vAlign w:val="center"/>
          </w:tcPr>
          <w:p w:rsidR="00BD5B7F" w:rsidRPr="00865DA5" w:rsidRDefault="00BD5B7F" w:rsidP="000E5961">
            <w:pPr>
              <w:rPr>
                <w:rFonts w:ascii="Arial" w:eastAsia="Calibri" w:hAnsi="Arial" w:cs="Arial"/>
                <w:iCs/>
                <w:color w:val="000000"/>
                <w:szCs w:val="18"/>
                <w:lang w:val="fr-FR"/>
              </w:rPr>
            </w:pPr>
          </w:p>
        </w:tc>
      </w:tr>
      <w:tr w:rsidR="00BD5B7F" w:rsidRPr="00FC42B0" w:rsidTr="000E5961">
        <w:trPr>
          <w:trHeight w:val="214"/>
        </w:trPr>
        <w:tc>
          <w:tcPr>
            <w:tcW w:w="2383" w:type="pct"/>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21. Lignes directrices sur les condamnations</w:t>
            </w:r>
          </w:p>
        </w:tc>
        <w:tc>
          <w:tcPr>
            <w:tcW w:w="676" w:type="pct"/>
            <w:tcBorders>
              <w:top w:val="single" w:sz="8" w:space="0" w:color="4F81BD"/>
              <w:left w:val="nil"/>
              <w:bottom w:val="single" w:sz="8" w:space="0" w:color="4F81BD"/>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C42B0" w:rsidTr="000E5961">
        <w:trPr>
          <w:trHeight w:val="214"/>
        </w:trPr>
        <w:tc>
          <w:tcPr>
            <w:tcW w:w="2383" w:type="pct"/>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22. Prise de conscience au sein du système judiciaire</w:t>
            </w:r>
          </w:p>
        </w:tc>
        <w:tc>
          <w:tcPr>
            <w:tcW w:w="676" w:type="pct"/>
            <w:tcBorders>
              <w:top w:val="nil"/>
              <w:left w:val="nil"/>
              <w:bottom w:val="nil"/>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C42B0" w:rsidTr="000E5961">
        <w:trPr>
          <w:trHeight w:val="214"/>
        </w:trPr>
        <w:tc>
          <w:tcPr>
            <w:tcW w:w="2383" w:type="pct"/>
            <w:tcBorders>
              <w:top w:val="single" w:sz="8" w:space="0" w:color="4F81BD"/>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lastRenderedPageBreak/>
              <w:t>23. Formation au sein du système judiciaire</w:t>
            </w:r>
          </w:p>
        </w:tc>
        <w:tc>
          <w:tcPr>
            <w:tcW w:w="676" w:type="pct"/>
            <w:tcBorders>
              <w:top w:val="single" w:sz="8" w:space="0" w:color="4F81BD"/>
              <w:left w:val="nil"/>
              <w:bottom w:val="single" w:sz="8" w:space="0" w:color="4F81BD"/>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single" w:sz="8" w:space="0" w:color="4F81BD"/>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C42B0" w:rsidTr="000E5961">
        <w:trPr>
          <w:trHeight w:val="214"/>
        </w:trPr>
        <w:tc>
          <w:tcPr>
            <w:tcW w:w="2383" w:type="pct"/>
            <w:tcBorders>
              <w:top w:val="single" w:sz="12" w:space="0" w:color="95B3D7"/>
              <w:left w:val="single" w:sz="8" w:space="0" w:color="4F81BD"/>
              <w:bottom w:val="nil"/>
              <w:right w:val="nil"/>
            </w:tcBorders>
            <w:vAlign w:val="center"/>
            <w:hideMark/>
          </w:tcPr>
          <w:p w:rsidR="00BD5B7F" w:rsidRPr="00FF6562" w:rsidRDefault="00BD5B7F" w:rsidP="000E5961">
            <w:pPr>
              <w:ind w:left="284" w:hanging="284"/>
              <w:rPr>
                <w:rFonts w:ascii="Arial" w:eastAsia="Calibri" w:hAnsi="Arial" w:cs="Arial"/>
                <w:b/>
                <w:bCs/>
                <w:iCs/>
                <w:color w:val="000000"/>
                <w:szCs w:val="18"/>
              </w:rPr>
            </w:pPr>
            <w:r w:rsidRPr="00FF6562">
              <w:rPr>
                <w:rFonts w:ascii="Arial" w:eastAsia="Calibri" w:hAnsi="Arial" w:cs="Arial"/>
                <w:b/>
                <w:bCs/>
                <w:iCs/>
                <w:color w:val="000000"/>
                <w:bdr w:val="none" w:sz="0" w:space="0" w:color="auto" w:frame="1"/>
              </w:rPr>
              <w:t>24. Coopération internationale</w:t>
            </w:r>
          </w:p>
        </w:tc>
        <w:tc>
          <w:tcPr>
            <w:tcW w:w="676" w:type="pct"/>
            <w:tcBorders>
              <w:top w:val="single" w:sz="12" w:space="0" w:color="95B3D7"/>
              <w:left w:val="nil"/>
              <w:bottom w:val="nil"/>
              <w:right w:val="nil"/>
            </w:tcBorders>
            <w:vAlign w:val="center"/>
          </w:tcPr>
          <w:p w:rsidR="00BD5B7F" w:rsidRPr="00FF6562" w:rsidRDefault="00BD5B7F" w:rsidP="000E5961">
            <w:pPr>
              <w:rPr>
                <w:rFonts w:ascii="Arial" w:eastAsia="Calibri" w:hAnsi="Arial" w:cs="Arial"/>
                <w:iCs/>
                <w:color w:val="000000"/>
                <w:szCs w:val="18"/>
              </w:rPr>
            </w:pPr>
          </w:p>
        </w:tc>
        <w:tc>
          <w:tcPr>
            <w:tcW w:w="1277" w:type="pct"/>
            <w:vMerge w:val="restart"/>
            <w:tcBorders>
              <w:top w:val="single" w:sz="12" w:space="0" w:color="95B3D7"/>
              <w:left w:val="nil"/>
              <w:bottom w:val="nil"/>
              <w:right w:val="nil"/>
            </w:tcBorders>
            <w:vAlign w:val="center"/>
            <w:hideMark/>
          </w:tcPr>
          <w:p w:rsidR="00BD5B7F" w:rsidRPr="00865DA5" w:rsidRDefault="00BD5B7F" w:rsidP="000E5961">
            <w:pPr>
              <w:ind w:left="175" w:hanging="175"/>
              <w:rPr>
                <w:rFonts w:ascii="Arial" w:eastAsia="Calibri" w:hAnsi="Arial" w:cs="Arial"/>
                <w:iCs/>
                <w:color w:val="000000"/>
                <w:szCs w:val="18"/>
                <w:lang w:val="fr-FR"/>
              </w:rPr>
            </w:pPr>
            <w:r w:rsidRPr="00865DA5">
              <w:rPr>
                <w:rFonts w:ascii="Arial" w:eastAsia="Calibri" w:hAnsi="Arial" w:cs="Arial"/>
                <w:iCs/>
                <w:color w:val="000000"/>
                <w:bdr w:val="none" w:sz="0" w:space="0" w:color="auto" w:frame="1"/>
                <w:lang w:val="fr-FR"/>
              </w:rPr>
              <w:t>E. Prévention (Autres instruments utilisés pour lutter contre à l’IKB)</w:t>
            </w:r>
          </w:p>
        </w:tc>
        <w:tc>
          <w:tcPr>
            <w:tcW w:w="664" w:type="pct"/>
            <w:vMerge w:val="restart"/>
            <w:tcBorders>
              <w:top w:val="single" w:sz="12" w:space="0" w:color="95B3D7"/>
              <w:left w:val="nil"/>
              <w:bottom w:val="nil"/>
              <w:right w:val="single" w:sz="8" w:space="0" w:color="4F81BD"/>
            </w:tcBorders>
            <w:vAlign w:val="center"/>
          </w:tcPr>
          <w:p w:rsidR="00BD5B7F" w:rsidRPr="00865DA5" w:rsidRDefault="00BD5B7F" w:rsidP="000E5961">
            <w:pPr>
              <w:rPr>
                <w:rFonts w:ascii="Arial" w:eastAsia="Calibri" w:hAnsi="Arial" w:cs="Arial"/>
                <w:iCs/>
                <w:color w:val="000000"/>
                <w:szCs w:val="18"/>
                <w:lang w:val="fr-FR"/>
              </w:rPr>
            </w:pPr>
          </w:p>
        </w:tc>
      </w:tr>
      <w:tr w:rsidR="00BD5B7F" w:rsidRPr="00FC42B0" w:rsidTr="000E5961">
        <w:trPr>
          <w:trHeight w:val="214"/>
        </w:trPr>
        <w:tc>
          <w:tcPr>
            <w:tcW w:w="2383" w:type="pct"/>
            <w:tcBorders>
              <w:top w:val="single" w:sz="12" w:space="0" w:color="95B3D7"/>
              <w:left w:val="single" w:sz="8" w:space="0" w:color="4F81BD"/>
              <w:bottom w:val="single" w:sz="8" w:space="0" w:color="4F81BD"/>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25. Moteurs de la criminalité liée aux espèces sauvages</w:t>
            </w:r>
          </w:p>
        </w:tc>
        <w:tc>
          <w:tcPr>
            <w:tcW w:w="676" w:type="pct"/>
            <w:tcBorders>
              <w:top w:val="single" w:sz="8" w:space="0" w:color="4F81BD"/>
              <w:left w:val="nil"/>
              <w:bottom w:val="single" w:sz="8" w:space="0" w:color="4F81BD"/>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nil"/>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nil"/>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C42B0" w:rsidTr="000E5961">
        <w:trPr>
          <w:trHeight w:val="214"/>
        </w:trPr>
        <w:tc>
          <w:tcPr>
            <w:tcW w:w="2383" w:type="pct"/>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26. Activités relatives à la demande</w:t>
            </w:r>
          </w:p>
        </w:tc>
        <w:tc>
          <w:tcPr>
            <w:tcW w:w="676" w:type="pct"/>
            <w:tcBorders>
              <w:top w:val="nil"/>
              <w:left w:val="nil"/>
              <w:bottom w:val="nil"/>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nil"/>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nil"/>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F6562" w:rsidTr="000E5961">
        <w:trPr>
          <w:trHeight w:val="214"/>
        </w:trPr>
        <w:tc>
          <w:tcPr>
            <w:tcW w:w="2383" w:type="pct"/>
            <w:tcBorders>
              <w:top w:val="single" w:sz="8" w:space="0" w:color="4F81BD"/>
              <w:left w:val="single" w:sz="8" w:space="0" w:color="4F81BD"/>
              <w:bottom w:val="single" w:sz="8" w:space="0" w:color="4F81BD"/>
              <w:right w:val="nil"/>
            </w:tcBorders>
            <w:vAlign w:val="center"/>
            <w:hideMark/>
          </w:tcPr>
          <w:p w:rsidR="00BD5B7F" w:rsidRPr="00FF6562" w:rsidRDefault="00BD5B7F" w:rsidP="000E5961">
            <w:pPr>
              <w:ind w:left="284" w:hanging="284"/>
              <w:rPr>
                <w:rFonts w:ascii="Arial" w:eastAsia="Calibri" w:hAnsi="Arial" w:cs="Arial"/>
                <w:b/>
                <w:bCs/>
                <w:iCs/>
                <w:color w:val="000000"/>
                <w:szCs w:val="18"/>
              </w:rPr>
            </w:pPr>
            <w:r w:rsidRPr="00FF6562">
              <w:rPr>
                <w:rFonts w:ascii="Arial" w:eastAsia="Calibri" w:hAnsi="Arial" w:cs="Arial"/>
                <w:b/>
                <w:bCs/>
                <w:iCs/>
                <w:color w:val="000000"/>
                <w:bdr w:val="none" w:sz="0" w:space="0" w:color="auto" w:frame="1"/>
              </w:rPr>
              <w:t>27. Communauté soumise aux réglementations</w:t>
            </w:r>
          </w:p>
        </w:tc>
        <w:tc>
          <w:tcPr>
            <w:tcW w:w="676" w:type="pct"/>
            <w:tcBorders>
              <w:top w:val="single" w:sz="8" w:space="0" w:color="4F81BD"/>
              <w:left w:val="nil"/>
              <w:bottom w:val="single" w:sz="8" w:space="0" w:color="4F81BD"/>
              <w:right w:val="nil"/>
            </w:tcBorders>
            <w:vAlign w:val="center"/>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nil"/>
              <w:right w:val="nil"/>
            </w:tcBorders>
            <w:vAlign w:val="center"/>
            <w:hideMark/>
          </w:tcPr>
          <w:p w:rsidR="00BD5B7F" w:rsidRPr="00FF6562" w:rsidRDefault="00BD5B7F" w:rsidP="000E5961">
            <w:pPr>
              <w:rPr>
                <w:rFonts w:ascii="Arial" w:eastAsia="Calibri" w:hAnsi="Arial" w:cs="Arial"/>
                <w:iCs/>
                <w:color w:val="000000"/>
                <w:szCs w:val="18"/>
              </w:rPr>
            </w:pPr>
          </w:p>
        </w:tc>
        <w:tc>
          <w:tcPr>
            <w:tcW w:w="0" w:type="auto"/>
            <w:vMerge/>
            <w:tcBorders>
              <w:top w:val="single" w:sz="12" w:space="0" w:color="95B3D7"/>
              <w:left w:val="nil"/>
              <w:bottom w:val="nil"/>
              <w:right w:val="single" w:sz="8" w:space="0" w:color="4F81BD"/>
            </w:tcBorders>
            <w:vAlign w:val="center"/>
            <w:hideMark/>
          </w:tcPr>
          <w:p w:rsidR="00BD5B7F" w:rsidRPr="00FF6562" w:rsidRDefault="00BD5B7F" w:rsidP="000E5961">
            <w:pPr>
              <w:rPr>
                <w:rFonts w:ascii="Arial" w:eastAsia="Calibri" w:hAnsi="Arial" w:cs="Arial"/>
                <w:iCs/>
                <w:color w:val="000000"/>
                <w:szCs w:val="18"/>
              </w:rPr>
            </w:pPr>
          </w:p>
        </w:tc>
      </w:tr>
      <w:tr w:rsidR="00BD5B7F" w:rsidRPr="00FC42B0" w:rsidTr="000E5961">
        <w:trPr>
          <w:trHeight w:val="214"/>
        </w:trPr>
        <w:tc>
          <w:tcPr>
            <w:tcW w:w="2383" w:type="pct"/>
            <w:tcBorders>
              <w:top w:val="nil"/>
              <w:left w:val="single" w:sz="8" w:space="0" w:color="4F81BD"/>
              <w:bottom w:val="nil"/>
              <w:right w:val="nil"/>
            </w:tcBorders>
            <w:vAlign w:val="center"/>
            <w:hideMark/>
          </w:tcPr>
          <w:p w:rsidR="00BD5B7F" w:rsidRPr="00865DA5" w:rsidRDefault="00BD5B7F" w:rsidP="000E5961">
            <w:pPr>
              <w:ind w:left="284" w:hanging="284"/>
              <w:rPr>
                <w:rFonts w:ascii="Arial" w:eastAsia="Calibri" w:hAnsi="Arial" w:cs="Arial"/>
                <w:b/>
                <w:bCs/>
                <w:iCs/>
                <w:color w:val="000000"/>
                <w:szCs w:val="18"/>
                <w:lang w:val="fr-FR"/>
              </w:rPr>
            </w:pPr>
            <w:r w:rsidRPr="00865DA5">
              <w:rPr>
                <w:rFonts w:ascii="Arial" w:eastAsia="Calibri" w:hAnsi="Arial" w:cs="Arial"/>
                <w:b/>
                <w:bCs/>
                <w:iCs/>
                <w:color w:val="000000"/>
                <w:bdr w:val="none" w:sz="0" w:space="0" w:color="auto" w:frame="1"/>
                <w:lang w:val="fr-FR"/>
              </w:rPr>
              <w:t>28. Actions de sensibilisation du public</w:t>
            </w:r>
          </w:p>
        </w:tc>
        <w:tc>
          <w:tcPr>
            <w:tcW w:w="676" w:type="pct"/>
            <w:tcBorders>
              <w:top w:val="nil"/>
              <w:left w:val="nil"/>
              <w:bottom w:val="nil"/>
              <w:right w:val="nil"/>
            </w:tcBorders>
            <w:vAlign w:val="center"/>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nil"/>
              <w:right w:val="nil"/>
            </w:tcBorders>
            <w:vAlign w:val="center"/>
            <w:hideMark/>
          </w:tcPr>
          <w:p w:rsidR="00BD5B7F" w:rsidRPr="00865DA5" w:rsidRDefault="00BD5B7F" w:rsidP="000E5961">
            <w:pPr>
              <w:rPr>
                <w:rFonts w:ascii="Arial" w:eastAsia="Calibri" w:hAnsi="Arial" w:cs="Arial"/>
                <w:iCs/>
                <w:color w:val="000000"/>
                <w:szCs w:val="18"/>
                <w:lang w:val="fr-FR"/>
              </w:rPr>
            </w:pPr>
          </w:p>
        </w:tc>
        <w:tc>
          <w:tcPr>
            <w:tcW w:w="0" w:type="auto"/>
            <w:vMerge/>
            <w:tcBorders>
              <w:top w:val="single" w:sz="12" w:space="0" w:color="95B3D7"/>
              <w:left w:val="nil"/>
              <w:bottom w:val="nil"/>
              <w:right w:val="single" w:sz="8" w:space="0" w:color="4F81BD"/>
            </w:tcBorders>
            <w:vAlign w:val="center"/>
            <w:hideMark/>
          </w:tcPr>
          <w:p w:rsidR="00BD5B7F" w:rsidRPr="00865DA5" w:rsidRDefault="00BD5B7F" w:rsidP="000E5961">
            <w:pPr>
              <w:rPr>
                <w:rFonts w:ascii="Arial" w:eastAsia="Calibri" w:hAnsi="Arial" w:cs="Arial"/>
                <w:iCs/>
                <w:color w:val="000000"/>
                <w:szCs w:val="18"/>
                <w:lang w:val="fr-FR"/>
              </w:rPr>
            </w:pPr>
          </w:p>
        </w:tc>
      </w:tr>
      <w:tr w:rsidR="00BD5B7F" w:rsidRPr="00FF6562" w:rsidTr="000E5961">
        <w:trPr>
          <w:trHeight w:val="214"/>
        </w:trPr>
        <w:tc>
          <w:tcPr>
            <w:tcW w:w="4336" w:type="pct"/>
            <w:gridSpan w:val="3"/>
            <w:tcBorders>
              <w:top w:val="single" w:sz="8" w:space="0" w:color="4F81BD"/>
              <w:left w:val="single" w:sz="8" w:space="0" w:color="4F81BD"/>
              <w:bottom w:val="single" w:sz="8" w:space="0" w:color="4F81BD"/>
              <w:right w:val="nil"/>
            </w:tcBorders>
            <w:vAlign w:val="center"/>
            <w:hideMark/>
          </w:tcPr>
          <w:p w:rsidR="00BD5B7F" w:rsidRPr="00FF6562" w:rsidRDefault="00BD5B7F" w:rsidP="000E5961">
            <w:pPr>
              <w:rPr>
                <w:rFonts w:ascii="Arial" w:eastAsia="Calibri" w:hAnsi="Arial" w:cs="Arial"/>
                <w:b/>
                <w:bCs/>
                <w:iCs/>
                <w:color w:val="000000"/>
                <w:sz w:val="22"/>
                <w:szCs w:val="18"/>
              </w:rPr>
            </w:pPr>
            <w:r w:rsidRPr="00FF6562">
              <w:rPr>
                <w:rFonts w:ascii="Arial" w:eastAsia="Calibri" w:hAnsi="Arial" w:cs="Arial"/>
                <w:b/>
                <w:bCs/>
                <w:i/>
                <w:iCs/>
                <w:color w:val="000000"/>
                <w:sz w:val="22"/>
                <w:szCs w:val="22"/>
                <w:bdr w:val="none" w:sz="0" w:space="0" w:color="auto" w:frame="1"/>
              </w:rPr>
              <w:t>SCORE TOTAL</w:t>
            </w:r>
          </w:p>
        </w:tc>
        <w:tc>
          <w:tcPr>
            <w:tcW w:w="664" w:type="pct"/>
            <w:tcBorders>
              <w:top w:val="single" w:sz="8" w:space="0" w:color="4F81BD"/>
              <w:left w:val="nil"/>
              <w:bottom w:val="single" w:sz="8" w:space="0" w:color="4F81BD"/>
              <w:right w:val="single" w:sz="8" w:space="0" w:color="4F81BD"/>
            </w:tcBorders>
            <w:vAlign w:val="center"/>
          </w:tcPr>
          <w:p w:rsidR="00BD5B7F" w:rsidRPr="00FF6562" w:rsidRDefault="00BD5B7F" w:rsidP="000E5961">
            <w:pPr>
              <w:rPr>
                <w:rFonts w:ascii="Arial" w:eastAsia="Calibri" w:hAnsi="Arial" w:cs="Arial"/>
                <w:iCs/>
                <w:color w:val="000000"/>
                <w:sz w:val="22"/>
                <w:szCs w:val="18"/>
              </w:rPr>
            </w:pPr>
          </w:p>
        </w:tc>
      </w:tr>
    </w:tbl>
    <w:p w:rsidR="00BD5B7F" w:rsidRPr="008041B3" w:rsidRDefault="00BD5B7F" w:rsidP="00BD5B7F">
      <w:pPr>
        <w:tabs>
          <w:tab w:val="left" w:pos="426"/>
        </w:tabs>
        <w:spacing w:after="120"/>
        <w:jc w:val="both"/>
        <w:rPr>
          <w:b/>
          <w:sz w:val="40"/>
          <w:szCs w:val="40"/>
        </w:rPr>
      </w:pPr>
    </w:p>
    <w:p w:rsidR="00415733" w:rsidRDefault="00415733"/>
    <w:sectPr w:rsidR="00415733" w:rsidSect="0021279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B7F" w:rsidRDefault="00BD5B7F" w:rsidP="00BD5B7F">
      <w:r>
        <w:separator/>
      </w:r>
    </w:p>
  </w:endnote>
  <w:endnote w:type="continuationSeparator" w:id="0">
    <w:p w:rsidR="00BD5B7F" w:rsidRDefault="00BD5B7F" w:rsidP="00BD5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B7F" w:rsidRDefault="00BD5B7F" w:rsidP="00BD5B7F">
      <w:r>
        <w:separator/>
      </w:r>
    </w:p>
  </w:footnote>
  <w:footnote w:type="continuationSeparator" w:id="0">
    <w:p w:rsidR="00BD5B7F" w:rsidRDefault="00BD5B7F" w:rsidP="00BD5B7F">
      <w:r>
        <w:continuationSeparator/>
      </w:r>
    </w:p>
  </w:footnote>
  <w:footnote w:id="1">
    <w:p w:rsidR="00BD5B7F" w:rsidRPr="00FF6562" w:rsidRDefault="00BD5B7F" w:rsidP="00BD5B7F">
      <w:pPr>
        <w:tabs>
          <w:tab w:val="left" w:pos="284"/>
        </w:tabs>
        <w:ind w:left="284" w:hanging="284"/>
        <w:jc w:val="both"/>
        <w:rPr>
          <w:rFonts w:ascii="Arial" w:hAnsi="Arial" w:cs="Arial"/>
          <w:sz w:val="18"/>
          <w:szCs w:val="18"/>
          <w:lang w:val="it-IT"/>
        </w:rPr>
      </w:pPr>
      <w:r>
        <w:rPr>
          <w:rStyle w:val="Appelnotedebasdep"/>
          <w:rFonts w:ascii="Arial" w:hAnsi="Arial" w:cs="Arial"/>
          <w:sz w:val="16"/>
          <w:szCs w:val="16"/>
        </w:rPr>
        <w:footnoteRef/>
      </w:r>
      <w:r w:rsidRPr="00865DA5">
        <w:rPr>
          <w:rFonts w:ascii="Arial" w:hAnsi="Arial" w:cs="Arial"/>
          <w:sz w:val="16"/>
          <w:szCs w:val="16"/>
          <w:bdr w:val="none" w:sz="0" w:space="0" w:color="auto" w:frame="1"/>
          <w:lang w:val="fr-FR"/>
        </w:rPr>
        <w:t xml:space="preserve"> </w:t>
      </w:r>
      <w:r w:rsidRPr="00865DA5">
        <w:rPr>
          <w:rFonts w:ascii="Arial" w:hAnsi="Arial" w:cs="Arial"/>
          <w:sz w:val="16"/>
          <w:szCs w:val="16"/>
          <w:bdr w:val="none" w:sz="0" w:space="0" w:color="auto" w:frame="1"/>
          <w:lang w:val="fr-FR"/>
        </w:rPr>
        <w:tab/>
      </w:r>
      <w:r w:rsidRPr="00865DA5">
        <w:rPr>
          <w:rFonts w:ascii="Arial" w:hAnsi="Arial" w:cs="Arial"/>
          <w:sz w:val="18"/>
          <w:szCs w:val="18"/>
          <w:bdr w:val="none" w:sz="0" w:space="0" w:color="auto" w:frame="1"/>
          <w:lang w:val="fr-FR"/>
        </w:rPr>
        <w:t>L’IKB est défini aux fins du présent tableau de bord comme comprenant les activités illégales commises intentionnellement et pouvant entraîner la mort, des blessures ou le prélèvement dans la nature de spécimens d’oiseaux sauvages morts ou vivants, incluant leurs parties ou produits.</w:t>
      </w:r>
    </w:p>
  </w:footnote>
  <w:footnote w:id="2">
    <w:p w:rsidR="00BD5B7F" w:rsidRPr="00FF6562" w:rsidRDefault="00BD5B7F" w:rsidP="00BD5B7F">
      <w:pPr>
        <w:pStyle w:val="Notedebasdepage"/>
        <w:tabs>
          <w:tab w:val="left" w:pos="284"/>
        </w:tabs>
        <w:ind w:left="284" w:hanging="284"/>
        <w:rPr>
          <w:rFonts w:ascii="Arial" w:hAnsi="Arial" w:cs="Arial"/>
          <w:sz w:val="18"/>
          <w:szCs w:val="18"/>
          <w:lang w:val="it-IT"/>
        </w:rPr>
      </w:pPr>
      <w:r w:rsidRPr="00FF6562">
        <w:rPr>
          <w:rStyle w:val="Appelnotedebasdep"/>
          <w:rFonts w:ascii="Arial" w:hAnsi="Arial" w:cs="Arial"/>
          <w:sz w:val="18"/>
          <w:szCs w:val="18"/>
        </w:rPr>
        <w:footnoteRef/>
      </w:r>
      <w:r w:rsidRPr="00FF6562">
        <w:rPr>
          <w:rFonts w:ascii="Arial" w:eastAsia="Arial" w:hAnsi="Arial" w:cs="Arial"/>
          <w:sz w:val="18"/>
          <w:szCs w:val="18"/>
          <w:bdr w:val="none" w:sz="0" w:space="0" w:color="auto" w:frame="1"/>
          <w:lang w:val="it-IT"/>
        </w:rPr>
        <w:t xml:space="preserve"> </w:t>
      </w:r>
      <w:r w:rsidRPr="00FF6562">
        <w:rPr>
          <w:rFonts w:ascii="Arial" w:eastAsia="Arial" w:hAnsi="Arial" w:cs="Arial"/>
          <w:sz w:val="18"/>
          <w:szCs w:val="18"/>
          <w:bdr w:val="none" w:sz="0" w:space="0" w:color="auto" w:frame="1"/>
          <w:lang w:val="it-IT"/>
        </w:rPr>
        <w:tab/>
      </w:r>
      <w:hyperlink r:id="rId1" w:history="1">
        <w:r w:rsidRPr="00FF6562">
          <w:rPr>
            <w:rStyle w:val="Lienhypertexte"/>
            <w:rFonts w:ascii="Arial" w:eastAsia="Arial" w:hAnsi="Arial" w:cs="Arial"/>
            <w:sz w:val="18"/>
            <w:szCs w:val="18"/>
            <w:bdr w:val="none" w:sz="0" w:space="0" w:color="auto" w:frame="1"/>
            <w:lang w:val="it-IT"/>
          </w:rPr>
          <w:t>https://cites.org/fra/prog/iccwc.php/Tools</w:t>
        </w:r>
      </w:hyperlink>
      <w:r w:rsidRPr="00FF6562">
        <w:rPr>
          <w:rFonts w:ascii="Arial" w:eastAsia="Arial" w:hAnsi="Arial" w:cs="Arial"/>
          <w:sz w:val="18"/>
          <w:szCs w:val="18"/>
          <w:bdr w:val="none" w:sz="0" w:space="0" w:color="auto" w:frame="1"/>
          <w:lang w:val="it-IT"/>
        </w:rPr>
        <w:t xml:space="preserve"> </w:t>
      </w:r>
    </w:p>
  </w:footnote>
  <w:footnote w:id="3">
    <w:p w:rsidR="00BD5B7F" w:rsidRPr="00FF6562" w:rsidRDefault="00BD5B7F" w:rsidP="00BD5B7F">
      <w:pPr>
        <w:pStyle w:val="Notedebasdepage"/>
        <w:ind w:left="284" w:hanging="284"/>
        <w:rPr>
          <w:rFonts w:ascii="Arial" w:hAnsi="Arial" w:cs="Arial"/>
          <w:sz w:val="18"/>
          <w:szCs w:val="18"/>
          <w:lang w:val="fr-FR"/>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r>
      <w:r w:rsidRPr="00FF6562">
        <w:rPr>
          <w:rFonts w:ascii="Arial" w:eastAsia="Arial" w:hAnsi="Arial" w:cs="Arial"/>
          <w:sz w:val="18"/>
          <w:szCs w:val="18"/>
          <w:bdr w:val="none" w:sz="0" w:space="0" w:color="auto" w:frame="1"/>
          <w:lang w:val="fr-FR"/>
        </w:rPr>
        <w:t>Les observateurs du MIKT sont les Parties à la CMS et/ou les États non Parties à la CMS intéressés par la question (Allemagne, Portugal, Bosnie-Herzégovine et Turquie).</w:t>
      </w:r>
    </w:p>
  </w:footnote>
  <w:footnote w:id="4">
    <w:p w:rsidR="00BD5B7F" w:rsidRDefault="00BD5B7F" w:rsidP="00BD5B7F">
      <w:pPr>
        <w:pStyle w:val="Notedebasdepage"/>
        <w:tabs>
          <w:tab w:val="left" w:pos="284"/>
        </w:tabs>
        <w:ind w:left="284" w:hanging="284"/>
        <w:rPr>
          <w:rFonts w:ascii="Arial" w:hAnsi="Arial" w:cs="Arial"/>
          <w:sz w:val="16"/>
          <w:szCs w:val="16"/>
          <w:lang w:val="fr-FR"/>
        </w:rPr>
      </w:pPr>
      <w:r>
        <w:rPr>
          <w:rStyle w:val="Appelnotedebasdep"/>
          <w:rFonts w:ascii="Arial" w:hAnsi="Arial" w:cs="Arial"/>
          <w:sz w:val="16"/>
          <w:szCs w:val="16"/>
        </w:rPr>
        <w:footnoteRef/>
      </w:r>
      <w:r>
        <w:rPr>
          <w:rFonts w:ascii="Arial" w:hAnsi="Arial" w:cs="Arial"/>
          <w:sz w:val="16"/>
          <w:szCs w:val="16"/>
          <w:lang w:val="fr-FR"/>
        </w:rPr>
        <w:t xml:space="preserve"> </w:t>
      </w:r>
      <w:r>
        <w:rPr>
          <w:rFonts w:ascii="Arial" w:hAnsi="Arial" w:cs="Arial"/>
          <w:sz w:val="16"/>
          <w:szCs w:val="16"/>
          <w:lang w:val="fr-FR"/>
        </w:rPr>
        <w:tab/>
        <w:t>N. d. T. : Dans le présent document, l’expression anglaise « </w:t>
      </w:r>
      <w:r>
        <w:rPr>
          <w:rFonts w:ascii="Arial" w:hAnsi="Arial" w:cs="Arial"/>
          <w:i/>
          <w:sz w:val="16"/>
          <w:szCs w:val="16"/>
          <w:lang w:val="fr-FR"/>
        </w:rPr>
        <w:t>law enforcement</w:t>
      </w:r>
      <w:r>
        <w:rPr>
          <w:rFonts w:ascii="Arial" w:hAnsi="Arial" w:cs="Arial"/>
          <w:sz w:val="16"/>
          <w:szCs w:val="16"/>
          <w:lang w:val="fr-FR"/>
        </w:rPr>
        <w:t> » a généralement été traduite par « lutte contre la fraude » par souci de concision et de cohérence avec la terminologie employée dans le Cadre d’indicateurs de l’ICCWC. Toutefois, cette locution est à interpréter de manière globale afin d’inclure l’application des lois au sens large.</w:t>
      </w:r>
    </w:p>
  </w:footnote>
  <w:footnote w:id="5">
    <w:p w:rsidR="00BD5B7F" w:rsidRPr="00693D9C" w:rsidRDefault="00BD5B7F" w:rsidP="00BD5B7F">
      <w:pPr>
        <w:pStyle w:val="Notedebasdepage"/>
        <w:ind w:left="284" w:hanging="284"/>
        <w:rPr>
          <w:sz w:val="18"/>
          <w:szCs w:val="18"/>
          <w:lang w:val="fr-FR"/>
        </w:rPr>
      </w:pPr>
      <w:r>
        <w:rPr>
          <w:rStyle w:val="Appelnotedebasdep"/>
        </w:rPr>
        <w:footnoteRef/>
      </w:r>
      <w:r>
        <w:rPr>
          <w:bdr w:val="none" w:sz="0" w:space="0" w:color="auto" w:frame="1"/>
          <w:lang w:val="fr-FR"/>
        </w:rPr>
        <w:t xml:space="preserve"> </w:t>
      </w:r>
      <w:r>
        <w:rPr>
          <w:bdr w:val="none" w:sz="0" w:space="0" w:color="auto" w:frame="1"/>
          <w:lang w:val="fr-FR"/>
        </w:rPr>
        <w:tab/>
      </w:r>
      <w:r w:rsidRPr="00693D9C">
        <w:rPr>
          <w:rFonts w:ascii="Arial" w:eastAsia="Arial" w:hAnsi="Arial" w:cs="Arial"/>
          <w:sz w:val="18"/>
          <w:szCs w:val="18"/>
          <w:bdr w:val="none" w:sz="0" w:space="0" w:color="auto" w:frame="1"/>
          <w:lang w:val="fr-FR"/>
        </w:rPr>
        <w:t>La communauté soumise aux réglementations peut inclure les personnes pratiquant des prélèvements, les commerçants et/ou tout individu ou groupe à qui a été délivré un permis et/ou une licence de prélèvement, d’utilisation et/ou de commerce d’oiseaux sauvages et de leurs produits et/ou qui mène des activités relatives au commerce des oiseaux sauvages.</w:t>
      </w:r>
    </w:p>
  </w:footnote>
  <w:footnote w:id="6">
    <w:p w:rsidR="00BD5B7F" w:rsidRDefault="00BD5B7F" w:rsidP="00BD5B7F">
      <w:pPr>
        <w:pStyle w:val="Notedebasdepage"/>
        <w:rPr>
          <w:rFonts w:cs="Arial"/>
          <w:sz w:val="16"/>
          <w:szCs w:val="16"/>
          <w:lang w:val="fr-FR"/>
        </w:rPr>
      </w:pPr>
      <w:r>
        <w:rPr>
          <w:rStyle w:val="Appelnotedebasdep"/>
          <w:rFonts w:ascii="Arial" w:hAnsi="Arial" w:cs="Arial"/>
          <w:sz w:val="16"/>
          <w:szCs w:val="16"/>
          <w:lang w:val="en-GB"/>
        </w:rPr>
        <w:footnoteRef/>
      </w:r>
      <w:r>
        <w:rPr>
          <w:rFonts w:ascii="Arial" w:eastAsia="Arial" w:hAnsi="Arial" w:cs="Arial"/>
          <w:sz w:val="16"/>
          <w:szCs w:val="16"/>
          <w:bdr w:val="none" w:sz="0" w:space="0" w:color="auto" w:frame="1"/>
          <w:lang w:val="fr-FR"/>
        </w:rPr>
        <w:t xml:space="preserve"> Document MIKT1, disponible sur </w:t>
      </w:r>
      <w:hyperlink r:id="rId2" w:tgtFrame="_blank" w:history="1">
        <w:r>
          <w:rPr>
            <w:rStyle w:val="Lienhypertexte"/>
            <w:rFonts w:ascii="Arial" w:eastAsia="Arial" w:hAnsi="Arial" w:cs="Arial"/>
            <w:sz w:val="16"/>
            <w:szCs w:val="16"/>
            <w:bdr w:val="none" w:sz="0" w:space="0" w:color="auto" w:frame="1"/>
            <w:lang w:val="fr-FR"/>
          </w:rPr>
          <w:t>http://www.cms.int/en/document/best-practice-guide-monitoring-illegal-and-taking-birds</w:t>
        </w:r>
      </w:hyperlink>
    </w:p>
    <w:p w:rsidR="00BD5B7F" w:rsidRDefault="00BD5B7F" w:rsidP="00BD5B7F">
      <w:pPr>
        <w:pStyle w:val="Notedebasdepage"/>
        <w:rPr>
          <w:rFonts w:ascii="Arial" w:hAnsi="Arial" w:cs="Arial"/>
          <w:sz w:val="16"/>
          <w:szCs w:val="16"/>
          <w:lang w:val="it-IT"/>
        </w:rPr>
      </w:pPr>
    </w:p>
  </w:footnote>
  <w:footnote w:id="7">
    <w:p w:rsidR="00BD5B7F" w:rsidRPr="00F028CC" w:rsidRDefault="00BD5B7F" w:rsidP="00BD5B7F">
      <w:pPr>
        <w:pStyle w:val="Notedebasdepage"/>
        <w:ind w:left="142" w:hanging="142"/>
        <w:rPr>
          <w:rFonts w:ascii="Arial" w:hAnsi="Arial" w:cs="Arial"/>
          <w:sz w:val="18"/>
          <w:szCs w:val="18"/>
          <w:lang w:val="fr-FR"/>
        </w:rPr>
      </w:pPr>
      <w:r w:rsidRPr="00F028CC">
        <w:rPr>
          <w:rStyle w:val="Appelnotedebasdep"/>
          <w:rFonts w:ascii="Arial" w:hAnsi="Arial" w:cs="Arial"/>
          <w:sz w:val="18"/>
          <w:szCs w:val="18"/>
        </w:rPr>
        <w:footnoteRef/>
      </w:r>
      <w:r w:rsidRPr="00F028CC">
        <w:rPr>
          <w:rFonts w:ascii="Arial" w:hAnsi="Arial" w:cs="Arial"/>
          <w:sz w:val="18"/>
          <w:szCs w:val="18"/>
          <w:bdr w:val="none" w:sz="0" w:space="0" w:color="auto" w:frame="1"/>
          <w:lang w:val="fr-FR"/>
        </w:rPr>
        <w:t xml:space="preserve"> </w:t>
      </w:r>
      <w:r w:rsidRPr="00F028CC">
        <w:rPr>
          <w:rFonts w:ascii="Arial" w:hAnsi="Arial" w:cs="Arial"/>
          <w:sz w:val="18"/>
          <w:szCs w:val="18"/>
          <w:bdr w:val="none" w:sz="0" w:space="0" w:color="auto" w:frame="1"/>
          <w:lang w:val="fr-FR"/>
        </w:rPr>
        <w:tab/>
        <w:t>Une fois terminé et publié, ce tableau de bord ne doit pas être utilisé dans le cadre du processus de suivi du respect des Traités.</w:t>
      </w:r>
    </w:p>
  </w:footnote>
  <w:footnote w:id="8">
    <w:p w:rsidR="00BD5B7F" w:rsidRPr="00F028CC" w:rsidRDefault="00BD5B7F" w:rsidP="00BD5B7F">
      <w:pPr>
        <w:pStyle w:val="Pieddepage"/>
        <w:ind w:left="284" w:hanging="284"/>
        <w:rPr>
          <w:rFonts w:ascii="Arial" w:hAnsi="Arial" w:cs="Arial"/>
          <w:sz w:val="18"/>
          <w:szCs w:val="18"/>
          <w:lang w:val="fr-FR"/>
        </w:rPr>
      </w:pPr>
      <w:r w:rsidRPr="00F028CC">
        <w:rPr>
          <w:rStyle w:val="Appelnotedebasdep"/>
          <w:rFonts w:ascii="Arial" w:hAnsi="Arial" w:cs="Arial"/>
          <w:sz w:val="18"/>
          <w:szCs w:val="18"/>
        </w:rPr>
        <w:footnoteRef/>
      </w:r>
      <w:r w:rsidRPr="00F028CC">
        <w:rPr>
          <w:rFonts w:ascii="Arial" w:hAnsi="Arial" w:cs="Arial"/>
          <w:sz w:val="18"/>
          <w:szCs w:val="18"/>
          <w:bdr w:val="none" w:sz="0" w:space="0" w:color="auto" w:frame="1"/>
          <w:lang w:val="fr-FR"/>
        </w:rPr>
        <w:t xml:space="preserve"> </w:t>
      </w:r>
      <w:r w:rsidRPr="00F028CC">
        <w:rPr>
          <w:rFonts w:ascii="Arial" w:hAnsi="Arial" w:cs="Arial"/>
          <w:sz w:val="18"/>
          <w:szCs w:val="18"/>
          <w:bdr w:val="none" w:sz="0" w:space="0" w:color="auto" w:frame="1"/>
          <w:lang w:val="fr-FR"/>
        </w:rPr>
        <w:tab/>
        <w:t xml:space="preserve">L’avis ou le dire d’expert est défini comme étant l’avis d’une personne </w:t>
      </w:r>
      <w:r w:rsidRPr="00F028CC">
        <w:rPr>
          <w:rFonts w:ascii="Arial" w:hAnsi="Arial" w:cs="Arial"/>
          <w:color w:val="3B3E41"/>
          <w:sz w:val="18"/>
          <w:szCs w:val="18"/>
          <w:bdr w:val="none" w:sz="0" w:space="0" w:color="auto" w:frame="1"/>
          <w:shd w:val="clear" w:color="auto" w:fill="FFFFFF"/>
          <w:lang w:val="fr-FR"/>
        </w:rPr>
        <w:t>qui, en vertu de connaissances, compétences, formation ou expérience, est qualifiée pour fournir des informations sur des questions qui dépassent la connaissance commune des personnes ordinaires.</w:t>
      </w:r>
    </w:p>
    <w:p w:rsidR="00BD5B7F" w:rsidRDefault="00BD5B7F" w:rsidP="00BD5B7F">
      <w:pPr>
        <w:pStyle w:val="Notedebasdepage"/>
        <w:rPr>
          <w:lang w:val="fr-FR"/>
        </w:rPr>
      </w:pPr>
    </w:p>
  </w:footnote>
  <w:footnote w:id="9">
    <w:p w:rsidR="00BD5B7F" w:rsidRPr="00F028CC" w:rsidRDefault="00BD5B7F" w:rsidP="00BD5B7F">
      <w:pPr>
        <w:pStyle w:val="Notedebasdepage"/>
        <w:ind w:left="180" w:hanging="180"/>
        <w:rPr>
          <w:rFonts w:ascii="Arial" w:hAnsi="Arial" w:cs="Arial"/>
          <w:sz w:val="18"/>
          <w:szCs w:val="18"/>
          <w:lang w:val="fr-FR"/>
        </w:rPr>
      </w:pPr>
      <w:r>
        <w:rPr>
          <w:rStyle w:val="Appelnotedebasdep"/>
          <w:rFonts w:ascii="Arial" w:hAnsi="Arial" w:cs="Arial"/>
          <w:sz w:val="16"/>
          <w:szCs w:val="16"/>
          <w:lang w:val="en-GB"/>
        </w:rPr>
        <w:footnoteRef/>
      </w:r>
      <w:r>
        <w:rPr>
          <w:rFonts w:ascii="Arial" w:eastAsia="Arial" w:hAnsi="Arial" w:cs="Arial"/>
          <w:sz w:val="16"/>
          <w:szCs w:val="16"/>
          <w:bdr w:val="none" w:sz="0" w:space="0" w:color="auto" w:frame="1"/>
          <w:lang w:val="fr-FR"/>
        </w:rPr>
        <w:t xml:space="preserve"> </w:t>
      </w:r>
      <w:r w:rsidRPr="00F028CC">
        <w:rPr>
          <w:rFonts w:ascii="Arial" w:eastAsia="Arial" w:hAnsi="Arial" w:cs="Arial"/>
          <w:sz w:val="18"/>
          <w:szCs w:val="18"/>
          <w:bdr w:val="none" w:sz="0" w:space="0" w:color="auto" w:frame="1"/>
          <w:lang w:val="fr-FR"/>
        </w:rPr>
        <w:t>Seulement les territoires d’outre-mer situés dans la zone couverte par la carte présentée en figure 1 où s’applique la Directive Oiseaux.</w:t>
      </w:r>
    </w:p>
  </w:footnote>
  <w:footnote w:id="10">
    <w:p w:rsidR="00BD5B7F" w:rsidRPr="00F028CC" w:rsidRDefault="00BD5B7F" w:rsidP="00BD5B7F">
      <w:pPr>
        <w:pStyle w:val="Notedebasdepage"/>
        <w:ind w:left="180" w:hanging="180"/>
        <w:rPr>
          <w:rFonts w:ascii="Arial" w:hAnsi="Arial" w:cs="Arial"/>
          <w:sz w:val="18"/>
          <w:szCs w:val="18"/>
          <w:lang w:val="fr-FR"/>
        </w:rPr>
      </w:pPr>
      <w:r w:rsidRPr="00F028CC">
        <w:rPr>
          <w:rStyle w:val="Appelnotedebasdep"/>
          <w:rFonts w:ascii="Arial" w:hAnsi="Arial" w:cs="Arial"/>
          <w:sz w:val="18"/>
          <w:szCs w:val="18"/>
          <w:lang w:val="en-GB"/>
        </w:rPr>
        <w:footnoteRef/>
      </w:r>
      <w:r>
        <w:rPr>
          <w:rFonts w:ascii="Arial" w:eastAsia="Arial" w:hAnsi="Arial" w:cs="Arial"/>
          <w:sz w:val="18"/>
          <w:szCs w:val="18"/>
          <w:bdr w:val="none" w:sz="0" w:space="0" w:color="auto" w:frame="1"/>
          <w:lang w:val="fr-FR"/>
        </w:rPr>
        <w:t xml:space="preserve"> </w:t>
      </w:r>
      <w:r w:rsidRPr="00F028CC">
        <w:rPr>
          <w:rFonts w:ascii="Arial" w:eastAsia="Arial" w:hAnsi="Arial" w:cs="Arial"/>
          <w:sz w:val="18"/>
          <w:szCs w:val="18"/>
          <w:bdr w:val="none" w:sz="0" w:space="0" w:color="auto" w:frame="1"/>
          <w:lang w:val="fr-FR"/>
        </w:rPr>
        <w:t xml:space="preserve">Veuillez fournir des informations sur la façon dont les estimations ont été élaborées. </w:t>
      </w:r>
    </w:p>
  </w:footnote>
  <w:footnote w:id="11">
    <w:p w:rsidR="00BD5B7F" w:rsidRPr="00F33E85" w:rsidRDefault="00BD5B7F" w:rsidP="00BD5B7F">
      <w:pPr>
        <w:pStyle w:val="Notedebasdepage"/>
        <w:ind w:left="284" w:hanging="284"/>
        <w:rPr>
          <w:rFonts w:ascii="Arial" w:hAnsi="Arial" w:cs="Arial"/>
          <w:sz w:val="18"/>
          <w:szCs w:val="18"/>
          <w:lang w:val="it-IT"/>
        </w:rPr>
      </w:pPr>
      <w:r w:rsidRPr="00F33E85">
        <w:rPr>
          <w:rStyle w:val="Appelnotedebasdep"/>
          <w:rFonts w:ascii="Arial" w:hAnsi="Arial" w:cs="Arial"/>
          <w:sz w:val="18"/>
          <w:szCs w:val="18"/>
        </w:rPr>
        <w:footnoteRef/>
      </w:r>
      <w:hyperlink r:id="rId3" w:history="1">
        <w:r w:rsidRPr="00F33E85">
          <w:rPr>
            <w:rStyle w:val="Lienhypertexte"/>
            <w:rFonts w:ascii="Arial" w:eastAsia="Arial" w:hAnsi="Arial" w:cs="Arial"/>
            <w:sz w:val="18"/>
            <w:szCs w:val="18"/>
            <w:bdr w:val="none" w:sz="0" w:space="0" w:color="auto" w:frame="1"/>
            <w:lang w:val="fr-FR"/>
          </w:rPr>
          <w:t>https://wcd.coe.int/com.instranet.InstraServlet?command=com.instranet.CmdBlobGet&amp;InstranetImage=2919703&amp;SecMode=1&amp;DocId=2369656&amp;Usage=2</w:t>
        </w:r>
      </w:hyperlink>
      <w:r w:rsidRPr="00F33E85">
        <w:rPr>
          <w:rFonts w:ascii="Arial" w:eastAsia="Arial" w:hAnsi="Arial" w:cs="Arial"/>
          <w:sz w:val="18"/>
          <w:szCs w:val="18"/>
          <w:bdr w:val="none" w:sz="0" w:space="0" w:color="auto" w:frame="1"/>
          <w:lang w:val="fr-FR"/>
        </w:rPr>
        <w:t xml:space="preserve"> </w:t>
      </w:r>
    </w:p>
  </w:footnote>
  <w:footnote w:id="12">
    <w:p w:rsidR="00BD5B7F" w:rsidRPr="00F33E85" w:rsidRDefault="00BD5B7F" w:rsidP="00BD5B7F">
      <w:pPr>
        <w:pStyle w:val="Notedebasdepage"/>
        <w:ind w:left="284" w:hanging="284"/>
        <w:rPr>
          <w:rFonts w:ascii="Arial" w:hAnsi="Arial" w:cs="Arial"/>
          <w:sz w:val="18"/>
          <w:szCs w:val="18"/>
          <w:lang w:val="fr-FR"/>
        </w:rPr>
      </w:pPr>
      <w:r w:rsidRPr="00F33E85">
        <w:rPr>
          <w:rStyle w:val="Appelnotedebasdep"/>
          <w:rFonts w:ascii="Arial" w:hAnsi="Arial" w:cs="Arial"/>
          <w:sz w:val="18"/>
          <w:szCs w:val="18"/>
        </w:rPr>
        <w:footnoteRef/>
      </w:r>
      <w:r w:rsidRPr="00F33E85">
        <w:rPr>
          <w:rFonts w:ascii="Arial" w:eastAsia="Arial" w:hAnsi="Arial" w:cs="Arial"/>
          <w:sz w:val="18"/>
          <w:szCs w:val="18"/>
          <w:bdr w:val="none" w:sz="0" w:space="0" w:color="auto" w:frame="1"/>
          <w:lang w:val="fr-FR"/>
        </w:rPr>
        <w:t xml:space="preserve"> </w:t>
      </w:r>
      <w:r w:rsidRPr="00F33E85">
        <w:rPr>
          <w:rFonts w:ascii="Arial" w:eastAsia="Arial" w:hAnsi="Arial" w:cs="Arial"/>
          <w:sz w:val="18"/>
          <w:szCs w:val="18"/>
          <w:bdr w:val="none" w:sz="0" w:space="0" w:color="auto" w:frame="1"/>
          <w:lang w:val="fr-FR"/>
        </w:rPr>
        <w:tab/>
        <w:t>« Illégal » signifie, à cette fin, enfreignant le droit national, régional ou international.</w:t>
      </w:r>
    </w:p>
  </w:footnote>
  <w:footnote w:id="13">
    <w:p w:rsidR="00BD5B7F" w:rsidRPr="00F33E85" w:rsidRDefault="00BD5B7F" w:rsidP="00BD5B7F">
      <w:pPr>
        <w:pStyle w:val="Notedebasdepage"/>
        <w:ind w:left="284" w:hanging="284"/>
        <w:rPr>
          <w:rFonts w:ascii="Arial" w:hAnsi="Arial" w:cs="Arial"/>
          <w:sz w:val="18"/>
          <w:szCs w:val="18"/>
          <w:lang w:val="fr-FR"/>
        </w:rPr>
      </w:pPr>
      <w:r w:rsidRPr="00F33E85">
        <w:rPr>
          <w:rStyle w:val="Appelnotedebasdep"/>
          <w:rFonts w:ascii="Arial" w:hAnsi="Arial" w:cs="Arial"/>
          <w:sz w:val="18"/>
          <w:szCs w:val="18"/>
        </w:rPr>
        <w:footnoteRef/>
      </w:r>
      <w:r w:rsidRPr="00F33E85">
        <w:rPr>
          <w:rFonts w:ascii="Arial" w:eastAsia="Arial" w:hAnsi="Arial" w:cs="Arial"/>
          <w:sz w:val="18"/>
          <w:szCs w:val="18"/>
          <w:bdr w:val="none" w:sz="0" w:space="0" w:color="auto" w:frame="1"/>
          <w:lang w:val="fr-FR"/>
        </w:rPr>
        <w:t xml:space="preserve"> </w:t>
      </w:r>
      <w:r w:rsidRPr="00F33E85">
        <w:rPr>
          <w:rFonts w:ascii="Arial" w:eastAsia="Arial" w:hAnsi="Arial" w:cs="Arial"/>
          <w:sz w:val="18"/>
          <w:szCs w:val="18"/>
          <w:bdr w:val="none" w:sz="0" w:space="0" w:color="auto" w:frame="1"/>
          <w:lang w:val="fr-FR"/>
        </w:rPr>
        <w:tab/>
        <w:t>Un « spécimen » désigne un animal mort ou vivant</w:t>
      </w:r>
    </w:p>
  </w:footnote>
  <w:footnote w:id="14">
    <w:p w:rsidR="00BD5B7F" w:rsidRDefault="00BD5B7F" w:rsidP="00BD5B7F">
      <w:pPr>
        <w:pStyle w:val="Notedebasdepage"/>
        <w:ind w:left="284" w:hanging="284"/>
        <w:rPr>
          <w:rFonts w:ascii="Arial" w:hAnsi="Arial" w:cs="Arial"/>
          <w:sz w:val="16"/>
          <w:szCs w:val="16"/>
          <w:lang w:val="fr-FR"/>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t xml:space="preserve">« Rendue publique » qualifie une infraction IKB pour laquelle des preuves matérielles suffisantes ont été recueillies afin de permettre l’identification des suspects et la poursuite de l’infraction conformément aux procédures pénales ou administratives applicables. </w:t>
      </w:r>
    </w:p>
  </w:footnote>
  <w:footnote w:id="15">
    <w:p w:rsidR="00BD5B7F" w:rsidRPr="00F33E85" w:rsidRDefault="00BD5B7F" w:rsidP="00BD5B7F">
      <w:pPr>
        <w:pStyle w:val="Notedebasdepage"/>
        <w:ind w:left="284" w:hanging="284"/>
        <w:rPr>
          <w:rFonts w:ascii="Arial" w:hAnsi="Arial" w:cs="Arial"/>
          <w:sz w:val="18"/>
          <w:szCs w:val="18"/>
          <w:lang w:val="fr-FR"/>
        </w:rPr>
      </w:pPr>
      <w:r w:rsidRPr="00F33E85">
        <w:rPr>
          <w:rStyle w:val="Appelnotedebasdep"/>
          <w:rFonts w:ascii="Arial" w:hAnsi="Arial" w:cs="Arial"/>
          <w:sz w:val="18"/>
          <w:szCs w:val="18"/>
          <w:lang w:val="en-GB"/>
        </w:rPr>
        <w:footnoteRef/>
      </w:r>
      <w:r w:rsidRPr="00F33E85">
        <w:rPr>
          <w:rFonts w:ascii="Arial" w:eastAsia="Arial" w:hAnsi="Arial" w:cs="Arial"/>
          <w:sz w:val="18"/>
          <w:szCs w:val="18"/>
          <w:bdr w:val="none" w:sz="0" w:space="0" w:color="auto" w:frame="1"/>
          <w:lang w:val="fr-FR"/>
        </w:rPr>
        <w:t xml:space="preserve"> </w:t>
      </w:r>
      <w:r w:rsidRPr="00F33E85">
        <w:rPr>
          <w:rFonts w:ascii="Arial" w:eastAsia="Arial" w:hAnsi="Arial" w:cs="Arial"/>
          <w:sz w:val="18"/>
          <w:szCs w:val="18"/>
          <w:bdr w:val="none" w:sz="0" w:space="0" w:color="auto" w:frame="1"/>
          <w:lang w:val="fr-FR"/>
        </w:rPr>
        <w:tab/>
        <w:t>Cet indicateur correspond à l’indicateur 28 du Cadre d’indicateurs de l’ICCWC.</w:t>
      </w:r>
    </w:p>
  </w:footnote>
  <w:footnote w:id="16">
    <w:p w:rsidR="00BD5B7F" w:rsidRPr="00865DA5" w:rsidRDefault="00BD5B7F" w:rsidP="00BD5B7F">
      <w:pPr>
        <w:ind w:left="284" w:hanging="284"/>
        <w:jc w:val="both"/>
        <w:rPr>
          <w:rFonts w:cs="Arial"/>
          <w:sz w:val="18"/>
          <w:szCs w:val="18"/>
          <w:lang w:val="fr-FR"/>
        </w:rPr>
      </w:pPr>
      <w:r w:rsidRPr="00F33E85">
        <w:rPr>
          <w:rStyle w:val="Appelnotedebasdep"/>
          <w:rFonts w:ascii="Arial" w:hAnsi="Arial" w:cs="Arial"/>
          <w:sz w:val="18"/>
          <w:szCs w:val="18"/>
        </w:rPr>
        <w:footnoteRef/>
      </w:r>
      <w:r w:rsidRPr="00865DA5">
        <w:rPr>
          <w:sz w:val="18"/>
          <w:szCs w:val="18"/>
          <w:bdr w:val="none" w:sz="0" w:space="0" w:color="auto" w:frame="1"/>
          <w:lang w:val="fr-FR"/>
        </w:rPr>
        <w:t xml:space="preserve"> </w:t>
      </w:r>
      <w:r w:rsidRPr="00865DA5">
        <w:rPr>
          <w:sz w:val="18"/>
          <w:szCs w:val="18"/>
          <w:bdr w:val="none" w:sz="0" w:space="0" w:color="auto" w:frame="1"/>
          <w:lang w:val="fr-FR"/>
        </w:rPr>
        <w:tab/>
      </w:r>
      <w:r w:rsidRPr="00865DA5">
        <w:rPr>
          <w:rFonts w:ascii="Arial" w:hAnsi="Arial" w:cs="Arial"/>
          <w:sz w:val="18"/>
          <w:szCs w:val="18"/>
          <w:bdr w:val="none" w:sz="0" w:space="0" w:color="auto" w:frame="1"/>
          <w:lang w:val="fr-FR"/>
        </w:rPr>
        <w:t>Le niveau d’exhaustivité des dispositions dans tous les éléments pertinents de la législation nationale doit être examiné pour répondre à cette question. En général, les législations nationales relatives au secteur de la faune sauvage devraient, au minimum, définir des règles pour les aspects suivants :</w:t>
      </w:r>
    </w:p>
    <w:p w:rsidR="00BD5B7F" w:rsidRPr="00F33E85" w:rsidRDefault="00BD5B7F" w:rsidP="00BD5B7F">
      <w:pPr>
        <w:pStyle w:val="Paragraphedeliste"/>
        <w:widowControl w:val="0"/>
        <w:numPr>
          <w:ilvl w:val="0"/>
          <w:numId w:val="24"/>
        </w:numPr>
        <w:autoSpaceDE w:val="0"/>
        <w:autoSpaceDN w:val="0"/>
        <w:adjustRightInd w:val="0"/>
        <w:ind w:hanging="232"/>
        <w:jc w:val="both"/>
        <w:rPr>
          <w:rFonts w:ascii="Arial" w:hAnsi="Arial" w:cs="Arial"/>
          <w:sz w:val="18"/>
          <w:szCs w:val="18"/>
          <w:lang w:val="fr-FR"/>
        </w:rPr>
      </w:pPr>
      <w:r w:rsidRPr="00F33E85">
        <w:rPr>
          <w:rFonts w:ascii="Arial" w:hAnsi="Arial" w:cs="Arial"/>
          <w:sz w:val="18"/>
          <w:szCs w:val="18"/>
          <w:bdr w:val="none" w:sz="0" w:space="0" w:color="auto" w:frame="1"/>
          <w:lang w:val="fr-FR"/>
        </w:rPr>
        <w:t>Droit de propriété relative à la faune sauvage, c’est-à-dire propriété de l’État, droits de propriété privée, droits des peuples autochtones ou propriété indigène ;</w:t>
      </w:r>
    </w:p>
    <w:p w:rsidR="00BD5B7F" w:rsidRPr="00F33E85" w:rsidRDefault="00BD5B7F" w:rsidP="00BD5B7F">
      <w:pPr>
        <w:pStyle w:val="Paragraphedeliste"/>
        <w:widowControl w:val="0"/>
        <w:numPr>
          <w:ilvl w:val="0"/>
          <w:numId w:val="24"/>
        </w:numPr>
        <w:autoSpaceDE w:val="0"/>
        <w:autoSpaceDN w:val="0"/>
        <w:adjustRightInd w:val="0"/>
        <w:ind w:hanging="232"/>
        <w:jc w:val="both"/>
        <w:rPr>
          <w:rFonts w:ascii="Arial" w:hAnsi="Arial" w:cs="Arial"/>
          <w:sz w:val="18"/>
          <w:szCs w:val="18"/>
          <w:lang w:val="fr-FR"/>
        </w:rPr>
      </w:pPr>
      <w:r w:rsidRPr="00F33E85">
        <w:rPr>
          <w:rFonts w:ascii="Arial" w:hAnsi="Arial" w:cs="Arial"/>
          <w:sz w:val="18"/>
          <w:szCs w:val="18"/>
          <w:bdr w:val="none" w:sz="0" w:space="0" w:color="auto" w:frame="1"/>
          <w:lang w:val="fr-FR"/>
        </w:rPr>
        <w:t>Désignation des agences gouvernementales devant superviser et réglementer le secteur de la faune sauvage, les processus administratifs, etc. ;</w:t>
      </w:r>
    </w:p>
    <w:p w:rsidR="00BD5B7F" w:rsidRPr="00F33E85" w:rsidRDefault="00BD5B7F" w:rsidP="00BD5B7F">
      <w:pPr>
        <w:pStyle w:val="Paragraphedeliste"/>
        <w:widowControl w:val="0"/>
        <w:numPr>
          <w:ilvl w:val="0"/>
          <w:numId w:val="24"/>
        </w:numPr>
        <w:autoSpaceDE w:val="0"/>
        <w:autoSpaceDN w:val="0"/>
        <w:adjustRightInd w:val="0"/>
        <w:ind w:hanging="232"/>
        <w:jc w:val="both"/>
        <w:rPr>
          <w:rFonts w:ascii="Arial" w:hAnsi="Arial" w:cs="Arial"/>
          <w:sz w:val="18"/>
          <w:szCs w:val="18"/>
          <w:lang w:val="fr-FR"/>
        </w:rPr>
      </w:pPr>
      <w:r w:rsidRPr="00F33E85">
        <w:rPr>
          <w:rFonts w:ascii="Arial" w:hAnsi="Arial" w:cs="Arial"/>
          <w:sz w:val="18"/>
          <w:szCs w:val="18"/>
          <w:bdr w:val="none" w:sz="0" w:space="0" w:color="auto" w:frame="1"/>
          <w:lang w:val="fr-FR"/>
        </w:rPr>
        <w:t>Réserves de chasse et zones de chasse, y compris l’identification des zones où la chasse de subsistance, commerciale ou de loisirs est interdite ou autorisée ;</w:t>
      </w:r>
    </w:p>
    <w:p w:rsidR="00BD5B7F" w:rsidRPr="00F33E85" w:rsidRDefault="00BD5B7F" w:rsidP="00BD5B7F">
      <w:pPr>
        <w:pStyle w:val="Paragraphedeliste"/>
        <w:widowControl w:val="0"/>
        <w:numPr>
          <w:ilvl w:val="0"/>
          <w:numId w:val="24"/>
        </w:numPr>
        <w:autoSpaceDE w:val="0"/>
        <w:autoSpaceDN w:val="0"/>
        <w:adjustRightInd w:val="0"/>
        <w:ind w:hanging="232"/>
        <w:jc w:val="both"/>
        <w:rPr>
          <w:rFonts w:ascii="Arial" w:hAnsi="Arial" w:cs="Arial"/>
          <w:sz w:val="18"/>
          <w:szCs w:val="18"/>
          <w:lang w:val="fr-FR"/>
        </w:rPr>
      </w:pPr>
      <w:r w:rsidRPr="00F33E85">
        <w:rPr>
          <w:rFonts w:ascii="Arial" w:hAnsi="Arial" w:cs="Arial"/>
          <w:sz w:val="18"/>
          <w:szCs w:val="18"/>
          <w:bdr w:val="none" w:sz="0" w:space="0" w:color="auto" w:frame="1"/>
          <w:lang w:val="fr-FR"/>
        </w:rPr>
        <w:t>Systèmes de licence/permis pour la chasse commerciale et de loisirs, y compris les conditions d’octroi, de renouvellement et d’annulation des licences/permis de chasse ;</w:t>
      </w:r>
    </w:p>
    <w:p w:rsidR="00BD5B7F" w:rsidRPr="00F33E85" w:rsidRDefault="00BD5B7F" w:rsidP="00BD5B7F">
      <w:pPr>
        <w:pStyle w:val="Paragraphedeliste"/>
        <w:widowControl w:val="0"/>
        <w:numPr>
          <w:ilvl w:val="0"/>
          <w:numId w:val="24"/>
        </w:numPr>
        <w:autoSpaceDE w:val="0"/>
        <w:autoSpaceDN w:val="0"/>
        <w:adjustRightInd w:val="0"/>
        <w:ind w:hanging="232"/>
        <w:jc w:val="both"/>
        <w:rPr>
          <w:rFonts w:ascii="Arial" w:hAnsi="Arial" w:cs="Arial"/>
          <w:sz w:val="18"/>
          <w:szCs w:val="18"/>
          <w:lang w:val="fr-FR"/>
        </w:rPr>
      </w:pPr>
      <w:r w:rsidRPr="00F33E85">
        <w:rPr>
          <w:rFonts w:ascii="Arial" w:hAnsi="Arial" w:cs="Arial"/>
          <w:sz w:val="18"/>
          <w:szCs w:val="18"/>
          <w:bdr w:val="none" w:sz="0" w:space="0" w:color="auto" w:frame="1"/>
          <w:lang w:val="fr-FR"/>
        </w:rPr>
        <w:t>Règles de transport et d’importation/exportation contrôlant les transports de spécimens de la faune sauvage, morts ou vivants, de parties d’animaux et de produits fabriqués à partir d’animaux sauvages dans le pays et à travers les frontières internationales ; et</w:t>
      </w:r>
    </w:p>
    <w:p w:rsidR="00BD5B7F" w:rsidRPr="00F33E85" w:rsidRDefault="00BD5B7F" w:rsidP="00BD5B7F">
      <w:pPr>
        <w:pStyle w:val="Notedebasdepage"/>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uppressAutoHyphens w:val="0"/>
        <w:autoSpaceDE w:val="0"/>
        <w:autoSpaceDN w:val="0"/>
        <w:adjustRightInd w:val="0"/>
        <w:ind w:hanging="232"/>
        <w:rPr>
          <w:sz w:val="18"/>
          <w:szCs w:val="18"/>
          <w:lang w:val="fr-FR"/>
        </w:rPr>
      </w:pPr>
      <w:r w:rsidRPr="00F33E85">
        <w:rPr>
          <w:rFonts w:ascii="Arial" w:eastAsia="Arial" w:hAnsi="Arial" w:cs="Arial"/>
          <w:sz w:val="18"/>
          <w:szCs w:val="18"/>
          <w:bdr w:val="none" w:sz="0" w:space="0" w:color="auto" w:frame="1"/>
          <w:lang w:val="fr-FR"/>
        </w:rPr>
        <w:t>Infractions pour violation des législations nationales sur la faune sauvage et mesures de lutte contre la fraude.</w:t>
      </w:r>
    </w:p>
  </w:footnote>
  <w:footnote w:id="17">
    <w:p w:rsidR="00BD5B7F" w:rsidRPr="00F33E85" w:rsidRDefault="00BD5B7F" w:rsidP="00BD5B7F">
      <w:pPr>
        <w:pStyle w:val="Notedebasdepage"/>
        <w:ind w:left="284" w:hanging="284"/>
        <w:rPr>
          <w:rFonts w:ascii="Arial" w:hAnsi="Arial" w:cs="Arial"/>
          <w:sz w:val="18"/>
          <w:szCs w:val="18"/>
          <w:lang w:val="fr-FR"/>
        </w:rPr>
      </w:pPr>
      <w:r w:rsidRPr="00F33E85">
        <w:rPr>
          <w:rStyle w:val="Appelnotedebasdep"/>
          <w:rFonts w:ascii="Arial" w:hAnsi="Arial" w:cs="Arial"/>
          <w:sz w:val="18"/>
          <w:szCs w:val="18"/>
        </w:rPr>
        <w:footnoteRef/>
      </w:r>
      <w:r w:rsidRPr="00F33E85">
        <w:rPr>
          <w:rFonts w:ascii="Arial" w:eastAsia="Arial" w:hAnsi="Arial" w:cs="Arial"/>
          <w:sz w:val="18"/>
          <w:szCs w:val="18"/>
          <w:bdr w:val="none" w:sz="0" w:space="0" w:color="auto" w:frame="1"/>
          <w:lang w:val="fr-FR"/>
        </w:rPr>
        <w:t xml:space="preserve"> L’interdiction générale peut faire l’objet de dérogations réglementées sur lesquelles porte la prochaine question.</w:t>
      </w:r>
    </w:p>
  </w:footnote>
  <w:footnote w:id="18">
    <w:p w:rsidR="00BD5B7F" w:rsidRPr="00F33E85" w:rsidRDefault="00BD5B7F" w:rsidP="00BD5B7F">
      <w:pPr>
        <w:pStyle w:val="Notedebasdepage"/>
        <w:ind w:left="284" w:hanging="284"/>
        <w:rPr>
          <w:rFonts w:ascii="Arial" w:hAnsi="Arial" w:cs="Arial"/>
          <w:sz w:val="18"/>
          <w:szCs w:val="18"/>
          <w:lang w:val="fr-FR"/>
        </w:rPr>
      </w:pPr>
      <w:r w:rsidRPr="00F33E85">
        <w:rPr>
          <w:rStyle w:val="Appelnotedebasdep"/>
          <w:rFonts w:ascii="Arial" w:hAnsi="Arial" w:cs="Arial"/>
          <w:sz w:val="18"/>
          <w:szCs w:val="18"/>
        </w:rPr>
        <w:footnoteRef/>
      </w:r>
      <w:r w:rsidRPr="00F33E85">
        <w:rPr>
          <w:rFonts w:ascii="Arial" w:eastAsia="Arial" w:hAnsi="Arial" w:cs="Arial"/>
          <w:sz w:val="18"/>
          <w:szCs w:val="18"/>
          <w:bdr w:val="none" w:sz="0" w:space="0" w:color="auto" w:frame="1"/>
          <w:lang w:val="fr-FR"/>
        </w:rPr>
        <w:t xml:space="preserve"> La définition juridique de « possession » peut varier selon les pays. Veuillez vous référer à votre législation nationale. </w:t>
      </w:r>
    </w:p>
  </w:footnote>
  <w:footnote w:id="19">
    <w:p w:rsidR="00BD5B7F" w:rsidRPr="00F33E85" w:rsidRDefault="00BD5B7F" w:rsidP="00BD5B7F">
      <w:pPr>
        <w:pStyle w:val="Notedebasdepage"/>
        <w:ind w:left="284" w:hanging="284"/>
        <w:rPr>
          <w:rFonts w:ascii="Arial" w:eastAsia="Arial" w:hAnsi="Arial" w:cs="Arial"/>
          <w:sz w:val="18"/>
          <w:szCs w:val="18"/>
          <w:bdr w:val="none" w:sz="0" w:space="0" w:color="auto" w:frame="1"/>
          <w:lang w:val="fr-FR"/>
        </w:rPr>
      </w:pPr>
      <w:r>
        <w:rPr>
          <w:rStyle w:val="Appelnotedebasdep"/>
          <w:rFonts w:ascii="Arial" w:hAnsi="Arial" w:cs="Arial"/>
          <w:sz w:val="16"/>
          <w:szCs w:val="16"/>
          <w:lang w:val="en-GB"/>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r>
      <w:r w:rsidRPr="00F33E85">
        <w:rPr>
          <w:rFonts w:ascii="Arial" w:eastAsia="Arial" w:hAnsi="Arial" w:cs="Arial"/>
          <w:sz w:val="18"/>
          <w:szCs w:val="18"/>
          <w:bdr w:val="none" w:sz="0" w:space="0" w:color="auto" w:frame="1"/>
          <w:lang w:val="fr-FR"/>
        </w:rPr>
        <w:t>L’article 9 de la Convention de Berne stipule que : « À condition qu’il n’existe pas une autre solution satisfaisante et que la dérogation ne nuise pas à la survie de la population concernée, chaque Partie contractante peut déroger aux dispositions des articles 4, 5, 6, 7 et à l’interdiction de l’utilisation des moyens visés à l’article 8 ». Un document d’interprétation de l’article 9 de la Convention est disponible sur :</w:t>
      </w:r>
    </w:p>
    <w:p w:rsidR="00BD5B7F" w:rsidRPr="00F33E85" w:rsidRDefault="00BD5B7F" w:rsidP="00BD5B7F">
      <w:pPr>
        <w:pStyle w:val="Notedebasdepage"/>
        <w:ind w:left="284"/>
        <w:rPr>
          <w:rFonts w:ascii="Arial" w:hAnsi="Arial" w:cs="Arial"/>
          <w:sz w:val="18"/>
          <w:szCs w:val="18"/>
          <w:lang w:val="fr-FR"/>
        </w:rPr>
      </w:pPr>
      <w:hyperlink r:id="rId4" w:history="1">
        <w:r w:rsidRPr="00F33E85">
          <w:rPr>
            <w:rStyle w:val="Lienhypertexte"/>
            <w:rFonts w:ascii="Arial" w:eastAsia="Arial" w:hAnsi="Arial" w:cs="Arial"/>
            <w:sz w:val="18"/>
            <w:szCs w:val="18"/>
            <w:bdr w:val="none" w:sz="0" w:space="0" w:color="auto" w:frame="1"/>
            <w:lang w:val="fr-FR"/>
          </w:rPr>
          <w:t>https://wcd.coe.int/com.instranet.InstraServlet?command=com.instranet.CmdBlobGet&amp;InstranetImage=1952251&amp;SecMode=1&amp;DocId=1646536&amp;Usage=2</w:t>
        </w:r>
      </w:hyperlink>
    </w:p>
  </w:footnote>
  <w:footnote w:id="20">
    <w:p w:rsidR="00BD5B7F" w:rsidRPr="00F33E85" w:rsidRDefault="00BD5B7F" w:rsidP="00BD5B7F">
      <w:pPr>
        <w:pStyle w:val="Notedebasdepage"/>
        <w:ind w:left="284" w:hanging="284"/>
        <w:rPr>
          <w:rFonts w:ascii="Arial" w:hAnsi="Arial" w:cs="Arial"/>
          <w:sz w:val="18"/>
          <w:szCs w:val="18"/>
          <w:lang w:val="it-IT"/>
        </w:rPr>
      </w:pPr>
      <w:r w:rsidRPr="00F33E85">
        <w:rPr>
          <w:rStyle w:val="Appelnotedebasdep"/>
          <w:rFonts w:ascii="Arial" w:hAnsi="Arial" w:cs="Arial"/>
          <w:sz w:val="18"/>
          <w:szCs w:val="18"/>
        </w:rPr>
        <w:footnoteRef/>
      </w:r>
      <w:r w:rsidRPr="00F33E85">
        <w:rPr>
          <w:rFonts w:ascii="Arial" w:eastAsia="Arial" w:hAnsi="Arial" w:cs="Arial"/>
          <w:sz w:val="18"/>
          <w:szCs w:val="18"/>
          <w:bdr w:val="none" w:sz="0" w:space="0" w:color="auto" w:frame="1"/>
          <w:lang w:val="fr-FR"/>
        </w:rPr>
        <w:t xml:space="preserve"> </w:t>
      </w:r>
      <w:r w:rsidRPr="00F33E85">
        <w:rPr>
          <w:rFonts w:ascii="Arial" w:eastAsia="Arial" w:hAnsi="Arial" w:cs="Arial"/>
          <w:sz w:val="18"/>
          <w:szCs w:val="18"/>
          <w:bdr w:val="none" w:sz="0" w:space="0" w:color="auto" w:frame="1"/>
          <w:lang w:val="fr-FR"/>
        </w:rPr>
        <w:tab/>
        <w:t xml:space="preserve">L’Article III.5 de la CMS </w:t>
      </w:r>
      <w:r w:rsidRPr="00F33E85">
        <w:rPr>
          <w:rFonts w:ascii="Arial" w:eastAsia="Arial" w:hAnsi="Arial" w:cs="Arial"/>
          <w:color w:val="555555"/>
          <w:sz w:val="18"/>
          <w:szCs w:val="18"/>
          <w:bdr w:val="none" w:sz="0" w:space="0" w:color="auto" w:frame="1"/>
          <w:shd w:val="clear" w:color="auto" w:fill="FFFFFF"/>
          <w:lang w:val="fr-FR"/>
        </w:rPr>
        <w:t>stipule que « l</w:t>
      </w:r>
      <w:r w:rsidRPr="00F33E85">
        <w:rPr>
          <w:rFonts w:ascii="Arial" w:eastAsia="Arial" w:hAnsi="Arial" w:cs="Arial"/>
          <w:color w:val="333333"/>
          <w:sz w:val="18"/>
          <w:szCs w:val="18"/>
          <w:bdr w:val="none" w:sz="0" w:space="0" w:color="auto" w:frame="1"/>
          <w:shd w:val="clear" w:color="auto" w:fill="FFFFFF"/>
          <w:lang w:val="fr-FR"/>
        </w:rPr>
        <w:t>es Parties qui sont des États de l’aire de répartition d’une espèce migratrice figurant à l’Annexe I interdisent le prélèvement d’animaux appartenant à cette espèce ». Des dérogations à cette interdiction ne peuvent être accordées que selon des conditions clairement définies dans cet article.</w:t>
      </w:r>
    </w:p>
  </w:footnote>
  <w:footnote w:id="21">
    <w:p w:rsidR="00BD5B7F" w:rsidRDefault="00BD5B7F" w:rsidP="00BD5B7F">
      <w:pPr>
        <w:pStyle w:val="Notedebasdepage"/>
        <w:ind w:left="284" w:hanging="284"/>
        <w:rPr>
          <w:rFonts w:ascii="Arial" w:hAnsi="Arial" w:cs="Arial"/>
          <w:sz w:val="16"/>
          <w:szCs w:val="16"/>
          <w:lang w:val="fr-FR"/>
        </w:rPr>
      </w:pPr>
      <w:r w:rsidRPr="00F33E85">
        <w:rPr>
          <w:rStyle w:val="Appelnotedebasdep"/>
          <w:rFonts w:ascii="Arial" w:hAnsi="Arial" w:cs="Arial"/>
          <w:sz w:val="18"/>
          <w:szCs w:val="18"/>
          <w:lang w:val="en-GB"/>
        </w:rPr>
        <w:footnoteRef/>
      </w:r>
      <w:r w:rsidRPr="00F33E85">
        <w:rPr>
          <w:rFonts w:ascii="Arial" w:eastAsia="Arial" w:hAnsi="Arial" w:cs="Arial"/>
          <w:sz w:val="18"/>
          <w:szCs w:val="18"/>
          <w:bdr w:val="none" w:sz="0" w:space="0" w:color="auto" w:frame="1"/>
          <w:lang w:val="fr-FR"/>
        </w:rPr>
        <w:t xml:space="preserve"> </w:t>
      </w:r>
      <w:r w:rsidRPr="00F33E85">
        <w:rPr>
          <w:rFonts w:ascii="Arial" w:eastAsia="Arial" w:hAnsi="Arial" w:cs="Arial"/>
          <w:sz w:val="18"/>
          <w:szCs w:val="18"/>
          <w:bdr w:val="none" w:sz="0" w:space="0" w:color="auto" w:frame="1"/>
          <w:lang w:val="fr-FR"/>
        </w:rPr>
        <w:tab/>
      </w:r>
      <w:r w:rsidRPr="00F33E85">
        <w:rPr>
          <w:rFonts w:ascii="Arial" w:eastAsia="Arial" w:hAnsi="Arial" w:cs="Arial"/>
          <w:sz w:val="18"/>
          <w:szCs w:val="18"/>
          <w:bdr w:val="none" w:sz="0" w:space="0" w:color="auto" w:frame="1"/>
          <w:shd w:val="clear" w:color="auto" w:fill="FFFFFF"/>
          <w:lang w:val="fr-FR"/>
        </w:rPr>
        <w:t>Un nombre limité d’activités normalement interdites par la Directive Oiseaux (</w:t>
      </w:r>
      <w:r w:rsidRPr="00F33E85">
        <w:rPr>
          <w:rFonts w:ascii="Arial" w:eastAsia="Arial" w:hAnsi="Arial" w:cs="Arial"/>
          <w:sz w:val="18"/>
          <w:szCs w:val="18"/>
          <w:bdr w:val="none" w:sz="0" w:space="0" w:color="auto" w:frame="1"/>
          <w:lang w:val="fr-FR"/>
        </w:rPr>
        <w:t xml:space="preserve">2009/147 / CE) </w:t>
      </w:r>
      <w:r w:rsidRPr="00F33E85">
        <w:rPr>
          <w:rFonts w:ascii="Arial" w:eastAsia="Arial" w:hAnsi="Arial" w:cs="Arial"/>
          <w:sz w:val="18"/>
          <w:szCs w:val="18"/>
          <w:bdr w:val="none" w:sz="0" w:space="0" w:color="auto" w:frame="1"/>
          <w:shd w:val="clear" w:color="auto" w:fill="FFFFFF"/>
          <w:lang w:val="fr-FR"/>
        </w:rPr>
        <w:t>(Articles 5 à 8) sont autorisées par voie de dérogation, lorsque des situations ou problèmes particuliers existent ou peuvent survenir. Les possibilités d’utilisation de ces dérogations sont limitées. Elles doivent être justifiées par rapport aux objectifs généraux de la Directive et se conformer aux conditions spécifiques des dérogations décrites à l’Article 9.</w:t>
      </w:r>
    </w:p>
  </w:footnote>
  <w:footnote w:id="22">
    <w:p w:rsidR="00BD5B7F" w:rsidRPr="00F33E85" w:rsidRDefault="00BD5B7F" w:rsidP="00BD5B7F">
      <w:pPr>
        <w:pStyle w:val="Notedebasdepage"/>
        <w:ind w:left="284" w:hanging="284"/>
        <w:rPr>
          <w:rFonts w:ascii="Arial" w:hAnsi="Arial" w:cs="Arial"/>
          <w:sz w:val="18"/>
          <w:szCs w:val="18"/>
          <w:lang w:val="fr-FR"/>
        </w:rPr>
      </w:pPr>
      <w:r>
        <w:rPr>
          <w:rStyle w:val="Appelnotedebasdep"/>
          <w:rFonts w:ascii="Arial" w:hAnsi="Arial" w:cs="Arial"/>
          <w:sz w:val="16"/>
          <w:szCs w:val="16"/>
          <w:lang w:val="en-GB"/>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r>
      <w:r w:rsidRPr="00F33E85">
        <w:rPr>
          <w:rFonts w:ascii="Arial" w:eastAsia="Arial" w:hAnsi="Arial" w:cs="Arial"/>
          <w:sz w:val="18"/>
          <w:szCs w:val="18"/>
          <w:bdr w:val="none" w:sz="0" w:space="0" w:color="auto" w:frame="1"/>
          <w:lang w:val="fr-FR"/>
        </w:rPr>
        <w:t>Cet indicateur est basé sur l’indicateur 40 du cadre de l’ICCWC.</w:t>
      </w:r>
    </w:p>
  </w:footnote>
  <w:footnote w:id="23">
    <w:p w:rsidR="00BD5B7F" w:rsidRPr="00F33E85" w:rsidRDefault="00BD5B7F" w:rsidP="00BD5B7F">
      <w:pPr>
        <w:pStyle w:val="Notedebasdepage"/>
        <w:ind w:left="284" w:hanging="284"/>
        <w:rPr>
          <w:rFonts w:ascii="Arial" w:hAnsi="Arial" w:cs="Arial"/>
          <w:sz w:val="18"/>
          <w:szCs w:val="18"/>
          <w:lang w:val="fr-FR"/>
        </w:rPr>
      </w:pPr>
      <w:r w:rsidRPr="00F33E85">
        <w:rPr>
          <w:rStyle w:val="Appelnotedebasdep"/>
          <w:rFonts w:ascii="Arial" w:hAnsi="Arial" w:cs="Arial"/>
          <w:sz w:val="18"/>
          <w:szCs w:val="18"/>
          <w:lang w:val="en-GB"/>
        </w:rPr>
        <w:footnoteRef/>
      </w:r>
      <w:r w:rsidRPr="00F33E85">
        <w:rPr>
          <w:rFonts w:ascii="Arial" w:eastAsia="Arial" w:hAnsi="Arial" w:cs="Arial"/>
          <w:sz w:val="18"/>
          <w:szCs w:val="18"/>
          <w:bdr w:val="none" w:sz="0" w:space="0" w:color="auto" w:frame="1"/>
          <w:lang w:val="fr-FR"/>
        </w:rPr>
        <w:t xml:space="preserve"> </w:t>
      </w:r>
      <w:r w:rsidRPr="00F33E85">
        <w:rPr>
          <w:rFonts w:ascii="Arial" w:eastAsia="Arial" w:hAnsi="Arial" w:cs="Arial"/>
          <w:sz w:val="18"/>
          <w:szCs w:val="18"/>
          <w:bdr w:val="none" w:sz="0" w:space="0" w:color="auto" w:frame="1"/>
          <w:lang w:val="fr-FR"/>
        </w:rPr>
        <w:tab/>
      </w:r>
      <w:r w:rsidRPr="00F33E85">
        <w:rPr>
          <w:rFonts w:ascii="Arial" w:eastAsia="Arial" w:hAnsi="Arial" w:cs="Arial"/>
          <w:color w:val="222222"/>
          <w:sz w:val="18"/>
          <w:szCs w:val="18"/>
          <w:bdr w:val="none" w:sz="0" w:space="0" w:color="auto" w:frame="1"/>
          <w:shd w:val="clear" w:color="auto" w:fill="FFFFFF"/>
          <w:lang w:val="fr-FR"/>
        </w:rPr>
        <w:t>La mesure et l’estimation des effets de la sanction pénale sur les comportements criminels ultérieurs sont très complexes et il n’y a pas d’accord sur le caractère dissuasif des sanctions sur les comportements criminels. Veuillez vous assurer d’évaluer ici l’adéquation de la loi, et non l’efficacité du système judiciaire (qui a également un impact sur le caractère dissuasif d’une loi). Il s’agit donc d’un avis d’expert, mais qui devrait être appuyé par des faits qui seront mentionnés dans la section « commentaires ».</w:t>
      </w:r>
    </w:p>
  </w:footnote>
  <w:footnote w:id="24">
    <w:p w:rsidR="00BD5B7F" w:rsidRPr="00F33E85" w:rsidRDefault="00BD5B7F" w:rsidP="00BD5B7F">
      <w:pPr>
        <w:pStyle w:val="Notedebasdepage"/>
        <w:ind w:left="284" w:hanging="284"/>
        <w:rPr>
          <w:rFonts w:ascii="Arial" w:hAnsi="Arial" w:cs="Arial"/>
          <w:sz w:val="18"/>
          <w:szCs w:val="18"/>
          <w:lang w:val="fr-FR"/>
        </w:rPr>
      </w:pPr>
      <w:r w:rsidRPr="00F33E85">
        <w:rPr>
          <w:rStyle w:val="Appelnotedebasdep"/>
          <w:rFonts w:ascii="Arial" w:hAnsi="Arial" w:cs="Arial"/>
          <w:sz w:val="18"/>
          <w:szCs w:val="18"/>
          <w:lang w:val="en-GB"/>
        </w:rPr>
        <w:footnoteRef/>
      </w:r>
      <w:r w:rsidRPr="00F33E85">
        <w:rPr>
          <w:rFonts w:ascii="Arial" w:eastAsia="Arial" w:hAnsi="Arial" w:cs="Arial"/>
          <w:sz w:val="18"/>
          <w:szCs w:val="18"/>
          <w:bdr w:val="none" w:sz="0" w:space="0" w:color="auto" w:frame="1"/>
          <w:lang w:val="fr-FR"/>
        </w:rPr>
        <w:t xml:space="preserve"> </w:t>
      </w:r>
      <w:r w:rsidRPr="00F33E85">
        <w:rPr>
          <w:rFonts w:ascii="Arial" w:eastAsia="Arial" w:hAnsi="Arial" w:cs="Arial"/>
          <w:sz w:val="18"/>
          <w:szCs w:val="18"/>
          <w:bdr w:val="none" w:sz="0" w:space="0" w:color="auto" w:frame="1"/>
          <w:lang w:val="fr-FR"/>
        </w:rPr>
        <w:tab/>
        <w:t>Recommandation de la Convention de Berne n° 177 (2015) sur les facteurs de gravité et les principes en matière de fixation des peines pour l’évaluation des infractions contre les oiseaux, et notamment la mise à mort, le piégeage et le commerce illégaux d’oiseaux sauvages.</w:t>
      </w:r>
    </w:p>
  </w:footnote>
  <w:footnote w:id="25">
    <w:p w:rsidR="00BD5B7F" w:rsidRPr="00F33E85" w:rsidRDefault="00BD5B7F" w:rsidP="00BD5B7F">
      <w:pPr>
        <w:pStyle w:val="Notedebasdepage"/>
        <w:ind w:left="284" w:hanging="284"/>
        <w:rPr>
          <w:rFonts w:ascii="Arial" w:hAnsi="Arial" w:cs="Arial"/>
          <w:sz w:val="18"/>
          <w:szCs w:val="18"/>
          <w:lang w:val="fr-FR"/>
        </w:rPr>
      </w:pPr>
      <w:r w:rsidRPr="00F33E85">
        <w:rPr>
          <w:rStyle w:val="Appelnotedebasdep"/>
          <w:rFonts w:ascii="Arial" w:hAnsi="Arial" w:cs="Arial"/>
          <w:sz w:val="18"/>
          <w:szCs w:val="18"/>
          <w:lang w:val="en-GB"/>
        </w:rPr>
        <w:footnoteRef/>
      </w:r>
      <w:r w:rsidRPr="00F33E85">
        <w:rPr>
          <w:rFonts w:ascii="Arial" w:eastAsia="Arial" w:hAnsi="Arial" w:cs="Arial"/>
          <w:sz w:val="18"/>
          <w:szCs w:val="18"/>
          <w:bdr w:val="none" w:sz="0" w:space="0" w:color="auto" w:frame="1"/>
          <w:lang w:val="fr-FR"/>
        </w:rPr>
        <w:t xml:space="preserve"> </w:t>
      </w:r>
      <w:r w:rsidRPr="00F33E85">
        <w:rPr>
          <w:rFonts w:ascii="Arial" w:eastAsia="Arial" w:hAnsi="Arial" w:cs="Arial"/>
          <w:sz w:val="18"/>
          <w:szCs w:val="18"/>
          <w:bdr w:val="none" w:sz="0" w:space="0" w:color="auto" w:frame="1"/>
          <w:lang w:val="fr-FR"/>
        </w:rPr>
        <w:tab/>
        <w:t>La Convention des Nations Unies contre la criminalité transnationale organisée définit une infraction grave comme un acte constituant une infraction passible d’un emprisonnement d’au moins quatre ans ou d’une peine plus lourde.</w:t>
      </w:r>
    </w:p>
  </w:footnote>
  <w:footnote w:id="26">
    <w:p w:rsidR="00BD5B7F" w:rsidRPr="00F33E85" w:rsidRDefault="00BD5B7F" w:rsidP="00BD5B7F">
      <w:pPr>
        <w:pStyle w:val="Notedebasdepage"/>
        <w:ind w:left="284" w:hanging="284"/>
        <w:rPr>
          <w:rFonts w:ascii="Arial" w:hAnsi="Arial" w:cs="Arial"/>
          <w:sz w:val="18"/>
          <w:szCs w:val="18"/>
          <w:lang w:val="it-IT"/>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r>
      <w:r w:rsidRPr="00F33E85">
        <w:rPr>
          <w:rFonts w:ascii="Arial" w:eastAsia="Arial" w:hAnsi="Arial" w:cs="Arial"/>
          <w:sz w:val="18"/>
          <w:szCs w:val="18"/>
          <w:bdr w:val="none" w:sz="0" w:space="0" w:color="auto" w:frame="1"/>
          <w:lang w:val="fr-FR"/>
        </w:rPr>
        <w:t>Cet indicateur est basé sur l’indicateur 33 du Cadre d’indicateurs de l’ICCWC.</w:t>
      </w:r>
    </w:p>
  </w:footnote>
  <w:footnote w:id="27">
    <w:p w:rsidR="00BD5B7F" w:rsidRPr="00865DA5" w:rsidRDefault="00BD5B7F" w:rsidP="00BD5B7F">
      <w:pPr>
        <w:ind w:left="284" w:hanging="284"/>
        <w:jc w:val="both"/>
        <w:rPr>
          <w:sz w:val="18"/>
          <w:szCs w:val="18"/>
          <w:lang w:val="fr-FR"/>
        </w:rPr>
      </w:pPr>
      <w:r w:rsidRPr="00F33E85">
        <w:rPr>
          <w:rStyle w:val="Appelnotedebasdep"/>
          <w:rFonts w:ascii="Arial" w:hAnsi="Arial" w:cs="Arial"/>
          <w:sz w:val="18"/>
          <w:szCs w:val="18"/>
        </w:rPr>
        <w:footnoteRef/>
      </w:r>
      <w:r w:rsidRPr="00865DA5">
        <w:rPr>
          <w:rFonts w:ascii="Arial" w:hAnsi="Arial" w:cs="Arial"/>
          <w:sz w:val="18"/>
          <w:szCs w:val="18"/>
          <w:lang w:val="fr-FR"/>
        </w:rPr>
        <w:t xml:space="preserve"> </w:t>
      </w:r>
      <w:r w:rsidRPr="00865DA5">
        <w:rPr>
          <w:rFonts w:ascii="Arial" w:hAnsi="Arial" w:cs="Arial"/>
          <w:sz w:val="18"/>
          <w:szCs w:val="18"/>
          <w:lang w:val="fr-FR"/>
        </w:rPr>
        <w:tab/>
        <w:t>En raison de la valeur élevée de certains spécimens d’oiseaux commercialisés illégalement et de la participation des groupes de la criminalité organisée à l’IKB, les amendes maximales de la législation promulguée pour lutter contre la criminalité liée aux espèces sauvages ont souvent peu de rapport avec la valeur des spécimens faisant l’objet de l’infraction ou avec la gravité de l’infraction. Il est donc important que les personnes arrêtées pour leur implication dans des affaires d’IKB soient inculpées et jugées en vertu d’une combinaison de lois pertinentes qui entraînent les plus fortes sanctions, chaque fois que cela est possible et approprié. Cela comprend des dispositions législatives portant sur la coopération internationale, la lutte contre la corruption, et la lutte contre la criminalité organisée. Cela comprend également l’utilisation de législations générales sur la criminalité se rapportant à des infractions telles que la fraude, le complot, la détention d’armes, ainsi que d’autres questions énoncées dans le code pénal national</w:t>
      </w:r>
      <w:r w:rsidRPr="00865DA5">
        <w:rPr>
          <w:rFonts w:cs="Arial"/>
          <w:sz w:val="18"/>
          <w:szCs w:val="18"/>
          <w:lang w:val="fr-FR"/>
        </w:rPr>
        <w:t>.</w:t>
      </w:r>
    </w:p>
  </w:footnote>
  <w:footnote w:id="28">
    <w:p w:rsidR="00BD5B7F" w:rsidRPr="00865DA5" w:rsidRDefault="00BD5B7F" w:rsidP="00BD5B7F">
      <w:pPr>
        <w:ind w:left="284" w:hanging="284"/>
        <w:jc w:val="both"/>
        <w:rPr>
          <w:rFonts w:ascii="Arial" w:hAnsi="Arial" w:cs="Arial"/>
          <w:sz w:val="18"/>
          <w:szCs w:val="18"/>
          <w:lang w:val="fr-FR"/>
        </w:rPr>
      </w:pPr>
      <w:r>
        <w:rPr>
          <w:rStyle w:val="Appelnotedebasdep"/>
          <w:rFonts w:ascii="Arial" w:hAnsi="Arial" w:cs="Arial"/>
          <w:sz w:val="16"/>
          <w:szCs w:val="16"/>
        </w:rPr>
        <w:footnoteRef/>
      </w:r>
      <w:r w:rsidRPr="00865DA5">
        <w:rPr>
          <w:rFonts w:ascii="Arial" w:hAnsi="Arial" w:cs="Arial"/>
          <w:sz w:val="16"/>
          <w:szCs w:val="16"/>
          <w:bdr w:val="none" w:sz="0" w:space="0" w:color="auto" w:frame="1"/>
          <w:lang w:val="fr-FR"/>
        </w:rPr>
        <w:t xml:space="preserve"> </w:t>
      </w:r>
      <w:r w:rsidRPr="00865DA5">
        <w:rPr>
          <w:rFonts w:ascii="Arial" w:hAnsi="Arial" w:cs="Arial"/>
          <w:sz w:val="16"/>
          <w:szCs w:val="16"/>
          <w:bdr w:val="none" w:sz="0" w:space="0" w:color="auto" w:frame="1"/>
          <w:lang w:val="fr-FR"/>
        </w:rPr>
        <w:tab/>
      </w:r>
      <w:r w:rsidRPr="00865DA5">
        <w:rPr>
          <w:rFonts w:ascii="Arial" w:hAnsi="Arial" w:cs="Arial"/>
          <w:sz w:val="18"/>
          <w:szCs w:val="18"/>
          <w:bdr w:val="none" w:sz="0" w:space="0" w:color="auto" w:frame="1"/>
          <w:lang w:val="fr-FR"/>
        </w:rPr>
        <w:t>La Convention des Nations Unies contre la criminalité transnationale organisée définit un groupe criminel organisé comme « un groupe structuré de trois personnes ou plus existant depuis un certain temps et agissant de concert dans le but de commettre une ou plusieurs infractions graves ou infractions établies conformément à la présente Convention, pour en tirer, directement ou indirectement, un avantage financier ou un autre avantage matériel ».</w:t>
      </w:r>
    </w:p>
  </w:footnote>
  <w:footnote w:id="29">
    <w:p w:rsidR="00BD5B7F" w:rsidRPr="00F33E85" w:rsidRDefault="00BD5B7F" w:rsidP="00BD5B7F">
      <w:pPr>
        <w:pStyle w:val="Notedebasdepage"/>
        <w:rPr>
          <w:rFonts w:ascii="Arial" w:hAnsi="Arial" w:cs="Arial"/>
          <w:sz w:val="18"/>
          <w:szCs w:val="18"/>
          <w:lang w:val="fr-FR"/>
        </w:rPr>
      </w:pPr>
      <w:r w:rsidRPr="00F33E85">
        <w:rPr>
          <w:rStyle w:val="Appelnotedebasdep"/>
          <w:rFonts w:ascii="Arial" w:hAnsi="Arial" w:cs="Arial"/>
          <w:sz w:val="18"/>
          <w:szCs w:val="18"/>
          <w:lang w:val="en-GB"/>
        </w:rPr>
        <w:footnoteRef/>
      </w:r>
      <w:r w:rsidRPr="00F33E85">
        <w:rPr>
          <w:rFonts w:ascii="Arial" w:eastAsia="Arial" w:hAnsi="Arial" w:cs="Arial"/>
          <w:sz w:val="18"/>
          <w:szCs w:val="18"/>
          <w:bdr w:val="none" w:sz="0" w:space="0" w:color="auto" w:frame="1"/>
          <w:lang w:val="fr-FR"/>
        </w:rPr>
        <w:t xml:space="preserve"> Cet indicateur correspond à l’indicateur 3 du cadre de l’ICCWC </w:t>
      </w:r>
    </w:p>
  </w:footnote>
  <w:footnote w:id="30">
    <w:p w:rsidR="00BD5B7F" w:rsidRPr="00F33E85" w:rsidRDefault="00BD5B7F" w:rsidP="00BD5B7F">
      <w:pPr>
        <w:pStyle w:val="Notedebasdepage"/>
        <w:ind w:left="284" w:hanging="284"/>
        <w:rPr>
          <w:rFonts w:ascii="Arial" w:hAnsi="Arial" w:cs="Arial"/>
          <w:sz w:val="18"/>
          <w:szCs w:val="18"/>
          <w:lang w:val="fr-FR"/>
        </w:rPr>
      </w:pPr>
      <w:r>
        <w:rPr>
          <w:rStyle w:val="Appelnotedebasdep"/>
          <w:rFonts w:ascii="Arial" w:hAnsi="Arial" w:cs="Arial"/>
          <w:sz w:val="16"/>
          <w:szCs w:val="16"/>
          <w:lang w:val="en-GB"/>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r>
      <w:r w:rsidRPr="00F33E85">
        <w:rPr>
          <w:rFonts w:ascii="Arial" w:eastAsia="Arial" w:hAnsi="Arial" w:cs="Arial"/>
          <w:sz w:val="18"/>
          <w:szCs w:val="18"/>
          <w:bdr w:val="none" w:sz="0" w:space="0" w:color="auto" w:frame="1"/>
          <w:lang w:val="fr-FR"/>
        </w:rPr>
        <w:t>Cet indicateur est basé sur l’indicateur 1 du cadre d’indicateurs de l’ICCWC.</w:t>
      </w:r>
    </w:p>
  </w:footnote>
  <w:footnote w:id="31">
    <w:p w:rsidR="00BD5B7F" w:rsidRPr="00F33E85" w:rsidRDefault="00BD5B7F" w:rsidP="00BD5B7F">
      <w:pPr>
        <w:pStyle w:val="Notedebasdepage"/>
        <w:ind w:left="284" w:hanging="284"/>
        <w:rPr>
          <w:rFonts w:ascii="Arial" w:hAnsi="Arial" w:cs="Arial"/>
          <w:sz w:val="18"/>
          <w:szCs w:val="18"/>
          <w:lang w:val="fr-FR"/>
        </w:rPr>
      </w:pPr>
      <w:r w:rsidRPr="00F33E85">
        <w:rPr>
          <w:rStyle w:val="Appelnotedebasdep"/>
          <w:rFonts w:ascii="Arial" w:hAnsi="Arial" w:cs="Arial"/>
          <w:sz w:val="18"/>
          <w:szCs w:val="18"/>
        </w:rPr>
        <w:footnoteRef/>
      </w:r>
      <w:r w:rsidRPr="00F33E85">
        <w:rPr>
          <w:rFonts w:ascii="Arial" w:eastAsia="Arial" w:hAnsi="Arial" w:cs="Arial"/>
          <w:sz w:val="18"/>
          <w:szCs w:val="18"/>
          <w:bdr w:val="none" w:sz="0" w:space="0" w:color="auto" w:frame="1"/>
          <w:lang w:val="fr-FR"/>
        </w:rPr>
        <w:t xml:space="preserve"> </w:t>
      </w:r>
      <w:r w:rsidRPr="00F33E85">
        <w:rPr>
          <w:rFonts w:ascii="Arial" w:eastAsia="Arial" w:hAnsi="Arial" w:cs="Arial"/>
          <w:sz w:val="18"/>
          <w:szCs w:val="18"/>
          <w:bdr w:val="none" w:sz="0" w:space="0" w:color="auto" w:frame="1"/>
          <w:lang w:val="fr-FR"/>
        </w:rPr>
        <w:tab/>
        <w:t>La reconnaissance officielle peut inclure une référence à la criminalité liée aux espèces sauvages en tant que question prioritaire dans les plans stratégiques, les Mémorandums d’Entente, les déclarations publiques des dirigeants des agences et/ou les déclarations/décrets des chefs d’État.</w:t>
      </w:r>
    </w:p>
  </w:footnote>
  <w:footnote w:id="32">
    <w:p w:rsidR="00BD5B7F" w:rsidRPr="00F33E85" w:rsidRDefault="00BD5B7F" w:rsidP="00BD5B7F">
      <w:pPr>
        <w:pStyle w:val="Notedebasdepage"/>
        <w:ind w:left="284" w:hanging="284"/>
        <w:rPr>
          <w:rFonts w:ascii="Arial" w:hAnsi="Arial" w:cs="Arial"/>
          <w:sz w:val="18"/>
          <w:szCs w:val="18"/>
          <w:lang w:val="fr-FR"/>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sidRPr="00F33E85">
        <w:rPr>
          <w:rFonts w:ascii="Arial" w:eastAsia="Arial" w:hAnsi="Arial" w:cs="Arial"/>
          <w:sz w:val="18"/>
          <w:szCs w:val="18"/>
          <w:bdr w:val="none" w:sz="0" w:space="0" w:color="auto" w:frame="1"/>
          <w:lang w:val="fr-FR"/>
        </w:rPr>
        <w:t xml:space="preserve">Les parties prenantes comprennent la communauté soumise aux réglementations (c.-à-d. les personnes effectuant des prélèvements, incluant les chasseurs, les vendeurs, les commerçants, etc., comme décrit dans l’indicateur 26), les ONG de protection des oiseaux, les universités et les communautés locales, le cas échéant. </w:t>
      </w:r>
    </w:p>
  </w:footnote>
  <w:footnote w:id="33">
    <w:p w:rsidR="00BD5B7F" w:rsidRPr="00F33E85" w:rsidRDefault="00BD5B7F" w:rsidP="00BD5B7F">
      <w:pPr>
        <w:pStyle w:val="Notedebasdepage"/>
        <w:ind w:left="284" w:hanging="284"/>
        <w:rPr>
          <w:rFonts w:ascii="Arial" w:hAnsi="Arial" w:cs="Arial"/>
          <w:sz w:val="18"/>
          <w:szCs w:val="18"/>
          <w:lang w:val="fr-FR"/>
        </w:rPr>
      </w:pPr>
      <w:r>
        <w:rPr>
          <w:rStyle w:val="Appelnotedebasdep"/>
          <w:rFonts w:ascii="Arial" w:hAnsi="Arial" w:cs="Arial"/>
          <w:sz w:val="16"/>
          <w:szCs w:val="16"/>
          <w:lang w:val="en-GB"/>
        </w:rPr>
        <w:footnoteRef/>
      </w:r>
      <w:r>
        <w:rPr>
          <w:rFonts w:ascii="Arial" w:eastAsia="Arial" w:hAnsi="Arial" w:cs="Arial"/>
          <w:sz w:val="16"/>
          <w:szCs w:val="16"/>
          <w:bdr w:val="none" w:sz="0" w:space="0" w:color="auto" w:frame="1"/>
          <w:lang w:val="fr-FR"/>
        </w:rPr>
        <w:t xml:space="preserve"> </w:t>
      </w:r>
      <w:r w:rsidRPr="00F33E85">
        <w:rPr>
          <w:rFonts w:ascii="Arial" w:eastAsia="Arial" w:hAnsi="Arial" w:cs="Arial"/>
          <w:sz w:val="18"/>
          <w:szCs w:val="18"/>
          <w:bdr w:val="none" w:sz="0" w:space="0" w:color="auto" w:frame="1"/>
          <w:lang w:val="fr-FR"/>
        </w:rPr>
        <w:t>Cet indicateur correspond à l’indicateur 8 du Cadre d’indicateurs de l’ICCWC.</w:t>
      </w:r>
    </w:p>
  </w:footnote>
  <w:footnote w:id="34">
    <w:p w:rsidR="00BD5B7F" w:rsidRPr="00F33E85" w:rsidRDefault="00BD5B7F" w:rsidP="00BD5B7F">
      <w:pPr>
        <w:pStyle w:val="Notedebasdepage"/>
        <w:ind w:left="284" w:hanging="284"/>
        <w:rPr>
          <w:rFonts w:ascii="Arial" w:hAnsi="Arial" w:cs="Arial"/>
          <w:sz w:val="18"/>
          <w:szCs w:val="18"/>
          <w:lang w:val="fr-FR"/>
        </w:rPr>
      </w:pPr>
      <w:r w:rsidRPr="00F33E85">
        <w:rPr>
          <w:rStyle w:val="Appelnotedebasdep"/>
          <w:rFonts w:ascii="Arial" w:hAnsi="Arial" w:cs="Arial"/>
          <w:sz w:val="18"/>
          <w:szCs w:val="18"/>
        </w:rPr>
        <w:footnoteRef/>
      </w:r>
      <w:r w:rsidRPr="00F33E85">
        <w:rPr>
          <w:rFonts w:ascii="Arial" w:eastAsia="Arial" w:hAnsi="Arial" w:cs="Arial"/>
          <w:sz w:val="18"/>
          <w:szCs w:val="18"/>
          <w:bdr w:val="none" w:sz="0" w:space="0" w:color="auto" w:frame="1"/>
          <w:lang w:val="fr-FR"/>
        </w:rPr>
        <w:t xml:space="preserve"> Savoir si le niveau du personnel est suffisant ou non est une question d’opinion d’expert. Veuillez fournir des éléments de preuve et des éléments rationnels dans la section « Commentaires ». Veuillez noter que l’indicateur 19 traitera de l’effort de lutte contre la fraude.</w:t>
      </w:r>
    </w:p>
  </w:footnote>
  <w:footnote w:id="35">
    <w:p w:rsidR="00BD5B7F" w:rsidRPr="00865DA5" w:rsidRDefault="00BD5B7F" w:rsidP="00BD5B7F">
      <w:pPr>
        <w:ind w:left="284" w:hanging="284"/>
        <w:jc w:val="both"/>
        <w:rPr>
          <w:rFonts w:cs="Arial"/>
          <w:sz w:val="18"/>
          <w:szCs w:val="18"/>
          <w:lang w:val="fr-FR"/>
        </w:rPr>
      </w:pPr>
      <w:r w:rsidRPr="00F33E85">
        <w:rPr>
          <w:rStyle w:val="Appelnotedebasdep"/>
          <w:rFonts w:ascii="Arial" w:hAnsi="Arial" w:cs="Arial"/>
          <w:sz w:val="18"/>
          <w:szCs w:val="18"/>
        </w:rPr>
        <w:footnoteRef/>
      </w:r>
      <w:r w:rsidRPr="00865DA5">
        <w:rPr>
          <w:rFonts w:ascii="Arial" w:hAnsi="Arial" w:cs="Arial"/>
          <w:sz w:val="18"/>
          <w:szCs w:val="18"/>
          <w:bdr w:val="none" w:sz="0" w:space="0" w:color="auto" w:frame="1"/>
          <w:lang w:val="fr-FR"/>
        </w:rPr>
        <w:t xml:space="preserve"> Les questions relatives au personnel comprennent des facteurs tels que l’existence d’une combinaison appropriée de personnel à temps plein, à temps partiel et occasionnel ; de personnel expérimenté et moins expérimenté ; et de personnel professionnel, technique, d’enquête et administratif nécessaire pour mener les activités requises</w:t>
      </w:r>
      <w:r w:rsidRPr="00865DA5">
        <w:rPr>
          <w:sz w:val="18"/>
          <w:szCs w:val="18"/>
          <w:bdr w:val="none" w:sz="0" w:space="0" w:color="auto" w:frame="1"/>
          <w:lang w:val="fr-FR"/>
        </w:rPr>
        <w:t>.</w:t>
      </w:r>
    </w:p>
  </w:footnote>
  <w:footnote w:id="36">
    <w:p w:rsidR="00BD5B7F" w:rsidRPr="00F33E85" w:rsidRDefault="00BD5B7F" w:rsidP="00BD5B7F">
      <w:pPr>
        <w:pStyle w:val="Notedebasdepage"/>
        <w:ind w:left="284" w:hanging="284"/>
        <w:rPr>
          <w:rFonts w:ascii="Arial" w:hAnsi="Arial" w:cs="Arial"/>
          <w:sz w:val="18"/>
          <w:szCs w:val="18"/>
          <w:lang w:val="fr-FR"/>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sidRPr="00F33E85">
        <w:rPr>
          <w:rFonts w:ascii="Arial" w:eastAsia="Arial" w:hAnsi="Arial" w:cs="Arial"/>
          <w:sz w:val="18"/>
          <w:szCs w:val="18"/>
          <w:bdr w:val="none" w:sz="0" w:space="0" w:color="auto" w:frame="1"/>
          <w:lang w:val="fr-FR"/>
        </w:rPr>
        <w:t>Les « agents chargés de la lutte contre la fraude et de l’application des lois » désignent dans ce cas les policiers et tout autre professionnel impliqué dans la protection et la gestion de la faune sauvage, des parcs nationaux et des espaces naturels (p. ex. gardes, gardes forestiers, gardes chasse, agents chargé de la lutte contre la fraude sur le terrain).</w:t>
      </w:r>
    </w:p>
  </w:footnote>
  <w:footnote w:id="37">
    <w:p w:rsidR="00BD5B7F" w:rsidRPr="00F33E85" w:rsidRDefault="00BD5B7F" w:rsidP="00BD5B7F">
      <w:pPr>
        <w:pStyle w:val="Notedebasdepage"/>
        <w:ind w:left="284" w:hanging="284"/>
        <w:rPr>
          <w:rFonts w:ascii="Arial" w:hAnsi="Arial" w:cs="Arial"/>
          <w:sz w:val="18"/>
          <w:szCs w:val="18"/>
          <w:lang w:val="it-IT"/>
        </w:rPr>
      </w:pPr>
      <w:r w:rsidRPr="00F33E85">
        <w:rPr>
          <w:rStyle w:val="Appelnotedebasdep"/>
          <w:rFonts w:ascii="Arial" w:hAnsi="Arial" w:cs="Arial"/>
          <w:sz w:val="18"/>
          <w:szCs w:val="18"/>
        </w:rPr>
        <w:footnoteRef/>
      </w:r>
      <w:r w:rsidRPr="00F33E85">
        <w:rPr>
          <w:rStyle w:val="Appelnotedebasdep"/>
          <w:rFonts w:ascii="Arial" w:eastAsia="Arial" w:hAnsi="Arial" w:cs="Arial"/>
          <w:sz w:val="18"/>
          <w:szCs w:val="18"/>
          <w:bdr w:val="none" w:sz="0" w:space="0" w:color="auto" w:frame="1"/>
          <w:lang w:val="fr-FR"/>
        </w:rPr>
        <w:t xml:space="preserve"> Veuillez fournir des informations sur la fréquence à laquelle les formations sont organisées, les sujets traités, le nombre de personnes concernées, qui dispense les formations, etc.</w:t>
      </w:r>
    </w:p>
  </w:footnote>
  <w:footnote w:id="38">
    <w:p w:rsidR="00BD5B7F" w:rsidRDefault="00BD5B7F" w:rsidP="00BD5B7F">
      <w:pPr>
        <w:pStyle w:val="Notedebasdepage"/>
        <w:ind w:left="284" w:hanging="284"/>
        <w:rPr>
          <w:rFonts w:ascii="Arial" w:hAnsi="Arial" w:cs="Arial"/>
          <w:sz w:val="16"/>
          <w:szCs w:val="16"/>
          <w:lang w:val="fr-FR"/>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t xml:space="preserve">Veuillez fournir d’autres informations si disponibles sur des chiffres spécifiques tels que le nombre de membres du personnel ou de personnes/jours par an investis par les agences de lutte contre la fraude et d’application des lois dans la lutte contre l’IKB. </w:t>
      </w:r>
    </w:p>
  </w:footnote>
  <w:footnote w:id="39">
    <w:p w:rsidR="00BD5B7F" w:rsidRDefault="00BD5B7F" w:rsidP="00BD5B7F">
      <w:pPr>
        <w:pStyle w:val="Notedebasdepage"/>
        <w:tabs>
          <w:tab w:val="left" w:pos="284"/>
        </w:tabs>
        <w:ind w:left="284" w:hanging="284"/>
        <w:rPr>
          <w:rFonts w:ascii="Arial" w:hAnsi="Arial" w:cs="Arial"/>
          <w:sz w:val="16"/>
          <w:szCs w:val="16"/>
          <w:lang w:val="fr-FR"/>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t>La durée des affaires pénales est mesurée comme étant la période comprise entre la date du dépôt des accusations en justice et la date de détermination de la sanction, mais exclut tout éventuel recours ultérieur ayant pu être déposé.</w:t>
      </w:r>
    </w:p>
  </w:footnote>
  <w:footnote w:id="40">
    <w:p w:rsidR="00BD5B7F" w:rsidRDefault="00BD5B7F" w:rsidP="00BD5B7F">
      <w:pPr>
        <w:pStyle w:val="Notedebasdepage"/>
        <w:tabs>
          <w:tab w:val="left" w:pos="284"/>
        </w:tabs>
        <w:ind w:left="284" w:hanging="284"/>
        <w:rPr>
          <w:rFonts w:ascii="Arial" w:hAnsi="Arial" w:cs="Arial"/>
          <w:sz w:val="16"/>
          <w:szCs w:val="16"/>
          <w:lang w:val="fr-FR"/>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t>La durée des affaires administratives est mesurée comme la période entre la date à laquelle le contrevenant reçoit un avis d’infraction administrative et la date du règlement intégral de cette sanction administrative.</w:t>
      </w:r>
    </w:p>
  </w:footnote>
  <w:footnote w:id="41">
    <w:p w:rsidR="00BD5B7F" w:rsidRDefault="00BD5B7F" w:rsidP="00BD5B7F">
      <w:pPr>
        <w:pStyle w:val="Notedebasdepage"/>
        <w:tabs>
          <w:tab w:val="left" w:pos="284"/>
        </w:tabs>
        <w:ind w:left="284" w:hanging="284"/>
        <w:rPr>
          <w:rFonts w:ascii="Arial" w:hAnsi="Arial" w:cs="Arial"/>
          <w:sz w:val="16"/>
          <w:szCs w:val="16"/>
          <w:lang w:val="fr-FR"/>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t>Non compris les acquittements effectués en cas d’appel, le cas échéant.</w:t>
      </w:r>
    </w:p>
  </w:footnote>
  <w:footnote w:id="42">
    <w:p w:rsidR="00BD5B7F" w:rsidRPr="001363C9" w:rsidRDefault="00BD5B7F" w:rsidP="00BD5B7F">
      <w:pPr>
        <w:pStyle w:val="Notedebasdepage"/>
        <w:rPr>
          <w:rFonts w:ascii="Arial" w:hAnsi="Arial" w:cs="Arial"/>
          <w:sz w:val="18"/>
          <w:szCs w:val="18"/>
          <w:lang w:val="fr-FR"/>
        </w:rPr>
      </w:pPr>
      <w:r>
        <w:rPr>
          <w:rStyle w:val="Appelnotedebasdep"/>
          <w:rFonts w:ascii="Arial" w:hAnsi="Arial" w:cs="Arial"/>
          <w:sz w:val="16"/>
          <w:szCs w:val="16"/>
          <w:lang w:val="en-GB"/>
        </w:rPr>
        <w:footnoteRef/>
      </w:r>
      <w:r>
        <w:rPr>
          <w:rFonts w:ascii="Arial" w:eastAsia="Arial" w:hAnsi="Arial" w:cs="Arial"/>
          <w:sz w:val="16"/>
          <w:szCs w:val="16"/>
          <w:bdr w:val="none" w:sz="0" w:space="0" w:color="auto" w:frame="1"/>
          <w:lang w:val="fr-FR"/>
        </w:rPr>
        <w:t xml:space="preserve"> </w:t>
      </w:r>
      <w:r w:rsidRPr="001363C9">
        <w:rPr>
          <w:rFonts w:ascii="Arial" w:eastAsia="Arial" w:hAnsi="Arial" w:cs="Arial"/>
          <w:sz w:val="18"/>
          <w:szCs w:val="18"/>
          <w:bdr w:val="none" w:sz="0" w:space="0" w:color="auto" w:frame="1"/>
          <w:lang w:val="fr-FR"/>
        </w:rPr>
        <w:t>Cet indicateur est basé sur l’indicateur 41 du Cadre d’indicateurs de l’ICCWC.</w:t>
      </w:r>
    </w:p>
  </w:footnote>
  <w:footnote w:id="43">
    <w:p w:rsidR="00BD5B7F" w:rsidRDefault="00BD5B7F" w:rsidP="00BD5B7F">
      <w:pPr>
        <w:pStyle w:val="Notedebasdepage"/>
        <w:rPr>
          <w:rFonts w:ascii="Arial" w:hAnsi="Arial" w:cs="Arial"/>
          <w:sz w:val="16"/>
          <w:szCs w:val="16"/>
          <w:lang w:val="it-IT"/>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sidRPr="001363C9">
        <w:rPr>
          <w:rFonts w:ascii="Arial" w:eastAsia="Arial" w:hAnsi="Arial" w:cs="Arial"/>
          <w:sz w:val="18"/>
          <w:szCs w:val="18"/>
          <w:bdr w:val="none" w:sz="0" w:space="0" w:color="auto" w:frame="1"/>
          <w:lang w:val="fr-FR"/>
        </w:rPr>
        <w:t>Cet indicateur correspond à l’indicateur 42 du Cadre d’indicateurs de l’ICCWC.</w:t>
      </w:r>
    </w:p>
  </w:footnote>
  <w:footnote w:id="44">
    <w:p w:rsidR="00BD5B7F" w:rsidRPr="001363C9" w:rsidRDefault="00BD5B7F" w:rsidP="00BD5B7F">
      <w:pPr>
        <w:pStyle w:val="Notedebasdepage"/>
        <w:tabs>
          <w:tab w:val="left" w:pos="284"/>
        </w:tabs>
        <w:ind w:left="284" w:hanging="284"/>
        <w:rPr>
          <w:rFonts w:ascii="Arial" w:hAnsi="Arial" w:cs="Arial"/>
          <w:sz w:val="18"/>
          <w:szCs w:val="18"/>
          <w:lang w:val="it-IT"/>
        </w:rPr>
      </w:pPr>
      <w:r>
        <w:rPr>
          <w:rStyle w:val="Appelnotedebasdep"/>
          <w:rFonts w:ascii="Arial" w:hAnsi="Arial" w:cs="Arial"/>
          <w:sz w:val="16"/>
        </w:rPr>
        <w:footnoteRef/>
      </w:r>
      <w:r>
        <w:rPr>
          <w:rFonts w:ascii="Arial" w:eastAsia="Arial" w:hAnsi="Arial" w:cs="Arial"/>
          <w:sz w:val="16"/>
          <w:szCs w:val="16"/>
          <w:bdr w:val="none" w:sz="0" w:space="0" w:color="auto" w:frame="1"/>
          <w:lang w:val="fr-FR"/>
        </w:rPr>
        <w:t xml:space="preserve"> </w:t>
      </w:r>
      <w:r w:rsidRPr="001363C9">
        <w:rPr>
          <w:rFonts w:ascii="Arial" w:eastAsia="Arial" w:hAnsi="Arial" w:cs="Arial"/>
          <w:sz w:val="18"/>
          <w:szCs w:val="18"/>
          <w:bdr w:val="none" w:sz="0" w:space="0" w:color="auto" w:frame="1"/>
          <w:lang w:val="fr-FR"/>
        </w:rPr>
        <w:tab/>
        <w:t xml:space="preserve">Veuillez fournir des informations sur la fréquence à laquelle les formations sont organisées, les sujets traités, le nombre de personnes concernées, qui dispense les formations, etc. </w:t>
      </w:r>
    </w:p>
  </w:footnote>
  <w:footnote w:id="45">
    <w:p w:rsidR="00BD5B7F" w:rsidRPr="001363C9" w:rsidRDefault="00BD5B7F" w:rsidP="00BD5B7F">
      <w:pPr>
        <w:pStyle w:val="Notedebasdepage"/>
        <w:tabs>
          <w:tab w:val="left" w:pos="284"/>
        </w:tabs>
        <w:ind w:left="288" w:hanging="288"/>
        <w:rPr>
          <w:rFonts w:ascii="Arial" w:hAnsi="Arial" w:cs="Arial"/>
          <w:sz w:val="18"/>
          <w:szCs w:val="18"/>
          <w:lang w:val="fr-FR"/>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r>
      <w:r w:rsidRPr="001363C9">
        <w:rPr>
          <w:rFonts w:ascii="Arial" w:eastAsia="Arial" w:hAnsi="Arial" w:cs="Arial"/>
          <w:sz w:val="18"/>
          <w:szCs w:val="18"/>
          <w:bdr w:val="none" w:sz="0" w:space="0" w:color="auto" w:frame="1"/>
          <w:lang w:val="fr-FR"/>
        </w:rPr>
        <w:t>Le rôle actif comprend des actions telles que la participation à toutes les réunions, la réponse aux questionnaires et la mise en œuvre d’initiatives au niveau national.</w:t>
      </w:r>
    </w:p>
  </w:footnote>
  <w:footnote w:id="46">
    <w:p w:rsidR="00BD5B7F" w:rsidRPr="001363C9" w:rsidRDefault="00BD5B7F" w:rsidP="00BD5B7F">
      <w:pPr>
        <w:pStyle w:val="Notedebasdepage"/>
        <w:tabs>
          <w:tab w:val="left" w:pos="284"/>
        </w:tabs>
        <w:ind w:left="284" w:hanging="284"/>
        <w:rPr>
          <w:rFonts w:ascii="Arial" w:hAnsi="Arial" w:cs="Arial"/>
          <w:sz w:val="18"/>
          <w:szCs w:val="18"/>
          <w:lang w:val="it-IT"/>
        </w:rPr>
      </w:pPr>
      <w:r w:rsidRPr="001363C9">
        <w:rPr>
          <w:rStyle w:val="Appelnotedebasdep"/>
          <w:rFonts w:ascii="Arial" w:hAnsi="Arial" w:cs="Arial"/>
          <w:sz w:val="18"/>
          <w:szCs w:val="18"/>
        </w:rPr>
        <w:footnoteRef/>
      </w:r>
      <w:r w:rsidRPr="001363C9">
        <w:rPr>
          <w:rFonts w:ascii="Arial" w:eastAsia="Arial" w:hAnsi="Arial" w:cs="Arial"/>
          <w:sz w:val="18"/>
          <w:szCs w:val="18"/>
          <w:bdr w:val="none" w:sz="0" w:space="0" w:color="auto" w:frame="1"/>
          <w:lang w:val="fr-FR"/>
        </w:rPr>
        <w:t xml:space="preserve"> </w:t>
      </w:r>
      <w:r w:rsidRPr="001363C9">
        <w:rPr>
          <w:rFonts w:ascii="Arial" w:eastAsia="Arial" w:hAnsi="Arial" w:cs="Arial"/>
          <w:sz w:val="18"/>
          <w:szCs w:val="18"/>
          <w:bdr w:val="none" w:sz="0" w:space="0" w:color="auto" w:frame="1"/>
          <w:lang w:val="fr-FR"/>
        </w:rPr>
        <w:tab/>
        <w:t>Cet indicateur correspond à l’indicateur 45 du Cadre d’indicateurs de l’ICCWC.</w:t>
      </w:r>
    </w:p>
  </w:footnote>
  <w:footnote w:id="47">
    <w:p w:rsidR="00BD5B7F" w:rsidRPr="00865DA5" w:rsidRDefault="00BD5B7F" w:rsidP="00BD5B7F">
      <w:pPr>
        <w:tabs>
          <w:tab w:val="left" w:pos="284"/>
        </w:tabs>
        <w:ind w:left="284" w:hanging="284"/>
        <w:jc w:val="both"/>
        <w:rPr>
          <w:rFonts w:ascii="Arial" w:hAnsi="Arial" w:cs="Arial"/>
          <w:sz w:val="18"/>
          <w:szCs w:val="18"/>
          <w:lang w:val="fr-FR"/>
        </w:rPr>
      </w:pPr>
      <w:r w:rsidRPr="001363C9">
        <w:rPr>
          <w:rStyle w:val="Appelnotedebasdep"/>
          <w:rFonts w:ascii="Arial" w:hAnsi="Arial" w:cs="Arial"/>
          <w:sz w:val="18"/>
          <w:szCs w:val="18"/>
        </w:rPr>
        <w:footnoteRef/>
      </w:r>
      <w:r w:rsidRPr="00865DA5">
        <w:rPr>
          <w:rFonts w:ascii="Arial" w:hAnsi="Arial" w:cs="Arial"/>
          <w:sz w:val="18"/>
          <w:szCs w:val="18"/>
          <w:bdr w:val="none" w:sz="0" w:space="0" w:color="auto" w:frame="1"/>
          <w:lang w:val="fr-FR"/>
        </w:rPr>
        <w:t xml:space="preserve"> </w:t>
      </w:r>
      <w:r w:rsidRPr="00865DA5">
        <w:rPr>
          <w:rFonts w:ascii="Arial" w:hAnsi="Arial" w:cs="Arial"/>
          <w:sz w:val="18"/>
          <w:szCs w:val="18"/>
          <w:bdr w:val="none" w:sz="0" w:space="0" w:color="auto" w:frame="1"/>
          <w:lang w:val="fr-FR"/>
        </w:rPr>
        <w:tab/>
        <w:t>Les « moteurs » sont les facteurs sous-jacents qui sous-tendent l’IKB. L’IKB peut être motivé par de multiples facteurs, y compris (mais sans s’y limiter) la pauvreté en milieu rural, l’insécurité alimentaire, les intérêts économiques, une faible application des lois / lutte contre la fraude, une législation peu claire, des sanctions trop faibles pour dissuader les infractions, la perception de la légitimité, la tradition, etc. »</w:t>
      </w:r>
    </w:p>
  </w:footnote>
  <w:footnote w:id="48">
    <w:p w:rsidR="00BD5B7F" w:rsidRPr="001363C9" w:rsidRDefault="00BD5B7F" w:rsidP="00BD5B7F">
      <w:pPr>
        <w:pStyle w:val="Notedebasdepage"/>
        <w:tabs>
          <w:tab w:val="left" w:pos="284"/>
        </w:tabs>
        <w:ind w:left="284" w:hanging="284"/>
        <w:rPr>
          <w:rFonts w:ascii="Arial" w:hAnsi="Arial" w:cs="Arial"/>
          <w:sz w:val="18"/>
          <w:szCs w:val="18"/>
          <w:lang w:val="fr-FR"/>
        </w:rPr>
      </w:pPr>
      <w:r>
        <w:rPr>
          <w:rStyle w:val="Appelnotedebasdep"/>
          <w:rFonts w:ascii="Arial" w:hAnsi="Arial" w:cs="Arial"/>
          <w:sz w:val="16"/>
          <w:szCs w:val="16"/>
          <w:lang w:val="en-GB"/>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r>
      <w:r w:rsidRPr="001363C9">
        <w:rPr>
          <w:rFonts w:ascii="Arial" w:eastAsia="Arial" w:hAnsi="Arial" w:cs="Arial"/>
          <w:sz w:val="18"/>
          <w:szCs w:val="18"/>
          <w:bdr w:val="none" w:sz="0" w:space="0" w:color="auto" w:frame="1"/>
          <w:lang w:val="fr-FR"/>
        </w:rPr>
        <w:t>Cet indicateur correspond à l’indicateur 46 du Cadre d’indicateurs de l’ICCWC.</w:t>
      </w:r>
    </w:p>
  </w:footnote>
  <w:footnote w:id="49">
    <w:p w:rsidR="00BD5B7F" w:rsidRPr="00865DA5" w:rsidRDefault="00BD5B7F" w:rsidP="00BD5B7F">
      <w:pPr>
        <w:pStyle w:val="NormalWeb"/>
        <w:tabs>
          <w:tab w:val="left" w:pos="284"/>
        </w:tabs>
        <w:spacing w:before="0" w:beforeAutospacing="0" w:afterAutospacing="0"/>
        <w:ind w:left="284" w:hanging="284"/>
        <w:jc w:val="both"/>
        <w:rPr>
          <w:sz w:val="18"/>
          <w:szCs w:val="18"/>
          <w:lang w:val="fr-FR"/>
        </w:rPr>
      </w:pPr>
      <w:r w:rsidRPr="001363C9">
        <w:rPr>
          <w:rStyle w:val="Appelnotedebasdep"/>
          <w:rFonts w:ascii="Arial" w:hAnsi="Arial" w:cs="Arial"/>
          <w:sz w:val="18"/>
          <w:szCs w:val="18"/>
        </w:rPr>
        <w:footnoteRef/>
      </w:r>
      <w:r w:rsidRPr="00865DA5">
        <w:rPr>
          <w:rFonts w:ascii="Arial" w:eastAsia="Arial" w:hAnsi="Arial" w:cs="Arial"/>
          <w:sz w:val="18"/>
          <w:szCs w:val="18"/>
          <w:bdr w:val="none" w:sz="0" w:space="0" w:color="auto" w:frame="1"/>
          <w:lang w:val="fr-FR"/>
        </w:rPr>
        <w:t xml:space="preserve"> </w:t>
      </w:r>
      <w:r w:rsidRPr="00865DA5">
        <w:rPr>
          <w:rFonts w:ascii="Arial" w:eastAsia="Arial" w:hAnsi="Arial" w:cs="Arial"/>
          <w:sz w:val="18"/>
          <w:szCs w:val="18"/>
          <w:bdr w:val="none" w:sz="0" w:space="0" w:color="auto" w:frame="1"/>
          <w:lang w:val="fr-FR"/>
        </w:rPr>
        <w:tab/>
      </w:r>
      <w:r w:rsidRPr="00865DA5">
        <w:rPr>
          <w:rStyle w:val="Appelnotedebasdep"/>
          <w:rFonts w:ascii="Arial" w:eastAsia="Arial" w:hAnsi="Arial" w:cs="Arial"/>
          <w:sz w:val="18"/>
          <w:szCs w:val="18"/>
          <w:bdr w:val="none" w:sz="0" w:space="0" w:color="auto" w:frame="1"/>
          <w:lang w:val="fr-FR"/>
        </w:rPr>
        <w:t>Les « activités relatives à la demande » sont des activités développées et mises en œuvre pour réduire la demande en produits issus de certains oiseaux</w:t>
      </w:r>
      <w:r w:rsidRPr="00865DA5">
        <w:rPr>
          <w:rFonts w:ascii="Arial" w:eastAsia="Arial" w:hAnsi="Arial" w:cs="Arial"/>
          <w:sz w:val="18"/>
          <w:szCs w:val="18"/>
          <w:bdr w:val="none" w:sz="0" w:space="0" w:color="auto" w:frame="1"/>
          <w:lang w:val="fr-FR"/>
        </w:rPr>
        <w:t>,</w:t>
      </w:r>
      <w:r w:rsidRPr="00865DA5">
        <w:rPr>
          <w:rStyle w:val="Appelnotedebasdep"/>
          <w:rFonts w:ascii="Arial" w:eastAsia="Arial" w:hAnsi="Arial" w:cs="Arial"/>
          <w:sz w:val="18"/>
          <w:szCs w:val="18"/>
          <w:bdr w:val="none" w:sz="0" w:space="0" w:color="auto" w:frame="1"/>
          <w:lang w:val="fr-FR"/>
        </w:rPr>
        <w:t xml:space="preserve"> ou en espèces sauvages d’</w:t>
      </w:r>
      <w:r w:rsidRPr="00865DA5">
        <w:rPr>
          <w:rFonts w:ascii="Arial" w:eastAsia="Arial" w:hAnsi="Arial" w:cs="Arial"/>
          <w:sz w:val="18"/>
          <w:szCs w:val="18"/>
          <w:bdr w:val="none" w:sz="0" w:space="0" w:color="auto" w:frame="1"/>
          <w:lang w:val="fr-FR"/>
        </w:rPr>
        <w:t>une manière</w:t>
      </w:r>
      <w:r w:rsidRPr="00865DA5">
        <w:rPr>
          <w:rStyle w:val="Appelnotedebasdep"/>
          <w:rFonts w:ascii="Arial" w:eastAsia="Arial" w:hAnsi="Arial" w:cs="Arial"/>
          <w:sz w:val="18"/>
          <w:szCs w:val="18"/>
          <w:bdr w:val="none" w:sz="0" w:space="0" w:color="auto" w:frame="1"/>
          <w:lang w:val="fr-FR"/>
        </w:rPr>
        <w:t xml:space="preserve"> générale, lorsque leur commerce est illégal. Dans de nombreux cas, ces activités peuvent être étroitement associées à des activités de sensibilisation du public aux exigences juridiques s’appliquant au commerce des espèces sauvages. Pour répondre à cette question, veuillez examiner les activités que le gouvernement a menées et/ou auxquelles il a participé, y compris les activités qui peuvent avoir été développées ou mise en œuvre en partenariat avec d’autres pays et/ou avec des organisations non gouvernementales.</w:t>
      </w:r>
    </w:p>
    <w:p w:rsidR="00BD5B7F" w:rsidRDefault="00BD5B7F" w:rsidP="00BD5B7F">
      <w:pPr>
        <w:pStyle w:val="Notedebasdepage"/>
        <w:rPr>
          <w:lang w:val="fr-FR"/>
        </w:rPr>
      </w:pPr>
    </w:p>
  </w:footnote>
  <w:footnote w:id="50">
    <w:p w:rsidR="00BD5B7F" w:rsidRPr="001363C9" w:rsidRDefault="00BD5B7F" w:rsidP="00BD5B7F">
      <w:pPr>
        <w:pStyle w:val="Notedebasdepage"/>
        <w:tabs>
          <w:tab w:val="left" w:pos="284"/>
        </w:tabs>
        <w:ind w:left="284" w:hanging="284"/>
        <w:rPr>
          <w:rFonts w:ascii="Arial" w:hAnsi="Arial" w:cs="Arial"/>
          <w:sz w:val="18"/>
          <w:szCs w:val="18"/>
          <w:lang w:val="it-IT"/>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r>
      <w:r w:rsidRPr="001363C9">
        <w:rPr>
          <w:rFonts w:ascii="Arial" w:eastAsia="Arial" w:hAnsi="Arial" w:cs="Arial"/>
          <w:sz w:val="18"/>
          <w:szCs w:val="18"/>
          <w:bdr w:val="none" w:sz="0" w:space="0" w:color="auto" w:frame="1"/>
          <w:lang w:val="fr-FR"/>
        </w:rPr>
        <w:t>Cet indicateur correspond à l’indicateur 47 du Cadre d’indicateurs de l’ICCWC.</w:t>
      </w:r>
    </w:p>
  </w:footnote>
  <w:footnote w:id="51">
    <w:p w:rsidR="00BD5B7F" w:rsidRPr="00865DA5" w:rsidRDefault="00BD5B7F" w:rsidP="00BD5B7F">
      <w:pPr>
        <w:tabs>
          <w:tab w:val="left" w:pos="284"/>
        </w:tabs>
        <w:ind w:left="284" w:hanging="284"/>
        <w:jc w:val="both"/>
        <w:rPr>
          <w:sz w:val="18"/>
          <w:szCs w:val="18"/>
          <w:lang w:val="fr-FR"/>
        </w:rPr>
      </w:pPr>
      <w:r w:rsidRPr="001363C9">
        <w:rPr>
          <w:rStyle w:val="Appelnotedebasdep"/>
          <w:rFonts w:ascii="Arial" w:hAnsi="Arial" w:cs="Arial"/>
          <w:sz w:val="18"/>
          <w:szCs w:val="18"/>
        </w:rPr>
        <w:footnoteRef/>
      </w:r>
      <w:r w:rsidRPr="00865DA5">
        <w:rPr>
          <w:rFonts w:ascii="Arial" w:hAnsi="Arial" w:cs="Arial"/>
          <w:sz w:val="18"/>
          <w:szCs w:val="18"/>
          <w:bdr w:val="none" w:sz="0" w:space="0" w:color="auto" w:frame="1"/>
          <w:lang w:val="fr-FR"/>
        </w:rPr>
        <w:t xml:space="preserve"> </w:t>
      </w:r>
      <w:r w:rsidRPr="00865DA5">
        <w:rPr>
          <w:rFonts w:ascii="Arial" w:hAnsi="Arial" w:cs="Arial"/>
          <w:sz w:val="18"/>
          <w:szCs w:val="18"/>
          <w:bdr w:val="none" w:sz="0" w:space="0" w:color="auto" w:frame="1"/>
          <w:lang w:val="fr-FR"/>
        </w:rPr>
        <w:tab/>
        <w:t>La communauté soumise aux réglementations peut inclure les personnes pratiquant des prélèvements de spécimens (dont les chasseurs), les vendeurs, les commerçants (y compris les commerçants en ligne) et/ou tout individu ou groupe à qui est délivré un permis et/ou une licence de prélèvement, d’utilisation et/ou de commerce des espèces sauvages et de produits, et/ou qui exerce des activités commerciales liées au commerce des oiseaux sauvages</w:t>
      </w:r>
      <w:r w:rsidRPr="00865DA5">
        <w:rPr>
          <w:sz w:val="18"/>
          <w:szCs w:val="18"/>
          <w:bdr w:val="none" w:sz="0" w:space="0" w:color="auto" w:frame="1"/>
          <w:lang w:val="fr-FR"/>
        </w:rPr>
        <w:t>.</w:t>
      </w:r>
    </w:p>
  </w:footnote>
  <w:footnote w:id="52">
    <w:p w:rsidR="00BD5B7F" w:rsidRPr="001363C9" w:rsidRDefault="00BD5B7F" w:rsidP="00BD5B7F">
      <w:pPr>
        <w:pStyle w:val="Notedebasdepage"/>
        <w:tabs>
          <w:tab w:val="left" w:pos="284"/>
        </w:tabs>
        <w:rPr>
          <w:rFonts w:ascii="Arial" w:hAnsi="Arial" w:cs="Arial"/>
          <w:sz w:val="18"/>
          <w:szCs w:val="18"/>
          <w:lang w:val="fr-FR"/>
        </w:rPr>
      </w:pPr>
      <w:r>
        <w:rPr>
          <w:rStyle w:val="Appelnotedebasdep"/>
          <w:rFonts w:ascii="Arial" w:hAnsi="Arial" w:cs="Arial"/>
          <w:sz w:val="16"/>
          <w:szCs w:val="16"/>
          <w:lang w:val="en-GB"/>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r>
      <w:r w:rsidRPr="001363C9">
        <w:rPr>
          <w:rFonts w:ascii="Arial" w:eastAsia="Arial" w:hAnsi="Arial" w:cs="Arial"/>
          <w:sz w:val="18"/>
          <w:szCs w:val="18"/>
          <w:bdr w:val="none" w:sz="0" w:space="0" w:color="auto" w:frame="1"/>
          <w:lang w:val="fr-FR"/>
        </w:rPr>
        <w:t>Cet indicateur est basé sur l’indicateur 50 du Cadre d’indicateurs de l’ICCWC.</w:t>
      </w:r>
    </w:p>
  </w:footnote>
  <w:footnote w:id="53">
    <w:p w:rsidR="00BD5B7F" w:rsidRPr="00865DA5" w:rsidRDefault="00BD5B7F" w:rsidP="00BD5B7F">
      <w:pPr>
        <w:ind w:left="284" w:hanging="284"/>
        <w:jc w:val="both"/>
        <w:rPr>
          <w:rFonts w:ascii="Arial" w:hAnsi="Arial" w:cs="Arial"/>
          <w:sz w:val="18"/>
          <w:szCs w:val="18"/>
          <w:lang w:val="fr-FR"/>
        </w:rPr>
      </w:pPr>
      <w:r w:rsidRPr="001363C9">
        <w:rPr>
          <w:rStyle w:val="Appelnotedebasdep"/>
          <w:rFonts w:ascii="Arial" w:hAnsi="Arial" w:cs="Arial"/>
          <w:sz w:val="18"/>
          <w:szCs w:val="18"/>
        </w:rPr>
        <w:footnoteRef/>
      </w:r>
      <w:r w:rsidRPr="00865DA5">
        <w:rPr>
          <w:rFonts w:ascii="Arial" w:hAnsi="Arial" w:cs="Arial"/>
          <w:sz w:val="18"/>
          <w:szCs w:val="18"/>
          <w:bdr w:val="none" w:sz="0" w:space="0" w:color="auto" w:frame="1"/>
          <w:lang w:val="fr-FR"/>
        </w:rPr>
        <w:t xml:space="preserve"> </w:t>
      </w:r>
      <w:r w:rsidRPr="00865DA5">
        <w:rPr>
          <w:rFonts w:ascii="Arial" w:hAnsi="Arial" w:cs="Arial"/>
          <w:sz w:val="18"/>
          <w:szCs w:val="18"/>
          <w:bdr w:val="none" w:sz="0" w:space="0" w:color="auto" w:frame="1"/>
          <w:lang w:val="fr-FR"/>
        </w:rPr>
        <w:tab/>
        <w:t>Les activités de sensibilisation peuvent inclure des campagnes publiques, du matériel de sensibilisation, des réunions publiques, et/ou la promotion de hotlines de signalement d’infractions. Pour répondre à cette question, veuillez prendre en compte les activités que le gouvernement a menées et/ou auxquelles il a participé, y compris les activités qui peuvent avoir été développées ou mises en œuvre en partenariat avec d’autres pays et/ou avec des organisations non gouvernementales.</w:t>
      </w:r>
    </w:p>
  </w:footnote>
  <w:footnote w:id="54">
    <w:p w:rsidR="00BD5B7F" w:rsidRPr="001363C9" w:rsidRDefault="00BD5B7F" w:rsidP="00BD5B7F">
      <w:pPr>
        <w:pStyle w:val="Notedebasdepage"/>
        <w:tabs>
          <w:tab w:val="left" w:pos="284"/>
        </w:tabs>
        <w:ind w:left="284" w:hanging="284"/>
        <w:rPr>
          <w:rFonts w:ascii="Arial" w:hAnsi="Arial" w:cs="Arial"/>
          <w:sz w:val="18"/>
          <w:szCs w:val="18"/>
          <w:lang w:val="it-IT"/>
        </w:rPr>
      </w:pPr>
      <w:r>
        <w:rPr>
          <w:rStyle w:val="Appelnotedebasdep"/>
          <w:rFonts w:ascii="Arial" w:hAnsi="Arial" w:cs="Arial"/>
          <w:sz w:val="16"/>
          <w:szCs w:val="16"/>
        </w:rPr>
        <w:footnoteRef/>
      </w:r>
      <w:r>
        <w:rPr>
          <w:rFonts w:ascii="Arial" w:eastAsia="Arial" w:hAnsi="Arial" w:cs="Arial"/>
          <w:sz w:val="16"/>
          <w:szCs w:val="16"/>
          <w:bdr w:val="none" w:sz="0" w:space="0" w:color="auto" w:frame="1"/>
          <w:lang w:val="fr-FR"/>
        </w:rPr>
        <w:t xml:space="preserve"> </w:t>
      </w:r>
      <w:r>
        <w:rPr>
          <w:rFonts w:ascii="Arial" w:eastAsia="Arial" w:hAnsi="Arial" w:cs="Arial"/>
          <w:sz w:val="16"/>
          <w:szCs w:val="16"/>
          <w:bdr w:val="none" w:sz="0" w:space="0" w:color="auto" w:frame="1"/>
          <w:lang w:val="fr-FR"/>
        </w:rPr>
        <w:tab/>
      </w:r>
      <w:r w:rsidRPr="001363C9">
        <w:rPr>
          <w:rFonts w:ascii="Arial" w:eastAsia="Arial" w:hAnsi="Arial" w:cs="Arial"/>
          <w:iCs/>
          <w:sz w:val="18"/>
          <w:szCs w:val="18"/>
          <w:bdr w:val="none" w:sz="0" w:space="0" w:color="auto" w:frame="1"/>
          <w:lang w:val="fr-FR"/>
        </w:rPr>
        <w:t xml:space="preserve">Somme du score de tous les indicateurs du même groupe, à l’exclusion de ceux pour lesquels des données numériques sont demandées (c.-à-d. les indicateurs n° 2, 4 et 19) et ceux considérés par le répondant comme « non applicables » (c.-à-d. n° 12 et/ou n° 16).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78024B2"/>
    <w:lvl w:ilvl="0">
      <w:start w:val="1"/>
      <w:numFmt w:val="decimal"/>
      <w:pStyle w:val="Level1"/>
      <w:lvlText w:val="%1."/>
      <w:lvlJc w:val="left"/>
      <w:pPr>
        <w:tabs>
          <w:tab w:val="num" w:pos="566"/>
        </w:tabs>
        <w:ind w:left="566" w:hanging="566"/>
      </w:pPr>
      <w:rPr>
        <w:rFonts w:ascii="Times New Roman" w:hAnsi="Times New Roman" w:cs="Times New Roman"/>
        <w:sz w:val="24"/>
        <w:szCs w:val="24"/>
      </w:rPr>
    </w:lvl>
    <w:lvl w:ilvl="1">
      <w:start w:val="1"/>
      <w:numFmt w:val="lowerLetter"/>
      <w:pStyle w:val="Level2"/>
      <w:lvlText w:val="(%1%2"/>
      <w:lvlJc w:val="left"/>
      <w:pPr>
        <w:tabs>
          <w:tab w:val="num" w:pos="1132"/>
        </w:tabs>
        <w:ind w:left="1132" w:hanging="566"/>
      </w:pPr>
      <w:rPr>
        <w:rFonts w:cs="Times New Roman"/>
      </w:rPr>
    </w:lvl>
    <w:lvl w:ilvl="2">
      <w:start w:val="1"/>
      <w:numFmt w:val="lowerRoman"/>
      <w:pStyle w:val="Level3"/>
      <w:lvlText w:val="(%2%3"/>
      <w:lvlJc w:val="left"/>
      <w:pPr>
        <w:tabs>
          <w:tab w:val="num" w:pos="1700"/>
        </w:tabs>
        <w:ind w:left="1700" w:hanging="568"/>
      </w:pPr>
      <w:rPr>
        <w:rFonts w:cs="Times New Roman"/>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lowerRoman"/>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0020781B"/>
    <w:multiLevelType w:val="hybridMultilevel"/>
    <w:tmpl w:val="55180096"/>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2">
    <w:nsid w:val="065474F6"/>
    <w:multiLevelType w:val="hybridMultilevel"/>
    <w:tmpl w:val="506A86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9A39CB"/>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9511F5"/>
    <w:multiLevelType w:val="hybridMultilevel"/>
    <w:tmpl w:val="C7A6BA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16AB5032"/>
    <w:multiLevelType w:val="hybridMultilevel"/>
    <w:tmpl w:val="85CC8D4A"/>
    <w:lvl w:ilvl="0" w:tplc="040C000B">
      <w:start w:val="1"/>
      <w:numFmt w:val="bullet"/>
      <w:lvlText w:val=""/>
      <w:lvlJc w:val="left"/>
      <w:pPr>
        <w:tabs>
          <w:tab w:val="num" w:pos="8439"/>
        </w:tabs>
        <w:ind w:left="8439" w:hanging="360"/>
      </w:pPr>
      <w:rPr>
        <w:rFonts w:ascii="Wingdings" w:hAnsi="Wingdings" w:hint="default"/>
        <w:b w:val="0"/>
      </w:rPr>
    </w:lvl>
    <w:lvl w:ilvl="1" w:tplc="A24854F6">
      <w:start w:val="2"/>
      <w:numFmt w:val="lowerLetter"/>
      <w:lvlText w:val="%2."/>
      <w:lvlJc w:val="left"/>
      <w:pPr>
        <w:tabs>
          <w:tab w:val="num" w:pos="2160"/>
        </w:tabs>
        <w:ind w:left="2160" w:hanging="360"/>
      </w:pPr>
      <w:rPr>
        <w:rFonts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nsid w:val="19C54692"/>
    <w:multiLevelType w:val="hybridMultilevel"/>
    <w:tmpl w:val="7480CBD6"/>
    <w:lvl w:ilvl="0" w:tplc="04090019">
      <w:start w:val="1"/>
      <w:numFmt w:val="lowerLetter"/>
      <w:lvlText w:val="%1."/>
      <w:lvlJc w:val="left"/>
      <w:pPr>
        <w:tabs>
          <w:tab w:val="num" w:pos="6881"/>
        </w:tabs>
        <w:ind w:left="6881"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7">
    <w:nsid w:val="1C1161DA"/>
    <w:multiLevelType w:val="hybridMultilevel"/>
    <w:tmpl w:val="69FA19D0"/>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8">
    <w:nsid w:val="24661F21"/>
    <w:multiLevelType w:val="hybridMultilevel"/>
    <w:tmpl w:val="5202B10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FE26B2"/>
    <w:multiLevelType w:val="multilevel"/>
    <w:tmpl w:val="8138DE9C"/>
    <w:lvl w:ilvl="0">
      <w:start w:val="6"/>
      <w:numFmt w:val="decimal"/>
      <w:lvlText w:val="%1."/>
      <w:lvlJc w:val="left"/>
      <w:pPr>
        <w:tabs>
          <w:tab w:val="num" w:pos="1065"/>
        </w:tabs>
        <w:ind w:left="1065" w:hanging="705"/>
      </w:pPr>
    </w:lvl>
    <w:lvl w:ilvl="1">
      <w:start w:val="1"/>
      <w:numFmt w:val="decimal"/>
      <w:isLgl/>
      <w:lvlText w:val="%1.%2"/>
      <w:lvlJc w:val="left"/>
      <w:pPr>
        <w:tabs>
          <w:tab w:val="num" w:pos="720"/>
        </w:tabs>
        <w:ind w:left="720" w:hanging="360"/>
      </w:pPr>
    </w:lvl>
    <w:lvl w:ilvl="2">
      <w:start w:val="1"/>
      <w:numFmt w:val="lowerLetter"/>
      <w:lvlText w:val="%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nsid w:val="2B767A14"/>
    <w:multiLevelType w:val="hybridMultilevel"/>
    <w:tmpl w:val="5EC04254"/>
    <w:lvl w:ilvl="0" w:tplc="FFFFFFFF">
      <w:start w:val="1"/>
      <w:numFmt w:val="upp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nsid w:val="2DD571D9"/>
    <w:multiLevelType w:val="hybridMultilevel"/>
    <w:tmpl w:val="EA2E637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nsid w:val="30E8602A"/>
    <w:multiLevelType w:val="hybridMultilevel"/>
    <w:tmpl w:val="35020A54"/>
    <w:lvl w:ilvl="0" w:tplc="58F2D86C">
      <w:numFmt w:val="bullet"/>
      <w:lvlText w:val="•"/>
      <w:lvlJc w:val="left"/>
      <w:pPr>
        <w:ind w:left="502" w:hanging="360"/>
      </w:pPr>
      <w:rPr>
        <w:rFonts w:ascii="Arial" w:eastAsia="Times New Roman" w:hAnsi="Arial" w:cs="Arial"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hint="default"/>
      </w:rPr>
    </w:lvl>
  </w:abstractNum>
  <w:abstractNum w:abstractNumId="13">
    <w:nsid w:val="31240171"/>
    <w:multiLevelType w:val="hybridMultilevel"/>
    <w:tmpl w:val="7480CBD6"/>
    <w:lvl w:ilvl="0" w:tplc="04090019">
      <w:start w:val="1"/>
      <w:numFmt w:val="lowerLetter"/>
      <w:lvlText w:val="%1."/>
      <w:lvlJc w:val="left"/>
      <w:pPr>
        <w:tabs>
          <w:tab w:val="num" w:pos="6881"/>
        </w:tabs>
        <w:ind w:left="6881"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14">
    <w:nsid w:val="312A650B"/>
    <w:multiLevelType w:val="hybridMultilevel"/>
    <w:tmpl w:val="84E8603C"/>
    <w:lvl w:ilvl="0" w:tplc="626C28E4">
      <w:start w:val="1"/>
      <w:numFmt w:val="bullet"/>
      <w:lvlText w:val=""/>
      <w:lvlJc w:val="left"/>
      <w:pPr>
        <w:ind w:left="1208" w:hanging="360"/>
      </w:pPr>
      <w:rPr>
        <w:rFonts w:ascii="Wingdings" w:hAnsi="Wingdings" w:hint="default"/>
        <w:lang w:val="fr-FR"/>
      </w:rPr>
    </w:lvl>
    <w:lvl w:ilvl="1" w:tplc="08090003">
      <w:start w:val="1"/>
      <w:numFmt w:val="bullet"/>
      <w:lvlText w:val="o"/>
      <w:lvlJc w:val="left"/>
      <w:pPr>
        <w:ind w:left="1928" w:hanging="360"/>
      </w:pPr>
      <w:rPr>
        <w:rFonts w:ascii="Courier New" w:hAnsi="Courier New" w:cs="Courier New" w:hint="default"/>
      </w:rPr>
    </w:lvl>
    <w:lvl w:ilvl="2" w:tplc="08090005">
      <w:start w:val="1"/>
      <w:numFmt w:val="bullet"/>
      <w:lvlText w:val=""/>
      <w:lvlJc w:val="left"/>
      <w:pPr>
        <w:ind w:left="2648" w:hanging="360"/>
      </w:pPr>
      <w:rPr>
        <w:rFonts w:ascii="Wingdings" w:hAnsi="Wingdings" w:hint="default"/>
      </w:rPr>
    </w:lvl>
    <w:lvl w:ilvl="3" w:tplc="08090001">
      <w:start w:val="1"/>
      <w:numFmt w:val="bullet"/>
      <w:lvlText w:val=""/>
      <w:lvlJc w:val="left"/>
      <w:pPr>
        <w:ind w:left="3368" w:hanging="360"/>
      </w:pPr>
      <w:rPr>
        <w:rFonts w:ascii="Symbol" w:hAnsi="Symbol" w:hint="default"/>
      </w:rPr>
    </w:lvl>
    <w:lvl w:ilvl="4" w:tplc="08090003">
      <w:start w:val="1"/>
      <w:numFmt w:val="bullet"/>
      <w:lvlText w:val="o"/>
      <w:lvlJc w:val="left"/>
      <w:pPr>
        <w:ind w:left="4088" w:hanging="360"/>
      </w:pPr>
      <w:rPr>
        <w:rFonts w:ascii="Courier New" w:hAnsi="Courier New" w:cs="Courier New" w:hint="default"/>
      </w:rPr>
    </w:lvl>
    <w:lvl w:ilvl="5" w:tplc="08090005">
      <w:start w:val="1"/>
      <w:numFmt w:val="bullet"/>
      <w:lvlText w:val=""/>
      <w:lvlJc w:val="left"/>
      <w:pPr>
        <w:ind w:left="4808" w:hanging="360"/>
      </w:pPr>
      <w:rPr>
        <w:rFonts w:ascii="Wingdings" w:hAnsi="Wingdings" w:hint="default"/>
      </w:rPr>
    </w:lvl>
    <w:lvl w:ilvl="6" w:tplc="08090001">
      <w:start w:val="1"/>
      <w:numFmt w:val="bullet"/>
      <w:lvlText w:val=""/>
      <w:lvlJc w:val="left"/>
      <w:pPr>
        <w:ind w:left="5528" w:hanging="360"/>
      </w:pPr>
      <w:rPr>
        <w:rFonts w:ascii="Symbol" w:hAnsi="Symbol" w:hint="default"/>
      </w:rPr>
    </w:lvl>
    <w:lvl w:ilvl="7" w:tplc="08090003">
      <w:start w:val="1"/>
      <w:numFmt w:val="bullet"/>
      <w:lvlText w:val="o"/>
      <w:lvlJc w:val="left"/>
      <w:pPr>
        <w:ind w:left="6248" w:hanging="360"/>
      </w:pPr>
      <w:rPr>
        <w:rFonts w:ascii="Courier New" w:hAnsi="Courier New" w:cs="Courier New" w:hint="default"/>
      </w:rPr>
    </w:lvl>
    <w:lvl w:ilvl="8" w:tplc="08090005">
      <w:start w:val="1"/>
      <w:numFmt w:val="bullet"/>
      <w:lvlText w:val=""/>
      <w:lvlJc w:val="left"/>
      <w:pPr>
        <w:ind w:left="6968" w:hanging="360"/>
      </w:pPr>
      <w:rPr>
        <w:rFonts w:ascii="Wingdings" w:hAnsi="Wingdings" w:hint="default"/>
      </w:rPr>
    </w:lvl>
  </w:abstractNum>
  <w:abstractNum w:abstractNumId="15">
    <w:nsid w:val="347F1F2C"/>
    <w:multiLevelType w:val="hybridMultilevel"/>
    <w:tmpl w:val="69FA19D0"/>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16">
    <w:nsid w:val="35832218"/>
    <w:multiLevelType w:val="hybridMultilevel"/>
    <w:tmpl w:val="3D94CF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36DB226F"/>
    <w:multiLevelType w:val="hybridMultilevel"/>
    <w:tmpl w:val="1D9C717A"/>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37C706CE"/>
    <w:multiLevelType w:val="hybridMultilevel"/>
    <w:tmpl w:val="69FA19D0"/>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19">
    <w:nsid w:val="387F1A17"/>
    <w:multiLevelType w:val="hybridMultilevel"/>
    <w:tmpl w:val="4538CC6E"/>
    <w:lvl w:ilvl="0" w:tplc="08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397B62D2"/>
    <w:multiLevelType w:val="multilevel"/>
    <w:tmpl w:val="65C6E938"/>
    <w:styleLink w:val="List0"/>
    <w:lvl w:ilvl="0">
      <w:start w:val="1"/>
      <w:numFmt w:val="decimal"/>
      <w:lvlText w:val="%1."/>
      <w:lvlJc w:val="left"/>
      <w:pPr>
        <w:tabs>
          <w:tab w:val="num" w:pos="426"/>
        </w:tabs>
        <w:ind w:left="426" w:hanging="426"/>
      </w:pPr>
      <w:rPr>
        <w:rFonts w:ascii="Times New Roman" w:eastAsia="Times New Roman" w:hAnsi="Times New Roman" w:cs="Times New Roman"/>
        <w:position w:val="0"/>
        <w:sz w:val="22"/>
        <w:szCs w:val="22"/>
        <w:lang w:val="en-US"/>
      </w:rPr>
    </w:lvl>
    <w:lvl w:ilvl="1">
      <w:start w:val="1"/>
      <w:numFmt w:val="lowerLetter"/>
      <w:lvlText w:val="%2."/>
      <w:lvlJc w:val="left"/>
      <w:pPr>
        <w:tabs>
          <w:tab w:val="num" w:pos="2160"/>
        </w:tabs>
        <w:ind w:left="2160" w:hanging="360"/>
      </w:pPr>
      <w:rPr>
        <w:rFonts w:ascii="Times New Roman Bold" w:eastAsia="Times New Roman Bold" w:hAnsi="Times New Roman Bold" w:cs="Times New Roman Bold"/>
        <w:position w:val="0"/>
        <w:sz w:val="24"/>
        <w:szCs w:val="24"/>
        <w:lang w:val="en-US"/>
      </w:rPr>
    </w:lvl>
    <w:lvl w:ilvl="2">
      <w:start w:val="1"/>
      <w:numFmt w:val="bullet"/>
      <w:lvlText w:val="▪"/>
      <w:lvlJc w:val="left"/>
      <w:pPr>
        <w:tabs>
          <w:tab w:val="num" w:pos="2880"/>
        </w:tabs>
        <w:ind w:left="2880" w:hanging="360"/>
      </w:pPr>
      <w:rPr>
        <w:rFonts w:ascii="Times New Roman Bold" w:eastAsia="Times New Roman Bold" w:hAnsi="Times New Roman Bold" w:cs="Times New Roman Bold"/>
        <w:position w:val="0"/>
        <w:sz w:val="24"/>
        <w:szCs w:val="24"/>
        <w:lang w:val="en-US"/>
      </w:rPr>
    </w:lvl>
    <w:lvl w:ilvl="3">
      <w:start w:val="1"/>
      <w:numFmt w:val="bullet"/>
      <w:lvlText w:val="•"/>
      <w:lvlJc w:val="left"/>
      <w:pPr>
        <w:tabs>
          <w:tab w:val="num" w:pos="3600"/>
        </w:tabs>
        <w:ind w:left="3600" w:hanging="360"/>
      </w:pPr>
      <w:rPr>
        <w:rFonts w:ascii="Times New Roman Bold" w:eastAsia="Times New Roman Bold" w:hAnsi="Times New Roman Bold" w:cs="Times New Roman Bold"/>
        <w:position w:val="0"/>
        <w:sz w:val="24"/>
        <w:szCs w:val="24"/>
        <w:lang w:val="en-US"/>
      </w:rPr>
    </w:lvl>
    <w:lvl w:ilvl="4">
      <w:start w:val="1"/>
      <w:numFmt w:val="bullet"/>
      <w:lvlText w:val="o"/>
      <w:lvlJc w:val="left"/>
      <w:pPr>
        <w:tabs>
          <w:tab w:val="num" w:pos="4320"/>
        </w:tabs>
        <w:ind w:left="4320" w:hanging="360"/>
      </w:pPr>
      <w:rPr>
        <w:rFonts w:ascii="Times New Roman Bold" w:eastAsia="Times New Roman Bold" w:hAnsi="Times New Roman Bold" w:cs="Times New Roman Bold"/>
        <w:position w:val="0"/>
        <w:sz w:val="24"/>
        <w:szCs w:val="24"/>
        <w:lang w:val="en-US"/>
      </w:rPr>
    </w:lvl>
    <w:lvl w:ilvl="5">
      <w:start w:val="1"/>
      <w:numFmt w:val="bullet"/>
      <w:lvlText w:val="▪"/>
      <w:lvlJc w:val="left"/>
      <w:pPr>
        <w:tabs>
          <w:tab w:val="num" w:pos="5040"/>
        </w:tabs>
        <w:ind w:left="5040" w:hanging="360"/>
      </w:pPr>
      <w:rPr>
        <w:rFonts w:ascii="Times New Roman Bold" w:eastAsia="Times New Roman Bold" w:hAnsi="Times New Roman Bold" w:cs="Times New Roman Bold"/>
        <w:position w:val="0"/>
        <w:sz w:val="24"/>
        <w:szCs w:val="24"/>
        <w:lang w:val="en-US"/>
      </w:rPr>
    </w:lvl>
    <w:lvl w:ilvl="6">
      <w:start w:val="1"/>
      <w:numFmt w:val="bullet"/>
      <w:lvlText w:val="•"/>
      <w:lvlJc w:val="left"/>
      <w:pPr>
        <w:tabs>
          <w:tab w:val="num" w:pos="5760"/>
        </w:tabs>
        <w:ind w:left="5760" w:hanging="360"/>
      </w:pPr>
      <w:rPr>
        <w:rFonts w:ascii="Times New Roman Bold" w:eastAsia="Times New Roman Bold" w:hAnsi="Times New Roman Bold" w:cs="Times New Roman Bold"/>
        <w:position w:val="0"/>
        <w:sz w:val="24"/>
        <w:szCs w:val="24"/>
        <w:lang w:val="en-US"/>
      </w:rPr>
    </w:lvl>
    <w:lvl w:ilvl="7">
      <w:start w:val="1"/>
      <w:numFmt w:val="bullet"/>
      <w:lvlText w:val="o"/>
      <w:lvlJc w:val="left"/>
      <w:pPr>
        <w:tabs>
          <w:tab w:val="num" w:pos="6480"/>
        </w:tabs>
        <w:ind w:left="6480" w:hanging="360"/>
      </w:pPr>
      <w:rPr>
        <w:rFonts w:ascii="Times New Roman Bold" w:eastAsia="Times New Roman Bold" w:hAnsi="Times New Roman Bold" w:cs="Times New Roman Bold"/>
        <w:position w:val="0"/>
        <w:sz w:val="24"/>
        <w:szCs w:val="24"/>
        <w:lang w:val="en-US"/>
      </w:rPr>
    </w:lvl>
    <w:lvl w:ilvl="8">
      <w:start w:val="1"/>
      <w:numFmt w:val="bullet"/>
      <w:lvlText w:val="▪"/>
      <w:lvlJc w:val="left"/>
      <w:pPr>
        <w:tabs>
          <w:tab w:val="num" w:pos="7200"/>
        </w:tabs>
        <w:ind w:left="7200" w:hanging="360"/>
      </w:pPr>
      <w:rPr>
        <w:rFonts w:ascii="Times New Roman Bold" w:eastAsia="Times New Roman Bold" w:hAnsi="Times New Roman Bold" w:cs="Times New Roman Bold"/>
        <w:position w:val="0"/>
        <w:sz w:val="24"/>
        <w:szCs w:val="24"/>
        <w:lang w:val="en-US"/>
      </w:rPr>
    </w:lvl>
  </w:abstractNum>
  <w:abstractNum w:abstractNumId="21">
    <w:nsid w:val="3FF261FA"/>
    <w:multiLevelType w:val="hybridMultilevel"/>
    <w:tmpl w:val="F57887AC"/>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41A22B0A"/>
    <w:multiLevelType w:val="multilevel"/>
    <w:tmpl w:val="C6D6A628"/>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709672F"/>
    <w:multiLevelType w:val="hybridMultilevel"/>
    <w:tmpl w:val="69FA19D0"/>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24">
    <w:nsid w:val="4B0E0E02"/>
    <w:multiLevelType w:val="multilevel"/>
    <w:tmpl w:val="1CE00F98"/>
    <w:styleLink w:val="Liste21"/>
    <w:lvl w:ilvl="0">
      <w:start w:val="1"/>
      <w:numFmt w:val="decimal"/>
      <w:lvlText w:val="%1."/>
      <w:lvlJc w:val="left"/>
      <w:pPr>
        <w:tabs>
          <w:tab w:val="num" w:pos="420"/>
        </w:tabs>
        <w:ind w:left="420" w:hanging="420"/>
      </w:pPr>
      <w:rPr>
        <w:rFonts w:ascii="Times New Roman Bold" w:eastAsia="Times New Roman Bold" w:hAnsi="Times New Roman Bold" w:cs="Times New Roman Bold"/>
        <w:position w:val="0"/>
        <w:sz w:val="28"/>
        <w:szCs w:val="28"/>
        <w:rtl w:val="0"/>
        <w:lang w:val="en-US"/>
      </w:rPr>
    </w:lvl>
    <w:lvl w:ilvl="1">
      <w:start w:val="4"/>
      <w:numFmt w:val="decimal"/>
      <w:lvlText w:val="%1.%2."/>
      <w:lvlJc w:val="left"/>
      <w:pPr>
        <w:tabs>
          <w:tab w:val="num" w:pos="360"/>
        </w:tabs>
        <w:ind w:left="360" w:hanging="360"/>
      </w:pPr>
      <w:rPr>
        <w:rFonts w:ascii="Times New Roman Bold" w:eastAsia="Times New Roman Bold" w:hAnsi="Times New Roman Bold" w:cs="Times New Roman Bold"/>
        <w:position w:val="0"/>
        <w:sz w:val="28"/>
        <w:szCs w:val="28"/>
        <w:rtl w:val="0"/>
        <w:lang w:val="en-US"/>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position w:val="0"/>
        <w:sz w:val="28"/>
        <w:szCs w:val="28"/>
        <w:rtl w:val="0"/>
        <w:lang w:val="en-US"/>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position w:val="0"/>
        <w:sz w:val="28"/>
        <w:szCs w:val="28"/>
        <w:rtl w:val="0"/>
        <w:lang w:val="en-US"/>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position w:val="0"/>
        <w:sz w:val="28"/>
        <w:szCs w:val="28"/>
        <w:rtl w:val="0"/>
        <w:lang w:val="en-US"/>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position w:val="0"/>
        <w:sz w:val="28"/>
        <w:szCs w:val="28"/>
        <w:rtl w:val="0"/>
        <w:lang w:val="en-US"/>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position w:val="0"/>
        <w:sz w:val="28"/>
        <w:szCs w:val="28"/>
        <w:rtl w:val="0"/>
        <w:lang w:val="en-US"/>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position w:val="0"/>
        <w:sz w:val="28"/>
        <w:szCs w:val="28"/>
        <w:rtl w:val="0"/>
        <w:lang w:val="en-US"/>
      </w:rPr>
    </w:lvl>
    <w:lvl w:ilvl="8">
      <w:start w:val="1"/>
      <w:numFmt w:val="decimal"/>
      <w:lvlText w:val="%1.%2.%3.%4.%5.%6.%7.%8.%9."/>
      <w:lvlJc w:val="left"/>
      <w:pPr>
        <w:tabs>
          <w:tab w:val="num" w:pos="1680"/>
        </w:tabs>
        <w:ind w:left="1680" w:hanging="1680"/>
      </w:pPr>
      <w:rPr>
        <w:rFonts w:ascii="Times New Roman Bold" w:eastAsia="Times New Roman Bold" w:hAnsi="Times New Roman Bold" w:cs="Times New Roman Bold"/>
        <w:position w:val="0"/>
        <w:sz w:val="28"/>
        <w:szCs w:val="28"/>
        <w:rtl w:val="0"/>
        <w:lang w:val="en-US"/>
      </w:rPr>
    </w:lvl>
  </w:abstractNum>
  <w:abstractNum w:abstractNumId="25">
    <w:nsid w:val="4B4C6D38"/>
    <w:multiLevelType w:val="multilevel"/>
    <w:tmpl w:val="A4CEECD4"/>
    <w:lvl w:ilvl="0">
      <w:start w:val="6"/>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2D50DC2"/>
    <w:multiLevelType w:val="hybridMultilevel"/>
    <w:tmpl w:val="1068ACDA"/>
    <w:lvl w:ilvl="0" w:tplc="0409000B">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27">
    <w:nsid w:val="54812352"/>
    <w:multiLevelType w:val="multilevel"/>
    <w:tmpl w:val="7C36816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84475DE"/>
    <w:multiLevelType w:val="hybridMultilevel"/>
    <w:tmpl w:val="4BD6AB1C"/>
    <w:lvl w:ilvl="0" w:tplc="040C000B">
      <w:start w:val="1"/>
      <w:numFmt w:val="bullet"/>
      <w:lvlText w:val=""/>
      <w:lvlJc w:val="left"/>
      <w:pPr>
        <w:ind w:left="1146" w:hanging="360"/>
      </w:pPr>
      <w:rPr>
        <w:rFonts w:ascii="Wingdings" w:hAnsi="Wingdings" w:hint="default"/>
        <w:b w:val="0"/>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9">
    <w:nsid w:val="59FF5A97"/>
    <w:multiLevelType w:val="multilevel"/>
    <w:tmpl w:val="0A56FC5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nsid w:val="5A984EB8"/>
    <w:multiLevelType w:val="hybridMultilevel"/>
    <w:tmpl w:val="9378E2B8"/>
    <w:lvl w:ilvl="0" w:tplc="08090011">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1">
      <w:start w:val="1"/>
      <w:numFmt w:val="decimal"/>
      <w:lvlText w:val="%3)"/>
      <w:lvlJc w:val="left"/>
      <w:pPr>
        <w:tabs>
          <w:tab w:val="num" w:pos="2160"/>
        </w:tabs>
        <w:ind w:left="2160" w:hanging="180"/>
      </w:pPr>
    </w:lvl>
    <w:lvl w:ilvl="3" w:tplc="18A829D6">
      <w:numFmt w:val="decimal"/>
      <w:lvlText w:val="%4-"/>
      <w:lvlJc w:val="left"/>
      <w:pPr>
        <w:tabs>
          <w:tab w:val="num" w:pos="2880"/>
        </w:tabs>
        <w:ind w:left="2880" w:hanging="360"/>
      </w:pPr>
    </w:lvl>
    <w:lvl w:ilvl="4" w:tplc="DAA68D54">
      <w:numFmt w:val="bullet"/>
      <w:lvlText w:val="-"/>
      <w:lvlJc w:val="left"/>
      <w:pPr>
        <w:tabs>
          <w:tab w:val="num" w:pos="3750"/>
        </w:tabs>
        <w:ind w:left="3750" w:hanging="510"/>
      </w:pPr>
      <w:rPr>
        <w:rFonts w:ascii="Times New Roman" w:eastAsia="Times New Roman" w:hAnsi="Times New Roman" w:cs="Times New Roman" w:hint="default"/>
      </w:rPr>
    </w:lvl>
    <w:lvl w:ilvl="5" w:tplc="08090001">
      <w:start w:val="1"/>
      <w:numFmt w:val="bullet"/>
      <w:lvlText w:val=""/>
      <w:lvlJc w:val="left"/>
      <w:pPr>
        <w:tabs>
          <w:tab w:val="num" w:pos="4500"/>
        </w:tabs>
        <w:ind w:left="4500" w:hanging="360"/>
      </w:pPr>
      <w:rPr>
        <w:rFonts w:ascii="Symbol" w:hAnsi="Symbol" w:hint="default"/>
      </w:r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nsid w:val="6F7535F6"/>
    <w:multiLevelType w:val="hybridMultilevel"/>
    <w:tmpl w:val="7DF6E09C"/>
    <w:lvl w:ilvl="0" w:tplc="5C14F012">
      <w:start w:val="1"/>
      <w:numFmt w:val="decimal"/>
      <w:lvlText w:val="%1."/>
      <w:lvlJc w:val="left"/>
      <w:pPr>
        <w:ind w:left="720" w:hanging="360"/>
      </w:pPr>
      <w:rPr>
        <w:rFonts w:ascii="Times New Roman" w:hAnsi="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6200D04"/>
    <w:multiLevelType w:val="hybridMultilevel"/>
    <w:tmpl w:val="A60A484E"/>
    <w:lvl w:ilvl="0" w:tplc="4C328B6E">
      <w:start w:val="1"/>
      <w:numFmt w:val="lowerLetter"/>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962067A"/>
    <w:multiLevelType w:val="hybridMultilevel"/>
    <w:tmpl w:val="69FA19D0"/>
    <w:lvl w:ilvl="0" w:tplc="04090019">
      <w:start w:val="1"/>
      <w:numFmt w:val="lowerLetter"/>
      <w:lvlText w:val="%1."/>
      <w:lvlJc w:val="left"/>
      <w:pPr>
        <w:tabs>
          <w:tab w:val="num" w:pos="2052"/>
        </w:tabs>
        <w:ind w:left="2052"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34">
    <w:nsid w:val="7B4C6483"/>
    <w:multiLevelType w:val="hybridMultilevel"/>
    <w:tmpl w:val="7480CBD6"/>
    <w:lvl w:ilvl="0" w:tplc="04090019">
      <w:start w:val="1"/>
      <w:numFmt w:val="lowerLetter"/>
      <w:lvlText w:val="%1."/>
      <w:lvlJc w:val="left"/>
      <w:pPr>
        <w:tabs>
          <w:tab w:val="num" w:pos="7307"/>
        </w:tabs>
        <w:ind w:left="7307" w:hanging="360"/>
      </w:pPr>
    </w:lvl>
    <w:lvl w:ilvl="1" w:tplc="040C0001">
      <w:start w:val="1"/>
      <w:numFmt w:val="bullet"/>
      <w:lvlText w:val=""/>
      <w:lvlJc w:val="left"/>
      <w:pPr>
        <w:tabs>
          <w:tab w:val="num" w:pos="2772"/>
        </w:tabs>
        <w:ind w:left="2772" w:hanging="360"/>
      </w:pPr>
      <w:rPr>
        <w:rFonts w:ascii="Symbol" w:hAnsi="Symbol" w:hint="default"/>
      </w:rPr>
    </w:lvl>
    <w:lvl w:ilvl="2" w:tplc="04090005">
      <w:start w:val="1"/>
      <w:numFmt w:val="bullet"/>
      <w:lvlText w:val=""/>
      <w:lvlJc w:val="left"/>
      <w:pPr>
        <w:tabs>
          <w:tab w:val="num" w:pos="3492"/>
        </w:tabs>
        <w:ind w:left="3492" w:hanging="360"/>
      </w:pPr>
      <w:rPr>
        <w:rFonts w:ascii="Wingdings" w:hAnsi="Wingdings" w:hint="default"/>
      </w:rPr>
    </w:lvl>
    <w:lvl w:ilvl="3" w:tplc="04090001">
      <w:start w:val="1"/>
      <w:numFmt w:val="bullet"/>
      <w:lvlText w:val=""/>
      <w:lvlJc w:val="left"/>
      <w:pPr>
        <w:tabs>
          <w:tab w:val="num" w:pos="4212"/>
        </w:tabs>
        <w:ind w:left="4212" w:hanging="360"/>
      </w:pPr>
      <w:rPr>
        <w:rFonts w:ascii="Symbol" w:hAnsi="Symbol" w:hint="default"/>
      </w:rPr>
    </w:lvl>
    <w:lvl w:ilvl="4" w:tplc="04090003">
      <w:start w:val="1"/>
      <w:numFmt w:val="bullet"/>
      <w:lvlText w:val="o"/>
      <w:lvlJc w:val="left"/>
      <w:pPr>
        <w:tabs>
          <w:tab w:val="num" w:pos="4932"/>
        </w:tabs>
        <w:ind w:left="4932" w:hanging="360"/>
      </w:pPr>
      <w:rPr>
        <w:rFonts w:ascii="Courier New" w:hAnsi="Courier New" w:cs="Courier New" w:hint="default"/>
      </w:rPr>
    </w:lvl>
    <w:lvl w:ilvl="5" w:tplc="04090005">
      <w:start w:val="1"/>
      <w:numFmt w:val="bullet"/>
      <w:lvlText w:val=""/>
      <w:lvlJc w:val="left"/>
      <w:pPr>
        <w:tabs>
          <w:tab w:val="num" w:pos="5652"/>
        </w:tabs>
        <w:ind w:left="5652" w:hanging="360"/>
      </w:pPr>
      <w:rPr>
        <w:rFonts w:ascii="Wingdings" w:hAnsi="Wingdings" w:hint="default"/>
      </w:rPr>
    </w:lvl>
    <w:lvl w:ilvl="6" w:tplc="04090001">
      <w:start w:val="1"/>
      <w:numFmt w:val="bullet"/>
      <w:lvlText w:val=""/>
      <w:lvlJc w:val="left"/>
      <w:pPr>
        <w:tabs>
          <w:tab w:val="num" w:pos="6372"/>
        </w:tabs>
        <w:ind w:left="6372" w:hanging="360"/>
      </w:pPr>
      <w:rPr>
        <w:rFonts w:ascii="Symbol" w:hAnsi="Symbol" w:hint="default"/>
      </w:rPr>
    </w:lvl>
    <w:lvl w:ilvl="7" w:tplc="04090003">
      <w:start w:val="1"/>
      <w:numFmt w:val="bullet"/>
      <w:lvlText w:val="o"/>
      <w:lvlJc w:val="left"/>
      <w:pPr>
        <w:tabs>
          <w:tab w:val="num" w:pos="7092"/>
        </w:tabs>
        <w:ind w:left="7092" w:hanging="360"/>
      </w:pPr>
      <w:rPr>
        <w:rFonts w:ascii="Courier New" w:hAnsi="Courier New" w:cs="Courier New" w:hint="default"/>
      </w:rPr>
    </w:lvl>
    <w:lvl w:ilvl="8" w:tplc="04090005">
      <w:start w:val="1"/>
      <w:numFmt w:val="bullet"/>
      <w:lvlText w:val=""/>
      <w:lvlJc w:val="left"/>
      <w:pPr>
        <w:tabs>
          <w:tab w:val="num" w:pos="7812"/>
        </w:tabs>
        <w:ind w:left="7812" w:hanging="360"/>
      </w:pPr>
      <w:rPr>
        <w:rFonts w:ascii="Wingdings" w:hAnsi="Wingdings" w:hint="default"/>
      </w:rPr>
    </w:lvl>
  </w:abstractNum>
  <w:abstractNum w:abstractNumId="35">
    <w:nsid w:val="7C354B18"/>
    <w:multiLevelType w:val="multilevel"/>
    <w:tmpl w:val="36888DBA"/>
    <w:styleLink w:val="List1"/>
    <w:lvl w:ilvl="0">
      <w:numFmt w:val="bullet"/>
      <w:lvlText w:val="➢"/>
      <w:lvlJc w:val="left"/>
      <w:pPr>
        <w:tabs>
          <w:tab w:val="num" w:pos="426"/>
        </w:tabs>
        <w:ind w:left="426" w:hanging="426"/>
      </w:pPr>
      <w:rPr>
        <w:rFonts w:ascii="Times New Roman Bold" w:eastAsia="Times New Roman Bold" w:hAnsi="Times New Roman Bold" w:cs="Times New Roman Bold"/>
        <w:position w:val="0"/>
        <w:sz w:val="22"/>
        <w:szCs w:val="22"/>
        <w:lang w:val="en-US"/>
      </w:rPr>
    </w:lvl>
    <w:lvl w:ilvl="1">
      <w:start w:val="1"/>
      <w:numFmt w:val="bullet"/>
      <w:lvlText w:val="o"/>
      <w:lvlJc w:val="left"/>
      <w:pPr>
        <w:tabs>
          <w:tab w:val="num" w:pos="1440"/>
        </w:tabs>
        <w:ind w:left="1440" w:hanging="360"/>
      </w:pPr>
      <w:rPr>
        <w:rFonts w:ascii="Times New Roman Bold" w:eastAsia="Times New Roman Bold" w:hAnsi="Times New Roman Bold" w:cs="Times New Roman Bold"/>
        <w:position w:val="0"/>
        <w:sz w:val="24"/>
        <w:szCs w:val="24"/>
        <w:lang w:val="en-US"/>
      </w:rPr>
    </w:lvl>
    <w:lvl w:ilvl="2">
      <w:start w:val="1"/>
      <w:numFmt w:val="bullet"/>
      <w:lvlText w:val="▪"/>
      <w:lvlJc w:val="left"/>
      <w:pPr>
        <w:tabs>
          <w:tab w:val="num" w:pos="2160"/>
        </w:tabs>
        <w:ind w:left="2160" w:hanging="360"/>
      </w:pPr>
      <w:rPr>
        <w:rFonts w:ascii="Times New Roman Bold" w:eastAsia="Times New Roman Bold" w:hAnsi="Times New Roman Bold" w:cs="Times New Roman Bold"/>
        <w:position w:val="0"/>
        <w:sz w:val="24"/>
        <w:szCs w:val="24"/>
        <w:lang w:val="en-US"/>
      </w:rPr>
    </w:lvl>
    <w:lvl w:ilvl="3">
      <w:start w:val="1"/>
      <w:numFmt w:val="bullet"/>
      <w:lvlText w:val="•"/>
      <w:lvlJc w:val="left"/>
      <w:pPr>
        <w:tabs>
          <w:tab w:val="num" w:pos="2880"/>
        </w:tabs>
        <w:ind w:left="2880" w:hanging="360"/>
      </w:pPr>
      <w:rPr>
        <w:rFonts w:ascii="Times New Roman Bold" w:eastAsia="Times New Roman Bold" w:hAnsi="Times New Roman Bold" w:cs="Times New Roman Bold"/>
        <w:position w:val="0"/>
        <w:sz w:val="24"/>
        <w:szCs w:val="24"/>
        <w:lang w:val="en-US"/>
      </w:rPr>
    </w:lvl>
    <w:lvl w:ilvl="4">
      <w:start w:val="1"/>
      <w:numFmt w:val="bullet"/>
      <w:lvlText w:val="o"/>
      <w:lvlJc w:val="left"/>
      <w:pPr>
        <w:tabs>
          <w:tab w:val="num" w:pos="3600"/>
        </w:tabs>
        <w:ind w:left="3600" w:hanging="360"/>
      </w:pPr>
      <w:rPr>
        <w:rFonts w:ascii="Times New Roman Bold" w:eastAsia="Times New Roman Bold" w:hAnsi="Times New Roman Bold" w:cs="Times New Roman Bold"/>
        <w:position w:val="0"/>
        <w:sz w:val="24"/>
        <w:szCs w:val="24"/>
        <w:lang w:val="en-US"/>
      </w:rPr>
    </w:lvl>
    <w:lvl w:ilvl="5">
      <w:start w:val="1"/>
      <w:numFmt w:val="bullet"/>
      <w:lvlText w:val="▪"/>
      <w:lvlJc w:val="left"/>
      <w:pPr>
        <w:tabs>
          <w:tab w:val="num" w:pos="4320"/>
        </w:tabs>
        <w:ind w:left="4320" w:hanging="360"/>
      </w:pPr>
      <w:rPr>
        <w:rFonts w:ascii="Times New Roman Bold" w:eastAsia="Times New Roman Bold" w:hAnsi="Times New Roman Bold" w:cs="Times New Roman Bold"/>
        <w:position w:val="0"/>
        <w:sz w:val="24"/>
        <w:szCs w:val="24"/>
        <w:lang w:val="en-US"/>
      </w:rPr>
    </w:lvl>
    <w:lvl w:ilvl="6">
      <w:start w:val="1"/>
      <w:numFmt w:val="bullet"/>
      <w:lvlText w:val="•"/>
      <w:lvlJc w:val="left"/>
      <w:pPr>
        <w:tabs>
          <w:tab w:val="num" w:pos="5040"/>
        </w:tabs>
        <w:ind w:left="5040" w:hanging="360"/>
      </w:pPr>
      <w:rPr>
        <w:rFonts w:ascii="Times New Roman Bold" w:eastAsia="Times New Roman Bold" w:hAnsi="Times New Roman Bold" w:cs="Times New Roman Bold"/>
        <w:position w:val="0"/>
        <w:sz w:val="24"/>
        <w:szCs w:val="24"/>
        <w:lang w:val="en-US"/>
      </w:rPr>
    </w:lvl>
    <w:lvl w:ilvl="7">
      <w:start w:val="1"/>
      <w:numFmt w:val="bullet"/>
      <w:lvlText w:val="o"/>
      <w:lvlJc w:val="left"/>
      <w:pPr>
        <w:tabs>
          <w:tab w:val="num" w:pos="5760"/>
        </w:tabs>
        <w:ind w:left="5760" w:hanging="360"/>
      </w:pPr>
      <w:rPr>
        <w:rFonts w:ascii="Times New Roman Bold" w:eastAsia="Times New Roman Bold" w:hAnsi="Times New Roman Bold" w:cs="Times New Roman Bold"/>
        <w:position w:val="0"/>
        <w:sz w:val="24"/>
        <w:szCs w:val="24"/>
        <w:lang w:val="en-US"/>
      </w:rPr>
    </w:lvl>
    <w:lvl w:ilvl="8">
      <w:start w:val="1"/>
      <w:numFmt w:val="bullet"/>
      <w:lvlText w:val="▪"/>
      <w:lvlJc w:val="left"/>
      <w:pPr>
        <w:tabs>
          <w:tab w:val="num" w:pos="6480"/>
        </w:tabs>
        <w:ind w:left="6480" w:hanging="360"/>
      </w:pPr>
      <w:rPr>
        <w:rFonts w:ascii="Times New Roman Bold" w:eastAsia="Times New Roman Bold" w:hAnsi="Times New Roman Bold" w:cs="Times New Roman Bold"/>
        <w:position w:val="0"/>
        <w:sz w:val="24"/>
        <w:szCs w:val="24"/>
        <w:lang w:val="en-US"/>
      </w:rPr>
    </w:lvl>
  </w:abstractNum>
  <w:abstractNum w:abstractNumId="36">
    <w:nsid w:val="7E0C6707"/>
    <w:multiLevelType w:val="hybridMultilevel"/>
    <w:tmpl w:val="506A86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24"/>
  </w:num>
  <w:num w:numId="3">
    <w:abstractNumId w:val="29"/>
  </w:num>
  <w:num w:numId="4">
    <w:abstractNumId w:val="5"/>
    <w:lvlOverride w:ilvl="0"/>
    <w:lvlOverride w:ilvl="1">
      <w:startOverride w:val="2"/>
    </w:lvlOverride>
    <w:lvlOverride w:ilvl="2"/>
    <w:lvlOverride w:ilvl="3"/>
    <w:lvlOverride w:ilvl="4"/>
    <w:lvlOverride w:ilvl="5"/>
    <w:lvlOverride w:ilvl="6"/>
    <w:lvlOverride w:ilvl="7"/>
    <w:lvlOverride w:ilvl="8"/>
  </w:num>
  <w:num w:numId="5">
    <w:abstractNumId w:val="8"/>
  </w:num>
  <w:num w:numId="6">
    <w:abstractNumId w:val="27"/>
  </w:num>
  <w:num w:numId="7">
    <w:abstractNumId w:val="17"/>
  </w:num>
  <w:num w:numId="8">
    <w:abstractNumId w:val="2"/>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36"/>
  </w:num>
  <w:num w:numId="11">
    <w:abstractNumId w:val="15"/>
    <w:lvlOverride w:ilvl="0">
      <w:startOverride w:val="1"/>
    </w:lvlOverride>
    <w:lvlOverride w:ilvl="1"/>
    <w:lvlOverride w:ilvl="2"/>
    <w:lvlOverride w:ilvl="3"/>
    <w:lvlOverride w:ilvl="4"/>
    <w:lvlOverride w:ilvl="5"/>
    <w:lvlOverride w:ilvl="6"/>
    <w:lvlOverride w:ilvl="7"/>
    <w:lvlOverride w:ilvl="8"/>
  </w:num>
  <w:num w:numId="12">
    <w:abstractNumId w:val="32"/>
  </w:num>
  <w:num w:numId="13">
    <w:abstractNumId w:val="5"/>
    <w:lvlOverride w:ilvl="0"/>
    <w:lvlOverride w:ilvl="1">
      <w:startOverride w:val="2"/>
    </w:lvlOverride>
    <w:lvlOverride w:ilvl="2"/>
    <w:lvlOverride w:ilvl="3"/>
    <w:lvlOverride w:ilvl="4"/>
    <w:lvlOverride w:ilvl="5"/>
    <w:lvlOverride w:ilvl="6"/>
    <w:lvlOverride w:ilvl="7"/>
    <w:lvlOverride w:ilvl="8"/>
  </w:num>
  <w:num w:numId="14">
    <w:abstractNumId w:val="21"/>
  </w:num>
  <w:num w:numId="15">
    <w:abstractNumId w:val="25"/>
  </w:num>
  <w:num w:numId="16">
    <w:abstractNumId w:val="28"/>
  </w:num>
  <w:num w:numId="17">
    <w:abstractNumId w:val="14"/>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0"/>
  </w:num>
  <w:num w:numId="21">
    <w:abstractNumId w:val="10"/>
  </w:num>
  <w:num w:numId="22">
    <w:abstractNumId w:val="10"/>
    <w:lvlOverride w:ilvl="0">
      <w:startOverride w:val="1"/>
    </w:lvlOverride>
    <w:lvlOverride w:ilvl="1"/>
    <w:lvlOverride w:ilvl="2"/>
    <w:lvlOverride w:ilvl="3"/>
    <w:lvlOverride w:ilvl="4"/>
    <w:lvlOverride w:ilvl="5"/>
    <w:lvlOverride w:ilvl="6"/>
    <w:lvlOverride w:ilvl="7"/>
    <w:lvlOverride w:ilv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6"/>
  </w:num>
  <w:num w:numId="26">
    <w:abstractNumId w:val="22"/>
  </w:num>
  <w:num w:numId="27">
    <w:abstractNumId w:val="20"/>
  </w:num>
  <w:num w:numId="28">
    <w:abstractNumId w:val="16"/>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30"/>
    <w:lvlOverride w:ilvl="0">
      <w:startOverride w:val="1"/>
    </w:lvlOverride>
    <w:lvlOverride w:ilvl="1"/>
    <w:lvlOverride w:ilvl="2">
      <w:startOverride w:val="1"/>
    </w:lvlOverride>
    <w:lvlOverride w:ilvl="3"/>
    <w:lvlOverride w:ilvl="4"/>
    <w:lvlOverride w:ilvl="5"/>
    <w:lvlOverride w:ilvl="6">
      <w:startOverride w:val="1"/>
    </w:lvlOverride>
    <w:lvlOverride w:ilvl="7">
      <w:startOverride w:val="1"/>
    </w:lvlOverride>
    <w:lvlOverride w:ilvl="8">
      <w:startOverride w:val="1"/>
    </w:lvlOverride>
  </w:num>
  <w:num w:numId="32">
    <w:abstractNumId w:val="13"/>
    <w:lvlOverride w:ilvl="0">
      <w:startOverride w:val="1"/>
    </w:lvlOverride>
    <w:lvlOverride w:ilvl="1"/>
    <w:lvlOverride w:ilvl="2"/>
    <w:lvlOverride w:ilvl="3"/>
    <w:lvlOverride w:ilvl="4"/>
    <w:lvlOverride w:ilvl="5"/>
    <w:lvlOverride w:ilvl="6"/>
    <w:lvlOverride w:ilvl="7"/>
    <w:lvlOverride w:ilvl="8"/>
  </w:num>
  <w:num w:numId="33">
    <w:abstractNumId w:val="34"/>
    <w:lvlOverride w:ilvl="0">
      <w:startOverride w:val="1"/>
    </w:lvlOverride>
    <w:lvlOverride w:ilvl="1"/>
    <w:lvlOverride w:ilvl="2"/>
    <w:lvlOverride w:ilvl="3"/>
    <w:lvlOverride w:ilvl="4"/>
    <w:lvlOverride w:ilvl="5"/>
    <w:lvlOverride w:ilvl="6"/>
    <w:lvlOverride w:ilvl="7"/>
    <w:lvlOverride w:ilvl="8"/>
  </w:num>
  <w:num w:numId="34">
    <w:abstractNumId w:val="1"/>
    <w:lvlOverride w:ilvl="0">
      <w:startOverride w:val="1"/>
    </w:lvlOverride>
    <w:lvlOverride w:ilvl="1"/>
    <w:lvlOverride w:ilvl="2"/>
    <w:lvlOverride w:ilvl="3"/>
    <w:lvlOverride w:ilvl="4"/>
    <w:lvlOverride w:ilvl="5"/>
    <w:lvlOverride w:ilvl="6"/>
    <w:lvlOverride w:ilvl="7"/>
    <w:lvlOverride w:ilvl="8"/>
  </w:num>
  <w:num w:numId="35">
    <w:abstractNumId w:val="33"/>
    <w:lvlOverride w:ilvl="0">
      <w:startOverride w:val="1"/>
    </w:lvlOverride>
    <w:lvlOverride w:ilvl="1"/>
    <w:lvlOverride w:ilvl="2"/>
    <w:lvlOverride w:ilvl="3"/>
    <w:lvlOverride w:ilvl="4"/>
    <w:lvlOverride w:ilvl="5"/>
    <w:lvlOverride w:ilvl="6"/>
    <w:lvlOverride w:ilvl="7"/>
    <w:lvlOverride w:ilvl="8"/>
  </w:num>
  <w:num w:numId="36">
    <w:abstractNumId w:val="18"/>
    <w:lvlOverride w:ilvl="0">
      <w:startOverride w:val="1"/>
    </w:lvlOverride>
    <w:lvlOverride w:ilvl="1"/>
    <w:lvlOverride w:ilvl="2"/>
    <w:lvlOverride w:ilvl="3"/>
    <w:lvlOverride w:ilvl="4"/>
    <w:lvlOverride w:ilvl="5"/>
    <w:lvlOverride w:ilvl="6"/>
    <w:lvlOverride w:ilvl="7"/>
    <w:lvlOverride w:ilvl="8"/>
  </w:num>
  <w:num w:numId="37">
    <w:abstractNumId w:val="6"/>
    <w:lvlOverride w:ilvl="0">
      <w:startOverride w:val="1"/>
    </w:lvlOverride>
    <w:lvlOverride w:ilvl="1"/>
    <w:lvlOverride w:ilvl="2"/>
    <w:lvlOverride w:ilvl="3"/>
    <w:lvlOverride w:ilvl="4"/>
    <w:lvlOverride w:ilvl="5"/>
    <w:lvlOverride w:ilvl="6"/>
    <w:lvlOverride w:ilvl="7"/>
    <w:lvlOverride w:ilvl="8"/>
  </w:num>
  <w:num w:numId="38">
    <w:abstractNumId w:val="7"/>
    <w:lvlOverride w:ilvl="0">
      <w:startOverride w:val="1"/>
    </w:lvlOverride>
    <w:lvlOverride w:ilvl="1"/>
    <w:lvlOverride w:ilvl="2"/>
    <w:lvlOverride w:ilvl="3"/>
    <w:lvlOverride w:ilvl="4"/>
    <w:lvlOverride w:ilvl="5"/>
    <w:lvlOverride w:ilvl="6"/>
    <w:lvlOverride w:ilvl="7"/>
    <w:lvlOverride w:ilvl="8"/>
  </w:num>
  <w:num w:numId="39">
    <w:abstractNumId w:val="23"/>
    <w:lvlOverride w:ilvl="0">
      <w:startOverride w:val="1"/>
    </w:lvlOverride>
    <w:lvlOverride w:ilvl="1"/>
    <w:lvlOverride w:ilvl="2"/>
    <w:lvlOverride w:ilvl="3"/>
    <w:lvlOverride w:ilvl="4"/>
    <w:lvlOverride w:ilvl="5"/>
    <w:lvlOverride w:ilvl="6"/>
    <w:lvlOverride w:ilvl="7"/>
    <w:lvlOverride w:ilvl="8"/>
  </w:num>
  <w:num w:numId="40">
    <w:abstractNumId w:val="5"/>
    <w:lvlOverride w:ilvl="0"/>
    <w:lvlOverride w:ilvl="1">
      <w:startOverride w:val="2"/>
    </w:lvlOverride>
    <w:lvlOverride w:ilvl="2"/>
    <w:lvlOverride w:ilvl="3"/>
    <w:lvlOverride w:ilvl="4"/>
    <w:lvlOverride w:ilvl="5"/>
    <w:lvlOverride w:ilvl="6"/>
    <w:lvlOverride w:ilvl="7"/>
    <w:lvlOverride w:ilvl="8"/>
  </w:num>
  <w:num w:numId="4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revisionView w:inkAnnotations="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B7F"/>
    <w:rsid w:val="00212796"/>
    <w:rsid w:val="00415733"/>
    <w:rsid w:val="00BD5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E-mail Signature" w:uiPriority="0"/>
    <w:lsdException w:name="HTML Typewriter"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4"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73"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9"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64"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5B7F"/>
    <w:pPr>
      <w:pBdr>
        <w:top w:val="nil"/>
        <w:left w:val="nil"/>
        <w:bottom w:val="nil"/>
        <w:right w:val="nil"/>
        <w:between w:val="nil"/>
        <w:bar w:val="nil"/>
      </w:pBdr>
      <w:spacing w:after="0"/>
      <w:jc w:val="left"/>
    </w:pPr>
    <w:rPr>
      <w:rFonts w:eastAsia="Arial Unicode MS" w:cs="Times New Roman"/>
      <w:sz w:val="24"/>
      <w:szCs w:val="24"/>
      <w:bdr w:val="nil"/>
      <w:lang w:val="en-US"/>
    </w:rPr>
  </w:style>
  <w:style w:type="paragraph" w:styleId="Titre1">
    <w:name w:val="heading 1"/>
    <w:basedOn w:val="Normal"/>
    <w:next w:val="Normal"/>
    <w:link w:val="Titre1Car"/>
    <w:qFormat/>
    <w:rsid w:val="00BD5B7F"/>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0"/>
    </w:pPr>
    <w:rPr>
      <w:rFonts w:eastAsia="Times New Roman"/>
      <w:b/>
      <w:szCs w:val="20"/>
      <w:bdr w:val="none" w:sz="0" w:space="0" w:color="auto"/>
      <w:lang w:val="en-GB"/>
    </w:rPr>
  </w:style>
  <w:style w:type="paragraph" w:styleId="Titre2">
    <w:name w:val="heading 2"/>
    <w:basedOn w:val="Normal"/>
    <w:next w:val="Normal"/>
    <w:link w:val="Titre2Car"/>
    <w:qFormat/>
    <w:rsid w:val="00BD5B7F"/>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1"/>
    </w:pPr>
    <w:rPr>
      <w:rFonts w:eastAsia="Times New Roman"/>
      <w:b/>
      <w:sz w:val="28"/>
      <w:szCs w:val="20"/>
      <w:bdr w:val="none" w:sz="0" w:space="0" w:color="auto"/>
      <w:lang w:val="en-GB"/>
    </w:rPr>
  </w:style>
  <w:style w:type="paragraph" w:styleId="Titre3">
    <w:name w:val="heading 3"/>
    <w:basedOn w:val="Normal"/>
    <w:next w:val="Normal"/>
    <w:link w:val="Titre3Car"/>
    <w:unhideWhenUsed/>
    <w:qFormat/>
    <w:rsid w:val="00BD5B7F"/>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rsid w:val="00BD5B7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outlineLvl w:val="3"/>
    </w:pPr>
    <w:rPr>
      <w:rFonts w:asciiTheme="majorHAnsi" w:eastAsiaTheme="majorEastAsia" w:hAnsiTheme="majorHAnsi" w:cstheme="majorBidi"/>
      <w:b/>
      <w:bCs/>
      <w:i/>
      <w:iCs/>
      <w:snapToGrid w:val="0"/>
      <w:color w:val="4F81BD" w:themeColor="accent1"/>
      <w:sz w:val="22"/>
      <w:szCs w:val="22"/>
      <w:bdr w:val="none" w:sz="0" w:space="0" w:color="auto"/>
      <w:lang w:val="fr-FR" w:eastAsia="fr-FR"/>
    </w:rPr>
  </w:style>
  <w:style w:type="paragraph" w:styleId="Titre5">
    <w:name w:val="heading 5"/>
    <w:basedOn w:val="Normal"/>
    <w:next w:val="Normal"/>
    <w:link w:val="Titre5Car"/>
    <w:unhideWhenUsed/>
    <w:qFormat/>
    <w:rsid w:val="00BD5B7F"/>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9"/>
    <w:unhideWhenUsed/>
    <w:qFormat/>
    <w:rsid w:val="00BD5B7F"/>
    <w:pPr>
      <w:keepNext/>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outlineLvl w:val="5"/>
    </w:pPr>
    <w:rPr>
      <w:rFonts w:eastAsia="Times New Roman"/>
      <w:i/>
      <w:iCs/>
      <w:sz w:val="23"/>
      <w:szCs w:val="23"/>
      <w:bdr w:val="none" w:sz="0" w:space="0" w:color="auto"/>
      <w:lang w:val="en-GB"/>
    </w:rPr>
  </w:style>
  <w:style w:type="paragraph" w:styleId="Titre7">
    <w:name w:val="heading 7"/>
    <w:basedOn w:val="Normal"/>
    <w:next w:val="Normal"/>
    <w:link w:val="Titre7Car"/>
    <w:unhideWhenUsed/>
    <w:qFormat/>
    <w:rsid w:val="00BD5B7F"/>
    <w:pPr>
      <w:keepNext/>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6"/>
    </w:pPr>
    <w:rPr>
      <w:rFonts w:eastAsia="Times New Roman"/>
      <w:b/>
      <w:bCs/>
      <w:sz w:val="26"/>
      <w:szCs w:val="26"/>
      <w:bdr w:val="none" w:sz="0" w:space="0" w:color="auto"/>
      <w:lang w:val="en-GB"/>
    </w:rPr>
  </w:style>
  <w:style w:type="paragraph" w:styleId="Titre8">
    <w:name w:val="heading 8"/>
    <w:basedOn w:val="Normal"/>
    <w:next w:val="Normal"/>
    <w:link w:val="Titre8Car"/>
    <w:unhideWhenUsed/>
    <w:qFormat/>
    <w:rsid w:val="00BD5B7F"/>
    <w:pPr>
      <w:keepNext/>
      <w:framePr w:hSpace="180" w:wrap="notBeside" w:hAnchor="margin" w:y="-401"/>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ind w:right="-108"/>
      <w:outlineLvl w:val="7"/>
    </w:pPr>
    <w:rPr>
      <w:rFonts w:ascii="Arial" w:eastAsia="Times New Roman" w:hAnsi="Arial" w:cs="Arial"/>
      <w:bdr w:val="none" w:sz="0" w:space="0" w:color="auto"/>
      <w:lang w:val="en-GB"/>
    </w:rPr>
  </w:style>
  <w:style w:type="paragraph" w:styleId="Titre9">
    <w:name w:val="heading 9"/>
    <w:basedOn w:val="Normal"/>
    <w:next w:val="Normal"/>
    <w:link w:val="Titre9Car"/>
    <w:unhideWhenUsed/>
    <w:qFormat/>
    <w:rsid w:val="00BD5B7F"/>
    <w:pPr>
      <w:keepNext/>
      <w:framePr w:hSpace="180" w:wrap="notBeside" w:hAnchor="margin" w:y="-401"/>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right" w:pos="5426"/>
      </w:tabs>
      <w:autoSpaceDE w:val="0"/>
      <w:autoSpaceDN w:val="0"/>
      <w:adjustRightInd w:val="0"/>
      <w:spacing w:line="300" w:lineRule="atLeast"/>
      <w:outlineLvl w:val="8"/>
    </w:pPr>
    <w:rPr>
      <w:rFonts w:ascii="Arial" w:eastAsia="Times New Roman" w:hAnsi="Arial" w:cs="Arial"/>
      <w:b/>
      <w:bCs/>
      <w:sz w:val="32"/>
      <w:szCs w:val="36"/>
      <w:bdr w:val="none" w:sz="0" w:space="0" w:color="auto"/>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D5B7F"/>
    <w:rPr>
      <w:rFonts w:eastAsia="Times New Roman" w:cs="Times New Roman"/>
      <w:b/>
      <w:sz w:val="24"/>
      <w:szCs w:val="20"/>
      <w:lang w:val="en-GB"/>
    </w:rPr>
  </w:style>
  <w:style w:type="character" w:customStyle="1" w:styleId="Titre2Car">
    <w:name w:val="Titre 2 Car"/>
    <w:basedOn w:val="Policepardfaut"/>
    <w:link w:val="Titre2"/>
    <w:rsid w:val="00BD5B7F"/>
    <w:rPr>
      <w:rFonts w:eastAsia="Times New Roman" w:cs="Times New Roman"/>
      <w:b/>
      <w:sz w:val="28"/>
      <w:szCs w:val="20"/>
      <w:lang w:val="en-GB"/>
    </w:rPr>
  </w:style>
  <w:style w:type="character" w:customStyle="1" w:styleId="Titre3Car">
    <w:name w:val="Titre 3 Car"/>
    <w:basedOn w:val="Policepardfaut"/>
    <w:link w:val="Titre3"/>
    <w:rsid w:val="00BD5B7F"/>
    <w:rPr>
      <w:rFonts w:asciiTheme="majorHAnsi" w:eastAsiaTheme="majorEastAsia" w:hAnsiTheme="majorHAnsi" w:cstheme="majorBidi"/>
      <w:b/>
      <w:bCs/>
      <w:color w:val="4F81BD" w:themeColor="accent1"/>
      <w:sz w:val="24"/>
      <w:szCs w:val="24"/>
      <w:bdr w:val="nil"/>
      <w:lang w:val="en-US"/>
    </w:rPr>
  </w:style>
  <w:style w:type="character" w:customStyle="1" w:styleId="Titre4Car">
    <w:name w:val="Titre 4 Car"/>
    <w:basedOn w:val="Policepardfaut"/>
    <w:link w:val="Titre4"/>
    <w:rsid w:val="00BD5B7F"/>
    <w:rPr>
      <w:rFonts w:asciiTheme="majorHAnsi" w:eastAsiaTheme="majorEastAsia" w:hAnsiTheme="majorHAnsi" w:cstheme="majorBidi"/>
      <w:b/>
      <w:bCs/>
      <w:i/>
      <w:iCs/>
      <w:snapToGrid w:val="0"/>
      <w:color w:val="4F81BD" w:themeColor="accent1"/>
      <w:lang w:eastAsia="fr-FR"/>
    </w:rPr>
  </w:style>
  <w:style w:type="character" w:customStyle="1" w:styleId="Titre5Car">
    <w:name w:val="Titre 5 Car"/>
    <w:basedOn w:val="Policepardfaut"/>
    <w:link w:val="Titre5"/>
    <w:rsid w:val="00BD5B7F"/>
    <w:rPr>
      <w:rFonts w:asciiTheme="majorHAnsi" w:eastAsiaTheme="majorEastAsia" w:hAnsiTheme="majorHAnsi" w:cstheme="majorBidi"/>
      <w:color w:val="243F60" w:themeColor="accent1" w:themeShade="7F"/>
      <w:sz w:val="24"/>
      <w:szCs w:val="24"/>
      <w:bdr w:val="nil"/>
      <w:lang w:val="en-US"/>
    </w:rPr>
  </w:style>
  <w:style w:type="character" w:customStyle="1" w:styleId="Titre6Car">
    <w:name w:val="Titre 6 Car"/>
    <w:basedOn w:val="Policepardfaut"/>
    <w:link w:val="Titre6"/>
    <w:uiPriority w:val="99"/>
    <w:rsid w:val="00BD5B7F"/>
    <w:rPr>
      <w:rFonts w:eastAsia="Times New Roman" w:cs="Times New Roman"/>
      <w:i/>
      <w:iCs/>
      <w:sz w:val="23"/>
      <w:szCs w:val="23"/>
      <w:lang w:val="en-GB"/>
    </w:rPr>
  </w:style>
  <w:style w:type="character" w:customStyle="1" w:styleId="Titre7Car">
    <w:name w:val="Titre 7 Car"/>
    <w:basedOn w:val="Policepardfaut"/>
    <w:link w:val="Titre7"/>
    <w:rsid w:val="00BD5B7F"/>
    <w:rPr>
      <w:rFonts w:eastAsia="Times New Roman" w:cs="Times New Roman"/>
      <w:b/>
      <w:bCs/>
      <w:sz w:val="26"/>
      <w:szCs w:val="26"/>
      <w:lang w:val="en-GB"/>
    </w:rPr>
  </w:style>
  <w:style w:type="character" w:customStyle="1" w:styleId="Titre8Car">
    <w:name w:val="Titre 8 Car"/>
    <w:basedOn w:val="Policepardfaut"/>
    <w:link w:val="Titre8"/>
    <w:rsid w:val="00BD5B7F"/>
    <w:rPr>
      <w:rFonts w:ascii="Arial" w:eastAsia="Times New Roman" w:hAnsi="Arial" w:cs="Arial"/>
      <w:sz w:val="24"/>
      <w:szCs w:val="24"/>
      <w:lang w:val="en-GB"/>
    </w:rPr>
  </w:style>
  <w:style w:type="character" w:customStyle="1" w:styleId="Titre9Car">
    <w:name w:val="Titre 9 Car"/>
    <w:basedOn w:val="Policepardfaut"/>
    <w:link w:val="Titre9"/>
    <w:rsid w:val="00BD5B7F"/>
    <w:rPr>
      <w:rFonts w:ascii="Arial" w:eastAsia="Times New Roman" w:hAnsi="Arial" w:cs="Arial"/>
      <w:b/>
      <w:bCs/>
      <w:sz w:val="32"/>
      <w:szCs w:val="36"/>
      <w:lang w:val="en-GB"/>
    </w:rPr>
  </w:style>
  <w:style w:type="character" w:styleId="Lienhypertexte">
    <w:name w:val="Hyperlink"/>
    <w:rsid w:val="00BD5B7F"/>
    <w:rPr>
      <w:u w:val="single"/>
    </w:rPr>
  </w:style>
  <w:style w:type="table" w:customStyle="1" w:styleId="TableNormal1">
    <w:name w:val="Table Normal1"/>
    <w:rsid w:val="00BD5B7F"/>
    <w:pPr>
      <w:pBdr>
        <w:top w:val="nil"/>
        <w:left w:val="nil"/>
        <w:bottom w:val="nil"/>
        <w:right w:val="nil"/>
        <w:between w:val="nil"/>
        <w:bar w:val="nil"/>
      </w:pBdr>
      <w:spacing w:after="0"/>
      <w:jc w:val="left"/>
    </w:pPr>
    <w:rPr>
      <w:rFonts w:eastAsia="Arial Unicode MS" w:cs="Times New Roman"/>
      <w:sz w:val="20"/>
      <w:szCs w:val="20"/>
      <w:bdr w:val="nil"/>
      <w:lang w:eastAsia="fr-FR"/>
    </w:rPr>
    <w:tblPr>
      <w:tblInd w:w="0" w:type="dxa"/>
      <w:tblCellMar>
        <w:top w:w="0" w:type="dxa"/>
        <w:left w:w="0" w:type="dxa"/>
        <w:bottom w:w="0" w:type="dxa"/>
        <w:right w:w="0" w:type="dxa"/>
      </w:tblCellMar>
    </w:tblPr>
  </w:style>
  <w:style w:type="paragraph" w:styleId="En-tte">
    <w:name w:val="header"/>
    <w:link w:val="En-tteCar"/>
    <w:rsid w:val="00BD5B7F"/>
    <w:pPr>
      <w:pBdr>
        <w:top w:val="nil"/>
        <w:left w:val="nil"/>
        <w:bottom w:val="nil"/>
        <w:right w:val="nil"/>
        <w:between w:val="nil"/>
        <w:bar w:val="nil"/>
      </w:pBdr>
      <w:tabs>
        <w:tab w:val="right" w:pos="9020"/>
      </w:tabs>
      <w:spacing w:after="0"/>
      <w:jc w:val="left"/>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BD5B7F"/>
    <w:rPr>
      <w:rFonts w:ascii="Helvetica" w:eastAsia="Helvetica" w:hAnsi="Helvetica" w:cs="Helvetica"/>
      <w:color w:val="000000"/>
      <w:sz w:val="24"/>
      <w:szCs w:val="24"/>
      <w:bdr w:val="nil"/>
      <w:lang w:eastAsia="fr-FR"/>
    </w:rPr>
  </w:style>
  <w:style w:type="paragraph" w:styleId="Pieddepage">
    <w:name w:val="footer"/>
    <w:link w:val="PieddepageCar"/>
    <w:rsid w:val="00BD5B7F"/>
    <w:pPr>
      <w:widowControl w:val="0"/>
      <w:pBdr>
        <w:top w:val="nil"/>
        <w:left w:val="nil"/>
        <w:bottom w:val="nil"/>
        <w:right w:val="nil"/>
        <w:between w:val="nil"/>
        <w:bar w:val="nil"/>
      </w:pBdr>
      <w:tabs>
        <w:tab w:val="center" w:pos="4152"/>
        <w:tab w:val="right" w:pos="8305"/>
        <w:tab w:val="left" w:pos="8640"/>
      </w:tabs>
      <w:suppressAutoHyphens/>
      <w:spacing w:after="0"/>
    </w:pPr>
    <w:rPr>
      <w:rFonts w:eastAsia="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rsid w:val="00BD5B7F"/>
    <w:rPr>
      <w:rFonts w:eastAsia="Times New Roman" w:cs="Times New Roman"/>
      <w:color w:val="000000"/>
      <w:sz w:val="24"/>
      <w:szCs w:val="24"/>
      <w:u w:color="000000"/>
      <w:bdr w:val="nil"/>
      <w:lang w:val="en-US" w:eastAsia="fr-FR"/>
    </w:rPr>
  </w:style>
  <w:style w:type="paragraph" w:styleId="Notedebasdepage">
    <w:name w:val="footnote text"/>
    <w:aliases w:val="ADB,ADB1,ADB2,Boston 10,FOOTNOTES,FOOTNOTES1,FOOTNOTES2,Font: Geneva 9,Fotnotstext Char,Geneva 9,f,fn,fn1,fn2,fn3,footnote text1,footnote text2,footnote text3,ft,ft Char,single space,single space1,single space2,single space3"/>
    <w:link w:val="NotedebasdepageCar"/>
    <w:rsid w:val="00BD5B7F"/>
    <w:pPr>
      <w:widowControl w:val="0"/>
      <w:pBdr>
        <w:top w:val="nil"/>
        <w:left w:val="nil"/>
        <w:bottom w:val="nil"/>
        <w:right w:val="nil"/>
        <w:between w:val="nil"/>
        <w:bar w:val="nil"/>
      </w:pBdr>
      <w:suppressAutoHyphens/>
      <w:spacing w:after="0"/>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ADB Car,ADB1 Car,ADB2 Car,Boston 10 Car,FOOTNOTES Car,FOOTNOTES1 Car,FOOTNOTES2 Car,Font: Geneva 9 Car,Fotnotstext Char Car,Geneva 9 Car,f Car,fn Car,fn1 Car,fn2 Car,fn3 Car,footnote text1 Car,footnote text2 Car,ft Car"/>
    <w:basedOn w:val="Policepardfaut"/>
    <w:link w:val="Notedebasdepage"/>
    <w:rsid w:val="00BD5B7F"/>
    <w:rPr>
      <w:rFonts w:ascii="Courier New" w:eastAsia="Courier New" w:hAnsi="Courier New" w:cs="Courier New"/>
      <w:color w:val="000000"/>
      <w:sz w:val="20"/>
      <w:szCs w:val="20"/>
      <w:u w:color="000000"/>
      <w:bdr w:val="nil"/>
      <w:lang w:val="en-US" w:eastAsia="fr-FR"/>
    </w:rPr>
  </w:style>
  <w:style w:type="paragraph" w:customStyle="1" w:styleId="Corps">
    <w:name w:val="Corps"/>
    <w:rsid w:val="00BD5B7F"/>
    <w:pPr>
      <w:pBdr>
        <w:top w:val="nil"/>
        <w:left w:val="nil"/>
        <w:bottom w:val="nil"/>
        <w:right w:val="nil"/>
        <w:between w:val="nil"/>
        <w:bar w:val="nil"/>
      </w:pBdr>
      <w:spacing w:after="0"/>
      <w:jc w:val="left"/>
    </w:pPr>
    <w:rPr>
      <w:rFonts w:eastAsia="Times New Roman" w:cs="Times New Roman"/>
      <w:color w:val="000000"/>
      <w:u w:color="000000"/>
      <w:bdr w:val="nil"/>
      <w:lang w:eastAsia="fr-FR"/>
    </w:rPr>
  </w:style>
  <w:style w:type="paragraph" w:customStyle="1" w:styleId="traduction">
    <w:name w:val="traduction"/>
    <w:rsid w:val="00BD5B7F"/>
    <w:pPr>
      <w:pBdr>
        <w:top w:val="nil"/>
        <w:left w:val="nil"/>
        <w:bottom w:val="nil"/>
        <w:right w:val="nil"/>
        <w:between w:val="nil"/>
        <w:bar w:val="nil"/>
      </w:pBdr>
      <w:spacing w:after="0"/>
      <w:jc w:val="left"/>
    </w:pPr>
    <w:rPr>
      <w:rFonts w:eastAsia="Arial Unicode MS" w:hAnsi="Arial Unicode MS" w:cs="Arial Unicode MS"/>
      <w:color w:val="000000"/>
      <w:sz w:val="24"/>
      <w:szCs w:val="24"/>
      <w:u w:color="000000"/>
      <w:bdr w:val="nil"/>
      <w:lang w:eastAsia="fr-FR"/>
    </w:rPr>
  </w:style>
  <w:style w:type="numbering" w:customStyle="1" w:styleId="List0">
    <w:name w:val="List 0"/>
    <w:basedOn w:val="Style3import"/>
    <w:rsid w:val="00BD5B7F"/>
    <w:pPr>
      <w:numPr>
        <w:numId w:val="27"/>
      </w:numPr>
    </w:pPr>
  </w:style>
  <w:style w:type="numbering" w:customStyle="1" w:styleId="Style3import">
    <w:name w:val="Style 3 importé"/>
    <w:rsid w:val="00BD5B7F"/>
  </w:style>
  <w:style w:type="numbering" w:customStyle="1" w:styleId="List1">
    <w:name w:val="List 1"/>
    <w:basedOn w:val="Style4import"/>
    <w:rsid w:val="00BD5B7F"/>
    <w:pPr>
      <w:numPr>
        <w:numId w:val="1"/>
      </w:numPr>
    </w:pPr>
  </w:style>
  <w:style w:type="numbering" w:customStyle="1" w:styleId="Style4import">
    <w:name w:val="Style 4 importé"/>
    <w:rsid w:val="00BD5B7F"/>
  </w:style>
  <w:style w:type="numbering" w:customStyle="1" w:styleId="Liste21">
    <w:name w:val="Liste 21"/>
    <w:basedOn w:val="Style5import"/>
    <w:rsid w:val="00BD5B7F"/>
    <w:pPr>
      <w:numPr>
        <w:numId w:val="2"/>
      </w:numPr>
    </w:pPr>
  </w:style>
  <w:style w:type="numbering" w:customStyle="1" w:styleId="Style5import">
    <w:name w:val="Style 5 importé"/>
    <w:rsid w:val="00BD5B7F"/>
  </w:style>
  <w:style w:type="paragraph" w:styleId="Retraitcorpsdetexte2">
    <w:name w:val="Body Text Indent 2"/>
    <w:link w:val="Retraitcorpsdetexte2Car"/>
    <w:rsid w:val="00BD5B7F"/>
    <w:pPr>
      <w:widowControl w:val="0"/>
      <w:pBdr>
        <w:top w:val="nil"/>
        <w:left w:val="nil"/>
        <w:bottom w:val="nil"/>
        <w:right w:val="nil"/>
        <w:between w:val="nil"/>
        <w:bar w:val="nil"/>
      </w:pBdr>
      <w:tabs>
        <w:tab w:val="left" w:pos="1440"/>
      </w:tabs>
      <w:spacing w:after="0"/>
      <w:ind w:left="426" w:hanging="426"/>
    </w:pPr>
    <w:rPr>
      <w:rFonts w:eastAsia="Times New Roman" w:cs="Times New Roman"/>
      <w:color w:val="000000"/>
      <w:sz w:val="24"/>
      <w:szCs w:val="24"/>
      <w:u w:color="000000"/>
      <w:bdr w:val="nil"/>
      <w:lang w:eastAsia="fr-FR"/>
    </w:rPr>
  </w:style>
  <w:style w:type="character" w:customStyle="1" w:styleId="Retraitcorpsdetexte2Car">
    <w:name w:val="Retrait corps de texte 2 Car"/>
    <w:basedOn w:val="Policepardfaut"/>
    <w:link w:val="Retraitcorpsdetexte2"/>
    <w:rsid w:val="00BD5B7F"/>
    <w:rPr>
      <w:rFonts w:eastAsia="Times New Roman" w:cs="Times New Roman"/>
      <w:color w:val="000000"/>
      <w:sz w:val="24"/>
      <w:szCs w:val="24"/>
      <w:u w:color="000000"/>
      <w:bdr w:val="nil"/>
      <w:lang w:eastAsia="fr-FR"/>
    </w:rPr>
  </w:style>
  <w:style w:type="paragraph" w:styleId="Textedebulles">
    <w:name w:val="Balloon Text"/>
    <w:basedOn w:val="Normal"/>
    <w:link w:val="TextedebullesCar"/>
    <w:semiHidden/>
    <w:unhideWhenUsed/>
    <w:rsid w:val="00BD5B7F"/>
    <w:rPr>
      <w:rFonts w:ascii="Tahoma" w:hAnsi="Tahoma" w:cs="Tahoma"/>
      <w:sz w:val="16"/>
      <w:szCs w:val="16"/>
    </w:rPr>
  </w:style>
  <w:style w:type="character" w:customStyle="1" w:styleId="TextedebullesCar">
    <w:name w:val="Texte de bulles Car"/>
    <w:basedOn w:val="Policepardfaut"/>
    <w:link w:val="Textedebulles"/>
    <w:semiHidden/>
    <w:rsid w:val="00BD5B7F"/>
    <w:rPr>
      <w:rFonts w:ascii="Tahoma" w:eastAsia="Arial Unicode MS" w:hAnsi="Tahoma" w:cs="Tahoma"/>
      <w:sz w:val="16"/>
      <w:szCs w:val="16"/>
      <w:bdr w:val="nil"/>
      <w:lang w:val="en-US"/>
    </w:rPr>
  </w:style>
  <w:style w:type="paragraph" w:styleId="Paragraphedeliste">
    <w:name w:val="List Paragraph"/>
    <w:basedOn w:val="Normal"/>
    <w:link w:val="ParagraphedelisteCar"/>
    <w:uiPriority w:val="34"/>
    <w:qFormat/>
    <w:rsid w:val="00BD5B7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table" w:styleId="Grilledutableau">
    <w:name w:val="Table Grid"/>
    <w:basedOn w:val="TableauNormal"/>
    <w:uiPriority w:val="59"/>
    <w:rsid w:val="00BD5B7F"/>
    <w:pPr>
      <w:spacing w:after="0"/>
      <w:jc w:val="left"/>
    </w:pPr>
    <w:rPr>
      <w:rFonts w:asciiTheme="minorHAnsi" w:hAnsi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eastAsia="Times New Roman"/>
      <w:szCs w:val="20"/>
      <w:bdr w:val="none" w:sz="0" w:space="0" w:color="auto"/>
      <w:lang w:val="en-GB" w:eastAsia="en-GB"/>
    </w:rPr>
  </w:style>
  <w:style w:type="paragraph" w:styleId="NormalWeb">
    <w:name w:val="Normal (Web)"/>
    <w:basedOn w:val="Normal"/>
    <w:uiPriority w:val="99"/>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BD5B7F"/>
    <w:pPr>
      <w:spacing w:after="120"/>
    </w:pPr>
  </w:style>
  <w:style w:type="character" w:customStyle="1" w:styleId="CorpsdetexteCar">
    <w:name w:val="Corps de texte Car"/>
    <w:basedOn w:val="Policepardfaut"/>
    <w:link w:val="Corpsdetexte"/>
    <w:rsid w:val="00BD5B7F"/>
    <w:rPr>
      <w:rFonts w:eastAsia="Arial Unicode MS" w:cs="Times New Roman"/>
      <w:sz w:val="24"/>
      <w:szCs w:val="24"/>
      <w:bdr w:val="nil"/>
      <w:lang w:val="en-US"/>
    </w:rPr>
  </w:style>
  <w:style w:type="character" w:customStyle="1" w:styleId="libtrombi11">
    <w:name w:val="libtrombi11"/>
    <w:basedOn w:val="Policepardfaut"/>
    <w:rsid w:val="00BD5B7F"/>
  </w:style>
  <w:style w:type="paragraph" w:styleId="Retraitcorpsdetexte3">
    <w:name w:val="Body Text Indent 3"/>
    <w:basedOn w:val="Normal"/>
    <w:link w:val="Retraitcorpsdetexte3Car"/>
    <w:unhideWhenUsed/>
    <w:rsid w:val="00BD5B7F"/>
    <w:pPr>
      <w:spacing w:after="120"/>
      <w:ind w:left="283"/>
    </w:pPr>
    <w:rPr>
      <w:sz w:val="16"/>
      <w:szCs w:val="16"/>
    </w:rPr>
  </w:style>
  <w:style w:type="character" w:customStyle="1" w:styleId="Retraitcorpsdetexte3Car">
    <w:name w:val="Retrait corps de texte 3 Car"/>
    <w:basedOn w:val="Policepardfaut"/>
    <w:link w:val="Retraitcorpsdetexte3"/>
    <w:rsid w:val="00BD5B7F"/>
    <w:rPr>
      <w:rFonts w:eastAsia="Arial Unicode MS" w:cs="Times New Roman"/>
      <w:sz w:val="16"/>
      <w:szCs w:val="16"/>
      <w:bdr w:val="nil"/>
      <w:lang w:val="en-US"/>
    </w:rPr>
  </w:style>
  <w:style w:type="character" w:styleId="Appelnotedebasdep">
    <w:name w:val="footnote reference"/>
    <w:aliases w:val=" BVI fnr,-E Fußnotenzeichen,16 Point,BVI fnr,E FNZ,EN Footnote Reference,EN Footnote text,Exposant 3 Point,Footnote,Footnote reference number,Footnote symbol,Ref,SUPERS,Times 10 Point,de nota al pie,ftref,note TESI,number,stylish"/>
    <w:basedOn w:val="Policepardfaut"/>
    <w:rsid w:val="00BD5B7F"/>
    <w:rPr>
      <w:vertAlign w:val="superscript"/>
    </w:rPr>
  </w:style>
  <w:style w:type="paragraph" w:customStyle="1" w:styleId="Retrait">
    <w:name w:val="Retrait"/>
    <w:rsid w:val="00BD5B7F"/>
    <w:pPr>
      <w:widowControl w:val="0"/>
      <w:tabs>
        <w:tab w:val="left" w:pos="-720"/>
      </w:tabs>
      <w:suppressAutoHyphens/>
      <w:spacing w:after="0"/>
    </w:pPr>
    <w:rPr>
      <w:rFonts w:ascii="Palatino" w:eastAsia="Times New Roman" w:hAnsi="Palatino" w:cs="Times New Roman"/>
      <w:snapToGrid w:val="0"/>
      <w:spacing w:val="-2"/>
      <w:szCs w:val="20"/>
    </w:rPr>
  </w:style>
  <w:style w:type="paragraph" w:customStyle="1" w:styleId="Paragraphedeliste1">
    <w:name w:val="Paragraphe de liste1"/>
    <w:rsid w:val="00BD5B7F"/>
    <w:pPr>
      <w:suppressAutoHyphens/>
      <w:spacing w:after="0"/>
      <w:ind w:left="720"/>
      <w:jc w:val="left"/>
    </w:pPr>
    <w:rPr>
      <w:rFonts w:eastAsia="Arial Unicode MS" w:cs="Arial Unicode MS"/>
      <w:color w:val="000000"/>
      <w:kern w:val="2"/>
      <w:sz w:val="24"/>
      <w:szCs w:val="24"/>
      <w:lang w:eastAsia="fr-FR" w:bidi="fr-FR"/>
    </w:rPr>
  </w:style>
  <w:style w:type="character" w:customStyle="1" w:styleId="date1">
    <w:name w:val="date1"/>
    <w:basedOn w:val="Policepardfaut"/>
    <w:rsid w:val="00BD5B7F"/>
  </w:style>
  <w:style w:type="character" w:styleId="Numrodepage">
    <w:name w:val="page number"/>
    <w:basedOn w:val="Policepardfaut"/>
    <w:rsid w:val="00BD5B7F"/>
  </w:style>
  <w:style w:type="paragraph" w:customStyle="1" w:styleId="Level2Number">
    <w:name w:val="Level 2 Number"/>
    <w:basedOn w:val="Corpsdetexte"/>
    <w:uiPriority w:val="29"/>
    <w:rsid w:val="00BD5B7F"/>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exact"/>
      <w:jc w:val="both"/>
    </w:pPr>
    <w:rPr>
      <w:rFonts w:ascii="Calibri" w:eastAsia="Times New Roman" w:hAnsi="Calibri"/>
      <w:sz w:val="22"/>
      <w:bdr w:val="none" w:sz="0" w:space="0" w:color="auto"/>
      <w:lang w:val="en-GB" w:eastAsia="en-GB"/>
    </w:rPr>
  </w:style>
  <w:style w:type="paragraph" w:customStyle="1" w:styleId="Default">
    <w:name w:val="Default"/>
    <w:rsid w:val="00BD5B7F"/>
    <w:pPr>
      <w:autoSpaceDE w:val="0"/>
      <w:autoSpaceDN w:val="0"/>
      <w:adjustRightInd w:val="0"/>
      <w:spacing w:after="0"/>
      <w:jc w:val="left"/>
    </w:pPr>
    <w:rPr>
      <w:rFonts w:eastAsia="Arial Unicode MS" w:cs="Times New Roman"/>
      <w:color w:val="000000"/>
      <w:sz w:val="24"/>
      <w:szCs w:val="24"/>
      <w:bdr w:val="nil"/>
      <w:lang w:val="en-GB" w:eastAsia="fr-FR"/>
    </w:rPr>
  </w:style>
  <w:style w:type="character" w:customStyle="1" w:styleId="normal10">
    <w:name w:val="normal10"/>
    <w:basedOn w:val="Policepardfaut"/>
    <w:rsid w:val="00BD5B7F"/>
  </w:style>
  <w:style w:type="character" w:styleId="lev">
    <w:name w:val="Strong"/>
    <w:basedOn w:val="Policepardfaut"/>
    <w:qFormat/>
    <w:rsid w:val="00BD5B7F"/>
    <w:rPr>
      <w:b/>
      <w:bCs/>
    </w:rPr>
  </w:style>
  <w:style w:type="character" w:customStyle="1" w:styleId="ParagraphedelisteCar">
    <w:name w:val="Paragraphe de liste Car"/>
    <w:basedOn w:val="Policepardfaut"/>
    <w:link w:val="Paragraphedeliste"/>
    <w:uiPriority w:val="34"/>
    <w:locked/>
    <w:rsid w:val="00BD5B7F"/>
    <w:rPr>
      <w:rFonts w:eastAsia="Times New Roman" w:cs="Times New Roman"/>
      <w:sz w:val="24"/>
      <w:szCs w:val="24"/>
      <w:lang w:val="en-GB" w:eastAsia="en-GB"/>
    </w:rPr>
  </w:style>
  <w:style w:type="character" w:customStyle="1" w:styleId="apple-style-span">
    <w:name w:val="apple-style-span"/>
    <w:basedOn w:val="Policepardfaut"/>
    <w:rsid w:val="00BD5B7F"/>
  </w:style>
  <w:style w:type="paragraph" w:styleId="Commentaire">
    <w:name w:val="annotation text"/>
    <w:basedOn w:val="Normal"/>
    <w:link w:val="CommentaireCar"/>
    <w:uiPriority w:val="99"/>
    <w:unhideWhenUsed/>
    <w:rsid w:val="00BD5B7F"/>
    <w:rPr>
      <w:sz w:val="20"/>
      <w:szCs w:val="20"/>
    </w:rPr>
  </w:style>
  <w:style w:type="character" w:customStyle="1" w:styleId="CommentaireCar">
    <w:name w:val="Commentaire Car"/>
    <w:basedOn w:val="Policepardfaut"/>
    <w:link w:val="Commentaire"/>
    <w:uiPriority w:val="99"/>
    <w:rsid w:val="00BD5B7F"/>
    <w:rPr>
      <w:rFonts w:eastAsia="Arial Unicode MS" w:cs="Times New Roman"/>
      <w:sz w:val="20"/>
      <w:szCs w:val="20"/>
      <w:bdr w:val="nil"/>
      <w:lang w:val="en-US"/>
    </w:rPr>
  </w:style>
  <w:style w:type="paragraph" w:styleId="Objetducommentaire">
    <w:name w:val="annotation subject"/>
    <w:basedOn w:val="Commentaire"/>
    <w:next w:val="Commentaire"/>
    <w:link w:val="ObjetducommentaireCar"/>
    <w:uiPriority w:val="99"/>
    <w:rsid w:val="00BD5B7F"/>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b/>
      <w:bCs/>
      <w:bdr w:val="none" w:sz="0" w:space="0" w:color="auto"/>
      <w:lang w:val="fr-FR" w:eastAsia="fr-FR"/>
    </w:rPr>
  </w:style>
  <w:style w:type="character" w:customStyle="1" w:styleId="ObjetducommentaireCar">
    <w:name w:val="Objet du commentaire Car"/>
    <w:basedOn w:val="CommentaireCar"/>
    <w:link w:val="Objetducommentaire"/>
    <w:uiPriority w:val="99"/>
    <w:rsid w:val="00BD5B7F"/>
    <w:rPr>
      <w:rFonts w:ascii="Verdana" w:eastAsia="Times New Roman" w:hAnsi="Verdana" w:cs="Times New Roman"/>
      <w:b/>
      <w:bCs/>
      <w:sz w:val="20"/>
      <w:szCs w:val="20"/>
      <w:bdr w:val="nil"/>
      <w:lang w:val="en-US" w:eastAsia="fr-FR"/>
    </w:rPr>
  </w:style>
  <w:style w:type="paragraph" w:styleId="Retraitcorpsdetexte">
    <w:name w:val="Body Text Indent"/>
    <w:basedOn w:val="Normal"/>
    <w:link w:val="RetraitcorpsdetexteCar"/>
    <w:unhideWhenUsed/>
    <w:rsid w:val="00BD5B7F"/>
    <w:pPr>
      <w:spacing w:after="120"/>
      <w:ind w:left="283"/>
    </w:pPr>
  </w:style>
  <w:style w:type="character" w:customStyle="1" w:styleId="RetraitcorpsdetexteCar">
    <w:name w:val="Retrait corps de texte Car"/>
    <w:basedOn w:val="Policepardfaut"/>
    <w:link w:val="Retraitcorpsdetexte"/>
    <w:rsid w:val="00BD5B7F"/>
    <w:rPr>
      <w:rFonts w:eastAsia="Arial Unicode MS" w:cs="Times New Roman"/>
      <w:sz w:val="24"/>
      <w:szCs w:val="24"/>
      <w:bdr w:val="nil"/>
      <w:lang w:val="en-US"/>
    </w:rPr>
  </w:style>
  <w:style w:type="character" w:styleId="Accentuation">
    <w:name w:val="Emphasis"/>
    <w:uiPriority w:val="20"/>
    <w:qFormat/>
    <w:rsid w:val="00BD5B7F"/>
    <w:rPr>
      <w:rFonts w:ascii="Times New Roman" w:hAnsi="Times New Roman" w:cs="Times New Roman" w:hint="default"/>
      <w:i/>
      <w:iCs/>
    </w:rPr>
  </w:style>
  <w:style w:type="paragraph" w:styleId="TM1">
    <w:name w:val="toc 1"/>
    <w:basedOn w:val="Normal"/>
    <w:next w:val="Normal"/>
    <w:autoRedefine/>
    <w:uiPriority w:val="39"/>
    <w:unhideWhenUsed/>
    <w:qFormat/>
    <w:rsid w:val="00BD5B7F"/>
    <w:pPr>
      <w:pBdr>
        <w:top w:val="none" w:sz="0" w:space="0" w:color="auto"/>
        <w:left w:val="none" w:sz="0" w:space="0" w:color="auto"/>
        <w:bottom w:val="none" w:sz="0" w:space="0" w:color="auto"/>
        <w:right w:val="none" w:sz="0" w:space="0" w:color="auto"/>
        <w:between w:val="none" w:sz="0" w:space="0" w:color="auto"/>
        <w:bar w:val="none" w:sz="0" w:color="auto"/>
      </w:pBdr>
      <w:tabs>
        <w:tab w:val="left" w:pos="9090"/>
        <w:tab w:val="left" w:pos="9360"/>
      </w:tabs>
      <w:spacing w:after="100" w:line="276" w:lineRule="auto"/>
    </w:pPr>
    <w:rPr>
      <w:rFonts w:ascii="Calibri" w:eastAsia="Calibri" w:hAnsi="Calibri"/>
      <w:noProof/>
      <w:sz w:val="22"/>
      <w:szCs w:val="22"/>
      <w:bdr w:val="none" w:sz="0" w:space="0" w:color="auto"/>
      <w:lang w:val="en-GB"/>
    </w:rPr>
  </w:style>
  <w:style w:type="paragraph" w:styleId="TM2">
    <w:name w:val="toc 2"/>
    <w:basedOn w:val="Normal"/>
    <w:next w:val="Normal"/>
    <w:autoRedefine/>
    <w:uiPriority w:val="39"/>
    <w:unhideWhenUsed/>
    <w:qFormat/>
    <w:rsid w:val="00BD5B7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360"/>
      </w:tabs>
      <w:spacing w:after="100" w:line="276" w:lineRule="auto"/>
      <w:ind w:left="630" w:hanging="540"/>
      <w:jc w:val="center"/>
    </w:pPr>
    <w:rPr>
      <w:rFonts w:eastAsia="Calibri"/>
      <w:b/>
      <w:smallCaps/>
      <w:bdr w:val="none" w:sz="0" w:space="0" w:color="auto"/>
      <w:lang w:val="en-GB"/>
    </w:rPr>
  </w:style>
  <w:style w:type="paragraph" w:styleId="TM3">
    <w:name w:val="toc 3"/>
    <w:basedOn w:val="Normal"/>
    <w:next w:val="Normal"/>
    <w:autoRedefine/>
    <w:uiPriority w:val="39"/>
    <w:unhideWhenUsed/>
    <w:qFormat/>
    <w:rsid w:val="00BD5B7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639"/>
      </w:tabs>
      <w:spacing w:after="100" w:line="276" w:lineRule="auto"/>
      <w:ind w:left="440"/>
      <w:jc w:val="both"/>
    </w:pPr>
    <w:rPr>
      <w:rFonts w:ascii="Calibri" w:eastAsia="Calibri" w:hAnsi="Calibri"/>
      <w:sz w:val="22"/>
      <w:szCs w:val="22"/>
      <w:bdr w:val="none" w:sz="0" w:space="0" w:color="auto"/>
      <w:lang w:val="en-GB"/>
    </w:rPr>
  </w:style>
  <w:style w:type="paragraph" w:styleId="TM4">
    <w:name w:val="toc 4"/>
    <w:basedOn w:val="Normal"/>
    <w:next w:val="Normal"/>
    <w:autoRedefine/>
    <w:uiPriority w:val="39"/>
    <w:unhideWhenUsed/>
    <w:rsid w:val="00BD5B7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639"/>
      </w:tabs>
      <w:spacing w:after="100" w:line="276" w:lineRule="auto"/>
      <w:ind w:left="660"/>
    </w:pPr>
    <w:rPr>
      <w:rFonts w:ascii="Calibri" w:eastAsia="Calibri" w:hAnsi="Calibri"/>
      <w:sz w:val="22"/>
      <w:szCs w:val="22"/>
      <w:bdr w:val="none" w:sz="0" w:space="0" w:color="auto"/>
      <w:lang w:val="en-GB"/>
    </w:rPr>
  </w:style>
  <w:style w:type="character" w:customStyle="1" w:styleId="NotedefinCar">
    <w:name w:val="Note de fin Car"/>
    <w:basedOn w:val="Policepardfaut"/>
    <w:link w:val="Notedefin"/>
    <w:uiPriority w:val="99"/>
    <w:semiHidden/>
    <w:rsid w:val="00BD5B7F"/>
    <w:rPr>
      <w:rFonts w:ascii="Arial" w:eastAsia="Calibri" w:hAnsi="Arial"/>
      <w:color w:val="000000"/>
      <w:lang w:val="en-GB"/>
    </w:rPr>
  </w:style>
  <w:style w:type="paragraph" w:styleId="Notedefin">
    <w:name w:val="endnote text"/>
    <w:basedOn w:val="Normal"/>
    <w:link w:val="NotedefinCar"/>
    <w:uiPriority w:val="99"/>
    <w:semiHidden/>
    <w:unhideWhenUsed/>
    <w:rsid w:val="00BD5B7F"/>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Calibri" w:hAnsi="Arial" w:cstheme="minorBidi"/>
      <w:color w:val="000000"/>
      <w:sz w:val="22"/>
      <w:szCs w:val="22"/>
      <w:bdr w:val="none" w:sz="0" w:space="0" w:color="auto"/>
      <w:lang w:val="en-GB"/>
    </w:rPr>
  </w:style>
  <w:style w:type="character" w:customStyle="1" w:styleId="NotedefinCar1">
    <w:name w:val="Note de fin Car1"/>
    <w:basedOn w:val="Policepardfaut"/>
    <w:uiPriority w:val="99"/>
    <w:semiHidden/>
    <w:rsid w:val="00BD5B7F"/>
    <w:rPr>
      <w:rFonts w:eastAsia="Arial Unicode MS" w:cs="Times New Roman"/>
      <w:sz w:val="20"/>
      <w:szCs w:val="20"/>
      <w:bdr w:val="nil"/>
      <w:lang w:val="en-US"/>
    </w:rPr>
  </w:style>
  <w:style w:type="paragraph" w:styleId="Titre">
    <w:name w:val="Title"/>
    <w:basedOn w:val="Normal"/>
    <w:link w:val="TitreCar"/>
    <w:uiPriority w:val="10"/>
    <w:qFormat/>
    <w:rsid w:val="00BD5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jc w:val="center"/>
    </w:pPr>
    <w:rPr>
      <w:rFonts w:ascii="Arial" w:eastAsia="Times New Roman" w:hAnsi="Arial" w:cs="Arial"/>
      <w:b/>
      <w:bCs/>
      <w:sz w:val="32"/>
      <w:szCs w:val="22"/>
      <w:bdr w:val="none" w:sz="0" w:space="0" w:color="auto"/>
      <w:lang w:val="en-GB"/>
    </w:rPr>
  </w:style>
  <w:style w:type="character" w:customStyle="1" w:styleId="TitreCar">
    <w:name w:val="Titre Car"/>
    <w:basedOn w:val="Policepardfaut"/>
    <w:link w:val="Titre"/>
    <w:uiPriority w:val="10"/>
    <w:rsid w:val="00BD5B7F"/>
    <w:rPr>
      <w:rFonts w:ascii="Arial" w:eastAsia="Times New Roman" w:hAnsi="Arial" w:cs="Arial"/>
      <w:b/>
      <w:bCs/>
      <w:sz w:val="32"/>
      <w:lang w:val="en-GB"/>
    </w:rPr>
  </w:style>
  <w:style w:type="character" w:customStyle="1" w:styleId="Corpsdetexte2Car">
    <w:name w:val="Corps de texte 2 Car"/>
    <w:basedOn w:val="Policepardfaut"/>
    <w:link w:val="Corpsdetexte2"/>
    <w:rsid w:val="00BD5B7F"/>
    <w:rPr>
      <w:rFonts w:eastAsia="Times New Roman"/>
      <w:szCs w:val="24"/>
      <w:lang w:val="en-US"/>
    </w:rPr>
  </w:style>
  <w:style w:type="paragraph" w:styleId="Corpsdetexte2">
    <w:name w:val="Body Text 2"/>
    <w:basedOn w:val="Normal"/>
    <w:link w:val="Corpsdetexte2Car"/>
    <w:unhideWhenUsed/>
    <w:rsid w:val="00BD5B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stheme="minorBidi"/>
      <w:sz w:val="22"/>
      <w:bdr w:val="none" w:sz="0" w:space="0" w:color="auto"/>
    </w:rPr>
  </w:style>
  <w:style w:type="character" w:customStyle="1" w:styleId="Corpsdetexte2Car1">
    <w:name w:val="Corps de texte 2 Car1"/>
    <w:basedOn w:val="Policepardfaut"/>
    <w:uiPriority w:val="99"/>
    <w:semiHidden/>
    <w:rsid w:val="00BD5B7F"/>
    <w:rPr>
      <w:rFonts w:eastAsia="Arial Unicode MS" w:cs="Times New Roman"/>
      <w:sz w:val="24"/>
      <w:szCs w:val="24"/>
      <w:bdr w:val="nil"/>
      <w:lang w:val="en-US"/>
    </w:rPr>
  </w:style>
  <w:style w:type="character" w:customStyle="1" w:styleId="Corpsdetexte3Car">
    <w:name w:val="Corps de texte 3 Car"/>
    <w:basedOn w:val="Policepardfaut"/>
    <w:link w:val="Corpsdetexte3"/>
    <w:rsid w:val="00BD5B7F"/>
    <w:rPr>
      <w:rFonts w:eastAsia="Times New Roman"/>
      <w:b/>
      <w:bCs/>
      <w:sz w:val="24"/>
      <w:szCs w:val="24"/>
      <w:lang w:val="en-GB"/>
    </w:rPr>
  </w:style>
  <w:style w:type="paragraph" w:styleId="Corpsdetexte3">
    <w:name w:val="Body Text 3"/>
    <w:basedOn w:val="Normal"/>
    <w:link w:val="Corpsdetexte3Car"/>
    <w:unhideWhenUsed/>
    <w:rsid w:val="00BD5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spacing w:line="230" w:lineRule="auto"/>
      <w:jc w:val="center"/>
    </w:pPr>
    <w:rPr>
      <w:rFonts w:eastAsia="Times New Roman" w:cstheme="minorBidi"/>
      <w:b/>
      <w:bCs/>
      <w:bdr w:val="none" w:sz="0" w:space="0" w:color="auto"/>
      <w:lang w:val="en-GB"/>
    </w:rPr>
  </w:style>
  <w:style w:type="character" w:customStyle="1" w:styleId="Corpsdetexte3Car1">
    <w:name w:val="Corps de texte 3 Car1"/>
    <w:basedOn w:val="Policepardfaut"/>
    <w:uiPriority w:val="99"/>
    <w:semiHidden/>
    <w:rsid w:val="00BD5B7F"/>
    <w:rPr>
      <w:rFonts w:eastAsia="Arial Unicode MS" w:cs="Times New Roman"/>
      <w:sz w:val="16"/>
      <w:szCs w:val="16"/>
      <w:bdr w:val="nil"/>
      <w:lang w:val="en-US"/>
    </w:rPr>
  </w:style>
  <w:style w:type="paragraph" w:styleId="Sansinterligne">
    <w:name w:val="No Spacing"/>
    <w:uiPriority w:val="99"/>
    <w:qFormat/>
    <w:rsid w:val="00BD5B7F"/>
    <w:pPr>
      <w:widowControl w:val="0"/>
      <w:autoSpaceDE w:val="0"/>
      <w:autoSpaceDN w:val="0"/>
      <w:adjustRightInd w:val="0"/>
      <w:spacing w:after="0"/>
      <w:jc w:val="left"/>
    </w:pPr>
    <w:rPr>
      <w:rFonts w:eastAsia="Times New Roman" w:cs="Times New Roman"/>
      <w:sz w:val="20"/>
      <w:szCs w:val="24"/>
      <w:lang w:val="en-US"/>
    </w:rPr>
  </w:style>
  <w:style w:type="paragraph" w:customStyle="1" w:styleId="Level1">
    <w:name w:val="Level 1"/>
    <w:basedOn w:val="Normal"/>
    <w:uiPriority w:val="99"/>
    <w:rsid w:val="00BD5B7F"/>
    <w:pPr>
      <w:widowControl w:val="0"/>
      <w:numPr>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566"/>
      </w:tabs>
      <w:autoSpaceDE w:val="0"/>
      <w:autoSpaceDN w:val="0"/>
      <w:adjustRightInd w:val="0"/>
      <w:outlineLvl w:val="0"/>
    </w:pPr>
    <w:rPr>
      <w:rFonts w:eastAsia="Times New Roman"/>
      <w:sz w:val="20"/>
      <w:bdr w:val="none" w:sz="0" w:space="0" w:color="auto"/>
    </w:rPr>
  </w:style>
  <w:style w:type="paragraph" w:customStyle="1" w:styleId="Level2">
    <w:name w:val="Level 2"/>
    <w:basedOn w:val="Normal"/>
    <w:uiPriority w:val="99"/>
    <w:rsid w:val="00BD5B7F"/>
    <w:pPr>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1132"/>
      </w:tabs>
      <w:autoSpaceDE w:val="0"/>
      <w:autoSpaceDN w:val="0"/>
      <w:adjustRightInd w:val="0"/>
      <w:outlineLvl w:val="1"/>
    </w:pPr>
    <w:rPr>
      <w:rFonts w:eastAsia="Times New Roman"/>
      <w:sz w:val="20"/>
      <w:bdr w:val="none" w:sz="0" w:space="0" w:color="auto"/>
    </w:rPr>
  </w:style>
  <w:style w:type="paragraph" w:customStyle="1" w:styleId="Level3">
    <w:name w:val="Level 3"/>
    <w:basedOn w:val="Normal"/>
    <w:uiPriority w:val="99"/>
    <w:rsid w:val="00BD5B7F"/>
    <w:pPr>
      <w:widowControl w:val="0"/>
      <w:numPr>
        <w:ilvl w:val="2"/>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1700"/>
      </w:tabs>
      <w:autoSpaceDE w:val="0"/>
      <w:autoSpaceDN w:val="0"/>
      <w:adjustRightInd w:val="0"/>
      <w:outlineLvl w:val="2"/>
    </w:pPr>
    <w:rPr>
      <w:rFonts w:eastAsia="Times New Roman"/>
      <w:sz w:val="20"/>
      <w:bdr w:val="none" w:sz="0" w:space="0" w:color="auto"/>
    </w:rPr>
  </w:style>
  <w:style w:type="character" w:customStyle="1" w:styleId="MediumGrid2Char">
    <w:name w:val="Medium Grid 2 Char"/>
    <w:link w:val="Grigliamedia21"/>
    <w:uiPriority w:val="1"/>
    <w:semiHidden/>
    <w:locked/>
    <w:rsid w:val="00BD5B7F"/>
    <w:rPr>
      <w:rFonts w:ascii="Calibri" w:hAnsi="Calibri"/>
      <w:lang w:val="it-IT" w:eastAsia="it-IT"/>
    </w:rPr>
  </w:style>
  <w:style w:type="paragraph" w:customStyle="1" w:styleId="Grigliamedia21">
    <w:name w:val="Griglia media 21"/>
    <w:link w:val="MediumGrid2Char"/>
    <w:uiPriority w:val="1"/>
    <w:semiHidden/>
    <w:qFormat/>
    <w:rsid w:val="00BD5B7F"/>
    <w:pPr>
      <w:spacing w:after="0"/>
      <w:jc w:val="left"/>
    </w:pPr>
    <w:rPr>
      <w:rFonts w:ascii="Calibri" w:hAnsi="Calibri"/>
      <w:lang w:val="it-IT" w:eastAsia="it-IT"/>
    </w:rPr>
  </w:style>
  <w:style w:type="paragraph" w:customStyle="1" w:styleId="contenth2">
    <w:name w:val="content_h2"/>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Georgia" w:eastAsia="Times New Roman" w:hAnsi="Georgia"/>
      <w:color w:val="013976"/>
      <w:sz w:val="54"/>
      <w:szCs w:val="54"/>
      <w:bdr w:val="none" w:sz="0" w:space="0" w:color="auto"/>
      <w:lang w:val="en-GB" w:eastAsia="en-GB"/>
    </w:rPr>
  </w:style>
  <w:style w:type="character" w:customStyle="1" w:styleId="Normal1">
    <w:name w:val="Normal1"/>
    <w:rsid w:val="00BD5B7F"/>
  </w:style>
  <w:style w:type="table" w:styleId="Grillemoyenne2">
    <w:name w:val="Medium Grid 2"/>
    <w:basedOn w:val="TableauNormal"/>
    <w:link w:val="Grillemoyenne2Car"/>
    <w:uiPriority w:val="1"/>
    <w:unhideWhenUsed/>
    <w:rsid w:val="00BD5B7F"/>
    <w:pPr>
      <w:spacing w:after="0"/>
      <w:jc w:val="left"/>
    </w:pPr>
    <w:rPr>
      <w:rFonts w:ascii="Calibri" w:hAnsi="Calibri"/>
      <w:lang w:val="it-IT"/>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Grillemoyenne2Car">
    <w:name w:val="Grille moyenne 2 Car"/>
    <w:link w:val="Grillemoyenne2"/>
    <w:uiPriority w:val="1"/>
    <w:locked/>
    <w:rsid w:val="00BD5B7F"/>
    <w:rPr>
      <w:rFonts w:ascii="Calibri" w:hAnsi="Calibri" w:hint="default"/>
      <w:sz w:val="22"/>
      <w:szCs w:val="22"/>
      <w:lang w:val="it-IT"/>
    </w:rPr>
  </w:style>
  <w:style w:type="character" w:customStyle="1" w:styleId="NoSpacingChar">
    <w:name w:val="No Spacing Char"/>
    <w:uiPriority w:val="1"/>
    <w:rsid w:val="00BD5B7F"/>
    <w:rPr>
      <w:rFonts w:ascii="Times New Roman" w:eastAsia="Times New Roman" w:hAnsi="Times New Roman" w:cs="Times New Roman" w:hint="default"/>
      <w:lang w:val="it-IT"/>
    </w:rPr>
  </w:style>
  <w:style w:type="table" w:styleId="Grillemoyenne2-Accent2">
    <w:name w:val="Medium Grid 2 Accent 2"/>
    <w:basedOn w:val="TableauNormal"/>
    <w:uiPriority w:val="73"/>
    <w:unhideWhenUsed/>
    <w:rsid w:val="00BD5B7F"/>
    <w:pPr>
      <w:spacing w:after="0"/>
      <w:jc w:val="left"/>
    </w:pPr>
    <w:rPr>
      <w:rFonts w:ascii="Calibri" w:eastAsia="Calibri" w:hAnsi="Calibri" w:cs="Times New Roman"/>
      <w:color w:val="000000"/>
      <w:lang w:val="it-IT" w:eastAsia="it-IT"/>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Grid1">
    <w:name w:val="Table Grid1"/>
    <w:basedOn w:val="TableauNormal"/>
    <w:uiPriority w:val="59"/>
    <w:rsid w:val="00BD5B7F"/>
    <w:pPr>
      <w:spacing w:after="0"/>
      <w:jc w:val="left"/>
    </w:pPr>
    <w:rPr>
      <w:rFonts w:ascii="Calibri" w:eastAsia="Calibri" w:hAnsi="Calibri" w:cs="Times New Roman"/>
      <w:lang w:val="en-GB"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BD5B7F"/>
    <w:pPr>
      <w:widowControl w:val="0"/>
      <w:autoSpaceDE w:val="0"/>
      <w:autoSpaceDN w:val="0"/>
      <w:adjustRightInd w:val="0"/>
      <w:spacing w:before="240" w:after="60"/>
      <w:jc w:val="left"/>
      <w:outlineLvl w:val="9"/>
    </w:pPr>
    <w:rPr>
      <w:rFonts w:ascii="Calibri Light" w:hAnsi="Calibri Light"/>
      <w:bCs/>
      <w:kern w:val="32"/>
      <w:sz w:val="32"/>
      <w:szCs w:val="32"/>
      <w:lang w:val="en-US"/>
    </w:rPr>
  </w:style>
  <w:style w:type="character" w:customStyle="1" w:styleId="spelle">
    <w:name w:val="spelle"/>
    <w:basedOn w:val="Policepardfaut"/>
    <w:rsid w:val="00BD5B7F"/>
  </w:style>
  <w:style w:type="paragraph" w:styleId="Textebrut">
    <w:name w:val="Plain Text"/>
    <w:basedOn w:val="Normal"/>
    <w:link w:val="TextebrutCar"/>
    <w:uiPriority w:val="99"/>
    <w:unhideWhenUsed/>
    <w:rsid w:val="00BD5B7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fr-FR"/>
    </w:rPr>
  </w:style>
  <w:style w:type="character" w:customStyle="1" w:styleId="TextebrutCar">
    <w:name w:val="Texte brut Car"/>
    <w:basedOn w:val="Policepardfaut"/>
    <w:link w:val="Textebrut"/>
    <w:uiPriority w:val="99"/>
    <w:rsid w:val="00BD5B7F"/>
    <w:rPr>
      <w:rFonts w:ascii="Calibri" w:hAnsi="Calibri"/>
      <w:szCs w:val="21"/>
    </w:rPr>
  </w:style>
  <w:style w:type="paragraph" w:customStyle="1" w:styleId="paragraphedeliste10">
    <w:name w:val="paragraphedeliste1"/>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val="fr-FR" w:eastAsia="fr-FR"/>
    </w:rPr>
  </w:style>
  <w:style w:type="paragraph" w:customStyle="1" w:styleId="1AutoList1">
    <w:name w:val="1AutoList1"/>
    <w:uiPriority w:val="99"/>
    <w:rsid w:val="00BD5B7F"/>
    <w:pPr>
      <w:widowControl w:val="0"/>
      <w:tabs>
        <w:tab w:val="left" w:pos="720"/>
      </w:tabs>
      <w:autoSpaceDE w:val="0"/>
      <w:autoSpaceDN w:val="0"/>
      <w:adjustRightInd w:val="0"/>
      <w:spacing w:after="0"/>
      <w:ind w:left="720" w:hanging="720"/>
    </w:pPr>
    <w:rPr>
      <w:rFonts w:eastAsia="Times New Roman" w:cs="Times New Roman"/>
      <w:sz w:val="24"/>
      <w:szCs w:val="24"/>
      <w:lang w:val="en-GB"/>
    </w:rPr>
  </w:style>
  <w:style w:type="paragraph" w:customStyle="1" w:styleId="Preformatted">
    <w:name w:val="Preformatted"/>
    <w:uiPriority w:val="99"/>
    <w:rsid w:val="00BD5B7F"/>
    <w:pPr>
      <w:widowControl w:val="0"/>
      <w:tabs>
        <w:tab w:val="left" w:pos="0"/>
        <w:tab w:val="left" w:pos="960"/>
        <w:tab w:val="left" w:pos="1918"/>
        <w:tab w:val="left" w:pos="2877"/>
        <w:tab w:val="left" w:pos="3836"/>
        <w:tab w:val="left" w:pos="4795"/>
        <w:tab w:val="left" w:pos="5754"/>
        <w:tab w:val="left" w:pos="6714"/>
        <w:tab w:val="left" w:pos="7672"/>
        <w:tab w:val="left" w:pos="8631"/>
        <w:tab w:val="left" w:pos="9590"/>
      </w:tabs>
      <w:autoSpaceDE w:val="0"/>
      <w:autoSpaceDN w:val="0"/>
      <w:adjustRightInd w:val="0"/>
      <w:spacing w:after="0"/>
      <w:jc w:val="left"/>
    </w:pPr>
    <w:rPr>
      <w:rFonts w:ascii="Courier New" w:eastAsia="Times New Roman" w:hAnsi="Courier New" w:cs="Courier New"/>
      <w:sz w:val="20"/>
      <w:szCs w:val="20"/>
      <w:lang w:val="en-US"/>
    </w:rPr>
  </w:style>
  <w:style w:type="paragraph" w:customStyle="1" w:styleId="footnotetex">
    <w:name w:val="footnote tex"/>
    <w:uiPriority w:val="99"/>
    <w:rsid w:val="00BD5B7F"/>
    <w:pPr>
      <w:widowControl w:val="0"/>
      <w:autoSpaceDE w:val="0"/>
      <w:autoSpaceDN w:val="0"/>
      <w:adjustRightInd w:val="0"/>
      <w:spacing w:after="0"/>
    </w:pPr>
    <w:rPr>
      <w:rFonts w:eastAsia="Times New Roman" w:cs="Times New Roman"/>
      <w:sz w:val="20"/>
      <w:szCs w:val="20"/>
      <w:lang w:val="de-DE"/>
    </w:rPr>
  </w:style>
  <w:style w:type="paragraph" w:styleId="Normalcentr">
    <w:name w:val="Block Text"/>
    <w:basedOn w:val="Normal"/>
    <w:uiPriority w:val="99"/>
    <w:rsid w:val="00BD5B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right="283" w:hanging="709"/>
    </w:pPr>
    <w:rPr>
      <w:rFonts w:eastAsia="Times New Roman"/>
      <w:szCs w:val="23"/>
      <w:bdr w:val="none" w:sz="0" w:space="0" w:color="auto"/>
    </w:rPr>
  </w:style>
  <w:style w:type="character" w:styleId="Lienhypertextesuivivisit">
    <w:name w:val="FollowedHyperlink"/>
    <w:rsid w:val="00BD5B7F"/>
    <w:rPr>
      <w:rFonts w:cs="Times New Roman"/>
      <w:color w:val="800080"/>
      <w:u w:val="single"/>
    </w:rPr>
  </w:style>
  <w:style w:type="paragraph" w:customStyle="1" w:styleId="ColorfulList-Accent11">
    <w:name w:val="Colorful List - Accent 11"/>
    <w:basedOn w:val="Normal"/>
    <w:uiPriority w:val="99"/>
    <w:rsid w:val="00BD5B7F"/>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bdr w:val="none" w:sz="0" w:space="0" w:color="auto"/>
      <w:lang w:val="es-UY"/>
    </w:rPr>
  </w:style>
  <w:style w:type="character" w:styleId="Marquedecommentaire">
    <w:name w:val="annotation reference"/>
    <w:uiPriority w:val="99"/>
    <w:semiHidden/>
    <w:rsid w:val="00BD5B7F"/>
    <w:rPr>
      <w:rFonts w:cs="Times New Roman"/>
      <w:sz w:val="18"/>
    </w:rPr>
  </w:style>
  <w:style w:type="table" w:styleId="Grillecouleur-Accent4">
    <w:name w:val="Colorful Grid Accent 4"/>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
    <w:name w:val="Sfondo medio 2 - Colore 11"/>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1">
    <w:name w:val="Sfondo medio 21"/>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1">
    <w:name w:val="Elenco chiaro - Colore 11"/>
    <w:basedOn w:val="TableauNormal"/>
    <w:uiPriority w:val="61"/>
    <w:rsid w:val="00BD5B7F"/>
    <w:pPr>
      <w:spacing w:after="0"/>
      <w:jc w:val="left"/>
    </w:pPr>
    <w:rPr>
      <w:rFonts w:ascii="Calibri" w:eastAsia="Calibri" w:hAnsi="Calibri" w:cs="Times New Roman"/>
      <w:lang w:val="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fondoacolori1">
    <w:name w:val="Sfondo a colori1"/>
    <w:basedOn w:val="TableauNormal"/>
    <w:uiPriority w:val="71"/>
    <w:rsid w:val="00BD5B7F"/>
    <w:pPr>
      <w:spacing w:after="0"/>
      <w:jc w:val="left"/>
    </w:pPr>
    <w:rPr>
      <w:rFonts w:ascii="Calibri" w:eastAsia="Calibri" w:hAnsi="Calibri" w:cs="Times New Roman"/>
      <w:color w:val="000000"/>
      <w:lang w:val="it-IT"/>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Grillemoyenne3-Accent1">
    <w:name w:val="Medium Grid 3 Accent 1"/>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auNormal"/>
    <w:next w:val="Grillemoyenne2-Accent2"/>
    <w:uiPriority w:val="73"/>
    <w:rsid w:val="00BD5B7F"/>
    <w:pPr>
      <w:spacing w:after="0"/>
      <w:jc w:val="left"/>
    </w:pPr>
    <w:rPr>
      <w:rFonts w:ascii="Calibri" w:eastAsia="Calibri" w:hAnsi="Calibri" w:cs="Times New Roman"/>
      <w:color w:val="000000"/>
      <w:lang w:val="it-IT"/>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NoList1">
    <w:name w:val="No List1"/>
    <w:next w:val="Aucuneliste"/>
    <w:uiPriority w:val="99"/>
    <w:semiHidden/>
    <w:unhideWhenUsed/>
    <w:rsid w:val="00BD5B7F"/>
  </w:style>
  <w:style w:type="paragraph" w:customStyle="1" w:styleId="contenth3">
    <w:name w:val="content_h3"/>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Georgia" w:eastAsia="Times New Roman" w:hAnsi="Georgia"/>
      <w:color w:val="013976"/>
      <w:sz w:val="36"/>
      <w:szCs w:val="36"/>
      <w:bdr w:val="none" w:sz="0" w:space="0" w:color="auto"/>
      <w:lang w:val="en-GB" w:eastAsia="en-GB"/>
    </w:rPr>
  </w:style>
  <w:style w:type="table" w:customStyle="1" w:styleId="TableGrid2">
    <w:name w:val="Table Grid2"/>
    <w:basedOn w:val="TableauNormal"/>
    <w:next w:val="Grilledutableau"/>
    <w:uiPriority w:val="59"/>
    <w:rsid w:val="00BD5B7F"/>
    <w:pPr>
      <w:spacing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1">
    <w:name w:val="Medium Shading 2 - Accent 41"/>
    <w:basedOn w:val="TableauNormal"/>
    <w:next w:val="Tramemoyenne2-Accent4"/>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1">
    <w:name w:val="Sfondo medio 2 - Colore 111"/>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11">
    <w:name w:val="Sfondo medio 211"/>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11">
    <w:name w:val="Elenco chiaro - Colore 111"/>
    <w:basedOn w:val="TableauNormal"/>
    <w:uiPriority w:val="61"/>
    <w:rsid w:val="00BD5B7F"/>
    <w:pPr>
      <w:spacing w:after="0"/>
      <w:jc w:val="left"/>
    </w:pPr>
    <w:rPr>
      <w:rFonts w:ascii="Calibri" w:eastAsia="Calibri" w:hAnsi="Calibri" w:cs="Times New Roman"/>
      <w:lang w:val="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Spacing1">
    <w:name w:val="No Spacing1"/>
    <w:next w:val="Sansinterligne"/>
    <w:uiPriority w:val="1"/>
    <w:qFormat/>
    <w:rsid w:val="00BD5B7F"/>
    <w:pPr>
      <w:spacing w:after="0"/>
      <w:jc w:val="left"/>
    </w:pPr>
    <w:rPr>
      <w:rFonts w:ascii="Calibri" w:eastAsia="Times New Roman" w:hAnsi="Calibri" w:cs="Times New Roman"/>
      <w:lang w:val="it-IT"/>
    </w:rPr>
  </w:style>
  <w:style w:type="table" w:customStyle="1" w:styleId="Sfondoacolori11">
    <w:name w:val="Sfondo a colori11"/>
    <w:basedOn w:val="TableauNormal"/>
    <w:uiPriority w:val="71"/>
    <w:rsid w:val="00BD5B7F"/>
    <w:pPr>
      <w:spacing w:after="0"/>
      <w:jc w:val="left"/>
    </w:pPr>
    <w:rPr>
      <w:rFonts w:ascii="Calibri" w:eastAsia="Calibri" w:hAnsi="Calibri" w:cs="Times New Roman"/>
      <w:color w:val="000000"/>
      <w:lang w:val="it-IT"/>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Grid-Accent12">
    <w:name w:val="Colorful Grid - Accent 12"/>
    <w:basedOn w:val="TableauNormal"/>
    <w:next w:val="Grillecouleur-Accent1"/>
    <w:uiPriority w:val="73"/>
    <w:rsid w:val="00BD5B7F"/>
    <w:pPr>
      <w:spacing w:after="0"/>
      <w:jc w:val="left"/>
    </w:pPr>
    <w:rPr>
      <w:rFonts w:ascii="Calibri" w:eastAsia="Calibri" w:hAnsi="Calibri" w:cs="Times New Roman"/>
      <w:color w:val="000000"/>
      <w:lang w:val="it-IT"/>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fondomedio2-Colore12">
    <w:name w:val="Sfondo medio 2 - Colore 12"/>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vision">
    <w:name w:val="Revision"/>
    <w:hidden/>
    <w:uiPriority w:val="99"/>
    <w:rsid w:val="00BD5B7F"/>
    <w:pPr>
      <w:spacing w:after="0"/>
      <w:jc w:val="left"/>
    </w:pPr>
    <w:rPr>
      <w:rFonts w:ascii="Calibri" w:eastAsia="Calibri" w:hAnsi="Calibri" w:cs="Times New Roman"/>
      <w:lang w:val="en-GB"/>
    </w:rPr>
  </w:style>
  <w:style w:type="paragraph" w:customStyle="1" w:styleId="Caption1">
    <w:name w:val="Caption1"/>
    <w:basedOn w:val="Normal"/>
    <w:next w:val="Normal"/>
    <w:uiPriority w:val="35"/>
    <w:unhideWhenUsed/>
    <w:qFormat/>
    <w:rsid w:val="00BD5B7F"/>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Arial" w:eastAsia="Calibri" w:hAnsi="Arial"/>
      <w:b/>
      <w:bCs/>
      <w:color w:val="4F81BD"/>
      <w:sz w:val="18"/>
      <w:szCs w:val="18"/>
      <w:bdr w:val="none" w:sz="0" w:space="0" w:color="auto"/>
      <w:lang w:val="en-GB"/>
    </w:rPr>
  </w:style>
  <w:style w:type="character" w:styleId="Appeldenotedefin">
    <w:name w:val="endnote reference"/>
    <w:uiPriority w:val="99"/>
    <w:semiHidden/>
    <w:unhideWhenUsed/>
    <w:rsid w:val="00BD5B7F"/>
    <w:rPr>
      <w:vertAlign w:val="superscript"/>
    </w:rPr>
  </w:style>
  <w:style w:type="table" w:customStyle="1" w:styleId="Elencochiaro-Colore12">
    <w:name w:val="Elenco chiaro - Colore 12"/>
    <w:basedOn w:val="TableauNormal"/>
    <w:uiPriority w:val="61"/>
    <w:rsid w:val="00BD5B7F"/>
    <w:pPr>
      <w:spacing w:after="0"/>
      <w:jc w:val="left"/>
    </w:pPr>
    <w:rPr>
      <w:rFonts w:ascii="Calibri" w:eastAsia="Calibri"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TMLTypewriter1">
    <w:name w:val="HTML Typewriter1"/>
    <w:uiPriority w:val="99"/>
    <w:semiHidden/>
    <w:unhideWhenUsed/>
    <w:rsid w:val="00BD5B7F"/>
    <w:rPr>
      <w:rFonts w:ascii="Courier New" w:eastAsia="Calibri" w:hAnsi="Courier New" w:cs="Courier New" w:hint="default"/>
      <w:sz w:val="20"/>
      <w:szCs w:val="20"/>
    </w:rPr>
  </w:style>
  <w:style w:type="table" w:styleId="Tramemoyenne2-Accent4">
    <w:name w:val="Medium Shading 2 Accent 4"/>
    <w:basedOn w:val="TableauNormal"/>
    <w:uiPriority w:val="69"/>
    <w:rsid w:val="00BD5B7F"/>
    <w:pPr>
      <w:spacing w:after="0"/>
      <w:jc w:val="left"/>
    </w:pPr>
    <w:rPr>
      <w:rFonts w:eastAsia="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llecouleur-Accent1">
    <w:name w:val="Colorful Grid Accent 1"/>
    <w:basedOn w:val="TableauNormal"/>
    <w:uiPriority w:val="29"/>
    <w:qFormat/>
    <w:rsid w:val="00BD5B7F"/>
    <w:pPr>
      <w:spacing w:after="0"/>
      <w:jc w:val="left"/>
    </w:pPr>
    <w:rPr>
      <w:rFonts w:eastAsia="Times New Roman"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character" w:styleId="MachinecrireHTML">
    <w:name w:val="HTML Typewriter"/>
    <w:unhideWhenUsed/>
    <w:rsid w:val="00BD5B7F"/>
    <w:rPr>
      <w:rFonts w:ascii="Courier New" w:hAnsi="Courier New" w:cs="Courier New"/>
      <w:sz w:val="20"/>
      <w:szCs w:val="20"/>
    </w:rPr>
  </w:style>
  <w:style w:type="paragraph" w:styleId="Signaturelectronique">
    <w:name w:val="E-mail Signature"/>
    <w:basedOn w:val="Normal"/>
    <w:link w:val="SignaturelectroniqueCar"/>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SignaturelectroniqueCar">
    <w:name w:val="Signature électronique Car"/>
    <w:basedOn w:val="Policepardfaut"/>
    <w:link w:val="Signaturelectronique"/>
    <w:rsid w:val="00BD5B7F"/>
    <w:rPr>
      <w:rFonts w:eastAsia="Times New Roman" w:cs="Times New Roman"/>
      <w:sz w:val="24"/>
      <w:szCs w:val="24"/>
      <w:lang w:val="en-US"/>
    </w:rPr>
  </w:style>
  <w:style w:type="character" w:customStyle="1" w:styleId="yshortcuts">
    <w:name w:val="yshortcuts"/>
    <w:basedOn w:val="Policepardfaut"/>
    <w:rsid w:val="00BD5B7F"/>
  </w:style>
  <w:style w:type="paragraph" w:customStyle="1" w:styleId="CharCharCarCharCarCharCarCharCarChar">
    <w:name w:val="Char Char Car Char Car Char Car Char Car Char"/>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60" w:line="240" w:lineRule="exact"/>
    </w:pPr>
    <w:rPr>
      <w:rFonts w:ascii="Arial" w:eastAsia="Times New Roman" w:hAnsi="Arial" w:cs="Arial"/>
      <w:sz w:val="20"/>
      <w:szCs w:val="20"/>
      <w:bdr w:val="none" w:sz="0" w:space="0" w:color="auto"/>
    </w:rPr>
  </w:style>
  <w:style w:type="character" w:customStyle="1" w:styleId="nav2">
    <w:name w:val="nav2"/>
    <w:basedOn w:val="Policepardfaut"/>
    <w:rsid w:val="00BD5B7F"/>
  </w:style>
  <w:style w:type="character" w:customStyle="1" w:styleId="apple-tab-span">
    <w:name w:val="apple-tab-span"/>
    <w:basedOn w:val="Policepardfaut"/>
    <w:rsid w:val="00BD5B7F"/>
  </w:style>
  <w:style w:type="character" w:customStyle="1" w:styleId="BorisBarov">
    <w:name w:val="Boris.Barov"/>
    <w:basedOn w:val="Policepardfaut"/>
    <w:semiHidden/>
    <w:rsid w:val="00BD5B7F"/>
    <w:rPr>
      <w:rFonts w:ascii="Arial" w:hAnsi="Arial" w:cs="Arial"/>
      <w:color w:val="auto"/>
      <w:sz w:val="20"/>
      <w:szCs w:val="20"/>
    </w:rPr>
  </w:style>
  <w:style w:type="paragraph" w:customStyle="1" w:styleId="msolistparagraph0">
    <w:name w:val="msolistparagraph"/>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pPr>
    <w:rPr>
      <w:rFonts w:ascii="Calibri" w:eastAsia="MS Mincho" w:hAnsi="Calibri"/>
      <w:sz w:val="22"/>
      <w:szCs w:val="22"/>
      <w:bdr w:val="none" w:sz="0" w:space="0" w:color="auto"/>
      <w:lang w:eastAsia="ja-JP"/>
    </w:rPr>
  </w:style>
  <w:style w:type="paragraph" w:styleId="PrformatHTML">
    <w:name w:val="HTML Preformatted"/>
    <w:basedOn w:val="Normal"/>
    <w:link w:val="PrformatHTMLCar"/>
    <w:uiPriority w:val="99"/>
    <w:rsid w:val="00BD5B7F"/>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color w:val="000000"/>
      <w:sz w:val="20"/>
      <w:szCs w:val="20"/>
      <w:bdr w:val="none" w:sz="0" w:space="0" w:color="auto"/>
      <w:lang w:eastAsia="ja-JP"/>
    </w:rPr>
  </w:style>
  <w:style w:type="character" w:customStyle="1" w:styleId="PrformatHTMLCar">
    <w:name w:val="Préformaté HTML Car"/>
    <w:basedOn w:val="Policepardfaut"/>
    <w:link w:val="PrformatHTML"/>
    <w:uiPriority w:val="99"/>
    <w:rsid w:val="00BD5B7F"/>
    <w:rPr>
      <w:rFonts w:ascii="Courier New" w:eastAsia="MS Mincho" w:hAnsi="Courier New" w:cs="Courier New"/>
      <w:color w:val="000000"/>
      <w:sz w:val="20"/>
      <w:szCs w:val="20"/>
      <w:lang w:val="en-US" w:eastAsia="ja-JP"/>
    </w:rPr>
  </w:style>
  <w:style w:type="paragraph" w:customStyle="1" w:styleId="CharCharCarCarCharCharCarCarCharCharCarCarCharCharCarCarCharCharCarCar">
    <w:name w:val="Char Char Car Car Char Char Car Car Char Char Car Car Char Char Car Car Char Char Car Car"/>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sz w:val="20"/>
      <w:szCs w:val="20"/>
      <w:bdr w:val="none" w:sz="0" w:space="0" w:color="auto"/>
    </w:rPr>
  </w:style>
  <w:style w:type="character" w:customStyle="1" w:styleId="grisclair">
    <w:name w:val="gris_clair"/>
    <w:basedOn w:val="Policepardfaut"/>
    <w:rsid w:val="00BD5B7F"/>
  </w:style>
  <w:style w:type="character" w:customStyle="1" w:styleId="bleuemail">
    <w:name w:val="bleu_email"/>
    <w:basedOn w:val="Policepardfaut"/>
    <w:rsid w:val="00BD5B7F"/>
  </w:style>
  <w:style w:type="character" w:customStyle="1" w:styleId="st">
    <w:name w:val="st"/>
    <w:basedOn w:val="Policepardfaut"/>
    <w:rsid w:val="00BD5B7F"/>
  </w:style>
  <w:style w:type="character" w:customStyle="1" w:styleId="normalchar">
    <w:name w:val="normal__char"/>
    <w:basedOn w:val="Policepardfaut"/>
    <w:rsid w:val="00BD5B7F"/>
  </w:style>
  <w:style w:type="character" w:customStyle="1" w:styleId="hyperlinkchar">
    <w:name w:val="hyperlink__char"/>
    <w:basedOn w:val="Policepardfaut"/>
    <w:rsid w:val="00BD5B7F"/>
  </w:style>
  <w:style w:type="character" w:customStyle="1" w:styleId="hps">
    <w:name w:val="hps"/>
    <w:basedOn w:val="Policepardfaut"/>
    <w:rsid w:val="00BD5B7F"/>
  </w:style>
  <w:style w:type="character" w:customStyle="1" w:styleId="atn">
    <w:name w:val="atn"/>
    <w:basedOn w:val="Policepardfaut"/>
    <w:rsid w:val="00BD5B7F"/>
  </w:style>
  <w:style w:type="paragraph" w:customStyle="1" w:styleId="xmsonormal">
    <w:name w:val="xmsonormal"/>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val="en-GB" w:eastAsia="en-GB"/>
    </w:rPr>
  </w:style>
  <w:style w:type="character" w:customStyle="1" w:styleId="egovstyle-style-normal">
    <w:name w:val="egovstyle-style-normal"/>
    <w:basedOn w:val="Policepardfaut"/>
    <w:uiPriority w:val="99"/>
    <w:rsid w:val="00BD5B7F"/>
    <w:rPr>
      <w:rFonts w:ascii="Times New Roman" w:hAnsi="Times New Roman" w:cs="Times New Roman" w:hint="default"/>
    </w:rPr>
  </w:style>
  <w:style w:type="character" w:customStyle="1" w:styleId="st1">
    <w:name w:val="st1"/>
    <w:basedOn w:val="Policepardfaut"/>
    <w:rsid w:val="00BD5B7F"/>
  </w:style>
  <w:style w:type="character" w:customStyle="1" w:styleId="text5">
    <w:name w:val="text5"/>
    <w:basedOn w:val="Policepardfaut"/>
    <w:rsid w:val="00BD5B7F"/>
    <w:rPr>
      <w:sz w:val="24"/>
      <w:szCs w:val="24"/>
      <w:bdr w:val="none" w:sz="0" w:space="0" w:color="auto" w:frame="1"/>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E-mail Signature" w:uiPriority="0"/>
    <w:lsdException w:name="HTML Typewriter"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4"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73"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9"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64"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5B7F"/>
    <w:pPr>
      <w:pBdr>
        <w:top w:val="nil"/>
        <w:left w:val="nil"/>
        <w:bottom w:val="nil"/>
        <w:right w:val="nil"/>
        <w:between w:val="nil"/>
        <w:bar w:val="nil"/>
      </w:pBdr>
      <w:spacing w:after="0"/>
      <w:jc w:val="left"/>
    </w:pPr>
    <w:rPr>
      <w:rFonts w:eastAsia="Arial Unicode MS" w:cs="Times New Roman"/>
      <w:sz w:val="24"/>
      <w:szCs w:val="24"/>
      <w:bdr w:val="nil"/>
      <w:lang w:val="en-US"/>
    </w:rPr>
  </w:style>
  <w:style w:type="paragraph" w:styleId="Titre1">
    <w:name w:val="heading 1"/>
    <w:basedOn w:val="Normal"/>
    <w:next w:val="Normal"/>
    <w:link w:val="Titre1Car"/>
    <w:qFormat/>
    <w:rsid w:val="00BD5B7F"/>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0"/>
    </w:pPr>
    <w:rPr>
      <w:rFonts w:eastAsia="Times New Roman"/>
      <w:b/>
      <w:szCs w:val="20"/>
      <w:bdr w:val="none" w:sz="0" w:space="0" w:color="auto"/>
      <w:lang w:val="en-GB"/>
    </w:rPr>
  </w:style>
  <w:style w:type="paragraph" w:styleId="Titre2">
    <w:name w:val="heading 2"/>
    <w:basedOn w:val="Normal"/>
    <w:next w:val="Normal"/>
    <w:link w:val="Titre2Car"/>
    <w:qFormat/>
    <w:rsid w:val="00BD5B7F"/>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1"/>
    </w:pPr>
    <w:rPr>
      <w:rFonts w:eastAsia="Times New Roman"/>
      <w:b/>
      <w:sz w:val="28"/>
      <w:szCs w:val="20"/>
      <w:bdr w:val="none" w:sz="0" w:space="0" w:color="auto"/>
      <w:lang w:val="en-GB"/>
    </w:rPr>
  </w:style>
  <w:style w:type="paragraph" w:styleId="Titre3">
    <w:name w:val="heading 3"/>
    <w:basedOn w:val="Normal"/>
    <w:next w:val="Normal"/>
    <w:link w:val="Titre3Car"/>
    <w:unhideWhenUsed/>
    <w:qFormat/>
    <w:rsid w:val="00BD5B7F"/>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nhideWhenUsed/>
    <w:qFormat/>
    <w:rsid w:val="00BD5B7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outlineLvl w:val="3"/>
    </w:pPr>
    <w:rPr>
      <w:rFonts w:asciiTheme="majorHAnsi" w:eastAsiaTheme="majorEastAsia" w:hAnsiTheme="majorHAnsi" w:cstheme="majorBidi"/>
      <w:b/>
      <w:bCs/>
      <w:i/>
      <w:iCs/>
      <w:snapToGrid w:val="0"/>
      <w:color w:val="4F81BD" w:themeColor="accent1"/>
      <w:sz w:val="22"/>
      <w:szCs w:val="22"/>
      <w:bdr w:val="none" w:sz="0" w:space="0" w:color="auto"/>
      <w:lang w:val="fr-FR" w:eastAsia="fr-FR"/>
    </w:rPr>
  </w:style>
  <w:style w:type="paragraph" w:styleId="Titre5">
    <w:name w:val="heading 5"/>
    <w:basedOn w:val="Normal"/>
    <w:next w:val="Normal"/>
    <w:link w:val="Titre5Car"/>
    <w:unhideWhenUsed/>
    <w:qFormat/>
    <w:rsid w:val="00BD5B7F"/>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9"/>
    <w:unhideWhenUsed/>
    <w:qFormat/>
    <w:rsid w:val="00BD5B7F"/>
    <w:pPr>
      <w:keepNext/>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outlineLvl w:val="5"/>
    </w:pPr>
    <w:rPr>
      <w:rFonts w:eastAsia="Times New Roman"/>
      <w:i/>
      <w:iCs/>
      <w:sz w:val="23"/>
      <w:szCs w:val="23"/>
      <w:bdr w:val="none" w:sz="0" w:space="0" w:color="auto"/>
      <w:lang w:val="en-GB"/>
    </w:rPr>
  </w:style>
  <w:style w:type="paragraph" w:styleId="Titre7">
    <w:name w:val="heading 7"/>
    <w:basedOn w:val="Normal"/>
    <w:next w:val="Normal"/>
    <w:link w:val="Titre7Car"/>
    <w:unhideWhenUsed/>
    <w:qFormat/>
    <w:rsid w:val="00BD5B7F"/>
    <w:pPr>
      <w:keepNext/>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6"/>
    </w:pPr>
    <w:rPr>
      <w:rFonts w:eastAsia="Times New Roman"/>
      <w:b/>
      <w:bCs/>
      <w:sz w:val="26"/>
      <w:szCs w:val="26"/>
      <w:bdr w:val="none" w:sz="0" w:space="0" w:color="auto"/>
      <w:lang w:val="en-GB"/>
    </w:rPr>
  </w:style>
  <w:style w:type="paragraph" w:styleId="Titre8">
    <w:name w:val="heading 8"/>
    <w:basedOn w:val="Normal"/>
    <w:next w:val="Normal"/>
    <w:link w:val="Titre8Car"/>
    <w:unhideWhenUsed/>
    <w:qFormat/>
    <w:rsid w:val="00BD5B7F"/>
    <w:pPr>
      <w:keepNext/>
      <w:framePr w:hSpace="180" w:wrap="notBeside" w:hAnchor="margin" w:y="-401"/>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ind w:right="-108"/>
      <w:outlineLvl w:val="7"/>
    </w:pPr>
    <w:rPr>
      <w:rFonts w:ascii="Arial" w:eastAsia="Times New Roman" w:hAnsi="Arial" w:cs="Arial"/>
      <w:bdr w:val="none" w:sz="0" w:space="0" w:color="auto"/>
      <w:lang w:val="en-GB"/>
    </w:rPr>
  </w:style>
  <w:style w:type="paragraph" w:styleId="Titre9">
    <w:name w:val="heading 9"/>
    <w:basedOn w:val="Normal"/>
    <w:next w:val="Normal"/>
    <w:link w:val="Titre9Car"/>
    <w:unhideWhenUsed/>
    <w:qFormat/>
    <w:rsid w:val="00BD5B7F"/>
    <w:pPr>
      <w:keepNext/>
      <w:framePr w:hSpace="180" w:wrap="notBeside" w:hAnchor="margin" w:y="-401"/>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right" w:pos="5426"/>
      </w:tabs>
      <w:autoSpaceDE w:val="0"/>
      <w:autoSpaceDN w:val="0"/>
      <w:adjustRightInd w:val="0"/>
      <w:spacing w:line="300" w:lineRule="atLeast"/>
      <w:outlineLvl w:val="8"/>
    </w:pPr>
    <w:rPr>
      <w:rFonts w:ascii="Arial" w:eastAsia="Times New Roman" w:hAnsi="Arial" w:cs="Arial"/>
      <w:b/>
      <w:bCs/>
      <w:sz w:val="32"/>
      <w:szCs w:val="36"/>
      <w:bdr w:val="none" w:sz="0" w:space="0" w:color="auto"/>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D5B7F"/>
    <w:rPr>
      <w:rFonts w:eastAsia="Times New Roman" w:cs="Times New Roman"/>
      <w:b/>
      <w:sz w:val="24"/>
      <w:szCs w:val="20"/>
      <w:lang w:val="en-GB"/>
    </w:rPr>
  </w:style>
  <w:style w:type="character" w:customStyle="1" w:styleId="Titre2Car">
    <w:name w:val="Titre 2 Car"/>
    <w:basedOn w:val="Policepardfaut"/>
    <w:link w:val="Titre2"/>
    <w:rsid w:val="00BD5B7F"/>
    <w:rPr>
      <w:rFonts w:eastAsia="Times New Roman" w:cs="Times New Roman"/>
      <w:b/>
      <w:sz w:val="28"/>
      <w:szCs w:val="20"/>
      <w:lang w:val="en-GB"/>
    </w:rPr>
  </w:style>
  <w:style w:type="character" w:customStyle="1" w:styleId="Titre3Car">
    <w:name w:val="Titre 3 Car"/>
    <w:basedOn w:val="Policepardfaut"/>
    <w:link w:val="Titre3"/>
    <w:rsid w:val="00BD5B7F"/>
    <w:rPr>
      <w:rFonts w:asciiTheme="majorHAnsi" w:eastAsiaTheme="majorEastAsia" w:hAnsiTheme="majorHAnsi" w:cstheme="majorBidi"/>
      <w:b/>
      <w:bCs/>
      <w:color w:val="4F81BD" w:themeColor="accent1"/>
      <w:sz w:val="24"/>
      <w:szCs w:val="24"/>
      <w:bdr w:val="nil"/>
      <w:lang w:val="en-US"/>
    </w:rPr>
  </w:style>
  <w:style w:type="character" w:customStyle="1" w:styleId="Titre4Car">
    <w:name w:val="Titre 4 Car"/>
    <w:basedOn w:val="Policepardfaut"/>
    <w:link w:val="Titre4"/>
    <w:rsid w:val="00BD5B7F"/>
    <w:rPr>
      <w:rFonts w:asciiTheme="majorHAnsi" w:eastAsiaTheme="majorEastAsia" w:hAnsiTheme="majorHAnsi" w:cstheme="majorBidi"/>
      <w:b/>
      <w:bCs/>
      <w:i/>
      <w:iCs/>
      <w:snapToGrid w:val="0"/>
      <w:color w:val="4F81BD" w:themeColor="accent1"/>
      <w:lang w:eastAsia="fr-FR"/>
    </w:rPr>
  </w:style>
  <w:style w:type="character" w:customStyle="1" w:styleId="Titre5Car">
    <w:name w:val="Titre 5 Car"/>
    <w:basedOn w:val="Policepardfaut"/>
    <w:link w:val="Titre5"/>
    <w:rsid w:val="00BD5B7F"/>
    <w:rPr>
      <w:rFonts w:asciiTheme="majorHAnsi" w:eastAsiaTheme="majorEastAsia" w:hAnsiTheme="majorHAnsi" w:cstheme="majorBidi"/>
      <w:color w:val="243F60" w:themeColor="accent1" w:themeShade="7F"/>
      <w:sz w:val="24"/>
      <w:szCs w:val="24"/>
      <w:bdr w:val="nil"/>
      <w:lang w:val="en-US"/>
    </w:rPr>
  </w:style>
  <w:style w:type="character" w:customStyle="1" w:styleId="Titre6Car">
    <w:name w:val="Titre 6 Car"/>
    <w:basedOn w:val="Policepardfaut"/>
    <w:link w:val="Titre6"/>
    <w:uiPriority w:val="99"/>
    <w:rsid w:val="00BD5B7F"/>
    <w:rPr>
      <w:rFonts w:eastAsia="Times New Roman" w:cs="Times New Roman"/>
      <w:i/>
      <w:iCs/>
      <w:sz w:val="23"/>
      <w:szCs w:val="23"/>
      <w:lang w:val="en-GB"/>
    </w:rPr>
  </w:style>
  <w:style w:type="character" w:customStyle="1" w:styleId="Titre7Car">
    <w:name w:val="Titre 7 Car"/>
    <w:basedOn w:val="Policepardfaut"/>
    <w:link w:val="Titre7"/>
    <w:rsid w:val="00BD5B7F"/>
    <w:rPr>
      <w:rFonts w:eastAsia="Times New Roman" w:cs="Times New Roman"/>
      <w:b/>
      <w:bCs/>
      <w:sz w:val="26"/>
      <w:szCs w:val="26"/>
      <w:lang w:val="en-GB"/>
    </w:rPr>
  </w:style>
  <w:style w:type="character" w:customStyle="1" w:styleId="Titre8Car">
    <w:name w:val="Titre 8 Car"/>
    <w:basedOn w:val="Policepardfaut"/>
    <w:link w:val="Titre8"/>
    <w:rsid w:val="00BD5B7F"/>
    <w:rPr>
      <w:rFonts w:ascii="Arial" w:eastAsia="Times New Roman" w:hAnsi="Arial" w:cs="Arial"/>
      <w:sz w:val="24"/>
      <w:szCs w:val="24"/>
      <w:lang w:val="en-GB"/>
    </w:rPr>
  </w:style>
  <w:style w:type="character" w:customStyle="1" w:styleId="Titre9Car">
    <w:name w:val="Titre 9 Car"/>
    <w:basedOn w:val="Policepardfaut"/>
    <w:link w:val="Titre9"/>
    <w:rsid w:val="00BD5B7F"/>
    <w:rPr>
      <w:rFonts w:ascii="Arial" w:eastAsia="Times New Roman" w:hAnsi="Arial" w:cs="Arial"/>
      <w:b/>
      <w:bCs/>
      <w:sz w:val="32"/>
      <w:szCs w:val="36"/>
      <w:lang w:val="en-GB"/>
    </w:rPr>
  </w:style>
  <w:style w:type="character" w:styleId="Lienhypertexte">
    <w:name w:val="Hyperlink"/>
    <w:rsid w:val="00BD5B7F"/>
    <w:rPr>
      <w:u w:val="single"/>
    </w:rPr>
  </w:style>
  <w:style w:type="table" w:customStyle="1" w:styleId="TableNormal1">
    <w:name w:val="Table Normal1"/>
    <w:rsid w:val="00BD5B7F"/>
    <w:pPr>
      <w:pBdr>
        <w:top w:val="nil"/>
        <w:left w:val="nil"/>
        <w:bottom w:val="nil"/>
        <w:right w:val="nil"/>
        <w:between w:val="nil"/>
        <w:bar w:val="nil"/>
      </w:pBdr>
      <w:spacing w:after="0"/>
      <w:jc w:val="left"/>
    </w:pPr>
    <w:rPr>
      <w:rFonts w:eastAsia="Arial Unicode MS" w:cs="Times New Roman"/>
      <w:sz w:val="20"/>
      <w:szCs w:val="20"/>
      <w:bdr w:val="nil"/>
      <w:lang w:eastAsia="fr-FR"/>
    </w:rPr>
    <w:tblPr>
      <w:tblInd w:w="0" w:type="dxa"/>
      <w:tblCellMar>
        <w:top w:w="0" w:type="dxa"/>
        <w:left w:w="0" w:type="dxa"/>
        <w:bottom w:w="0" w:type="dxa"/>
        <w:right w:w="0" w:type="dxa"/>
      </w:tblCellMar>
    </w:tblPr>
  </w:style>
  <w:style w:type="paragraph" w:styleId="En-tte">
    <w:name w:val="header"/>
    <w:link w:val="En-tteCar"/>
    <w:rsid w:val="00BD5B7F"/>
    <w:pPr>
      <w:pBdr>
        <w:top w:val="nil"/>
        <w:left w:val="nil"/>
        <w:bottom w:val="nil"/>
        <w:right w:val="nil"/>
        <w:between w:val="nil"/>
        <w:bar w:val="nil"/>
      </w:pBdr>
      <w:tabs>
        <w:tab w:val="right" w:pos="9020"/>
      </w:tabs>
      <w:spacing w:after="0"/>
      <w:jc w:val="left"/>
    </w:pPr>
    <w:rPr>
      <w:rFonts w:ascii="Helvetica" w:eastAsia="Helvetica" w:hAnsi="Helvetica" w:cs="Helvetica"/>
      <w:color w:val="000000"/>
      <w:sz w:val="24"/>
      <w:szCs w:val="24"/>
      <w:bdr w:val="nil"/>
      <w:lang w:eastAsia="fr-FR"/>
    </w:rPr>
  </w:style>
  <w:style w:type="character" w:customStyle="1" w:styleId="En-tteCar">
    <w:name w:val="En-tête Car"/>
    <w:basedOn w:val="Policepardfaut"/>
    <w:link w:val="En-tte"/>
    <w:rsid w:val="00BD5B7F"/>
    <w:rPr>
      <w:rFonts w:ascii="Helvetica" w:eastAsia="Helvetica" w:hAnsi="Helvetica" w:cs="Helvetica"/>
      <w:color w:val="000000"/>
      <w:sz w:val="24"/>
      <w:szCs w:val="24"/>
      <w:bdr w:val="nil"/>
      <w:lang w:eastAsia="fr-FR"/>
    </w:rPr>
  </w:style>
  <w:style w:type="paragraph" w:styleId="Pieddepage">
    <w:name w:val="footer"/>
    <w:link w:val="PieddepageCar"/>
    <w:rsid w:val="00BD5B7F"/>
    <w:pPr>
      <w:widowControl w:val="0"/>
      <w:pBdr>
        <w:top w:val="nil"/>
        <w:left w:val="nil"/>
        <w:bottom w:val="nil"/>
        <w:right w:val="nil"/>
        <w:between w:val="nil"/>
        <w:bar w:val="nil"/>
      </w:pBdr>
      <w:tabs>
        <w:tab w:val="center" w:pos="4152"/>
        <w:tab w:val="right" w:pos="8305"/>
        <w:tab w:val="left" w:pos="8640"/>
      </w:tabs>
      <w:suppressAutoHyphens/>
      <w:spacing w:after="0"/>
    </w:pPr>
    <w:rPr>
      <w:rFonts w:eastAsia="Times New Roman" w:cs="Times New Roman"/>
      <w:color w:val="000000"/>
      <w:sz w:val="24"/>
      <w:szCs w:val="24"/>
      <w:u w:color="000000"/>
      <w:bdr w:val="nil"/>
      <w:lang w:val="en-US" w:eastAsia="fr-FR"/>
    </w:rPr>
  </w:style>
  <w:style w:type="character" w:customStyle="1" w:styleId="PieddepageCar">
    <w:name w:val="Pied de page Car"/>
    <w:basedOn w:val="Policepardfaut"/>
    <w:link w:val="Pieddepage"/>
    <w:rsid w:val="00BD5B7F"/>
    <w:rPr>
      <w:rFonts w:eastAsia="Times New Roman" w:cs="Times New Roman"/>
      <w:color w:val="000000"/>
      <w:sz w:val="24"/>
      <w:szCs w:val="24"/>
      <w:u w:color="000000"/>
      <w:bdr w:val="nil"/>
      <w:lang w:val="en-US" w:eastAsia="fr-FR"/>
    </w:rPr>
  </w:style>
  <w:style w:type="paragraph" w:styleId="Notedebasdepage">
    <w:name w:val="footnote text"/>
    <w:aliases w:val="ADB,ADB1,ADB2,Boston 10,FOOTNOTES,FOOTNOTES1,FOOTNOTES2,Font: Geneva 9,Fotnotstext Char,Geneva 9,f,fn,fn1,fn2,fn3,footnote text1,footnote text2,footnote text3,ft,ft Char,single space,single space1,single space2,single space3"/>
    <w:link w:val="NotedebasdepageCar"/>
    <w:rsid w:val="00BD5B7F"/>
    <w:pPr>
      <w:widowControl w:val="0"/>
      <w:pBdr>
        <w:top w:val="nil"/>
        <w:left w:val="nil"/>
        <w:bottom w:val="nil"/>
        <w:right w:val="nil"/>
        <w:between w:val="nil"/>
        <w:bar w:val="nil"/>
      </w:pBdr>
      <w:suppressAutoHyphens/>
      <w:spacing w:after="0"/>
    </w:pPr>
    <w:rPr>
      <w:rFonts w:ascii="Courier New" w:eastAsia="Courier New" w:hAnsi="Courier New" w:cs="Courier New"/>
      <w:color w:val="000000"/>
      <w:sz w:val="20"/>
      <w:szCs w:val="20"/>
      <w:u w:color="000000"/>
      <w:bdr w:val="nil"/>
      <w:lang w:val="en-US" w:eastAsia="fr-FR"/>
    </w:rPr>
  </w:style>
  <w:style w:type="character" w:customStyle="1" w:styleId="NotedebasdepageCar">
    <w:name w:val="Note de bas de page Car"/>
    <w:aliases w:val="ADB Car,ADB1 Car,ADB2 Car,Boston 10 Car,FOOTNOTES Car,FOOTNOTES1 Car,FOOTNOTES2 Car,Font: Geneva 9 Car,Fotnotstext Char Car,Geneva 9 Car,f Car,fn Car,fn1 Car,fn2 Car,fn3 Car,footnote text1 Car,footnote text2 Car,ft Car"/>
    <w:basedOn w:val="Policepardfaut"/>
    <w:link w:val="Notedebasdepage"/>
    <w:rsid w:val="00BD5B7F"/>
    <w:rPr>
      <w:rFonts w:ascii="Courier New" w:eastAsia="Courier New" w:hAnsi="Courier New" w:cs="Courier New"/>
      <w:color w:val="000000"/>
      <w:sz w:val="20"/>
      <w:szCs w:val="20"/>
      <w:u w:color="000000"/>
      <w:bdr w:val="nil"/>
      <w:lang w:val="en-US" w:eastAsia="fr-FR"/>
    </w:rPr>
  </w:style>
  <w:style w:type="paragraph" w:customStyle="1" w:styleId="Corps">
    <w:name w:val="Corps"/>
    <w:rsid w:val="00BD5B7F"/>
    <w:pPr>
      <w:pBdr>
        <w:top w:val="nil"/>
        <w:left w:val="nil"/>
        <w:bottom w:val="nil"/>
        <w:right w:val="nil"/>
        <w:between w:val="nil"/>
        <w:bar w:val="nil"/>
      </w:pBdr>
      <w:spacing w:after="0"/>
      <w:jc w:val="left"/>
    </w:pPr>
    <w:rPr>
      <w:rFonts w:eastAsia="Times New Roman" w:cs="Times New Roman"/>
      <w:color w:val="000000"/>
      <w:u w:color="000000"/>
      <w:bdr w:val="nil"/>
      <w:lang w:eastAsia="fr-FR"/>
    </w:rPr>
  </w:style>
  <w:style w:type="paragraph" w:customStyle="1" w:styleId="traduction">
    <w:name w:val="traduction"/>
    <w:rsid w:val="00BD5B7F"/>
    <w:pPr>
      <w:pBdr>
        <w:top w:val="nil"/>
        <w:left w:val="nil"/>
        <w:bottom w:val="nil"/>
        <w:right w:val="nil"/>
        <w:between w:val="nil"/>
        <w:bar w:val="nil"/>
      </w:pBdr>
      <w:spacing w:after="0"/>
      <w:jc w:val="left"/>
    </w:pPr>
    <w:rPr>
      <w:rFonts w:eastAsia="Arial Unicode MS" w:hAnsi="Arial Unicode MS" w:cs="Arial Unicode MS"/>
      <w:color w:val="000000"/>
      <w:sz w:val="24"/>
      <w:szCs w:val="24"/>
      <w:u w:color="000000"/>
      <w:bdr w:val="nil"/>
      <w:lang w:eastAsia="fr-FR"/>
    </w:rPr>
  </w:style>
  <w:style w:type="numbering" w:customStyle="1" w:styleId="List0">
    <w:name w:val="List 0"/>
    <w:basedOn w:val="Style3import"/>
    <w:rsid w:val="00BD5B7F"/>
    <w:pPr>
      <w:numPr>
        <w:numId w:val="27"/>
      </w:numPr>
    </w:pPr>
  </w:style>
  <w:style w:type="numbering" w:customStyle="1" w:styleId="Style3import">
    <w:name w:val="Style 3 importé"/>
    <w:rsid w:val="00BD5B7F"/>
  </w:style>
  <w:style w:type="numbering" w:customStyle="1" w:styleId="List1">
    <w:name w:val="List 1"/>
    <w:basedOn w:val="Style4import"/>
    <w:rsid w:val="00BD5B7F"/>
    <w:pPr>
      <w:numPr>
        <w:numId w:val="1"/>
      </w:numPr>
    </w:pPr>
  </w:style>
  <w:style w:type="numbering" w:customStyle="1" w:styleId="Style4import">
    <w:name w:val="Style 4 importé"/>
    <w:rsid w:val="00BD5B7F"/>
  </w:style>
  <w:style w:type="numbering" w:customStyle="1" w:styleId="Liste21">
    <w:name w:val="Liste 21"/>
    <w:basedOn w:val="Style5import"/>
    <w:rsid w:val="00BD5B7F"/>
    <w:pPr>
      <w:numPr>
        <w:numId w:val="2"/>
      </w:numPr>
    </w:pPr>
  </w:style>
  <w:style w:type="numbering" w:customStyle="1" w:styleId="Style5import">
    <w:name w:val="Style 5 importé"/>
    <w:rsid w:val="00BD5B7F"/>
  </w:style>
  <w:style w:type="paragraph" w:styleId="Retraitcorpsdetexte2">
    <w:name w:val="Body Text Indent 2"/>
    <w:link w:val="Retraitcorpsdetexte2Car"/>
    <w:rsid w:val="00BD5B7F"/>
    <w:pPr>
      <w:widowControl w:val="0"/>
      <w:pBdr>
        <w:top w:val="nil"/>
        <w:left w:val="nil"/>
        <w:bottom w:val="nil"/>
        <w:right w:val="nil"/>
        <w:between w:val="nil"/>
        <w:bar w:val="nil"/>
      </w:pBdr>
      <w:tabs>
        <w:tab w:val="left" w:pos="1440"/>
      </w:tabs>
      <w:spacing w:after="0"/>
      <w:ind w:left="426" w:hanging="426"/>
    </w:pPr>
    <w:rPr>
      <w:rFonts w:eastAsia="Times New Roman" w:cs="Times New Roman"/>
      <w:color w:val="000000"/>
      <w:sz w:val="24"/>
      <w:szCs w:val="24"/>
      <w:u w:color="000000"/>
      <w:bdr w:val="nil"/>
      <w:lang w:eastAsia="fr-FR"/>
    </w:rPr>
  </w:style>
  <w:style w:type="character" w:customStyle="1" w:styleId="Retraitcorpsdetexte2Car">
    <w:name w:val="Retrait corps de texte 2 Car"/>
    <w:basedOn w:val="Policepardfaut"/>
    <w:link w:val="Retraitcorpsdetexte2"/>
    <w:rsid w:val="00BD5B7F"/>
    <w:rPr>
      <w:rFonts w:eastAsia="Times New Roman" w:cs="Times New Roman"/>
      <w:color w:val="000000"/>
      <w:sz w:val="24"/>
      <w:szCs w:val="24"/>
      <w:u w:color="000000"/>
      <w:bdr w:val="nil"/>
      <w:lang w:eastAsia="fr-FR"/>
    </w:rPr>
  </w:style>
  <w:style w:type="paragraph" w:styleId="Textedebulles">
    <w:name w:val="Balloon Text"/>
    <w:basedOn w:val="Normal"/>
    <w:link w:val="TextedebullesCar"/>
    <w:semiHidden/>
    <w:unhideWhenUsed/>
    <w:rsid w:val="00BD5B7F"/>
    <w:rPr>
      <w:rFonts w:ascii="Tahoma" w:hAnsi="Tahoma" w:cs="Tahoma"/>
      <w:sz w:val="16"/>
      <w:szCs w:val="16"/>
    </w:rPr>
  </w:style>
  <w:style w:type="character" w:customStyle="1" w:styleId="TextedebullesCar">
    <w:name w:val="Texte de bulles Car"/>
    <w:basedOn w:val="Policepardfaut"/>
    <w:link w:val="Textedebulles"/>
    <w:semiHidden/>
    <w:rsid w:val="00BD5B7F"/>
    <w:rPr>
      <w:rFonts w:ascii="Tahoma" w:eastAsia="Arial Unicode MS" w:hAnsi="Tahoma" w:cs="Tahoma"/>
      <w:sz w:val="16"/>
      <w:szCs w:val="16"/>
      <w:bdr w:val="nil"/>
      <w:lang w:val="en-US"/>
    </w:rPr>
  </w:style>
  <w:style w:type="paragraph" w:styleId="Paragraphedeliste">
    <w:name w:val="List Paragraph"/>
    <w:basedOn w:val="Normal"/>
    <w:link w:val="ParagraphedelisteCar"/>
    <w:uiPriority w:val="34"/>
    <w:qFormat/>
    <w:rsid w:val="00BD5B7F"/>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table" w:styleId="Grilledutableau">
    <w:name w:val="Table Grid"/>
    <w:basedOn w:val="TableauNormal"/>
    <w:uiPriority w:val="59"/>
    <w:rsid w:val="00BD5B7F"/>
    <w:pPr>
      <w:spacing w:after="0"/>
      <w:jc w:val="left"/>
    </w:pPr>
    <w:rPr>
      <w:rFonts w:asciiTheme="minorHAnsi" w:hAnsi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eastAsia="Times New Roman"/>
      <w:szCs w:val="20"/>
      <w:bdr w:val="none" w:sz="0" w:space="0" w:color="auto"/>
      <w:lang w:val="en-GB" w:eastAsia="en-GB"/>
    </w:rPr>
  </w:style>
  <w:style w:type="paragraph" w:styleId="NormalWeb">
    <w:name w:val="Normal (Web)"/>
    <w:basedOn w:val="Normal"/>
    <w:uiPriority w:val="99"/>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paragraph" w:styleId="Corpsdetexte">
    <w:name w:val="Body Text"/>
    <w:basedOn w:val="Normal"/>
    <w:link w:val="CorpsdetexteCar"/>
    <w:unhideWhenUsed/>
    <w:rsid w:val="00BD5B7F"/>
    <w:pPr>
      <w:spacing w:after="120"/>
    </w:pPr>
  </w:style>
  <w:style w:type="character" w:customStyle="1" w:styleId="CorpsdetexteCar">
    <w:name w:val="Corps de texte Car"/>
    <w:basedOn w:val="Policepardfaut"/>
    <w:link w:val="Corpsdetexte"/>
    <w:rsid w:val="00BD5B7F"/>
    <w:rPr>
      <w:rFonts w:eastAsia="Arial Unicode MS" w:cs="Times New Roman"/>
      <w:sz w:val="24"/>
      <w:szCs w:val="24"/>
      <w:bdr w:val="nil"/>
      <w:lang w:val="en-US"/>
    </w:rPr>
  </w:style>
  <w:style w:type="character" w:customStyle="1" w:styleId="libtrombi11">
    <w:name w:val="libtrombi11"/>
    <w:basedOn w:val="Policepardfaut"/>
    <w:rsid w:val="00BD5B7F"/>
  </w:style>
  <w:style w:type="paragraph" w:styleId="Retraitcorpsdetexte3">
    <w:name w:val="Body Text Indent 3"/>
    <w:basedOn w:val="Normal"/>
    <w:link w:val="Retraitcorpsdetexte3Car"/>
    <w:unhideWhenUsed/>
    <w:rsid w:val="00BD5B7F"/>
    <w:pPr>
      <w:spacing w:after="120"/>
      <w:ind w:left="283"/>
    </w:pPr>
    <w:rPr>
      <w:sz w:val="16"/>
      <w:szCs w:val="16"/>
    </w:rPr>
  </w:style>
  <w:style w:type="character" w:customStyle="1" w:styleId="Retraitcorpsdetexte3Car">
    <w:name w:val="Retrait corps de texte 3 Car"/>
    <w:basedOn w:val="Policepardfaut"/>
    <w:link w:val="Retraitcorpsdetexte3"/>
    <w:rsid w:val="00BD5B7F"/>
    <w:rPr>
      <w:rFonts w:eastAsia="Arial Unicode MS" w:cs="Times New Roman"/>
      <w:sz w:val="16"/>
      <w:szCs w:val="16"/>
      <w:bdr w:val="nil"/>
      <w:lang w:val="en-US"/>
    </w:rPr>
  </w:style>
  <w:style w:type="character" w:styleId="Appelnotedebasdep">
    <w:name w:val="footnote reference"/>
    <w:aliases w:val=" BVI fnr,-E Fußnotenzeichen,16 Point,BVI fnr,E FNZ,EN Footnote Reference,EN Footnote text,Exposant 3 Point,Footnote,Footnote reference number,Footnote symbol,Ref,SUPERS,Times 10 Point,de nota al pie,ftref,note TESI,number,stylish"/>
    <w:basedOn w:val="Policepardfaut"/>
    <w:rsid w:val="00BD5B7F"/>
    <w:rPr>
      <w:vertAlign w:val="superscript"/>
    </w:rPr>
  </w:style>
  <w:style w:type="paragraph" w:customStyle="1" w:styleId="Retrait">
    <w:name w:val="Retrait"/>
    <w:rsid w:val="00BD5B7F"/>
    <w:pPr>
      <w:widowControl w:val="0"/>
      <w:tabs>
        <w:tab w:val="left" w:pos="-720"/>
      </w:tabs>
      <w:suppressAutoHyphens/>
      <w:spacing w:after="0"/>
    </w:pPr>
    <w:rPr>
      <w:rFonts w:ascii="Palatino" w:eastAsia="Times New Roman" w:hAnsi="Palatino" w:cs="Times New Roman"/>
      <w:snapToGrid w:val="0"/>
      <w:spacing w:val="-2"/>
      <w:szCs w:val="20"/>
    </w:rPr>
  </w:style>
  <w:style w:type="paragraph" w:customStyle="1" w:styleId="Paragraphedeliste1">
    <w:name w:val="Paragraphe de liste1"/>
    <w:rsid w:val="00BD5B7F"/>
    <w:pPr>
      <w:suppressAutoHyphens/>
      <w:spacing w:after="0"/>
      <w:ind w:left="720"/>
      <w:jc w:val="left"/>
    </w:pPr>
    <w:rPr>
      <w:rFonts w:eastAsia="Arial Unicode MS" w:cs="Arial Unicode MS"/>
      <w:color w:val="000000"/>
      <w:kern w:val="2"/>
      <w:sz w:val="24"/>
      <w:szCs w:val="24"/>
      <w:lang w:eastAsia="fr-FR" w:bidi="fr-FR"/>
    </w:rPr>
  </w:style>
  <w:style w:type="character" w:customStyle="1" w:styleId="date1">
    <w:name w:val="date1"/>
    <w:basedOn w:val="Policepardfaut"/>
    <w:rsid w:val="00BD5B7F"/>
  </w:style>
  <w:style w:type="character" w:styleId="Numrodepage">
    <w:name w:val="page number"/>
    <w:basedOn w:val="Policepardfaut"/>
    <w:rsid w:val="00BD5B7F"/>
  </w:style>
  <w:style w:type="paragraph" w:customStyle="1" w:styleId="Level2Number">
    <w:name w:val="Level 2 Number"/>
    <w:basedOn w:val="Corpsdetexte"/>
    <w:uiPriority w:val="29"/>
    <w:rsid w:val="00BD5B7F"/>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exact"/>
      <w:jc w:val="both"/>
    </w:pPr>
    <w:rPr>
      <w:rFonts w:ascii="Calibri" w:eastAsia="Times New Roman" w:hAnsi="Calibri"/>
      <w:sz w:val="22"/>
      <w:bdr w:val="none" w:sz="0" w:space="0" w:color="auto"/>
      <w:lang w:val="en-GB" w:eastAsia="en-GB"/>
    </w:rPr>
  </w:style>
  <w:style w:type="paragraph" w:customStyle="1" w:styleId="Default">
    <w:name w:val="Default"/>
    <w:rsid w:val="00BD5B7F"/>
    <w:pPr>
      <w:autoSpaceDE w:val="0"/>
      <w:autoSpaceDN w:val="0"/>
      <w:adjustRightInd w:val="0"/>
      <w:spacing w:after="0"/>
      <w:jc w:val="left"/>
    </w:pPr>
    <w:rPr>
      <w:rFonts w:eastAsia="Arial Unicode MS" w:cs="Times New Roman"/>
      <w:color w:val="000000"/>
      <w:sz w:val="24"/>
      <w:szCs w:val="24"/>
      <w:bdr w:val="nil"/>
      <w:lang w:val="en-GB" w:eastAsia="fr-FR"/>
    </w:rPr>
  </w:style>
  <w:style w:type="character" w:customStyle="1" w:styleId="normal10">
    <w:name w:val="normal10"/>
    <w:basedOn w:val="Policepardfaut"/>
    <w:rsid w:val="00BD5B7F"/>
  </w:style>
  <w:style w:type="character" w:styleId="lev">
    <w:name w:val="Strong"/>
    <w:basedOn w:val="Policepardfaut"/>
    <w:qFormat/>
    <w:rsid w:val="00BD5B7F"/>
    <w:rPr>
      <w:b/>
      <w:bCs/>
    </w:rPr>
  </w:style>
  <w:style w:type="character" w:customStyle="1" w:styleId="ParagraphedelisteCar">
    <w:name w:val="Paragraphe de liste Car"/>
    <w:basedOn w:val="Policepardfaut"/>
    <w:link w:val="Paragraphedeliste"/>
    <w:uiPriority w:val="34"/>
    <w:locked/>
    <w:rsid w:val="00BD5B7F"/>
    <w:rPr>
      <w:rFonts w:eastAsia="Times New Roman" w:cs="Times New Roman"/>
      <w:sz w:val="24"/>
      <w:szCs w:val="24"/>
      <w:lang w:val="en-GB" w:eastAsia="en-GB"/>
    </w:rPr>
  </w:style>
  <w:style w:type="character" w:customStyle="1" w:styleId="apple-style-span">
    <w:name w:val="apple-style-span"/>
    <w:basedOn w:val="Policepardfaut"/>
    <w:rsid w:val="00BD5B7F"/>
  </w:style>
  <w:style w:type="paragraph" w:styleId="Commentaire">
    <w:name w:val="annotation text"/>
    <w:basedOn w:val="Normal"/>
    <w:link w:val="CommentaireCar"/>
    <w:uiPriority w:val="99"/>
    <w:unhideWhenUsed/>
    <w:rsid w:val="00BD5B7F"/>
    <w:rPr>
      <w:sz w:val="20"/>
      <w:szCs w:val="20"/>
    </w:rPr>
  </w:style>
  <w:style w:type="character" w:customStyle="1" w:styleId="CommentaireCar">
    <w:name w:val="Commentaire Car"/>
    <w:basedOn w:val="Policepardfaut"/>
    <w:link w:val="Commentaire"/>
    <w:uiPriority w:val="99"/>
    <w:rsid w:val="00BD5B7F"/>
    <w:rPr>
      <w:rFonts w:eastAsia="Arial Unicode MS" w:cs="Times New Roman"/>
      <w:sz w:val="20"/>
      <w:szCs w:val="20"/>
      <w:bdr w:val="nil"/>
      <w:lang w:val="en-US"/>
    </w:rPr>
  </w:style>
  <w:style w:type="paragraph" w:styleId="Objetducommentaire">
    <w:name w:val="annotation subject"/>
    <w:basedOn w:val="Commentaire"/>
    <w:next w:val="Commentaire"/>
    <w:link w:val="ObjetducommentaireCar"/>
    <w:uiPriority w:val="99"/>
    <w:rsid w:val="00BD5B7F"/>
    <w:pPr>
      <w:pBdr>
        <w:top w:val="none" w:sz="0" w:space="0" w:color="auto"/>
        <w:left w:val="none" w:sz="0" w:space="0" w:color="auto"/>
        <w:bottom w:val="none" w:sz="0" w:space="0" w:color="auto"/>
        <w:right w:val="none" w:sz="0" w:space="0" w:color="auto"/>
        <w:between w:val="none" w:sz="0" w:space="0" w:color="auto"/>
        <w:bar w:val="none" w:sz="0" w:color="auto"/>
      </w:pBdr>
    </w:pPr>
    <w:rPr>
      <w:rFonts w:ascii="Verdana" w:eastAsia="Times New Roman" w:hAnsi="Verdana"/>
      <w:b/>
      <w:bCs/>
      <w:bdr w:val="none" w:sz="0" w:space="0" w:color="auto"/>
      <w:lang w:val="fr-FR" w:eastAsia="fr-FR"/>
    </w:rPr>
  </w:style>
  <w:style w:type="character" w:customStyle="1" w:styleId="ObjetducommentaireCar">
    <w:name w:val="Objet du commentaire Car"/>
    <w:basedOn w:val="CommentaireCar"/>
    <w:link w:val="Objetducommentaire"/>
    <w:uiPriority w:val="99"/>
    <w:rsid w:val="00BD5B7F"/>
    <w:rPr>
      <w:rFonts w:ascii="Verdana" w:eastAsia="Times New Roman" w:hAnsi="Verdana" w:cs="Times New Roman"/>
      <w:b/>
      <w:bCs/>
      <w:sz w:val="20"/>
      <w:szCs w:val="20"/>
      <w:bdr w:val="nil"/>
      <w:lang w:val="en-US" w:eastAsia="fr-FR"/>
    </w:rPr>
  </w:style>
  <w:style w:type="paragraph" w:styleId="Retraitcorpsdetexte">
    <w:name w:val="Body Text Indent"/>
    <w:basedOn w:val="Normal"/>
    <w:link w:val="RetraitcorpsdetexteCar"/>
    <w:unhideWhenUsed/>
    <w:rsid w:val="00BD5B7F"/>
    <w:pPr>
      <w:spacing w:after="120"/>
      <w:ind w:left="283"/>
    </w:pPr>
  </w:style>
  <w:style w:type="character" w:customStyle="1" w:styleId="RetraitcorpsdetexteCar">
    <w:name w:val="Retrait corps de texte Car"/>
    <w:basedOn w:val="Policepardfaut"/>
    <w:link w:val="Retraitcorpsdetexte"/>
    <w:rsid w:val="00BD5B7F"/>
    <w:rPr>
      <w:rFonts w:eastAsia="Arial Unicode MS" w:cs="Times New Roman"/>
      <w:sz w:val="24"/>
      <w:szCs w:val="24"/>
      <w:bdr w:val="nil"/>
      <w:lang w:val="en-US"/>
    </w:rPr>
  </w:style>
  <w:style w:type="character" w:styleId="Accentuation">
    <w:name w:val="Emphasis"/>
    <w:uiPriority w:val="20"/>
    <w:qFormat/>
    <w:rsid w:val="00BD5B7F"/>
    <w:rPr>
      <w:rFonts w:ascii="Times New Roman" w:hAnsi="Times New Roman" w:cs="Times New Roman" w:hint="default"/>
      <w:i/>
      <w:iCs/>
    </w:rPr>
  </w:style>
  <w:style w:type="paragraph" w:styleId="TM1">
    <w:name w:val="toc 1"/>
    <w:basedOn w:val="Normal"/>
    <w:next w:val="Normal"/>
    <w:autoRedefine/>
    <w:uiPriority w:val="39"/>
    <w:unhideWhenUsed/>
    <w:qFormat/>
    <w:rsid w:val="00BD5B7F"/>
    <w:pPr>
      <w:pBdr>
        <w:top w:val="none" w:sz="0" w:space="0" w:color="auto"/>
        <w:left w:val="none" w:sz="0" w:space="0" w:color="auto"/>
        <w:bottom w:val="none" w:sz="0" w:space="0" w:color="auto"/>
        <w:right w:val="none" w:sz="0" w:space="0" w:color="auto"/>
        <w:between w:val="none" w:sz="0" w:space="0" w:color="auto"/>
        <w:bar w:val="none" w:sz="0" w:color="auto"/>
      </w:pBdr>
      <w:tabs>
        <w:tab w:val="left" w:pos="9090"/>
        <w:tab w:val="left" w:pos="9360"/>
      </w:tabs>
      <w:spacing w:after="100" w:line="276" w:lineRule="auto"/>
    </w:pPr>
    <w:rPr>
      <w:rFonts w:ascii="Calibri" w:eastAsia="Calibri" w:hAnsi="Calibri"/>
      <w:noProof/>
      <w:sz w:val="22"/>
      <w:szCs w:val="22"/>
      <w:bdr w:val="none" w:sz="0" w:space="0" w:color="auto"/>
      <w:lang w:val="en-GB"/>
    </w:rPr>
  </w:style>
  <w:style w:type="paragraph" w:styleId="TM2">
    <w:name w:val="toc 2"/>
    <w:basedOn w:val="Normal"/>
    <w:next w:val="Normal"/>
    <w:autoRedefine/>
    <w:uiPriority w:val="39"/>
    <w:unhideWhenUsed/>
    <w:qFormat/>
    <w:rsid w:val="00BD5B7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360"/>
      </w:tabs>
      <w:spacing w:after="100" w:line="276" w:lineRule="auto"/>
      <w:ind w:left="630" w:hanging="540"/>
      <w:jc w:val="center"/>
    </w:pPr>
    <w:rPr>
      <w:rFonts w:eastAsia="Calibri"/>
      <w:b/>
      <w:smallCaps/>
      <w:bdr w:val="none" w:sz="0" w:space="0" w:color="auto"/>
      <w:lang w:val="en-GB"/>
    </w:rPr>
  </w:style>
  <w:style w:type="paragraph" w:styleId="TM3">
    <w:name w:val="toc 3"/>
    <w:basedOn w:val="Normal"/>
    <w:next w:val="Normal"/>
    <w:autoRedefine/>
    <w:uiPriority w:val="39"/>
    <w:unhideWhenUsed/>
    <w:qFormat/>
    <w:rsid w:val="00BD5B7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639"/>
      </w:tabs>
      <w:spacing w:after="100" w:line="276" w:lineRule="auto"/>
      <w:ind w:left="440"/>
      <w:jc w:val="both"/>
    </w:pPr>
    <w:rPr>
      <w:rFonts w:ascii="Calibri" w:eastAsia="Calibri" w:hAnsi="Calibri"/>
      <w:sz w:val="22"/>
      <w:szCs w:val="22"/>
      <w:bdr w:val="none" w:sz="0" w:space="0" w:color="auto"/>
      <w:lang w:val="en-GB"/>
    </w:rPr>
  </w:style>
  <w:style w:type="paragraph" w:styleId="TM4">
    <w:name w:val="toc 4"/>
    <w:basedOn w:val="Normal"/>
    <w:next w:val="Normal"/>
    <w:autoRedefine/>
    <w:uiPriority w:val="39"/>
    <w:unhideWhenUsed/>
    <w:rsid w:val="00BD5B7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639"/>
      </w:tabs>
      <w:spacing w:after="100" w:line="276" w:lineRule="auto"/>
      <w:ind w:left="660"/>
    </w:pPr>
    <w:rPr>
      <w:rFonts w:ascii="Calibri" w:eastAsia="Calibri" w:hAnsi="Calibri"/>
      <w:sz w:val="22"/>
      <w:szCs w:val="22"/>
      <w:bdr w:val="none" w:sz="0" w:space="0" w:color="auto"/>
      <w:lang w:val="en-GB"/>
    </w:rPr>
  </w:style>
  <w:style w:type="character" w:customStyle="1" w:styleId="NotedefinCar">
    <w:name w:val="Note de fin Car"/>
    <w:basedOn w:val="Policepardfaut"/>
    <w:link w:val="Notedefin"/>
    <w:uiPriority w:val="99"/>
    <w:semiHidden/>
    <w:rsid w:val="00BD5B7F"/>
    <w:rPr>
      <w:rFonts w:ascii="Arial" w:eastAsia="Calibri" w:hAnsi="Arial"/>
      <w:color w:val="000000"/>
      <w:lang w:val="en-GB"/>
    </w:rPr>
  </w:style>
  <w:style w:type="paragraph" w:styleId="Notedefin">
    <w:name w:val="endnote text"/>
    <w:basedOn w:val="Normal"/>
    <w:link w:val="NotedefinCar"/>
    <w:uiPriority w:val="99"/>
    <w:semiHidden/>
    <w:unhideWhenUsed/>
    <w:rsid w:val="00BD5B7F"/>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Calibri" w:hAnsi="Arial" w:cstheme="minorBidi"/>
      <w:color w:val="000000"/>
      <w:sz w:val="22"/>
      <w:szCs w:val="22"/>
      <w:bdr w:val="none" w:sz="0" w:space="0" w:color="auto"/>
      <w:lang w:val="en-GB"/>
    </w:rPr>
  </w:style>
  <w:style w:type="character" w:customStyle="1" w:styleId="NotedefinCar1">
    <w:name w:val="Note de fin Car1"/>
    <w:basedOn w:val="Policepardfaut"/>
    <w:uiPriority w:val="99"/>
    <w:semiHidden/>
    <w:rsid w:val="00BD5B7F"/>
    <w:rPr>
      <w:rFonts w:eastAsia="Arial Unicode MS" w:cs="Times New Roman"/>
      <w:sz w:val="20"/>
      <w:szCs w:val="20"/>
      <w:bdr w:val="nil"/>
      <w:lang w:val="en-US"/>
    </w:rPr>
  </w:style>
  <w:style w:type="paragraph" w:styleId="Titre">
    <w:name w:val="Title"/>
    <w:basedOn w:val="Normal"/>
    <w:link w:val="TitreCar"/>
    <w:uiPriority w:val="10"/>
    <w:qFormat/>
    <w:rsid w:val="00BD5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jc w:val="center"/>
    </w:pPr>
    <w:rPr>
      <w:rFonts w:ascii="Arial" w:eastAsia="Times New Roman" w:hAnsi="Arial" w:cs="Arial"/>
      <w:b/>
      <w:bCs/>
      <w:sz w:val="32"/>
      <w:szCs w:val="22"/>
      <w:bdr w:val="none" w:sz="0" w:space="0" w:color="auto"/>
      <w:lang w:val="en-GB"/>
    </w:rPr>
  </w:style>
  <w:style w:type="character" w:customStyle="1" w:styleId="TitreCar">
    <w:name w:val="Titre Car"/>
    <w:basedOn w:val="Policepardfaut"/>
    <w:link w:val="Titre"/>
    <w:uiPriority w:val="10"/>
    <w:rsid w:val="00BD5B7F"/>
    <w:rPr>
      <w:rFonts w:ascii="Arial" w:eastAsia="Times New Roman" w:hAnsi="Arial" w:cs="Arial"/>
      <w:b/>
      <w:bCs/>
      <w:sz w:val="32"/>
      <w:lang w:val="en-GB"/>
    </w:rPr>
  </w:style>
  <w:style w:type="character" w:customStyle="1" w:styleId="Corpsdetexte2Car">
    <w:name w:val="Corps de texte 2 Car"/>
    <w:basedOn w:val="Policepardfaut"/>
    <w:link w:val="Corpsdetexte2"/>
    <w:rsid w:val="00BD5B7F"/>
    <w:rPr>
      <w:rFonts w:eastAsia="Times New Roman"/>
      <w:szCs w:val="24"/>
      <w:lang w:val="en-US"/>
    </w:rPr>
  </w:style>
  <w:style w:type="paragraph" w:styleId="Corpsdetexte2">
    <w:name w:val="Body Text 2"/>
    <w:basedOn w:val="Normal"/>
    <w:link w:val="Corpsdetexte2Car"/>
    <w:unhideWhenUsed/>
    <w:rsid w:val="00BD5B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stheme="minorBidi"/>
      <w:sz w:val="22"/>
      <w:bdr w:val="none" w:sz="0" w:space="0" w:color="auto"/>
    </w:rPr>
  </w:style>
  <w:style w:type="character" w:customStyle="1" w:styleId="Corpsdetexte2Car1">
    <w:name w:val="Corps de texte 2 Car1"/>
    <w:basedOn w:val="Policepardfaut"/>
    <w:uiPriority w:val="99"/>
    <w:semiHidden/>
    <w:rsid w:val="00BD5B7F"/>
    <w:rPr>
      <w:rFonts w:eastAsia="Arial Unicode MS" w:cs="Times New Roman"/>
      <w:sz w:val="24"/>
      <w:szCs w:val="24"/>
      <w:bdr w:val="nil"/>
      <w:lang w:val="en-US"/>
    </w:rPr>
  </w:style>
  <w:style w:type="character" w:customStyle="1" w:styleId="Corpsdetexte3Car">
    <w:name w:val="Corps de texte 3 Car"/>
    <w:basedOn w:val="Policepardfaut"/>
    <w:link w:val="Corpsdetexte3"/>
    <w:rsid w:val="00BD5B7F"/>
    <w:rPr>
      <w:rFonts w:eastAsia="Times New Roman"/>
      <w:b/>
      <w:bCs/>
      <w:sz w:val="24"/>
      <w:szCs w:val="24"/>
      <w:lang w:val="en-GB"/>
    </w:rPr>
  </w:style>
  <w:style w:type="paragraph" w:styleId="Corpsdetexte3">
    <w:name w:val="Body Text 3"/>
    <w:basedOn w:val="Normal"/>
    <w:link w:val="Corpsdetexte3Car"/>
    <w:unhideWhenUsed/>
    <w:rsid w:val="00BD5B7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57"/>
        <w:tab w:val="left" w:pos="-720"/>
        <w:tab w:val="left" w:pos="0"/>
        <w:tab w:val="left" w:pos="141"/>
        <w:tab w:val="left" w:pos="720"/>
        <w:tab w:val="left" w:pos="1440"/>
        <w:tab w:val="left" w:pos="2160"/>
        <w:tab w:val="left" w:pos="2880"/>
        <w:tab w:val="left" w:pos="3600"/>
        <w:tab w:val="left" w:pos="4320"/>
        <w:tab w:val="left" w:pos="5040"/>
        <w:tab w:val="left" w:pos="5760"/>
        <w:tab w:val="left" w:pos="6008"/>
        <w:tab w:val="left" w:pos="6480"/>
        <w:tab w:val="left" w:pos="7200"/>
        <w:tab w:val="left" w:pos="7920"/>
        <w:tab w:val="left" w:pos="8640"/>
      </w:tabs>
      <w:autoSpaceDE w:val="0"/>
      <w:autoSpaceDN w:val="0"/>
      <w:adjustRightInd w:val="0"/>
      <w:spacing w:line="230" w:lineRule="auto"/>
      <w:jc w:val="center"/>
    </w:pPr>
    <w:rPr>
      <w:rFonts w:eastAsia="Times New Roman" w:cstheme="minorBidi"/>
      <w:b/>
      <w:bCs/>
      <w:bdr w:val="none" w:sz="0" w:space="0" w:color="auto"/>
      <w:lang w:val="en-GB"/>
    </w:rPr>
  </w:style>
  <w:style w:type="character" w:customStyle="1" w:styleId="Corpsdetexte3Car1">
    <w:name w:val="Corps de texte 3 Car1"/>
    <w:basedOn w:val="Policepardfaut"/>
    <w:uiPriority w:val="99"/>
    <w:semiHidden/>
    <w:rsid w:val="00BD5B7F"/>
    <w:rPr>
      <w:rFonts w:eastAsia="Arial Unicode MS" w:cs="Times New Roman"/>
      <w:sz w:val="16"/>
      <w:szCs w:val="16"/>
      <w:bdr w:val="nil"/>
      <w:lang w:val="en-US"/>
    </w:rPr>
  </w:style>
  <w:style w:type="paragraph" w:styleId="Sansinterligne">
    <w:name w:val="No Spacing"/>
    <w:uiPriority w:val="99"/>
    <w:qFormat/>
    <w:rsid w:val="00BD5B7F"/>
    <w:pPr>
      <w:widowControl w:val="0"/>
      <w:autoSpaceDE w:val="0"/>
      <w:autoSpaceDN w:val="0"/>
      <w:adjustRightInd w:val="0"/>
      <w:spacing w:after="0"/>
      <w:jc w:val="left"/>
    </w:pPr>
    <w:rPr>
      <w:rFonts w:eastAsia="Times New Roman" w:cs="Times New Roman"/>
      <w:sz w:val="20"/>
      <w:szCs w:val="24"/>
      <w:lang w:val="en-US"/>
    </w:rPr>
  </w:style>
  <w:style w:type="paragraph" w:customStyle="1" w:styleId="Level1">
    <w:name w:val="Level 1"/>
    <w:basedOn w:val="Normal"/>
    <w:uiPriority w:val="99"/>
    <w:rsid w:val="00BD5B7F"/>
    <w:pPr>
      <w:widowControl w:val="0"/>
      <w:numPr>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566"/>
      </w:tabs>
      <w:autoSpaceDE w:val="0"/>
      <w:autoSpaceDN w:val="0"/>
      <w:adjustRightInd w:val="0"/>
      <w:outlineLvl w:val="0"/>
    </w:pPr>
    <w:rPr>
      <w:rFonts w:eastAsia="Times New Roman"/>
      <w:sz w:val="20"/>
      <w:bdr w:val="none" w:sz="0" w:space="0" w:color="auto"/>
    </w:rPr>
  </w:style>
  <w:style w:type="paragraph" w:customStyle="1" w:styleId="Level2">
    <w:name w:val="Level 2"/>
    <w:basedOn w:val="Normal"/>
    <w:uiPriority w:val="99"/>
    <w:rsid w:val="00BD5B7F"/>
    <w:pPr>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1132"/>
      </w:tabs>
      <w:autoSpaceDE w:val="0"/>
      <w:autoSpaceDN w:val="0"/>
      <w:adjustRightInd w:val="0"/>
      <w:outlineLvl w:val="1"/>
    </w:pPr>
    <w:rPr>
      <w:rFonts w:eastAsia="Times New Roman"/>
      <w:sz w:val="20"/>
      <w:bdr w:val="none" w:sz="0" w:space="0" w:color="auto"/>
    </w:rPr>
  </w:style>
  <w:style w:type="paragraph" w:customStyle="1" w:styleId="Level3">
    <w:name w:val="Level 3"/>
    <w:basedOn w:val="Normal"/>
    <w:uiPriority w:val="99"/>
    <w:rsid w:val="00BD5B7F"/>
    <w:pPr>
      <w:widowControl w:val="0"/>
      <w:numPr>
        <w:ilvl w:val="2"/>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1700"/>
      </w:tabs>
      <w:autoSpaceDE w:val="0"/>
      <w:autoSpaceDN w:val="0"/>
      <w:adjustRightInd w:val="0"/>
      <w:outlineLvl w:val="2"/>
    </w:pPr>
    <w:rPr>
      <w:rFonts w:eastAsia="Times New Roman"/>
      <w:sz w:val="20"/>
      <w:bdr w:val="none" w:sz="0" w:space="0" w:color="auto"/>
    </w:rPr>
  </w:style>
  <w:style w:type="character" w:customStyle="1" w:styleId="MediumGrid2Char">
    <w:name w:val="Medium Grid 2 Char"/>
    <w:link w:val="Grigliamedia21"/>
    <w:uiPriority w:val="1"/>
    <w:semiHidden/>
    <w:locked/>
    <w:rsid w:val="00BD5B7F"/>
    <w:rPr>
      <w:rFonts w:ascii="Calibri" w:hAnsi="Calibri"/>
      <w:lang w:val="it-IT" w:eastAsia="it-IT"/>
    </w:rPr>
  </w:style>
  <w:style w:type="paragraph" w:customStyle="1" w:styleId="Grigliamedia21">
    <w:name w:val="Griglia media 21"/>
    <w:link w:val="MediumGrid2Char"/>
    <w:uiPriority w:val="1"/>
    <w:semiHidden/>
    <w:qFormat/>
    <w:rsid w:val="00BD5B7F"/>
    <w:pPr>
      <w:spacing w:after="0"/>
      <w:jc w:val="left"/>
    </w:pPr>
    <w:rPr>
      <w:rFonts w:ascii="Calibri" w:hAnsi="Calibri"/>
      <w:lang w:val="it-IT" w:eastAsia="it-IT"/>
    </w:rPr>
  </w:style>
  <w:style w:type="paragraph" w:customStyle="1" w:styleId="contenth2">
    <w:name w:val="content_h2"/>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Georgia" w:eastAsia="Times New Roman" w:hAnsi="Georgia"/>
      <w:color w:val="013976"/>
      <w:sz w:val="54"/>
      <w:szCs w:val="54"/>
      <w:bdr w:val="none" w:sz="0" w:space="0" w:color="auto"/>
      <w:lang w:val="en-GB" w:eastAsia="en-GB"/>
    </w:rPr>
  </w:style>
  <w:style w:type="character" w:customStyle="1" w:styleId="Normal1">
    <w:name w:val="Normal1"/>
    <w:rsid w:val="00BD5B7F"/>
  </w:style>
  <w:style w:type="table" w:styleId="Grillemoyenne2">
    <w:name w:val="Medium Grid 2"/>
    <w:basedOn w:val="TableauNormal"/>
    <w:link w:val="Grillemoyenne2Car"/>
    <w:uiPriority w:val="1"/>
    <w:unhideWhenUsed/>
    <w:rsid w:val="00BD5B7F"/>
    <w:pPr>
      <w:spacing w:after="0"/>
      <w:jc w:val="left"/>
    </w:pPr>
    <w:rPr>
      <w:rFonts w:ascii="Calibri" w:hAnsi="Calibri"/>
      <w:lang w:val="it-IT"/>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Grillemoyenne2Car">
    <w:name w:val="Grille moyenne 2 Car"/>
    <w:link w:val="Grillemoyenne2"/>
    <w:uiPriority w:val="1"/>
    <w:locked/>
    <w:rsid w:val="00BD5B7F"/>
    <w:rPr>
      <w:rFonts w:ascii="Calibri" w:hAnsi="Calibri" w:hint="default"/>
      <w:sz w:val="22"/>
      <w:szCs w:val="22"/>
      <w:lang w:val="it-IT"/>
    </w:rPr>
  </w:style>
  <w:style w:type="character" w:customStyle="1" w:styleId="NoSpacingChar">
    <w:name w:val="No Spacing Char"/>
    <w:uiPriority w:val="1"/>
    <w:rsid w:val="00BD5B7F"/>
    <w:rPr>
      <w:rFonts w:ascii="Times New Roman" w:eastAsia="Times New Roman" w:hAnsi="Times New Roman" w:cs="Times New Roman" w:hint="default"/>
      <w:lang w:val="it-IT"/>
    </w:rPr>
  </w:style>
  <w:style w:type="table" w:styleId="Grillemoyenne2-Accent2">
    <w:name w:val="Medium Grid 2 Accent 2"/>
    <w:basedOn w:val="TableauNormal"/>
    <w:uiPriority w:val="73"/>
    <w:unhideWhenUsed/>
    <w:rsid w:val="00BD5B7F"/>
    <w:pPr>
      <w:spacing w:after="0"/>
      <w:jc w:val="left"/>
    </w:pPr>
    <w:rPr>
      <w:rFonts w:ascii="Calibri" w:eastAsia="Calibri" w:hAnsi="Calibri" w:cs="Times New Roman"/>
      <w:color w:val="000000"/>
      <w:lang w:val="it-IT" w:eastAsia="it-IT"/>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Grid1">
    <w:name w:val="Table Grid1"/>
    <w:basedOn w:val="TableauNormal"/>
    <w:uiPriority w:val="59"/>
    <w:rsid w:val="00BD5B7F"/>
    <w:pPr>
      <w:spacing w:after="0"/>
      <w:jc w:val="left"/>
    </w:pPr>
    <w:rPr>
      <w:rFonts w:ascii="Calibri" w:eastAsia="Calibri" w:hAnsi="Calibri" w:cs="Times New Roman"/>
      <w:lang w:val="en-GB"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BD5B7F"/>
    <w:pPr>
      <w:widowControl w:val="0"/>
      <w:autoSpaceDE w:val="0"/>
      <w:autoSpaceDN w:val="0"/>
      <w:adjustRightInd w:val="0"/>
      <w:spacing w:before="240" w:after="60"/>
      <w:jc w:val="left"/>
      <w:outlineLvl w:val="9"/>
    </w:pPr>
    <w:rPr>
      <w:rFonts w:ascii="Calibri Light" w:hAnsi="Calibri Light"/>
      <w:bCs/>
      <w:kern w:val="32"/>
      <w:sz w:val="32"/>
      <w:szCs w:val="32"/>
      <w:lang w:val="en-US"/>
    </w:rPr>
  </w:style>
  <w:style w:type="character" w:customStyle="1" w:styleId="spelle">
    <w:name w:val="spelle"/>
    <w:basedOn w:val="Policepardfaut"/>
    <w:rsid w:val="00BD5B7F"/>
  </w:style>
  <w:style w:type="paragraph" w:styleId="Textebrut">
    <w:name w:val="Plain Text"/>
    <w:basedOn w:val="Normal"/>
    <w:link w:val="TextebrutCar"/>
    <w:uiPriority w:val="99"/>
    <w:unhideWhenUsed/>
    <w:rsid w:val="00BD5B7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fr-FR"/>
    </w:rPr>
  </w:style>
  <w:style w:type="character" w:customStyle="1" w:styleId="TextebrutCar">
    <w:name w:val="Texte brut Car"/>
    <w:basedOn w:val="Policepardfaut"/>
    <w:link w:val="Textebrut"/>
    <w:uiPriority w:val="99"/>
    <w:rsid w:val="00BD5B7F"/>
    <w:rPr>
      <w:rFonts w:ascii="Calibri" w:hAnsi="Calibri"/>
      <w:szCs w:val="21"/>
    </w:rPr>
  </w:style>
  <w:style w:type="paragraph" w:customStyle="1" w:styleId="paragraphedeliste10">
    <w:name w:val="paragraphedeliste1"/>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val="fr-FR" w:eastAsia="fr-FR"/>
    </w:rPr>
  </w:style>
  <w:style w:type="paragraph" w:customStyle="1" w:styleId="1AutoList1">
    <w:name w:val="1AutoList1"/>
    <w:uiPriority w:val="99"/>
    <w:rsid w:val="00BD5B7F"/>
    <w:pPr>
      <w:widowControl w:val="0"/>
      <w:tabs>
        <w:tab w:val="left" w:pos="720"/>
      </w:tabs>
      <w:autoSpaceDE w:val="0"/>
      <w:autoSpaceDN w:val="0"/>
      <w:adjustRightInd w:val="0"/>
      <w:spacing w:after="0"/>
      <w:ind w:left="720" w:hanging="720"/>
    </w:pPr>
    <w:rPr>
      <w:rFonts w:eastAsia="Times New Roman" w:cs="Times New Roman"/>
      <w:sz w:val="24"/>
      <w:szCs w:val="24"/>
      <w:lang w:val="en-GB"/>
    </w:rPr>
  </w:style>
  <w:style w:type="paragraph" w:customStyle="1" w:styleId="Preformatted">
    <w:name w:val="Preformatted"/>
    <w:uiPriority w:val="99"/>
    <w:rsid w:val="00BD5B7F"/>
    <w:pPr>
      <w:widowControl w:val="0"/>
      <w:tabs>
        <w:tab w:val="left" w:pos="0"/>
        <w:tab w:val="left" w:pos="960"/>
        <w:tab w:val="left" w:pos="1918"/>
        <w:tab w:val="left" w:pos="2877"/>
        <w:tab w:val="left" w:pos="3836"/>
        <w:tab w:val="left" w:pos="4795"/>
        <w:tab w:val="left" w:pos="5754"/>
        <w:tab w:val="left" w:pos="6714"/>
        <w:tab w:val="left" w:pos="7672"/>
        <w:tab w:val="left" w:pos="8631"/>
        <w:tab w:val="left" w:pos="9590"/>
      </w:tabs>
      <w:autoSpaceDE w:val="0"/>
      <w:autoSpaceDN w:val="0"/>
      <w:adjustRightInd w:val="0"/>
      <w:spacing w:after="0"/>
      <w:jc w:val="left"/>
    </w:pPr>
    <w:rPr>
      <w:rFonts w:ascii="Courier New" w:eastAsia="Times New Roman" w:hAnsi="Courier New" w:cs="Courier New"/>
      <w:sz w:val="20"/>
      <w:szCs w:val="20"/>
      <w:lang w:val="en-US"/>
    </w:rPr>
  </w:style>
  <w:style w:type="paragraph" w:customStyle="1" w:styleId="footnotetex">
    <w:name w:val="footnote tex"/>
    <w:uiPriority w:val="99"/>
    <w:rsid w:val="00BD5B7F"/>
    <w:pPr>
      <w:widowControl w:val="0"/>
      <w:autoSpaceDE w:val="0"/>
      <w:autoSpaceDN w:val="0"/>
      <w:adjustRightInd w:val="0"/>
      <w:spacing w:after="0"/>
    </w:pPr>
    <w:rPr>
      <w:rFonts w:eastAsia="Times New Roman" w:cs="Times New Roman"/>
      <w:sz w:val="20"/>
      <w:szCs w:val="20"/>
      <w:lang w:val="de-DE"/>
    </w:rPr>
  </w:style>
  <w:style w:type="paragraph" w:styleId="Normalcentr">
    <w:name w:val="Block Text"/>
    <w:basedOn w:val="Normal"/>
    <w:uiPriority w:val="99"/>
    <w:rsid w:val="00BD5B7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right="283" w:hanging="709"/>
    </w:pPr>
    <w:rPr>
      <w:rFonts w:eastAsia="Times New Roman"/>
      <w:szCs w:val="23"/>
      <w:bdr w:val="none" w:sz="0" w:space="0" w:color="auto"/>
    </w:rPr>
  </w:style>
  <w:style w:type="character" w:styleId="Lienhypertextesuivivisit">
    <w:name w:val="FollowedHyperlink"/>
    <w:rsid w:val="00BD5B7F"/>
    <w:rPr>
      <w:rFonts w:cs="Times New Roman"/>
      <w:color w:val="800080"/>
      <w:u w:val="single"/>
    </w:rPr>
  </w:style>
  <w:style w:type="paragraph" w:customStyle="1" w:styleId="ColorfulList-Accent11">
    <w:name w:val="Colorful List - Accent 11"/>
    <w:basedOn w:val="Normal"/>
    <w:uiPriority w:val="99"/>
    <w:rsid w:val="00BD5B7F"/>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bdr w:val="none" w:sz="0" w:space="0" w:color="auto"/>
      <w:lang w:val="es-UY"/>
    </w:rPr>
  </w:style>
  <w:style w:type="character" w:styleId="Marquedecommentaire">
    <w:name w:val="annotation reference"/>
    <w:uiPriority w:val="99"/>
    <w:semiHidden/>
    <w:rsid w:val="00BD5B7F"/>
    <w:rPr>
      <w:rFonts w:cs="Times New Roman"/>
      <w:sz w:val="18"/>
    </w:rPr>
  </w:style>
  <w:style w:type="table" w:styleId="Grillecouleur-Accent4">
    <w:name w:val="Colorful Grid Accent 4"/>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
    <w:name w:val="Sfondo medio 2 - Colore 11"/>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1">
    <w:name w:val="Sfondo medio 21"/>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1">
    <w:name w:val="Elenco chiaro - Colore 11"/>
    <w:basedOn w:val="TableauNormal"/>
    <w:uiPriority w:val="61"/>
    <w:rsid w:val="00BD5B7F"/>
    <w:pPr>
      <w:spacing w:after="0"/>
      <w:jc w:val="left"/>
    </w:pPr>
    <w:rPr>
      <w:rFonts w:ascii="Calibri" w:eastAsia="Calibri" w:hAnsi="Calibri" w:cs="Times New Roman"/>
      <w:lang w:val="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fondoacolori1">
    <w:name w:val="Sfondo a colori1"/>
    <w:basedOn w:val="TableauNormal"/>
    <w:uiPriority w:val="71"/>
    <w:rsid w:val="00BD5B7F"/>
    <w:pPr>
      <w:spacing w:after="0"/>
      <w:jc w:val="left"/>
    </w:pPr>
    <w:rPr>
      <w:rFonts w:ascii="Calibri" w:eastAsia="Calibri" w:hAnsi="Calibri" w:cs="Times New Roman"/>
      <w:color w:val="000000"/>
      <w:lang w:val="it-IT"/>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Grillemoyenne3-Accent1">
    <w:name w:val="Medium Grid 3 Accent 1"/>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auNormal"/>
    <w:next w:val="Grillemoyenne2-Accent2"/>
    <w:uiPriority w:val="73"/>
    <w:rsid w:val="00BD5B7F"/>
    <w:pPr>
      <w:spacing w:after="0"/>
      <w:jc w:val="left"/>
    </w:pPr>
    <w:rPr>
      <w:rFonts w:ascii="Calibri" w:eastAsia="Calibri" w:hAnsi="Calibri" w:cs="Times New Roman"/>
      <w:color w:val="000000"/>
      <w:lang w:val="it-IT"/>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numbering" w:customStyle="1" w:styleId="NoList1">
    <w:name w:val="No List1"/>
    <w:next w:val="Aucuneliste"/>
    <w:uiPriority w:val="99"/>
    <w:semiHidden/>
    <w:unhideWhenUsed/>
    <w:rsid w:val="00BD5B7F"/>
  </w:style>
  <w:style w:type="paragraph" w:customStyle="1" w:styleId="contenth3">
    <w:name w:val="content_h3"/>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Georgia" w:eastAsia="Times New Roman" w:hAnsi="Georgia"/>
      <w:color w:val="013976"/>
      <w:sz w:val="36"/>
      <w:szCs w:val="36"/>
      <w:bdr w:val="none" w:sz="0" w:space="0" w:color="auto"/>
      <w:lang w:val="en-GB" w:eastAsia="en-GB"/>
    </w:rPr>
  </w:style>
  <w:style w:type="table" w:customStyle="1" w:styleId="TableGrid2">
    <w:name w:val="Table Grid2"/>
    <w:basedOn w:val="TableauNormal"/>
    <w:next w:val="Grilledutableau"/>
    <w:uiPriority w:val="59"/>
    <w:rsid w:val="00BD5B7F"/>
    <w:pPr>
      <w:spacing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1">
    <w:name w:val="Medium Shading 2 - Accent 41"/>
    <w:basedOn w:val="TableauNormal"/>
    <w:next w:val="Tramemoyenne2-Accent4"/>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Colore111">
    <w:name w:val="Sfondo medio 2 - Colore 111"/>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fondomedio211">
    <w:name w:val="Sfondo medio 211"/>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Elencochiaro-Colore111">
    <w:name w:val="Elenco chiaro - Colore 111"/>
    <w:basedOn w:val="TableauNormal"/>
    <w:uiPriority w:val="61"/>
    <w:rsid w:val="00BD5B7F"/>
    <w:pPr>
      <w:spacing w:after="0"/>
      <w:jc w:val="left"/>
    </w:pPr>
    <w:rPr>
      <w:rFonts w:ascii="Calibri" w:eastAsia="Calibri" w:hAnsi="Calibri" w:cs="Times New Roman"/>
      <w:lang w:val="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Spacing1">
    <w:name w:val="No Spacing1"/>
    <w:next w:val="Sansinterligne"/>
    <w:uiPriority w:val="1"/>
    <w:qFormat/>
    <w:rsid w:val="00BD5B7F"/>
    <w:pPr>
      <w:spacing w:after="0"/>
      <w:jc w:val="left"/>
    </w:pPr>
    <w:rPr>
      <w:rFonts w:ascii="Calibri" w:eastAsia="Times New Roman" w:hAnsi="Calibri" w:cs="Times New Roman"/>
      <w:lang w:val="it-IT"/>
    </w:rPr>
  </w:style>
  <w:style w:type="table" w:customStyle="1" w:styleId="Sfondoacolori11">
    <w:name w:val="Sfondo a colori11"/>
    <w:basedOn w:val="TableauNormal"/>
    <w:uiPriority w:val="71"/>
    <w:rsid w:val="00BD5B7F"/>
    <w:pPr>
      <w:spacing w:after="0"/>
      <w:jc w:val="left"/>
    </w:pPr>
    <w:rPr>
      <w:rFonts w:ascii="Calibri" w:eastAsia="Calibri" w:hAnsi="Calibri" w:cs="Times New Roman"/>
      <w:color w:val="000000"/>
      <w:lang w:val="it-IT"/>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Grid-Accent12">
    <w:name w:val="Colorful Grid - Accent 12"/>
    <w:basedOn w:val="TableauNormal"/>
    <w:next w:val="Grillecouleur-Accent1"/>
    <w:uiPriority w:val="73"/>
    <w:rsid w:val="00BD5B7F"/>
    <w:pPr>
      <w:spacing w:after="0"/>
      <w:jc w:val="left"/>
    </w:pPr>
    <w:rPr>
      <w:rFonts w:ascii="Calibri" w:eastAsia="Calibri" w:hAnsi="Calibri" w:cs="Times New Roman"/>
      <w:color w:val="000000"/>
      <w:lang w:val="it-IT"/>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fondomedio2-Colore12">
    <w:name w:val="Sfondo medio 2 - Colore 12"/>
    <w:basedOn w:val="TableauNormal"/>
    <w:uiPriority w:val="64"/>
    <w:rsid w:val="00BD5B7F"/>
    <w:pPr>
      <w:spacing w:after="0"/>
      <w:jc w:val="left"/>
    </w:pPr>
    <w:rPr>
      <w:rFonts w:ascii="Calibri" w:eastAsia="Calibri" w:hAnsi="Calibri" w:cs="Times New Roman"/>
      <w:lang w:val="it-IT"/>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Rvision">
    <w:name w:val="Revision"/>
    <w:hidden/>
    <w:uiPriority w:val="99"/>
    <w:rsid w:val="00BD5B7F"/>
    <w:pPr>
      <w:spacing w:after="0"/>
      <w:jc w:val="left"/>
    </w:pPr>
    <w:rPr>
      <w:rFonts w:ascii="Calibri" w:eastAsia="Calibri" w:hAnsi="Calibri" w:cs="Times New Roman"/>
      <w:lang w:val="en-GB"/>
    </w:rPr>
  </w:style>
  <w:style w:type="paragraph" w:customStyle="1" w:styleId="Caption1">
    <w:name w:val="Caption1"/>
    <w:basedOn w:val="Normal"/>
    <w:next w:val="Normal"/>
    <w:uiPriority w:val="35"/>
    <w:unhideWhenUsed/>
    <w:qFormat/>
    <w:rsid w:val="00BD5B7F"/>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Arial" w:eastAsia="Calibri" w:hAnsi="Arial"/>
      <w:b/>
      <w:bCs/>
      <w:color w:val="4F81BD"/>
      <w:sz w:val="18"/>
      <w:szCs w:val="18"/>
      <w:bdr w:val="none" w:sz="0" w:space="0" w:color="auto"/>
      <w:lang w:val="en-GB"/>
    </w:rPr>
  </w:style>
  <w:style w:type="character" w:styleId="Appeldenotedefin">
    <w:name w:val="endnote reference"/>
    <w:uiPriority w:val="99"/>
    <w:semiHidden/>
    <w:unhideWhenUsed/>
    <w:rsid w:val="00BD5B7F"/>
    <w:rPr>
      <w:vertAlign w:val="superscript"/>
    </w:rPr>
  </w:style>
  <w:style w:type="table" w:customStyle="1" w:styleId="Elencochiaro-Colore12">
    <w:name w:val="Elenco chiaro - Colore 12"/>
    <w:basedOn w:val="TableauNormal"/>
    <w:uiPriority w:val="61"/>
    <w:rsid w:val="00BD5B7F"/>
    <w:pPr>
      <w:spacing w:after="0"/>
      <w:jc w:val="left"/>
    </w:pPr>
    <w:rPr>
      <w:rFonts w:ascii="Calibri" w:eastAsia="Calibri" w:hAnsi="Calibri"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TMLTypewriter1">
    <w:name w:val="HTML Typewriter1"/>
    <w:uiPriority w:val="99"/>
    <w:semiHidden/>
    <w:unhideWhenUsed/>
    <w:rsid w:val="00BD5B7F"/>
    <w:rPr>
      <w:rFonts w:ascii="Courier New" w:eastAsia="Calibri" w:hAnsi="Courier New" w:cs="Courier New" w:hint="default"/>
      <w:sz w:val="20"/>
      <w:szCs w:val="20"/>
    </w:rPr>
  </w:style>
  <w:style w:type="table" w:styleId="Tramemoyenne2-Accent4">
    <w:name w:val="Medium Shading 2 Accent 4"/>
    <w:basedOn w:val="TableauNormal"/>
    <w:uiPriority w:val="69"/>
    <w:rsid w:val="00BD5B7F"/>
    <w:pPr>
      <w:spacing w:after="0"/>
      <w:jc w:val="left"/>
    </w:pPr>
    <w:rPr>
      <w:rFonts w:eastAsia="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llecouleur-Accent1">
    <w:name w:val="Colorful Grid Accent 1"/>
    <w:basedOn w:val="TableauNormal"/>
    <w:uiPriority w:val="29"/>
    <w:qFormat/>
    <w:rsid w:val="00BD5B7F"/>
    <w:pPr>
      <w:spacing w:after="0"/>
      <w:jc w:val="left"/>
    </w:pPr>
    <w:rPr>
      <w:rFonts w:eastAsia="Times New Roman" w:cs="Times New Roman"/>
      <w:color w:val="000000"/>
      <w:sz w:val="20"/>
      <w:szCs w:val="20"/>
      <w:lang w:val="en-US"/>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character" w:styleId="MachinecrireHTML">
    <w:name w:val="HTML Typewriter"/>
    <w:unhideWhenUsed/>
    <w:rsid w:val="00BD5B7F"/>
    <w:rPr>
      <w:rFonts w:ascii="Courier New" w:hAnsi="Courier New" w:cs="Courier New"/>
      <w:sz w:val="20"/>
      <w:szCs w:val="20"/>
    </w:rPr>
  </w:style>
  <w:style w:type="paragraph" w:styleId="Signaturelectronique">
    <w:name w:val="E-mail Signature"/>
    <w:basedOn w:val="Normal"/>
    <w:link w:val="SignaturelectroniqueCar"/>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SignaturelectroniqueCar">
    <w:name w:val="Signature électronique Car"/>
    <w:basedOn w:val="Policepardfaut"/>
    <w:link w:val="Signaturelectronique"/>
    <w:rsid w:val="00BD5B7F"/>
    <w:rPr>
      <w:rFonts w:eastAsia="Times New Roman" w:cs="Times New Roman"/>
      <w:sz w:val="24"/>
      <w:szCs w:val="24"/>
      <w:lang w:val="en-US"/>
    </w:rPr>
  </w:style>
  <w:style w:type="character" w:customStyle="1" w:styleId="yshortcuts">
    <w:name w:val="yshortcuts"/>
    <w:basedOn w:val="Policepardfaut"/>
    <w:rsid w:val="00BD5B7F"/>
  </w:style>
  <w:style w:type="paragraph" w:customStyle="1" w:styleId="CharCharCarCharCarCharCarCharCarChar">
    <w:name w:val="Char Char Car Char Car Char Car Char Car Char"/>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160" w:line="240" w:lineRule="exact"/>
    </w:pPr>
    <w:rPr>
      <w:rFonts w:ascii="Arial" w:eastAsia="Times New Roman" w:hAnsi="Arial" w:cs="Arial"/>
      <w:sz w:val="20"/>
      <w:szCs w:val="20"/>
      <w:bdr w:val="none" w:sz="0" w:space="0" w:color="auto"/>
    </w:rPr>
  </w:style>
  <w:style w:type="character" w:customStyle="1" w:styleId="nav2">
    <w:name w:val="nav2"/>
    <w:basedOn w:val="Policepardfaut"/>
    <w:rsid w:val="00BD5B7F"/>
  </w:style>
  <w:style w:type="character" w:customStyle="1" w:styleId="apple-tab-span">
    <w:name w:val="apple-tab-span"/>
    <w:basedOn w:val="Policepardfaut"/>
    <w:rsid w:val="00BD5B7F"/>
  </w:style>
  <w:style w:type="character" w:customStyle="1" w:styleId="BorisBarov">
    <w:name w:val="Boris.Barov"/>
    <w:basedOn w:val="Policepardfaut"/>
    <w:semiHidden/>
    <w:rsid w:val="00BD5B7F"/>
    <w:rPr>
      <w:rFonts w:ascii="Arial" w:hAnsi="Arial" w:cs="Arial"/>
      <w:color w:val="auto"/>
      <w:sz w:val="20"/>
      <w:szCs w:val="20"/>
    </w:rPr>
  </w:style>
  <w:style w:type="paragraph" w:customStyle="1" w:styleId="msolistparagraph0">
    <w:name w:val="msolistparagraph"/>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pPr>
    <w:rPr>
      <w:rFonts w:ascii="Calibri" w:eastAsia="MS Mincho" w:hAnsi="Calibri"/>
      <w:sz w:val="22"/>
      <w:szCs w:val="22"/>
      <w:bdr w:val="none" w:sz="0" w:space="0" w:color="auto"/>
      <w:lang w:eastAsia="ja-JP"/>
    </w:rPr>
  </w:style>
  <w:style w:type="paragraph" w:styleId="PrformatHTML">
    <w:name w:val="HTML Preformatted"/>
    <w:basedOn w:val="Normal"/>
    <w:link w:val="PrformatHTMLCar"/>
    <w:uiPriority w:val="99"/>
    <w:rsid w:val="00BD5B7F"/>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cs="Courier New"/>
      <w:color w:val="000000"/>
      <w:sz w:val="20"/>
      <w:szCs w:val="20"/>
      <w:bdr w:val="none" w:sz="0" w:space="0" w:color="auto"/>
      <w:lang w:eastAsia="ja-JP"/>
    </w:rPr>
  </w:style>
  <w:style w:type="character" w:customStyle="1" w:styleId="PrformatHTMLCar">
    <w:name w:val="Préformaté HTML Car"/>
    <w:basedOn w:val="Policepardfaut"/>
    <w:link w:val="PrformatHTML"/>
    <w:uiPriority w:val="99"/>
    <w:rsid w:val="00BD5B7F"/>
    <w:rPr>
      <w:rFonts w:ascii="Courier New" w:eastAsia="MS Mincho" w:hAnsi="Courier New" w:cs="Courier New"/>
      <w:color w:val="000000"/>
      <w:sz w:val="20"/>
      <w:szCs w:val="20"/>
      <w:lang w:val="en-US" w:eastAsia="ja-JP"/>
    </w:rPr>
  </w:style>
  <w:style w:type="paragraph" w:customStyle="1" w:styleId="CharCharCarCarCharCharCarCarCharCharCarCarCharCharCarCarCharCharCarCar">
    <w:name w:val="Char Char Car Car Char Char Car Car Char Char Car Car Char Char Car Car Char Char Car Car"/>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Arial" w:eastAsia="Times New Roman" w:hAnsi="Arial" w:cs="Arial"/>
      <w:sz w:val="20"/>
      <w:szCs w:val="20"/>
      <w:bdr w:val="none" w:sz="0" w:space="0" w:color="auto"/>
    </w:rPr>
  </w:style>
  <w:style w:type="character" w:customStyle="1" w:styleId="grisclair">
    <w:name w:val="gris_clair"/>
    <w:basedOn w:val="Policepardfaut"/>
    <w:rsid w:val="00BD5B7F"/>
  </w:style>
  <w:style w:type="character" w:customStyle="1" w:styleId="bleuemail">
    <w:name w:val="bleu_email"/>
    <w:basedOn w:val="Policepardfaut"/>
    <w:rsid w:val="00BD5B7F"/>
  </w:style>
  <w:style w:type="character" w:customStyle="1" w:styleId="st">
    <w:name w:val="st"/>
    <w:basedOn w:val="Policepardfaut"/>
    <w:rsid w:val="00BD5B7F"/>
  </w:style>
  <w:style w:type="character" w:customStyle="1" w:styleId="normalchar">
    <w:name w:val="normal__char"/>
    <w:basedOn w:val="Policepardfaut"/>
    <w:rsid w:val="00BD5B7F"/>
  </w:style>
  <w:style w:type="character" w:customStyle="1" w:styleId="hyperlinkchar">
    <w:name w:val="hyperlink__char"/>
    <w:basedOn w:val="Policepardfaut"/>
    <w:rsid w:val="00BD5B7F"/>
  </w:style>
  <w:style w:type="character" w:customStyle="1" w:styleId="hps">
    <w:name w:val="hps"/>
    <w:basedOn w:val="Policepardfaut"/>
    <w:rsid w:val="00BD5B7F"/>
  </w:style>
  <w:style w:type="character" w:customStyle="1" w:styleId="atn">
    <w:name w:val="atn"/>
    <w:basedOn w:val="Policepardfaut"/>
    <w:rsid w:val="00BD5B7F"/>
  </w:style>
  <w:style w:type="paragraph" w:customStyle="1" w:styleId="xmsonormal">
    <w:name w:val="xmsonormal"/>
    <w:basedOn w:val="Normal"/>
    <w:rsid w:val="00BD5B7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val="en-GB" w:eastAsia="en-GB"/>
    </w:rPr>
  </w:style>
  <w:style w:type="character" w:customStyle="1" w:styleId="egovstyle-style-normal">
    <w:name w:val="egovstyle-style-normal"/>
    <w:basedOn w:val="Policepardfaut"/>
    <w:uiPriority w:val="99"/>
    <w:rsid w:val="00BD5B7F"/>
    <w:rPr>
      <w:rFonts w:ascii="Times New Roman" w:hAnsi="Times New Roman" w:cs="Times New Roman" w:hint="default"/>
    </w:rPr>
  </w:style>
  <w:style w:type="character" w:customStyle="1" w:styleId="st1">
    <w:name w:val="st1"/>
    <w:basedOn w:val="Policepardfaut"/>
    <w:rsid w:val="00BD5B7F"/>
  </w:style>
  <w:style w:type="character" w:customStyle="1" w:styleId="text5">
    <w:name w:val="text5"/>
    <w:basedOn w:val="Policepardfaut"/>
    <w:rsid w:val="00BD5B7F"/>
    <w:rPr>
      <w:sz w:val="24"/>
      <w:szCs w:val="24"/>
      <w:bdr w:val="none" w:sz="0" w:space="0" w:color="auto" w:frame="1"/>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S:\TEAMS-Species\TEAM_Avian_Species\Illegal_Killing_Mediterranean_TF\COP12\French\cms_cop12_doc.24.1.1_rev.2_abattage-ill&#233;gal-oiseaux_f.docx" TargetMode="External"/><Relationship Id="rId18" Type="http://schemas.openxmlformats.org/officeDocument/2006/relationships/hyperlink" Target="file:///S:\TEAMS-Species\TEAM_Avian_Species\Illegal_Killing_Mediterranean_TF\COP12\French\cms_cop12_doc.24.1.1_rev.2_abattage-ill&#233;gal-oiseaux_f.docx" TargetMode="External"/><Relationship Id="rId26" Type="http://schemas.openxmlformats.org/officeDocument/2006/relationships/hyperlink" Target="file:///S:\TEAMS-Species\TEAM_Avian_Species\Illegal_Killing_Mediterranean_TF\COP12\French\cms_cop12_doc.24.1.1_rev.2_abattage-ill&#233;gal-oiseaux_f.docx" TargetMode="External"/><Relationship Id="rId39" Type="http://schemas.openxmlformats.org/officeDocument/2006/relationships/hyperlink" Target="file:///S:\TEAMS-Species\TEAM_Avian_Species\Illegal_Killing_Mediterranean_TF\COP12\French\cms_cop12_doc.24.1.1_rev.2_abattage-ill&#233;gal-oiseaux_f.docx" TargetMode="External"/><Relationship Id="rId21" Type="http://schemas.openxmlformats.org/officeDocument/2006/relationships/hyperlink" Target="file:///S:\TEAMS-Species\TEAM_Avian_Species\Illegal_Killing_Mediterranean_TF\COP12\French\cms_cop12_doc.24.1.1_rev.2_abattage-ill&#233;gal-oiseaux_f.docx" TargetMode="External"/><Relationship Id="rId34" Type="http://schemas.openxmlformats.org/officeDocument/2006/relationships/hyperlink" Target="file:///S:\TEAMS-Species\TEAM_Avian_Species\Illegal_Killing_Mediterranean_TF\COP12\French\cms_cop12_doc.24.1.1_rev.2_abattage-ill&#233;gal-oiseaux_f.docx" TargetMode="External"/><Relationship Id="rId42" Type="http://schemas.openxmlformats.org/officeDocument/2006/relationships/hyperlink" Target="file:///S:\TEAMS-Species\TEAM_Avian_Species\Illegal_Killing_Mediterranean_TF\COP12\French\cms_cop12_doc.24.1.1_rev.2_abattage-ill&#233;gal-oiseaux_f.docx" TargetMode="External"/><Relationship Id="rId47" Type="http://schemas.openxmlformats.org/officeDocument/2006/relationships/hyperlink" Target="file:///S:\TEAMS-Species\TEAM_Avian_Species\Illegal_Killing_Mediterranean_TF\COP12\French\cms_cop12_doc.24.1.1_rev.2_abattage-ill&#233;gal-oiseaux_f.docx" TargetMode="External"/><Relationship Id="rId50" Type="http://schemas.openxmlformats.org/officeDocument/2006/relationships/hyperlink" Target="file:///S:\TEAMS-Species\TEAM_Avian_Species\Illegal_Killing_Mediterranean_TF\COP12\French\cms_cop12_doc.24.1.1_rev.2_abattage-ill&#233;gal-oiseaux_f.docx" TargetMode="External"/><Relationship Id="rId55" Type="http://schemas.openxmlformats.org/officeDocument/2006/relationships/image" Target="media/image2.jpeg"/><Relationship Id="rId63" Type="http://schemas.openxmlformats.org/officeDocument/2006/relationships/image" Target="media/image10.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file:///S:\TEAMS-Species\TEAM_Avian_Species\Illegal_Killing_Mediterranean_TF\COP12\French\cms_cop12_doc.24.1.1_rev.2_abattage-ill&#233;gal-oiseaux_f.docx" TargetMode="External"/><Relationship Id="rId20" Type="http://schemas.openxmlformats.org/officeDocument/2006/relationships/hyperlink" Target="file:///S:\TEAMS-Species\TEAM_Avian_Species\Illegal_Killing_Mediterranean_TF\COP12\French\cms_cop12_doc.24.1.1_rev.2_abattage-ill&#233;gal-oiseaux_f.docx" TargetMode="External"/><Relationship Id="rId29" Type="http://schemas.openxmlformats.org/officeDocument/2006/relationships/hyperlink" Target="file:///S:\TEAMS-Species\TEAM_Avian_Species\Illegal_Killing_Mediterranean_TF\COP12\French\cms_cop12_doc.24.1.1_rev.2_abattage-ill&#233;gal-oiseaux_f.docx" TargetMode="External"/><Relationship Id="rId41" Type="http://schemas.openxmlformats.org/officeDocument/2006/relationships/hyperlink" Target="file:///S:\TEAMS-Species\TEAM_Avian_Species\Illegal_Killing_Mediterranean_TF\COP12\French\cms_cop12_doc.24.1.1_rev.2_abattage-ill&#233;gal-oiseaux_f.docx" TargetMode="External"/><Relationship Id="rId54" Type="http://schemas.openxmlformats.org/officeDocument/2006/relationships/hyperlink" Target="file:///S:\TEAMS-Species\TEAM_Avian_Species\Illegal_Killing_Mediterranean_TF\COP12\French\cms_cop12_doc.24.1.1_rev.2_abattage-ill&#233;gal-oiseaux_f.docx" TargetMode="External"/><Relationship Id="rId62"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S:\TEAMS-Species\TEAM_Avian_Species\Illegal_Killing_Mediterranean_TF\COP12\French\cms_cop12_doc.24.1.1_rev.2_abattage-ill&#233;gal-oiseaux_f.docx" TargetMode="External"/><Relationship Id="rId24" Type="http://schemas.openxmlformats.org/officeDocument/2006/relationships/hyperlink" Target="file:///S:\TEAMS-Species\TEAM_Avian_Species\Illegal_Killing_Mediterranean_TF\COP12\French\cms_cop12_doc.24.1.1_rev.2_abattage-ill&#233;gal-oiseaux_f.docx" TargetMode="External"/><Relationship Id="rId32" Type="http://schemas.openxmlformats.org/officeDocument/2006/relationships/hyperlink" Target="file:///S:\TEAMS-Species\TEAM_Avian_Species\Illegal_Killing_Mediterranean_TF\COP12\French\cms_cop12_doc.24.1.1_rev.2_abattage-ill&#233;gal-oiseaux_f.docx" TargetMode="External"/><Relationship Id="rId37" Type="http://schemas.openxmlformats.org/officeDocument/2006/relationships/hyperlink" Target="file:///S:\TEAMS-Species\TEAM_Avian_Species\Illegal_Killing_Mediterranean_TF\COP12\French\cms_cop12_doc.24.1.1_rev.2_abattage-ill&#233;gal-oiseaux_f.docx" TargetMode="External"/><Relationship Id="rId40" Type="http://schemas.openxmlformats.org/officeDocument/2006/relationships/hyperlink" Target="file:///S:\TEAMS-Species\TEAM_Avian_Species\Illegal_Killing_Mediterranean_TF\COP12\French\cms_cop12_doc.24.1.1_rev.2_abattage-ill&#233;gal-oiseaux_f.docx" TargetMode="External"/><Relationship Id="rId45" Type="http://schemas.openxmlformats.org/officeDocument/2006/relationships/hyperlink" Target="file:///S:\TEAMS-Species\TEAM_Avian_Species\Illegal_Killing_Mediterranean_TF\COP12\French\cms_cop12_doc.24.1.1_rev.2_abattage-ill&#233;gal-oiseaux_f.docx" TargetMode="External"/><Relationship Id="rId53" Type="http://schemas.openxmlformats.org/officeDocument/2006/relationships/hyperlink" Target="file:///S:\TEAMS-Species\TEAM_Avian_Species\Illegal_Killing_Mediterranean_TF\COP12\French\cms_cop12_doc.24.1.1_rev.2_abattage-ill&#233;gal-oiseaux_f.docx" TargetMode="External"/><Relationship Id="rId58" Type="http://schemas.openxmlformats.org/officeDocument/2006/relationships/image" Target="media/image5.tif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S:\TEAMS-Species\TEAM_Avian_Species\Illegal_Killing_Mediterranean_TF\COP12\French\cms_cop12_doc.24.1.1_rev.2_abattage-ill&#233;gal-oiseaux_f.docx" TargetMode="External"/><Relationship Id="rId23" Type="http://schemas.openxmlformats.org/officeDocument/2006/relationships/hyperlink" Target="file:///S:\TEAMS-Species\TEAM_Avian_Species\Illegal_Killing_Mediterranean_TF\COP12\French\cms_cop12_doc.24.1.1_rev.2_abattage-ill&#233;gal-oiseaux_f.docx" TargetMode="External"/><Relationship Id="rId28" Type="http://schemas.openxmlformats.org/officeDocument/2006/relationships/hyperlink" Target="file:///S:\TEAMS-Species\TEAM_Avian_Species\Illegal_Killing_Mediterranean_TF\COP12\French\cms_cop12_doc.24.1.1_rev.2_abattage-ill&#233;gal-oiseaux_f.docx" TargetMode="External"/><Relationship Id="rId36" Type="http://schemas.openxmlformats.org/officeDocument/2006/relationships/hyperlink" Target="file:///S:\TEAMS-Species\TEAM_Avian_Species\Illegal_Killing_Mediterranean_TF\COP12\French\cms_cop12_doc.24.1.1_rev.2_abattage-ill&#233;gal-oiseaux_f.docx" TargetMode="External"/><Relationship Id="rId49" Type="http://schemas.openxmlformats.org/officeDocument/2006/relationships/hyperlink" Target="file:///S:\TEAMS-Species\TEAM_Avian_Species\Illegal_Killing_Mediterranean_TF\COP12\French\cms_cop12_doc.24.1.1_rev.2_abattage-ill&#233;gal-oiseaux_f.docx" TargetMode="External"/><Relationship Id="rId57" Type="http://schemas.openxmlformats.org/officeDocument/2006/relationships/image" Target="media/image4.emf"/><Relationship Id="rId61" Type="http://schemas.openxmlformats.org/officeDocument/2006/relationships/image" Target="media/image8.jpeg"/><Relationship Id="rId10" Type="http://schemas.openxmlformats.org/officeDocument/2006/relationships/hyperlink" Target="file:///S:\TEAMS-Species\TEAM_Avian_Species\Illegal_Killing_Mediterranean_TF\COP12\French\cms_cop12_doc.24.1.1_rev.2_abattage-ill&#233;gal-oiseaux_f.docx" TargetMode="External"/><Relationship Id="rId19" Type="http://schemas.openxmlformats.org/officeDocument/2006/relationships/hyperlink" Target="file:///S:\TEAMS-Species\TEAM_Avian_Species\Illegal_Killing_Mediterranean_TF\COP12\French\cms_cop12_doc.24.1.1_rev.2_abattage-ill&#233;gal-oiseaux_f.docx" TargetMode="External"/><Relationship Id="rId31" Type="http://schemas.openxmlformats.org/officeDocument/2006/relationships/hyperlink" Target="file:///S:\TEAMS-Species\TEAM_Avian_Species\Illegal_Killing_Mediterranean_TF\COP12\French\cms_cop12_doc.24.1.1_rev.2_abattage-ill&#233;gal-oiseaux_f.docx" TargetMode="External"/><Relationship Id="rId44" Type="http://schemas.openxmlformats.org/officeDocument/2006/relationships/hyperlink" Target="file:///S:\TEAMS-Species\TEAM_Avian_Species\Illegal_Killing_Mediterranean_TF\COP12\French\cms_cop12_doc.24.1.1_rev.2_abattage-ill&#233;gal-oiseaux_f.docx" TargetMode="External"/><Relationship Id="rId52" Type="http://schemas.openxmlformats.org/officeDocument/2006/relationships/hyperlink" Target="file:///S:\TEAMS-Species\TEAM_Avian_Species\Illegal_Killing_Mediterranean_TF\COP12\French\cms_cop12_doc.24.1.1_rev.2_abattage-ill&#233;gal-oiseaux_f.docx" TargetMode="External"/><Relationship Id="rId60" Type="http://schemas.openxmlformats.org/officeDocument/2006/relationships/image" Target="media/image7.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S:\TEAMS-Species\TEAM_Avian_Species\Illegal_Killing_Mediterranean_TF\COP12\French\cms_cop12_doc.24.1.1_rev.2_abattage-ill&#233;gal-oiseaux_f.docx" TargetMode="External"/><Relationship Id="rId14" Type="http://schemas.openxmlformats.org/officeDocument/2006/relationships/hyperlink" Target="file:///S:\TEAMS-Species\TEAM_Avian_Species\Illegal_Killing_Mediterranean_TF\COP12\French\cms_cop12_doc.24.1.1_rev.2_abattage-ill&#233;gal-oiseaux_f.docx" TargetMode="External"/><Relationship Id="rId22" Type="http://schemas.openxmlformats.org/officeDocument/2006/relationships/hyperlink" Target="file:///S:\TEAMS-Species\TEAM_Avian_Species\Illegal_Killing_Mediterranean_TF\COP12\French\cms_cop12_doc.24.1.1_rev.2_abattage-ill&#233;gal-oiseaux_f.docx" TargetMode="External"/><Relationship Id="rId27" Type="http://schemas.openxmlformats.org/officeDocument/2006/relationships/hyperlink" Target="file:///S:\TEAMS-Species\TEAM_Avian_Species\Illegal_Killing_Mediterranean_TF\COP12\French\cms_cop12_doc.24.1.1_rev.2_abattage-ill&#233;gal-oiseaux_f.docx" TargetMode="External"/><Relationship Id="rId30" Type="http://schemas.openxmlformats.org/officeDocument/2006/relationships/hyperlink" Target="file:///S:\TEAMS-Species\TEAM_Avian_Species\Illegal_Killing_Mediterranean_TF\COP12\French\cms_cop12_doc.24.1.1_rev.2_abattage-ill&#233;gal-oiseaux_f.docx" TargetMode="External"/><Relationship Id="rId35" Type="http://schemas.openxmlformats.org/officeDocument/2006/relationships/hyperlink" Target="file:///S:\TEAMS-Species\TEAM_Avian_Species\Illegal_Killing_Mediterranean_TF\COP12\French\cms_cop12_doc.24.1.1_rev.2_abattage-ill&#233;gal-oiseaux_f.docx" TargetMode="External"/><Relationship Id="rId43" Type="http://schemas.openxmlformats.org/officeDocument/2006/relationships/hyperlink" Target="file:///S:\TEAMS-Species\TEAM_Avian_Species\Illegal_Killing_Mediterranean_TF\COP12\French\cms_cop12_doc.24.1.1_rev.2_abattage-ill&#233;gal-oiseaux_f.docx" TargetMode="External"/><Relationship Id="rId48" Type="http://schemas.openxmlformats.org/officeDocument/2006/relationships/hyperlink" Target="file:///S:\TEAMS-Species\TEAM_Avian_Species\Illegal_Killing_Mediterranean_TF\COP12\French\cms_cop12_doc.24.1.1_rev.2_abattage-ill&#233;gal-oiseaux_f.docx" TargetMode="External"/><Relationship Id="rId56" Type="http://schemas.openxmlformats.org/officeDocument/2006/relationships/image" Target="media/image3.emf"/><Relationship Id="rId64" Type="http://schemas.openxmlformats.org/officeDocument/2006/relationships/image" Target="media/image11.jpeg"/><Relationship Id="rId8" Type="http://schemas.openxmlformats.org/officeDocument/2006/relationships/image" Target="media/image1.jpeg"/><Relationship Id="rId51" Type="http://schemas.openxmlformats.org/officeDocument/2006/relationships/hyperlink" Target="file:///S:\TEAMS-Species\TEAM_Avian_Species\Illegal_Killing_Mediterranean_TF\COP12\French\cms_cop12_doc.24.1.1_rev.2_abattage-ill&#233;gal-oiseaux_f.docx" TargetMode="External"/><Relationship Id="rId3" Type="http://schemas.microsoft.com/office/2007/relationships/stylesWithEffects" Target="stylesWithEffects.xml"/><Relationship Id="rId12" Type="http://schemas.openxmlformats.org/officeDocument/2006/relationships/hyperlink" Target="file:///S:\TEAMS-Species\TEAM_Avian_Species\Illegal_Killing_Mediterranean_TF\COP12\French\cms_cop12_doc.24.1.1_rev.2_abattage-ill&#233;gal-oiseaux_f.docx" TargetMode="External"/><Relationship Id="rId17" Type="http://schemas.openxmlformats.org/officeDocument/2006/relationships/hyperlink" Target="file:///S:\TEAMS-Species\TEAM_Avian_Species\Illegal_Killing_Mediterranean_TF\COP12\French\cms_cop12_doc.24.1.1_rev.2_abattage-ill&#233;gal-oiseaux_f.docx" TargetMode="External"/><Relationship Id="rId25" Type="http://schemas.openxmlformats.org/officeDocument/2006/relationships/hyperlink" Target="file:///S:\TEAMS-Species\TEAM_Avian_Species\Illegal_Killing_Mediterranean_TF\COP12\French\cms_cop12_doc.24.1.1_rev.2_abattage-ill&#233;gal-oiseaux_f.docx" TargetMode="External"/><Relationship Id="rId33" Type="http://schemas.openxmlformats.org/officeDocument/2006/relationships/hyperlink" Target="file:///S:\TEAMS-Species\TEAM_Avian_Species\Illegal_Killing_Mediterranean_TF\COP12\French\cms_cop12_doc.24.1.1_rev.2_abattage-ill&#233;gal-oiseaux_f.docx" TargetMode="External"/><Relationship Id="rId38" Type="http://schemas.openxmlformats.org/officeDocument/2006/relationships/hyperlink" Target="file:///S:\TEAMS-Species\TEAM_Avian_Species\Illegal_Killing_Mediterranean_TF\COP12\French\cms_cop12_doc.24.1.1_rev.2_abattage-ill&#233;gal-oiseaux_f.docx" TargetMode="External"/><Relationship Id="rId46" Type="http://schemas.openxmlformats.org/officeDocument/2006/relationships/hyperlink" Target="file:///S:\TEAMS-Species\TEAM_Avian_Species\Illegal_Killing_Mediterranean_TF\COP12\French\cms_cop12_doc.24.1.1_rev.2_abattage-ill&#233;gal-oiseaux_f.docx" TargetMode="External"/><Relationship Id="rId59"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cd.coe.int/com.instranet.InstraServlet?command=com.instranet.CmdBlobGet&amp;InstranetImage=2919703&amp;SecMode=1&amp;DocId=2369656&amp;Usage=2" TargetMode="External"/><Relationship Id="rId2" Type="http://schemas.openxmlformats.org/officeDocument/2006/relationships/hyperlink" Target="http://www.cms.int/en/document/best-practice-guide-monitoring-illegal-and-taking-birds" TargetMode="External"/><Relationship Id="rId1" Type="http://schemas.openxmlformats.org/officeDocument/2006/relationships/hyperlink" Target="https://cites.org/eng/prog/iccwc.php" TargetMode="External"/><Relationship Id="rId4" Type="http://schemas.openxmlformats.org/officeDocument/2006/relationships/hyperlink" Target="https://wcd.coe.int/com.instranet.InstraServlet?command=com.instranet.CmdBlobGet&amp;InstranetImage=1952251&amp;SecMode=1&amp;DocId=1646536&amp;Usag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16212</Words>
  <Characters>89167</Characters>
  <Application>Microsoft Office Word</Application>
  <DocSecurity>0</DocSecurity>
  <Lines>743</Lines>
  <Paragraphs>210</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105169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2019-01-22T10:25:00Z</dcterms:created>
  <dcterms:modified xsi:type="dcterms:W3CDTF">2019-01-22T10:26:00Z</dcterms:modified>
</cp:coreProperties>
</file>