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3FFC" w:rsidRPr="009803B5" w:rsidRDefault="00143FFC" w:rsidP="004E6594">
      <w:pPr>
        <w:pStyle w:val="FootnoteText"/>
        <w:widowControl/>
        <w:rPr>
          <w:rFonts w:ascii="Times New Roman" w:eastAsia="Times New Roman" w:hAnsi="Times New Roman" w:cs="Times New Roman"/>
          <w:lang w:val="fr-FR"/>
        </w:rPr>
      </w:pPr>
    </w:p>
    <w:p w:rsidR="00143FFC" w:rsidRPr="009803B5" w:rsidRDefault="00143FFC" w:rsidP="004E6594">
      <w:pPr>
        <w:pStyle w:val="FootnoteText"/>
        <w:widowControl/>
        <w:rPr>
          <w:rFonts w:ascii="Times New Roman" w:eastAsia="Times New Roman" w:hAnsi="Times New Roman" w:cs="Times New Roman"/>
          <w:lang w:val="fr-FR"/>
        </w:rPr>
      </w:pPr>
    </w:p>
    <w:p w:rsidR="00143FFC" w:rsidRPr="009803B5" w:rsidRDefault="00143FFC" w:rsidP="004E6594">
      <w:pPr>
        <w:pStyle w:val="FootnoteText"/>
        <w:widowControl/>
        <w:rPr>
          <w:rFonts w:ascii="Times New Roman" w:eastAsia="Times New Roman" w:hAnsi="Times New Roman" w:cs="Times New Roman"/>
          <w:lang w:val="fr-FR"/>
        </w:rPr>
      </w:pPr>
    </w:p>
    <w:p w:rsidR="00143FFC" w:rsidRPr="009803B5" w:rsidRDefault="00143FFC" w:rsidP="004E6594">
      <w:pPr>
        <w:pStyle w:val="FootnoteText"/>
        <w:widowControl/>
        <w:rPr>
          <w:rFonts w:ascii="Times New Roman" w:eastAsia="Times New Roman" w:hAnsi="Times New Roman" w:cs="Times New Roman"/>
          <w:lang w:val="fr-FR"/>
        </w:rPr>
      </w:pPr>
    </w:p>
    <w:p w:rsidR="00143FFC" w:rsidRPr="009803B5" w:rsidRDefault="00143FFC" w:rsidP="004E6594">
      <w:pPr>
        <w:pStyle w:val="FootnoteText"/>
        <w:widowControl/>
        <w:rPr>
          <w:rFonts w:ascii="Times New Roman" w:eastAsia="Times New Roman" w:hAnsi="Times New Roman" w:cs="Times New Roman"/>
          <w:lang w:val="fr-FR"/>
        </w:rPr>
      </w:pPr>
    </w:p>
    <w:p w:rsidR="00143FFC" w:rsidRPr="009803B5" w:rsidRDefault="00143FFC" w:rsidP="004E6594">
      <w:pPr>
        <w:pStyle w:val="FootnoteText"/>
        <w:widowControl/>
        <w:rPr>
          <w:rFonts w:ascii="Times New Roman" w:eastAsia="Times New Roman" w:hAnsi="Times New Roman" w:cs="Times New Roman"/>
          <w:lang w:val="fr-FR"/>
        </w:rPr>
      </w:pPr>
    </w:p>
    <w:p w:rsidR="00143FFC" w:rsidRPr="009803B5" w:rsidRDefault="00143FFC" w:rsidP="004E6594">
      <w:pPr>
        <w:pStyle w:val="Corps"/>
      </w:pPr>
    </w:p>
    <w:p w:rsidR="00143FFC" w:rsidRPr="009803B5" w:rsidRDefault="00143FFC" w:rsidP="004E6594">
      <w:pPr>
        <w:pStyle w:val="Corps"/>
      </w:pPr>
    </w:p>
    <w:p w:rsidR="00143FFC" w:rsidRPr="009803B5" w:rsidRDefault="00143FFC" w:rsidP="004E6594">
      <w:pPr>
        <w:pStyle w:val="Corps"/>
      </w:pPr>
    </w:p>
    <w:p w:rsidR="00143FFC" w:rsidRPr="009803B5" w:rsidRDefault="00143FFC" w:rsidP="004E6594">
      <w:pPr>
        <w:pStyle w:val="Corps"/>
      </w:pPr>
    </w:p>
    <w:p w:rsidR="00143FFC" w:rsidRPr="009803B5" w:rsidRDefault="00143FFC" w:rsidP="004E6594">
      <w:pPr>
        <w:pStyle w:val="Corps"/>
      </w:pPr>
    </w:p>
    <w:p w:rsidR="00143FFC" w:rsidRPr="009803B5" w:rsidRDefault="00143FFC" w:rsidP="004E6594">
      <w:pPr>
        <w:pStyle w:val="Corps"/>
        <w:tabs>
          <w:tab w:val="right" w:pos="9044"/>
        </w:tabs>
        <w:ind w:left="8931" w:hanging="8931"/>
      </w:pPr>
    </w:p>
    <w:p w:rsidR="00143FFC" w:rsidRPr="009803B5" w:rsidRDefault="00143FFC" w:rsidP="004E6594">
      <w:pPr>
        <w:pStyle w:val="Corps"/>
        <w:tabs>
          <w:tab w:val="right" w:pos="8931"/>
          <w:tab w:val="right" w:pos="9044"/>
        </w:tabs>
      </w:pPr>
    </w:p>
    <w:p w:rsidR="00143FFC" w:rsidRPr="009803B5" w:rsidRDefault="004E6594" w:rsidP="004E6594">
      <w:pPr>
        <w:pStyle w:val="traduction"/>
        <w:widowControl w:val="0"/>
        <w:tabs>
          <w:tab w:val="left" w:pos="1134"/>
          <w:tab w:val="right" w:pos="9026"/>
        </w:tabs>
        <w:jc w:val="both"/>
        <w:rPr>
          <w:sz w:val="22"/>
          <w:szCs w:val="22"/>
        </w:rPr>
      </w:pPr>
      <w:r w:rsidRPr="009803B5">
        <w:rPr>
          <w:sz w:val="22"/>
          <w:szCs w:val="22"/>
        </w:rPr>
        <w:t xml:space="preserve">Strasbourg, </w:t>
      </w:r>
      <w:r w:rsidR="00EA7564">
        <w:rPr>
          <w:sz w:val="22"/>
          <w:szCs w:val="22"/>
        </w:rPr>
        <w:t>le 30</w:t>
      </w:r>
      <w:r w:rsidR="0039586F">
        <w:rPr>
          <w:sz w:val="22"/>
          <w:szCs w:val="22"/>
        </w:rPr>
        <w:t xml:space="preserve"> </w:t>
      </w:r>
      <w:r w:rsidR="00EA7564">
        <w:rPr>
          <w:sz w:val="22"/>
          <w:szCs w:val="22"/>
        </w:rPr>
        <w:t>novembre</w:t>
      </w:r>
      <w:r w:rsidR="006811D3" w:rsidRPr="009803B5">
        <w:rPr>
          <w:sz w:val="22"/>
          <w:szCs w:val="22"/>
        </w:rPr>
        <w:t xml:space="preserve"> </w:t>
      </w:r>
      <w:r w:rsidR="00E723A3" w:rsidRPr="009803B5">
        <w:rPr>
          <w:sz w:val="22"/>
          <w:szCs w:val="22"/>
        </w:rPr>
        <w:t>2018</w:t>
      </w:r>
      <w:r w:rsidRPr="009803B5">
        <w:rPr>
          <w:sz w:val="22"/>
          <w:szCs w:val="22"/>
        </w:rPr>
        <w:tab/>
      </w:r>
      <w:r w:rsidR="00C5726D" w:rsidRPr="009803B5">
        <w:rPr>
          <w:rFonts w:ascii="Times New Roman Bold"/>
          <w:sz w:val="22"/>
          <w:szCs w:val="22"/>
        </w:rPr>
        <w:t>T-PVS(201</w:t>
      </w:r>
      <w:r w:rsidR="00E723A3" w:rsidRPr="009803B5">
        <w:rPr>
          <w:rFonts w:ascii="Times New Roman Bold"/>
          <w:sz w:val="22"/>
          <w:szCs w:val="22"/>
        </w:rPr>
        <w:t>8</w:t>
      </w:r>
      <w:r w:rsidRPr="009803B5">
        <w:rPr>
          <w:rFonts w:ascii="Times New Roman Bold"/>
          <w:sz w:val="22"/>
          <w:szCs w:val="22"/>
        </w:rPr>
        <w:t>)</w:t>
      </w:r>
      <w:r w:rsidR="0039586F">
        <w:rPr>
          <w:rFonts w:ascii="Times New Roman Bold"/>
          <w:sz w:val="22"/>
          <w:szCs w:val="22"/>
        </w:rPr>
        <w:t>10</w:t>
      </w:r>
    </w:p>
    <w:p w:rsidR="00143FFC" w:rsidRPr="009803B5" w:rsidRDefault="004E6594" w:rsidP="004E6594">
      <w:pPr>
        <w:pStyle w:val="traduction"/>
        <w:widowControl w:val="0"/>
        <w:tabs>
          <w:tab w:val="left" w:pos="1134"/>
          <w:tab w:val="right" w:pos="9026"/>
        </w:tabs>
        <w:jc w:val="both"/>
        <w:rPr>
          <w:sz w:val="22"/>
          <w:szCs w:val="22"/>
        </w:rPr>
      </w:pPr>
      <w:r w:rsidRPr="009803B5">
        <w:rPr>
          <w:sz w:val="22"/>
          <w:szCs w:val="22"/>
        </w:rPr>
        <w:t>[tpvs</w:t>
      </w:r>
      <w:r w:rsidR="0039586F">
        <w:rPr>
          <w:sz w:val="22"/>
          <w:szCs w:val="22"/>
        </w:rPr>
        <w:t>1</w:t>
      </w:r>
      <w:r w:rsidR="00E723A3" w:rsidRPr="009803B5">
        <w:rPr>
          <w:sz w:val="22"/>
          <w:szCs w:val="22"/>
        </w:rPr>
        <w:t>0</w:t>
      </w:r>
      <w:r w:rsidR="006811D3" w:rsidRPr="009803B5">
        <w:rPr>
          <w:sz w:val="22"/>
          <w:szCs w:val="22"/>
        </w:rPr>
        <w:t>f</w:t>
      </w:r>
      <w:r w:rsidRPr="009803B5">
        <w:rPr>
          <w:sz w:val="22"/>
          <w:szCs w:val="22"/>
        </w:rPr>
        <w:t>_201</w:t>
      </w:r>
      <w:r w:rsidR="00E723A3" w:rsidRPr="009803B5">
        <w:rPr>
          <w:sz w:val="22"/>
          <w:szCs w:val="22"/>
        </w:rPr>
        <w:t>8</w:t>
      </w:r>
      <w:r w:rsidRPr="009803B5">
        <w:rPr>
          <w:sz w:val="22"/>
          <w:szCs w:val="22"/>
        </w:rPr>
        <w:t>.docx]</w:t>
      </w:r>
    </w:p>
    <w:p w:rsidR="00143FFC" w:rsidRPr="009803B5" w:rsidRDefault="00143FFC" w:rsidP="004E6594">
      <w:pPr>
        <w:pStyle w:val="traduction"/>
        <w:widowControl w:val="0"/>
        <w:tabs>
          <w:tab w:val="left" w:pos="1134"/>
          <w:tab w:val="right" w:pos="9026"/>
        </w:tabs>
        <w:jc w:val="both"/>
        <w:rPr>
          <w:sz w:val="22"/>
          <w:szCs w:val="22"/>
          <w:shd w:val="clear" w:color="auto" w:fill="FFFF00"/>
        </w:rPr>
      </w:pPr>
    </w:p>
    <w:p w:rsidR="00143FFC" w:rsidRPr="009803B5" w:rsidRDefault="00143FFC" w:rsidP="004E6594">
      <w:pPr>
        <w:pStyle w:val="traduction"/>
        <w:widowControl w:val="0"/>
        <w:tabs>
          <w:tab w:val="left" w:pos="1134"/>
          <w:tab w:val="right" w:pos="9026"/>
        </w:tabs>
        <w:jc w:val="both"/>
        <w:rPr>
          <w:sz w:val="22"/>
          <w:szCs w:val="22"/>
          <w:shd w:val="clear" w:color="auto" w:fill="FFFF00"/>
        </w:rPr>
      </w:pPr>
    </w:p>
    <w:p w:rsidR="00143FFC" w:rsidRPr="009803B5" w:rsidRDefault="006811D3" w:rsidP="004E6594">
      <w:pPr>
        <w:pStyle w:val="Corps"/>
        <w:tabs>
          <w:tab w:val="right" w:pos="9044"/>
        </w:tabs>
        <w:jc w:val="center"/>
        <w:rPr>
          <w:caps/>
        </w:rPr>
      </w:pPr>
      <w:r w:rsidRPr="009803B5">
        <w:t xml:space="preserve">CONVENTION RELATIVE A LA CONSERVATION DE LA VIE SAUVAGE </w:t>
      </w:r>
    </w:p>
    <w:p w:rsidR="00143FFC" w:rsidRPr="009803B5" w:rsidRDefault="006811D3" w:rsidP="004E6594">
      <w:pPr>
        <w:pStyle w:val="Corps"/>
        <w:tabs>
          <w:tab w:val="right" w:pos="9044"/>
        </w:tabs>
        <w:jc w:val="center"/>
        <w:rPr>
          <w:caps/>
        </w:rPr>
      </w:pPr>
      <w:r w:rsidRPr="009803B5">
        <w:t>ET DU MILIEU NATUREL DE L'EUROPE</w:t>
      </w:r>
    </w:p>
    <w:p w:rsidR="00143FFC" w:rsidRPr="009803B5" w:rsidRDefault="00143FFC" w:rsidP="004E6594">
      <w:pPr>
        <w:pStyle w:val="Corps"/>
        <w:tabs>
          <w:tab w:val="right" w:pos="9044"/>
        </w:tabs>
      </w:pPr>
    </w:p>
    <w:p w:rsidR="00143FFC" w:rsidRPr="009803B5" w:rsidRDefault="006811D3" w:rsidP="004E6594">
      <w:pPr>
        <w:pStyle w:val="Corps"/>
        <w:tabs>
          <w:tab w:val="right" w:pos="8789"/>
        </w:tabs>
        <w:jc w:val="center"/>
        <w:rPr>
          <w:rFonts w:eastAsia="Times New Roman Bold"/>
          <w:b/>
          <w:sz w:val="24"/>
          <w:szCs w:val="24"/>
        </w:rPr>
      </w:pPr>
      <w:r w:rsidRPr="009803B5">
        <w:rPr>
          <w:b/>
          <w:sz w:val="24"/>
          <w:szCs w:val="24"/>
        </w:rPr>
        <w:t>Comité permanent</w:t>
      </w:r>
    </w:p>
    <w:p w:rsidR="00143FFC" w:rsidRPr="009803B5" w:rsidRDefault="00143FFC" w:rsidP="004E6594">
      <w:pPr>
        <w:pStyle w:val="Corps"/>
        <w:tabs>
          <w:tab w:val="right" w:pos="8789"/>
        </w:tabs>
        <w:jc w:val="center"/>
        <w:rPr>
          <w:sz w:val="24"/>
          <w:szCs w:val="24"/>
        </w:rPr>
      </w:pPr>
    </w:p>
    <w:p w:rsidR="00143FFC" w:rsidRPr="009803B5" w:rsidRDefault="00C5726D" w:rsidP="004E6594">
      <w:pPr>
        <w:pStyle w:val="Corps"/>
        <w:tabs>
          <w:tab w:val="right" w:pos="8789"/>
        </w:tabs>
        <w:jc w:val="center"/>
        <w:rPr>
          <w:sz w:val="24"/>
          <w:szCs w:val="24"/>
        </w:rPr>
      </w:pPr>
      <w:r w:rsidRPr="009803B5">
        <w:rPr>
          <w:sz w:val="24"/>
          <w:szCs w:val="24"/>
        </w:rPr>
        <w:t>3</w:t>
      </w:r>
      <w:r w:rsidR="00E723A3" w:rsidRPr="009803B5">
        <w:rPr>
          <w:sz w:val="24"/>
          <w:szCs w:val="24"/>
        </w:rPr>
        <w:t>8</w:t>
      </w:r>
      <w:r w:rsidR="006811D3" w:rsidRPr="009803B5">
        <w:rPr>
          <w:sz w:val="24"/>
          <w:szCs w:val="24"/>
          <w:vertAlign w:val="superscript"/>
        </w:rPr>
        <w:t>e</w:t>
      </w:r>
      <w:r w:rsidR="004E6594" w:rsidRPr="009803B5">
        <w:rPr>
          <w:sz w:val="24"/>
          <w:szCs w:val="24"/>
        </w:rPr>
        <w:t> </w:t>
      </w:r>
      <w:r w:rsidR="006811D3" w:rsidRPr="009803B5">
        <w:rPr>
          <w:sz w:val="24"/>
          <w:szCs w:val="24"/>
        </w:rPr>
        <w:t>réunion</w:t>
      </w:r>
    </w:p>
    <w:p w:rsidR="00143FFC" w:rsidRPr="009803B5" w:rsidRDefault="00C5726D" w:rsidP="004E6594">
      <w:pPr>
        <w:pStyle w:val="Corps"/>
        <w:tabs>
          <w:tab w:val="right" w:pos="8789"/>
        </w:tabs>
        <w:jc w:val="center"/>
        <w:rPr>
          <w:sz w:val="24"/>
          <w:szCs w:val="24"/>
        </w:rPr>
      </w:pPr>
      <w:r w:rsidRPr="009803B5">
        <w:rPr>
          <w:sz w:val="24"/>
          <w:szCs w:val="24"/>
        </w:rPr>
        <w:t xml:space="preserve">Strasbourg, </w:t>
      </w:r>
      <w:r w:rsidR="006811D3" w:rsidRPr="009803B5">
        <w:rPr>
          <w:sz w:val="24"/>
          <w:szCs w:val="24"/>
        </w:rPr>
        <w:t xml:space="preserve">27-30 novembre </w:t>
      </w:r>
      <w:r w:rsidR="00E723A3" w:rsidRPr="009803B5">
        <w:rPr>
          <w:sz w:val="24"/>
          <w:szCs w:val="24"/>
        </w:rPr>
        <w:t>2018</w:t>
      </w:r>
    </w:p>
    <w:p w:rsidR="00143FFC" w:rsidRPr="009803B5" w:rsidRDefault="00143FFC" w:rsidP="004E6594">
      <w:pPr>
        <w:pStyle w:val="Corps"/>
        <w:tabs>
          <w:tab w:val="right" w:pos="8931"/>
        </w:tabs>
        <w:rPr>
          <w:sz w:val="24"/>
          <w:szCs w:val="24"/>
        </w:rPr>
      </w:pPr>
    </w:p>
    <w:p w:rsidR="00143FFC" w:rsidRPr="009803B5" w:rsidRDefault="004E6594" w:rsidP="004E6594">
      <w:pPr>
        <w:pStyle w:val="Corps"/>
        <w:tabs>
          <w:tab w:val="right" w:pos="8931"/>
        </w:tabs>
        <w:jc w:val="center"/>
      </w:pPr>
      <w:r w:rsidRPr="009803B5">
        <w:t>__________</w:t>
      </w:r>
    </w:p>
    <w:p w:rsidR="00143FFC" w:rsidRPr="009803B5" w:rsidRDefault="00143FFC" w:rsidP="004E6594">
      <w:pPr>
        <w:pStyle w:val="Corps"/>
        <w:tabs>
          <w:tab w:val="right" w:pos="8789"/>
        </w:tabs>
      </w:pPr>
    </w:p>
    <w:p w:rsidR="00143FFC" w:rsidRPr="009803B5" w:rsidRDefault="00143FFC" w:rsidP="004E6594">
      <w:pPr>
        <w:tabs>
          <w:tab w:val="right" w:pos="8931"/>
        </w:tabs>
      </w:pPr>
    </w:p>
    <w:p w:rsidR="00143FFC" w:rsidRPr="009803B5" w:rsidRDefault="00143FFC" w:rsidP="004E6594">
      <w:pPr>
        <w:tabs>
          <w:tab w:val="right" w:pos="8931"/>
        </w:tabs>
      </w:pPr>
    </w:p>
    <w:p w:rsidR="00143FFC" w:rsidRPr="009803B5" w:rsidRDefault="00143FFC" w:rsidP="004E6594">
      <w:pPr>
        <w:tabs>
          <w:tab w:val="right" w:pos="8931"/>
        </w:tabs>
      </w:pPr>
    </w:p>
    <w:p w:rsidR="00143FFC" w:rsidRPr="009803B5" w:rsidRDefault="006811D3" w:rsidP="00976441">
      <w:pPr>
        <w:tabs>
          <w:tab w:val="left" w:pos="-1368"/>
          <w:tab w:val="left" w:pos="-912"/>
          <w:tab w:val="left" w:pos="456"/>
          <w:tab w:val="left" w:leader="dot" w:pos="9072"/>
        </w:tabs>
        <w:jc w:val="center"/>
        <w:rPr>
          <w:b/>
          <w:bCs/>
          <w:iCs/>
          <w:smallCaps/>
          <w:sz w:val="40"/>
          <w:szCs w:val="40"/>
        </w:rPr>
      </w:pPr>
      <w:r w:rsidRPr="009803B5">
        <w:rPr>
          <w:b/>
          <w:bCs/>
          <w:iCs/>
          <w:smallCaps/>
          <w:sz w:val="40"/>
          <w:szCs w:val="40"/>
        </w:rPr>
        <w:t>Recommandation</w:t>
      </w:r>
    </w:p>
    <w:p w:rsidR="00143FFC" w:rsidRPr="009803B5" w:rsidRDefault="0039586F" w:rsidP="0039586F">
      <w:pPr>
        <w:tabs>
          <w:tab w:val="left" w:pos="-1368"/>
          <w:tab w:val="left" w:pos="-912"/>
          <w:tab w:val="left" w:pos="456"/>
          <w:tab w:val="left" w:leader="dot" w:pos="9072"/>
        </w:tabs>
        <w:jc w:val="center"/>
        <w:rPr>
          <w:b/>
          <w:bCs/>
          <w:iCs/>
          <w:smallCaps/>
          <w:sz w:val="40"/>
          <w:szCs w:val="40"/>
        </w:rPr>
      </w:pPr>
      <w:r w:rsidRPr="0039586F">
        <w:rPr>
          <w:b/>
          <w:bCs/>
          <w:iCs/>
          <w:smallCaps/>
          <w:sz w:val="40"/>
          <w:szCs w:val="40"/>
        </w:rPr>
        <w:t xml:space="preserve">concernant les projets d'installations hydroélectriques sur le cours de la </w:t>
      </w:r>
      <w:proofErr w:type="spellStart"/>
      <w:r w:rsidRPr="0039586F">
        <w:rPr>
          <w:b/>
          <w:bCs/>
          <w:iCs/>
          <w:smallCaps/>
          <w:sz w:val="40"/>
          <w:szCs w:val="40"/>
        </w:rPr>
        <w:t>Vjosa</w:t>
      </w:r>
      <w:proofErr w:type="spellEnd"/>
      <w:r w:rsidRPr="0039586F">
        <w:rPr>
          <w:b/>
          <w:bCs/>
          <w:iCs/>
          <w:smallCaps/>
          <w:sz w:val="40"/>
          <w:szCs w:val="40"/>
        </w:rPr>
        <w:t xml:space="preserve"> (Albanie)</w:t>
      </w:r>
    </w:p>
    <w:p w:rsidR="00143FFC" w:rsidRPr="009803B5" w:rsidRDefault="00143FFC" w:rsidP="004E6594">
      <w:pPr>
        <w:tabs>
          <w:tab w:val="left" w:pos="-720"/>
        </w:tabs>
        <w:suppressAutoHyphens/>
        <w:jc w:val="center"/>
        <w:outlineLvl w:val="0"/>
        <w:rPr>
          <w:b/>
        </w:rPr>
      </w:pPr>
    </w:p>
    <w:p w:rsidR="00143FFC" w:rsidRPr="009803B5" w:rsidRDefault="00143FFC" w:rsidP="004E6594">
      <w:pPr>
        <w:tabs>
          <w:tab w:val="left" w:pos="-720"/>
        </w:tabs>
        <w:suppressAutoHyphens/>
        <w:jc w:val="center"/>
        <w:outlineLvl w:val="0"/>
        <w:rPr>
          <w:b/>
        </w:rPr>
      </w:pPr>
    </w:p>
    <w:p w:rsidR="00143FFC" w:rsidRPr="009803B5" w:rsidRDefault="00143FFC" w:rsidP="004E6594">
      <w:pPr>
        <w:tabs>
          <w:tab w:val="left" w:pos="-720"/>
        </w:tabs>
        <w:suppressAutoHyphens/>
        <w:jc w:val="center"/>
        <w:outlineLvl w:val="0"/>
        <w:rPr>
          <w:b/>
        </w:rPr>
      </w:pPr>
    </w:p>
    <w:p w:rsidR="00143FFC" w:rsidRPr="009803B5" w:rsidRDefault="00143FFC" w:rsidP="004E6594">
      <w:pPr>
        <w:tabs>
          <w:tab w:val="left" w:pos="-720"/>
        </w:tabs>
        <w:suppressAutoHyphens/>
        <w:jc w:val="center"/>
        <w:outlineLvl w:val="0"/>
        <w:rPr>
          <w:b/>
        </w:rPr>
      </w:pPr>
    </w:p>
    <w:p w:rsidR="00143FFC" w:rsidRPr="009803B5" w:rsidRDefault="00143FFC" w:rsidP="004E6594">
      <w:pPr>
        <w:tabs>
          <w:tab w:val="left" w:pos="-720"/>
        </w:tabs>
        <w:suppressAutoHyphens/>
        <w:jc w:val="center"/>
        <w:outlineLvl w:val="0"/>
        <w:rPr>
          <w:b/>
        </w:rPr>
      </w:pPr>
    </w:p>
    <w:p w:rsidR="00143FFC" w:rsidRPr="009803B5" w:rsidRDefault="00143FFC" w:rsidP="004E6594">
      <w:pPr>
        <w:tabs>
          <w:tab w:val="left" w:pos="-720"/>
        </w:tabs>
        <w:suppressAutoHyphens/>
        <w:jc w:val="center"/>
        <w:outlineLvl w:val="0"/>
        <w:rPr>
          <w:b/>
        </w:rPr>
      </w:pPr>
    </w:p>
    <w:p w:rsidR="00143FFC" w:rsidRPr="009803B5" w:rsidRDefault="00143FFC" w:rsidP="004E6594">
      <w:pPr>
        <w:tabs>
          <w:tab w:val="left" w:pos="-720"/>
        </w:tabs>
        <w:suppressAutoHyphens/>
        <w:jc w:val="center"/>
        <w:outlineLvl w:val="0"/>
        <w:rPr>
          <w:b/>
        </w:rPr>
      </w:pPr>
    </w:p>
    <w:p w:rsidR="00143FFC" w:rsidRPr="009803B5" w:rsidRDefault="00143FFC" w:rsidP="004E6594">
      <w:pPr>
        <w:tabs>
          <w:tab w:val="left" w:pos="-720"/>
        </w:tabs>
        <w:suppressAutoHyphens/>
        <w:jc w:val="center"/>
        <w:outlineLvl w:val="0"/>
        <w:rPr>
          <w:b/>
        </w:rPr>
      </w:pPr>
    </w:p>
    <w:p w:rsidR="00143FFC" w:rsidRDefault="00143FFC" w:rsidP="004E6594">
      <w:pPr>
        <w:tabs>
          <w:tab w:val="left" w:pos="-720"/>
        </w:tabs>
        <w:suppressAutoHyphens/>
        <w:jc w:val="center"/>
        <w:outlineLvl w:val="0"/>
        <w:rPr>
          <w:b/>
        </w:rPr>
      </w:pPr>
    </w:p>
    <w:p w:rsidR="0039586F" w:rsidRDefault="0039586F" w:rsidP="004E6594">
      <w:pPr>
        <w:tabs>
          <w:tab w:val="left" w:pos="-720"/>
        </w:tabs>
        <w:suppressAutoHyphens/>
        <w:jc w:val="center"/>
        <w:outlineLvl w:val="0"/>
        <w:rPr>
          <w:b/>
        </w:rPr>
      </w:pPr>
    </w:p>
    <w:p w:rsidR="0039586F" w:rsidRPr="009803B5" w:rsidRDefault="0039586F" w:rsidP="004E6594">
      <w:pPr>
        <w:tabs>
          <w:tab w:val="left" w:pos="-720"/>
        </w:tabs>
        <w:suppressAutoHyphens/>
        <w:jc w:val="center"/>
        <w:outlineLvl w:val="0"/>
        <w:rPr>
          <w:b/>
        </w:rPr>
      </w:pPr>
    </w:p>
    <w:p w:rsidR="00143FFC" w:rsidRPr="009803B5" w:rsidRDefault="00143FFC" w:rsidP="004E6594">
      <w:pPr>
        <w:tabs>
          <w:tab w:val="left" w:pos="-720"/>
        </w:tabs>
        <w:suppressAutoHyphens/>
        <w:jc w:val="center"/>
        <w:outlineLvl w:val="0"/>
        <w:rPr>
          <w:b/>
          <w:sz w:val="22"/>
          <w:szCs w:val="22"/>
        </w:rPr>
      </w:pPr>
    </w:p>
    <w:p w:rsidR="00143FFC" w:rsidRPr="009803B5" w:rsidRDefault="004E6594" w:rsidP="004E6594">
      <w:pPr>
        <w:tabs>
          <w:tab w:val="left" w:pos="-720"/>
          <w:tab w:val="left" w:pos="0"/>
        </w:tabs>
        <w:suppressAutoHyphens/>
        <w:jc w:val="center"/>
        <w:rPr>
          <w:i/>
          <w:sz w:val="22"/>
          <w:szCs w:val="22"/>
        </w:rPr>
      </w:pPr>
      <w:r w:rsidRPr="009803B5">
        <w:rPr>
          <w:i/>
          <w:sz w:val="22"/>
          <w:szCs w:val="22"/>
        </w:rPr>
        <w:t>Document</w:t>
      </w:r>
    </w:p>
    <w:p w:rsidR="00143FFC" w:rsidRPr="009803B5" w:rsidRDefault="00143FFC" w:rsidP="004E6594">
      <w:pPr>
        <w:tabs>
          <w:tab w:val="left" w:pos="-720"/>
          <w:tab w:val="left" w:pos="0"/>
        </w:tabs>
        <w:suppressAutoHyphens/>
        <w:jc w:val="center"/>
        <w:rPr>
          <w:i/>
          <w:iCs/>
          <w:sz w:val="22"/>
          <w:szCs w:val="22"/>
        </w:rPr>
      </w:pPr>
      <w:proofErr w:type="gramStart"/>
      <w:r w:rsidRPr="009803B5">
        <w:rPr>
          <w:i/>
          <w:iCs/>
          <w:sz w:val="22"/>
          <w:szCs w:val="22"/>
        </w:rPr>
        <w:t>préparé</w:t>
      </w:r>
      <w:proofErr w:type="gramEnd"/>
      <w:r w:rsidRPr="009803B5">
        <w:rPr>
          <w:i/>
          <w:iCs/>
          <w:sz w:val="22"/>
          <w:szCs w:val="22"/>
        </w:rPr>
        <w:t xml:space="preserve"> par la</w:t>
      </w:r>
    </w:p>
    <w:p w:rsidR="00143FFC" w:rsidRPr="009803B5" w:rsidRDefault="00143FFC" w:rsidP="0071584E">
      <w:pPr>
        <w:tabs>
          <w:tab w:val="left" w:pos="-720"/>
          <w:tab w:val="left" w:pos="0"/>
        </w:tabs>
        <w:suppressAutoHyphens/>
        <w:jc w:val="center"/>
        <w:rPr>
          <w:sz w:val="22"/>
          <w:szCs w:val="22"/>
        </w:rPr>
      </w:pPr>
      <w:r w:rsidRPr="009803B5">
        <w:rPr>
          <w:i/>
          <w:iCs/>
          <w:sz w:val="22"/>
          <w:szCs w:val="22"/>
        </w:rPr>
        <w:t xml:space="preserve">Direction de la </w:t>
      </w:r>
      <w:r w:rsidR="007446AF">
        <w:rPr>
          <w:i/>
          <w:iCs/>
          <w:sz w:val="22"/>
          <w:szCs w:val="22"/>
        </w:rPr>
        <w:t>P</w:t>
      </w:r>
      <w:r w:rsidRPr="009803B5">
        <w:rPr>
          <w:i/>
          <w:iCs/>
          <w:sz w:val="22"/>
          <w:szCs w:val="22"/>
        </w:rPr>
        <w:t xml:space="preserve">articipation démocratique </w:t>
      </w:r>
      <w:r w:rsidR="004E6594" w:rsidRPr="009803B5">
        <w:rPr>
          <w:sz w:val="22"/>
          <w:szCs w:val="22"/>
        </w:rPr>
        <w:br w:type="page"/>
      </w:r>
    </w:p>
    <w:p w:rsidR="0039586F" w:rsidRPr="00C91892" w:rsidRDefault="0039586F" w:rsidP="0039586F">
      <w:pPr>
        <w:spacing w:after="120"/>
        <w:jc w:val="both"/>
        <w:rPr>
          <w:color w:val="000000" w:themeColor="text1"/>
          <w:sz w:val="24"/>
          <w:szCs w:val="24"/>
        </w:rPr>
      </w:pPr>
      <w:r w:rsidRPr="00C91892">
        <w:rPr>
          <w:noProof/>
          <w:color w:val="000000" w:themeColor="text1"/>
          <w:lang w:val="en-US" w:eastAsia="en-US"/>
        </w:rPr>
        <w:lastRenderedPageBreak/>
        <w:drawing>
          <wp:anchor distT="0" distB="0" distL="114300" distR="114300" simplePos="0" relativeHeight="251659264" behindDoc="0" locked="1" layoutInCell="1" allowOverlap="1" wp14:anchorId="05A23A91" wp14:editId="3BAD88C5">
            <wp:simplePos x="0" y="0"/>
            <wp:positionH relativeFrom="page">
              <wp:posOffset>5243830</wp:posOffset>
            </wp:positionH>
            <wp:positionV relativeFrom="page">
              <wp:posOffset>720090</wp:posOffset>
            </wp:positionV>
            <wp:extent cx="1438275" cy="1076325"/>
            <wp:effectExtent l="0" t="0" r="9525" b="9525"/>
            <wp:wrapSquare wrapText="bothSides"/>
            <wp:docPr id="7" name="Image 7" descr="NB_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B_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8275" cy="1076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586F" w:rsidRPr="00C91892" w:rsidRDefault="0039586F" w:rsidP="0039586F">
      <w:pPr>
        <w:tabs>
          <w:tab w:val="left" w:pos="380"/>
          <w:tab w:val="left" w:pos="709"/>
          <w:tab w:val="left" w:pos="3799"/>
          <w:tab w:val="right" w:pos="9063"/>
        </w:tabs>
        <w:spacing w:after="120"/>
        <w:ind w:left="1140" w:right="-50"/>
        <w:jc w:val="both"/>
        <w:rPr>
          <w:iCs/>
          <w:color w:val="000000" w:themeColor="text1"/>
          <w:sz w:val="24"/>
          <w:szCs w:val="24"/>
        </w:rPr>
      </w:pPr>
    </w:p>
    <w:p w:rsidR="0039586F" w:rsidRPr="00C91892" w:rsidRDefault="0039586F" w:rsidP="0039586F">
      <w:pPr>
        <w:tabs>
          <w:tab w:val="left" w:pos="380"/>
          <w:tab w:val="left" w:pos="709"/>
          <w:tab w:val="left" w:pos="3799"/>
          <w:tab w:val="right" w:pos="9063"/>
        </w:tabs>
        <w:spacing w:after="120"/>
        <w:ind w:left="1140" w:right="-50"/>
        <w:jc w:val="both"/>
        <w:rPr>
          <w:iCs/>
          <w:color w:val="000000" w:themeColor="text1"/>
          <w:sz w:val="24"/>
          <w:szCs w:val="24"/>
        </w:rPr>
      </w:pPr>
    </w:p>
    <w:p w:rsidR="0039586F" w:rsidRPr="00C91892" w:rsidRDefault="0039586F" w:rsidP="0039586F">
      <w:pPr>
        <w:tabs>
          <w:tab w:val="left" w:pos="380"/>
          <w:tab w:val="left" w:pos="709"/>
          <w:tab w:val="left" w:pos="3799"/>
          <w:tab w:val="right" w:pos="9063"/>
        </w:tabs>
        <w:spacing w:after="120"/>
        <w:ind w:left="1140" w:right="-50"/>
        <w:jc w:val="both"/>
        <w:rPr>
          <w:iCs/>
          <w:color w:val="000000" w:themeColor="text1"/>
          <w:sz w:val="24"/>
          <w:szCs w:val="24"/>
        </w:rPr>
      </w:pPr>
    </w:p>
    <w:p w:rsidR="0039586F" w:rsidRPr="00C91892" w:rsidRDefault="0039586F" w:rsidP="0039586F">
      <w:pPr>
        <w:tabs>
          <w:tab w:val="left" w:pos="380"/>
          <w:tab w:val="left" w:pos="709"/>
          <w:tab w:val="left" w:pos="3799"/>
          <w:tab w:val="right" w:pos="9063"/>
        </w:tabs>
        <w:spacing w:after="120"/>
        <w:ind w:left="1140" w:right="-50"/>
        <w:jc w:val="both"/>
        <w:rPr>
          <w:iCs/>
          <w:color w:val="000000" w:themeColor="text1"/>
          <w:sz w:val="24"/>
          <w:szCs w:val="24"/>
        </w:rPr>
      </w:pPr>
      <w:r w:rsidRPr="00C91892">
        <w:rPr>
          <w:iCs/>
          <w:color w:val="000000" w:themeColor="text1"/>
          <w:sz w:val="24"/>
          <w:szCs w:val="24"/>
        </w:rPr>
        <w:t>Convention relative à la conservation de la vie sauvage</w:t>
      </w:r>
    </w:p>
    <w:p w:rsidR="0039586F" w:rsidRPr="00C91892" w:rsidRDefault="0039586F" w:rsidP="0039586F">
      <w:pPr>
        <w:tabs>
          <w:tab w:val="left" w:pos="380"/>
          <w:tab w:val="left" w:pos="709"/>
          <w:tab w:val="left" w:pos="3799"/>
          <w:tab w:val="right" w:pos="9063"/>
        </w:tabs>
        <w:spacing w:after="120"/>
        <w:ind w:left="1140" w:right="-50"/>
        <w:jc w:val="both"/>
        <w:rPr>
          <w:iCs/>
          <w:color w:val="000000" w:themeColor="text1"/>
          <w:sz w:val="24"/>
          <w:szCs w:val="24"/>
        </w:rPr>
      </w:pPr>
      <w:proofErr w:type="gramStart"/>
      <w:r w:rsidRPr="00C91892">
        <w:rPr>
          <w:iCs/>
          <w:color w:val="000000" w:themeColor="text1"/>
          <w:sz w:val="24"/>
          <w:szCs w:val="24"/>
        </w:rPr>
        <w:t>et</w:t>
      </w:r>
      <w:proofErr w:type="gramEnd"/>
      <w:r w:rsidRPr="00C91892">
        <w:rPr>
          <w:iCs/>
          <w:color w:val="000000" w:themeColor="text1"/>
          <w:sz w:val="24"/>
          <w:szCs w:val="24"/>
        </w:rPr>
        <w:t xml:space="preserve"> du milieu naturel de l'Europe</w:t>
      </w:r>
    </w:p>
    <w:p w:rsidR="0039586F" w:rsidRPr="00C91892" w:rsidRDefault="0039586F" w:rsidP="0039586F">
      <w:pPr>
        <w:tabs>
          <w:tab w:val="left" w:pos="380"/>
          <w:tab w:val="left" w:pos="709"/>
          <w:tab w:val="left" w:pos="3799"/>
          <w:tab w:val="right" w:pos="9063"/>
        </w:tabs>
        <w:spacing w:after="120"/>
        <w:ind w:left="1140" w:right="-50"/>
        <w:jc w:val="both"/>
        <w:rPr>
          <w:iCs/>
          <w:color w:val="000000" w:themeColor="text1"/>
          <w:sz w:val="24"/>
          <w:szCs w:val="24"/>
        </w:rPr>
      </w:pPr>
    </w:p>
    <w:p w:rsidR="0039586F" w:rsidRPr="00C91892" w:rsidRDefault="0039586F" w:rsidP="0039586F">
      <w:pPr>
        <w:tabs>
          <w:tab w:val="left" w:pos="380"/>
          <w:tab w:val="left" w:pos="709"/>
          <w:tab w:val="left" w:pos="3799"/>
          <w:tab w:val="right" w:pos="9063"/>
        </w:tabs>
        <w:spacing w:after="120"/>
        <w:ind w:left="1140" w:right="-50"/>
        <w:jc w:val="both"/>
        <w:rPr>
          <w:iCs/>
          <w:color w:val="000000" w:themeColor="text1"/>
          <w:sz w:val="24"/>
          <w:szCs w:val="24"/>
        </w:rPr>
      </w:pPr>
      <w:r w:rsidRPr="00C91892">
        <w:rPr>
          <w:iCs/>
          <w:color w:val="000000" w:themeColor="text1"/>
          <w:sz w:val="24"/>
          <w:szCs w:val="24"/>
        </w:rPr>
        <w:t>Comité permanent</w:t>
      </w:r>
    </w:p>
    <w:p w:rsidR="0039586F" w:rsidRPr="00C91892" w:rsidRDefault="0039586F" w:rsidP="0039586F">
      <w:pPr>
        <w:pStyle w:val="NormalWeb"/>
        <w:spacing w:before="0" w:beforeAutospacing="0" w:after="120" w:afterAutospacing="0"/>
        <w:jc w:val="both"/>
        <w:rPr>
          <w:b/>
          <w:bCs/>
          <w:color w:val="000000" w:themeColor="text1"/>
          <w:sz w:val="24"/>
          <w:szCs w:val="24"/>
        </w:rPr>
      </w:pPr>
    </w:p>
    <w:p w:rsidR="00EA7564" w:rsidRPr="00EA7564" w:rsidRDefault="00EA7564" w:rsidP="00EA7564">
      <w:pPr>
        <w:spacing w:after="120"/>
        <w:jc w:val="both"/>
        <w:rPr>
          <w:rFonts w:eastAsia="Times New Roman"/>
          <w:b/>
          <w:bCs/>
          <w:color w:val="000000" w:themeColor="text1"/>
          <w:sz w:val="24"/>
          <w:szCs w:val="24"/>
          <w:lang w:eastAsia="es-ES"/>
        </w:rPr>
      </w:pPr>
      <w:bookmarkStart w:id="0" w:name="_GoBack"/>
      <w:r w:rsidRPr="00EA7564">
        <w:rPr>
          <w:rFonts w:eastAsia="Times New Roman"/>
          <w:b/>
          <w:bCs/>
          <w:color w:val="000000" w:themeColor="text1"/>
          <w:sz w:val="24"/>
          <w:szCs w:val="24"/>
          <w:lang w:eastAsia="es-ES"/>
        </w:rPr>
        <w:t xml:space="preserve">Recommandation n° 202 (2018) du Comité permanent, adopté le 30 novembre 2018, concernant les projets d'installations hydroélectriques sur le cours de la </w:t>
      </w:r>
      <w:proofErr w:type="spellStart"/>
      <w:r w:rsidRPr="00EA7564">
        <w:rPr>
          <w:rFonts w:eastAsia="Times New Roman"/>
          <w:b/>
          <w:bCs/>
          <w:color w:val="000000" w:themeColor="text1"/>
          <w:sz w:val="24"/>
          <w:szCs w:val="24"/>
          <w:lang w:eastAsia="es-ES"/>
        </w:rPr>
        <w:t>Vjosa</w:t>
      </w:r>
      <w:proofErr w:type="spellEnd"/>
      <w:r w:rsidRPr="00EA7564">
        <w:rPr>
          <w:rFonts w:eastAsia="Times New Roman"/>
          <w:b/>
          <w:bCs/>
          <w:color w:val="000000" w:themeColor="text1"/>
          <w:sz w:val="24"/>
          <w:szCs w:val="24"/>
          <w:lang w:eastAsia="es-ES"/>
        </w:rPr>
        <w:t xml:space="preserve"> (Albanie)</w:t>
      </w:r>
    </w:p>
    <w:bookmarkEnd w:id="0"/>
    <w:p w:rsidR="00EA7564" w:rsidRPr="00BD18FF" w:rsidRDefault="00EA7564" w:rsidP="00EA7564">
      <w:pPr>
        <w:tabs>
          <w:tab w:val="left" w:pos="-1440"/>
          <w:tab w:val="left" w:pos="-720"/>
          <w:tab w:val="left" w:pos="0"/>
          <w:tab w:val="left" w:pos="720"/>
          <w:tab w:val="left" w:pos="1440"/>
          <w:tab w:val="left" w:pos="2160"/>
          <w:tab w:val="left" w:pos="2881"/>
          <w:tab w:val="left" w:pos="3520"/>
          <w:tab w:val="left" w:pos="4320"/>
          <w:tab w:val="left" w:pos="5034"/>
          <w:tab w:val="left" w:pos="5760"/>
        </w:tabs>
        <w:spacing w:after="120"/>
        <w:jc w:val="both"/>
        <w:rPr>
          <w:color w:val="000000" w:themeColor="text1"/>
          <w:spacing w:val="-2"/>
          <w:sz w:val="22"/>
          <w:szCs w:val="22"/>
        </w:rPr>
      </w:pPr>
      <w:r w:rsidRPr="00BD18FF">
        <w:rPr>
          <w:color w:val="000000" w:themeColor="text1"/>
          <w:spacing w:val="-2"/>
          <w:sz w:val="22"/>
          <w:szCs w:val="22"/>
        </w:rPr>
        <w:t>Le Comité permanent de la Convention relative à la conservation de la vie sauvage et du milieu naturel de l'Europe, agissant en vertu de l'article 14 de la Convention,</w:t>
      </w:r>
    </w:p>
    <w:p w:rsidR="00EA7564" w:rsidRPr="00BD18FF" w:rsidRDefault="00EA7564" w:rsidP="00EA7564">
      <w:pPr>
        <w:tabs>
          <w:tab w:val="left" w:pos="-1440"/>
          <w:tab w:val="left" w:pos="-720"/>
          <w:tab w:val="left" w:pos="0"/>
          <w:tab w:val="left" w:pos="720"/>
          <w:tab w:val="left" w:pos="1440"/>
          <w:tab w:val="left" w:pos="2160"/>
          <w:tab w:val="left" w:pos="2881"/>
          <w:tab w:val="left" w:pos="3520"/>
          <w:tab w:val="left" w:pos="4320"/>
          <w:tab w:val="left" w:pos="5034"/>
          <w:tab w:val="left" w:pos="5760"/>
        </w:tabs>
        <w:spacing w:after="120"/>
        <w:jc w:val="both"/>
        <w:rPr>
          <w:color w:val="000000" w:themeColor="text1"/>
          <w:spacing w:val="-2"/>
          <w:sz w:val="22"/>
          <w:szCs w:val="22"/>
        </w:rPr>
      </w:pPr>
      <w:r w:rsidRPr="00BD18FF">
        <w:rPr>
          <w:color w:val="000000" w:themeColor="text1"/>
          <w:spacing w:val="-2"/>
          <w:sz w:val="22"/>
          <w:szCs w:val="22"/>
        </w:rPr>
        <w:t xml:space="preserve">Eu égard aux objectifs de la Convention, qui consistent à préserver la flore et la faune sauvages et leurs habitats naturels; </w:t>
      </w:r>
    </w:p>
    <w:p w:rsidR="00EA7564" w:rsidRPr="00BD18FF" w:rsidRDefault="00EA7564" w:rsidP="00EA7564">
      <w:pPr>
        <w:tabs>
          <w:tab w:val="left" w:pos="-1440"/>
          <w:tab w:val="left" w:pos="-720"/>
          <w:tab w:val="left" w:pos="0"/>
          <w:tab w:val="left" w:pos="720"/>
          <w:tab w:val="left" w:pos="1440"/>
          <w:tab w:val="left" w:pos="2160"/>
          <w:tab w:val="left" w:pos="2881"/>
          <w:tab w:val="left" w:pos="3520"/>
          <w:tab w:val="left" w:pos="4320"/>
          <w:tab w:val="left" w:pos="5034"/>
          <w:tab w:val="left" w:pos="5760"/>
        </w:tabs>
        <w:spacing w:after="120"/>
        <w:jc w:val="both"/>
        <w:rPr>
          <w:color w:val="000000" w:themeColor="text1"/>
          <w:spacing w:val="-2"/>
          <w:sz w:val="22"/>
          <w:szCs w:val="22"/>
        </w:rPr>
      </w:pPr>
      <w:r w:rsidRPr="00BD18FF">
        <w:rPr>
          <w:color w:val="000000" w:themeColor="text1"/>
          <w:spacing w:val="-2"/>
          <w:sz w:val="22"/>
          <w:szCs w:val="22"/>
        </w:rPr>
        <w:t xml:space="preserve">Rappelant qu'aux termes de l'article 3 de la Convention, chaque Partie contractante prend les mesures nécessaires pour que soient mises en œuvre des politiques nationales de conservation de la faune et de la flore sauvages et des habitats naturels, en accordant une attention particulière aux espèces menacées d'extinction et vulnérables, surtout aux espèces endémiques, et aux habitats menacés; </w:t>
      </w:r>
    </w:p>
    <w:p w:rsidR="00EA7564" w:rsidRPr="00BD18FF" w:rsidRDefault="00EA7564" w:rsidP="00EA7564">
      <w:pPr>
        <w:tabs>
          <w:tab w:val="left" w:pos="-1440"/>
          <w:tab w:val="left" w:pos="-720"/>
          <w:tab w:val="left" w:pos="0"/>
          <w:tab w:val="left" w:pos="720"/>
          <w:tab w:val="left" w:pos="1440"/>
          <w:tab w:val="left" w:pos="2160"/>
          <w:tab w:val="left" w:pos="2881"/>
          <w:tab w:val="left" w:pos="3520"/>
          <w:tab w:val="left" w:pos="4320"/>
          <w:tab w:val="left" w:pos="5034"/>
          <w:tab w:val="left" w:pos="5760"/>
        </w:tabs>
        <w:spacing w:after="120"/>
        <w:jc w:val="both"/>
        <w:rPr>
          <w:color w:val="000000" w:themeColor="text1"/>
          <w:spacing w:val="-2"/>
          <w:sz w:val="22"/>
          <w:szCs w:val="22"/>
        </w:rPr>
      </w:pPr>
      <w:r w:rsidRPr="00BD18FF">
        <w:rPr>
          <w:color w:val="000000" w:themeColor="text1"/>
          <w:spacing w:val="-2"/>
          <w:sz w:val="22"/>
          <w:szCs w:val="22"/>
        </w:rPr>
        <w:t>Rappelant que l'article 4, paragraphe 1, de la Convention prévoit que chaque Partie contractante prend les mesures législatives et réglementaires appropriées et nécessaires pour protéger notamment les habitats des espèces sauvages de la faune, en particulier de celles énumérées dans l'Annexe II de la Convention;</w:t>
      </w:r>
    </w:p>
    <w:p w:rsidR="00EA7564" w:rsidRPr="00BD18FF" w:rsidRDefault="00EA7564" w:rsidP="00EA7564">
      <w:pPr>
        <w:tabs>
          <w:tab w:val="left" w:pos="-1440"/>
          <w:tab w:val="left" w:pos="-720"/>
          <w:tab w:val="left" w:pos="0"/>
          <w:tab w:val="left" w:pos="720"/>
          <w:tab w:val="left" w:pos="1440"/>
          <w:tab w:val="left" w:pos="2160"/>
          <w:tab w:val="left" w:pos="2881"/>
          <w:tab w:val="left" w:pos="3520"/>
          <w:tab w:val="left" w:pos="4320"/>
          <w:tab w:val="left" w:pos="5034"/>
          <w:tab w:val="left" w:pos="5760"/>
        </w:tabs>
        <w:spacing w:after="120"/>
        <w:jc w:val="both"/>
        <w:rPr>
          <w:color w:val="000000" w:themeColor="text1"/>
          <w:spacing w:val="-2"/>
          <w:sz w:val="22"/>
          <w:szCs w:val="22"/>
        </w:rPr>
      </w:pPr>
      <w:r w:rsidRPr="00BD18FF">
        <w:rPr>
          <w:color w:val="000000" w:themeColor="text1"/>
          <w:spacing w:val="-2"/>
          <w:sz w:val="22"/>
          <w:szCs w:val="22"/>
        </w:rPr>
        <w:t xml:space="preserve">Constatant qu’une plainte concernant des allégations de nuisances liées à la création d'installations hydroélectriques sur le cours de la </w:t>
      </w:r>
      <w:proofErr w:type="spellStart"/>
      <w:r w:rsidRPr="00BD18FF">
        <w:rPr>
          <w:color w:val="000000" w:themeColor="text1"/>
          <w:spacing w:val="-2"/>
          <w:sz w:val="22"/>
          <w:szCs w:val="22"/>
        </w:rPr>
        <w:t>Vjosa</w:t>
      </w:r>
      <w:proofErr w:type="spellEnd"/>
      <w:r w:rsidRPr="00BD18FF">
        <w:rPr>
          <w:color w:val="000000" w:themeColor="text1"/>
          <w:spacing w:val="-2"/>
          <w:sz w:val="22"/>
          <w:szCs w:val="22"/>
        </w:rPr>
        <w:t>, en Albanie, a été adressée à la Convention en 2016 (plainte n° 2016/5);</w:t>
      </w:r>
    </w:p>
    <w:p w:rsidR="00EA7564" w:rsidRPr="00BD18FF" w:rsidRDefault="00EA7564" w:rsidP="00EA7564">
      <w:pPr>
        <w:tabs>
          <w:tab w:val="left" w:pos="-1440"/>
          <w:tab w:val="left" w:pos="-720"/>
          <w:tab w:val="left" w:pos="0"/>
          <w:tab w:val="left" w:pos="720"/>
          <w:tab w:val="left" w:pos="1440"/>
          <w:tab w:val="left" w:pos="2160"/>
          <w:tab w:val="left" w:pos="2881"/>
          <w:tab w:val="left" w:pos="3520"/>
          <w:tab w:val="left" w:pos="4320"/>
          <w:tab w:val="left" w:pos="5034"/>
          <w:tab w:val="left" w:pos="5760"/>
        </w:tabs>
        <w:spacing w:after="120"/>
        <w:jc w:val="both"/>
        <w:rPr>
          <w:color w:val="000000" w:themeColor="text1"/>
          <w:spacing w:val="-2"/>
          <w:sz w:val="22"/>
          <w:szCs w:val="22"/>
        </w:rPr>
      </w:pPr>
      <w:r w:rsidRPr="00BD18FF">
        <w:rPr>
          <w:color w:val="000000" w:themeColor="text1"/>
          <w:spacing w:val="-2"/>
          <w:sz w:val="22"/>
          <w:szCs w:val="22"/>
        </w:rPr>
        <w:t xml:space="preserve">Constatant que l’écosystème de la </w:t>
      </w:r>
      <w:proofErr w:type="spellStart"/>
      <w:r w:rsidRPr="00BD18FF">
        <w:rPr>
          <w:color w:val="000000" w:themeColor="text1"/>
          <w:spacing w:val="-2"/>
          <w:sz w:val="22"/>
          <w:szCs w:val="22"/>
        </w:rPr>
        <w:t>Vjosa</w:t>
      </w:r>
      <w:proofErr w:type="spellEnd"/>
      <w:r w:rsidRPr="00BD18FF">
        <w:rPr>
          <w:color w:val="000000" w:themeColor="text1"/>
          <w:spacing w:val="-2"/>
          <w:sz w:val="22"/>
          <w:szCs w:val="22"/>
        </w:rPr>
        <w:t xml:space="preserve"> est exceptionnel, et tout particulièrement dans son cours moyen où la construction de deux centrales hydroélectriques (</w:t>
      </w:r>
      <w:proofErr w:type="spellStart"/>
      <w:r w:rsidRPr="00BD18FF">
        <w:rPr>
          <w:color w:val="000000" w:themeColor="text1"/>
          <w:spacing w:val="-2"/>
          <w:sz w:val="22"/>
          <w:szCs w:val="22"/>
        </w:rPr>
        <w:t>Poçem</w:t>
      </w:r>
      <w:proofErr w:type="spellEnd"/>
      <w:r w:rsidRPr="00BD18FF">
        <w:rPr>
          <w:color w:val="000000" w:themeColor="text1"/>
          <w:spacing w:val="-2"/>
          <w:sz w:val="22"/>
          <w:szCs w:val="22"/>
        </w:rPr>
        <w:t xml:space="preserve"> et </w:t>
      </w:r>
      <w:proofErr w:type="spellStart"/>
      <w:r w:rsidRPr="00BD18FF">
        <w:rPr>
          <w:color w:val="000000" w:themeColor="text1"/>
          <w:spacing w:val="-2"/>
          <w:sz w:val="22"/>
          <w:szCs w:val="22"/>
        </w:rPr>
        <w:t>Kalivac</w:t>
      </w:r>
      <w:proofErr w:type="spellEnd"/>
      <w:r w:rsidRPr="00BD18FF">
        <w:rPr>
          <w:color w:val="000000" w:themeColor="text1"/>
          <w:spacing w:val="-2"/>
          <w:sz w:val="22"/>
          <w:szCs w:val="22"/>
        </w:rPr>
        <w:t xml:space="preserve">) est envisagée, un site où se succèdent des gorges étroites et d’amples vallées où la rivière suit un cours très dynamique au fil de chenaux alternant des bancs de sédiments, des hauts fonds mêlant des rochers, des galets et du sable, des îlots couverts de végétation (souvent à </w:t>
      </w:r>
      <w:proofErr w:type="spellStart"/>
      <w:r w:rsidRPr="00BD18FF">
        <w:rPr>
          <w:i/>
          <w:color w:val="000000" w:themeColor="text1"/>
          <w:spacing w:val="-2"/>
          <w:sz w:val="22"/>
          <w:szCs w:val="22"/>
        </w:rPr>
        <w:t>Salix</w:t>
      </w:r>
      <w:proofErr w:type="spellEnd"/>
      <w:r w:rsidRPr="00BD18FF">
        <w:rPr>
          <w:i/>
          <w:color w:val="000000" w:themeColor="text1"/>
          <w:spacing w:val="-2"/>
          <w:sz w:val="22"/>
          <w:szCs w:val="22"/>
        </w:rPr>
        <w:t xml:space="preserve"> </w:t>
      </w:r>
      <w:proofErr w:type="spellStart"/>
      <w:r w:rsidRPr="00BD18FF">
        <w:rPr>
          <w:i/>
          <w:color w:val="000000" w:themeColor="text1"/>
          <w:spacing w:val="-2"/>
          <w:sz w:val="22"/>
          <w:szCs w:val="22"/>
        </w:rPr>
        <w:t>spp</w:t>
      </w:r>
      <w:proofErr w:type="spellEnd"/>
      <w:r w:rsidRPr="00BD18FF">
        <w:rPr>
          <w:color w:val="000000" w:themeColor="text1"/>
          <w:spacing w:val="-2"/>
          <w:sz w:val="22"/>
          <w:szCs w:val="22"/>
        </w:rPr>
        <w:t>.) et des plaines alluviales;</w:t>
      </w:r>
    </w:p>
    <w:p w:rsidR="00EA7564" w:rsidRPr="00BD18FF" w:rsidRDefault="00EA7564" w:rsidP="00EA7564">
      <w:pPr>
        <w:tabs>
          <w:tab w:val="left" w:pos="-1440"/>
          <w:tab w:val="left" w:pos="-720"/>
          <w:tab w:val="left" w:pos="0"/>
          <w:tab w:val="left" w:pos="720"/>
          <w:tab w:val="left" w:pos="1440"/>
          <w:tab w:val="left" w:pos="2160"/>
          <w:tab w:val="left" w:pos="2881"/>
          <w:tab w:val="left" w:pos="3520"/>
          <w:tab w:val="left" w:pos="4320"/>
          <w:tab w:val="left" w:pos="5034"/>
          <w:tab w:val="left" w:pos="5760"/>
        </w:tabs>
        <w:spacing w:after="120"/>
        <w:jc w:val="both"/>
        <w:rPr>
          <w:color w:val="000000" w:themeColor="text1"/>
          <w:spacing w:val="-2"/>
          <w:sz w:val="22"/>
          <w:szCs w:val="22"/>
        </w:rPr>
      </w:pPr>
      <w:r w:rsidRPr="00BD18FF">
        <w:rPr>
          <w:color w:val="000000" w:themeColor="text1"/>
          <w:spacing w:val="-2"/>
          <w:sz w:val="22"/>
          <w:szCs w:val="22"/>
        </w:rPr>
        <w:t>Notant la riche diversité de la vie sauvage signalée dans la rivière, les sites des bassins prévus et leur environnement terrestre, dont une population de la Loutre européenne (</w:t>
      </w:r>
      <w:proofErr w:type="spellStart"/>
      <w:r w:rsidRPr="00BD18FF">
        <w:rPr>
          <w:i/>
          <w:color w:val="000000" w:themeColor="text1"/>
          <w:spacing w:val="-2"/>
          <w:sz w:val="22"/>
          <w:szCs w:val="22"/>
        </w:rPr>
        <w:t>Lutra</w:t>
      </w:r>
      <w:proofErr w:type="spellEnd"/>
      <w:r w:rsidRPr="00BD18FF">
        <w:rPr>
          <w:i/>
          <w:color w:val="000000" w:themeColor="text1"/>
          <w:spacing w:val="-2"/>
          <w:sz w:val="22"/>
          <w:szCs w:val="22"/>
        </w:rPr>
        <w:t xml:space="preserve"> Intra</w:t>
      </w:r>
      <w:r w:rsidRPr="00BD18FF">
        <w:rPr>
          <w:color w:val="000000" w:themeColor="text1"/>
          <w:spacing w:val="-2"/>
          <w:sz w:val="22"/>
          <w:szCs w:val="22"/>
        </w:rPr>
        <w:t xml:space="preserve">) et plusieurs espèces rares ou menacées de poissons, comme l’Anguille d’Europe et diverses espèces de loches, de saumon et d’esturgeon; </w:t>
      </w:r>
    </w:p>
    <w:p w:rsidR="00EA7564" w:rsidRPr="00BD18FF" w:rsidRDefault="00EA7564" w:rsidP="00EA7564">
      <w:pPr>
        <w:tabs>
          <w:tab w:val="left" w:pos="-1440"/>
          <w:tab w:val="left" w:pos="-720"/>
          <w:tab w:val="left" w:pos="0"/>
          <w:tab w:val="left" w:pos="720"/>
          <w:tab w:val="left" w:pos="1440"/>
          <w:tab w:val="left" w:pos="2160"/>
          <w:tab w:val="left" w:pos="2881"/>
          <w:tab w:val="left" w:pos="3520"/>
          <w:tab w:val="left" w:pos="4320"/>
          <w:tab w:val="left" w:pos="5034"/>
          <w:tab w:val="left" w:pos="5760"/>
        </w:tabs>
        <w:spacing w:after="120"/>
        <w:jc w:val="both"/>
        <w:rPr>
          <w:color w:val="000000" w:themeColor="text1"/>
          <w:spacing w:val="-2"/>
          <w:sz w:val="22"/>
          <w:szCs w:val="22"/>
        </w:rPr>
      </w:pPr>
      <w:r w:rsidRPr="00BD18FF">
        <w:rPr>
          <w:color w:val="000000" w:themeColor="text1"/>
          <w:spacing w:val="-2"/>
          <w:sz w:val="22"/>
          <w:szCs w:val="22"/>
        </w:rPr>
        <w:t xml:space="preserve">Constatant également que les bancs de graviers des secteurs de la </w:t>
      </w:r>
      <w:proofErr w:type="spellStart"/>
      <w:r w:rsidRPr="00BD18FF">
        <w:rPr>
          <w:color w:val="000000" w:themeColor="text1"/>
          <w:spacing w:val="-2"/>
          <w:sz w:val="22"/>
          <w:szCs w:val="22"/>
        </w:rPr>
        <w:t>Vjosa</w:t>
      </w:r>
      <w:proofErr w:type="spellEnd"/>
      <w:r w:rsidRPr="00BD18FF">
        <w:rPr>
          <w:color w:val="000000" w:themeColor="text1"/>
          <w:spacing w:val="-2"/>
          <w:sz w:val="22"/>
          <w:szCs w:val="22"/>
        </w:rPr>
        <w:t xml:space="preserve"> où son cours est le plus sinueux offrent un habitat pour la reproduction de plusieurs espèces d’oiseaux comme l’Œdicnème criard (</w:t>
      </w:r>
      <w:proofErr w:type="spellStart"/>
      <w:r w:rsidRPr="00BD18FF">
        <w:rPr>
          <w:i/>
          <w:color w:val="000000" w:themeColor="text1"/>
          <w:spacing w:val="-2"/>
          <w:sz w:val="22"/>
          <w:szCs w:val="22"/>
        </w:rPr>
        <w:t>Burhinus</w:t>
      </w:r>
      <w:proofErr w:type="spellEnd"/>
      <w:r w:rsidRPr="00BD18FF">
        <w:rPr>
          <w:i/>
          <w:color w:val="000000" w:themeColor="text1"/>
          <w:spacing w:val="-2"/>
          <w:sz w:val="22"/>
          <w:szCs w:val="22"/>
        </w:rPr>
        <w:t xml:space="preserve"> </w:t>
      </w:r>
      <w:proofErr w:type="spellStart"/>
      <w:r w:rsidRPr="00BD18FF">
        <w:rPr>
          <w:i/>
          <w:color w:val="000000" w:themeColor="text1"/>
          <w:spacing w:val="-2"/>
          <w:sz w:val="22"/>
          <w:szCs w:val="22"/>
        </w:rPr>
        <w:t>oedicnemus</w:t>
      </w:r>
      <w:proofErr w:type="spellEnd"/>
      <w:r w:rsidRPr="00BD18FF">
        <w:rPr>
          <w:color w:val="000000" w:themeColor="text1"/>
          <w:spacing w:val="-2"/>
          <w:sz w:val="22"/>
          <w:szCs w:val="22"/>
        </w:rPr>
        <w:t>) et le Petit gravelot (</w:t>
      </w:r>
      <w:proofErr w:type="spellStart"/>
      <w:r w:rsidRPr="00BD18FF">
        <w:rPr>
          <w:i/>
          <w:color w:val="000000" w:themeColor="text1"/>
          <w:spacing w:val="-2"/>
          <w:sz w:val="22"/>
          <w:szCs w:val="22"/>
        </w:rPr>
        <w:t>Charadrius</w:t>
      </w:r>
      <w:proofErr w:type="spellEnd"/>
      <w:r w:rsidRPr="00BD18FF">
        <w:rPr>
          <w:i/>
          <w:color w:val="000000" w:themeColor="text1"/>
          <w:spacing w:val="-2"/>
          <w:sz w:val="22"/>
          <w:szCs w:val="22"/>
        </w:rPr>
        <w:t xml:space="preserve"> </w:t>
      </w:r>
      <w:proofErr w:type="spellStart"/>
      <w:r w:rsidRPr="00BD18FF">
        <w:rPr>
          <w:i/>
          <w:color w:val="000000" w:themeColor="text1"/>
          <w:spacing w:val="-2"/>
          <w:sz w:val="22"/>
          <w:szCs w:val="22"/>
        </w:rPr>
        <w:t>dubius</w:t>
      </w:r>
      <w:proofErr w:type="spellEnd"/>
      <w:r w:rsidRPr="00BD18FF">
        <w:rPr>
          <w:color w:val="000000" w:themeColor="text1"/>
          <w:spacing w:val="-2"/>
          <w:sz w:val="22"/>
          <w:szCs w:val="22"/>
        </w:rPr>
        <w:t>), dont les effectifs et la dynamique sont incertains par manque d’observations systématiques;</w:t>
      </w:r>
    </w:p>
    <w:p w:rsidR="00EA7564" w:rsidRPr="00BD18FF" w:rsidRDefault="00EA7564" w:rsidP="00EA7564">
      <w:pPr>
        <w:tabs>
          <w:tab w:val="left" w:pos="-1440"/>
          <w:tab w:val="left" w:pos="-720"/>
          <w:tab w:val="left" w:pos="0"/>
          <w:tab w:val="left" w:pos="720"/>
          <w:tab w:val="left" w:pos="1440"/>
          <w:tab w:val="left" w:pos="2160"/>
          <w:tab w:val="left" w:pos="2881"/>
          <w:tab w:val="left" w:pos="3520"/>
          <w:tab w:val="left" w:pos="4320"/>
          <w:tab w:val="left" w:pos="5034"/>
          <w:tab w:val="left" w:pos="5760"/>
        </w:tabs>
        <w:spacing w:after="120"/>
        <w:jc w:val="both"/>
        <w:rPr>
          <w:color w:val="000000" w:themeColor="text1"/>
          <w:spacing w:val="-2"/>
          <w:sz w:val="22"/>
          <w:szCs w:val="22"/>
        </w:rPr>
      </w:pPr>
      <w:r w:rsidRPr="00BD18FF">
        <w:rPr>
          <w:color w:val="000000" w:themeColor="text1"/>
          <w:spacing w:val="-2"/>
          <w:sz w:val="22"/>
          <w:szCs w:val="22"/>
        </w:rPr>
        <w:t xml:space="preserve">Rappelant que le Paysage protégé de </w:t>
      </w:r>
      <w:proofErr w:type="spellStart"/>
      <w:r w:rsidRPr="00BD18FF">
        <w:rPr>
          <w:color w:val="000000" w:themeColor="text1"/>
          <w:spacing w:val="-2"/>
          <w:sz w:val="22"/>
          <w:szCs w:val="22"/>
        </w:rPr>
        <w:t>Vjosa-Narta</w:t>
      </w:r>
      <w:proofErr w:type="spellEnd"/>
      <w:r w:rsidRPr="00BD18FF">
        <w:rPr>
          <w:color w:val="000000" w:themeColor="text1"/>
          <w:spacing w:val="-2"/>
          <w:sz w:val="22"/>
          <w:szCs w:val="22"/>
        </w:rPr>
        <w:t xml:space="preserve"> a été officiellement proposé comme site candidat Emeraude en 2011, dans le respect de la législation nationale, et qu’à ce titre il est visé par la Recommandation n° 157 (2011) du Comité permanent sur le statut des sites candidats Emeraude et les orientations sur les critères à prendre en compte pour leur adoption, qui invite les autorités nationales à “prendre les mesures de protection et de conservation nécessaires pour préserver les caractéristiques écologiques des sites candidats Emeraude” jusqu'à leur intégration complète au Réseau Emeraude;</w:t>
      </w:r>
    </w:p>
    <w:p w:rsidR="00EA7564" w:rsidRPr="00BD18FF" w:rsidRDefault="00EA7564" w:rsidP="00EA7564">
      <w:pPr>
        <w:tabs>
          <w:tab w:val="left" w:pos="-1440"/>
          <w:tab w:val="left" w:pos="-720"/>
          <w:tab w:val="left" w:pos="0"/>
          <w:tab w:val="left" w:pos="720"/>
          <w:tab w:val="left" w:pos="1440"/>
          <w:tab w:val="left" w:pos="2160"/>
          <w:tab w:val="left" w:pos="2881"/>
          <w:tab w:val="left" w:pos="3520"/>
          <w:tab w:val="left" w:pos="4320"/>
          <w:tab w:val="left" w:pos="5034"/>
          <w:tab w:val="left" w:pos="5760"/>
        </w:tabs>
        <w:spacing w:after="120"/>
        <w:jc w:val="both"/>
        <w:rPr>
          <w:color w:val="000000" w:themeColor="text1"/>
          <w:spacing w:val="-2"/>
          <w:sz w:val="22"/>
          <w:szCs w:val="22"/>
        </w:rPr>
      </w:pPr>
      <w:r w:rsidRPr="00BD18FF">
        <w:rPr>
          <w:color w:val="000000" w:themeColor="text1"/>
          <w:spacing w:val="-2"/>
          <w:sz w:val="22"/>
          <w:szCs w:val="22"/>
        </w:rPr>
        <w:lastRenderedPageBreak/>
        <w:t xml:space="preserve">Reconnaissant que le secteur prévu pour alimenter les centrales hydroélectriques de </w:t>
      </w:r>
      <w:proofErr w:type="spellStart"/>
      <w:r w:rsidRPr="00BD18FF">
        <w:rPr>
          <w:color w:val="000000" w:themeColor="text1"/>
          <w:spacing w:val="-2"/>
          <w:sz w:val="22"/>
          <w:szCs w:val="22"/>
        </w:rPr>
        <w:t>Kalivach</w:t>
      </w:r>
      <w:proofErr w:type="spellEnd"/>
      <w:r w:rsidRPr="00BD18FF">
        <w:rPr>
          <w:color w:val="000000" w:themeColor="text1"/>
          <w:spacing w:val="-2"/>
          <w:sz w:val="22"/>
          <w:szCs w:val="22"/>
        </w:rPr>
        <w:t xml:space="preserve"> et </w:t>
      </w:r>
      <w:proofErr w:type="spellStart"/>
      <w:r w:rsidRPr="00BD18FF">
        <w:rPr>
          <w:color w:val="000000" w:themeColor="text1"/>
          <w:spacing w:val="-2"/>
          <w:sz w:val="22"/>
          <w:szCs w:val="22"/>
        </w:rPr>
        <w:t>Pocem</w:t>
      </w:r>
      <w:proofErr w:type="spellEnd"/>
      <w:r w:rsidRPr="00BD18FF">
        <w:rPr>
          <w:color w:val="000000" w:themeColor="text1"/>
          <w:spacing w:val="-2"/>
          <w:sz w:val="22"/>
          <w:szCs w:val="22"/>
        </w:rPr>
        <w:t xml:space="preserve"> </w:t>
      </w:r>
      <w:proofErr w:type="gramStart"/>
      <w:r w:rsidRPr="00BD18FF">
        <w:rPr>
          <w:color w:val="000000" w:themeColor="text1"/>
          <w:spacing w:val="-2"/>
          <w:sz w:val="22"/>
          <w:szCs w:val="22"/>
        </w:rPr>
        <w:t>n’est</w:t>
      </w:r>
      <w:proofErr w:type="gramEnd"/>
      <w:r w:rsidRPr="00BD18FF">
        <w:rPr>
          <w:color w:val="000000" w:themeColor="text1"/>
          <w:spacing w:val="-2"/>
          <w:sz w:val="22"/>
          <w:szCs w:val="22"/>
        </w:rPr>
        <w:t xml:space="preserve"> pas une zone protégée classée comme telle aux niveaux national ou international;</w:t>
      </w:r>
    </w:p>
    <w:p w:rsidR="00EA7564" w:rsidRPr="00BD18FF" w:rsidRDefault="00EA7564" w:rsidP="00EA7564">
      <w:pPr>
        <w:spacing w:after="120"/>
        <w:jc w:val="both"/>
        <w:outlineLvl w:val="0"/>
        <w:rPr>
          <w:color w:val="000000" w:themeColor="text1"/>
          <w:sz w:val="22"/>
          <w:szCs w:val="22"/>
        </w:rPr>
      </w:pPr>
      <w:r w:rsidRPr="00BD18FF">
        <w:rPr>
          <w:color w:val="000000" w:themeColor="text1"/>
          <w:sz w:val="22"/>
          <w:szCs w:val="22"/>
        </w:rPr>
        <w:t>Notant que l’expertise sur les lieux de la Convention de Berne organisée en Albanie du 12 au 15 juin 2018 poursuivait cinq objectifs spécifiques validés par toutes les parties concernées préalablement à la mission;</w:t>
      </w:r>
    </w:p>
    <w:p w:rsidR="00EA7564" w:rsidRPr="00BD18FF" w:rsidRDefault="00EA7564" w:rsidP="00EA7564">
      <w:pPr>
        <w:tabs>
          <w:tab w:val="left" w:pos="-1440"/>
          <w:tab w:val="left" w:pos="-720"/>
          <w:tab w:val="left" w:pos="0"/>
          <w:tab w:val="left" w:pos="720"/>
          <w:tab w:val="left" w:pos="1440"/>
          <w:tab w:val="left" w:pos="2160"/>
          <w:tab w:val="left" w:pos="2881"/>
          <w:tab w:val="left" w:pos="3520"/>
          <w:tab w:val="left" w:pos="4320"/>
          <w:tab w:val="left" w:pos="5034"/>
          <w:tab w:val="left" w:pos="5760"/>
        </w:tabs>
        <w:spacing w:after="120"/>
        <w:jc w:val="both"/>
        <w:rPr>
          <w:color w:val="000000" w:themeColor="text1"/>
          <w:spacing w:val="-2"/>
          <w:sz w:val="22"/>
          <w:szCs w:val="22"/>
        </w:rPr>
      </w:pPr>
      <w:r w:rsidRPr="00BD18FF">
        <w:rPr>
          <w:color w:val="000000" w:themeColor="text1"/>
          <w:spacing w:val="-2"/>
          <w:sz w:val="22"/>
          <w:szCs w:val="22"/>
        </w:rPr>
        <w:t>Considérant le rapport [document T-PVS/Files(2018)43] d’expertise sur les lieux qui a été menée;</w:t>
      </w:r>
    </w:p>
    <w:p w:rsidR="00EA7564" w:rsidRPr="00BD18FF" w:rsidRDefault="00EA7564" w:rsidP="00EA7564">
      <w:pPr>
        <w:tabs>
          <w:tab w:val="left" w:pos="-1440"/>
          <w:tab w:val="left" w:pos="-720"/>
          <w:tab w:val="left" w:pos="0"/>
          <w:tab w:val="left" w:pos="720"/>
          <w:tab w:val="left" w:pos="1440"/>
          <w:tab w:val="left" w:pos="2160"/>
          <w:tab w:val="left" w:pos="2881"/>
          <w:tab w:val="left" w:pos="3520"/>
          <w:tab w:val="left" w:pos="4320"/>
          <w:tab w:val="left" w:pos="5034"/>
          <w:tab w:val="left" w:pos="5760"/>
        </w:tabs>
        <w:spacing w:after="120"/>
        <w:jc w:val="both"/>
        <w:rPr>
          <w:color w:val="000000" w:themeColor="text1"/>
          <w:spacing w:val="-2"/>
          <w:sz w:val="22"/>
          <w:szCs w:val="22"/>
        </w:rPr>
      </w:pPr>
      <w:r w:rsidRPr="00BD18FF">
        <w:rPr>
          <w:color w:val="000000" w:themeColor="text1"/>
          <w:spacing w:val="-2"/>
          <w:sz w:val="22"/>
          <w:szCs w:val="22"/>
        </w:rPr>
        <w:t xml:space="preserve">Préoccupé par le danger immédiat qui menace l’écosystème exceptionnel de la </w:t>
      </w:r>
      <w:proofErr w:type="spellStart"/>
      <w:r w:rsidRPr="00BD18FF">
        <w:rPr>
          <w:color w:val="000000" w:themeColor="text1"/>
          <w:spacing w:val="-2"/>
          <w:sz w:val="22"/>
          <w:szCs w:val="22"/>
        </w:rPr>
        <w:t>Vjosa</w:t>
      </w:r>
      <w:proofErr w:type="spellEnd"/>
      <w:r w:rsidRPr="00BD18FF">
        <w:rPr>
          <w:color w:val="000000" w:themeColor="text1"/>
          <w:spacing w:val="-2"/>
          <w:sz w:val="22"/>
          <w:szCs w:val="22"/>
        </w:rPr>
        <w:t xml:space="preserve"> en raison des projets hydroélectriques,</w:t>
      </w:r>
    </w:p>
    <w:p w:rsidR="00EA7564" w:rsidRPr="00BD18FF" w:rsidRDefault="00EA7564" w:rsidP="00EA7564">
      <w:pPr>
        <w:spacing w:after="120"/>
        <w:jc w:val="both"/>
        <w:rPr>
          <w:color w:val="000000" w:themeColor="text1"/>
          <w:sz w:val="22"/>
          <w:szCs w:val="22"/>
          <w:lang w:eastAsia="en-GB"/>
        </w:rPr>
      </w:pPr>
      <w:r w:rsidRPr="00BD18FF">
        <w:rPr>
          <w:color w:val="000000" w:themeColor="text1"/>
          <w:sz w:val="22"/>
          <w:szCs w:val="22"/>
          <w:lang w:eastAsia="en-GB"/>
        </w:rPr>
        <w:t>Recommande que le Gouvernement de l’Albanie:</w:t>
      </w:r>
    </w:p>
    <w:p w:rsidR="00EA7564" w:rsidRPr="00BD18FF" w:rsidRDefault="00EA7564" w:rsidP="00EA7564">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after="120"/>
        <w:ind w:left="399" w:hanging="399"/>
        <w:jc w:val="both"/>
        <w:rPr>
          <w:color w:val="000000" w:themeColor="text1"/>
          <w:sz w:val="22"/>
          <w:szCs w:val="22"/>
          <w:lang w:eastAsia="es-ES"/>
        </w:rPr>
      </w:pPr>
      <w:r w:rsidRPr="00BD18FF">
        <w:rPr>
          <w:color w:val="000000" w:themeColor="text1"/>
          <w:sz w:val="22"/>
          <w:szCs w:val="22"/>
          <w:lang w:eastAsia="es-ES"/>
        </w:rPr>
        <w:t xml:space="preserve">opte pour le principe de précaution et suspende les projets hydroélectriques de </w:t>
      </w:r>
      <w:proofErr w:type="spellStart"/>
      <w:r w:rsidRPr="00BD18FF">
        <w:rPr>
          <w:color w:val="000000" w:themeColor="text1"/>
          <w:sz w:val="22"/>
          <w:szCs w:val="22"/>
          <w:lang w:eastAsia="es-ES"/>
        </w:rPr>
        <w:t>Kalivac</w:t>
      </w:r>
      <w:proofErr w:type="spellEnd"/>
      <w:r w:rsidRPr="00BD18FF">
        <w:rPr>
          <w:color w:val="000000" w:themeColor="text1"/>
          <w:sz w:val="22"/>
          <w:szCs w:val="22"/>
          <w:lang w:eastAsia="es-ES"/>
        </w:rPr>
        <w:t xml:space="preserve"> et de </w:t>
      </w:r>
      <w:proofErr w:type="spellStart"/>
      <w:r w:rsidRPr="00BD18FF">
        <w:rPr>
          <w:color w:val="000000" w:themeColor="text1"/>
          <w:sz w:val="22"/>
          <w:szCs w:val="22"/>
          <w:lang w:eastAsia="es-ES"/>
        </w:rPr>
        <w:t>Pocem</w:t>
      </w:r>
      <w:proofErr w:type="spellEnd"/>
      <w:r w:rsidRPr="00BD18FF">
        <w:rPr>
          <w:color w:val="000000" w:themeColor="text1"/>
          <w:sz w:val="22"/>
          <w:szCs w:val="22"/>
          <w:lang w:eastAsia="es-ES"/>
        </w:rPr>
        <w:t xml:space="preserve"> </w:t>
      </w:r>
      <w:r w:rsidRPr="00BD18FF">
        <w:rPr>
          <w:color w:val="000000" w:themeColor="text1"/>
          <w:sz w:val="22"/>
          <w:szCs w:val="22"/>
          <w:lang w:eastAsia="es-ES"/>
        </w:rPr>
        <w:noBreakHyphen/>
        <w:t xml:space="preserve"> car leur réalisation serait incompatible avec la Convention de Berne - jusqu’à ce que toute la planification stratégique nécessaire et les études complémentaires aient été réalisées conformément aux Recommandations 2-10 ci-dessous ;</w:t>
      </w:r>
    </w:p>
    <w:p w:rsidR="00EA7564" w:rsidRPr="00BD18FF" w:rsidRDefault="00EA7564" w:rsidP="00EA7564">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after="120"/>
        <w:ind w:left="399" w:hanging="399"/>
        <w:jc w:val="both"/>
        <w:rPr>
          <w:color w:val="000000" w:themeColor="text1"/>
          <w:sz w:val="22"/>
          <w:szCs w:val="22"/>
          <w:lang w:eastAsia="es-ES"/>
        </w:rPr>
      </w:pPr>
      <w:r w:rsidRPr="00BD18FF">
        <w:rPr>
          <w:color w:val="000000" w:themeColor="text1"/>
          <w:sz w:val="22"/>
          <w:szCs w:val="22"/>
          <w:lang w:eastAsia="es-ES"/>
        </w:rPr>
        <w:t xml:space="preserve">prépare d’urgence un plan de gestion intégrée du bassin hydrographique et une étude stratégique d'impact sur l'environnement, qui prenne en compte les aspects sociaux pour le bassin de la </w:t>
      </w:r>
      <w:proofErr w:type="spellStart"/>
      <w:r w:rsidRPr="00BD18FF">
        <w:rPr>
          <w:color w:val="000000" w:themeColor="text1"/>
          <w:sz w:val="22"/>
          <w:szCs w:val="22"/>
          <w:lang w:eastAsia="es-ES"/>
        </w:rPr>
        <w:t>Vjosa</w:t>
      </w:r>
      <w:proofErr w:type="spellEnd"/>
      <w:r w:rsidRPr="00BD18FF">
        <w:rPr>
          <w:color w:val="000000" w:themeColor="text1"/>
          <w:sz w:val="22"/>
          <w:szCs w:val="22"/>
          <w:lang w:eastAsia="es-ES"/>
        </w:rPr>
        <w:t xml:space="preserve"> (y compris en collaboration avec la Grèce), et notamment le potentiel pour l’écotourisme ; </w:t>
      </w:r>
    </w:p>
    <w:p w:rsidR="00EA7564" w:rsidRPr="00BD18FF" w:rsidRDefault="00EA7564" w:rsidP="00EA7564">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after="120"/>
        <w:ind w:left="399" w:hanging="399"/>
        <w:jc w:val="both"/>
        <w:rPr>
          <w:color w:val="000000" w:themeColor="text1"/>
          <w:sz w:val="22"/>
          <w:szCs w:val="22"/>
          <w:lang w:eastAsia="es-ES"/>
        </w:rPr>
      </w:pPr>
      <w:r w:rsidRPr="00BD18FF">
        <w:rPr>
          <w:color w:val="000000" w:themeColor="text1"/>
          <w:sz w:val="22"/>
          <w:szCs w:val="22"/>
          <w:lang w:eastAsia="es-ES"/>
        </w:rPr>
        <w:t xml:space="preserve">élabore une étude sur les impacts potentiels des centrales hydroélectriques de </w:t>
      </w:r>
      <w:proofErr w:type="spellStart"/>
      <w:r w:rsidRPr="00BD18FF">
        <w:rPr>
          <w:color w:val="000000" w:themeColor="text1"/>
          <w:sz w:val="22"/>
          <w:szCs w:val="22"/>
          <w:lang w:eastAsia="es-ES"/>
        </w:rPr>
        <w:t>Poçem</w:t>
      </w:r>
      <w:proofErr w:type="spellEnd"/>
      <w:r w:rsidRPr="00BD18FF">
        <w:rPr>
          <w:color w:val="000000" w:themeColor="text1"/>
          <w:sz w:val="22"/>
          <w:szCs w:val="22"/>
          <w:lang w:eastAsia="es-ES"/>
        </w:rPr>
        <w:t xml:space="preserve"> et de </w:t>
      </w:r>
      <w:proofErr w:type="spellStart"/>
      <w:r w:rsidRPr="00BD18FF">
        <w:rPr>
          <w:color w:val="000000" w:themeColor="text1"/>
          <w:sz w:val="22"/>
          <w:szCs w:val="22"/>
          <w:lang w:eastAsia="es-ES"/>
        </w:rPr>
        <w:t>Kalivac</w:t>
      </w:r>
      <w:proofErr w:type="spellEnd"/>
      <w:r w:rsidRPr="00BD18FF">
        <w:rPr>
          <w:color w:val="000000" w:themeColor="text1"/>
          <w:sz w:val="22"/>
          <w:szCs w:val="22"/>
          <w:lang w:eastAsia="es-ES"/>
        </w:rPr>
        <w:t xml:space="preserve"> sur le régime des sédiments de la </w:t>
      </w:r>
      <w:proofErr w:type="spellStart"/>
      <w:r w:rsidRPr="00BD18FF">
        <w:rPr>
          <w:color w:val="000000" w:themeColor="text1"/>
          <w:sz w:val="22"/>
          <w:szCs w:val="22"/>
          <w:lang w:eastAsia="es-ES"/>
        </w:rPr>
        <w:t>Vjosa</w:t>
      </w:r>
      <w:proofErr w:type="spellEnd"/>
      <w:r w:rsidRPr="00BD18FF">
        <w:rPr>
          <w:color w:val="000000" w:themeColor="text1"/>
          <w:sz w:val="22"/>
          <w:szCs w:val="22"/>
          <w:lang w:eastAsia="es-ES"/>
        </w:rPr>
        <w:t xml:space="preserve"> les implications pour l’environnement, ce qui est un préalable essentiel de la réalisation d’une EIE complète, en tenant compte des autres préoccupations exprimées au chapitre 5 du rapport. L’étude devrait également envisager les retombées négatives potentielles sur le Paysage protégé de </w:t>
      </w:r>
      <w:proofErr w:type="spellStart"/>
      <w:r w:rsidRPr="00BD18FF">
        <w:rPr>
          <w:color w:val="000000" w:themeColor="text1"/>
          <w:sz w:val="22"/>
          <w:szCs w:val="22"/>
          <w:lang w:eastAsia="es-ES"/>
        </w:rPr>
        <w:t>Vjose</w:t>
      </w:r>
      <w:proofErr w:type="spellEnd"/>
      <w:r w:rsidRPr="00BD18FF">
        <w:rPr>
          <w:color w:val="000000" w:themeColor="text1"/>
          <w:sz w:val="22"/>
          <w:szCs w:val="22"/>
          <w:lang w:eastAsia="es-ES"/>
        </w:rPr>
        <w:t xml:space="preserve"> – </w:t>
      </w:r>
      <w:proofErr w:type="spellStart"/>
      <w:r w:rsidRPr="00BD18FF">
        <w:rPr>
          <w:color w:val="000000" w:themeColor="text1"/>
          <w:sz w:val="22"/>
          <w:szCs w:val="22"/>
          <w:lang w:eastAsia="es-ES"/>
        </w:rPr>
        <w:t>Narte</w:t>
      </w:r>
      <w:proofErr w:type="spellEnd"/>
      <w:r w:rsidRPr="00BD18FF">
        <w:rPr>
          <w:color w:val="000000" w:themeColor="text1"/>
          <w:sz w:val="22"/>
          <w:szCs w:val="22"/>
          <w:lang w:eastAsia="es-ES"/>
        </w:rPr>
        <w:t>, un site candidat Emeraude;</w:t>
      </w:r>
    </w:p>
    <w:p w:rsidR="00EA7564" w:rsidRPr="00BD18FF" w:rsidRDefault="00EA7564" w:rsidP="00EA7564">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after="120"/>
        <w:ind w:left="399" w:hanging="399"/>
        <w:jc w:val="both"/>
        <w:rPr>
          <w:color w:val="000000" w:themeColor="text1"/>
          <w:sz w:val="22"/>
          <w:szCs w:val="22"/>
          <w:lang w:eastAsia="es-ES"/>
        </w:rPr>
      </w:pPr>
      <w:r w:rsidRPr="00BD18FF">
        <w:rPr>
          <w:color w:val="000000" w:themeColor="text1"/>
          <w:sz w:val="22"/>
          <w:szCs w:val="22"/>
          <w:lang w:eastAsia="es-ES"/>
        </w:rPr>
        <w:t xml:space="preserve">envisage, considérant que la partie albanaise du Réseau Emeraude des zones d'intérêt spécial pour la conservation (et, à terme, le Réseau </w:t>
      </w:r>
      <w:proofErr w:type="spellStart"/>
      <w:r w:rsidRPr="00BD18FF">
        <w:rPr>
          <w:color w:val="000000" w:themeColor="text1"/>
          <w:sz w:val="22"/>
          <w:szCs w:val="22"/>
          <w:lang w:eastAsia="es-ES"/>
        </w:rPr>
        <w:t>Natura</w:t>
      </w:r>
      <w:proofErr w:type="spellEnd"/>
      <w:r w:rsidRPr="00BD18FF">
        <w:rPr>
          <w:color w:val="000000" w:themeColor="text1"/>
          <w:sz w:val="22"/>
          <w:szCs w:val="22"/>
          <w:lang w:eastAsia="es-ES"/>
        </w:rPr>
        <w:t xml:space="preserve"> 2000 dans le pays) doit encore être complétée, des sites le long de la </w:t>
      </w:r>
      <w:proofErr w:type="spellStart"/>
      <w:r w:rsidRPr="00BD18FF">
        <w:rPr>
          <w:color w:val="000000" w:themeColor="text1"/>
          <w:sz w:val="22"/>
          <w:szCs w:val="22"/>
          <w:lang w:eastAsia="es-ES"/>
        </w:rPr>
        <w:t>Vjosa</w:t>
      </w:r>
      <w:proofErr w:type="spellEnd"/>
      <w:r w:rsidRPr="00BD18FF">
        <w:rPr>
          <w:color w:val="000000" w:themeColor="text1"/>
          <w:sz w:val="22"/>
          <w:szCs w:val="22"/>
          <w:lang w:eastAsia="es-ES"/>
        </w:rPr>
        <w:t xml:space="preserve">, y compris dans les secteurs de </w:t>
      </w:r>
      <w:proofErr w:type="spellStart"/>
      <w:r w:rsidRPr="00BD18FF">
        <w:rPr>
          <w:color w:val="000000" w:themeColor="text1"/>
          <w:sz w:val="22"/>
          <w:szCs w:val="22"/>
          <w:lang w:eastAsia="es-ES"/>
        </w:rPr>
        <w:t>Poçem</w:t>
      </w:r>
      <w:proofErr w:type="spellEnd"/>
      <w:r w:rsidRPr="00BD18FF">
        <w:rPr>
          <w:color w:val="000000" w:themeColor="text1"/>
          <w:sz w:val="22"/>
          <w:szCs w:val="22"/>
          <w:lang w:eastAsia="es-ES"/>
        </w:rPr>
        <w:t xml:space="preserve"> et de </w:t>
      </w:r>
      <w:proofErr w:type="spellStart"/>
      <w:r w:rsidRPr="00BD18FF">
        <w:rPr>
          <w:color w:val="000000" w:themeColor="text1"/>
          <w:sz w:val="22"/>
          <w:szCs w:val="22"/>
          <w:lang w:eastAsia="es-ES"/>
        </w:rPr>
        <w:t>Kalivac</w:t>
      </w:r>
      <w:proofErr w:type="spellEnd"/>
      <w:r w:rsidRPr="00BD18FF">
        <w:rPr>
          <w:color w:val="000000" w:themeColor="text1"/>
          <w:sz w:val="22"/>
          <w:szCs w:val="22"/>
          <w:lang w:eastAsia="es-ES"/>
        </w:rPr>
        <w:t xml:space="preserve"> pour une intégration éventuelle au réseau de la Convention de Berne, en s’appuyant sur les connaissances scientifiques disponibles;</w:t>
      </w:r>
    </w:p>
    <w:p w:rsidR="00EA7564" w:rsidRPr="00BD18FF" w:rsidRDefault="00EA7564" w:rsidP="00EA7564">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after="120"/>
        <w:ind w:left="399" w:hanging="399"/>
        <w:jc w:val="both"/>
        <w:rPr>
          <w:color w:val="000000" w:themeColor="text1"/>
          <w:sz w:val="22"/>
          <w:szCs w:val="22"/>
          <w:lang w:eastAsia="es-ES"/>
        </w:rPr>
      </w:pPr>
      <w:r w:rsidRPr="00BD18FF">
        <w:rPr>
          <w:color w:val="000000" w:themeColor="text1"/>
          <w:sz w:val="22"/>
          <w:szCs w:val="22"/>
          <w:lang w:eastAsia="es-ES"/>
        </w:rPr>
        <w:t xml:space="preserve">renouvelle l’EIE du projet hydroélectrique de </w:t>
      </w:r>
      <w:proofErr w:type="spellStart"/>
      <w:r w:rsidRPr="00BD18FF">
        <w:rPr>
          <w:color w:val="000000" w:themeColor="text1"/>
          <w:sz w:val="22"/>
          <w:szCs w:val="22"/>
          <w:lang w:eastAsia="es-ES"/>
        </w:rPr>
        <w:t>Poçem</w:t>
      </w:r>
      <w:proofErr w:type="spellEnd"/>
      <w:r w:rsidRPr="00BD18FF">
        <w:rPr>
          <w:color w:val="000000" w:themeColor="text1"/>
          <w:sz w:val="22"/>
          <w:szCs w:val="22"/>
          <w:lang w:eastAsia="es-ES"/>
        </w:rPr>
        <w:t xml:space="preserve"> en tenant compte du plan de gestion de district hydrographique (</w:t>
      </w:r>
      <w:proofErr w:type="spellStart"/>
      <w:r w:rsidRPr="00BD18FF">
        <w:rPr>
          <w:color w:val="000000" w:themeColor="text1"/>
          <w:sz w:val="22"/>
          <w:szCs w:val="22"/>
          <w:lang w:eastAsia="es-ES"/>
        </w:rPr>
        <w:t>Rec</w:t>
      </w:r>
      <w:proofErr w:type="spellEnd"/>
      <w:r w:rsidRPr="00BD18FF">
        <w:rPr>
          <w:color w:val="000000" w:themeColor="text1"/>
          <w:sz w:val="22"/>
          <w:szCs w:val="22"/>
          <w:lang w:eastAsia="es-ES"/>
        </w:rPr>
        <w:t xml:space="preserve"> 2), de l’étude sur les sédiments (</w:t>
      </w:r>
      <w:proofErr w:type="spellStart"/>
      <w:r w:rsidRPr="00BD18FF">
        <w:rPr>
          <w:color w:val="000000" w:themeColor="text1"/>
          <w:sz w:val="22"/>
          <w:szCs w:val="22"/>
          <w:lang w:eastAsia="es-ES"/>
        </w:rPr>
        <w:t>Rec</w:t>
      </w:r>
      <w:proofErr w:type="spellEnd"/>
      <w:r w:rsidRPr="00BD18FF">
        <w:rPr>
          <w:color w:val="000000" w:themeColor="text1"/>
          <w:sz w:val="22"/>
          <w:szCs w:val="22"/>
          <w:lang w:eastAsia="es-ES"/>
        </w:rPr>
        <w:t xml:space="preserve"> 3), d’éventuelles révisions du Réseau Emeraude (</w:t>
      </w:r>
      <w:proofErr w:type="spellStart"/>
      <w:r w:rsidRPr="00BD18FF">
        <w:rPr>
          <w:color w:val="000000" w:themeColor="text1"/>
          <w:sz w:val="22"/>
          <w:szCs w:val="22"/>
          <w:lang w:eastAsia="es-ES"/>
        </w:rPr>
        <w:t>Rec</w:t>
      </w:r>
      <w:proofErr w:type="spellEnd"/>
      <w:r w:rsidRPr="00BD18FF">
        <w:rPr>
          <w:color w:val="000000" w:themeColor="text1"/>
          <w:sz w:val="22"/>
          <w:szCs w:val="22"/>
          <w:lang w:eastAsia="es-ES"/>
        </w:rPr>
        <w:t xml:space="preserve"> 4), de données d’ONG et d’éventuelles informations locales ou indigènes (</w:t>
      </w:r>
      <w:proofErr w:type="spellStart"/>
      <w:r w:rsidRPr="00BD18FF">
        <w:rPr>
          <w:color w:val="000000" w:themeColor="text1"/>
          <w:sz w:val="22"/>
          <w:szCs w:val="22"/>
          <w:lang w:eastAsia="es-ES"/>
        </w:rPr>
        <w:t>Recs</w:t>
      </w:r>
      <w:proofErr w:type="spellEnd"/>
      <w:r w:rsidRPr="00BD18FF">
        <w:rPr>
          <w:color w:val="000000" w:themeColor="text1"/>
          <w:sz w:val="22"/>
          <w:szCs w:val="22"/>
          <w:lang w:eastAsia="es-ES"/>
        </w:rPr>
        <w:t xml:space="preserve"> 6 &amp; 10), en appliquant le principe de précaution en cas d’incertitude sur les données;</w:t>
      </w:r>
    </w:p>
    <w:p w:rsidR="00EA7564" w:rsidRPr="00BD18FF" w:rsidRDefault="00EA7564" w:rsidP="00EA7564">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after="120"/>
        <w:ind w:left="399" w:hanging="399"/>
        <w:jc w:val="both"/>
        <w:rPr>
          <w:color w:val="000000" w:themeColor="text1"/>
          <w:sz w:val="22"/>
          <w:szCs w:val="22"/>
          <w:lang w:eastAsia="es-ES"/>
        </w:rPr>
      </w:pPr>
      <w:r w:rsidRPr="00BD18FF">
        <w:rPr>
          <w:color w:val="000000" w:themeColor="text1"/>
          <w:sz w:val="22"/>
          <w:szCs w:val="22"/>
          <w:lang w:eastAsia="es-ES"/>
        </w:rPr>
        <w:t>réalise une vaste consultation de la population autour des projets d’aménagement et des EIE. L’annonce des réunions devrait se faire en lien direct avec les collectivités locales (ou les maires) et d’autres représentants des collectivités et des populations locales, avec un affichage dans les villages de tout secteur potentiellement affecté;</w:t>
      </w:r>
    </w:p>
    <w:p w:rsidR="00EA7564" w:rsidRPr="00BD18FF" w:rsidRDefault="00EA7564" w:rsidP="00EA7564">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after="120"/>
        <w:ind w:left="399" w:hanging="399"/>
        <w:jc w:val="both"/>
        <w:rPr>
          <w:color w:val="000000" w:themeColor="text1"/>
          <w:sz w:val="22"/>
          <w:szCs w:val="22"/>
          <w:lang w:eastAsia="es-ES"/>
        </w:rPr>
      </w:pPr>
      <w:r w:rsidRPr="00BD18FF">
        <w:rPr>
          <w:color w:val="000000" w:themeColor="text1"/>
          <w:sz w:val="22"/>
          <w:szCs w:val="22"/>
          <w:lang w:eastAsia="es-ES"/>
        </w:rPr>
        <w:t xml:space="preserve">révise le programme de formation de l’Albanie sur les EIE pour qu’il réponde aux normes internationales. L'impact des barrages sur l'environnement devrait y figurer en bonne place et s’appuyer sur des orientations pertinentes produites pour l’Agence nationale des zones protégées et des bonnes pratiques internationales comme celles de la Banque mondiale, de la Commission européenne et de la </w:t>
      </w:r>
      <w:r w:rsidRPr="00BD18FF">
        <w:rPr>
          <w:i/>
          <w:color w:val="000000" w:themeColor="text1"/>
          <w:sz w:val="22"/>
          <w:szCs w:val="22"/>
          <w:lang w:eastAsia="es-ES"/>
        </w:rPr>
        <w:t xml:space="preserve">International </w:t>
      </w:r>
      <w:proofErr w:type="spellStart"/>
      <w:r w:rsidRPr="00BD18FF">
        <w:rPr>
          <w:i/>
          <w:color w:val="000000" w:themeColor="text1"/>
          <w:sz w:val="22"/>
          <w:szCs w:val="22"/>
          <w:lang w:eastAsia="es-ES"/>
        </w:rPr>
        <w:t>Hydropower</w:t>
      </w:r>
      <w:proofErr w:type="spellEnd"/>
      <w:r w:rsidRPr="00BD18FF">
        <w:rPr>
          <w:i/>
          <w:color w:val="000000" w:themeColor="text1"/>
          <w:sz w:val="22"/>
          <w:szCs w:val="22"/>
          <w:lang w:eastAsia="es-ES"/>
        </w:rPr>
        <w:t xml:space="preserve"> Association</w:t>
      </w:r>
      <w:r w:rsidRPr="00BD18FF">
        <w:rPr>
          <w:color w:val="000000" w:themeColor="text1"/>
          <w:sz w:val="22"/>
          <w:szCs w:val="22"/>
          <w:lang w:eastAsia="es-ES"/>
        </w:rPr>
        <w:t>;</w:t>
      </w:r>
    </w:p>
    <w:p w:rsidR="00EA7564" w:rsidRPr="00BD18FF" w:rsidRDefault="00EA7564" w:rsidP="00EA7564">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after="120"/>
        <w:ind w:left="399" w:hanging="399"/>
        <w:jc w:val="both"/>
        <w:rPr>
          <w:color w:val="000000"/>
          <w:sz w:val="22"/>
          <w:szCs w:val="22"/>
          <w:lang w:eastAsia="es-ES"/>
        </w:rPr>
      </w:pPr>
      <w:r w:rsidRPr="00BD18FF">
        <w:rPr>
          <w:color w:val="000000"/>
          <w:sz w:val="22"/>
          <w:szCs w:val="22"/>
          <w:lang w:eastAsia="es-ES"/>
        </w:rPr>
        <w:t>réalise une évaluation stratégique de l’énergie en Albanie pour peser l’intérêt d’autres options, comme la production éolienne ou solaire;</w:t>
      </w:r>
    </w:p>
    <w:p w:rsidR="00EA7564" w:rsidRPr="00BD18FF" w:rsidRDefault="00EA7564" w:rsidP="00EA7564">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after="120"/>
        <w:ind w:left="399" w:hanging="399"/>
        <w:jc w:val="both"/>
        <w:rPr>
          <w:color w:val="000000"/>
          <w:sz w:val="22"/>
          <w:szCs w:val="22"/>
          <w:lang w:eastAsia="es-ES"/>
        </w:rPr>
      </w:pPr>
      <w:r w:rsidRPr="00BD18FF">
        <w:rPr>
          <w:color w:val="000000"/>
          <w:sz w:val="22"/>
          <w:szCs w:val="22"/>
          <w:lang w:eastAsia="es-ES"/>
        </w:rPr>
        <w:t xml:space="preserve">organise un atelier conjoint entre le ministère du Tourisme et les ONG fin 2018/début 2019 pour examiner des informations sur les espèces de faune sauvage et les processus écologiques, comme les mouvements de sédiments, dans le secteur de </w:t>
      </w:r>
      <w:proofErr w:type="spellStart"/>
      <w:r w:rsidRPr="00BD18FF">
        <w:rPr>
          <w:color w:val="000000"/>
          <w:sz w:val="22"/>
          <w:szCs w:val="22"/>
          <w:lang w:eastAsia="es-ES"/>
        </w:rPr>
        <w:t>Poçem</w:t>
      </w:r>
      <w:proofErr w:type="spellEnd"/>
      <w:r w:rsidRPr="00BD18FF">
        <w:rPr>
          <w:color w:val="000000"/>
          <w:sz w:val="22"/>
          <w:szCs w:val="22"/>
          <w:lang w:eastAsia="es-ES"/>
        </w:rPr>
        <w:t xml:space="preserve"> - </w:t>
      </w:r>
      <w:proofErr w:type="spellStart"/>
      <w:r w:rsidRPr="00BD18FF">
        <w:rPr>
          <w:color w:val="000000"/>
          <w:sz w:val="22"/>
          <w:szCs w:val="22"/>
          <w:lang w:eastAsia="es-ES"/>
        </w:rPr>
        <w:t>Kalivaç</w:t>
      </w:r>
      <w:proofErr w:type="spellEnd"/>
      <w:r w:rsidRPr="00BD18FF">
        <w:rPr>
          <w:color w:val="000000"/>
          <w:sz w:val="22"/>
          <w:szCs w:val="22"/>
          <w:lang w:eastAsia="es-ES"/>
        </w:rPr>
        <w:t>. Les invitations devraient être largement diffusées, y compris auprès d’autres ministères et organismes pertinents (Energie et infrastructures, Agence nationale de l’Environnement, etc.), de chercheurs albanais et internationaux, du réseau d’ONG de protection de la nature et de personnes qui habitent les environs et connaissent la faune et la flore locales;</w:t>
      </w:r>
    </w:p>
    <w:p w:rsidR="00EA7564" w:rsidRPr="00BD18FF" w:rsidRDefault="00EA7564" w:rsidP="00EA7564">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ind w:left="399" w:hanging="399"/>
        <w:jc w:val="both"/>
        <w:rPr>
          <w:sz w:val="22"/>
          <w:szCs w:val="22"/>
        </w:rPr>
      </w:pPr>
      <w:r w:rsidRPr="00BD18FF">
        <w:rPr>
          <w:color w:val="000000"/>
          <w:sz w:val="22"/>
          <w:szCs w:val="22"/>
          <w:lang w:eastAsia="es-ES"/>
        </w:rPr>
        <w:lastRenderedPageBreak/>
        <w:t>améliore la collaboration entre les ministères (et leurs administrations) et les experts indépendants afin de mieux exploiter les connaissances locales et indigènes. Il est urgent de renforcer les capacités des chercheurs albanais par une participation plus étroite aux projets qui concernent l’environnement. Le ministère du Tourisme et de l’environnement devrait y contribuer en donnant son appui aux propositions soumises à l’UE en vue d’obtenir des fonds pour des partenaires albanais. Le Ministère devrait également recommander à ceux qui financent la recherche (Académie des Sciences, Conseil national de la recherche, Agence nationale de la recherche) d’accorder la priorité aux travaux sur les plans et les cours d’eau ;</w:t>
      </w:r>
    </w:p>
    <w:p w:rsidR="00EA7564" w:rsidRPr="00EA7564" w:rsidRDefault="00EA7564" w:rsidP="00EA7564">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ind w:left="399" w:hanging="399"/>
        <w:jc w:val="both"/>
        <w:rPr>
          <w:color w:val="000000"/>
          <w:sz w:val="22"/>
          <w:szCs w:val="22"/>
          <w:lang w:eastAsia="es-ES"/>
        </w:rPr>
      </w:pPr>
      <w:r w:rsidRPr="00BD18FF">
        <w:rPr>
          <w:color w:val="000000"/>
          <w:sz w:val="22"/>
          <w:szCs w:val="22"/>
          <w:lang w:eastAsia="es-ES"/>
        </w:rPr>
        <w:t xml:space="preserve">établisse un plan et un </w:t>
      </w:r>
      <w:r w:rsidRPr="00BD18FF">
        <w:rPr>
          <w:sz w:val="22"/>
          <w:szCs w:val="22"/>
        </w:rPr>
        <w:t>programme de travail pour la mise en œuvre des recommandations ci-dessus, précisant les coordonnées des personnes/acteurs responsables, assorti d’un calendrier définissant des étapes claires et des échéances pour chacune des mesures recommandées ;</w:t>
      </w:r>
    </w:p>
    <w:p w:rsidR="0039586F" w:rsidRPr="00EA7564" w:rsidRDefault="00EA7564" w:rsidP="00EA7564">
      <w:pPr>
        <w:pStyle w:val="ListParagraph"/>
        <w:numPr>
          <w:ilvl w:val="0"/>
          <w:numId w:val="10"/>
        </w:numPr>
        <w:spacing w:after="120"/>
        <w:ind w:left="426" w:hanging="426"/>
        <w:jc w:val="both"/>
        <w:rPr>
          <w:spacing w:val="-2"/>
          <w:sz w:val="22"/>
          <w:szCs w:val="22"/>
        </w:rPr>
      </w:pPr>
      <w:proofErr w:type="spellStart"/>
      <w:r w:rsidRPr="00EA7564">
        <w:rPr>
          <w:color w:val="000000" w:themeColor="text1"/>
          <w:sz w:val="22"/>
          <w:szCs w:val="22"/>
        </w:rPr>
        <w:t>fasse</w:t>
      </w:r>
      <w:proofErr w:type="spellEnd"/>
      <w:r w:rsidRPr="00EA7564">
        <w:rPr>
          <w:color w:val="000000" w:themeColor="text1"/>
          <w:sz w:val="22"/>
          <w:szCs w:val="22"/>
        </w:rPr>
        <w:t xml:space="preserve"> régulièrement rapport sur les progrès dans la </w:t>
      </w:r>
      <w:r w:rsidRPr="00EA7564">
        <w:rPr>
          <w:color w:val="000000" w:themeColor="text1"/>
          <w:sz w:val="22"/>
          <w:szCs w:val="22"/>
          <w:lang w:eastAsia="es-ES"/>
        </w:rPr>
        <w:t>mise en œuvre de la Recommandation, conformément aux demandes du Bureau du Comité permanent de la Convention et du Comité permanent proprement dit</w:t>
      </w:r>
      <w:r w:rsidRPr="00EA7564">
        <w:rPr>
          <w:color w:val="000000"/>
          <w:sz w:val="22"/>
          <w:szCs w:val="22"/>
          <w:lang w:eastAsia="es-ES"/>
        </w:rPr>
        <w:t>.</w:t>
      </w:r>
    </w:p>
    <w:sectPr w:rsidR="0039586F" w:rsidRPr="00EA7564" w:rsidSect="00976441">
      <w:headerReference w:type="even" r:id="rId10"/>
      <w:headerReference w:type="default" r:id="rId11"/>
      <w:headerReference w:type="first" r:id="rId12"/>
      <w:footerReference w:type="first" r:id="rId13"/>
      <w:pgSz w:w="11900" w:h="16840"/>
      <w:pgMar w:top="1134" w:right="1418" w:bottom="1134" w:left="1418" w:header="709" w:footer="709"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529A" w:rsidRDefault="0063529A">
      <w:r>
        <w:separator/>
      </w:r>
    </w:p>
  </w:endnote>
  <w:endnote w:type="continuationSeparator" w:id="0">
    <w:p w:rsidR="0063529A" w:rsidRDefault="00635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FFC" w:rsidRDefault="00143FFC" w:rsidP="00016A8B">
    <w:pPr>
      <w:pStyle w:val="Footer"/>
      <w:jc w:val="center"/>
    </w:pPr>
    <w:r>
      <w:rPr>
        <w:noProof/>
        <w:lang w:eastAsia="en-US"/>
      </w:rPr>
      <mc:AlternateContent>
        <mc:Choice Requires="wps">
          <w:drawing>
            <wp:anchor distT="0" distB="0" distL="114300" distR="114300" simplePos="0" relativeHeight="251660288" behindDoc="0" locked="0" layoutInCell="1" allowOverlap="1" wp14:anchorId="31155A6C" wp14:editId="1B3AA74B">
              <wp:simplePos x="0" y="0"/>
              <wp:positionH relativeFrom="column">
                <wp:posOffset>1177290</wp:posOffset>
              </wp:positionH>
              <wp:positionV relativeFrom="paragraph">
                <wp:posOffset>121920</wp:posOffset>
              </wp:positionV>
              <wp:extent cx="3383280" cy="0"/>
              <wp:effectExtent l="10795" t="11430" r="6350" b="762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3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line w14:anchorId="33EE6EC0" id="Line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7pt,9.6pt" to="359.1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"/>
          </w:pict>
        </mc:Fallback>
      </mc:AlternateContent>
    </w:r>
  </w:p>
  <w:p w:rsidR="00143FFC" w:rsidRPr="00631FA8" w:rsidRDefault="00143FFC" w:rsidP="00016A8B">
    <w:pPr>
      <w:pStyle w:val="Footer"/>
      <w:jc w:val="center"/>
      <w:rPr>
        <w:rFonts w:ascii="Arial" w:hAnsi="Arial"/>
        <w:i/>
        <w:sz w:val="14"/>
        <w:lang w:val="fr-FR"/>
      </w:rPr>
    </w:pPr>
    <w:r>
      <w:rPr>
        <w:rFonts w:ascii="Arial" w:hAnsi="Arial"/>
        <w:i/>
        <w:sz w:val="14"/>
      </w:rPr>
      <w:t xml:space="preserve">This document will not be distributed at the meeting. </w:t>
    </w:r>
    <w:r w:rsidRPr="00631FA8">
      <w:rPr>
        <w:rFonts w:ascii="Arial" w:hAnsi="Arial"/>
        <w:i/>
        <w:sz w:val="14"/>
        <w:lang w:val="fr-FR"/>
      </w:rPr>
      <w:t>Please bring this copy.</w:t>
    </w:r>
  </w:p>
  <w:p w:rsidR="00143FFC" w:rsidRPr="00B44289" w:rsidRDefault="00143FFC" w:rsidP="00016A8B">
    <w:pPr>
      <w:pStyle w:val="Footer"/>
      <w:jc w:val="center"/>
      <w:rPr>
        <w:i/>
        <w:lang w:val="fr-FR"/>
      </w:rPr>
    </w:pPr>
    <w:r w:rsidRPr="00631FA8">
      <w:rPr>
        <w:rFonts w:ascii="Arial" w:hAnsi="Arial"/>
        <w:i/>
        <w:sz w:val="14"/>
        <w:lang w:val="fr-FR"/>
      </w:rPr>
      <w:t>Ce document ne sera plus distribué en réunion. Prière de vous munir de cet exemplaire.</w:t>
    </w:r>
  </w:p>
  <w:p w:rsidR="00143FFC" w:rsidRPr="00106F40" w:rsidRDefault="00143FFC" w:rsidP="00016A8B">
    <w:pPr>
      <w:pStyle w:val="Footer"/>
      <w:rPr>
        <w:lang w:val="fr-F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529A" w:rsidRDefault="0063529A">
      <w:r>
        <w:separator/>
      </w:r>
    </w:p>
  </w:footnote>
  <w:footnote w:type="continuationSeparator" w:id="0">
    <w:p w:rsidR="0063529A" w:rsidRDefault="006352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FFC" w:rsidRPr="00A37097" w:rsidRDefault="00143FFC">
    <w:pPr>
      <w:pStyle w:val="Header"/>
      <w:tabs>
        <w:tab w:val="center" w:pos="4560"/>
      </w:tabs>
      <w:rPr>
        <w:rFonts w:ascii="Times New Roman" w:hAnsi="Times New Roman" w:cs="Times New Roman"/>
        <w:sz w:val="22"/>
        <w:szCs w:val="22"/>
      </w:rPr>
    </w:pPr>
    <w:r>
      <w:rPr>
        <w:rFonts w:ascii="Times New Roman" w:hAnsi="Times New Roman" w:cs="Times New Roman"/>
        <w:sz w:val="22"/>
        <w:szCs w:val="22"/>
        <w:lang w:val="en-US"/>
      </w:rPr>
      <w:t>T-</w:t>
    </w:r>
    <w:proofErr w:type="gramStart"/>
    <w:r>
      <w:rPr>
        <w:rFonts w:ascii="Times New Roman" w:hAnsi="Times New Roman" w:cs="Times New Roman"/>
        <w:sz w:val="22"/>
        <w:szCs w:val="22"/>
        <w:lang w:val="en-US"/>
      </w:rPr>
      <w:t>PVS(</w:t>
    </w:r>
    <w:proofErr w:type="gramEnd"/>
    <w:r>
      <w:rPr>
        <w:rFonts w:ascii="Times New Roman" w:hAnsi="Times New Roman" w:cs="Times New Roman"/>
        <w:sz w:val="22"/>
        <w:szCs w:val="22"/>
        <w:lang w:val="en-US"/>
      </w:rPr>
      <w:t>2018</w:t>
    </w:r>
    <w:r w:rsidRPr="00A37097">
      <w:rPr>
        <w:rFonts w:ascii="Times New Roman" w:hAnsi="Times New Roman" w:cs="Times New Roman"/>
        <w:sz w:val="22"/>
        <w:szCs w:val="22"/>
        <w:lang w:val="en-US"/>
      </w:rPr>
      <w:t>)</w:t>
    </w:r>
    <w:r w:rsidR="0039586F">
      <w:rPr>
        <w:rFonts w:ascii="Times New Roman" w:hAnsi="Times New Roman" w:cs="Times New Roman"/>
        <w:sz w:val="22"/>
        <w:szCs w:val="22"/>
        <w:lang w:val="en-US"/>
      </w:rPr>
      <w:t>10</w:t>
    </w:r>
    <w:r w:rsidRPr="00A37097">
      <w:rPr>
        <w:rFonts w:ascii="Times New Roman" w:hAnsi="Times New Roman" w:cs="Times New Roman"/>
        <w:sz w:val="22"/>
        <w:szCs w:val="22"/>
        <w:lang w:val="en-US"/>
      </w:rPr>
      <w:tab/>
      <w:t xml:space="preserve">- </w:t>
    </w:r>
    <w:r w:rsidRPr="00A37097">
      <w:rPr>
        <w:rFonts w:ascii="Times New Roman" w:hAnsi="Times New Roman" w:cs="Times New Roman"/>
        <w:sz w:val="22"/>
        <w:szCs w:val="22"/>
      </w:rPr>
      <w:fldChar w:fldCharType="begin"/>
    </w:r>
    <w:r w:rsidRPr="00A37097">
      <w:rPr>
        <w:rFonts w:ascii="Times New Roman" w:hAnsi="Times New Roman" w:cs="Times New Roman"/>
        <w:sz w:val="22"/>
        <w:szCs w:val="22"/>
      </w:rPr>
      <w:instrText xml:space="preserve"> PAGE </w:instrText>
    </w:r>
    <w:r w:rsidRPr="00A37097">
      <w:rPr>
        <w:rFonts w:ascii="Times New Roman" w:hAnsi="Times New Roman" w:cs="Times New Roman"/>
        <w:sz w:val="22"/>
        <w:szCs w:val="22"/>
      </w:rPr>
      <w:fldChar w:fldCharType="separate"/>
    </w:r>
    <w:r w:rsidR="00EA7564">
      <w:rPr>
        <w:rFonts w:ascii="Times New Roman" w:hAnsi="Times New Roman" w:cs="Times New Roman"/>
        <w:noProof/>
        <w:sz w:val="22"/>
        <w:szCs w:val="22"/>
      </w:rPr>
      <w:t>2</w:t>
    </w:r>
    <w:r w:rsidRPr="00A37097">
      <w:rPr>
        <w:rFonts w:ascii="Times New Roman" w:hAnsi="Times New Roman" w:cs="Times New Roman"/>
        <w:sz w:val="22"/>
        <w:szCs w:val="22"/>
      </w:rPr>
      <w:fldChar w:fldCharType="end"/>
    </w:r>
    <w:r w:rsidRPr="00A37097">
      <w:rPr>
        <w:rFonts w:ascii="Times New Roman" w:hAnsi="Times New Roman" w:cs="Times New Roman"/>
        <w:sz w:val="22"/>
        <w:szCs w:val="22"/>
        <w:lang w:val="en-US"/>
      </w:rPr>
      <w:t xml:space="preserve"> -</w:t>
    </w:r>
  </w:p>
  <w:p w:rsidR="00143FFC" w:rsidRDefault="00143FFC">
    <w:pPr>
      <w:pStyle w:val="Header"/>
      <w:tabs>
        <w:tab w:val="center" w:pos="4503"/>
      </w:tabs>
    </w:pPr>
  </w:p>
  <w:p w:rsidR="00143FFC" w:rsidRDefault="00143FFC">
    <w:pPr>
      <w:pStyle w:val="Header"/>
      <w:tabs>
        <w:tab w:val="center" w:pos="4503"/>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FFC" w:rsidRPr="00A37097" w:rsidRDefault="00143FFC">
    <w:pPr>
      <w:pStyle w:val="Header"/>
      <w:tabs>
        <w:tab w:val="clear" w:pos="9020"/>
        <w:tab w:val="center" w:pos="4503"/>
        <w:tab w:val="right" w:pos="9044"/>
        <w:tab w:val="right" w:pos="9044"/>
      </w:tabs>
      <w:rPr>
        <w:rFonts w:ascii="Times New Roman" w:hAnsi="Times New Roman" w:cs="Times New Roman"/>
        <w:sz w:val="22"/>
        <w:szCs w:val="22"/>
      </w:rPr>
    </w:pPr>
    <w:r w:rsidRPr="00A37097">
      <w:rPr>
        <w:rFonts w:ascii="Times New Roman" w:hAnsi="Times New Roman" w:cs="Times New Roman"/>
        <w:sz w:val="22"/>
        <w:szCs w:val="22"/>
      </w:rPr>
      <w:tab/>
      <w:t xml:space="preserve">- </w:t>
    </w:r>
    <w:r w:rsidRPr="00A37097">
      <w:rPr>
        <w:rFonts w:ascii="Times New Roman" w:hAnsi="Times New Roman" w:cs="Times New Roman"/>
        <w:sz w:val="22"/>
        <w:szCs w:val="22"/>
      </w:rPr>
      <w:fldChar w:fldCharType="begin"/>
    </w:r>
    <w:r w:rsidRPr="00A37097">
      <w:rPr>
        <w:rFonts w:ascii="Times New Roman" w:hAnsi="Times New Roman" w:cs="Times New Roman"/>
        <w:sz w:val="22"/>
        <w:szCs w:val="22"/>
      </w:rPr>
      <w:instrText xml:space="preserve"> PAGE </w:instrText>
    </w:r>
    <w:r w:rsidRPr="00A37097">
      <w:rPr>
        <w:rFonts w:ascii="Times New Roman" w:hAnsi="Times New Roman" w:cs="Times New Roman"/>
        <w:sz w:val="22"/>
        <w:szCs w:val="22"/>
      </w:rPr>
      <w:fldChar w:fldCharType="separate"/>
    </w:r>
    <w:r w:rsidR="00EA7564">
      <w:rPr>
        <w:rFonts w:ascii="Times New Roman" w:hAnsi="Times New Roman" w:cs="Times New Roman"/>
        <w:noProof/>
        <w:sz w:val="22"/>
        <w:szCs w:val="22"/>
      </w:rPr>
      <w:t>3</w:t>
    </w:r>
    <w:r w:rsidRPr="00A37097">
      <w:rPr>
        <w:rFonts w:ascii="Times New Roman" w:hAnsi="Times New Roman" w:cs="Times New Roman"/>
        <w:sz w:val="22"/>
        <w:szCs w:val="22"/>
      </w:rPr>
      <w:fldChar w:fldCharType="end"/>
    </w:r>
    <w:r>
      <w:rPr>
        <w:rFonts w:ascii="Times New Roman" w:hAnsi="Times New Roman" w:cs="Times New Roman"/>
        <w:sz w:val="22"/>
        <w:szCs w:val="22"/>
        <w:lang w:val="en-US"/>
      </w:rPr>
      <w:t xml:space="preserve"> -</w:t>
    </w:r>
    <w:r>
      <w:rPr>
        <w:rFonts w:ascii="Times New Roman" w:hAnsi="Times New Roman" w:cs="Times New Roman"/>
        <w:sz w:val="22"/>
        <w:szCs w:val="22"/>
        <w:lang w:val="en-US"/>
      </w:rPr>
      <w:tab/>
    </w:r>
    <w:r w:rsidRPr="0058226B">
      <w:rPr>
        <w:rFonts w:ascii="Times New Roman" w:hAnsi="Times New Roman" w:cs="Times New Roman"/>
        <w:sz w:val="22"/>
        <w:szCs w:val="22"/>
        <w:lang w:val="en-US"/>
      </w:rPr>
      <w:t>T</w:t>
    </w:r>
    <w:r>
      <w:rPr>
        <w:rFonts w:ascii="Times New Roman" w:hAnsi="Times New Roman" w:cs="Times New Roman"/>
        <w:sz w:val="22"/>
        <w:szCs w:val="22"/>
        <w:lang w:val="en-US"/>
      </w:rPr>
      <w:t>-PVS(2018</w:t>
    </w:r>
    <w:r w:rsidRPr="00A37097">
      <w:rPr>
        <w:rFonts w:ascii="Times New Roman" w:hAnsi="Times New Roman" w:cs="Times New Roman"/>
        <w:sz w:val="22"/>
        <w:szCs w:val="22"/>
        <w:lang w:val="en-US"/>
      </w:rPr>
      <w:t>)</w:t>
    </w:r>
    <w:r w:rsidR="0039586F">
      <w:rPr>
        <w:rFonts w:ascii="Times New Roman" w:hAnsi="Times New Roman" w:cs="Times New Roman"/>
        <w:sz w:val="22"/>
        <w:szCs w:val="22"/>
        <w:lang w:val="en-US"/>
      </w:rPr>
      <w:t>10</w:t>
    </w:r>
  </w:p>
  <w:p w:rsidR="00143FFC" w:rsidRPr="00A37097" w:rsidRDefault="00143FFC">
    <w:pPr>
      <w:pStyle w:val="Header"/>
      <w:tabs>
        <w:tab w:val="clear" w:pos="9020"/>
        <w:tab w:val="center" w:pos="4503"/>
        <w:tab w:val="right" w:pos="9044"/>
      </w:tabs>
      <w:rPr>
        <w:rFonts w:ascii="Times New Roman" w:hAnsi="Times New Roman" w:cs="Times New Roman"/>
      </w:rPr>
    </w:pPr>
  </w:p>
  <w:p w:rsidR="00143FFC" w:rsidRDefault="00143FFC">
    <w:pPr>
      <w:pStyle w:val="Header"/>
      <w:tabs>
        <w:tab w:val="clear" w:pos="9020"/>
        <w:tab w:val="center" w:pos="4503"/>
        <w:tab w:val="right" w:pos="9044"/>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FFC" w:rsidRDefault="00143FFC">
    <w:pPr>
      <w:pStyle w:val="Header"/>
      <w:jc w:val="right"/>
    </w:pPr>
    <w:r>
      <w:rPr>
        <w:noProof/>
        <w:lang w:val="en-US" w:eastAsia="en-US"/>
      </w:rPr>
      <mc:AlternateContent>
        <mc:Choice Requires="wps">
          <w:drawing>
            <wp:anchor distT="152400" distB="152400" distL="152400" distR="152400" simplePos="0" relativeHeight="251659264" behindDoc="1" locked="0" layoutInCell="1" allowOverlap="1" wp14:anchorId="2A2BC462" wp14:editId="6C19B2F3">
              <wp:simplePos x="0" y="0"/>
              <wp:positionH relativeFrom="page">
                <wp:posOffset>2077719</wp:posOffset>
              </wp:positionH>
              <wp:positionV relativeFrom="page">
                <wp:posOffset>10135235</wp:posOffset>
              </wp:positionV>
              <wp:extent cx="3383281" cy="0"/>
              <wp:effectExtent l="0" t="0" r="0" b="0"/>
              <wp:wrapNone/>
              <wp:docPr id="1073741826" name="officeArt object"/>
              <wp:cNvGraphicFramePr/>
              <a:graphic xmlns:a="http://schemas.openxmlformats.org/drawingml/2006/main">
                <a:graphicData uri="http://schemas.microsoft.com/office/word/2010/wordprocessingShape">
                  <wps:wsp>
                    <wps:cNvCnPr/>
                    <wps:spPr>
                      <a:xfrm>
                        <a:off x="0" y="0"/>
                        <a:ext cx="3383281" cy="0"/>
                      </a:xfrm>
                      <a:prstGeom prst="line">
                        <a:avLst/>
                      </a:prstGeom>
                      <a:noFill/>
                      <a:ln w="9525" cap="flat">
                        <a:solidFill>
                          <a:srgbClr val="000000"/>
                        </a:solidFill>
                        <a:prstDash val="solid"/>
                        <a:round/>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line w14:anchorId="0A5321E2" id="officeArt object" o:spid="_x0000_s1026" style="position:absolute;z-index:-251657216;visibility:visible;mso-wrap-style:square;mso-wrap-distance-left:12pt;mso-wrap-distance-top:12pt;mso-wrap-distance-right:12pt;mso-wrap-distance-bottom:12pt;mso-position-horizontal:absolute;mso-position-horizontal-relative:page;mso-position-vertical:absolute;mso-position-vertical-relative:page" from="163.6pt,798.05pt" to="430pt,79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">
              <w10:wrap anchorx="page" anchory="page"/>
            </v:line>
          </w:pict>
        </mc:Fallback>
      </mc:AlternateContent>
    </w:r>
    <w:r>
      <w:rPr>
        <w:noProof/>
        <w:lang w:val="en-US" w:eastAsia="en-US"/>
      </w:rPr>
      <w:drawing>
        <wp:inline distT="0" distB="0" distL="0" distR="0" wp14:anchorId="30F2FBD4" wp14:editId="74B3CEE7">
          <wp:extent cx="1257300" cy="1009650"/>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jpg"/>
                  <pic:cNvPicPr/>
                </pic:nvPicPr>
                <pic:blipFill>
                  <a:blip r:embed="rId1">
                    <a:extLst/>
                  </a:blip>
                  <a:stretch>
                    <a:fillRect/>
                  </a:stretch>
                </pic:blipFill>
                <pic:spPr>
                  <a:xfrm>
                    <a:off x="0" y="0"/>
                    <a:ext cx="1257300" cy="1009650"/>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D28A7"/>
    <w:multiLevelType w:val="hybridMultilevel"/>
    <w:tmpl w:val="9920F6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26F414F"/>
    <w:multiLevelType w:val="hybridMultilevel"/>
    <w:tmpl w:val="16DA224E"/>
    <w:lvl w:ilvl="0" w:tplc="EAB49CE8">
      <w:start w:val="7"/>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46130502"/>
    <w:multiLevelType w:val="hybridMultilevel"/>
    <w:tmpl w:val="6AEAF96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65E45F5"/>
    <w:multiLevelType w:val="hybridMultilevel"/>
    <w:tmpl w:val="AA44A63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49F92613"/>
    <w:multiLevelType w:val="hybridMultilevel"/>
    <w:tmpl w:val="0C8E00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579129DE"/>
    <w:multiLevelType w:val="hybridMultilevel"/>
    <w:tmpl w:val="DA78AF30"/>
    <w:lvl w:ilvl="0" w:tplc="C1F2DCF2">
      <w:start w:val="3"/>
      <w:numFmt w:val="decimal"/>
      <w:lvlText w:val="%1."/>
      <w:lvlJc w:val="left"/>
      <w:pPr>
        <w:ind w:left="1080" w:hanging="360"/>
      </w:pPr>
    </w:lvl>
    <w:lvl w:ilvl="1" w:tplc="040C0019">
      <w:start w:val="1"/>
      <w:numFmt w:val="lowerLetter"/>
      <w:lvlText w:val="%2."/>
      <w:lvlJc w:val="left"/>
      <w:pPr>
        <w:ind w:left="1800" w:hanging="360"/>
      </w:pPr>
    </w:lvl>
    <w:lvl w:ilvl="2" w:tplc="040C001B">
      <w:start w:val="1"/>
      <w:numFmt w:val="lowerRoman"/>
      <w:lvlText w:val="%3."/>
      <w:lvlJc w:val="right"/>
      <w:pPr>
        <w:ind w:left="2520" w:hanging="180"/>
      </w:pPr>
    </w:lvl>
    <w:lvl w:ilvl="3" w:tplc="040C000F">
      <w:start w:val="1"/>
      <w:numFmt w:val="decimal"/>
      <w:lvlText w:val="%4."/>
      <w:lvlJc w:val="left"/>
      <w:pPr>
        <w:ind w:left="3240" w:hanging="360"/>
      </w:pPr>
    </w:lvl>
    <w:lvl w:ilvl="4" w:tplc="040C0019">
      <w:start w:val="1"/>
      <w:numFmt w:val="lowerLetter"/>
      <w:lvlText w:val="%5."/>
      <w:lvlJc w:val="left"/>
      <w:pPr>
        <w:ind w:left="3960" w:hanging="360"/>
      </w:pPr>
    </w:lvl>
    <w:lvl w:ilvl="5" w:tplc="040C001B">
      <w:start w:val="1"/>
      <w:numFmt w:val="lowerRoman"/>
      <w:lvlText w:val="%6."/>
      <w:lvlJc w:val="right"/>
      <w:pPr>
        <w:ind w:left="4680" w:hanging="180"/>
      </w:pPr>
    </w:lvl>
    <w:lvl w:ilvl="6" w:tplc="040C000F">
      <w:start w:val="1"/>
      <w:numFmt w:val="decimal"/>
      <w:lvlText w:val="%7."/>
      <w:lvlJc w:val="left"/>
      <w:pPr>
        <w:ind w:left="5400" w:hanging="360"/>
      </w:pPr>
    </w:lvl>
    <w:lvl w:ilvl="7" w:tplc="040C0019">
      <w:start w:val="1"/>
      <w:numFmt w:val="lowerLetter"/>
      <w:lvlText w:val="%8."/>
      <w:lvlJc w:val="left"/>
      <w:pPr>
        <w:ind w:left="6120" w:hanging="360"/>
      </w:pPr>
    </w:lvl>
    <w:lvl w:ilvl="8" w:tplc="040C001B">
      <w:start w:val="1"/>
      <w:numFmt w:val="lowerRoman"/>
      <w:lvlText w:val="%9."/>
      <w:lvlJc w:val="right"/>
      <w:pPr>
        <w:ind w:left="6840" w:hanging="180"/>
      </w:pPr>
    </w:lvl>
  </w:abstractNum>
  <w:abstractNum w:abstractNumId="6">
    <w:nsid w:val="6AD96364"/>
    <w:multiLevelType w:val="hybridMultilevel"/>
    <w:tmpl w:val="751401D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7">
    <w:nsid w:val="6B9B7952"/>
    <w:multiLevelType w:val="hybridMultilevel"/>
    <w:tmpl w:val="B24ECCEC"/>
    <w:lvl w:ilvl="0" w:tplc="15720CD6">
      <w:start w:val="1"/>
      <w:numFmt w:val="decimal"/>
      <w:lvlText w:val="%1."/>
      <w:lvlJc w:val="left"/>
      <w:pPr>
        <w:ind w:left="785" w:hanging="360"/>
      </w:pPr>
      <w:rPr>
        <w:rFonts w:hint="default"/>
        <w:sz w:val="22"/>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8">
    <w:nsid w:val="6F7535F6"/>
    <w:multiLevelType w:val="hybridMultilevel"/>
    <w:tmpl w:val="AA44A63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0"/>
  </w:num>
  <w:num w:numId="8">
    <w:abstractNumId w:val="3"/>
  </w:num>
  <w:num w:numId="9">
    <w:abstractNumId w:val="7"/>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armen Naves">
    <w15:presenceInfo w15:providerId="AD" w15:userId="S-1-5-21-95821832-833947585-1217154298-281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518F6982-19D3-4142-813F-673F5A6798C4}"/>
    <w:docVar w:name="dgnword-eventsink" w:val="112599792"/>
    <w:docVar w:name="SourceLng" w:val="eng"/>
    <w:docVar w:name="TargetLng" w:val="fra"/>
    <w:docVar w:name="TermBases" w:val="berne"/>
    <w:docVar w:name="TermBaseURL" w:val="empty"/>
    <w:docVar w:name="TextBases" w:val="berne10|berne11|berne1|berne2|berne3|berne4|berne5|berne6|berne7|berne8|berne9|climat|diplome"/>
    <w:docVar w:name="TextBaseURL" w:val="empty"/>
    <w:docVar w:name="UILng" w:val="en"/>
  </w:docVars>
  <w:rsids>
    <w:rsidRoot w:val="004E6594"/>
    <w:rsid w:val="00006047"/>
    <w:rsid w:val="000162D1"/>
    <w:rsid w:val="00016A8B"/>
    <w:rsid w:val="00023AEB"/>
    <w:rsid w:val="000808D1"/>
    <w:rsid w:val="000A2F0A"/>
    <w:rsid w:val="000A47D5"/>
    <w:rsid w:val="000B2939"/>
    <w:rsid w:val="000C7EDB"/>
    <w:rsid w:val="000E02EE"/>
    <w:rsid w:val="000F52C5"/>
    <w:rsid w:val="00106832"/>
    <w:rsid w:val="00111122"/>
    <w:rsid w:val="0013791A"/>
    <w:rsid w:val="00143FFC"/>
    <w:rsid w:val="00144400"/>
    <w:rsid w:val="00147308"/>
    <w:rsid w:val="00165E37"/>
    <w:rsid w:val="00172083"/>
    <w:rsid w:val="001B4B68"/>
    <w:rsid w:val="001B63C2"/>
    <w:rsid w:val="001E2B1F"/>
    <w:rsid w:val="001E2FB3"/>
    <w:rsid w:val="001F1E5A"/>
    <w:rsid w:val="001F4810"/>
    <w:rsid w:val="00207487"/>
    <w:rsid w:val="00231BFC"/>
    <w:rsid w:val="00234FEA"/>
    <w:rsid w:val="00255FF7"/>
    <w:rsid w:val="002747C7"/>
    <w:rsid w:val="002852AB"/>
    <w:rsid w:val="00294BA3"/>
    <w:rsid w:val="002A2A89"/>
    <w:rsid w:val="00302378"/>
    <w:rsid w:val="00335A00"/>
    <w:rsid w:val="003745F6"/>
    <w:rsid w:val="00394838"/>
    <w:rsid w:val="0039586F"/>
    <w:rsid w:val="003A6C5A"/>
    <w:rsid w:val="003B568D"/>
    <w:rsid w:val="003E1E98"/>
    <w:rsid w:val="003E3879"/>
    <w:rsid w:val="00424EDE"/>
    <w:rsid w:val="00426FF8"/>
    <w:rsid w:val="0045052E"/>
    <w:rsid w:val="0046766A"/>
    <w:rsid w:val="004718DF"/>
    <w:rsid w:val="004904C5"/>
    <w:rsid w:val="004B4118"/>
    <w:rsid w:val="004C0664"/>
    <w:rsid w:val="004E6594"/>
    <w:rsid w:val="004E7149"/>
    <w:rsid w:val="004F243B"/>
    <w:rsid w:val="00510FDD"/>
    <w:rsid w:val="00532D4B"/>
    <w:rsid w:val="00544CCF"/>
    <w:rsid w:val="0058226B"/>
    <w:rsid w:val="00590A60"/>
    <w:rsid w:val="005A36AB"/>
    <w:rsid w:val="005C02BC"/>
    <w:rsid w:val="005E4539"/>
    <w:rsid w:val="005E6C7E"/>
    <w:rsid w:val="006047D6"/>
    <w:rsid w:val="006062BE"/>
    <w:rsid w:val="00617E4E"/>
    <w:rsid w:val="0063529A"/>
    <w:rsid w:val="006517EC"/>
    <w:rsid w:val="00656511"/>
    <w:rsid w:val="006811D3"/>
    <w:rsid w:val="00686F5F"/>
    <w:rsid w:val="006C1E93"/>
    <w:rsid w:val="006C6AA6"/>
    <w:rsid w:val="0071584E"/>
    <w:rsid w:val="007446AF"/>
    <w:rsid w:val="0075367C"/>
    <w:rsid w:val="007548B2"/>
    <w:rsid w:val="0077610A"/>
    <w:rsid w:val="00776E9B"/>
    <w:rsid w:val="00793BB6"/>
    <w:rsid w:val="007A0C15"/>
    <w:rsid w:val="007A1825"/>
    <w:rsid w:val="007B31CD"/>
    <w:rsid w:val="007E2F5B"/>
    <w:rsid w:val="007F00C2"/>
    <w:rsid w:val="007F2BD4"/>
    <w:rsid w:val="007F3FD4"/>
    <w:rsid w:val="008068A2"/>
    <w:rsid w:val="00810BEA"/>
    <w:rsid w:val="008157B2"/>
    <w:rsid w:val="0083345C"/>
    <w:rsid w:val="00842128"/>
    <w:rsid w:val="00851323"/>
    <w:rsid w:val="008530C4"/>
    <w:rsid w:val="008540F7"/>
    <w:rsid w:val="00857496"/>
    <w:rsid w:val="008661CA"/>
    <w:rsid w:val="008A362B"/>
    <w:rsid w:val="008E0889"/>
    <w:rsid w:val="008E79A9"/>
    <w:rsid w:val="009061BC"/>
    <w:rsid w:val="009351F9"/>
    <w:rsid w:val="00947596"/>
    <w:rsid w:val="00974945"/>
    <w:rsid w:val="00975B16"/>
    <w:rsid w:val="00976441"/>
    <w:rsid w:val="009803B5"/>
    <w:rsid w:val="00985195"/>
    <w:rsid w:val="00986872"/>
    <w:rsid w:val="00992C2B"/>
    <w:rsid w:val="009A6AE4"/>
    <w:rsid w:val="009B2652"/>
    <w:rsid w:val="009B5776"/>
    <w:rsid w:val="009C009F"/>
    <w:rsid w:val="009C2506"/>
    <w:rsid w:val="009C3722"/>
    <w:rsid w:val="009C6547"/>
    <w:rsid w:val="009F4FA4"/>
    <w:rsid w:val="009F5D2C"/>
    <w:rsid w:val="00A01ED8"/>
    <w:rsid w:val="00A25C73"/>
    <w:rsid w:val="00A461E2"/>
    <w:rsid w:val="00A4694C"/>
    <w:rsid w:val="00A5389B"/>
    <w:rsid w:val="00A624C5"/>
    <w:rsid w:val="00A75B7D"/>
    <w:rsid w:val="00AC22A0"/>
    <w:rsid w:val="00AD7D16"/>
    <w:rsid w:val="00AE7DEF"/>
    <w:rsid w:val="00AF5AF1"/>
    <w:rsid w:val="00AF7FAB"/>
    <w:rsid w:val="00B00362"/>
    <w:rsid w:val="00B54048"/>
    <w:rsid w:val="00B573D6"/>
    <w:rsid w:val="00B9277C"/>
    <w:rsid w:val="00BA3A7F"/>
    <w:rsid w:val="00BC2CE1"/>
    <w:rsid w:val="00C5726D"/>
    <w:rsid w:val="00C64D17"/>
    <w:rsid w:val="00C650DA"/>
    <w:rsid w:val="00C80D17"/>
    <w:rsid w:val="00C85781"/>
    <w:rsid w:val="00CC571C"/>
    <w:rsid w:val="00CE4BA3"/>
    <w:rsid w:val="00CF66D3"/>
    <w:rsid w:val="00D01E2E"/>
    <w:rsid w:val="00D02B63"/>
    <w:rsid w:val="00D35B0C"/>
    <w:rsid w:val="00D417DA"/>
    <w:rsid w:val="00D75923"/>
    <w:rsid w:val="00DA425E"/>
    <w:rsid w:val="00DD6C24"/>
    <w:rsid w:val="00DE1DB7"/>
    <w:rsid w:val="00DF74D3"/>
    <w:rsid w:val="00E21AFB"/>
    <w:rsid w:val="00E27D53"/>
    <w:rsid w:val="00E36068"/>
    <w:rsid w:val="00E4331F"/>
    <w:rsid w:val="00E45E31"/>
    <w:rsid w:val="00E5524A"/>
    <w:rsid w:val="00E606CA"/>
    <w:rsid w:val="00E723A3"/>
    <w:rsid w:val="00E872D7"/>
    <w:rsid w:val="00EA315C"/>
    <w:rsid w:val="00EA4938"/>
    <w:rsid w:val="00EA7564"/>
    <w:rsid w:val="00ED108F"/>
    <w:rsid w:val="00ED2BEF"/>
    <w:rsid w:val="00F063D1"/>
    <w:rsid w:val="00F13E4C"/>
    <w:rsid w:val="00F25999"/>
    <w:rsid w:val="00F26150"/>
    <w:rsid w:val="00F27DC2"/>
    <w:rsid w:val="00F63346"/>
    <w:rsid w:val="00F814E2"/>
    <w:rsid w:val="00FA0C7D"/>
    <w:rsid w:val="00FB7EF5"/>
    <w:rsid w:val="00FC1E16"/>
    <w:rsid w:val="00FC343B"/>
    <w:rsid w:val="00FF2D2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E659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rsid w:val="004E6594"/>
    <w:pPr>
      <w:pBdr>
        <w:top w:val="nil"/>
        <w:left w:val="nil"/>
        <w:bottom w:val="nil"/>
        <w:right w:val="nil"/>
        <w:between w:val="nil"/>
        <w:bar w:val="nil"/>
      </w:pBdr>
      <w:tabs>
        <w:tab w:val="right" w:pos="9020"/>
      </w:tabs>
      <w:spacing w:after="0" w:line="240" w:lineRule="auto"/>
    </w:pPr>
    <w:rPr>
      <w:rFonts w:ascii="Helvetica" w:eastAsia="Helvetica" w:hAnsi="Helvetica" w:cs="Helvetica"/>
      <w:color w:val="000000"/>
      <w:sz w:val="24"/>
      <w:szCs w:val="24"/>
      <w:bdr w:val="nil"/>
      <w:lang w:eastAsia="fr-FR"/>
    </w:rPr>
  </w:style>
  <w:style w:type="character" w:customStyle="1" w:styleId="HeaderChar">
    <w:name w:val="Header Char"/>
    <w:basedOn w:val="DefaultParagraphFont"/>
    <w:link w:val="Header"/>
    <w:rsid w:val="004E6594"/>
    <w:rPr>
      <w:rFonts w:ascii="Helvetica" w:eastAsia="Helvetica" w:hAnsi="Helvetica" w:cs="Helvetica"/>
      <w:color w:val="000000"/>
      <w:sz w:val="24"/>
      <w:szCs w:val="24"/>
      <w:bdr w:val="nil"/>
      <w:lang w:eastAsia="fr-FR"/>
    </w:rPr>
  </w:style>
  <w:style w:type="paragraph" w:styleId="Footer">
    <w:name w:val="footer"/>
    <w:link w:val="FooterChar"/>
    <w:uiPriority w:val="99"/>
    <w:rsid w:val="004E6594"/>
    <w:pPr>
      <w:widowControl w:val="0"/>
      <w:pBdr>
        <w:top w:val="nil"/>
        <w:left w:val="nil"/>
        <w:bottom w:val="nil"/>
        <w:right w:val="nil"/>
        <w:between w:val="nil"/>
        <w:bar w:val="nil"/>
      </w:pBdr>
      <w:tabs>
        <w:tab w:val="center" w:pos="4152"/>
        <w:tab w:val="right" w:pos="8305"/>
        <w:tab w:val="left" w:pos="8640"/>
      </w:tabs>
      <w:suppressAutoHyphens/>
      <w:spacing w:after="0" w:line="240" w:lineRule="auto"/>
      <w:jc w:val="both"/>
    </w:pPr>
    <w:rPr>
      <w:rFonts w:ascii="Times New Roman" w:eastAsia="Times New Roman" w:hAnsi="Times New Roman" w:cs="Times New Roman"/>
      <w:color w:val="000000"/>
      <w:sz w:val="24"/>
      <w:szCs w:val="24"/>
      <w:u w:color="000000"/>
      <w:bdr w:val="nil"/>
      <w:lang w:val="en-US" w:eastAsia="fr-FR"/>
    </w:rPr>
  </w:style>
  <w:style w:type="character" w:customStyle="1" w:styleId="FooterChar">
    <w:name w:val="Footer Char"/>
    <w:basedOn w:val="DefaultParagraphFont"/>
    <w:link w:val="Footer"/>
    <w:uiPriority w:val="99"/>
    <w:rsid w:val="004E6594"/>
    <w:rPr>
      <w:rFonts w:ascii="Times New Roman" w:eastAsia="Times New Roman" w:hAnsi="Times New Roman" w:cs="Times New Roman"/>
      <w:color w:val="000000"/>
      <w:sz w:val="24"/>
      <w:szCs w:val="24"/>
      <w:u w:color="000000"/>
      <w:bdr w:val="nil"/>
      <w:lang w:val="en-US" w:eastAsia="fr-FR"/>
    </w:rPr>
  </w:style>
  <w:style w:type="paragraph" w:styleId="FootnoteText">
    <w:name w:val="footnote text"/>
    <w:aliases w:val="fn,Geneva 9,Font: Geneva 9,Boston 10,f,ft,Fotnotstext Char,ft Char,single space,FOOTNOTES,ADB,single space1,footnote text1,FOOTNOTES1,fn1,ADB1,single space2,footnote text2,FOOTNOTES2,fn2,ADB2,single space3,footnote text3,fn3"/>
    <w:link w:val="FootnoteTextChar"/>
    <w:uiPriority w:val="99"/>
    <w:rsid w:val="004E6594"/>
    <w:pPr>
      <w:widowControl w:val="0"/>
      <w:pBdr>
        <w:top w:val="nil"/>
        <w:left w:val="nil"/>
        <w:bottom w:val="nil"/>
        <w:right w:val="nil"/>
        <w:between w:val="nil"/>
        <w:bar w:val="nil"/>
      </w:pBdr>
      <w:suppressAutoHyphens/>
      <w:spacing w:after="0" w:line="240" w:lineRule="auto"/>
      <w:jc w:val="both"/>
    </w:pPr>
    <w:rPr>
      <w:rFonts w:ascii="Courier New" w:eastAsia="Courier New" w:hAnsi="Courier New" w:cs="Courier New"/>
      <w:color w:val="000000"/>
      <w:sz w:val="20"/>
      <w:szCs w:val="20"/>
      <w:u w:color="000000"/>
      <w:bdr w:val="nil"/>
      <w:lang w:val="en-US" w:eastAsia="fr-FR"/>
    </w:rPr>
  </w:style>
  <w:style w:type="character" w:customStyle="1" w:styleId="FootnoteTextChar">
    <w:name w:val="Footnote Text Char"/>
    <w:aliases w:val="fn Char,Geneva 9 Char,Font: Geneva 9 Char,Boston 10 Char,f Char,ft Char1,Fotnotstext Char Char,ft Char Char,single space Char,FOOTNOTES Char,ADB Char,single space1 Char,footnote text1 Char,FOOTNOTES1 Char,fn1 Char,ADB1 Char,fn2 Char"/>
    <w:basedOn w:val="DefaultParagraphFont"/>
    <w:link w:val="FootnoteText"/>
    <w:uiPriority w:val="99"/>
    <w:rsid w:val="004E6594"/>
    <w:rPr>
      <w:rFonts w:ascii="Courier New" w:eastAsia="Courier New" w:hAnsi="Courier New" w:cs="Courier New"/>
      <w:color w:val="000000"/>
      <w:sz w:val="20"/>
      <w:szCs w:val="20"/>
      <w:u w:color="000000"/>
      <w:bdr w:val="nil"/>
      <w:lang w:val="en-US" w:eastAsia="fr-FR"/>
    </w:rPr>
  </w:style>
  <w:style w:type="paragraph" w:customStyle="1" w:styleId="Corps">
    <w:name w:val="Corps"/>
    <w:rsid w:val="004E6594"/>
    <w:pPr>
      <w:pBdr>
        <w:top w:val="nil"/>
        <w:left w:val="nil"/>
        <w:bottom w:val="nil"/>
        <w:right w:val="nil"/>
        <w:between w:val="nil"/>
        <w:bar w:val="nil"/>
      </w:pBdr>
      <w:spacing w:after="0" w:line="240" w:lineRule="auto"/>
    </w:pPr>
    <w:rPr>
      <w:rFonts w:ascii="Times New Roman" w:eastAsia="Times New Roman" w:hAnsi="Times New Roman" w:cs="Times New Roman"/>
      <w:color w:val="000000"/>
      <w:u w:color="000000"/>
      <w:bdr w:val="nil"/>
      <w:lang w:eastAsia="fr-FR"/>
    </w:rPr>
  </w:style>
  <w:style w:type="paragraph" w:customStyle="1" w:styleId="traduction">
    <w:name w:val="traduction"/>
    <w:rsid w:val="004E6594"/>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fr-FR"/>
    </w:rPr>
  </w:style>
  <w:style w:type="paragraph" w:styleId="ListParagraph">
    <w:name w:val="List Paragraph"/>
    <w:basedOn w:val="Normal"/>
    <w:qFormat/>
    <w:rsid w:val="004E6594"/>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eastAsia="Times New Roman"/>
      <w:bdr w:val="none" w:sz="0" w:space="0" w:color="auto"/>
      <w:lang w:val="en-GB" w:eastAsia="en-GB"/>
    </w:rPr>
  </w:style>
  <w:style w:type="paragraph" w:styleId="NormalWeb">
    <w:name w:val="Normal (Web)"/>
    <w:basedOn w:val="Normal"/>
    <w:rsid w:val="004E659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Verdana" w:eastAsia="Times New Roman" w:hAnsi="Verdana"/>
      <w:sz w:val="14"/>
      <w:szCs w:val="14"/>
      <w:bdr w:val="none" w:sz="0" w:space="0" w:color="auto"/>
    </w:rPr>
  </w:style>
  <w:style w:type="paragraph" w:styleId="BalloonText">
    <w:name w:val="Balloon Text"/>
    <w:basedOn w:val="Normal"/>
    <w:link w:val="BalloonTextChar"/>
    <w:uiPriority w:val="99"/>
    <w:semiHidden/>
    <w:unhideWhenUsed/>
    <w:rsid w:val="004E6594"/>
    <w:rPr>
      <w:rFonts w:ascii="Tahoma" w:hAnsi="Tahoma" w:cs="Tahoma"/>
      <w:sz w:val="16"/>
      <w:szCs w:val="16"/>
    </w:rPr>
  </w:style>
  <w:style w:type="character" w:customStyle="1" w:styleId="BalloonTextChar">
    <w:name w:val="Balloon Text Char"/>
    <w:basedOn w:val="DefaultParagraphFont"/>
    <w:link w:val="BalloonText"/>
    <w:uiPriority w:val="99"/>
    <w:semiHidden/>
    <w:rsid w:val="004E6594"/>
    <w:rPr>
      <w:rFonts w:ascii="Tahoma" w:eastAsia="Arial Unicode MS" w:hAnsi="Tahoma" w:cs="Tahoma"/>
      <w:sz w:val="16"/>
      <w:szCs w:val="16"/>
      <w:bdr w:val="nil"/>
      <w:lang w:eastAsia="fr-FR"/>
    </w:rPr>
  </w:style>
  <w:style w:type="character" w:styleId="Hyperlink">
    <w:name w:val="Hyperlink"/>
    <w:basedOn w:val="DefaultParagraphFont"/>
    <w:uiPriority w:val="99"/>
    <w:unhideWhenUsed/>
    <w:rsid w:val="004E6594"/>
    <w:rPr>
      <w:color w:val="0000FF" w:themeColor="hyperlink"/>
      <w:u w:val="single"/>
    </w:rPr>
  </w:style>
  <w:style w:type="paragraph" w:styleId="BodyText">
    <w:name w:val="Body Text"/>
    <w:basedOn w:val="Normal"/>
    <w:link w:val="BodyTextChar"/>
    <w:uiPriority w:val="99"/>
    <w:semiHidden/>
    <w:unhideWhenUsed/>
    <w:rsid w:val="00FC343B"/>
    <w:pPr>
      <w:spacing w:after="120"/>
    </w:pPr>
    <w:rPr>
      <w:sz w:val="24"/>
      <w:szCs w:val="24"/>
      <w:lang w:val="en-US" w:eastAsia="en-US"/>
    </w:rPr>
  </w:style>
  <w:style w:type="character" w:customStyle="1" w:styleId="BodyTextChar">
    <w:name w:val="Body Text Char"/>
    <w:basedOn w:val="DefaultParagraphFont"/>
    <w:link w:val="BodyText"/>
    <w:uiPriority w:val="99"/>
    <w:semiHidden/>
    <w:rsid w:val="00FC343B"/>
    <w:rPr>
      <w:rFonts w:ascii="Times New Roman" w:eastAsia="Arial Unicode MS" w:hAnsi="Times New Roman" w:cs="Times New Roman"/>
      <w:sz w:val="24"/>
      <w:szCs w:val="24"/>
      <w:bdr w:val="nil"/>
      <w:lang w:val="en-US"/>
    </w:rPr>
  </w:style>
  <w:style w:type="character" w:styleId="Strong">
    <w:name w:val="Strong"/>
    <w:basedOn w:val="DefaultParagraphFont"/>
    <w:qFormat/>
    <w:rsid w:val="009C6547"/>
    <w:rPr>
      <w:b/>
      <w:bCs/>
    </w:rPr>
  </w:style>
  <w:style w:type="character" w:styleId="FootnoteReference">
    <w:name w:val="footnote reference"/>
    <w:aliases w:val="number, BVI fnr,BVI fnr,stylish,EN Footnote Reference,Footnote reference number,Footnote symbol,note TESI,-E Fußnotenzeichen,SUPERS,ftref,Footnote,Times 10 Point,Exposant 3 Point,Ref,de nota al pie,EN Footnote text,E FNZ,16 Point"/>
    <w:uiPriority w:val="99"/>
    <w:rsid w:val="00F814E2"/>
    <w:rPr>
      <w:rFonts w:cs="Times New Roman"/>
      <w:vertAlign w:val="superscript"/>
    </w:rPr>
  </w:style>
  <w:style w:type="paragraph" w:customStyle="1" w:styleId="Default">
    <w:name w:val="Default"/>
    <w:rsid w:val="00006047"/>
    <w:pPr>
      <w:autoSpaceDE w:val="0"/>
      <w:autoSpaceDN w:val="0"/>
      <w:adjustRightInd w:val="0"/>
      <w:spacing w:after="0" w:line="240" w:lineRule="auto"/>
    </w:pPr>
    <w:rPr>
      <w:rFonts w:ascii="Arial" w:hAnsi="Arial" w:cs="Arial"/>
      <w:color w:val="000000"/>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E659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rsid w:val="004E6594"/>
    <w:pPr>
      <w:pBdr>
        <w:top w:val="nil"/>
        <w:left w:val="nil"/>
        <w:bottom w:val="nil"/>
        <w:right w:val="nil"/>
        <w:between w:val="nil"/>
        <w:bar w:val="nil"/>
      </w:pBdr>
      <w:tabs>
        <w:tab w:val="right" w:pos="9020"/>
      </w:tabs>
      <w:spacing w:after="0" w:line="240" w:lineRule="auto"/>
    </w:pPr>
    <w:rPr>
      <w:rFonts w:ascii="Helvetica" w:eastAsia="Helvetica" w:hAnsi="Helvetica" w:cs="Helvetica"/>
      <w:color w:val="000000"/>
      <w:sz w:val="24"/>
      <w:szCs w:val="24"/>
      <w:bdr w:val="nil"/>
      <w:lang w:eastAsia="fr-FR"/>
    </w:rPr>
  </w:style>
  <w:style w:type="character" w:customStyle="1" w:styleId="HeaderChar">
    <w:name w:val="Header Char"/>
    <w:basedOn w:val="DefaultParagraphFont"/>
    <w:link w:val="Header"/>
    <w:rsid w:val="004E6594"/>
    <w:rPr>
      <w:rFonts w:ascii="Helvetica" w:eastAsia="Helvetica" w:hAnsi="Helvetica" w:cs="Helvetica"/>
      <w:color w:val="000000"/>
      <w:sz w:val="24"/>
      <w:szCs w:val="24"/>
      <w:bdr w:val="nil"/>
      <w:lang w:eastAsia="fr-FR"/>
    </w:rPr>
  </w:style>
  <w:style w:type="paragraph" w:styleId="Footer">
    <w:name w:val="footer"/>
    <w:link w:val="FooterChar"/>
    <w:uiPriority w:val="99"/>
    <w:rsid w:val="004E6594"/>
    <w:pPr>
      <w:widowControl w:val="0"/>
      <w:pBdr>
        <w:top w:val="nil"/>
        <w:left w:val="nil"/>
        <w:bottom w:val="nil"/>
        <w:right w:val="nil"/>
        <w:between w:val="nil"/>
        <w:bar w:val="nil"/>
      </w:pBdr>
      <w:tabs>
        <w:tab w:val="center" w:pos="4152"/>
        <w:tab w:val="right" w:pos="8305"/>
        <w:tab w:val="left" w:pos="8640"/>
      </w:tabs>
      <w:suppressAutoHyphens/>
      <w:spacing w:after="0" w:line="240" w:lineRule="auto"/>
      <w:jc w:val="both"/>
    </w:pPr>
    <w:rPr>
      <w:rFonts w:ascii="Times New Roman" w:eastAsia="Times New Roman" w:hAnsi="Times New Roman" w:cs="Times New Roman"/>
      <w:color w:val="000000"/>
      <w:sz w:val="24"/>
      <w:szCs w:val="24"/>
      <w:u w:color="000000"/>
      <w:bdr w:val="nil"/>
      <w:lang w:val="en-US" w:eastAsia="fr-FR"/>
    </w:rPr>
  </w:style>
  <w:style w:type="character" w:customStyle="1" w:styleId="FooterChar">
    <w:name w:val="Footer Char"/>
    <w:basedOn w:val="DefaultParagraphFont"/>
    <w:link w:val="Footer"/>
    <w:uiPriority w:val="99"/>
    <w:rsid w:val="004E6594"/>
    <w:rPr>
      <w:rFonts w:ascii="Times New Roman" w:eastAsia="Times New Roman" w:hAnsi="Times New Roman" w:cs="Times New Roman"/>
      <w:color w:val="000000"/>
      <w:sz w:val="24"/>
      <w:szCs w:val="24"/>
      <w:u w:color="000000"/>
      <w:bdr w:val="nil"/>
      <w:lang w:val="en-US" w:eastAsia="fr-FR"/>
    </w:rPr>
  </w:style>
  <w:style w:type="paragraph" w:styleId="FootnoteText">
    <w:name w:val="footnote text"/>
    <w:aliases w:val="fn,Geneva 9,Font: Geneva 9,Boston 10,f,ft,Fotnotstext Char,ft Char,single space,FOOTNOTES,ADB,single space1,footnote text1,FOOTNOTES1,fn1,ADB1,single space2,footnote text2,FOOTNOTES2,fn2,ADB2,single space3,footnote text3,fn3"/>
    <w:link w:val="FootnoteTextChar"/>
    <w:uiPriority w:val="99"/>
    <w:rsid w:val="004E6594"/>
    <w:pPr>
      <w:widowControl w:val="0"/>
      <w:pBdr>
        <w:top w:val="nil"/>
        <w:left w:val="nil"/>
        <w:bottom w:val="nil"/>
        <w:right w:val="nil"/>
        <w:between w:val="nil"/>
        <w:bar w:val="nil"/>
      </w:pBdr>
      <w:suppressAutoHyphens/>
      <w:spacing w:after="0" w:line="240" w:lineRule="auto"/>
      <w:jc w:val="both"/>
    </w:pPr>
    <w:rPr>
      <w:rFonts w:ascii="Courier New" w:eastAsia="Courier New" w:hAnsi="Courier New" w:cs="Courier New"/>
      <w:color w:val="000000"/>
      <w:sz w:val="20"/>
      <w:szCs w:val="20"/>
      <w:u w:color="000000"/>
      <w:bdr w:val="nil"/>
      <w:lang w:val="en-US" w:eastAsia="fr-FR"/>
    </w:rPr>
  </w:style>
  <w:style w:type="character" w:customStyle="1" w:styleId="FootnoteTextChar">
    <w:name w:val="Footnote Text Char"/>
    <w:aliases w:val="fn Char,Geneva 9 Char,Font: Geneva 9 Char,Boston 10 Char,f Char,ft Char1,Fotnotstext Char Char,ft Char Char,single space Char,FOOTNOTES Char,ADB Char,single space1 Char,footnote text1 Char,FOOTNOTES1 Char,fn1 Char,ADB1 Char,fn2 Char"/>
    <w:basedOn w:val="DefaultParagraphFont"/>
    <w:link w:val="FootnoteText"/>
    <w:uiPriority w:val="99"/>
    <w:rsid w:val="004E6594"/>
    <w:rPr>
      <w:rFonts w:ascii="Courier New" w:eastAsia="Courier New" w:hAnsi="Courier New" w:cs="Courier New"/>
      <w:color w:val="000000"/>
      <w:sz w:val="20"/>
      <w:szCs w:val="20"/>
      <w:u w:color="000000"/>
      <w:bdr w:val="nil"/>
      <w:lang w:val="en-US" w:eastAsia="fr-FR"/>
    </w:rPr>
  </w:style>
  <w:style w:type="paragraph" w:customStyle="1" w:styleId="Corps">
    <w:name w:val="Corps"/>
    <w:rsid w:val="004E6594"/>
    <w:pPr>
      <w:pBdr>
        <w:top w:val="nil"/>
        <w:left w:val="nil"/>
        <w:bottom w:val="nil"/>
        <w:right w:val="nil"/>
        <w:between w:val="nil"/>
        <w:bar w:val="nil"/>
      </w:pBdr>
      <w:spacing w:after="0" w:line="240" w:lineRule="auto"/>
    </w:pPr>
    <w:rPr>
      <w:rFonts w:ascii="Times New Roman" w:eastAsia="Times New Roman" w:hAnsi="Times New Roman" w:cs="Times New Roman"/>
      <w:color w:val="000000"/>
      <w:u w:color="000000"/>
      <w:bdr w:val="nil"/>
      <w:lang w:eastAsia="fr-FR"/>
    </w:rPr>
  </w:style>
  <w:style w:type="paragraph" w:customStyle="1" w:styleId="traduction">
    <w:name w:val="traduction"/>
    <w:rsid w:val="004E6594"/>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fr-FR"/>
    </w:rPr>
  </w:style>
  <w:style w:type="paragraph" w:styleId="ListParagraph">
    <w:name w:val="List Paragraph"/>
    <w:basedOn w:val="Normal"/>
    <w:qFormat/>
    <w:rsid w:val="004E6594"/>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eastAsia="Times New Roman"/>
      <w:bdr w:val="none" w:sz="0" w:space="0" w:color="auto"/>
      <w:lang w:val="en-GB" w:eastAsia="en-GB"/>
    </w:rPr>
  </w:style>
  <w:style w:type="paragraph" w:styleId="NormalWeb">
    <w:name w:val="Normal (Web)"/>
    <w:basedOn w:val="Normal"/>
    <w:rsid w:val="004E659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Verdana" w:eastAsia="Times New Roman" w:hAnsi="Verdana"/>
      <w:sz w:val="14"/>
      <w:szCs w:val="14"/>
      <w:bdr w:val="none" w:sz="0" w:space="0" w:color="auto"/>
    </w:rPr>
  </w:style>
  <w:style w:type="paragraph" w:styleId="BalloonText">
    <w:name w:val="Balloon Text"/>
    <w:basedOn w:val="Normal"/>
    <w:link w:val="BalloonTextChar"/>
    <w:uiPriority w:val="99"/>
    <w:semiHidden/>
    <w:unhideWhenUsed/>
    <w:rsid w:val="004E6594"/>
    <w:rPr>
      <w:rFonts w:ascii="Tahoma" w:hAnsi="Tahoma" w:cs="Tahoma"/>
      <w:sz w:val="16"/>
      <w:szCs w:val="16"/>
    </w:rPr>
  </w:style>
  <w:style w:type="character" w:customStyle="1" w:styleId="BalloonTextChar">
    <w:name w:val="Balloon Text Char"/>
    <w:basedOn w:val="DefaultParagraphFont"/>
    <w:link w:val="BalloonText"/>
    <w:uiPriority w:val="99"/>
    <w:semiHidden/>
    <w:rsid w:val="004E6594"/>
    <w:rPr>
      <w:rFonts w:ascii="Tahoma" w:eastAsia="Arial Unicode MS" w:hAnsi="Tahoma" w:cs="Tahoma"/>
      <w:sz w:val="16"/>
      <w:szCs w:val="16"/>
      <w:bdr w:val="nil"/>
      <w:lang w:eastAsia="fr-FR"/>
    </w:rPr>
  </w:style>
  <w:style w:type="character" w:styleId="Hyperlink">
    <w:name w:val="Hyperlink"/>
    <w:basedOn w:val="DefaultParagraphFont"/>
    <w:uiPriority w:val="99"/>
    <w:unhideWhenUsed/>
    <w:rsid w:val="004E6594"/>
    <w:rPr>
      <w:color w:val="0000FF" w:themeColor="hyperlink"/>
      <w:u w:val="single"/>
    </w:rPr>
  </w:style>
  <w:style w:type="paragraph" w:styleId="BodyText">
    <w:name w:val="Body Text"/>
    <w:basedOn w:val="Normal"/>
    <w:link w:val="BodyTextChar"/>
    <w:uiPriority w:val="99"/>
    <w:semiHidden/>
    <w:unhideWhenUsed/>
    <w:rsid w:val="00FC343B"/>
    <w:pPr>
      <w:spacing w:after="120"/>
    </w:pPr>
    <w:rPr>
      <w:sz w:val="24"/>
      <w:szCs w:val="24"/>
      <w:lang w:val="en-US" w:eastAsia="en-US"/>
    </w:rPr>
  </w:style>
  <w:style w:type="character" w:customStyle="1" w:styleId="BodyTextChar">
    <w:name w:val="Body Text Char"/>
    <w:basedOn w:val="DefaultParagraphFont"/>
    <w:link w:val="BodyText"/>
    <w:uiPriority w:val="99"/>
    <w:semiHidden/>
    <w:rsid w:val="00FC343B"/>
    <w:rPr>
      <w:rFonts w:ascii="Times New Roman" w:eastAsia="Arial Unicode MS" w:hAnsi="Times New Roman" w:cs="Times New Roman"/>
      <w:sz w:val="24"/>
      <w:szCs w:val="24"/>
      <w:bdr w:val="nil"/>
      <w:lang w:val="en-US"/>
    </w:rPr>
  </w:style>
  <w:style w:type="character" w:styleId="Strong">
    <w:name w:val="Strong"/>
    <w:basedOn w:val="DefaultParagraphFont"/>
    <w:qFormat/>
    <w:rsid w:val="009C6547"/>
    <w:rPr>
      <w:b/>
      <w:bCs/>
    </w:rPr>
  </w:style>
  <w:style w:type="character" w:styleId="FootnoteReference">
    <w:name w:val="footnote reference"/>
    <w:aliases w:val="number, BVI fnr,BVI fnr,stylish,EN Footnote Reference,Footnote reference number,Footnote symbol,note TESI,-E Fußnotenzeichen,SUPERS,ftref,Footnote,Times 10 Point,Exposant 3 Point,Ref,de nota al pie,EN Footnote text,E FNZ,16 Point"/>
    <w:uiPriority w:val="99"/>
    <w:rsid w:val="00F814E2"/>
    <w:rPr>
      <w:rFonts w:cs="Times New Roman"/>
      <w:vertAlign w:val="superscript"/>
    </w:rPr>
  </w:style>
  <w:style w:type="paragraph" w:customStyle="1" w:styleId="Default">
    <w:name w:val="Default"/>
    <w:rsid w:val="00006047"/>
    <w:pPr>
      <w:autoSpaceDE w:val="0"/>
      <w:autoSpaceDN w:val="0"/>
      <w:adjustRightInd w:val="0"/>
      <w:spacing w:after="0" w:line="240" w:lineRule="auto"/>
    </w:pPr>
    <w:rPr>
      <w:rFonts w:ascii="Arial" w:hAnsi="Arial" w:cs="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2080342">
      <w:bodyDiv w:val="1"/>
      <w:marLeft w:val="0"/>
      <w:marRight w:val="0"/>
      <w:marTop w:val="0"/>
      <w:marBottom w:val="0"/>
      <w:divBdr>
        <w:top w:val="none" w:sz="0" w:space="0" w:color="auto"/>
        <w:left w:val="none" w:sz="0" w:space="0" w:color="auto"/>
        <w:bottom w:val="none" w:sz="0" w:space="0" w:color="auto"/>
        <w:right w:val="none" w:sz="0" w:space="0" w:color="auto"/>
      </w:divBdr>
    </w:div>
    <w:div w:id="1002777823">
      <w:bodyDiv w:val="1"/>
      <w:marLeft w:val="0"/>
      <w:marRight w:val="0"/>
      <w:marTop w:val="0"/>
      <w:marBottom w:val="0"/>
      <w:divBdr>
        <w:top w:val="none" w:sz="0" w:space="0" w:color="auto"/>
        <w:left w:val="none" w:sz="0" w:space="0" w:color="auto"/>
        <w:bottom w:val="none" w:sz="0" w:space="0" w:color="auto"/>
        <w:right w:val="none" w:sz="0" w:space="0" w:color="auto"/>
      </w:divBdr>
    </w:div>
    <w:div w:id="1299917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061BF9-90F3-4F60-97E0-2E2A987D3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1341</Words>
  <Characters>7648</Characters>
  <Application>Microsoft Office Word</Application>
  <DocSecurity>0</DocSecurity>
  <Lines>63</Lines>
  <Paragraphs>17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Council of Europe</Company>
  <LinksUpToDate>false</LinksUpToDate>
  <CharactersWithSpaces>8972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D'ALESSANDRO Ivana</dc:creator>
  <cp:lastModifiedBy>BRAULIO Tania</cp:lastModifiedBy>
  <cp:revision>4</cp:revision>
  <cp:lastPrinted>2017-06-08T13:36:00Z</cp:lastPrinted>
  <dcterms:created xsi:type="dcterms:W3CDTF">2018-10-23T10:21:00Z</dcterms:created>
  <dcterms:modified xsi:type="dcterms:W3CDTF">2018-11-30T15:58:00Z</dcterms:modified>
</cp:coreProperties>
</file>