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2E30" w14:textId="29335996" w:rsidR="00982E1B" w:rsidRPr="004B7E8F" w:rsidRDefault="004B7E8F" w:rsidP="00DF55F4">
      <w:pPr>
        <w:spacing w:after="0"/>
        <w:jc w:val="both"/>
        <w:rPr>
          <w:b/>
          <w:bCs/>
          <w:color w:val="000000" w:themeColor="text1"/>
          <w:lang w:val="en-GB"/>
        </w:rPr>
      </w:pPr>
      <w:r w:rsidRPr="00637220">
        <w:rPr>
          <w:b/>
          <w:bCs/>
          <w:color w:val="000000" w:themeColor="text1"/>
          <w:lang w:val="en-GB"/>
        </w:rPr>
        <w:t xml:space="preserve">Questions and </w:t>
      </w:r>
      <w:r>
        <w:rPr>
          <w:b/>
          <w:bCs/>
          <w:color w:val="000000" w:themeColor="text1"/>
          <w:lang w:val="en-GB"/>
        </w:rPr>
        <w:t>a</w:t>
      </w:r>
      <w:r w:rsidRPr="00637220">
        <w:rPr>
          <w:b/>
          <w:bCs/>
          <w:color w:val="000000" w:themeColor="text1"/>
          <w:lang w:val="en-GB"/>
        </w:rPr>
        <w:t xml:space="preserve">nswers </w:t>
      </w:r>
      <w:r w:rsidR="00B43104">
        <w:rPr>
          <w:b/>
          <w:bCs/>
          <w:color w:val="000000" w:themeColor="text1"/>
          <w:lang w:val="en-GB"/>
        </w:rPr>
        <w:t>received for</w:t>
      </w:r>
      <w:r w:rsidRPr="004B7E8F">
        <w:rPr>
          <w:b/>
          <w:bCs/>
          <w:color w:val="000000" w:themeColor="text1"/>
          <w:lang w:val="en-GB"/>
        </w:rPr>
        <w:t xml:space="preserve"> </w:t>
      </w:r>
      <w:hyperlink r:id="rId4" w:history="1">
        <w:r w:rsidRPr="00DF55F4">
          <w:rPr>
            <w:rStyle w:val="Hyperlink"/>
            <w:b/>
            <w:bCs/>
            <w:lang w:val="en-GB"/>
          </w:rPr>
          <w:t>Call for Tender: Procurement of national consultancy services in the field of women’s access to justice in Türkiye within the scope of the Project “Fostering civil society participation and capacity building in access to justice in Türkiye</w:t>
        </w:r>
      </w:hyperlink>
    </w:p>
    <w:p w14:paraId="0E997096" w14:textId="77777777" w:rsidR="00982E1B" w:rsidRPr="004B7E8F" w:rsidRDefault="00982E1B" w:rsidP="00DF55F4">
      <w:pPr>
        <w:spacing w:after="0"/>
        <w:jc w:val="both"/>
        <w:rPr>
          <w:lang w:val="en-GB"/>
        </w:rPr>
      </w:pPr>
    </w:p>
    <w:p w14:paraId="5BA90E5D" w14:textId="3AFC1DA5" w:rsidR="004B7E8F" w:rsidRPr="00DF55F4" w:rsidRDefault="00982E1B" w:rsidP="004B7E8F">
      <w:pPr>
        <w:spacing w:after="0"/>
        <w:jc w:val="both"/>
        <w:rPr>
          <w:rFonts w:eastAsia="Times New Roman" w:cstheme="minorHAnsi"/>
          <w:b/>
          <w:bCs/>
          <w:kern w:val="0"/>
          <w:sz w:val="22"/>
          <w:szCs w:val="22"/>
          <w:lang w:val="en-GB"/>
          <w14:ligatures w14:val="none"/>
        </w:rPr>
      </w:pPr>
      <w:r w:rsidRPr="00DF55F4">
        <w:rPr>
          <w:rFonts w:eastAsia="Times New Roman" w:cstheme="minorHAnsi"/>
          <w:b/>
          <w:bCs/>
          <w:kern w:val="0"/>
          <w:sz w:val="22"/>
          <w:szCs w:val="22"/>
          <w:lang w:val="en-GB"/>
          <w14:ligatures w14:val="none"/>
        </w:rPr>
        <w:t>Q</w:t>
      </w:r>
      <w:r w:rsidR="00B4005F" w:rsidRPr="00DF55F4">
        <w:rPr>
          <w:rFonts w:eastAsia="Times New Roman" w:cstheme="minorHAnsi"/>
          <w:b/>
          <w:bCs/>
          <w:kern w:val="0"/>
          <w:sz w:val="22"/>
          <w:szCs w:val="22"/>
          <w:lang w:val="en-GB"/>
          <w14:ligatures w14:val="none"/>
        </w:rPr>
        <w:t>.</w:t>
      </w:r>
      <w:r w:rsidRPr="00DF55F4">
        <w:rPr>
          <w:rFonts w:eastAsia="Times New Roman" w:cstheme="minorHAnsi"/>
          <w:b/>
          <w:bCs/>
          <w:kern w:val="0"/>
          <w:sz w:val="22"/>
          <w:szCs w:val="22"/>
          <w:lang w:val="en-GB"/>
          <w14:ligatures w14:val="none"/>
        </w:rPr>
        <w:t>1</w:t>
      </w:r>
      <w:r w:rsidR="00476CFF" w:rsidRPr="00DF55F4">
        <w:rPr>
          <w:rFonts w:eastAsia="Times New Roman" w:cstheme="minorHAnsi"/>
          <w:b/>
          <w:bCs/>
          <w:kern w:val="0"/>
          <w:sz w:val="22"/>
          <w:szCs w:val="22"/>
          <w:lang w:val="en-GB"/>
          <w14:ligatures w14:val="none"/>
        </w:rPr>
        <w:t>. Can you clarify whether experts providing services under the framework contract are allowed to use the Turkish language during the implementation of activities and, where documents or materials are required during service delivery, whether such documents may also be prepared and used in Turkish when appropriate for the context</w:t>
      </w:r>
      <w:r w:rsidR="00B43104">
        <w:rPr>
          <w:rFonts w:eastAsia="Times New Roman" w:cstheme="minorHAnsi"/>
          <w:b/>
          <w:bCs/>
          <w:kern w:val="0"/>
          <w:sz w:val="22"/>
          <w:szCs w:val="22"/>
          <w:lang w:val="en-GB"/>
          <w14:ligatures w14:val="none"/>
        </w:rPr>
        <w:t>?</w:t>
      </w:r>
    </w:p>
    <w:p w14:paraId="1A730068" w14:textId="77777777" w:rsidR="004B7E8F" w:rsidRPr="00DF55F4" w:rsidRDefault="004B7E8F" w:rsidP="00DF55F4">
      <w:pPr>
        <w:spacing w:after="0"/>
        <w:jc w:val="both"/>
        <w:rPr>
          <w:rFonts w:eastAsia="Times New Roman" w:cstheme="minorHAnsi"/>
          <w:b/>
          <w:bCs/>
          <w:kern w:val="0"/>
          <w:sz w:val="22"/>
          <w:szCs w:val="22"/>
          <w:lang w:val="en-GB"/>
          <w14:ligatures w14:val="none"/>
        </w:rPr>
      </w:pPr>
    </w:p>
    <w:p w14:paraId="2F5F24B7" w14:textId="0EB4B268" w:rsidR="00982E1B" w:rsidRPr="00DF55F4" w:rsidRDefault="00982E1B" w:rsidP="00DF55F4">
      <w:pPr>
        <w:spacing w:after="0"/>
        <w:jc w:val="both"/>
        <w:rPr>
          <w:rFonts w:eastAsia="Times New Roman" w:cstheme="minorHAnsi"/>
          <w:kern w:val="0"/>
          <w:sz w:val="22"/>
          <w:szCs w:val="22"/>
          <w:lang w:val="en-GB"/>
          <w14:ligatures w14:val="none"/>
        </w:rPr>
      </w:pPr>
      <w:r w:rsidRPr="00DF55F4">
        <w:rPr>
          <w:rFonts w:eastAsia="Times New Roman" w:cstheme="minorHAnsi"/>
          <w:b/>
          <w:bCs/>
          <w:kern w:val="0"/>
          <w:sz w:val="22"/>
          <w:szCs w:val="22"/>
          <w:lang w:val="en-GB"/>
          <w14:ligatures w14:val="none"/>
        </w:rPr>
        <w:t>A</w:t>
      </w:r>
      <w:r w:rsidR="00B4005F" w:rsidRPr="00DF55F4">
        <w:rPr>
          <w:rFonts w:eastAsia="Times New Roman" w:cstheme="minorHAnsi"/>
          <w:b/>
          <w:bCs/>
          <w:kern w:val="0"/>
          <w:sz w:val="22"/>
          <w:szCs w:val="22"/>
          <w:lang w:val="en-GB"/>
          <w14:ligatures w14:val="none"/>
        </w:rPr>
        <w:t>.</w:t>
      </w:r>
      <w:r w:rsidRPr="00DF55F4">
        <w:rPr>
          <w:rFonts w:eastAsia="Times New Roman" w:cstheme="minorHAnsi"/>
          <w:b/>
          <w:bCs/>
          <w:kern w:val="0"/>
          <w:sz w:val="22"/>
          <w:szCs w:val="22"/>
          <w:lang w:val="en-GB"/>
          <w14:ligatures w14:val="none"/>
        </w:rPr>
        <w:t>1.</w:t>
      </w:r>
      <w:r w:rsidRPr="004B7E8F">
        <w:rPr>
          <w:lang w:val="en-GB"/>
        </w:rPr>
        <w:t xml:space="preserve"> </w:t>
      </w:r>
      <w:r w:rsidRPr="00DF55F4">
        <w:rPr>
          <w:rFonts w:eastAsia="Times New Roman" w:cstheme="minorHAnsi"/>
          <w:kern w:val="0"/>
          <w:sz w:val="22"/>
          <w:szCs w:val="22"/>
          <w:lang w:val="en-GB"/>
          <w14:ligatures w14:val="none"/>
        </w:rPr>
        <w:t xml:space="preserve">The modalities regarding how activities are to be implemented and </w:t>
      </w:r>
      <w:r w:rsidR="004B7E8F" w:rsidRPr="00DF55F4">
        <w:rPr>
          <w:rFonts w:eastAsia="Times New Roman" w:cstheme="minorHAnsi"/>
          <w:kern w:val="0"/>
          <w:sz w:val="22"/>
          <w:szCs w:val="22"/>
          <w:lang w:val="en-GB"/>
          <w14:ligatures w14:val="none"/>
        </w:rPr>
        <w:t>where documents or mat</w:t>
      </w:r>
      <w:r w:rsidR="004B7E8F">
        <w:rPr>
          <w:rFonts w:eastAsia="Times New Roman" w:cstheme="minorHAnsi"/>
          <w:kern w:val="0"/>
          <w:sz w:val="22"/>
          <w:szCs w:val="22"/>
          <w:lang w:val="en-GB"/>
          <w14:ligatures w14:val="none"/>
        </w:rPr>
        <w:t>erial</w:t>
      </w:r>
      <w:r w:rsidR="004B7E8F" w:rsidRPr="00DF55F4">
        <w:rPr>
          <w:rFonts w:eastAsia="Times New Roman" w:cstheme="minorHAnsi"/>
          <w:kern w:val="0"/>
          <w:sz w:val="22"/>
          <w:szCs w:val="22"/>
          <w:lang w:val="en-GB"/>
          <w14:ligatures w14:val="none"/>
        </w:rPr>
        <w:t xml:space="preserve">s are required during service delivery </w:t>
      </w:r>
      <w:r w:rsidRPr="00DF55F4">
        <w:rPr>
          <w:rFonts w:eastAsia="Times New Roman" w:cstheme="minorHAnsi"/>
          <w:kern w:val="0"/>
          <w:sz w:val="22"/>
          <w:szCs w:val="22"/>
          <w:lang w:val="en-GB"/>
          <w14:ligatures w14:val="none"/>
        </w:rPr>
        <w:t xml:space="preserve">are clearly defined in the tender documentation, </w:t>
      </w:r>
      <w:proofErr w:type="gramStart"/>
      <w:r w:rsidRPr="00DF55F4">
        <w:rPr>
          <w:rFonts w:eastAsia="Times New Roman" w:cstheme="minorHAnsi"/>
          <w:kern w:val="0"/>
          <w:sz w:val="22"/>
          <w:szCs w:val="22"/>
          <w:lang w:val="en-GB"/>
          <w14:ligatures w14:val="none"/>
        </w:rPr>
        <w:t>in particular on</w:t>
      </w:r>
      <w:proofErr w:type="gramEnd"/>
      <w:r w:rsidRPr="00DF55F4">
        <w:rPr>
          <w:rFonts w:eastAsia="Times New Roman" w:cstheme="minorHAnsi"/>
          <w:kern w:val="0"/>
          <w:sz w:val="22"/>
          <w:szCs w:val="22"/>
          <w:lang w:val="en-GB"/>
          <w14:ligatures w14:val="none"/>
        </w:rPr>
        <w:t xml:space="preserve"> pages 2–3. In line with these provisions, certain documents and materials may be prepared and used in Turkish when required by the nature of the activity. However, it is a</w:t>
      </w:r>
      <w:r w:rsidR="004B7E8F">
        <w:rPr>
          <w:rFonts w:eastAsia="Times New Roman" w:cstheme="minorHAnsi"/>
          <w:kern w:val="0"/>
          <w:sz w:val="22"/>
          <w:szCs w:val="22"/>
          <w:lang w:val="en-GB"/>
          <w14:ligatures w14:val="none"/>
        </w:rPr>
        <w:t xml:space="preserve"> </w:t>
      </w:r>
      <w:r w:rsidRPr="00DF55F4">
        <w:rPr>
          <w:rFonts w:eastAsia="Times New Roman" w:cstheme="minorHAnsi"/>
          <w:kern w:val="0"/>
          <w:sz w:val="22"/>
          <w:szCs w:val="22"/>
          <w:lang w:val="en-GB"/>
          <w14:ligatures w14:val="none"/>
        </w:rPr>
        <w:t>requirement that all such documents must always be submitted together with their English versions, particularly for reporting, contractual, and deliverable-related documentation.</w:t>
      </w:r>
    </w:p>
    <w:p w14:paraId="75E7BA28" w14:textId="77777777" w:rsidR="00602FE3" w:rsidRPr="00DF55F4" w:rsidRDefault="00602FE3" w:rsidP="00DF55F4">
      <w:pPr>
        <w:jc w:val="both"/>
        <w:rPr>
          <w:rFonts w:eastAsia="Times New Roman" w:cstheme="minorHAnsi"/>
          <w:kern w:val="0"/>
          <w:sz w:val="22"/>
          <w:szCs w:val="22"/>
          <w:lang w:val="en-GB"/>
          <w14:ligatures w14:val="none"/>
        </w:rPr>
      </w:pPr>
    </w:p>
    <w:p w14:paraId="55C6F815" w14:textId="452CE5C5" w:rsidR="009E7728" w:rsidRPr="00DF55F4" w:rsidRDefault="009E7728" w:rsidP="00DF55F4">
      <w:pPr>
        <w:jc w:val="both"/>
        <w:rPr>
          <w:rFonts w:eastAsia="Times New Roman" w:cstheme="minorHAnsi"/>
          <w:b/>
          <w:bCs/>
          <w:i/>
          <w:iCs/>
          <w:kern w:val="0"/>
          <w:sz w:val="22"/>
          <w:szCs w:val="22"/>
          <w:lang w:val="en-GB"/>
          <w14:ligatures w14:val="none"/>
        </w:rPr>
      </w:pPr>
      <w:r w:rsidRPr="00DF55F4">
        <w:rPr>
          <w:rFonts w:eastAsia="Times New Roman" w:cstheme="minorHAnsi"/>
          <w:b/>
          <w:bCs/>
          <w:kern w:val="0"/>
          <w:sz w:val="22"/>
          <w:szCs w:val="22"/>
          <w:lang w:val="en-GB"/>
          <w14:ligatures w14:val="none"/>
        </w:rPr>
        <w:t>Q</w:t>
      </w:r>
      <w:r w:rsidR="00B4005F" w:rsidRPr="00DF55F4">
        <w:rPr>
          <w:rFonts w:eastAsia="Times New Roman" w:cstheme="minorHAnsi"/>
          <w:b/>
          <w:bCs/>
          <w:kern w:val="0"/>
          <w:sz w:val="22"/>
          <w:szCs w:val="22"/>
          <w:lang w:val="en-GB"/>
          <w14:ligatures w14:val="none"/>
        </w:rPr>
        <w:t>.</w:t>
      </w:r>
      <w:r w:rsidRPr="00DF55F4">
        <w:rPr>
          <w:rFonts w:eastAsia="Times New Roman" w:cstheme="minorHAnsi"/>
          <w:b/>
          <w:bCs/>
          <w:kern w:val="0"/>
          <w:sz w:val="22"/>
          <w:szCs w:val="22"/>
          <w:lang w:val="en-GB"/>
          <w14:ligatures w14:val="none"/>
        </w:rPr>
        <w:t>2. In the section under “B-EXPECTED DELIVERABLES” the following statement is included:</w:t>
      </w:r>
      <w:r w:rsidR="004B7E8F">
        <w:rPr>
          <w:rFonts w:eastAsia="Times New Roman" w:cstheme="minorHAnsi"/>
          <w:b/>
          <w:bCs/>
          <w:kern w:val="0"/>
          <w:sz w:val="22"/>
          <w:szCs w:val="22"/>
          <w:lang w:val="en-GB"/>
          <w14:ligatures w14:val="none"/>
        </w:rPr>
        <w:t xml:space="preserve"> </w:t>
      </w:r>
      <w:r w:rsidRPr="00DF55F4">
        <w:rPr>
          <w:rFonts w:eastAsia="Times New Roman" w:cstheme="minorHAnsi"/>
          <w:b/>
          <w:bCs/>
          <w:i/>
          <w:iCs/>
          <w:kern w:val="0"/>
          <w:sz w:val="22"/>
          <w:szCs w:val="22"/>
          <w:lang w:val="en-GB"/>
          <w14:ligatures w14:val="none"/>
        </w:rPr>
        <w:t>“For information purposes only, the budget of the project relating to women’s access to justice amounts to 1,482,000 Euros and the total amount of the object of present tender shall not exceed 55,000 Euros tax exclusive for the whole duration of the Framework Contract. This information does not constitute any sort of contractual commitment or obligation on the part of the Council of Europe.”</w:t>
      </w:r>
    </w:p>
    <w:p w14:paraId="4D281D63" w14:textId="667793ED" w:rsidR="009E7728" w:rsidRPr="00DF55F4" w:rsidRDefault="009E7728" w:rsidP="00DF55F4">
      <w:pPr>
        <w:spacing w:after="0"/>
        <w:jc w:val="both"/>
        <w:rPr>
          <w:rFonts w:eastAsia="Times New Roman" w:cstheme="minorHAnsi"/>
          <w:b/>
          <w:bCs/>
          <w:kern w:val="0"/>
          <w:sz w:val="22"/>
          <w:szCs w:val="22"/>
          <w:lang w:val="en-GB"/>
          <w14:ligatures w14:val="none"/>
        </w:rPr>
      </w:pPr>
      <w:r w:rsidRPr="00DF55F4">
        <w:rPr>
          <w:rFonts w:eastAsia="Times New Roman" w:cstheme="minorHAnsi"/>
          <w:b/>
          <w:bCs/>
          <w:kern w:val="0"/>
          <w:sz w:val="22"/>
          <w:szCs w:val="22"/>
          <w:lang w:val="en-GB"/>
          <w14:ligatures w14:val="none"/>
        </w:rPr>
        <w:t>Please clarify what the “……</w:t>
      </w:r>
      <w:proofErr w:type="gramStart"/>
      <w:r w:rsidRPr="00DF55F4">
        <w:rPr>
          <w:rFonts w:eastAsia="Times New Roman" w:cstheme="minorHAnsi"/>
          <w:b/>
          <w:bCs/>
          <w:kern w:val="0"/>
          <w:sz w:val="22"/>
          <w:szCs w:val="22"/>
          <w:lang w:val="en-GB"/>
          <w14:ligatures w14:val="none"/>
        </w:rPr>
        <w:t>….shall</w:t>
      </w:r>
      <w:proofErr w:type="gramEnd"/>
      <w:r w:rsidRPr="00DF55F4">
        <w:rPr>
          <w:rFonts w:eastAsia="Times New Roman" w:cstheme="minorHAnsi"/>
          <w:b/>
          <w:bCs/>
          <w:kern w:val="0"/>
          <w:sz w:val="22"/>
          <w:szCs w:val="22"/>
          <w:lang w:val="en-GB"/>
          <w14:ligatures w14:val="none"/>
        </w:rPr>
        <w:t xml:space="preserve"> not exceed 55,000 Euros…….”  statement specifically refers to, i.e. what 55,000 Euros should be understood to be composed of in the context of the Framework Contract.</w:t>
      </w:r>
    </w:p>
    <w:p w14:paraId="14C1569B" w14:textId="77777777" w:rsidR="009E7728" w:rsidRPr="00DF55F4" w:rsidRDefault="009E7728" w:rsidP="00DF55F4">
      <w:pPr>
        <w:spacing w:after="0"/>
        <w:jc w:val="both"/>
        <w:rPr>
          <w:b/>
          <w:bCs/>
          <w:lang w:val="en-GB"/>
        </w:rPr>
      </w:pPr>
    </w:p>
    <w:p w14:paraId="1ACD228F" w14:textId="5996CB7A" w:rsidR="009E7728" w:rsidRPr="00DF55F4" w:rsidRDefault="009E7728" w:rsidP="00DF55F4">
      <w:pPr>
        <w:jc w:val="both"/>
        <w:rPr>
          <w:rFonts w:eastAsia="Times New Roman" w:cstheme="minorHAnsi"/>
          <w:kern w:val="0"/>
          <w:sz w:val="22"/>
          <w:szCs w:val="22"/>
          <w:lang w:val="en-GB"/>
          <w14:ligatures w14:val="none"/>
        </w:rPr>
      </w:pPr>
      <w:r w:rsidRPr="00DF55F4">
        <w:rPr>
          <w:rFonts w:eastAsia="Times New Roman" w:cstheme="minorHAnsi"/>
          <w:b/>
          <w:bCs/>
          <w:kern w:val="0"/>
          <w:sz w:val="22"/>
          <w:szCs w:val="22"/>
          <w:lang w:val="en-GB"/>
          <w14:ligatures w14:val="none"/>
        </w:rPr>
        <w:t>A</w:t>
      </w:r>
      <w:r w:rsidR="00B4005F" w:rsidRPr="00DF55F4">
        <w:rPr>
          <w:rFonts w:eastAsia="Times New Roman" w:cstheme="minorHAnsi"/>
          <w:b/>
          <w:bCs/>
          <w:kern w:val="0"/>
          <w:sz w:val="22"/>
          <w:szCs w:val="22"/>
          <w:lang w:val="en-GB"/>
          <w14:ligatures w14:val="none"/>
        </w:rPr>
        <w:t>.</w:t>
      </w:r>
      <w:r w:rsidRPr="00DF55F4">
        <w:rPr>
          <w:rFonts w:eastAsia="Times New Roman" w:cstheme="minorHAnsi"/>
          <w:b/>
          <w:bCs/>
          <w:kern w:val="0"/>
          <w:sz w:val="22"/>
          <w:szCs w:val="22"/>
          <w:lang w:val="en-GB"/>
          <w14:ligatures w14:val="none"/>
        </w:rPr>
        <w:t>2.</w:t>
      </w:r>
      <w:r w:rsidRPr="00DF55F4">
        <w:rPr>
          <w:b/>
          <w:bCs/>
          <w:lang w:val="en-GB"/>
        </w:rPr>
        <w:t xml:space="preserve"> </w:t>
      </w:r>
      <w:r w:rsidRPr="00DF55F4">
        <w:rPr>
          <w:rFonts w:eastAsia="Times New Roman" w:cstheme="minorHAnsi"/>
          <w:kern w:val="0"/>
          <w:sz w:val="22"/>
          <w:szCs w:val="22"/>
          <w:lang w:val="en-GB"/>
          <w14:ligatures w14:val="none"/>
        </w:rPr>
        <w:t xml:space="preserve">The amount of EUR 55,000 (tax exclusive) refers to the overall maximum cumulative value of all purchases from all consultants under this Framework Contract over its entire duration. </w:t>
      </w:r>
    </w:p>
    <w:p w14:paraId="334EE8FE" w14:textId="4AB38F35" w:rsidR="009E7728" w:rsidRPr="00DF55F4" w:rsidRDefault="009E7728" w:rsidP="00DF55F4">
      <w:pPr>
        <w:jc w:val="both"/>
        <w:rPr>
          <w:lang w:val="en-GB"/>
        </w:rPr>
      </w:pPr>
    </w:p>
    <w:p w14:paraId="70103A3F" w14:textId="26C030F7" w:rsidR="00982E1B" w:rsidRPr="004B7E8F" w:rsidRDefault="00982E1B" w:rsidP="00DF55F4">
      <w:pPr>
        <w:jc w:val="both"/>
        <w:rPr>
          <w:lang w:val="en-GB"/>
        </w:rPr>
      </w:pPr>
    </w:p>
    <w:p w14:paraId="399784D0" w14:textId="77777777" w:rsidR="00982E1B" w:rsidRPr="004B7E8F" w:rsidRDefault="00982E1B" w:rsidP="00DF55F4">
      <w:pPr>
        <w:jc w:val="both"/>
        <w:rPr>
          <w:lang w:val="en-GB"/>
        </w:rPr>
      </w:pPr>
    </w:p>
    <w:p w14:paraId="7CC4F0CA" w14:textId="04CEF835" w:rsidR="00982E1B" w:rsidRPr="004B7E8F" w:rsidRDefault="00982E1B" w:rsidP="00DF55F4">
      <w:pPr>
        <w:jc w:val="both"/>
        <w:rPr>
          <w:lang w:val="en-GB"/>
        </w:rPr>
      </w:pPr>
      <w:r w:rsidRPr="004B7E8F">
        <w:rPr>
          <w:lang w:val="en-GB"/>
        </w:rPr>
        <w:br/>
      </w:r>
    </w:p>
    <w:p w14:paraId="7E85D2E2" w14:textId="77777777" w:rsidR="00982E1B" w:rsidRPr="004B7E8F" w:rsidRDefault="00982E1B" w:rsidP="00DF55F4">
      <w:pPr>
        <w:jc w:val="both"/>
        <w:rPr>
          <w:lang w:val="en-GB"/>
        </w:rPr>
      </w:pPr>
    </w:p>
    <w:p w14:paraId="30CEBFD8" w14:textId="77777777" w:rsidR="000843E8" w:rsidRPr="004B7E8F" w:rsidRDefault="000843E8" w:rsidP="00DF55F4">
      <w:pPr>
        <w:jc w:val="both"/>
        <w:rPr>
          <w:lang w:val="en-GB"/>
        </w:rPr>
      </w:pPr>
    </w:p>
    <w:sectPr w:rsidR="000843E8" w:rsidRPr="004B7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1B"/>
    <w:rsid w:val="000122E2"/>
    <w:rsid w:val="000843E8"/>
    <w:rsid w:val="000B1C07"/>
    <w:rsid w:val="003D4760"/>
    <w:rsid w:val="00476CFF"/>
    <w:rsid w:val="004B7E8F"/>
    <w:rsid w:val="00602FE3"/>
    <w:rsid w:val="008149F1"/>
    <w:rsid w:val="00982E1B"/>
    <w:rsid w:val="009E7728"/>
    <w:rsid w:val="00A60D87"/>
    <w:rsid w:val="00B4005F"/>
    <w:rsid w:val="00B43104"/>
    <w:rsid w:val="00BA463F"/>
    <w:rsid w:val="00CE524D"/>
    <w:rsid w:val="00D02F19"/>
    <w:rsid w:val="00D64D57"/>
    <w:rsid w:val="00DF55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665C"/>
  <w15:chartTrackingRefBased/>
  <w15:docId w15:val="{1D64982C-C528-42DE-A27E-1C8AD9FA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E1B"/>
    <w:rPr>
      <w:rFonts w:eastAsiaTheme="majorEastAsia" w:cstheme="majorBidi"/>
      <w:color w:val="272727" w:themeColor="text1" w:themeTint="D8"/>
    </w:rPr>
  </w:style>
  <w:style w:type="paragraph" w:styleId="Title">
    <w:name w:val="Title"/>
    <w:basedOn w:val="Normal"/>
    <w:next w:val="Normal"/>
    <w:link w:val="TitleChar"/>
    <w:uiPriority w:val="10"/>
    <w:qFormat/>
    <w:rsid w:val="00982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E1B"/>
    <w:pPr>
      <w:spacing w:before="160"/>
      <w:jc w:val="center"/>
    </w:pPr>
    <w:rPr>
      <w:i/>
      <w:iCs/>
      <w:color w:val="404040" w:themeColor="text1" w:themeTint="BF"/>
    </w:rPr>
  </w:style>
  <w:style w:type="character" w:customStyle="1" w:styleId="QuoteChar">
    <w:name w:val="Quote Char"/>
    <w:basedOn w:val="DefaultParagraphFont"/>
    <w:link w:val="Quote"/>
    <w:uiPriority w:val="29"/>
    <w:rsid w:val="00982E1B"/>
    <w:rPr>
      <w:i/>
      <w:iCs/>
      <w:color w:val="404040" w:themeColor="text1" w:themeTint="BF"/>
    </w:rPr>
  </w:style>
  <w:style w:type="paragraph" w:styleId="ListParagraph">
    <w:name w:val="List Paragraph"/>
    <w:basedOn w:val="Normal"/>
    <w:uiPriority w:val="34"/>
    <w:qFormat/>
    <w:rsid w:val="00982E1B"/>
    <w:pPr>
      <w:ind w:left="720"/>
      <w:contextualSpacing/>
    </w:pPr>
  </w:style>
  <w:style w:type="character" w:styleId="IntenseEmphasis">
    <w:name w:val="Intense Emphasis"/>
    <w:basedOn w:val="DefaultParagraphFont"/>
    <w:uiPriority w:val="21"/>
    <w:qFormat/>
    <w:rsid w:val="00982E1B"/>
    <w:rPr>
      <w:i/>
      <w:iCs/>
      <w:color w:val="0F4761" w:themeColor="accent1" w:themeShade="BF"/>
    </w:rPr>
  </w:style>
  <w:style w:type="paragraph" w:styleId="IntenseQuote">
    <w:name w:val="Intense Quote"/>
    <w:basedOn w:val="Normal"/>
    <w:next w:val="Normal"/>
    <w:link w:val="IntenseQuoteChar"/>
    <w:uiPriority w:val="30"/>
    <w:qFormat/>
    <w:rsid w:val="00982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E1B"/>
    <w:rPr>
      <w:i/>
      <w:iCs/>
      <w:color w:val="0F4761" w:themeColor="accent1" w:themeShade="BF"/>
    </w:rPr>
  </w:style>
  <w:style w:type="character" w:styleId="IntenseReference">
    <w:name w:val="Intense Reference"/>
    <w:basedOn w:val="DefaultParagraphFont"/>
    <w:uiPriority w:val="32"/>
    <w:qFormat/>
    <w:rsid w:val="00982E1B"/>
    <w:rPr>
      <w:b/>
      <w:bCs/>
      <w:smallCaps/>
      <w:color w:val="0F4761" w:themeColor="accent1" w:themeShade="BF"/>
      <w:spacing w:val="5"/>
    </w:rPr>
  </w:style>
  <w:style w:type="paragraph" w:styleId="Revision">
    <w:name w:val="Revision"/>
    <w:hidden/>
    <w:uiPriority w:val="99"/>
    <w:semiHidden/>
    <w:rsid w:val="004B7E8F"/>
    <w:pPr>
      <w:spacing w:after="0" w:line="240" w:lineRule="auto"/>
    </w:pPr>
  </w:style>
  <w:style w:type="character" w:styleId="Hyperlink">
    <w:name w:val="Hyperlink"/>
    <w:basedOn w:val="DefaultParagraphFont"/>
    <w:uiPriority w:val="99"/>
    <w:unhideWhenUsed/>
    <w:rsid w:val="004B7E8F"/>
    <w:rPr>
      <w:color w:val="467886" w:themeColor="hyperlink"/>
      <w:u w:val="single"/>
    </w:rPr>
  </w:style>
  <w:style w:type="character" w:styleId="UnresolvedMention">
    <w:name w:val="Unresolved Mention"/>
    <w:basedOn w:val="DefaultParagraphFont"/>
    <w:uiPriority w:val="99"/>
    <w:semiHidden/>
    <w:unhideWhenUsed/>
    <w:rsid w:val="004B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6664">
      <w:bodyDiv w:val="1"/>
      <w:marLeft w:val="0"/>
      <w:marRight w:val="0"/>
      <w:marTop w:val="0"/>
      <w:marBottom w:val="0"/>
      <w:divBdr>
        <w:top w:val="none" w:sz="0" w:space="0" w:color="auto"/>
        <w:left w:val="none" w:sz="0" w:space="0" w:color="auto"/>
        <w:bottom w:val="none" w:sz="0" w:space="0" w:color="auto"/>
        <w:right w:val="none" w:sz="0" w:space="0" w:color="auto"/>
      </w:divBdr>
    </w:div>
    <w:div w:id="222569496">
      <w:bodyDiv w:val="1"/>
      <w:marLeft w:val="0"/>
      <w:marRight w:val="0"/>
      <w:marTop w:val="0"/>
      <w:marBottom w:val="0"/>
      <w:divBdr>
        <w:top w:val="none" w:sz="0" w:space="0" w:color="auto"/>
        <w:left w:val="none" w:sz="0" w:space="0" w:color="auto"/>
        <w:bottom w:val="none" w:sz="0" w:space="0" w:color="auto"/>
        <w:right w:val="none" w:sz="0" w:space="0" w:color="auto"/>
      </w:divBdr>
    </w:div>
    <w:div w:id="436758578">
      <w:bodyDiv w:val="1"/>
      <w:marLeft w:val="0"/>
      <w:marRight w:val="0"/>
      <w:marTop w:val="0"/>
      <w:marBottom w:val="0"/>
      <w:divBdr>
        <w:top w:val="none" w:sz="0" w:space="0" w:color="auto"/>
        <w:left w:val="none" w:sz="0" w:space="0" w:color="auto"/>
        <w:bottom w:val="none" w:sz="0" w:space="0" w:color="auto"/>
        <w:right w:val="none" w:sz="0" w:space="0" w:color="auto"/>
      </w:divBdr>
    </w:div>
    <w:div w:id="440150229">
      <w:bodyDiv w:val="1"/>
      <w:marLeft w:val="0"/>
      <w:marRight w:val="0"/>
      <w:marTop w:val="0"/>
      <w:marBottom w:val="0"/>
      <w:divBdr>
        <w:top w:val="none" w:sz="0" w:space="0" w:color="auto"/>
        <w:left w:val="none" w:sz="0" w:space="0" w:color="auto"/>
        <w:bottom w:val="none" w:sz="0" w:space="0" w:color="auto"/>
        <w:right w:val="none" w:sz="0" w:space="0" w:color="auto"/>
      </w:divBdr>
    </w:div>
    <w:div w:id="765199137">
      <w:bodyDiv w:val="1"/>
      <w:marLeft w:val="0"/>
      <w:marRight w:val="0"/>
      <w:marTop w:val="0"/>
      <w:marBottom w:val="0"/>
      <w:divBdr>
        <w:top w:val="none" w:sz="0" w:space="0" w:color="auto"/>
        <w:left w:val="none" w:sz="0" w:space="0" w:color="auto"/>
        <w:bottom w:val="none" w:sz="0" w:space="0" w:color="auto"/>
        <w:right w:val="none" w:sz="0" w:space="0" w:color="auto"/>
      </w:divBdr>
    </w:div>
    <w:div w:id="1023826817">
      <w:bodyDiv w:val="1"/>
      <w:marLeft w:val="0"/>
      <w:marRight w:val="0"/>
      <w:marTop w:val="0"/>
      <w:marBottom w:val="0"/>
      <w:divBdr>
        <w:top w:val="none" w:sz="0" w:space="0" w:color="auto"/>
        <w:left w:val="none" w:sz="0" w:space="0" w:color="auto"/>
        <w:bottom w:val="none" w:sz="0" w:space="0" w:color="auto"/>
        <w:right w:val="none" w:sz="0" w:space="0" w:color="auto"/>
      </w:divBdr>
    </w:div>
    <w:div w:id="1058407245">
      <w:bodyDiv w:val="1"/>
      <w:marLeft w:val="0"/>
      <w:marRight w:val="0"/>
      <w:marTop w:val="0"/>
      <w:marBottom w:val="0"/>
      <w:divBdr>
        <w:top w:val="none" w:sz="0" w:space="0" w:color="auto"/>
        <w:left w:val="none" w:sz="0" w:space="0" w:color="auto"/>
        <w:bottom w:val="none" w:sz="0" w:space="0" w:color="auto"/>
        <w:right w:val="none" w:sz="0" w:space="0" w:color="auto"/>
      </w:divBdr>
    </w:div>
    <w:div w:id="1154755075">
      <w:bodyDiv w:val="1"/>
      <w:marLeft w:val="0"/>
      <w:marRight w:val="0"/>
      <w:marTop w:val="0"/>
      <w:marBottom w:val="0"/>
      <w:divBdr>
        <w:top w:val="none" w:sz="0" w:space="0" w:color="auto"/>
        <w:left w:val="none" w:sz="0" w:space="0" w:color="auto"/>
        <w:bottom w:val="none" w:sz="0" w:space="0" w:color="auto"/>
        <w:right w:val="none" w:sz="0" w:space="0" w:color="auto"/>
      </w:divBdr>
    </w:div>
    <w:div w:id="122101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e.int/en/web/ankara/-/call-for-tender-procurement-of-national-consultancy-services-in-the-field-of-women-s-access-to-justice-in-t%C3%BCrkiye-within-the-scope-of-the-project-fostering-civil-society-participation-and-capacity-building-in-access-to-justice-in-t%C3%BCrki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SARIGOL Zeynep Nehir</dc:creator>
  <cp:keywords/>
  <dc:description/>
  <cp:lastModifiedBy>PAPILA Serkan</cp:lastModifiedBy>
  <cp:revision>2</cp:revision>
  <dcterms:created xsi:type="dcterms:W3CDTF">2026-02-11T13:07:00Z</dcterms:created>
  <dcterms:modified xsi:type="dcterms:W3CDTF">2026-02-11T13:07:00Z</dcterms:modified>
</cp:coreProperties>
</file>