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EE36EF9" w:rsidR="003122C0" w:rsidRPr="002A092A" w:rsidRDefault="00643D63">
            <w:pPr>
              <w:rPr>
                <w:rFonts w:ascii="Tahoma" w:hAnsi="Tahoma" w:cs="Tahoma"/>
                <w:caps/>
                <w:color w:val="000000" w:themeColor="text1"/>
                <w:sz w:val="18"/>
                <w:szCs w:val="18"/>
                <w:highlight w:val="cyan"/>
              </w:rPr>
            </w:pPr>
            <w:bookmarkStart w:id="0" w:name="_Hlk30630342"/>
            <w:r w:rsidRPr="0042138A">
              <w:rPr>
                <w:rFonts w:ascii="Tahoma" w:hAnsi="Tahoma" w:cs="Tahoma"/>
                <w:caps/>
                <w:color w:val="000000" w:themeColor="text1"/>
                <w:sz w:val="18"/>
                <w:szCs w:val="18"/>
              </w:rPr>
              <w:t>DAD-ADD/ICC(2020)</w:t>
            </w:r>
            <w:bookmarkEnd w:id="0"/>
            <w:r>
              <w:rPr>
                <w:rFonts w:ascii="Tahoma" w:hAnsi="Tahoma" w:cs="Tahoma"/>
                <w:caps/>
                <w:color w:val="000000" w:themeColor="text1"/>
                <w:sz w:val="18"/>
                <w:szCs w:val="18"/>
              </w:rPr>
              <w:t>0</w:t>
            </w:r>
            <w:r w:rsidR="0032277A">
              <w:rPr>
                <w:rFonts w:ascii="Tahoma" w:hAnsi="Tahoma" w:cs="Tahoma"/>
                <w:caps/>
                <w:color w:val="000000" w:themeColor="text1"/>
                <w:sz w:val="18"/>
                <w:szCs w:val="18"/>
              </w:rPr>
              <w:t>4</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F34BB56" w:rsidR="003122C0" w:rsidRPr="002A092A" w:rsidRDefault="00643D63">
            <w:pPr>
              <w:rPr>
                <w:rFonts w:ascii="Tahoma" w:hAnsi="Tahoma" w:cs="Tahoma"/>
                <w:caps/>
                <w:color w:val="000000" w:themeColor="text1"/>
                <w:sz w:val="18"/>
                <w:szCs w:val="18"/>
                <w:highlight w:val="cyan"/>
              </w:rPr>
            </w:pPr>
            <w:r w:rsidRPr="0042138A">
              <w:rPr>
                <w:rFonts w:ascii="Tahoma" w:hAnsi="Tahoma" w:cs="Tahoma"/>
                <w:caps/>
                <w:color w:val="000000" w:themeColor="text1"/>
                <w:sz w:val="18"/>
                <w:szCs w:val="18"/>
              </w:rPr>
              <w:t>INTERCULTURAL CITIES PROGRAMME-ICC</w:t>
            </w:r>
          </w:p>
        </w:tc>
      </w:tr>
      <w:tr w:rsidR="003122C0" w:rsidRPr="002A092A" w14:paraId="7245BDED" w14:textId="77777777" w:rsidTr="00643D63">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14BEAED4" w14:textId="765734CA" w:rsidR="003122C0" w:rsidRPr="009C0A9F" w:rsidRDefault="0032277A">
            <w:pPr>
              <w:rPr>
                <w:rFonts w:ascii="Tahoma" w:hAnsi="Tahoma" w:cs="Tahoma"/>
                <w:b/>
                <w:caps/>
                <w:color w:val="000000" w:themeColor="text1"/>
                <w:sz w:val="18"/>
                <w:szCs w:val="18"/>
              </w:rPr>
            </w:pPr>
            <w:r>
              <w:rPr>
                <w:rFonts w:ascii="Tahoma" w:hAnsi="Tahoma" w:cs="Tahoma"/>
                <w:color w:val="000000" w:themeColor="text1"/>
                <w:sz w:val="18"/>
                <w:szCs w:val="18"/>
              </w:rPr>
              <w:t>Yann.Privat</w:t>
            </w:r>
            <w:r w:rsidR="00643D63" w:rsidRPr="009C0A9F">
              <w:rPr>
                <w:rFonts w:ascii="Tahoma" w:hAnsi="Tahoma" w:cs="Tahoma"/>
                <w:color w:val="000000" w:themeColor="text1"/>
                <w:sz w:val="18"/>
                <w:szCs w:val="18"/>
              </w:rPr>
              <w:t>@coe.int</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0B743AE" w14:textId="265840BF" w:rsidR="007B4D04" w:rsidRPr="007B4D04" w:rsidRDefault="00BD6B89" w:rsidP="007B4D04">
      <w:pPr>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w:t>
      </w:r>
      <w:r w:rsidR="007B4D04">
        <w:rPr>
          <w:rFonts w:ascii="Tahoma" w:hAnsi="Tahoma" w:cs="Tahoma"/>
          <w:b/>
        </w:rPr>
        <w:t>c</w:t>
      </w:r>
      <w:r w:rsidR="007B4D04" w:rsidRPr="007B4D04">
        <w:rPr>
          <w:rFonts w:ascii="Tahoma" w:hAnsi="Tahoma" w:cs="Tahoma"/>
          <w:b/>
        </w:rPr>
        <w:t xml:space="preserve">reation of a tool to create online ICC charts and ensure their maintenance and updating </w:t>
      </w:r>
    </w:p>
    <w:p w14:paraId="74F5ACBD" w14:textId="13B48DF9" w:rsidR="00371509" w:rsidRPr="002A092A" w:rsidRDefault="00371509" w:rsidP="007B4D04">
      <w:pPr>
        <w:spacing w:before="60" w:after="120"/>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7B5072">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7B5072">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7B5072">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7B507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7B5072">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7B507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7B5072">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7B507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7B5072">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7B5072">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7B507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7B5072">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7B5072">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7B5072">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7B507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7B5072">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7B507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7B5072">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7B5072">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0F30A768" w14:textId="5AFAD59F" w:rsidR="005F3E76" w:rsidRDefault="00D06BCD" w:rsidP="005F3E76">
      <w:pPr>
        <w:jc w:val="both"/>
        <w:rPr>
          <w:rFonts w:ascii="Tahoma" w:hAnsi="Tahoma" w:cs="Tahoma"/>
          <w:sz w:val="20"/>
          <w:szCs w:val="20"/>
        </w:rPr>
      </w:pPr>
      <w:r>
        <w:rPr>
          <w:rFonts w:ascii="Tahoma" w:hAnsi="Tahoma" w:cs="Tahoma"/>
          <w:sz w:val="20"/>
          <w:szCs w:val="20"/>
        </w:rPr>
        <w:t>The</w:t>
      </w:r>
      <w:r w:rsidR="005F3E76" w:rsidRPr="00D0286A">
        <w:rPr>
          <w:rFonts w:ascii="Tahoma" w:hAnsi="Tahoma" w:cs="Tahoma"/>
          <w:sz w:val="20"/>
          <w:szCs w:val="20"/>
        </w:rPr>
        <w:t xml:space="preserve"> Council of Europe is implementing </w:t>
      </w:r>
      <w:r w:rsidR="005F3E76">
        <w:rPr>
          <w:rFonts w:ascii="Tahoma" w:hAnsi="Tahoma" w:cs="Tahoma"/>
          <w:sz w:val="20"/>
          <w:szCs w:val="20"/>
        </w:rPr>
        <w:t>the</w:t>
      </w:r>
      <w:r w:rsidR="005F3E76" w:rsidRPr="00D0286A">
        <w:rPr>
          <w:rFonts w:ascii="Tahoma" w:hAnsi="Tahoma" w:cs="Tahoma"/>
          <w:sz w:val="20"/>
          <w:szCs w:val="20"/>
        </w:rPr>
        <w:t xml:space="preserve"> </w:t>
      </w:r>
      <w:r w:rsidR="005F3E76" w:rsidRPr="0042138A">
        <w:rPr>
          <w:rFonts w:ascii="Tahoma" w:hAnsi="Tahoma" w:cs="Tahoma"/>
          <w:sz w:val="20"/>
          <w:szCs w:val="20"/>
        </w:rPr>
        <w:t>I</w:t>
      </w:r>
      <w:r w:rsidR="005F3E76">
        <w:rPr>
          <w:rFonts w:ascii="Tahoma" w:hAnsi="Tahoma" w:cs="Tahoma"/>
          <w:sz w:val="20"/>
          <w:szCs w:val="20"/>
        </w:rPr>
        <w:t>ntercultural Cities Programme (ICC)</w:t>
      </w:r>
      <w:r>
        <w:rPr>
          <w:rFonts w:ascii="Tahoma" w:hAnsi="Tahoma" w:cs="Tahoma"/>
          <w:sz w:val="20"/>
          <w:szCs w:val="20"/>
        </w:rPr>
        <w:t xml:space="preserve"> since 2008</w:t>
      </w:r>
      <w:r w:rsidR="005F3E76">
        <w:rPr>
          <w:rFonts w:ascii="Tahoma" w:hAnsi="Tahoma" w:cs="Tahoma"/>
          <w:sz w:val="20"/>
          <w:szCs w:val="20"/>
        </w:rPr>
        <w:t xml:space="preserve">. This is a capacity building programme that </w:t>
      </w:r>
      <w:r w:rsidR="005F3E76" w:rsidRPr="000B036F">
        <w:rPr>
          <w:rFonts w:ascii="Tahoma" w:hAnsi="Tahoma" w:cs="Tahoma"/>
          <w:sz w:val="20"/>
          <w:szCs w:val="20"/>
        </w:rPr>
        <w:t xml:space="preserve">supports </w:t>
      </w:r>
      <w:r w:rsidR="005F3E76">
        <w:rPr>
          <w:rFonts w:ascii="Tahoma" w:hAnsi="Tahoma" w:cs="Tahoma"/>
          <w:sz w:val="20"/>
          <w:szCs w:val="20"/>
        </w:rPr>
        <w:t>public authorities</w:t>
      </w:r>
      <w:r w:rsidR="005F3E76" w:rsidRPr="000B036F">
        <w:rPr>
          <w:rFonts w:ascii="Tahoma" w:hAnsi="Tahoma" w:cs="Tahoma"/>
          <w:sz w:val="20"/>
          <w:szCs w:val="20"/>
        </w:rPr>
        <w:t xml:space="preserve"> across Europe and beyond </w:t>
      </w:r>
      <w:r w:rsidR="009154F9">
        <w:rPr>
          <w:rFonts w:ascii="Tahoma" w:hAnsi="Tahoma" w:cs="Tahoma"/>
          <w:sz w:val="20"/>
          <w:szCs w:val="20"/>
        </w:rPr>
        <w:t>in implementing</w:t>
      </w:r>
      <w:r w:rsidR="005F3E76" w:rsidRPr="000B036F">
        <w:rPr>
          <w:rFonts w:ascii="Tahoma" w:hAnsi="Tahoma" w:cs="Tahoma"/>
          <w:sz w:val="20"/>
          <w:szCs w:val="20"/>
        </w:rPr>
        <w:t xml:space="preserve"> the participative design, </w:t>
      </w:r>
      <w:r w:rsidR="009154F9">
        <w:rPr>
          <w:rFonts w:ascii="Tahoma" w:hAnsi="Tahoma" w:cs="Tahoma"/>
          <w:sz w:val="20"/>
          <w:szCs w:val="20"/>
        </w:rPr>
        <w:t>execution</w:t>
      </w:r>
      <w:r w:rsidR="005F3E76" w:rsidRPr="000B036F">
        <w:rPr>
          <w:rFonts w:ascii="Tahoma" w:hAnsi="Tahoma" w:cs="Tahoma"/>
          <w:sz w:val="20"/>
          <w:szCs w:val="20"/>
        </w:rPr>
        <w:t xml:space="preserve"> and evaluation of diversity and inclusion strategies. These strategies mobilise political leaders, policy officials, professionals, businesses and civil society towards a model of integration called Intercultural integration. </w:t>
      </w:r>
    </w:p>
    <w:p w14:paraId="5892F588" w14:textId="77777777" w:rsidR="005F3E76" w:rsidRDefault="005F3E76" w:rsidP="005F3E76">
      <w:pPr>
        <w:jc w:val="both"/>
        <w:rPr>
          <w:rFonts w:ascii="Tahoma" w:hAnsi="Tahoma" w:cs="Tahoma"/>
          <w:sz w:val="20"/>
          <w:szCs w:val="20"/>
        </w:rPr>
      </w:pPr>
    </w:p>
    <w:p w14:paraId="18E23774" w14:textId="77777777" w:rsidR="005F3E76" w:rsidRDefault="005F3E76" w:rsidP="005F3E76">
      <w:pPr>
        <w:jc w:val="both"/>
        <w:rPr>
          <w:rFonts w:ascii="Tahoma" w:hAnsi="Tahoma" w:cs="Tahoma"/>
          <w:sz w:val="20"/>
          <w:szCs w:val="20"/>
        </w:rPr>
      </w:pPr>
      <w:r>
        <w:rPr>
          <w:rFonts w:ascii="Tahoma" w:hAnsi="Tahoma" w:cs="Tahoma"/>
          <w:sz w:val="20"/>
          <w:szCs w:val="20"/>
        </w:rPr>
        <w:t xml:space="preserve">Intercultural integration </w:t>
      </w:r>
      <w:r w:rsidRPr="000B036F">
        <w:rPr>
          <w:rFonts w:ascii="Tahoma" w:hAnsi="Tahoma" w:cs="Tahoma"/>
          <w:sz w:val="20"/>
          <w:szCs w:val="20"/>
        </w:rPr>
        <w:t xml:space="preserve">is a policy framework for achieving cohesion, equality and prosperous development in culturally diverse societies. </w:t>
      </w:r>
      <w:r>
        <w:rPr>
          <w:rFonts w:ascii="Tahoma" w:hAnsi="Tahoma" w:cs="Tahoma"/>
          <w:sz w:val="20"/>
          <w:szCs w:val="20"/>
        </w:rPr>
        <w:t>Its</w:t>
      </w:r>
      <w:r w:rsidRPr="000B036F">
        <w:rPr>
          <w:rFonts w:ascii="Tahoma" w:hAnsi="Tahoma" w:cs="Tahoma"/>
          <w:sz w:val="20"/>
          <w:szCs w:val="20"/>
        </w:rPr>
        <w:t xml:space="preserve"> underlying principles are equality</w:t>
      </w:r>
      <w:r>
        <w:rPr>
          <w:rFonts w:ascii="Tahoma" w:hAnsi="Tahoma" w:cs="Tahoma"/>
          <w:sz w:val="20"/>
          <w:szCs w:val="20"/>
        </w:rPr>
        <w:t xml:space="preserve"> of rights and opportunities</w:t>
      </w:r>
      <w:r w:rsidRPr="000B036F">
        <w:rPr>
          <w:rFonts w:ascii="Tahoma" w:hAnsi="Tahoma" w:cs="Tahoma"/>
          <w:sz w:val="20"/>
          <w:szCs w:val="20"/>
        </w:rPr>
        <w:t xml:space="preserve">, diversity </w:t>
      </w:r>
      <w:r>
        <w:rPr>
          <w:rFonts w:ascii="Tahoma" w:hAnsi="Tahoma" w:cs="Tahoma"/>
          <w:sz w:val="20"/>
          <w:szCs w:val="20"/>
        </w:rPr>
        <w:t xml:space="preserve">advantage, </w:t>
      </w:r>
      <w:r w:rsidRPr="000B036F">
        <w:rPr>
          <w:rFonts w:ascii="Tahoma" w:hAnsi="Tahoma" w:cs="Tahoma"/>
          <w:sz w:val="20"/>
          <w:szCs w:val="20"/>
        </w:rPr>
        <w:t xml:space="preserve">and </w:t>
      </w:r>
      <w:r>
        <w:rPr>
          <w:rFonts w:ascii="Tahoma" w:hAnsi="Tahoma" w:cs="Tahoma"/>
          <w:sz w:val="20"/>
          <w:szCs w:val="20"/>
        </w:rPr>
        <w:t xml:space="preserve">positive </w:t>
      </w:r>
      <w:r w:rsidRPr="000B036F">
        <w:rPr>
          <w:rFonts w:ascii="Tahoma" w:hAnsi="Tahoma" w:cs="Tahoma"/>
          <w:sz w:val="20"/>
          <w:szCs w:val="20"/>
        </w:rPr>
        <w:t xml:space="preserve">interaction, framed by respect and dignity for all as individuals entitled to rights, freedom and responsibilities, and the understanding that building inclusive societies requires openness to change. Intercultural integration policies seek to reinforce intercultural interaction as a means of building trust and strengthening the fabric of the community. </w:t>
      </w:r>
    </w:p>
    <w:p w14:paraId="397616D6" w14:textId="77777777" w:rsidR="005F3E76" w:rsidRDefault="005F3E76" w:rsidP="005F3E76">
      <w:pPr>
        <w:jc w:val="both"/>
        <w:rPr>
          <w:rFonts w:ascii="Tahoma" w:hAnsi="Tahoma" w:cs="Tahoma"/>
          <w:sz w:val="20"/>
          <w:szCs w:val="20"/>
        </w:rPr>
      </w:pPr>
    </w:p>
    <w:p w14:paraId="0256E457" w14:textId="00E18AEF" w:rsidR="005F3E76" w:rsidRPr="000B036F" w:rsidRDefault="005F3E76" w:rsidP="005F3E76">
      <w:pPr>
        <w:jc w:val="both"/>
        <w:rPr>
          <w:rFonts w:ascii="Tahoma" w:eastAsia="Calibri" w:hAnsi="Tahoma" w:cs="Tahoma"/>
          <w:sz w:val="20"/>
          <w:szCs w:val="20"/>
        </w:rPr>
      </w:pPr>
      <w:r w:rsidRPr="000B036F">
        <w:rPr>
          <w:rFonts w:ascii="Tahoma" w:eastAsia="Calibri" w:hAnsi="Tahoma" w:cs="Tahoma"/>
          <w:sz w:val="20"/>
          <w:szCs w:val="20"/>
        </w:rPr>
        <w:t xml:space="preserve">The </w:t>
      </w:r>
      <w:r>
        <w:rPr>
          <w:rFonts w:ascii="Tahoma" w:eastAsia="Calibri" w:hAnsi="Tahoma" w:cs="Tahoma"/>
          <w:sz w:val="20"/>
          <w:szCs w:val="20"/>
        </w:rPr>
        <w:t xml:space="preserve">public authorities </w:t>
      </w:r>
      <w:r w:rsidRPr="000B036F">
        <w:rPr>
          <w:rFonts w:ascii="Tahoma" w:eastAsia="Calibri" w:hAnsi="Tahoma" w:cs="Tahoma"/>
          <w:sz w:val="20"/>
          <w:szCs w:val="20"/>
        </w:rPr>
        <w:t xml:space="preserve">participating in the programme </w:t>
      </w:r>
      <w:r w:rsidR="009154F9">
        <w:rPr>
          <w:rFonts w:ascii="Tahoma" w:eastAsia="Calibri" w:hAnsi="Tahoma" w:cs="Tahoma"/>
          <w:sz w:val="20"/>
          <w:szCs w:val="20"/>
        </w:rPr>
        <w:t xml:space="preserve">(mainly </w:t>
      </w:r>
      <w:r w:rsidR="009154F9" w:rsidRPr="000B036F">
        <w:rPr>
          <w:rFonts w:ascii="Tahoma" w:eastAsia="Calibri" w:hAnsi="Tahoma" w:cs="Tahoma"/>
          <w:sz w:val="20"/>
          <w:szCs w:val="20"/>
        </w:rPr>
        <w:t>cities</w:t>
      </w:r>
      <w:r w:rsidR="009154F9">
        <w:rPr>
          <w:rFonts w:ascii="Tahoma" w:eastAsia="Calibri" w:hAnsi="Tahoma" w:cs="Tahoma"/>
          <w:sz w:val="20"/>
          <w:szCs w:val="20"/>
        </w:rPr>
        <w:t>)</w:t>
      </w:r>
      <w:r w:rsidR="009154F9" w:rsidRPr="000B036F">
        <w:rPr>
          <w:rFonts w:ascii="Tahoma" w:eastAsia="Calibri" w:hAnsi="Tahoma" w:cs="Tahoma"/>
          <w:sz w:val="20"/>
          <w:szCs w:val="20"/>
        </w:rPr>
        <w:t xml:space="preserve"> </w:t>
      </w:r>
      <w:r w:rsidRPr="000B036F">
        <w:rPr>
          <w:rFonts w:ascii="Tahoma" w:eastAsia="Calibri" w:hAnsi="Tahoma" w:cs="Tahoma"/>
          <w:sz w:val="20"/>
          <w:szCs w:val="20"/>
        </w:rPr>
        <w:t>receive support in re-designing their policies and re-shaping their governance structures and processes to reflect the pluralistic identity of the society and turn diversity from a stumbling block into a steppingstone.</w:t>
      </w:r>
    </w:p>
    <w:p w14:paraId="5A8293DA" w14:textId="77777777" w:rsidR="005F3E76" w:rsidRPr="000B036F" w:rsidRDefault="005F3E76" w:rsidP="005F3E76">
      <w:pPr>
        <w:jc w:val="both"/>
        <w:rPr>
          <w:rFonts w:ascii="Tahoma" w:eastAsia="Calibri" w:hAnsi="Tahoma" w:cs="Tahoma"/>
          <w:sz w:val="20"/>
          <w:szCs w:val="20"/>
        </w:rPr>
      </w:pPr>
    </w:p>
    <w:p w14:paraId="5E6EFF84" w14:textId="77777777" w:rsidR="005F3E76" w:rsidRPr="000B036F" w:rsidRDefault="005F3E76" w:rsidP="005F3E76">
      <w:pPr>
        <w:jc w:val="both"/>
        <w:rPr>
          <w:rFonts w:ascii="Tahoma" w:eastAsia="Calibri" w:hAnsi="Tahoma" w:cs="Tahoma"/>
          <w:sz w:val="20"/>
          <w:szCs w:val="20"/>
        </w:rPr>
      </w:pPr>
      <w:r w:rsidRPr="000B036F">
        <w:rPr>
          <w:rFonts w:ascii="Tahoma" w:eastAsia="Calibri" w:hAnsi="Tahoma" w:cs="Tahoma"/>
          <w:sz w:val="20"/>
          <w:szCs w:val="20"/>
        </w:rPr>
        <w:t>In particular, the programme helps cities to:</w:t>
      </w:r>
    </w:p>
    <w:p w14:paraId="634D5C51" w14:textId="77777777" w:rsidR="005F3E76" w:rsidRPr="000B036F" w:rsidRDefault="005F3E76" w:rsidP="005F3E76">
      <w:pPr>
        <w:jc w:val="both"/>
        <w:rPr>
          <w:rFonts w:ascii="Tahoma" w:eastAsia="Calibri" w:hAnsi="Tahoma" w:cs="Tahoma"/>
          <w:sz w:val="20"/>
          <w:szCs w:val="20"/>
        </w:rPr>
      </w:pPr>
    </w:p>
    <w:p w14:paraId="29DB88D0"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Create a sense of pluralistic identity based on the pride and appreciation of its diverse population, minimising cultural tensions and conflicts.</w:t>
      </w:r>
    </w:p>
    <w:p w14:paraId="661C50ED"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Set up a governance model enabling the participation of all members of the community, regardless of their origin or status.</w:t>
      </w:r>
    </w:p>
    <w:p w14:paraId="67598B3B" w14:textId="5725823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Creat</w:t>
      </w:r>
      <w:r w:rsidR="009154F9">
        <w:rPr>
          <w:rFonts w:ascii="Tahoma" w:eastAsia="Calibri" w:hAnsi="Tahoma" w:cs="Tahoma"/>
          <w:sz w:val="20"/>
          <w:szCs w:val="20"/>
        </w:rPr>
        <w:t>e</w:t>
      </w:r>
      <w:r w:rsidRPr="000B036F">
        <w:rPr>
          <w:rFonts w:ascii="Tahoma" w:eastAsia="Calibri" w:hAnsi="Tahoma" w:cs="Tahoma"/>
          <w:sz w:val="20"/>
          <w:szCs w:val="20"/>
        </w:rPr>
        <w:t xml:space="preserve"> spaces and opportunities for deep interaction and co-creation between people of different cultural origins and backgrounds, to build trust within the community and thus ensure cohesion, solidarity, and realise the potential of diversity.</w:t>
      </w:r>
    </w:p>
    <w:p w14:paraId="713F4F4A"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Make the public space and services accessible to all residents and end the vicious circle of exclusion which goes hand in hand with ethnic and social segregation.</w:t>
      </w:r>
    </w:p>
    <w:p w14:paraId="24D1C990"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Share power, involving people of diverse origins in decision-making in urban institutions, be they political, educational, social, economic or cultural.</w:t>
      </w:r>
    </w:p>
    <w:p w14:paraId="7B257FB8" w14:textId="77777777" w:rsidR="009154F9" w:rsidRDefault="005F3E76" w:rsidP="009154F9">
      <w:pPr>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Foster intercultural competence in public, private and civil-society organisations.</w:t>
      </w:r>
    </w:p>
    <w:p w14:paraId="513B90E9" w14:textId="32AEE8CB" w:rsidR="005F3E76" w:rsidRPr="009154F9" w:rsidRDefault="005F3E76" w:rsidP="009154F9">
      <w:pPr>
        <w:pStyle w:val="ListParagraph"/>
        <w:numPr>
          <w:ilvl w:val="0"/>
          <w:numId w:val="32"/>
        </w:numPr>
        <w:ind w:left="0" w:firstLine="0"/>
        <w:jc w:val="both"/>
        <w:rPr>
          <w:rFonts w:ascii="Tahoma" w:eastAsia="Calibri" w:hAnsi="Tahoma" w:cs="Tahoma"/>
          <w:sz w:val="20"/>
          <w:szCs w:val="20"/>
        </w:rPr>
      </w:pPr>
      <w:r w:rsidRPr="009154F9">
        <w:rPr>
          <w:rFonts w:ascii="Tahoma" w:eastAsia="Calibri" w:hAnsi="Tahoma" w:cs="Tahoma"/>
          <w:sz w:val="20"/>
          <w:szCs w:val="20"/>
        </w:rPr>
        <w:t xml:space="preserve">Build trust </w:t>
      </w:r>
    </w:p>
    <w:p w14:paraId="75332C9C" w14:textId="777777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t>Embrace cultural pluralism and the complexity of identities through leadership discourse and symbolic actions; and</w:t>
      </w:r>
    </w:p>
    <w:p w14:paraId="47434113" w14:textId="76E8E277" w:rsidR="005F3E76" w:rsidRPr="000B036F" w:rsidRDefault="005F3E76" w:rsidP="005F3E76">
      <w:pPr>
        <w:ind w:left="720" w:hanging="720"/>
        <w:jc w:val="both"/>
        <w:rPr>
          <w:rFonts w:ascii="Tahoma" w:eastAsia="Calibri" w:hAnsi="Tahoma" w:cs="Tahoma"/>
          <w:sz w:val="20"/>
          <w:szCs w:val="20"/>
        </w:rPr>
      </w:pPr>
      <w:r w:rsidRPr="000B036F">
        <w:rPr>
          <w:rFonts w:ascii="Tahoma" w:eastAsia="Calibri" w:hAnsi="Tahoma" w:cs="Tahoma"/>
          <w:sz w:val="20"/>
          <w:szCs w:val="20"/>
        </w:rPr>
        <w:t>•</w:t>
      </w:r>
      <w:r w:rsidRPr="000B036F">
        <w:rPr>
          <w:rFonts w:ascii="Tahoma" w:eastAsia="Calibri" w:hAnsi="Tahoma" w:cs="Tahoma"/>
          <w:sz w:val="20"/>
          <w:szCs w:val="20"/>
        </w:rPr>
        <w:tab/>
      </w:r>
      <w:r w:rsidR="009D5DC3">
        <w:rPr>
          <w:rFonts w:ascii="Tahoma" w:eastAsia="Calibri" w:hAnsi="Tahoma" w:cs="Tahoma"/>
          <w:sz w:val="20"/>
          <w:szCs w:val="20"/>
        </w:rPr>
        <w:t>M</w:t>
      </w:r>
      <w:r w:rsidRPr="000B036F">
        <w:rPr>
          <w:rFonts w:ascii="Tahoma" w:eastAsia="Calibri" w:hAnsi="Tahoma" w:cs="Tahoma"/>
          <w:sz w:val="20"/>
          <w:szCs w:val="20"/>
        </w:rPr>
        <w:t>anag</w:t>
      </w:r>
      <w:r w:rsidR="009D5DC3">
        <w:rPr>
          <w:rFonts w:ascii="Tahoma" w:eastAsia="Calibri" w:hAnsi="Tahoma" w:cs="Tahoma"/>
          <w:sz w:val="20"/>
          <w:szCs w:val="20"/>
        </w:rPr>
        <w:t>e</w:t>
      </w:r>
      <w:r w:rsidRPr="000B036F">
        <w:rPr>
          <w:rFonts w:ascii="Tahoma" w:eastAsia="Calibri" w:hAnsi="Tahoma" w:cs="Tahoma"/>
          <w:sz w:val="20"/>
          <w:szCs w:val="20"/>
        </w:rPr>
        <w:t xml:space="preserve"> conflict positively, busting stereotypes and engaging in a debate about the impact and potential of diversity for local development.</w:t>
      </w:r>
    </w:p>
    <w:p w14:paraId="7A245F06" w14:textId="77777777" w:rsidR="005F3E76" w:rsidRDefault="005F3E76" w:rsidP="005F3E76">
      <w:pPr>
        <w:spacing w:line="276" w:lineRule="auto"/>
        <w:jc w:val="both"/>
        <w:rPr>
          <w:rFonts w:ascii="Tahoma" w:hAnsi="Tahoma" w:cs="Tahoma"/>
          <w:sz w:val="20"/>
          <w:szCs w:val="20"/>
        </w:rPr>
      </w:pPr>
    </w:p>
    <w:p w14:paraId="605E6350" w14:textId="072AC59D" w:rsidR="005F3E76" w:rsidRPr="007B4D04" w:rsidRDefault="005F3E76" w:rsidP="005F3E76">
      <w:pPr>
        <w:jc w:val="both"/>
        <w:rPr>
          <w:rFonts w:ascii="Tahoma" w:eastAsia="Calibri" w:hAnsi="Tahoma" w:cs="Tahoma"/>
          <w:sz w:val="20"/>
          <w:szCs w:val="20"/>
          <w:lang w:eastAsia="en-US"/>
        </w:rPr>
      </w:pPr>
      <w:r w:rsidRPr="00D0286A">
        <w:rPr>
          <w:rFonts w:ascii="Tahoma" w:hAnsi="Tahoma" w:cs="Tahoma"/>
          <w:sz w:val="20"/>
          <w:szCs w:val="20"/>
        </w:rPr>
        <w:t>In that context,</w:t>
      </w:r>
      <w:r>
        <w:rPr>
          <w:rFonts w:ascii="Tahoma" w:hAnsi="Tahoma" w:cs="Tahoma"/>
          <w:sz w:val="20"/>
          <w:szCs w:val="20"/>
        </w:rPr>
        <w:t xml:space="preserve"> the Intercultural Cities Unit</w:t>
      </w:r>
      <w:r w:rsidRPr="00D0286A">
        <w:rPr>
          <w:rFonts w:ascii="Tahoma" w:hAnsi="Tahoma" w:cs="Tahoma"/>
          <w:sz w:val="20"/>
          <w:szCs w:val="20"/>
        </w:rPr>
        <w:t xml:space="preserve"> it is looking for Provider(s) </w:t>
      </w:r>
      <w:bookmarkStart w:id="1" w:name="_Hlk30630396"/>
      <w:r w:rsidR="007B4D04" w:rsidRPr="00E25560">
        <w:rPr>
          <w:rFonts w:ascii="Tahoma" w:eastAsia="Calibri" w:hAnsi="Tahoma" w:cs="Tahoma"/>
          <w:sz w:val="20"/>
          <w:szCs w:val="20"/>
          <w:lang w:eastAsia="en-US"/>
        </w:rPr>
        <w:t>with a particular expertise</w:t>
      </w:r>
      <w:r w:rsidR="007B4D04">
        <w:rPr>
          <w:rFonts w:ascii="Tahoma" w:eastAsia="Calibri" w:hAnsi="Tahoma" w:cs="Tahoma"/>
          <w:sz w:val="20"/>
          <w:szCs w:val="20"/>
          <w:lang w:eastAsia="en-US"/>
        </w:rPr>
        <w:t xml:space="preserve"> i</w:t>
      </w:r>
      <w:r w:rsidR="007B4D04" w:rsidRPr="00E25560">
        <w:rPr>
          <w:rFonts w:ascii="Tahoma" w:eastAsia="Calibri" w:hAnsi="Tahoma" w:cs="Tahoma"/>
          <w:sz w:val="20"/>
          <w:szCs w:val="20"/>
          <w:lang w:eastAsia="en-US"/>
        </w:rPr>
        <w:t xml:space="preserve">n </w:t>
      </w:r>
      <w:r w:rsidR="007B4D04">
        <w:rPr>
          <w:rFonts w:ascii="Tahoma" w:eastAsia="Calibri" w:hAnsi="Tahoma" w:cs="Tahoma"/>
          <w:sz w:val="20"/>
          <w:szCs w:val="20"/>
          <w:lang w:eastAsia="en-US"/>
        </w:rPr>
        <w:t xml:space="preserve">the areas of: </w:t>
      </w:r>
      <w:r w:rsidR="007B4D04" w:rsidRPr="00B257B0">
        <w:rPr>
          <w:rFonts w:ascii="Tahoma" w:eastAsia="Calibri" w:hAnsi="Tahoma" w:cs="Tahoma"/>
          <w:sz w:val="20"/>
          <w:szCs w:val="20"/>
          <w:lang w:eastAsia="en-US"/>
        </w:rPr>
        <w:t>analytics software solutions, data collection, transformation and storage, analysis and reporting, and modelling and forecasting</w:t>
      </w:r>
      <w:r w:rsidR="007B4D04">
        <w:rPr>
          <w:rFonts w:ascii="Tahoma" w:eastAsia="Calibri" w:hAnsi="Tahoma" w:cs="Tahoma"/>
          <w:sz w:val="20"/>
          <w:szCs w:val="20"/>
          <w:lang w:eastAsia="en-US"/>
        </w:rPr>
        <w:t xml:space="preserve">, </w:t>
      </w:r>
      <w:r>
        <w:rPr>
          <w:rFonts w:ascii="Tahoma" w:hAnsi="Tahoma" w:cs="Tahoma"/>
          <w:sz w:val="20"/>
          <w:szCs w:val="20"/>
        </w:rPr>
        <w:t>to</w:t>
      </w:r>
      <w:r w:rsidRPr="00D0286A">
        <w:rPr>
          <w:rFonts w:ascii="Tahoma" w:hAnsi="Tahoma" w:cs="Tahoma"/>
          <w:sz w:val="20"/>
          <w:szCs w:val="20"/>
        </w:rPr>
        <w:t xml:space="preserve"> be requested by the Council on an as needed basis</w:t>
      </w:r>
      <w:bookmarkEnd w:id="1"/>
      <w:r w:rsidRPr="00D0286A">
        <w:rPr>
          <w:rFonts w:ascii="Tahoma" w:hAnsi="Tahoma" w:cs="Tahoma"/>
          <w:sz w:val="20"/>
          <w:szCs w:val="20"/>
        </w:rPr>
        <w:t xml:space="preserve">, in compliance with the ordering procedure defined below. </w:t>
      </w:r>
    </w:p>
    <w:p w14:paraId="48FD6F32" w14:textId="7D6C637F" w:rsidR="009D5DC3" w:rsidRDefault="009D5DC3" w:rsidP="005F3E76">
      <w:pPr>
        <w:jc w:val="both"/>
        <w:rPr>
          <w:rFonts w:ascii="Tahoma" w:hAnsi="Tahoma" w:cs="Tahoma"/>
          <w:sz w:val="20"/>
          <w:szCs w:val="20"/>
        </w:rPr>
      </w:pPr>
    </w:p>
    <w:p w14:paraId="13AD37E4" w14:textId="77777777" w:rsidR="007B4D04" w:rsidRPr="00D06BCD" w:rsidRDefault="007B4D04" w:rsidP="007B4D04">
      <w:pPr>
        <w:spacing w:line="276" w:lineRule="auto"/>
        <w:jc w:val="both"/>
        <w:rPr>
          <w:rFonts w:ascii="Tahoma" w:hAnsi="Tahoma" w:cs="Tahoma"/>
          <w:b/>
          <w:sz w:val="20"/>
          <w:szCs w:val="20"/>
        </w:rPr>
      </w:pPr>
      <w:r w:rsidRPr="00D06BCD">
        <w:rPr>
          <w:rFonts w:ascii="Tahoma" w:hAnsi="Tahoma" w:cs="Tahoma"/>
          <w:b/>
          <w:sz w:val="20"/>
          <w:szCs w:val="20"/>
        </w:rPr>
        <w:t>Pooling</w:t>
      </w:r>
    </w:p>
    <w:p w14:paraId="7745D195" w14:textId="77777777" w:rsidR="007B4D04" w:rsidRPr="00D06BCD" w:rsidRDefault="007B4D04" w:rsidP="007B4D04">
      <w:pPr>
        <w:spacing w:line="276" w:lineRule="auto"/>
        <w:jc w:val="both"/>
        <w:rPr>
          <w:rFonts w:ascii="Tahoma" w:hAnsi="Tahoma" w:cs="Tahoma"/>
          <w:sz w:val="20"/>
          <w:szCs w:val="20"/>
        </w:rPr>
      </w:pPr>
      <w:r w:rsidRPr="00D06BC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4C864454" w14:textId="77777777" w:rsidR="007B4D04" w:rsidRPr="00D06BCD" w:rsidRDefault="007B4D04" w:rsidP="007B4D04">
      <w:pPr>
        <w:pStyle w:val="Default"/>
        <w:numPr>
          <w:ilvl w:val="0"/>
          <w:numId w:val="5"/>
        </w:numPr>
        <w:ind w:left="709"/>
        <w:rPr>
          <w:rFonts w:ascii="Tahoma" w:hAnsi="Tahoma" w:cs="Tahoma"/>
          <w:sz w:val="20"/>
          <w:szCs w:val="20"/>
        </w:rPr>
      </w:pPr>
      <w:r w:rsidRPr="00D06BCD">
        <w:rPr>
          <w:rFonts w:ascii="Tahoma" w:hAnsi="Tahoma" w:cs="Tahoma"/>
          <w:sz w:val="20"/>
          <w:szCs w:val="20"/>
        </w:rPr>
        <w:t>quality (including as appropriate: capability, expertise, past performance, availability of resources and proposed methods of undertaking the work);</w:t>
      </w:r>
    </w:p>
    <w:p w14:paraId="55F82674" w14:textId="77777777" w:rsidR="007B4D04" w:rsidRPr="00D06BCD" w:rsidRDefault="007B4D04" w:rsidP="007B4D04">
      <w:pPr>
        <w:pStyle w:val="Default"/>
        <w:numPr>
          <w:ilvl w:val="0"/>
          <w:numId w:val="5"/>
        </w:numPr>
        <w:ind w:left="709"/>
        <w:rPr>
          <w:rFonts w:ascii="Tahoma" w:hAnsi="Tahoma" w:cs="Tahoma"/>
          <w:sz w:val="20"/>
          <w:szCs w:val="20"/>
        </w:rPr>
      </w:pPr>
      <w:r w:rsidRPr="00D06BCD">
        <w:rPr>
          <w:rFonts w:ascii="Tahoma" w:hAnsi="Tahoma" w:cs="Tahoma"/>
          <w:sz w:val="20"/>
          <w:szCs w:val="20"/>
        </w:rPr>
        <w:t>availability (including, without limitation, capacity to meet required deadlines and, where relevant, geographical location); and</w:t>
      </w:r>
    </w:p>
    <w:p w14:paraId="2BE8051C" w14:textId="77777777" w:rsidR="007B4D04" w:rsidRDefault="007B4D04" w:rsidP="007B4D04">
      <w:pPr>
        <w:pStyle w:val="Default"/>
        <w:numPr>
          <w:ilvl w:val="0"/>
          <w:numId w:val="5"/>
        </w:numPr>
        <w:ind w:left="709"/>
        <w:rPr>
          <w:rFonts w:ascii="Tahoma" w:hAnsi="Tahoma" w:cs="Tahoma"/>
          <w:sz w:val="20"/>
          <w:szCs w:val="20"/>
        </w:rPr>
      </w:pPr>
      <w:r w:rsidRPr="00D06BCD">
        <w:rPr>
          <w:rFonts w:ascii="Tahoma" w:hAnsi="Tahoma" w:cs="Tahoma"/>
          <w:sz w:val="20"/>
          <w:szCs w:val="20"/>
        </w:rPr>
        <w:t>price.</w:t>
      </w:r>
    </w:p>
    <w:p w14:paraId="7F18DC42" w14:textId="77777777" w:rsidR="007B4D04" w:rsidRDefault="007B4D04" w:rsidP="007B4D04">
      <w:pPr>
        <w:pStyle w:val="Default"/>
        <w:rPr>
          <w:rFonts w:ascii="Tahoma" w:hAnsi="Tahoma" w:cs="Tahoma"/>
          <w:sz w:val="20"/>
          <w:szCs w:val="20"/>
        </w:rPr>
      </w:pPr>
    </w:p>
    <w:p w14:paraId="77C6CF0D" w14:textId="77777777" w:rsidR="007B4D04" w:rsidRPr="0069373B" w:rsidRDefault="007B4D04" w:rsidP="007B4D04">
      <w:pPr>
        <w:pStyle w:val="Default"/>
        <w:rPr>
          <w:rFonts w:ascii="Tahoma" w:hAnsi="Tahoma" w:cs="Tahoma"/>
          <w:sz w:val="20"/>
          <w:szCs w:val="20"/>
        </w:rPr>
      </w:pPr>
      <w:r w:rsidRPr="0069373B">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21022853" w14:textId="77777777" w:rsidR="007B4D04" w:rsidRPr="002A092A" w:rsidRDefault="007B4D04" w:rsidP="007B4D04">
      <w:pPr>
        <w:spacing w:line="276" w:lineRule="auto"/>
        <w:jc w:val="both"/>
        <w:rPr>
          <w:rFonts w:ascii="Tahoma" w:hAnsi="Tahoma" w:cs="Tahoma"/>
          <w:sz w:val="20"/>
          <w:szCs w:val="20"/>
        </w:rPr>
      </w:pPr>
    </w:p>
    <w:p w14:paraId="42320316" w14:textId="77777777" w:rsidR="007B4D04" w:rsidRDefault="007B4D04" w:rsidP="005F3E76">
      <w:pPr>
        <w:jc w:val="both"/>
        <w:rPr>
          <w:rFonts w:ascii="Tahoma" w:hAnsi="Tahoma" w:cs="Tahoma"/>
          <w:sz w:val="20"/>
          <w:szCs w:val="20"/>
        </w:rPr>
      </w:pPr>
    </w:p>
    <w:p w14:paraId="2EEC3401" w14:textId="0E9D7948" w:rsidR="009D5DC3" w:rsidRPr="009E6389" w:rsidRDefault="007B4D04" w:rsidP="005F3E76">
      <w:pPr>
        <w:jc w:val="both"/>
        <w:rPr>
          <w:rFonts w:ascii="Tahoma" w:hAnsi="Tahoma" w:cs="Tahoma"/>
          <w:b/>
          <w:bCs/>
          <w:sz w:val="20"/>
          <w:szCs w:val="20"/>
        </w:rPr>
      </w:pPr>
      <w:r w:rsidRPr="009E6389">
        <w:rPr>
          <w:rFonts w:ascii="Tahoma" w:hAnsi="Tahoma" w:cs="Tahoma"/>
          <w:b/>
          <w:bCs/>
          <w:sz w:val="20"/>
          <w:szCs w:val="20"/>
        </w:rPr>
        <w:t>Lots</w:t>
      </w:r>
    </w:p>
    <w:p w14:paraId="4A4282BE" w14:textId="749E86B7" w:rsidR="007B4D04" w:rsidRDefault="007B4D04" w:rsidP="005F3E76">
      <w:pPr>
        <w:jc w:val="both"/>
        <w:rPr>
          <w:rFonts w:ascii="Tahoma" w:hAnsi="Tahoma" w:cs="Tahoma"/>
          <w:sz w:val="20"/>
          <w:szCs w:val="20"/>
        </w:rPr>
      </w:pPr>
    </w:p>
    <w:p w14:paraId="59E9525B" w14:textId="6051A6A5" w:rsidR="007B4D04" w:rsidRDefault="007B4D04" w:rsidP="005F3E76">
      <w:pPr>
        <w:jc w:val="both"/>
        <w:rPr>
          <w:rFonts w:ascii="Tahoma" w:hAnsi="Tahoma" w:cs="Tahoma"/>
          <w:sz w:val="20"/>
          <w:szCs w:val="20"/>
        </w:rPr>
      </w:pPr>
      <w:r>
        <w:rPr>
          <w:rFonts w:ascii="Tahoma" w:hAnsi="Tahoma" w:cs="Tahoma"/>
          <w:sz w:val="20"/>
          <w:szCs w:val="20"/>
        </w:rPr>
        <w:t>Lot 1 – Setting-up the tool</w:t>
      </w:r>
    </w:p>
    <w:p w14:paraId="4631D928" w14:textId="263E4AC2" w:rsidR="009D5DC3" w:rsidRDefault="007B4D04" w:rsidP="005F3E76">
      <w:pPr>
        <w:jc w:val="both"/>
        <w:rPr>
          <w:rFonts w:ascii="Tahoma" w:hAnsi="Tahoma" w:cs="Tahoma"/>
          <w:sz w:val="20"/>
          <w:szCs w:val="20"/>
        </w:rPr>
      </w:pPr>
      <w:r>
        <w:rPr>
          <w:rFonts w:ascii="Tahoma" w:hAnsi="Tahoma" w:cs="Tahoma"/>
          <w:sz w:val="20"/>
          <w:szCs w:val="20"/>
        </w:rPr>
        <w:t xml:space="preserve">Lot 2 – Maintenance and support services for the regular upgrade of the ICC charts </w:t>
      </w:r>
      <w:r w:rsidR="009E6389">
        <w:rPr>
          <w:rFonts w:ascii="Tahoma" w:hAnsi="Tahoma" w:cs="Tahoma"/>
          <w:sz w:val="20"/>
          <w:szCs w:val="20"/>
        </w:rPr>
        <w:t>(at least 4 times per year).</w:t>
      </w:r>
    </w:p>
    <w:p w14:paraId="6B13F489" w14:textId="77777777" w:rsidR="009E6389" w:rsidRPr="00236DCF" w:rsidRDefault="009E6389" w:rsidP="009E6389">
      <w:pPr>
        <w:rPr>
          <w:rFonts w:ascii="Tahoma" w:hAnsi="Tahoma" w:cs="Tahoma"/>
          <w:bCs/>
          <w:sz w:val="20"/>
          <w:szCs w:val="20"/>
        </w:rPr>
      </w:pPr>
      <w:r w:rsidRPr="00236DCF">
        <w:rPr>
          <w:rFonts w:ascii="Tahoma" w:hAnsi="Tahoma" w:cs="Tahoma"/>
          <w:bCs/>
          <w:sz w:val="20"/>
          <w:szCs w:val="20"/>
        </w:rPr>
        <w:t>Tenderers can tender for one, or both lots.</w:t>
      </w:r>
      <w:r>
        <w:rPr>
          <w:rFonts w:ascii="Tahoma" w:hAnsi="Tahoma" w:cs="Tahoma"/>
          <w:bCs/>
          <w:sz w:val="20"/>
          <w:szCs w:val="20"/>
        </w:rPr>
        <w:t xml:space="preserve"> The tasks for each Lot will be as follows:</w:t>
      </w:r>
    </w:p>
    <w:p w14:paraId="3EC6C8D9" w14:textId="0467EBF8" w:rsidR="009E6389" w:rsidRDefault="009E6389" w:rsidP="005F3E76">
      <w:pPr>
        <w:jc w:val="both"/>
        <w:rPr>
          <w:rFonts w:ascii="Tahoma" w:hAnsi="Tahoma" w:cs="Tahoma"/>
          <w:sz w:val="20"/>
          <w:szCs w:val="20"/>
        </w:rPr>
      </w:pPr>
    </w:p>
    <w:p w14:paraId="21D43DB2" w14:textId="77777777" w:rsidR="009E6389" w:rsidRDefault="009E6389" w:rsidP="005F3E76">
      <w:pPr>
        <w:jc w:val="both"/>
        <w:rPr>
          <w:rFonts w:ascii="Tahoma" w:hAnsi="Tahoma" w:cs="Tahoma"/>
          <w:sz w:val="20"/>
          <w:szCs w:val="20"/>
        </w:rPr>
      </w:pPr>
    </w:p>
    <w:p w14:paraId="6FF684A9" w14:textId="0337615A" w:rsidR="007B4D04" w:rsidRPr="00B257B0" w:rsidRDefault="009E6389" w:rsidP="007B4D04">
      <w:pPr>
        <w:jc w:val="both"/>
        <w:rPr>
          <w:rFonts w:ascii="Tahoma" w:hAnsi="Tahoma" w:cs="Tahoma"/>
          <w:b/>
          <w:bCs/>
          <w:iCs/>
          <w:sz w:val="20"/>
          <w:szCs w:val="20"/>
        </w:rPr>
      </w:pPr>
      <w:r>
        <w:rPr>
          <w:rFonts w:ascii="Tahoma" w:hAnsi="Tahoma" w:cs="Tahoma"/>
          <w:b/>
          <w:bCs/>
          <w:iCs/>
          <w:sz w:val="20"/>
          <w:szCs w:val="20"/>
        </w:rPr>
        <w:t xml:space="preserve">Lot 1 - </w:t>
      </w:r>
      <w:r w:rsidR="007B4D04" w:rsidRPr="00B257B0">
        <w:rPr>
          <w:rFonts w:ascii="Tahoma" w:hAnsi="Tahoma" w:cs="Tahoma"/>
          <w:b/>
          <w:bCs/>
          <w:iCs/>
          <w:sz w:val="20"/>
          <w:szCs w:val="20"/>
        </w:rPr>
        <w:t>Setting-up the tool</w:t>
      </w:r>
    </w:p>
    <w:p w14:paraId="5F4C3B02" w14:textId="77777777" w:rsidR="007B4D04" w:rsidRPr="00B257B0" w:rsidRDefault="007B4D04" w:rsidP="007B4D04">
      <w:pPr>
        <w:jc w:val="both"/>
        <w:rPr>
          <w:rFonts w:ascii="Tahoma" w:hAnsi="Tahoma" w:cs="Tahoma"/>
          <w:b/>
          <w:bCs/>
          <w:iCs/>
          <w:sz w:val="20"/>
          <w:szCs w:val="20"/>
        </w:rPr>
      </w:pPr>
    </w:p>
    <w:p w14:paraId="0A80A00F" w14:textId="77777777" w:rsidR="007B4D04" w:rsidRPr="00B257B0" w:rsidRDefault="007B4D04" w:rsidP="007B4D04">
      <w:pPr>
        <w:rPr>
          <w:rFonts w:ascii="Tahoma" w:hAnsi="Tahoma" w:cs="Tahoma"/>
          <w:iCs/>
          <w:sz w:val="20"/>
          <w:szCs w:val="20"/>
          <w:lang w:eastAsia="en-US"/>
        </w:rPr>
      </w:pPr>
      <w:r w:rsidRPr="00B257B0">
        <w:rPr>
          <w:rFonts w:ascii="Tahoma" w:hAnsi="Tahoma" w:cs="Tahoma"/>
          <w:iCs/>
          <w:sz w:val="20"/>
          <w:szCs w:val="20"/>
        </w:rPr>
        <w:t>Set-up the graphical display for the ICC charts and the relevant infrastructure for their regular upgrade.</w:t>
      </w:r>
    </w:p>
    <w:p w14:paraId="03891B3F" w14:textId="77777777" w:rsidR="007B4D04" w:rsidRPr="00B257B0" w:rsidRDefault="007B4D04" w:rsidP="007B4D04">
      <w:pPr>
        <w:rPr>
          <w:rFonts w:ascii="Tahoma" w:hAnsi="Tahoma" w:cs="Tahoma"/>
          <w:iCs/>
          <w:sz w:val="20"/>
          <w:szCs w:val="20"/>
        </w:rPr>
      </w:pPr>
      <w:r w:rsidRPr="00B257B0">
        <w:rPr>
          <w:rFonts w:ascii="Tahoma" w:hAnsi="Tahoma" w:cs="Tahoma"/>
          <w:iCs/>
          <w:sz w:val="20"/>
          <w:szCs w:val="20"/>
        </w:rPr>
        <w:t>The upgraded ICC Charts should have the following functionalities:</w:t>
      </w:r>
    </w:p>
    <w:p w14:paraId="3DE6F16A" w14:textId="77777777" w:rsidR="007B4D04" w:rsidRPr="00B257B0" w:rsidRDefault="007B4D04" w:rsidP="007B4D04">
      <w:pPr>
        <w:jc w:val="both"/>
        <w:rPr>
          <w:rFonts w:ascii="Tahoma" w:hAnsi="Tahoma" w:cs="Tahoma"/>
          <w:b/>
          <w:bCs/>
          <w:iCs/>
          <w:sz w:val="20"/>
          <w:szCs w:val="20"/>
        </w:rPr>
      </w:pPr>
    </w:p>
    <w:p w14:paraId="5FC84BD1" w14:textId="77777777" w:rsidR="007B4D04" w:rsidRPr="00B257B0" w:rsidRDefault="007B4D04" w:rsidP="007B4D04">
      <w:pPr>
        <w:ind w:left="720" w:hanging="720"/>
        <w:jc w:val="both"/>
        <w:rPr>
          <w:rFonts w:ascii="Tahoma" w:hAnsi="Tahoma" w:cs="Tahoma"/>
          <w:iCs/>
          <w:sz w:val="20"/>
          <w:szCs w:val="20"/>
        </w:rPr>
      </w:pPr>
      <w:r w:rsidRPr="00B257B0">
        <w:rPr>
          <w:rFonts w:ascii="Tahoma" w:hAnsi="Tahoma" w:cs="Tahoma"/>
          <w:iCs/>
          <w:sz w:val="20"/>
          <w:szCs w:val="20"/>
        </w:rPr>
        <w:t>•</w:t>
      </w:r>
      <w:r w:rsidRPr="00B257B0">
        <w:rPr>
          <w:rFonts w:ascii="Tahoma" w:hAnsi="Tahoma" w:cs="Tahoma"/>
          <w:iCs/>
          <w:sz w:val="20"/>
          <w:szCs w:val="20"/>
        </w:rPr>
        <w:tab/>
      </w:r>
      <w:bookmarkStart w:id="2" w:name="_Hlk32923449"/>
      <w:r w:rsidRPr="00B257B0">
        <w:rPr>
          <w:rFonts w:ascii="Tahoma" w:hAnsi="Tahoma" w:cs="Tahoma"/>
          <w:iCs/>
          <w:sz w:val="20"/>
          <w:szCs w:val="20"/>
        </w:rPr>
        <w:t>Graphical display of all cities’ index results in the database (scoring);</w:t>
      </w:r>
    </w:p>
    <w:p w14:paraId="221188BD" w14:textId="77777777" w:rsidR="007B4D04" w:rsidRPr="00B257B0" w:rsidRDefault="007B4D04" w:rsidP="007B4D04">
      <w:pPr>
        <w:rPr>
          <w:rFonts w:ascii="Tahoma" w:hAnsi="Tahoma" w:cs="Tahoma"/>
          <w:iCs/>
          <w:sz w:val="20"/>
          <w:szCs w:val="20"/>
          <w:lang w:eastAsia="en-US"/>
        </w:rPr>
      </w:pPr>
      <w:r w:rsidRPr="00B257B0">
        <w:rPr>
          <w:rFonts w:ascii="Tahoma" w:hAnsi="Tahoma" w:cs="Tahoma"/>
          <w:iCs/>
          <w:sz w:val="20"/>
          <w:szCs w:val="20"/>
        </w:rPr>
        <w:t>•</w:t>
      </w:r>
      <w:r w:rsidRPr="00B257B0">
        <w:rPr>
          <w:rFonts w:ascii="Tahoma" w:hAnsi="Tahoma" w:cs="Tahoma"/>
          <w:iCs/>
          <w:sz w:val="20"/>
          <w:szCs w:val="20"/>
        </w:rPr>
        <w:tab/>
        <w:t>Graphical display of the cities’ index results (scoring) filtered by:</w:t>
      </w:r>
    </w:p>
    <w:p w14:paraId="15B77F26" w14:textId="77777777" w:rsidR="007B4D04" w:rsidRPr="00B257B0" w:rsidRDefault="007B4D04" w:rsidP="007B4D04">
      <w:pPr>
        <w:pStyle w:val="ListParagraph"/>
        <w:numPr>
          <w:ilvl w:val="0"/>
          <w:numId w:val="33"/>
        </w:numPr>
        <w:rPr>
          <w:rFonts w:ascii="Tahoma" w:hAnsi="Tahoma" w:cs="Tahoma"/>
          <w:iCs/>
          <w:sz w:val="20"/>
          <w:szCs w:val="20"/>
        </w:rPr>
      </w:pPr>
      <w:r w:rsidRPr="00B257B0">
        <w:rPr>
          <w:rFonts w:ascii="Tahoma" w:hAnsi="Tahoma" w:cs="Tahoma"/>
          <w:iCs/>
          <w:sz w:val="20"/>
          <w:szCs w:val="20"/>
        </w:rPr>
        <w:t>Size of the city/Population: less than 100’000, 100-200’000, 200-500’000, more than 500’00;</w:t>
      </w:r>
    </w:p>
    <w:p w14:paraId="3B958908" w14:textId="77777777" w:rsidR="007B4D04" w:rsidRPr="00B257B0" w:rsidRDefault="007B4D04" w:rsidP="007B4D04">
      <w:pPr>
        <w:pStyle w:val="ListParagraph"/>
        <w:numPr>
          <w:ilvl w:val="0"/>
          <w:numId w:val="33"/>
        </w:numPr>
        <w:rPr>
          <w:rFonts w:ascii="Tahoma" w:hAnsi="Tahoma" w:cs="Tahoma"/>
          <w:iCs/>
          <w:sz w:val="20"/>
          <w:szCs w:val="20"/>
        </w:rPr>
      </w:pPr>
      <w:r w:rsidRPr="00B257B0">
        <w:rPr>
          <w:rFonts w:ascii="Tahoma" w:hAnsi="Tahoma" w:cs="Tahoma"/>
          <w:iCs/>
          <w:sz w:val="20"/>
          <w:szCs w:val="20"/>
        </w:rPr>
        <w:t>Foreign-born/Non-nationals: less than 10%, 10-15%, 15-20%, more than 20%;</w:t>
      </w:r>
    </w:p>
    <w:p w14:paraId="72B6C288" w14:textId="77777777" w:rsidR="007B4D04" w:rsidRPr="00B257B0" w:rsidRDefault="007B4D04" w:rsidP="007B4D04">
      <w:pPr>
        <w:pStyle w:val="ListParagraph"/>
        <w:numPr>
          <w:ilvl w:val="0"/>
          <w:numId w:val="33"/>
        </w:numPr>
        <w:rPr>
          <w:rFonts w:ascii="Tahoma" w:hAnsi="Tahoma" w:cs="Tahoma"/>
          <w:iCs/>
          <w:sz w:val="20"/>
          <w:szCs w:val="20"/>
        </w:rPr>
      </w:pPr>
      <w:r w:rsidRPr="00B257B0">
        <w:rPr>
          <w:rFonts w:ascii="Tahoma" w:hAnsi="Tahoma" w:cs="Tahoma"/>
          <w:iCs/>
          <w:sz w:val="20"/>
          <w:szCs w:val="20"/>
        </w:rPr>
        <w:t>Countries (Cities belonging to the same country);</w:t>
      </w:r>
    </w:p>
    <w:p w14:paraId="6851D84F" w14:textId="77777777" w:rsidR="007B4D04" w:rsidRPr="00B257B0" w:rsidRDefault="007B4D04" w:rsidP="007B4D04">
      <w:pPr>
        <w:pStyle w:val="ListParagraph"/>
        <w:numPr>
          <w:ilvl w:val="0"/>
          <w:numId w:val="33"/>
        </w:numPr>
        <w:rPr>
          <w:rFonts w:ascii="Tahoma" w:hAnsi="Tahoma" w:cs="Tahoma"/>
          <w:iCs/>
          <w:sz w:val="20"/>
          <w:szCs w:val="20"/>
        </w:rPr>
      </w:pPr>
      <w:r w:rsidRPr="00B257B0">
        <w:rPr>
          <w:rFonts w:ascii="Tahoma" w:hAnsi="Tahoma" w:cs="Tahoma"/>
          <w:iCs/>
          <w:sz w:val="20"/>
          <w:szCs w:val="20"/>
        </w:rPr>
        <w:t>Policy Areas;</w:t>
      </w:r>
    </w:p>
    <w:p w14:paraId="26E4471C" w14:textId="77777777" w:rsidR="007B4D04" w:rsidRPr="00B257B0" w:rsidRDefault="007B4D04" w:rsidP="007B4D04">
      <w:pPr>
        <w:pStyle w:val="ListParagraph"/>
        <w:numPr>
          <w:ilvl w:val="0"/>
          <w:numId w:val="33"/>
        </w:numPr>
        <w:rPr>
          <w:rFonts w:ascii="Tahoma" w:hAnsi="Tahoma" w:cs="Tahoma"/>
          <w:iCs/>
          <w:sz w:val="20"/>
          <w:szCs w:val="20"/>
        </w:rPr>
      </w:pPr>
      <w:r w:rsidRPr="00B257B0">
        <w:rPr>
          <w:rFonts w:ascii="Tahoma" w:hAnsi="Tahoma" w:cs="Tahoma"/>
          <w:iCs/>
          <w:sz w:val="20"/>
          <w:szCs w:val="20"/>
        </w:rPr>
        <w:t>Core Index / «Advanced» Index;</w:t>
      </w:r>
    </w:p>
    <w:p w14:paraId="1E88D30B" w14:textId="77777777" w:rsidR="007B4D04" w:rsidRPr="00B257B0" w:rsidRDefault="007B4D04" w:rsidP="007B4D04">
      <w:pPr>
        <w:pStyle w:val="ListParagraph"/>
        <w:numPr>
          <w:ilvl w:val="0"/>
          <w:numId w:val="33"/>
        </w:numPr>
        <w:rPr>
          <w:rFonts w:ascii="Tahoma" w:hAnsi="Tahoma" w:cs="Tahoma"/>
          <w:iCs/>
          <w:sz w:val="20"/>
          <w:szCs w:val="20"/>
        </w:rPr>
      </w:pPr>
      <w:r w:rsidRPr="00B257B0">
        <w:rPr>
          <w:rFonts w:ascii="Tahoma" w:hAnsi="Tahoma" w:cs="Tahoma"/>
          <w:iCs/>
          <w:sz w:val="20"/>
          <w:szCs w:val="20"/>
        </w:rPr>
        <w:t>Progress over time (one city).</w:t>
      </w:r>
    </w:p>
    <w:p w14:paraId="0215069F" w14:textId="77777777" w:rsidR="007B4D04" w:rsidRPr="00B257B0" w:rsidRDefault="007B4D04" w:rsidP="007B4D04">
      <w:pPr>
        <w:ind w:left="720" w:hanging="720"/>
        <w:jc w:val="both"/>
        <w:rPr>
          <w:rFonts w:ascii="Tahoma" w:hAnsi="Tahoma" w:cs="Tahoma"/>
          <w:iCs/>
          <w:sz w:val="20"/>
          <w:szCs w:val="20"/>
        </w:rPr>
      </w:pPr>
      <w:r w:rsidRPr="00B257B0">
        <w:rPr>
          <w:rFonts w:ascii="Tahoma" w:hAnsi="Tahoma" w:cs="Tahoma"/>
          <w:iCs/>
          <w:sz w:val="20"/>
          <w:szCs w:val="20"/>
        </w:rPr>
        <w:t>•</w:t>
      </w:r>
      <w:r w:rsidRPr="00B257B0">
        <w:rPr>
          <w:rFonts w:ascii="Tahoma" w:hAnsi="Tahoma" w:cs="Tahoma"/>
          <w:iCs/>
          <w:sz w:val="20"/>
          <w:szCs w:val="20"/>
        </w:rPr>
        <w:tab/>
        <w:t>Printing functionality;</w:t>
      </w:r>
    </w:p>
    <w:p w14:paraId="7BABA905" w14:textId="77777777" w:rsidR="007B4D04" w:rsidRPr="00B257B0" w:rsidRDefault="007B4D04" w:rsidP="007B4D04">
      <w:pPr>
        <w:ind w:left="720" w:hanging="720"/>
        <w:rPr>
          <w:rFonts w:ascii="Tahoma" w:hAnsi="Tahoma" w:cs="Tahoma"/>
          <w:iCs/>
          <w:sz w:val="20"/>
          <w:szCs w:val="20"/>
        </w:rPr>
      </w:pPr>
      <w:r w:rsidRPr="00B257B0">
        <w:rPr>
          <w:rFonts w:ascii="Tahoma" w:hAnsi="Tahoma" w:cs="Tahoma"/>
          <w:iCs/>
          <w:sz w:val="20"/>
          <w:szCs w:val="20"/>
        </w:rPr>
        <w:t xml:space="preserve">• </w:t>
      </w:r>
      <w:r w:rsidRPr="00B257B0">
        <w:rPr>
          <w:rFonts w:ascii="Tahoma" w:hAnsi="Tahoma" w:cs="Tahoma"/>
          <w:iCs/>
          <w:sz w:val="20"/>
          <w:szCs w:val="20"/>
        </w:rPr>
        <w:tab/>
        <w:t>Support of the modern browsers: Internet Explorer 11, Microsoft Edge, Google Chrome (latest version), Mozilla Firefox (latest);</w:t>
      </w:r>
    </w:p>
    <w:p w14:paraId="03802BEB" w14:textId="77777777" w:rsidR="007B4D04" w:rsidRPr="00B257B0" w:rsidRDefault="007B4D04" w:rsidP="007B4D04">
      <w:pPr>
        <w:ind w:left="720" w:hanging="720"/>
        <w:rPr>
          <w:rFonts w:ascii="Tahoma" w:hAnsi="Tahoma" w:cs="Tahoma"/>
          <w:iCs/>
          <w:sz w:val="20"/>
          <w:szCs w:val="20"/>
          <w:lang w:eastAsia="en-US"/>
        </w:rPr>
      </w:pPr>
      <w:r w:rsidRPr="00B257B0">
        <w:rPr>
          <w:rFonts w:ascii="Tahoma" w:hAnsi="Tahoma" w:cs="Tahoma"/>
          <w:iCs/>
          <w:sz w:val="20"/>
          <w:szCs w:val="20"/>
        </w:rPr>
        <w:t xml:space="preserve">• </w:t>
      </w:r>
      <w:r w:rsidRPr="00B257B0">
        <w:rPr>
          <w:rFonts w:ascii="Tahoma" w:hAnsi="Tahoma" w:cs="Tahoma"/>
          <w:iCs/>
          <w:sz w:val="20"/>
          <w:szCs w:val="20"/>
        </w:rPr>
        <w:tab/>
        <w:t>Catchy but clear design for Index Charts graphs, in line with ICC brand (the brand pack will be share by the ICC programme for reference).</w:t>
      </w:r>
    </w:p>
    <w:p w14:paraId="67218D97" w14:textId="77777777" w:rsidR="007B4D04" w:rsidRPr="00B257B0" w:rsidRDefault="007B4D04" w:rsidP="007B4D04">
      <w:pPr>
        <w:ind w:left="720" w:hanging="720"/>
        <w:jc w:val="both"/>
        <w:rPr>
          <w:rFonts w:ascii="Tahoma" w:hAnsi="Tahoma" w:cs="Tahoma"/>
          <w:sz w:val="20"/>
          <w:szCs w:val="20"/>
        </w:rPr>
      </w:pPr>
    </w:p>
    <w:p w14:paraId="0D41D50A" w14:textId="77777777" w:rsidR="007B4D04" w:rsidRPr="00B257B0" w:rsidRDefault="007B4D04" w:rsidP="007B4D04">
      <w:pPr>
        <w:ind w:left="720" w:hanging="720"/>
        <w:jc w:val="both"/>
        <w:rPr>
          <w:rFonts w:ascii="Tahoma" w:hAnsi="Tahoma" w:cs="Tahoma"/>
          <w:b/>
          <w:bCs/>
          <w:sz w:val="20"/>
          <w:szCs w:val="20"/>
        </w:rPr>
      </w:pPr>
    </w:p>
    <w:bookmarkEnd w:id="2"/>
    <w:p w14:paraId="3196ABC9" w14:textId="479D6DCF" w:rsidR="007B4D04" w:rsidRPr="00B257B0" w:rsidRDefault="009E6389" w:rsidP="007B4D04">
      <w:pPr>
        <w:rPr>
          <w:rFonts w:ascii="Tahoma" w:hAnsi="Tahoma" w:cs="Tahoma"/>
          <w:b/>
          <w:bCs/>
          <w:iCs/>
          <w:sz w:val="20"/>
          <w:szCs w:val="20"/>
          <w:lang w:eastAsia="en-US"/>
        </w:rPr>
      </w:pPr>
      <w:r>
        <w:rPr>
          <w:rFonts w:ascii="Tahoma" w:hAnsi="Tahoma" w:cs="Tahoma"/>
          <w:b/>
          <w:bCs/>
          <w:iCs/>
          <w:sz w:val="20"/>
          <w:szCs w:val="20"/>
        </w:rPr>
        <w:t xml:space="preserve">Lot 2 - </w:t>
      </w:r>
      <w:r w:rsidR="007B4D04" w:rsidRPr="00B257B0">
        <w:rPr>
          <w:rFonts w:ascii="Tahoma" w:hAnsi="Tahoma" w:cs="Tahoma"/>
          <w:b/>
          <w:bCs/>
          <w:iCs/>
          <w:sz w:val="20"/>
          <w:szCs w:val="20"/>
        </w:rPr>
        <w:t>Maintenance and support services for the regular upgrade of the ICC charts (at least 4 times per year).</w:t>
      </w:r>
    </w:p>
    <w:p w14:paraId="7C491EF9" w14:textId="77777777" w:rsidR="007B4D04" w:rsidRPr="00B257B0" w:rsidRDefault="007B4D04" w:rsidP="007B4D04">
      <w:pPr>
        <w:ind w:left="720" w:hanging="720"/>
        <w:jc w:val="both"/>
        <w:rPr>
          <w:rFonts w:ascii="Tahoma" w:hAnsi="Tahoma" w:cs="Tahoma"/>
          <w:b/>
          <w:bCs/>
          <w:iCs/>
          <w:sz w:val="20"/>
          <w:szCs w:val="20"/>
        </w:rPr>
      </w:pPr>
    </w:p>
    <w:p w14:paraId="1C36384F" w14:textId="77777777" w:rsidR="007B4D04" w:rsidRPr="00B257B0" w:rsidRDefault="007B4D04" w:rsidP="007B4D04">
      <w:pPr>
        <w:rPr>
          <w:rFonts w:ascii="Tahoma" w:hAnsi="Tahoma" w:cs="Tahoma"/>
          <w:iCs/>
          <w:sz w:val="20"/>
          <w:szCs w:val="20"/>
          <w:lang w:eastAsia="en-US"/>
        </w:rPr>
      </w:pPr>
      <w:r w:rsidRPr="00B257B0">
        <w:rPr>
          <w:rFonts w:ascii="Tahoma" w:hAnsi="Tahoma" w:cs="Tahoma"/>
          <w:iCs/>
          <w:sz w:val="20"/>
          <w:szCs w:val="20"/>
        </w:rPr>
        <w:t>•</w:t>
      </w:r>
      <w:r w:rsidRPr="00B257B0">
        <w:rPr>
          <w:rFonts w:ascii="Tahoma" w:hAnsi="Tahoma" w:cs="Tahoma"/>
          <w:iCs/>
          <w:sz w:val="20"/>
          <w:szCs w:val="20"/>
        </w:rPr>
        <w:tab/>
      </w:r>
      <w:bookmarkStart w:id="3" w:name="_Hlk32923468"/>
      <w:r w:rsidRPr="00B257B0">
        <w:rPr>
          <w:rFonts w:ascii="Tahoma" w:hAnsi="Tahoma" w:cs="Tahoma"/>
          <w:iCs/>
          <w:sz w:val="20"/>
          <w:szCs w:val="20"/>
        </w:rPr>
        <w:t>Error correction: fixing the errors on the application level, when relevant;</w:t>
      </w:r>
    </w:p>
    <w:p w14:paraId="671B004B" w14:textId="77777777" w:rsidR="007B4D04" w:rsidRPr="00B257B0" w:rsidRDefault="007B4D04" w:rsidP="007B4D04">
      <w:pPr>
        <w:ind w:left="720" w:hanging="720"/>
        <w:jc w:val="both"/>
        <w:rPr>
          <w:rFonts w:ascii="Tahoma" w:hAnsi="Tahoma" w:cs="Tahoma"/>
          <w:iCs/>
          <w:sz w:val="20"/>
          <w:szCs w:val="20"/>
        </w:rPr>
      </w:pPr>
      <w:r w:rsidRPr="00B257B0">
        <w:rPr>
          <w:rFonts w:ascii="Tahoma" w:hAnsi="Tahoma" w:cs="Tahoma"/>
          <w:iCs/>
          <w:sz w:val="20"/>
          <w:szCs w:val="20"/>
        </w:rPr>
        <w:t>•</w:t>
      </w:r>
      <w:r w:rsidRPr="00B257B0">
        <w:rPr>
          <w:rFonts w:ascii="Tahoma" w:hAnsi="Tahoma" w:cs="Tahoma"/>
          <w:iCs/>
          <w:sz w:val="20"/>
          <w:szCs w:val="20"/>
        </w:rPr>
        <w:tab/>
        <w:t>Hosting of the solution including all necessary environments;</w:t>
      </w:r>
    </w:p>
    <w:p w14:paraId="11E73609" w14:textId="77777777" w:rsidR="007B4D04" w:rsidRPr="00B257B0" w:rsidRDefault="007B4D04" w:rsidP="007B4D04">
      <w:pPr>
        <w:rPr>
          <w:rFonts w:ascii="Tahoma" w:hAnsi="Tahoma" w:cs="Tahoma"/>
          <w:iCs/>
          <w:sz w:val="20"/>
          <w:szCs w:val="20"/>
          <w:lang w:eastAsia="en-US"/>
        </w:rPr>
      </w:pPr>
      <w:r w:rsidRPr="00B257B0">
        <w:rPr>
          <w:rFonts w:ascii="Tahoma" w:hAnsi="Tahoma" w:cs="Tahoma"/>
          <w:iCs/>
          <w:sz w:val="20"/>
          <w:szCs w:val="20"/>
        </w:rPr>
        <w:t>•</w:t>
      </w:r>
      <w:r w:rsidRPr="00B257B0">
        <w:rPr>
          <w:rFonts w:ascii="Tahoma" w:hAnsi="Tahoma" w:cs="Tahoma"/>
          <w:iCs/>
          <w:sz w:val="20"/>
          <w:szCs w:val="20"/>
        </w:rPr>
        <w:tab/>
        <w:t>Data updates: at least once every 4 months.</w:t>
      </w:r>
    </w:p>
    <w:p w14:paraId="6E10A340" w14:textId="25B34A93" w:rsidR="007B4D04" w:rsidRDefault="007B4D04" w:rsidP="007B4D04">
      <w:pPr>
        <w:ind w:left="720" w:hanging="720"/>
        <w:jc w:val="both"/>
        <w:rPr>
          <w:rFonts w:ascii="Tahoma" w:hAnsi="Tahoma" w:cs="Tahoma"/>
          <w:sz w:val="20"/>
          <w:szCs w:val="20"/>
        </w:rPr>
      </w:pPr>
    </w:p>
    <w:p w14:paraId="6A40A86A" w14:textId="395B5339" w:rsidR="009E6389" w:rsidRDefault="009E6389" w:rsidP="007B4D04">
      <w:pPr>
        <w:ind w:left="720" w:hanging="720"/>
        <w:jc w:val="both"/>
        <w:rPr>
          <w:rFonts w:ascii="Tahoma" w:hAnsi="Tahoma" w:cs="Tahoma"/>
          <w:sz w:val="20"/>
          <w:szCs w:val="20"/>
        </w:rPr>
      </w:pPr>
    </w:p>
    <w:p w14:paraId="22948119" w14:textId="77777777" w:rsidR="009E6389" w:rsidRPr="00D0286A" w:rsidRDefault="009E6389" w:rsidP="009E6389">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bookmarkEnd w:id="3"/>
    <w:p w14:paraId="0F53BFFF" w14:textId="546EFDEA" w:rsidR="007B4D04" w:rsidRDefault="007B4D04" w:rsidP="007B4D04">
      <w:pPr>
        <w:spacing w:line="276" w:lineRule="auto"/>
        <w:jc w:val="both"/>
        <w:rPr>
          <w:rFonts w:ascii="Tahoma" w:hAnsi="Tahoma" w:cs="Tahoma"/>
          <w:sz w:val="20"/>
          <w:szCs w:val="20"/>
        </w:rPr>
      </w:pPr>
    </w:p>
    <w:p w14:paraId="18501138" w14:textId="77777777" w:rsidR="009E6389" w:rsidRPr="00D0286A" w:rsidRDefault="009E6389" w:rsidP="009E638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52B162DD" w14:textId="77777777" w:rsidR="009E6389" w:rsidRPr="00D0286A" w:rsidRDefault="009E6389" w:rsidP="009E638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4384" behindDoc="0" locked="1" layoutInCell="1" allowOverlap="1" wp14:anchorId="33A680D0" wp14:editId="15A876F1">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C4A9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3863"/>
      </w:tblGrid>
      <w:tr w:rsidR="009E6389" w:rsidRPr="00D0286A" w14:paraId="0AF516DB" w14:textId="77777777" w:rsidTr="00902DCA">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A2AAA19" w14:textId="77777777" w:rsidR="009E6389" w:rsidRPr="00D0286A" w:rsidRDefault="009E6389" w:rsidP="00902DCA">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51CC7DE9" w14:textId="77777777" w:rsidR="009E6389" w:rsidRPr="00D0286A" w:rsidRDefault="009E6389" w:rsidP="00902DC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871"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2D07452A" w14:textId="77777777" w:rsidR="009E6389" w:rsidRPr="00D0286A" w:rsidRDefault="009E6389" w:rsidP="00902DC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9E6389" w:rsidRPr="00D0286A" w14:paraId="16EAB73D" w14:textId="77777777" w:rsidTr="00902DCA">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7A84AE" w14:textId="77777777" w:rsidR="009E6389" w:rsidRPr="00D0286A" w:rsidRDefault="009E6389" w:rsidP="00902DCA">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240FF19" w14:textId="3B128BD7" w:rsidR="009E6389" w:rsidRPr="004540E3" w:rsidRDefault="009E6389" w:rsidP="00902DCA">
            <w:pPr>
              <w:spacing w:before="60" w:after="60"/>
              <w:ind w:left="-142" w:right="-249"/>
              <w:rPr>
                <w:rFonts w:ascii="Tahoma" w:eastAsia="Calibri" w:hAnsi="Tahoma" w:cs="Tahoma"/>
                <w:b/>
                <w:bCs/>
                <w:sz w:val="16"/>
                <w:szCs w:val="16"/>
                <w:lang w:val="en-US" w:eastAsia="en-US"/>
              </w:rPr>
            </w:pPr>
            <w:r w:rsidRPr="004540E3">
              <w:rPr>
                <w:rFonts w:ascii="Tahoma" w:eastAsia="Calibri" w:hAnsi="Tahoma" w:cs="Tahoma"/>
                <w:b/>
                <w:bCs/>
                <w:sz w:val="18"/>
                <w:szCs w:val="18"/>
                <w:lang w:val="en-US" w:eastAsia="en-US"/>
              </w:rPr>
              <w:t>Lot 1 –</w:t>
            </w:r>
            <w:r w:rsidRPr="004540E3">
              <w:rPr>
                <w:rFonts w:ascii="Tahoma" w:eastAsia="Calibri" w:hAnsi="Tahoma" w:cs="Tahoma"/>
                <w:b/>
                <w:bCs/>
                <w:sz w:val="16"/>
                <w:szCs w:val="16"/>
                <w:lang w:val="en-US" w:eastAsia="en-US"/>
              </w:rPr>
              <w:t xml:space="preserve"> </w:t>
            </w:r>
            <w:r>
              <w:rPr>
                <w:rFonts w:ascii="Tahoma" w:hAnsi="Tahoma" w:cs="Tahoma"/>
                <w:b/>
                <w:bCs/>
                <w:color w:val="000000"/>
                <w:sz w:val="18"/>
                <w:szCs w:val="18"/>
              </w:rPr>
              <w:t>Setting-up the tool</w:t>
            </w:r>
          </w:p>
        </w:tc>
        <w:tc>
          <w:tcPr>
            <w:tcW w:w="386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872D8A" w14:textId="24BF6576" w:rsidR="009E6389" w:rsidRPr="00D0286A" w:rsidRDefault="009E6389" w:rsidP="00902D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9E6389" w:rsidRPr="00D0286A" w14:paraId="1CB68CE3" w14:textId="77777777" w:rsidTr="00902DC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846A2A" w14:textId="77777777" w:rsidR="009E6389" w:rsidRPr="00D0286A" w:rsidRDefault="009E6389" w:rsidP="00902DCA">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3E9B749" w14:textId="414A6033" w:rsidR="009E6389" w:rsidRPr="004540E3" w:rsidRDefault="009E6389" w:rsidP="00902DCA">
            <w:pPr>
              <w:spacing w:before="60" w:after="60"/>
              <w:ind w:left="-142" w:right="-249"/>
              <w:rPr>
                <w:rFonts w:ascii="Tahoma" w:eastAsia="Calibri" w:hAnsi="Tahoma" w:cs="Tahoma"/>
                <w:b/>
                <w:bCs/>
                <w:sz w:val="18"/>
                <w:szCs w:val="18"/>
                <w:lang w:val="en-US" w:eastAsia="en-US"/>
              </w:rPr>
            </w:pPr>
            <w:r w:rsidRPr="004540E3">
              <w:rPr>
                <w:rFonts w:ascii="Tahoma" w:eastAsia="Calibri" w:hAnsi="Tahoma" w:cs="Tahoma"/>
                <w:b/>
                <w:bCs/>
                <w:sz w:val="18"/>
                <w:szCs w:val="18"/>
                <w:lang w:val="en-US" w:eastAsia="en-US"/>
              </w:rPr>
              <w:t xml:space="preserve">Lot 2 – </w:t>
            </w:r>
            <w:r>
              <w:rPr>
                <w:rFonts w:ascii="Tahoma" w:hAnsi="Tahoma" w:cs="Tahoma"/>
                <w:b/>
                <w:bCs/>
                <w:color w:val="000000"/>
                <w:sz w:val="18"/>
                <w:szCs w:val="18"/>
              </w:rPr>
              <w:t>Maintenance and support services for the regular upgrade of the ICC charts</w:t>
            </w:r>
          </w:p>
        </w:tc>
        <w:tc>
          <w:tcPr>
            <w:tcW w:w="386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8291FD2" w14:textId="638525D4" w:rsidR="009E6389" w:rsidRPr="00D0286A" w:rsidRDefault="009E6389" w:rsidP="00902DC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2247B2E3" w14:textId="77777777" w:rsidR="009E6389" w:rsidRDefault="009E6389" w:rsidP="009E6389">
      <w:pPr>
        <w:spacing w:line="276" w:lineRule="auto"/>
        <w:jc w:val="both"/>
        <w:rPr>
          <w:rFonts w:ascii="Tahoma" w:hAnsi="Tahoma" w:cs="Tahoma"/>
          <w:color w:val="000000"/>
          <w:sz w:val="20"/>
          <w:szCs w:val="20"/>
          <w:lang w:eastAsia="en-US"/>
        </w:rPr>
      </w:pPr>
    </w:p>
    <w:p w14:paraId="410FDAF7" w14:textId="77777777" w:rsidR="009E6389" w:rsidRDefault="009E6389" w:rsidP="007B4D04">
      <w:pPr>
        <w:spacing w:line="276" w:lineRule="auto"/>
        <w:jc w:val="both"/>
        <w:rPr>
          <w:rFonts w:ascii="Tahoma" w:hAnsi="Tahoma" w:cs="Tahoma"/>
          <w:sz w:val="20"/>
          <w:szCs w:val="20"/>
        </w:rPr>
      </w:pPr>
    </w:p>
    <w:p w14:paraId="13B0EDBC" w14:textId="77777777" w:rsidR="00F368EB" w:rsidRDefault="00F368EB" w:rsidP="009D5DC3">
      <w:pPr>
        <w:spacing w:line="276" w:lineRule="auto"/>
        <w:jc w:val="both"/>
        <w:rPr>
          <w:rFonts w:ascii="Tahoma" w:hAnsi="Tahoma" w:cs="Tahoma"/>
          <w:b/>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A273AF6" w:rsidR="003F5BE6" w:rsidRDefault="003F5BE6" w:rsidP="003F5BE6">
      <w:pPr>
        <w:spacing w:line="276" w:lineRule="auto"/>
        <w:ind w:left="-142"/>
        <w:jc w:val="both"/>
        <w:rPr>
          <w:rFonts w:ascii="Tahoma" w:hAnsi="Tahoma" w:cs="Tahoma"/>
          <w:b/>
          <w:color w:val="000000"/>
          <w:sz w:val="20"/>
          <w:szCs w:val="20"/>
          <w:u w:val="single"/>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009D5DC3">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9D5DC3">
        <w:rPr>
          <w:rFonts w:ascii="Tahoma" w:hAnsi="Tahoma" w:cs="Tahoma"/>
          <w:b/>
          <w:color w:val="000000"/>
          <w:sz w:val="20"/>
          <w:szCs w:val="20"/>
          <w:lang w:eastAsia="en-US"/>
        </w:rPr>
        <w:t xml:space="preserve"> </w:t>
      </w:r>
      <w:r w:rsidRPr="009D5DC3">
        <w:rPr>
          <w:rFonts w:ascii="Tahoma" w:hAnsi="Tahoma" w:cs="Tahoma"/>
          <w:b/>
          <w:color w:val="000000"/>
          <w:sz w:val="20"/>
          <w:szCs w:val="20"/>
          <w:u w:val="single"/>
          <w:lang w:eastAsia="en-US"/>
        </w:rPr>
        <w:t>Tenders proposing a fee above the exclusion level will be entirely and automatically excluded from the tender procedure.</w:t>
      </w:r>
    </w:p>
    <w:p w14:paraId="6E0DA58A" w14:textId="1C94857D" w:rsidR="009154F9" w:rsidRDefault="009154F9" w:rsidP="003F5BE6">
      <w:pPr>
        <w:spacing w:line="276" w:lineRule="auto"/>
        <w:ind w:left="-142"/>
        <w:jc w:val="both"/>
        <w:rPr>
          <w:rFonts w:ascii="Tahoma" w:hAnsi="Tahoma" w:cs="Tahoma"/>
          <w:b/>
          <w:color w:val="000000"/>
          <w:sz w:val="20"/>
          <w:szCs w:val="20"/>
          <w:u w:val="single"/>
          <w:lang w:eastAsia="en-US"/>
        </w:rPr>
      </w:pPr>
    </w:p>
    <w:p w14:paraId="08D1C4AF" w14:textId="044954FC" w:rsidR="009154F9" w:rsidRDefault="009154F9" w:rsidP="003F5BE6">
      <w:pPr>
        <w:spacing w:line="276" w:lineRule="auto"/>
        <w:ind w:left="-142"/>
        <w:jc w:val="both"/>
        <w:rPr>
          <w:rFonts w:ascii="Tahoma" w:hAnsi="Tahoma" w:cs="Tahoma"/>
          <w:sz w:val="20"/>
          <w:szCs w:val="20"/>
        </w:rPr>
      </w:pPr>
    </w:p>
    <w:p w14:paraId="0C4E00A5" w14:textId="277B7D27" w:rsidR="009E6389" w:rsidRDefault="009E6389" w:rsidP="003F5BE6">
      <w:pPr>
        <w:spacing w:line="276" w:lineRule="auto"/>
        <w:ind w:left="-142"/>
        <w:jc w:val="both"/>
        <w:rPr>
          <w:rFonts w:ascii="Tahoma" w:hAnsi="Tahoma" w:cs="Tahoma"/>
          <w:sz w:val="20"/>
          <w:szCs w:val="20"/>
        </w:rPr>
      </w:pPr>
    </w:p>
    <w:p w14:paraId="477D1862" w14:textId="251D51ED" w:rsidR="009E6389" w:rsidRDefault="009E6389" w:rsidP="003F5BE6">
      <w:pPr>
        <w:spacing w:line="276" w:lineRule="auto"/>
        <w:ind w:left="-142"/>
        <w:jc w:val="both"/>
        <w:rPr>
          <w:rFonts w:ascii="Tahoma" w:hAnsi="Tahoma" w:cs="Tahoma"/>
          <w:sz w:val="20"/>
          <w:szCs w:val="20"/>
        </w:rPr>
      </w:pPr>
    </w:p>
    <w:p w14:paraId="70DCC145" w14:textId="5FEF5B8A" w:rsidR="009E6389" w:rsidRDefault="009E6389" w:rsidP="003F5BE6">
      <w:pPr>
        <w:spacing w:line="276" w:lineRule="auto"/>
        <w:ind w:left="-142"/>
        <w:jc w:val="both"/>
        <w:rPr>
          <w:rFonts w:ascii="Tahoma" w:hAnsi="Tahoma" w:cs="Tahoma"/>
          <w:sz w:val="20"/>
          <w:szCs w:val="20"/>
        </w:rPr>
      </w:pPr>
    </w:p>
    <w:p w14:paraId="7C97B77D" w14:textId="63672800" w:rsidR="009E6389" w:rsidRDefault="009E6389" w:rsidP="003F5BE6">
      <w:pPr>
        <w:spacing w:line="276" w:lineRule="auto"/>
        <w:ind w:left="-142"/>
        <w:jc w:val="both"/>
        <w:rPr>
          <w:rFonts w:ascii="Tahoma" w:hAnsi="Tahoma" w:cs="Tahoma"/>
          <w:sz w:val="20"/>
          <w:szCs w:val="20"/>
        </w:rPr>
      </w:pPr>
    </w:p>
    <w:p w14:paraId="07766FEE" w14:textId="77777777" w:rsidR="009E6389" w:rsidRPr="002A092A" w:rsidRDefault="009E6389" w:rsidP="003F5BE6">
      <w:pPr>
        <w:spacing w:line="276" w:lineRule="auto"/>
        <w:ind w:left="-142"/>
        <w:jc w:val="both"/>
        <w:rPr>
          <w:rFonts w:ascii="Tahoma" w:hAnsi="Tahoma" w:cs="Tahoma"/>
          <w:sz w:val="20"/>
          <w:szCs w:val="20"/>
        </w:rPr>
      </w:pP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w:lastRenderedPageBreak/>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8D7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1052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9"/>
        <w:gridCol w:w="1330"/>
        <w:gridCol w:w="1632"/>
      </w:tblGrid>
      <w:tr w:rsidR="003F5BE6" w:rsidRPr="002A092A" w14:paraId="2585E0D7" w14:textId="77777777" w:rsidTr="007F4C24">
        <w:trPr>
          <w:trHeight w:val="688"/>
        </w:trPr>
        <w:tc>
          <w:tcPr>
            <w:tcW w:w="7559" w:type="dxa"/>
            <w:shd w:val="clear" w:color="auto" w:fill="DBE5F1" w:themeFill="accent1" w:themeFillTint="33"/>
            <w:vAlign w:val="center"/>
          </w:tcPr>
          <w:p w14:paraId="777ED51A" w14:textId="19F91939" w:rsidR="003F5BE6" w:rsidRPr="002A092A" w:rsidRDefault="009E6389" w:rsidP="003F5BE6">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 xml:space="preserve">LOT 1 - </w:t>
            </w:r>
            <w:r w:rsidR="003F5BE6" w:rsidRPr="002A092A">
              <w:rPr>
                <w:rFonts w:ascii="Tahoma" w:hAnsi="Tahoma" w:cs="Tahoma"/>
                <w:b/>
                <w:sz w:val="18"/>
                <w:szCs w:val="18"/>
                <w:lang w:eastAsia="en-US"/>
              </w:rPr>
              <w:t xml:space="preserve">Type(s) of Units  </w:t>
            </w:r>
            <w:r w:rsidR="003F5BE6" w:rsidRPr="002A092A">
              <w:rPr>
                <w:b/>
                <w:sz w:val="18"/>
                <w:szCs w:val="18"/>
                <w:lang w:eastAsia="en-US"/>
              </w:rPr>
              <w:t>▼</w:t>
            </w:r>
          </w:p>
        </w:tc>
        <w:tc>
          <w:tcPr>
            <w:tcW w:w="1330"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632"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7F4C24">
        <w:trPr>
          <w:trHeight w:val="374"/>
        </w:trPr>
        <w:tc>
          <w:tcPr>
            <w:tcW w:w="7559" w:type="dxa"/>
            <w:tcBorders>
              <w:right w:val="single" w:sz="2" w:space="0" w:color="FF0000"/>
            </w:tcBorders>
            <w:shd w:val="clear" w:color="auto" w:fill="F2F2F2" w:themeFill="background1" w:themeFillShade="F2"/>
            <w:vAlign w:val="center"/>
          </w:tcPr>
          <w:p w14:paraId="747042AF" w14:textId="77777777" w:rsidR="00300B79" w:rsidRDefault="00300B79" w:rsidP="003F5BE6">
            <w:pPr>
              <w:spacing w:line="276" w:lineRule="auto"/>
              <w:ind w:left="34"/>
              <w:rPr>
                <w:rFonts w:ascii="Tahoma" w:hAnsi="Tahoma" w:cs="Tahoma"/>
                <w:sz w:val="18"/>
                <w:szCs w:val="18"/>
                <w:lang w:eastAsia="en-US"/>
              </w:rPr>
            </w:pPr>
            <w:r w:rsidRPr="00300B79">
              <w:rPr>
                <w:rFonts w:ascii="Tahoma" w:hAnsi="Tahoma" w:cs="Tahoma"/>
                <w:sz w:val="18"/>
                <w:szCs w:val="18"/>
                <w:lang w:eastAsia="en-US"/>
              </w:rPr>
              <w:t>Single lump sum for (annually):</w:t>
            </w:r>
          </w:p>
          <w:p w14:paraId="5300CA98" w14:textId="77777777" w:rsidR="00300B79" w:rsidRDefault="00300B79" w:rsidP="003F5BE6">
            <w:pPr>
              <w:spacing w:line="276" w:lineRule="auto"/>
              <w:ind w:left="34"/>
              <w:rPr>
                <w:rFonts w:ascii="Tahoma" w:hAnsi="Tahoma" w:cs="Tahoma"/>
                <w:sz w:val="18"/>
                <w:szCs w:val="18"/>
                <w:lang w:eastAsia="en-US"/>
              </w:rPr>
            </w:pPr>
          </w:p>
          <w:p w14:paraId="2F3EF9C7" w14:textId="77777777" w:rsidR="009E6389" w:rsidRPr="00B257B0" w:rsidRDefault="009E6389" w:rsidP="009E6389">
            <w:pPr>
              <w:rPr>
                <w:rFonts w:ascii="Tahoma" w:hAnsi="Tahoma" w:cs="Tahoma"/>
                <w:iCs/>
                <w:sz w:val="20"/>
                <w:szCs w:val="20"/>
                <w:lang w:eastAsia="en-US"/>
              </w:rPr>
            </w:pPr>
            <w:r w:rsidRPr="00B257B0">
              <w:rPr>
                <w:rFonts w:ascii="Tahoma" w:hAnsi="Tahoma" w:cs="Tahoma"/>
                <w:iCs/>
                <w:sz w:val="20"/>
                <w:szCs w:val="20"/>
              </w:rPr>
              <w:t>Set-up the graphical display for the ICC charts and the relevant infrastructure for their regular upgrade.</w:t>
            </w:r>
          </w:p>
          <w:p w14:paraId="1E010BB4" w14:textId="77777777" w:rsidR="009E6389" w:rsidRPr="00B257B0" w:rsidRDefault="009E6389" w:rsidP="009E6389">
            <w:pPr>
              <w:rPr>
                <w:rFonts w:ascii="Tahoma" w:hAnsi="Tahoma" w:cs="Tahoma"/>
                <w:iCs/>
                <w:sz w:val="20"/>
                <w:szCs w:val="20"/>
              </w:rPr>
            </w:pPr>
            <w:r w:rsidRPr="00B257B0">
              <w:rPr>
                <w:rFonts w:ascii="Tahoma" w:hAnsi="Tahoma" w:cs="Tahoma"/>
                <w:iCs/>
                <w:sz w:val="20"/>
                <w:szCs w:val="20"/>
              </w:rPr>
              <w:t>The upgraded ICC Charts should have the following functionalities:</w:t>
            </w:r>
          </w:p>
          <w:p w14:paraId="292ACC03" w14:textId="77777777" w:rsidR="009E6389" w:rsidRPr="00B257B0" w:rsidRDefault="009E6389" w:rsidP="009E6389">
            <w:pPr>
              <w:jc w:val="both"/>
              <w:rPr>
                <w:rFonts w:ascii="Tahoma" w:hAnsi="Tahoma" w:cs="Tahoma"/>
                <w:b/>
                <w:bCs/>
                <w:iCs/>
                <w:sz w:val="20"/>
                <w:szCs w:val="20"/>
              </w:rPr>
            </w:pPr>
          </w:p>
          <w:p w14:paraId="69E15DD6" w14:textId="77777777" w:rsidR="009E6389" w:rsidRPr="00B257B0" w:rsidRDefault="009E6389" w:rsidP="009E6389">
            <w:pPr>
              <w:ind w:left="720" w:hanging="720"/>
              <w:jc w:val="both"/>
              <w:rPr>
                <w:rFonts w:ascii="Tahoma" w:hAnsi="Tahoma" w:cs="Tahoma"/>
                <w:iCs/>
                <w:sz w:val="20"/>
                <w:szCs w:val="20"/>
              </w:rPr>
            </w:pPr>
            <w:r w:rsidRPr="00B257B0">
              <w:rPr>
                <w:rFonts w:ascii="Tahoma" w:hAnsi="Tahoma" w:cs="Tahoma"/>
                <w:iCs/>
                <w:sz w:val="20"/>
                <w:szCs w:val="20"/>
              </w:rPr>
              <w:t>•</w:t>
            </w:r>
            <w:r w:rsidRPr="00B257B0">
              <w:rPr>
                <w:rFonts w:ascii="Tahoma" w:hAnsi="Tahoma" w:cs="Tahoma"/>
                <w:iCs/>
                <w:sz w:val="20"/>
                <w:szCs w:val="20"/>
              </w:rPr>
              <w:tab/>
              <w:t>Graphical display of all cities’ index results in the database (scoring);</w:t>
            </w:r>
          </w:p>
          <w:p w14:paraId="05D9D747" w14:textId="77777777" w:rsidR="009E6389" w:rsidRPr="00B257B0" w:rsidRDefault="009E6389" w:rsidP="009E6389">
            <w:pPr>
              <w:rPr>
                <w:rFonts w:ascii="Tahoma" w:hAnsi="Tahoma" w:cs="Tahoma"/>
                <w:iCs/>
                <w:sz w:val="20"/>
                <w:szCs w:val="20"/>
                <w:lang w:eastAsia="en-US"/>
              </w:rPr>
            </w:pPr>
            <w:r w:rsidRPr="00B257B0">
              <w:rPr>
                <w:rFonts w:ascii="Tahoma" w:hAnsi="Tahoma" w:cs="Tahoma"/>
                <w:iCs/>
                <w:sz w:val="20"/>
                <w:szCs w:val="20"/>
              </w:rPr>
              <w:t>•</w:t>
            </w:r>
            <w:r w:rsidRPr="00B257B0">
              <w:rPr>
                <w:rFonts w:ascii="Tahoma" w:hAnsi="Tahoma" w:cs="Tahoma"/>
                <w:iCs/>
                <w:sz w:val="20"/>
                <w:szCs w:val="20"/>
              </w:rPr>
              <w:tab/>
              <w:t>Graphical display of the cities’ index results (scoring) filtered by:</w:t>
            </w:r>
          </w:p>
          <w:p w14:paraId="11246DED" w14:textId="77C26338" w:rsidR="009E6389" w:rsidRPr="00B257B0" w:rsidRDefault="009E6389" w:rsidP="009E6389">
            <w:pPr>
              <w:pStyle w:val="ListParagraph"/>
              <w:numPr>
                <w:ilvl w:val="0"/>
                <w:numId w:val="33"/>
              </w:numPr>
              <w:rPr>
                <w:rFonts w:ascii="Tahoma" w:hAnsi="Tahoma" w:cs="Tahoma"/>
                <w:iCs/>
                <w:sz w:val="20"/>
                <w:szCs w:val="20"/>
              </w:rPr>
            </w:pPr>
            <w:r w:rsidRPr="00B257B0">
              <w:rPr>
                <w:rFonts w:ascii="Tahoma" w:hAnsi="Tahoma" w:cs="Tahoma"/>
                <w:iCs/>
                <w:sz w:val="20"/>
                <w:szCs w:val="20"/>
              </w:rPr>
              <w:t>Size of the city/Population: less than 100’000, 100-200’000, 200-500’000, more than 500’0</w:t>
            </w:r>
            <w:r w:rsidR="0054765F">
              <w:rPr>
                <w:rFonts w:ascii="Tahoma" w:hAnsi="Tahoma" w:cs="Tahoma"/>
                <w:iCs/>
                <w:sz w:val="20"/>
                <w:szCs w:val="20"/>
              </w:rPr>
              <w:t>0</w:t>
            </w:r>
            <w:bookmarkStart w:id="4" w:name="_GoBack"/>
            <w:bookmarkEnd w:id="4"/>
            <w:r w:rsidRPr="00B257B0">
              <w:rPr>
                <w:rFonts w:ascii="Tahoma" w:hAnsi="Tahoma" w:cs="Tahoma"/>
                <w:iCs/>
                <w:sz w:val="20"/>
                <w:szCs w:val="20"/>
              </w:rPr>
              <w:t>0;</w:t>
            </w:r>
          </w:p>
          <w:p w14:paraId="3D99DA3D" w14:textId="77777777" w:rsidR="009E6389" w:rsidRPr="00B257B0" w:rsidRDefault="009E6389" w:rsidP="009E6389">
            <w:pPr>
              <w:pStyle w:val="ListParagraph"/>
              <w:numPr>
                <w:ilvl w:val="0"/>
                <w:numId w:val="33"/>
              </w:numPr>
              <w:rPr>
                <w:rFonts w:ascii="Tahoma" w:hAnsi="Tahoma" w:cs="Tahoma"/>
                <w:iCs/>
                <w:sz w:val="20"/>
                <w:szCs w:val="20"/>
              </w:rPr>
            </w:pPr>
            <w:r w:rsidRPr="00B257B0">
              <w:rPr>
                <w:rFonts w:ascii="Tahoma" w:hAnsi="Tahoma" w:cs="Tahoma"/>
                <w:iCs/>
                <w:sz w:val="20"/>
                <w:szCs w:val="20"/>
              </w:rPr>
              <w:t>Foreign-born/Non-nationals: less than 10%, 10-15%, 15-20%, more than 20%;</w:t>
            </w:r>
          </w:p>
          <w:p w14:paraId="52563864" w14:textId="77777777" w:rsidR="009E6389" w:rsidRPr="00B257B0" w:rsidRDefault="009E6389" w:rsidP="009E6389">
            <w:pPr>
              <w:pStyle w:val="ListParagraph"/>
              <w:numPr>
                <w:ilvl w:val="0"/>
                <w:numId w:val="33"/>
              </w:numPr>
              <w:rPr>
                <w:rFonts w:ascii="Tahoma" w:hAnsi="Tahoma" w:cs="Tahoma"/>
                <w:iCs/>
                <w:sz w:val="20"/>
                <w:szCs w:val="20"/>
              </w:rPr>
            </w:pPr>
            <w:r w:rsidRPr="00B257B0">
              <w:rPr>
                <w:rFonts w:ascii="Tahoma" w:hAnsi="Tahoma" w:cs="Tahoma"/>
                <w:iCs/>
                <w:sz w:val="20"/>
                <w:szCs w:val="20"/>
              </w:rPr>
              <w:t>Countries (Cities belonging to the same country);</w:t>
            </w:r>
          </w:p>
          <w:p w14:paraId="50BE3330" w14:textId="77777777" w:rsidR="009E6389" w:rsidRPr="00B257B0" w:rsidRDefault="009E6389" w:rsidP="009E6389">
            <w:pPr>
              <w:pStyle w:val="ListParagraph"/>
              <w:numPr>
                <w:ilvl w:val="0"/>
                <w:numId w:val="33"/>
              </w:numPr>
              <w:rPr>
                <w:rFonts w:ascii="Tahoma" w:hAnsi="Tahoma" w:cs="Tahoma"/>
                <w:iCs/>
                <w:sz w:val="20"/>
                <w:szCs w:val="20"/>
              </w:rPr>
            </w:pPr>
            <w:r w:rsidRPr="00B257B0">
              <w:rPr>
                <w:rFonts w:ascii="Tahoma" w:hAnsi="Tahoma" w:cs="Tahoma"/>
                <w:iCs/>
                <w:sz w:val="20"/>
                <w:szCs w:val="20"/>
              </w:rPr>
              <w:t>Policy Areas;</w:t>
            </w:r>
          </w:p>
          <w:p w14:paraId="2BBE90A1" w14:textId="77777777" w:rsidR="009E6389" w:rsidRPr="00B257B0" w:rsidRDefault="009E6389" w:rsidP="009E6389">
            <w:pPr>
              <w:pStyle w:val="ListParagraph"/>
              <w:numPr>
                <w:ilvl w:val="0"/>
                <w:numId w:val="33"/>
              </w:numPr>
              <w:rPr>
                <w:rFonts w:ascii="Tahoma" w:hAnsi="Tahoma" w:cs="Tahoma"/>
                <w:iCs/>
                <w:sz w:val="20"/>
                <w:szCs w:val="20"/>
              </w:rPr>
            </w:pPr>
            <w:r w:rsidRPr="00B257B0">
              <w:rPr>
                <w:rFonts w:ascii="Tahoma" w:hAnsi="Tahoma" w:cs="Tahoma"/>
                <w:iCs/>
                <w:sz w:val="20"/>
                <w:szCs w:val="20"/>
              </w:rPr>
              <w:t>Core Index / «Advanced» Index;</w:t>
            </w:r>
          </w:p>
          <w:p w14:paraId="48BF424F" w14:textId="77777777" w:rsidR="009E6389" w:rsidRPr="00B257B0" w:rsidRDefault="009E6389" w:rsidP="009E6389">
            <w:pPr>
              <w:pStyle w:val="ListParagraph"/>
              <w:numPr>
                <w:ilvl w:val="0"/>
                <w:numId w:val="33"/>
              </w:numPr>
              <w:rPr>
                <w:rFonts w:ascii="Tahoma" w:hAnsi="Tahoma" w:cs="Tahoma"/>
                <w:iCs/>
                <w:sz w:val="20"/>
                <w:szCs w:val="20"/>
              </w:rPr>
            </w:pPr>
            <w:r w:rsidRPr="00B257B0">
              <w:rPr>
                <w:rFonts w:ascii="Tahoma" w:hAnsi="Tahoma" w:cs="Tahoma"/>
                <w:iCs/>
                <w:sz w:val="20"/>
                <w:szCs w:val="20"/>
              </w:rPr>
              <w:t>Progress over time (one city).</w:t>
            </w:r>
          </w:p>
          <w:p w14:paraId="6C5FB806" w14:textId="77777777" w:rsidR="009E6389" w:rsidRPr="00B257B0" w:rsidRDefault="009E6389" w:rsidP="009E6389">
            <w:pPr>
              <w:ind w:left="720" w:hanging="720"/>
              <w:jc w:val="both"/>
              <w:rPr>
                <w:rFonts w:ascii="Tahoma" w:hAnsi="Tahoma" w:cs="Tahoma"/>
                <w:iCs/>
                <w:sz w:val="20"/>
                <w:szCs w:val="20"/>
              </w:rPr>
            </w:pPr>
            <w:r w:rsidRPr="00B257B0">
              <w:rPr>
                <w:rFonts w:ascii="Tahoma" w:hAnsi="Tahoma" w:cs="Tahoma"/>
                <w:iCs/>
                <w:sz w:val="20"/>
                <w:szCs w:val="20"/>
              </w:rPr>
              <w:t>•</w:t>
            </w:r>
            <w:r w:rsidRPr="00B257B0">
              <w:rPr>
                <w:rFonts w:ascii="Tahoma" w:hAnsi="Tahoma" w:cs="Tahoma"/>
                <w:iCs/>
                <w:sz w:val="20"/>
                <w:szCs w:val="20"/>
              </w:rPr>
              <w:tab/>
              <w:t>Printing functionality;</w:t>
            </w:r>
          </w:p>
          <w:p w14:paraId="2F23AA87" w14:textId="77777777" w:rsidR="009E6389" w:rsidRPr="00B257B0" w:rsidRDefault="009E6389" w:rsidP="009E6389">
            <w:pPr>
              <w:ind w:left="720" w:hanging="720"/>
              <w:rPr>
                <w:rFonts w:ascii="Tahoma" w:hAnsi="Tahoma" w:cs="Tahoma"/>
                <w:iCs/>
                <w:sz w:val="20"/>
                <w:szCs w:val="20"/>
              </w:rPr>
            </w:pPr>
            <w:r w:rsidRPr="00B257B0">
              <w:rPr>
                <w:rFonts w:ascii="Tahoma" w:hAnsi="Tahoma" w:cs="Tahoma"/>
                <w:iCs/>
                <w:sz w:val="20"/>
                <w:szCs w:val="20"/>
              </w:rPr>
              <w:t xml:space="preserve">• </w:t>
            </w:r>
            <w:r w:rsidRPr="00B257B0">
              <w:rPr>
                <w:rFonts w:ascii="Tahoma" w:hAnsi="Tahoma" w:cs="Tahoma"/>
                <w:iCs/>
                <w:sz w:val="20"/>
                <w:szCs w:val="20"/>
              </w:rPr>
              <w:tab/>
              <w:t>Support of the modern browsers: Internet Explorer 11, Microsoft Edge, Google Chrome (latest version), Mozilla Firefox (latest);</w:t>
            </w:r>
          </w:p>
          <w:p w14:paraId="0651C9B3" w14:textId="77777777" w:rsidR="009E6389" w:rsidRPr="00B257B0" w:rsidRDefault="009E6389" w:rsidP="009E6389">
            <w:pPr>
              <w:ind w:left="720" w:hanging="720"/>
              <w:rPr>
                <w:rFonts w:ascii="Tahoma" w:hAnsi="Tahoma" w:cs="Tahoma"/>
                <w:iCs/>
                <w:sz w:val="20"/>
                <w:szCs w:val="20"/>
                <w:lang w:eastAsia="en-US"/>
              </w:rPr>
            </w:pPr>
            <w:r w:rsidRPr="00B257B0">
              <w:rPr>
                <w:rFonts w:ascii="Tahoma" w:hAnsi="Tahoma" w:cs="Tahoma"/>
                <w:iCs/>
                <w:sz w:val="20"/>
                <w:szCs w:val="20"/>
              </w:rPr>
              <w:t xml:space="preserve">• </w:t>
            </w:r>
            <w:r w:rsidRPr="00B257B0">
              <w:rPr>
                <w:rFonts w:ascii="Tahoma" w:hAnsi="Tahoma" w:cs="Tahoma"/>
                <w:iCs/>
                <w:sz w:val="20"/>
                <w:szCs w:val="20"/>
              </w:rPr>
              <w:tab/>
              <w:t>Catchy but clear design for Index Charts graphs, in line with ICC brand (the brand pack will be share by the ICC programme for reference).</w:t>
            </w:r>
          </w:p>
          <w:p w14:paraId="1C0F6835" w14:textId="606911AB" w:rsidR="00300B79" w:rsidRPr="002A092A" w:rsidRDefault="00300B79" w:rsidP="003F5BE6">
            <w:pPr>
              <w:spacing w:line="276" w:lineRule="auto"/>
              <w:ind w:left="34"/>
              <w:rPr>
                <w:rFonts w:ascii="Tahoma" w:hAnsi="Tahoma" w:cs="Tahoma"/>
                <w:sz w:val="18"/>
                <w:szCs w:val="18"/>
                <w:highlight w:val="yellow"/>
                <w:lang w:eastAsia="en-US"/>
              </w:rPr>
            </w:pP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63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0272AEB" w:rsidR="003F5BE6" w:rsidRPr="00300B79" w:rsidRDefault="00300B79" w:rsidP="003F5BE6">
            <w:pPr>
              <w:spacing w:line="276" w:lineRule="auto"/>
              <w:ind w:left="-142" w:right="-91"/>
              <w:jc w:val="center"/>
              <w:rPr>
                <w:rFonts w:ascii="Tahoma" w:hAnsi="Tahoma" w:cs="Tahoma"/>
                <w:sz w:val="18"/>
                <w:szCs w:val="18"/>
                <w:lang w:eastAsia="en-US"/>
              </w:rPr>
            </w:pPr>
            <w:r w:rsidRPr="00300B79">
              <w:rPr>
                <w:rFonts w:ascii="Tahoma" w:hAnsi="Tahoma" w:cs="Tahoma"/>
                <w:sz w:val="18"/>
                <w:szCs w:val="18"/>
                <w:lang w:eastAsia="en-US"/>
              </w:rPr>
              <w:t>€</w:t>
            </w:r>
            <w:r w:rsidR="007B5072">
              <w:rPr>
                <w:rFonts w:ascii="Tahoma" w:hAnsi="Tahoma" w:cs="Tahoma"/>
                <w:sz w:val="18"/>
                <w:szCs w:val="18"/>
                <w:lang w:eastAsia="en-US"/>
              </w:rPr>
              <w:t>1</w:t>
            </w:r>
            <w:r w:rsidRPr="00300B79">
              <w:rPr>
                <w:rFonts w:ascii="Tahoma" w:hAnsi="Tahoma" w:cs="Tahoma"/>
                <w:sz w:val="18"/>
                <w:szCs w:val="18"/>
                <w:lang w:eastAsia="en-US"/>
              </w:rPr>
              <w:t>0 000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B5072">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cs="Tahoma"/>
                <w:szCs w:val="20"/>
              </w:rPr>
              <w:id w:val="932088401"/>
              <w:date w:fullDate="2020-11-14T00:00:00Z">
                <w:dateFormat w:val="dd/MM/yyyy"/>
                <w:lid w:val="fr-FR"/>
                <w:storeMappedDataAs w:val="dateTime"/>
                <w:calendar w:val="gregorian"/>
              </w:date>
            </w:sdtPr>
            <w:sdtEndPr>
              <w:rPr>
                <w:rStyle w:val="Style71"/>
              </w:rPr>
            </w:sdtEndPr>
            <w:sdtContent>
              <w:p w14:paraId="46084A98" w14:textId="244458F0" w:rsidR="00352519" w:rsidRPr="002A092A" w:rsidRDefault="00C33977" w:rsidP="007B5072">
                <w:pPr>
                  <w:spacing w:before="120" w:after="120"/>
                  <w:rPr>
                    <w:rFonts w:ascii="Tahoma" w:hAnsi="Tahoma" w:cs="Tahoma"/>
                    <w:sz w:val="20"/>
                    <w:szCs w:val="20"/>
                  </w:rPr>
                </w:pPr>
                <w:r>
                  <w:rPr>
                    <w:rStyle w:val="Style71"/>
                    <w:rFonts w:cs="Tahoma"/>
                    <w:szCs w:val="20"/>
                  </w:rPr>
                  <w:t>14</w:t>
                </w:r>
                <w:r w:rsidR="005A1554" w:rsidRPr="005A1554">
                  <w:rPr>
                    <w:rStyle w:val="Style71"/>
                    <w:rFonts w:cs="Tahoma"/>
                    <w:szCs w:val="20"/>
                  </w:rPr>
                  <w:t>/</w:t>
                </w:r>
                <w:r>
                  <w:rPr>
                    <w:rStyle w:val="Style71"/>
                    <w:rFonts w:cs="Tahoma"/>
                    <w:szCs w:val="20"/>
                  </w:rPr>
                  <w:t>11</w:t>
                </w:r>
                <w:r w:rsidR="005A1554" w:rsidRPr="005A1554">
                  <w:rPr>
                    <w:rStyle w:val="Style71"/>
                    <w:rFonts w:cs="Tahoma"/>
                    <w:szCs w:val="20"/>
                  </w:rPr>
                  <w:t>/202</w:t>
                </w:r>
                <w:r>
                  <w:rPr>
                    <w:rStyle w:val="Style71"/>
                    <w:rFonts w:cs="Tahoma"/>
                    <w:szCs w:val="20"/>
                  </w:rPr>
                  <w:t>0</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4CA8F775" w14:textId="77777777" w:rsidR="009E6389" w:rsidRPr="002A092A" w:rsidRDefault="009E6389" w:rsidP="009E6389">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092A27C3" w14:textId="77777777" w:rsidR="009E6389" w:rsidRPr="002A092A" w:rsidRDefault="009E6389" w:rsidP="009E6389">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27075548" wp14:editId="5F5F6825">
                <wp:simplePos x="0" y="0"/>
                <wp:positionH relativeFrom="column">
                  <wp:posOffset>4671060</wp:posOffset>
                </wp:positionH>
                <wp:positionV relativeFrom="paragraph">
                  <wp:posOffset>-45085</wp:posOffset>
                </wp:positionV>
                <wp:extent cx="163195" cy="525145"/>
                <wp:effectExtent l="19050" t="0" r="27305" b="4635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9C99" id="Up Arrow 7" o:spid="_x0000_s1026" type="#_x0000_t68" style="position:absolute;margin-left:367.8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" adj="3973" strokecolor="red">
                <o:lock v:ext="edit" aspectratio="t"/>
                <v:textbox style="layout-flow:vertical-ideographic"/>
                <w10:anchorlock/>
              </v:shape>
            </w:pict>
          </mc:Fallback>
        </mc:AlternateContent>
      </w:r>
    </w:p>
    <w:tbl>
      <w:tblPr>
        <w:tblW w:w="1052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9"/>
        <w:gridCol w:w="1330"/>
        <w:gridCol w:w="1632"/>
      </w:tblGrid>
      <w:tr w:rsidR="009E6389" w:rsidRPr="002A092A" w14:paraId="7BC3BB4E" w14:textId="77777777" w:rsidTr="00902DCA">
        <w:trPr>
          <w:trHeight w:val="688"/>
        </w:trPr>
        <w:tc>
          <w:tcPr>
            <w:tcW w:w="7559" w:type="dxa"/>
            <w:shd w:val="clear" w:color="auto" w:fill="DBE5F1" w:themeFill="accent1" w:themeFillTint="33"/>
            <w:vAlign w:val="center"/>
          </w:tcPr>
          <w:p w14:paraId="314418AA" w14:textId="1A5FFC30" w:rsidR="009E6389" w:rsidRPr="002A092A" w:rsidRDefault="009E6389" w:rsidP="00902DCA">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 xml:space="preserve">LOT 2 - </w:t>
            </w:r>
            <w:r w:rsidRPr="002A092A">
              <w:rPr>
                <w:rFonts w:ascii="Tahoma" w:hAnsi="Tahoma" w:cs="Tahoma"/>
                <w:b/>
                <w:sz w:val="18"/>
                <w:szCs w:val="18"/>
                <w:lang w:eastAsia="en-US"/>
              </w:rPr>
              <w:t xml:space="preserve">Type(s) of Units  </w:t>
            </w:r>
            <w:r w:rsidRPr="002A092A">
              <w:rPr>
                <w:b/>
                <w:sz w:val="18"/>
                <w:szCs w:val="18"/>
                <w:lang w:eastAsia="en-US"/>
              </w:rPr>
              <w:t>▼</w:t>
            </w:r>
          </w:p>
        </w:tc>
        <w:tc>
          <w:tcPr>
            <w:tcW w:w="1330" w:type="dxa"/>
            <w:tcBorders>
              <w:bottom w:val="single" w:sz="2" w:space="0" w:color="FF0000"/>
            </w:tcBorders>
            <w:shd w:val="clear" w:color="auto" w:fill="DBE5F1" w:themeFill="accent1" w:themeFillTint="33"/>
            <w:vAlign w:val="center"/>
          </w:tcPr>
          <w:p w14:paraId="1C730DC6" w14:textId="77777777" w:rsidR="009E6389" w:rsidRPr="002A092A" w:rsidRDefault="009E6389" w:rsidP="00902DCA">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04E41A82" w14:textId="77777777" w:rsidR="009E6389" w:rsidRPr="002A092A" w:rsidRDefault="009E6389" w:rsidP="00902DCA">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632" w:type="dxa"/>
            <w:tcBorders>
              <w:bottom w:val="single" w:sz="2" w:space="0" w:color="808080" w:themeColor="background1" w:themeShade="80"/>
            </w:tcBorders>
            <w:shd w:val="clear" w:color="auto" w:fill="DBE5F1" w:themeFill="accent1" w:themeFillTint="33"/>
            <w:vAlign w:val="center"/>
          </w:tcPr>
          <w:p w14:paraId="3DD99BD5" w14:textId="77777777" w:rsidR="009E6389" w:rsidRPr="002A092A" w:rsidRDefault="009E6389" w:rsidP="00902DCA">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603C1378" w14:textId="77777777" w:rsidR="009E6389" w:rsidRPr="002A092A" w:rsidRDefault="009E6389" w:rsidP="00902DCA">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9E6389" w:rsidRPr="002A092A" w14:paraId="7077C9DE" w14:textId="77777777" w:rsidTr="00902DCA">
        <w:trPr>
          <w:trHeight w:val="374"/>
        </w:trPr>
        <w:tc>
          <w:tcPr>
            <w:tcW w:w="7559" w:type="dxa"/>
            <w:tcBorders>
              <w:right w:val="single" w:sz="2" w:space="0" w:color="FF0000"/>
            </w:tcBorders>
            <w:shd w:val="clear" w:color="auto" w:fill="F2F2F2" w:themeFill="background1" w:themeFillShade="F2"/>
            <w:vAlign w:val="center"/>
          </w:tcPr>
          <w:p w14:paraId="1EF5A1F0" w14:textId="77777777" w:rsidR="009E6389" w:rsidRDefault="009E6389" w:rsidP="00902DCA">
            <w:pPr>
              <w:spacing w:line="276" w:lineRule="auto"/>
              <w:ind w:left="34"/>
              <w:rPr>
                <w:rFonts w:ascii="Tahoma" w:hAnsi="Tahoma" w:cs="Tahoma"/>
                <w:sz w:val="18"/>
                <w:szCs w:val="18"/>
                <w:lang w:eastAsia="en-US"/>
              </w:rPr>
            </w:pPr>
            <w:r w:rsidRPr="00300B79">
              <w:rPr>
                <w:rFonts w:ascii="Tahoma" w:hAnsi="Tahoma" w:cs="Tahoma"/>
                <w:sz w:val="18"/>
                <w:szCs w:val="18"/>
                <w:lang w:eastAsia="en-US"/>
              </w:rPr>
              <w:t>Single lump sum for (annually):</w:t>
            </w:r>
          </w:p>
          <w:p w14:paraId="50523EBE" w14:textId="77777777" w:rsidR="009E6389" w:rsidRPr="009E6389" w:rsidRDefault="009E6389" w:rsidP="00902DCA">
            <w:pPr>
              <w:spacing w:line="276" w:lineRule="auto"/>
              <w:ind w:left="34"/>
              <w:rPr>
                <w:rFonts w:ascii="Tahoma" w:hAnsi="Tahoma" w:cs="Tahoma"/>
                <w:sz w:val="18"/>
                <w:szCs w:val="18"/>
                <w:lang w:eastAsia="en-US"/>
              </w:rPr>
            </w:pPr>
          </w:p>
          <w:p w14:paraId="702502ED" w14:textId="178A8EE1" w:rsidR="009E6389" w:rsidRPr="009E6389" w:rsidRDefault="009E6389" w:rsidP="009E6389">
            <w:pPr>
              <w:rPr>
                <w:rFonts w:ascii="Tahoma" w:hAnsi="Tahoma" w:cs="Tahoma"/>
                <w:iCs/>
                <w:sz w:val="20"/>
                <w:szCs w:val="20"/>
                <w:lang w:eastAsia="en-US"/>
              </w:rPr>
            </w:pPr>
            <w:r w:rsidRPr="009E6389">
              <w:rPr>
                <w:rFonts w:ascii="Tahoma" w:hAnsi="Tahoma" w:cs="Tahoma"/>
                <w:iCs/>
                <w:sz w:val="20"/>
                <w:szCs w:val="20"/>
              </w:rPr>
              <w:t>Maintenance and support services for the regular upgrade of the ICC charts (at least 4 times per year).</w:t>
            </w:r>
          </w:p>
          <w:p w14:paraId="56EE292B" w14:textId="77777777" w:rsidR="009E6389" w:rsidRPr="00B257B0" w:rsidRDefault="009E6389" w:rsidP="009E6389">
            <w:pPr>
              <w:ind w:left="720" w:hanging="720"/>
              <w:jc w:val="both"/>
              <w:rPr>
                <w:rFonts w:ascii="Tahoma" w:hAnsi="Tahoma" w:cs="Tahoma"/>
                <w:b/>
                <w:bCs/>
                <w:iCs/>
                <w:sz w:val="20"/>
                <w:szCs w:val="20"/>
              </w:rPr>
            </w:pPr>
          </w:p>
          <w:p w14:paraId="09AE4631" w14:textId="77777777" w:rsidR="009E6389" w:rsidRPr="00B257B0" w:rsidRDefault="009E6389" w:rsidP="009E6389">
            <w:pPr>
              <w:rPr>
                <w:rFonts w:ascii="Tahoma" w:hAnsi="Tahoma" w:cs="Tahoma"/>
                <w:iCs/>
                <w:sz w:val="20"/>
                <w:szCs w:val="20"/>
                <w:lang w:eastAsia="en-US"/>
              </w:rPr>
            </w:pPr>
            <w:r w:rsidRPr="00B257B0">
              <w:rPr>
                <w:rFonts w:ascii="Tahoma" w:hAnsi="Tahoma" w:cs="Tahoma"/>
                <w:iCs/>
                <w:sz w:val="20"/>
                <w:szCs w:val="20"/>
              </w:rPr>
              <w:t>•</w:t>
            </w:r>
            <w:r w:rsidRPr="00B257B0">
              <w:rPr>
                <w:rFonts w:ascii="Tahoma" w:hAnsi="Tahoma" w:cs="Tahoma"/>
                <w:iCs/>
                <w:sz w:val="20"/>
                <w:szCs w:val="20"/>
              </w:rPr>
              <w:tab/>
              <w:t>Error correction: fixing the errors on the application level, when relevant;</w:t>
            </w:r>
          </w:p>
          <w:p w14:paraId="7DC78B08" w14:textId="77777777" w:rsidR="009E6389" w:rsidRPr="00B257B0" w:rsidRDefault="009E6389" w:rsidP="009E6389">
            <w:pPr>
              <w:ind w:left="720" w:hanging="720"/>
              <w:jc w:val="both"/>
              <w:rPr>
                <w:rFonts w:ascii="Tahoma" w:hAnsi="Tahoma" w:cs="Tahoma"/>
                <w:iCs/>
                <w:sz w:val="20"/>
                <w:szCs w:val="20"/>
              </w:rPr>
            </w:pPr>
            <w:r w:rsidRPr="00B257B0">
              <w:rPr>
                <w:rFonts w:ascii="Tahoma" w:hAnsi="Tahoma" w:cs="Tahoma"/>
                <w:iCs/>
                <w:sz w:val="20"/>
                <w:szCs w:val="20"/>
              </w:rPr>
              <w:t>•</w:t>
            </w:r>
            <w:r w:rsidRPr="00B257B0">
              <w:rPr>
                <w:rFonts w:ascii="Tahoma" w:hAnsi="Tahoma" w:cs="Tahoma"/>
                <w:iCs/>
                <w:sz w:val="20"/>
                <w:szCs w:val="20"/>
              </w:rPr>
              <w:tab/>
              <w:t>Hosting of the solution including all necessary environments;</w:t>
            </w:r>
          </w:p>
          <w:p w14:paraId="6B2DABD0" w14:textId="77777777" w:rsidR="009E6389" w:rsidRPr="00B257B0" w:rsidRDefault="009E6389" w:rsidP="009E6389">
            <w:pPr>
              <w:rPr>
                <w:rFonts w:ascii="Tahoma" w:hAnsi="Tahoma" w:cs="Tahoma"/>
                <w:iCs/>
                <w:sz w:val="20"/>
                <w:szCs w:val="20"/>
                <w:lang w:eastAsia="en-US"/>
              </w:rPr>
            </w:pPr>
            <w:r w:rsidRPr="00B257B0">
              <w:rPr>
                <w:rFonts w:ascii="Tahoma" w:hAnsi="Tahoma" w:cs="Tahoma"/>
                <w:iCs/>
                <w:sz w:val="20"/>
                <w:szCs w:val="20"/>
              </w:rPr>
              <w:t>•</w:t>
            </w:r>
            <w:r w:rsidRPr="00B257B0">
              <w:rPr>
                <w:rFonts w:ascii="Tahoma" w:hAnsi="Tahoma" w:cs="Tahoma"/>
                <w:iCs/>
                <w:sz w:val="20"/>
                <w:szCs w:val="20"/>
              </w:rPr>
              <w:tab/>
              <w:t>Data updates: at least once every 4 months.</w:t>
            </w:r>
          </w:p>
          <w:p w14:paraId="6A4DDDF3" w14:textId="77777777" w:rsidR="009E6389" w:rsidRPr="002A092A" w:rsidRDefault="009E6389" w:rsidP="009E6389">
            <w:pPr>
              <w:ind w:left="720" w:hanging="720"/>
              <w:rPr>
                <w:rFonts w:ascii="Tahoma" w:hAnsi="Tahoma" w:cs="Tahoma"/>
                <w:sz w:val="18"/>
                <w:szCs w:val="18"/>
                <w:highlight w:val="yellow"/>
                <w:lang w:eastAsia="en-US"/>
              </w:rPr>
            </w:pP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489668" w14:textId="77777777" w:rsidR="009E6389" w:rsidRPr="002A092A" w:rsidRDefault="009E6389" w:rsidP="00902DCA">
            <w:pPr>
              <w:spacing w:line="276" w:lineRule="auto"/>
              <w:ind w:left="-142" w:right="-91"/>
              <w:jc w:val="center"/>
              <w:rPr>
                <w:rFonts w:ascii="Tahoma" w:hAnsi="Tahoma" w:cs="Tahoma"/>
                <w:sz w:val="18"/>
                <w:szCs w:val="18"/>
                <w:highlight w:val="yellow"/>
                <w:lang w:eastAsia="en-US"/>
              </w:rPr>
            </w:pPr>
          </w:p>
        </w:tc>
        <w:tc>
          <w:tcPr>
            <w:tcW w:w="163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23BEF989" w14:textId="65510E0F" w:rsidR="009E6389" w:rsidRPr="00300B79" w:rsidRDefault="009E6389" w:rsidP="00902DCA">
            <w:pPr>
              <w:spacing w:line="276" w:lineRule="auto"/>
              <w:ind w:left="-142" w:right="-91"/>
              <w:jc w:val="center"/>
              <w:rPr>
                <w:rFonts w:ascii="Tahoma" w:hAnsi="Tahoma" w:cs="Tahoma"/>
                <w:sz w:val="18"/>
                <w:szCs w:val="18"/>
                <w:lang w:eastAsia="en-US"/>
              </w:rPr>
            </w:pPr>
            <w:r w:rsidRPr="00300B79">
              <w:rPr>
                <w:rFonts w:ascii="Tahoma" w:hAnsi="Tahoma" w:cs="Tahoma"/>
                <w:sz w:val="18"/>
                <w:szCs w:val="18"/>
                <w:lang w:eastAsia="en-US"/>
              </w:rPr>
              <w:t>€</w:t>
            </w:r>
            <w:r>
              <w:rPr>
                <w:rFonts w:ascii="Tahoma" w:hAnsi="Tahoma" w:cs="Tahoma"/>
                <w:sz w:val="18"/>
                <w:szCs w:val="18"/>
                <w:lang w:eastAsia="en-US"/>
              </w:rPr>
              <w:t>5</w:t>
            </w:r>
            <w:r w:rsidRPr="00300B79">
              <w:rPr>
                <w:rFonts w:ascii="Tahoma" w:hAnsi="Tahoma" w:cs="Tahoma"/>
                <w:sz w:val="18"/>
                <w:szCs w:val="18"/>
                <w:lang w:eastAsia="en-US"/>
              </w:rPr>
              <w:t xml:space="preserve"> 000</w:t>
            </w:r>
          </w:p>
        </w:tc>
      </w:tr>
    </w:tbl>
    <w:p w14:paraId="3E884654" w14:textId="77777777" w:rsidR="009E6389" w:rsidRPr="002A092A" w:rsidRDefault="009E6389" w:rsidP="009E6389">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9E6389" w:rsidRPr="002A092A" w14:paraId="04344355" w14:textId="77777777" w:rsidTr="00902DCA">
        <w:tc>
          <w:tcPr>
            <w:tcW w:w="8824" w:type="dxa"/>
            <w:shd w:val="clear" w:color="auto" w:fill="DBE5F1" w:themeFill="accent1" w:themeFillTint="33"/>
            <w:vAlign w:val="center"/>
          </w:tcPr>
          <w:p w14:paraId="0CFEE7F3" w14:textId="77777777" w:rsidR="009E6389" w:rsidRPr="002A092A" w:rsidRDefault="009E6389" w:rsidP="00902DCA">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cs="Tahoma"/>
                <w:szCs w:val="20"/>
              </w:rPr>
              <w:id w:val="-1459176097"/>
              <w:date w:fullDate="2021-12-30T00:00:00Z">
                <w:dateFormat w:val="dd/MM/yyyy"/>
                <w:lid w:val="fr-FR"/>
                <w:storeMappedDataAs w:val="dateTime"/>
                <w:calendar w:val="gregorian"/>
              </w:date>
            </w:sdtPr>
            <w:sdtEndPr>
              <w:rPr>
                <w:rStyle w:val="Style71"/>
              </w:rPr>
            </w:sdtEndPr>
            <w:sdtContent>
              <w:p w14:paraId="2A150A2E" w14:textId="1607997E" w:rsidR="009E6389" w:rsidRPr="002A092A" w:rsidRDefault="00BC4FC8" w:rsidP="00902DCA">
                <w:pPr>
                  <w:spacing w:before="120" w:after="120"/>
                  <w:rPr>
                    <w:rFonts w:ascii="Tahoma" w:hAnsi="Tahoma" w:cs="Tahoma"/>
                    <w:sz w:val="20"/>
                    <w:szCs w:val="20"/>
                  </w:rPr>
                </w:pPr>
                <w:r>
                  <w:rPr>
                    <w:rStyle w:val="Style71"/>
                    <w:rFonts w:cs="Tahoma"/>
                    <w:szCs w:val="20"/>
                  </w:rPr>
                  <w:t>30</w:t>
                </w:r>
                <w:r w:rsidR="009E6389" w:rsidRPr="005A1554">
                  <w:rPr>
                    <w:rStyle w:val="Style71"/>
                    <w:rFonts w:cs="Tahoma"/>
                    <w:szCs w:val="20"/>
                  </w:rPr>
                  <w:t>/</w:t>
                </w:r>
                <w:r>
                  <w:rPr>
                    <w:rStyle w:val="Style71"/>
                    <w:rFonts w:cs="Tahoma"/>
                    <w:szCs w:val="20"/>
                  </w:rPr>
                  <w:t>12</w:t>
                </w:r>
                <w:r w:rsidR="009E6389" w:rsidRPr="005A1554">
                  <w:rPr>
                    <w:rStyle w:val="Style71"/>
                    <w:rFonts w:cs="Tahoma"/>
                    <w:szCs w:val="20"/>
                  </w:rPr>
                  <w:t>/202</w:t>
                </w:r>
                <w:r w:rsidR="00C33977">
                  <w:rPr>
                    <w:rStyle w:val="Style71"/>
                    <w:rFonts w:cs="Tahoma"/>
                    <w:szCs w:val="20"/>
                  </w:rPr>
                  <w:t>1</w:t>
                </w:r>
              </w:p>
            </w:sdtContent>
          </w:sdt>
        </w:tc>
      </w:tr>
      <w:tr w:rsidR="009E6389" w:rsidRPr="002A092A" w14:paraId="00961748" w14:textId="77777777" w:rsidTr="00902DCA">
        <w:tc>
          <w:tcPr>
            <w:tcW w:w="8824" w:type="dxa"/>
            <w:shd w:val="clear" w:color="auto" w:fill="DBE5F1" w:themeFill="accent1" w:themeFillTint="33"/>
            <w:vAlign w:val="center"/>
          </w:tcPr>
          <w:p w14:paraId="6407C554" w14:textId="77777777" w:rsidR="009E6389" w:rsidRPr="002A092A" w:rsidRDefault="009E6389" w:rsidP="00902DCA">
            <w:pPr>
              <w:spacing w:before="120" w:after="120"/>
              <w:rPr>
                <w:rFonts w:ascii="Tahoma" w:hAnsi="Tahoma" w:cs="Tahoma"/>
                <w:sz w:val="20"/>
                <w:szCs w:val="20"/>
              </w:rPr>
            </w:pPr>
            <w:r w:rsidRPr="002A092A">
              <w:rPr>
                <w:rFonts w:ascii="Tahoma" w:hAnsi="Tahoma" w:cs="Tahoma"/>
                <w:sz w:val="20"/>
                <w:szCs w:val="20"/>
              </w:rPr>
              <w:t xml:space="preserve">The Framework Contract may be renewed </w:t>
            </w:r>
            <w:r w:rsidRPr="005A1554">
              <w:rPr>
                <w:rFonts w:ascii="Tahoma" w:hAnsi="Tahoma" w:cs="Tahoma"/>
                <w:sz w:val="20"/>
                <w:szCs w:val="20"/>
              </w:rPr>
              <w:t>annually.</w:t>
            </w:r>
            <w:r w:rsidRPr="002A092A">
              <w:rPr>
                <w:rFonts w:ascii="Tahoma" w:hAnsi="Tahoma" w:cs="Tahoma"/>
                <w:sz w:val="20"/>
                <w:szCs w:val="20"/>
              </w:rPr>
              <w:t xml:space="preserve"> It shall be renewable until the end date:</w:t>
            </w:r>
          </w:p>
        </w:tc>
        <w:tc>
          <w:tcPr>
            <w:tcW w:w="1701" w:type="dxa"/>
            <w:shd w:val="clear" w:color="auto" w:fill="F2F2F2" w:themeFill="background1" w:themeFillShade="F2"/>
            <w:vAlign w:val="center"/>
          </w:tcPr>
          <w:sdt>
            <w:sdtPr>
              <w:rPr>
                <w:rStyle w:val="Style71"/>
                <w:rFonts w:cs="Tahoma"/>
                <w:szCs w:val="20"/>
              </w:rPr>
              <w:id w:val="1245455602"/>
              <w:date w:fullDate="2025-07-31T00:00:00Z">
                <w:dateFormat w:val="dd/MM/yyyy"/>
                <w:lid w:val="fr-FR"/>
                <w:storeMappedDataAs w:val="dateTime"/>
                <w:calendar w:val="gregorian"/>
              </w:date>
            </w:sdtPr>
            <w:sdtEndPr>
              <w:rPr>
                <w:rStyle w:val="Style71"/>
              </w:rPr>
            </w:sdtEndPr>
            <w:sdtContent>
              <w:p w14:paraId="192A233A" w14:textId="77777777" w:rsidR="009E6389" w:rsidRPr="002A092A" w:rsidRDefault="009E6389" w:rsidP="00902DCA">
                <w:pPr>
                  <w:spacing w:before="120" w:after="120"/>
                  <w:rPr>
                    <w:rStyle w:val="Style71"/>
                    <w:rFonts w:ascii="Tahoma" w:hAnsi="Tahoma" w:cs="Tahoma"/>
                    <w:szCs w:val="20"/>
                  </w:rPr>
                </w:pPr>
                <w:r>
                  <w:rPr>
                    <w:rStyle w:val="Style71"/>
                    <w:rFonts w:cs="Tahoma"/>
                    <w:szCs w:val="20"/>
                  </w:rPr>
                  <w:t>31</w:t>
                </w:r>
                <w:r w:rsidRPr="00F22B88">
                  <w:rPr>
                    <w:rStyle w:val="Style71"/>
                    <w:rFonts w:cs="Tahoma"/>
                    <w:szCs w:val="20"/>
                  </w:rPr>
                  <w:t>/0</w:t>
                </w:r>
                <w:r>
                  <w:rPr>
                    <w:rStyle w:val="Style71"/>
                    <w:rFonts w:cs="Tahoma"/>
                    <w:szCs w:val="20"/>
                  </w:rPr>
                  <w:t>7</w:t>
                </w:r>
                <w:r w:rsidRPr="00F22B88">
                  <w:rPr>
                    <w:rStyle w:val="Style71"/>
                    <w:rFonts w:cs="Tahoma"/>
                    <w:szCs w:val="20"/>
                  </w:rPr>
                  <w:t>/202</w:t>
                </w:r>
                <w:r>
                  <w:rPr>
                    <w:rStyle w:val="Style71"/>
                    <w:rFonts w:cs="Tahoma"/>
                    <w:szCs w:val="20"/>
                  </w:rPr>
                  <w:t>5</w:t>
                </w:r>
              </w:p>
            </w:sdtContent>
          </w:sdt>
        </w:tc>
      </w:tr>
    </w:tbl>
    <w:p w14:paraId="1907C2E8" w14:textId="77777777" w:rsidR="009E6389" w:rsidRPr="002A092A" w:rsidRDefault="009E6389" w:rsidP="009E6389">
      <w:pPr>
        <w:spacing w:line="276" w:lineRule="auto"/>
        <w:ind w:left="-142"/>
        <w:jc w:val="both"/>
        <w:rPr>
          <w:rFonts w:ascii="Tahoma" w:hAnsi="Tahoma" w:cs="Tahoma"/>
          <w:sz w:val="18"/>
          <w:szCs w:val="18"/>
          <w:lang w:eastAsia="en-US"/>
        </w:rPr>
      </w:pPr>
    </w:p>
    <w:p w14:paraId="59CCF607" w14:textId="203CE229" w:rsidR="009E6389" w:rsidRDefault="009E6389" w:rsidP="009E6389">
      <w:pPr>
        <w:spacing w:before="60" w:after="120"/>
        <w:ind w:left="-142"/>
        <w:rPr>
          <w:rFonts w:ascii="Tahoma" w:hAnsi="Tahoma" w:cs="Tahoma"/>
          <w:sz w:val="20"/>
          <w:szCs w:val="20"/>
        </w:rPr>
      </w:pPr>
    </w:p>
    <w:p w14:paraId="5ABCF451" w14:textId="77777777" w:rsidR="00756129" w:rsidRPr="002A092A" w:rsidRDefault="00756129" w:rsidP="009E6389">
      <w:pPr>
        <w:spacing w:before="60" w:after="120"/>
        <w:ind w:left="-142"/>
        <w:rPr>
          <w:rFonts w:ascii="Tahoma" w:hAnsi="Tahoma" w:cs="Tahoma"/>
          <w:sz w:val="20"/>
          <w:szCs w:val="20"/>
        </w:rPr>
      </w:pPr>
    </w:p>
    <w:p w14:paraId="3ED4D1AA" w14:textId="3772F2F1" w:rsidR="003F5BE6" w:rsidRDefault="003F5BE6" w:rsidP="003F5BE6">
      <w:pPr>
        <w:spacing w:before="60" w:after="120"/>
        <w:ind w:left="-142"/>
        <w:rPr>
          <w:rFonts w:ascii="Tahoma" w:hAnsi="Tahoma" w:cs="Tahoma"/>
          <w:b/>
        </w:rPr>
      </w:pPr>
    </w:p>
    <w:p w14:paraId="4FDEC9B6" w14:textId="77777777" w:rsidR="009B015E" w:rsidRPr="002A092A" w:rsidRDefault="009B015E" w:rsidP="003F5BE6">
      <w:pPr>
        <w:spacing w:before="60" w:after="120"/>
        <w:ind w:left="-142"/>
        <w:rPr>
          <w:rFonts w:ascii="Tahoma" w:hAnsi="Tahoma" w:cs="Tahoma"/>
          <w:b/>
        </w:rPr>
      </w:pPr>
    </w:p>
    <w:p w14:paraId="09235224" w14:textId="2E882657" w:rsidR="003F5BE6" w:rsidRPr="002A092A" w:rsidRDefault="003F5BE6" w:rsidP="009E6389">
      <w:pPr>
        <w:rPr>
          <w:rFonts w:ascii="Tahoma" w:hAnsi="Tahoma" w:cs="Tahoma"/>
          <w:b/>
        </w:rPr>
      </w:pP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40D688D4"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AA1B5B">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BDD9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7"/>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10"/>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BB138" w14:textId="77777777" w:rsidR="00EE1E1D" w:rsidRDefault="00EE1E1D" w:rsidP="00D50F13">
      <w:r>
        <w:separator/>
      </w:r>
    </w:p>
  </w:endnote>
  <w:endnote w:type="continuationSeparator" w:id="0">
    <w:p w14:paraId="7AA4006A" w14:textId="77777777" w:rsidR="00EE1E1D" w:rsidRDefault="00EE1E1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D3618B"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D3618B" w:rsidRPr="00AE2D2B" w:rsidRDefault="00D3618B" w:rsidP="007B50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B90C7C1" w:rsidR="00D3618B" w:rsidRPr="00AE2D2B" w:rsidRDefault="00D3618B" w:rsidP="007B5072">
          <w:pPr>
            <w:rPr>
              <w:rFonts w:ascii="Arial Narrow" w:hAnsi="Arial Narrow"/>
              <w:caps/>
              <w:color w:val="000000"/>
              <w:sz w:val="18"/>
              <w:szCs w:val="18"/>
              <w:highlight w:val="cyan"/>
            </w:rPr>
          </w:pPr>
          <w:r w:rsidRPr="0042138A">
            <w:rPr>
              <w:rFonts w:ascii="Tahoma" w:hAnsi="Tahoma" w:cs="Tahoma"/>
              <w:caps/>
              <w:color w:val="000000" w:themeColor="text1"/>
              <w:sz w:val="18"/>
              <w:szCs w:val="18"/>
            </w:rPr>
            <w:t>DAD-ADD/ICC(2020)</w:t>
          </w:r>
          <w:r>
            <w:rPr>
              <w:rFonts w:ascii="Tahoma" w:hAnsi="Tahoma" w:cs="Tahoma"/>
              <w:caps/>
              <w:color w:val="000000" w:themeColor="text1"/>
              <w:sz w:val="18"/>
              <w:szCs w:val="18"/>
            </w:rPr>
            <w:t>0</w:t>
          </w:r>
          <w:r w:rsidR="0032277A">
            <w:rPr>
              <w:rFonts w:ascii="Tahoma" w:hAnsi="Tahoma" w:cs="Tahoma"/>
              <w:caps/>
              <w:color w:val="000000" w:themeColor="text1"/>
              <w:sz w:val="18"/>
              <w:szCs w:val="18"/>
            </w:rPr>
            <w:t>4</w:t>
          </w:r>
        </w:p>
      </w:tc>
    </w:tr>
  </w:tbl>
  <w:p w14:paraId="50D77C58" w14:textId="51884BC4" w:rsidR="00D3618B" w:rsidRPr="00B47508" w:rsidRDefault="00D3618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1D0B8" w14:textId="77777777" w:rsidR="00EE1E1D" w:rsidRDefault="00EE1E1D" w:rsidP="00D50F13">
      <w:r>
        <w:separator/>
      </w:r>
    </w:p>
  </w:footnote>
  <w:footnote w:type="continuationSeparator" w:id="0">
    <w:p w14:paraId="120987F0" w14:textId="77777777" w:rsidR="00EE1E1D" w:rsidRDefault="00EE1E1D" w:rsidP="00D50F13">
      <w:r>
        <w:continuationSeparator/>
      </w:r>
    </w:p>
  </w:footnote>
  <w:footnote w:id="1">
    <w:p w14:paraId="10143120" w14:textId="25B0A768" w:rsidR="00D3618B" w:rsidRPr="00810AE5" w:rsidRDefault="00D3618B"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D3618B" w:rsidRPr="00BC7984" w:rsidRDefault="00D3618B"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D3618B" w:rsidRPr="00331005" w:rsidRDefault="00D3618B" w:rsidP="00C94EDA">
      <w:pPr>
        <w:pStyle w:val="FootnoteText"/>
        <w:rPr>
          <w:rFonts w:ascii="Tahoma" w:hAnsi="Tahoma" w:cs="Tahoma"/>
          <w:lang w:val="it-IT"/>
        </w:rPr>
      </w:pPr>
      <w:r w:rsidRPr="00622993">
        <w:rPr>
          <w:rStyle w:val="FootnoteReference"/>
          <w:rFonts w:ascii="Tahoma" w:hAnsi="Tahoma" w:cs="Tahoma"/>
        </w:rPr>
        <w:footnoteRef/>
      </w:r>
      <w:r w:rsidRPr="00331005">
        <w:rPr>
          <w:rFonts w:ascii="Tahoma" w:hAnsi="Tahoma" w:cs="Tahoma"/>
          <w:lang w:val="it-IT"/>
        </w:rPr>
        <w:t xml:space="preserve"> </w:t>
      </w:r>
      <w:r w:rsidRPr="00331005">
        <w:rPr>
          <w:rFonts w:ascii="Tahoma" w:hAnsi="Tahoma" w:cs="Tahoma"/>
          <w:sz w:val="18"/>
          <w:szCs w:val="18"/>
          <w:lang w:val="it-IT"/>
        </w:rPr>
        <w:t xml:space="preserve">CM/Del/Dec(2010)1089/11.3 appendix 9 </w:t>
      </w:r>
      <w:hyperlink r:id="rId1" w:history="1">
        <w:r w:rsidRPr="00331005">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D3618B" w:rsidRPr="002E59DA" w:rsidRDefault="00D3618B">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D3618B" w:rsidRDefault="00D3618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76C0"/>
    <w:multiLevelType w:val="hybridMultilevel"/>
    <w:tmpl w:val="05501F10"/>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65F1C"/>
    <w:multiLevelType w:val="hybridMultilevel"/>
    <w:tmpl w:val="5EC88BA0"/>
    <w:lvl w:ilvl="0" w:tplc="F62CA3A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0477BE"/>
    <w:multiLevelType w:val="hybridMultilevel"/>
    <w:tmpl w:val="ECE6C2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30"/>
  </w:num>
  <w:num w:numId="4">
    <w:abstractNumId w:val="2"/>
  </w:num>
  <w:num w:numId="5">
    <w:abstractNumId w:val="4"/>
  </w:num>
  <w:num w:numId="6">
    <w:abstractNumId w:val="13"/>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1"/>
  </w:num>
  <w:num w:numId="12">
    <w:abstractNumId w:val="15"/>
  </w:num>
  <w:num w:numId="13">
    <w:abstractNumId w:val="20"/>
  </w:num>
  <w:num w:numId="14">
    <w:abstractNumId w:val="27"/>
  </w:num>
  <w:num w:numId="15">
    <w:abstractNumId w:val="7"/>
  </w:num>
  <w:num w:numId="16">
    <w:abstractNumId w:val="26"/>
  </w:num>
  <w:num w:numId="17">
    <w:abstractNumId w:val="23"/>
  </w:num>
  <w:num w:numId="18">
    <w:abstractNumId w:val="18"/>
  </w:num>
  <w:num w:numId="19">
    <w:abstractNumId w:val="16"/>
  </w:num>
  <w:num w:numId="20">
    <w:abstractNumId w:val="5"/>
  </w:num>
  <w:num w:numId="21">
    <w:abstractNumId w:val="14"/>
  </w:num>
  <w:num w:numId="22">
    <w:abstractNumId w:val="8"/>
  </w:num>
  <w:num w:numId="23">
    <w:abstractNumId w:val="6"/>
  </w:num>
  <w:num w:numId="24">
    <w:abstractNumId w:val="25"/>
  </w:num>
  <w:num w:numId="25">
    <w:abstractNumId w:val="21"/>
  </w:num>
  <w:num w:numId="26">
    <w:abstractNumId w:val="3"/>
  </w:num>
  <w:num w:numId="27">
    <w:abstractNumId w:val="9"/>
  </w:num>
  <w:num w:numId="28">
    <w:abstractNumId w:val="12"/>
  </w:num>
  <w:num w:numId="29">
    <w:abstractNumId w:val="31"/>
  </w:num>
  <w:num w:numId="30">
    <w:abstractNumId w:val="10"/>
  </w:num>
  <w:num w:numId="31">
    <w:abstractNumId w:val="0"/>
  </w:num>
  <w:num w:numId="32">
    <w:abstractNumId w:val="29"/>
  </w:num>
  <w:num w:numId="3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0AC6"/>
    <w:rsid w:val="000013DF"/>
    <w:rsid w:val="00007AEB"/>
    <w:rsid w:val="000128DD"/>
    <w:rsid w:val="0001537A"/>
    <w:rsid w:val="00015DB4"/>
    <w:rsid w:val="00037A7D"/>
    <w:rsid w:val="0004179C"/>
    <w:rsid w:val="00044D44"/>
    <w:rsid w:val="000478B8"/>
    <w:rsid w:val="00057DE6"/>
    <w:rsid w:val="00072FB8"/>
    <w:rsid w:val="0008106F"/>
    <w:rsid w:val="000837E6"/>
    <w:rsid w:val="000841B9"/>
    <w:rsid w:val="00084509"/>
    <w:rsid w:val="000852FE"/>
    <w:rsid w:val="00093155"/>
    <w:rsid w:val="000966F4"/>
    <w:rsid w:val="000A0D8A"/>
    <w:rsid w:val="000A19C2"/>
    <w:rsid w:val="000B26A2"/>
    <w:rsid w:val="000B4274"/>
    <w:rsid w:val="000B6B1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B5148"/>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0B79"/>
    <w:rsid w:val="00305B31"/>
    <w:rsid w:val="003122C0"/>
    <w:rsid w:val="00312EC4"/>
    <w:rsid w:val="003157CC"/>
    <w:rsid w:val="00320711"/>
    <w:rsid w:val="0032277A"/>
    <w:rsid w:val="00331005"/>
    <w:rsid w:val="00332AF4"/>
    <w:rsid w:val="003347E8"/>
    <w:rsid w:val="00342BAD"/>
    <w:rsid w:val="0034681E"/>
    <w:rsid w:val="00350F4E"/>
    <w:rsid w:val="0035108E"/>
    <w:rsid w:val="00352519"/>
    <w:rsid w:val="00353B12"/>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6D30"/>
    <w:rsid w:val="003F0937"/>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1AAC"/>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36A06"/>
    <w:rsid w:val="00542FEE"/>
    <w:rsid w:val="0054765F"/>
    <w:rsid w:val="00550849"/>
    <w:rsid w:val="00552618"/>
    <w:rsid w:val="00566A81"/>
    <w:rsid w:val="00567F3E"/>
    <w:rsid w:val="005845C2"/>
    <w:rsid w:val="00592BEA"/>
    <w:rsid w:val="005A1554"/>
    <w:rsid w:val="005A5930"/>
    <w:rsid w:val="005A6974"/>
    <w:rsid w:val="005B0752"/>
    <w:rsid w:val="005B17CB"/>
    <w:rsid w:val="005C5D6E"/>
    <w:rsid w:val="005E2710"/>
    <w:rsid w:val="005F0F4C"/>
    <w:rsid w:val="005F27B2"/>
    <w:rsid w:val="005F3E76"/>
    <w:rsid w:val="005F65E7"/>
    <w:rsid w:val="00611175"/>
    <w:rsid w:val="00613313"/>
    <w:rsid w:val="006232B4"/>
    <w:rsid w:val="006266B6"/>
    <w:rsid w:val="006426F7"/>
    <w:rsid w:val="00643D63"/>
    <w:rsid w:val="00647C28"/>
    <w:rsid w:val="00653BB6"/>
    <w:rsid w:val="006558F9"/>
    <w:rsid w:val="00660256"/>
    <w:rsid w:val="00662182"/>
    <w:rsid w:val="00662FF0"/>
    <w:rsid w:val="006717A7"/>
    <w:rsid w:val="0067529C"/>
    <w:rsid w:val="006771B6"/>
    <w:rsid w:val="00680325"/>
    <w:rsid w:val="00687D63"/>
    <w:rsid w:val="006912CB"/>
    <w:rsid w:val="0069373B"/>
    <w:rsid w:val="00697704"/>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60E3"/>
    <w:rsid w:val="007332D8"/>
    <w:rsid w:val="00743F00"/>
    <w:rsid w:val="0074615A"/>
    <w:rsid w:val="00747ADB"/>
    <w:rsid w:val="00751959"/>
    <w:rsid w:val="007556CC"/>
    <w:rsid w:val="00756129"/>
    <w:rsid w:val="0075705D"/>
    <w:rsid w:val="00762290"/>
    <w:rsid w:val="00762726"/>
    <w:rsid w:val="00764810"/>
    <w:rsid w:val="00766341"/>
    <w:rsid w:val="00766CF1"/>
    <w:rsid w:val="007860E1"/>
    <w:rsid w:val="007867C0"/>
    <w:rsid w:val="0079040A"/>
    <w:rsid w:val="00791E04"/>
    <w:rsid w:val="00792B49"/>
    <w:rsid w:val="007960C5"/>
    <w:rsid w:val="007B0925"/>
    <w:rsid w:val="007B4D04"/>
    <w:rsid w:val="007B5072"/>
    <w:rsid w:val="007B768B"/>
    <w:rsid w:val="007C267B"/>
    <w:rsid w:val="007C4BED"/>
    <w:rsid w:val="007D46B2"/>
    <w:rsid w:val="007D4E81"/>
    <w:rsid w:val="007D5BE8"/>
    <w:rsid w:val="007E335A"/>
    <w:rsid w:val="007F4C24"/>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154F9"/>
    <w:rsid w:val="009214B5"/>
    <w:rsid w:val="0093185B"/>
    <w:rsid w:val="00944332"/>
    <w:rsid w:val="0095095F"/>
    <w:rsid w:val="00956F45"/>
    <w:rsid w:val="009651A1"/>
    <w:rsid w:val="0097037F"/>
    <w:rsid w:val="00973EF1"/>
    <w:rsid w:val="00976B60"/>
    <w:rsid w:val="0098229E"/>
    <w:rsid w:val="00987B83"/>
    <w:rsid w:val="00990987"/>
    <w:rsid w:val="009A100B"/>
    <w:rsid w:val="009A5B27"/>
    <w:rsid w:val="009B015E"/>
    <w:rsid w:val="009B76BE"/>
    <w:rsid w:val="009C0A9F"/>
    <w:rsid w:val="009D290D"/>
    <w:rsid w:val="009D5DC3"/>
    <w:rsid w:val="009E0C9B"/>
    <w:rsid w:val="009E4346"/>
    <w:rsid w:val="009E55DF"/>
    <w:rsid w:val="009E6389"/>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1B5B"/>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C4FC8"/>
    <w:rsid w:val="00BD31E1"/>
    <w:rsid w:val="00BD671C"/>
    <w:rsid w:val="00BD6B89"/>
    <w:rsid w:val="00BE13D6"/>
    <w:rsid w:val="00BE33D8"/>
    <w:rsid w:val="00BF0EF7"/>
    <w:rsid w:val="00C029E4"/>
    <w:rsid w:val="00C07F6F"/>
    <w:rsid w:val="00C11F6F"/>
    <w:rsid w:val="00C12D50"/>
    <w:rsid w:val="00C16967"/>
    <w:rsid w:val="00C20349"/>
    <w:rsid w:val="00C27AAD"/>
    <w:rsid w:val="00C33977"/>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06BCD"/>
    <w:rsid w:val="00D10FC0"/>
    <w:rsid w:val="00D11491"/>
    <w:rsid w:val="00D121FC"/>
    <w:rsid w:val="00D135C6"/>
    <w:rsid w:val="00D14044"/>
    <w:rsid w:val="00D21549"/>
    <w:rsid w:val="00D225E4"/>
    <w:rsid w:val="00D25795"/>
    <w:rsid w:val="00D322CA"/>
    <w:rsid w:val="00D338C6"/>
    <w:rsid w:val="00D34C9B"/>
    <w:rsid w:val="00D3618B"/>
    <w:rsid w:val="00D417C2"/>
    <w:rsid w:val="00D44009"/>
    <w:rsid w:val="00D47F70"/>
    <w:rsid w:val="00D50229"/>
    <w:rsid w:val="00D50F13"/>
    <w:rsid w:val="00D51502"/>
    <w:rsid w:val="00D52157"/>
    <w:rsid w:val="00D5261C"/>
    <w:rsid w:val="00D5513E"/>
    <w:rsid w:val="00D73100"/>
    <w:rsid w:val="00D751E1"/>
    <w:rsid w:val="00D81B84"/>
    <w:rsid w:val="00D90F8E"/>
    <w:rsid w:val="00DA2626"/>
    <w:rsid w:val="00DC3F97"/>
    <w:rsid w:val="00DD4C16"/>
    <w:rsid w:val="00DE0239"/>
    <w:rsid w:val="00DF3E0F"/>
    <w:rsid w:val="00E00310"/>
    <w:rsid w:val="00E0039F"/>
    <w:rsid w:val="00E045AD"/>
    <w:rsid w:val="00E049B6"/>
    <w:rsid w:val="00E05457"/>
    <w:rsid w:val="00E05C41"/>
    <w:rsid w:val="00E0771D"/>
    <w:rsid w:val="00E11E01"/>
    <w:rsid w:val="00E160F4"/>
    <w:rsid w:val="00E16762"/>
    <w:rsid w:val="00E17F6A"/>
    <w:rsid w:val="00E22FD7"/>
    <w:rsid w:val="00E41266"/>
    <w:rsid w:val="00E41727"/>
    <w:rsid w:val="00E44537"/>
    <w:rsid w:val="00E56FDA"/>
    <w:rsid w:val="00E57189"/>
    <w:rsid w:val="00E7726D"/>
    <w:rsid w:val="00E81D73"/>
    <w:rsid w:val="00E83B04"/>
    <w:rsid w:val="00E90DC4"/>
    <w:rsid w:val="00E9309D"/>
    <w:rsid w:val="00E94437"/>
    <w:rsid w:val="00EB550D"/>
    <w:rsid w:val="00EB6C90"/>
    <w:rsid w:val="00EC08A1"/>
    <w:rsid w:val="00EE1D09"/>
    <w:rsid w:val="00EE1E1D"/>
    <w:rsid w:val="00EE7240"/>
    <w:rsid w:val="00EF66B8"/>
    <w:rsid w:val="00F130D7"/>
    <w:rsid w:val="00F17C76"/>
    <w:rsid w:val="00F21315"/>
    <w:rsid w:val="00F22B88"/>
    <w:rsid w:val="00F25459"/>
    <w:rsid w:val="00F26952"/>
    <w:rsid w:val="00F270C4"/>
    <w:rsid w:val="00F30E47"/>
    <w:rsid w:val="00F368EB"/>
    <w:rsid w:val="00F56682"/>
    <w:rsid w:val="00F57BB6"/>
    <w:rsid w:val="00F57EC4"/>
    <w:rsid w:val="00F73058"/>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7B4D04"/>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E6FF00CC-2EBF-473C-A806-B86D7439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5973</Words>
  <Characters>32856</Characters>
  <Application>Microsoft Office Word</Application>
  <DocSecurity>0</DocSecurity>
  <Lines>273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AE.FC.RC.AllServicesandGoods for BO or VC</vt:lpstr>
      <vt:lpstr>AE.FC.RC.AllServicesandGoods for BO or VC</vt:lpstr>
    </vt:vector>
  </TitlesOfParts>
  <Company>Council of Europe</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PRIVAT Yann</cp:lastModifiedBy>
  <cp:revision>4</cp:revision>
  <cp:lastPrinted>2016-04-12T12:31:00Z</cp:lastPrinted>
  <dcterms:created xsi:type="dcterms:W3CDTF">2020-06-22T09:32:00Z</dcterms:created>
  <dcterms:modified xsi:type="dcterms:W3CDTF">2020-06-22T09:34:00Z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