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1EBBE" w14:textId="77777777" w:rsidR="00D21F6D" w:rsidRPr="00286B98" w:rsidRDefault="00D21F6D">
      <w:pPr>
        <w:pStyle w:val="Title"/>
        <w:spacing w:line="259" w:lineRule="auto"/>
        <w:rPr>
          <w:rFonts w:ascii="Verdana" w:eastAsia="Verdana" w:hAnsi="Verdana" w:cs="Verdana"/>
          <w:b/>
          <w:sz w:val="20"/>
          <w:szCs w:val="20"/>
          <w:lang w:val="fr-FR"/>
        </w:rPr>
      </w:pPr>
      <w:bookmarkStart w:id="0" w:name="_gjdgxs" w:colFirst="0" w:colLast="0"/>
      <w:bookmarkEnd w:id="0"/>
    </w:p>
    <w:p w14:paraId="14ADA2E1" w14:textId="0625BA81" w:rsidR="00D21F6D" w:rsidRPr="00286B98" w:rsidRDefault="000F592D">
      <w:pPr>
        <w:pStyle w:val="Title"/>
        <w:spacing w:line="259" w:lineRule="auto"/>
        <w:rPr>
          <w:rFonts w:ascii="Verdana" w:eastAsia="Verdana" w:hAnsi="Verdana" w:cs="Verdana"/>
          <w:b/>
          <w:sz w:val="20"/>
          <w:szCs w:val="20"/>
          <w:lang w:val="fr-FR"/>
        </w:rPr>
      </w:pPr>
      <w:r>
        <w:rPr>
          <w:rFonts w:ascii="Verdana" w:eastAsia="Verdana" w:hAnsi="Verdana" w:cs="Verdana"/>
          <w:b/>
          <w:sz w:val="20"/>
          <w:szCs w:val="20"/>
          <w:lang w:val="fr-FR"/>
        </w:rPr>
        <w:t>19</w:t>
      </w:r>
      <w:r w:rsidR="00286B98" w:rsidRPr="00286B98">
        <w:rPr>
          <w:rFonts w:ascii="Verdana" w:eastAsia="Verdana" w:hAnsi="Verdana" w:cs="Verdana"/>
          <w:b/>
          <w:sz w:val="20"/>
          <w:szCs w:val="20"/>
          <w:lang w:val="fr-FR"/>
        </w:rPr>
        <w:t> </w:t>
      </w:r>
      <w:r>
        <w:rPr>
          <w:rFonts w:ascii="Verdana" w:eastAsia="Verdana" w:hAnsi="Verdana" w:cs="Verdana"/>
          <w:b/>
          <w:sz w:val="20"/>
          <w:szCs w:val="20"/>
          <w:lang w:val="fr-FR"/>
        </w:rPr>
        <w:t xml:space="preserve">juillet </w:t>
      </w:r>
      <w:r w:rsidR="008879A6" w:rsidRPr="00286B98">
        <w:rPr>
          <w:rFonts w:ascii="Verdana" w:eastAsia="Verdana" w:hAnsi="Verdana" w:cs="Verdana"/>
          <w:b/>
          <w:sz w:val="20"/>
          <w:szCs w:val="20"/>
          <w:lang w:val="fr-FR"/>
        </w:rPr>
        <w:t>2021</w:t>
      </w:r>
      <w:r w:rsidR="0070442D" w:rsidRPr="00286B98">
        <w:rPr>
          <w:rFonts w:ascii="Verdana" w:eastAsia="Verdana" w:hAnsi="Verdana" w:cs="Verdana"/>
          <w:b/>
          <w:sz w:val="20"/>
          <w:szCs w:val="20"/>
          <w:lang w:val="fr-FR"/>
        </w:rPr>
        <w:t xml:space="preserve"> </w:t>
      </w:r>
      <w:r w:rsidR="0070442D" w:rsidRPr="00286B98">
        <w:rPr>
          <w:rFonts w:ascii="Verdana" w:eastAsia="Verdana" w:hAnsi="Verdana" w:cs="Verdana"/>
          <w:b/>
          <w:sz w:val="20"/>
          <w:szCs w:val="20"/>
          <w:lang w:val="fr-FR"/>
        </w:rPr>
        <w:tab/>
      </w:r>
      <w:r w:rsidR="0070442D" w:rsidRPr="00286B98">
        <w:rPr>
          <w:rFonts w:ascii="Verdana" w:eastAsia="Verdana" w:hAnsi="Verdana" w:cs="Verdana"/>
          <w:b/>
          <w:sz w:val="20"/>
          <w:szCs w:val="20"/>
          <w:lang w:val="fr-FR"/>
        </w:rPr>
        <w:tab/>
      </w:r>
      <w:r w:rsidR="0070442D" w:rsidRPr="00286B98">
        <w:rPr>
          <w:rFonts w:ascii="Verdana" w:eastAsia="Verdana" w:hAnsi="Verdana" w:cs="Verdana"/>
          <w:b/>
          <w:sz w:val="20"/>
          <w:szCs w:val="20"/>
          <w:lang w:val="fr-FR"/>
        </w:rPr>
        <w:tab/>
      </w:r>
      <w:r w:rsidR="0070442D" w:rsidRPr="00286B98">
        <w:rPr>
          <w:rFonts w:ascii="Verdana" w:eastAsia="Verdana" w:hAnsi="Verdana" w:cs="Verdana"/>
          <w:b/>
          <w:sz w:val="20"/>
          <w:szCs w:val="20"/>
          <w:lang w:val="fr-FR"/>
        </w:rPr>
        <w:tab/>
      </w:r>
      <w:r w:rsidR="008879A6" w:rsidRPr="00286B98">
        <w:rPr>
          <w:rFonts w:ascii="Verdana" w:eastAsia="Verdana" w:hAnsi="Verdana" w:cs="Verdana"/>
          <w:b/>
          <w:sz w:val="20"/>
          <w:szCs w:val="20"/>
          <w:lang w:val="fr-FR"/>
        </w:rPr>
        <w:tab/>
      </w:r>
      <w:r w:rsidR="008879A6" w:rsidRPr="00286B98">
        <w:rPr>
          <w:rFonts w:ascii="Verdana" w:eastAsia="Verdana" w:hAnsi="Verdana" w:cs="Verdana"/>
          <w:b/>
          <w:sz w:val="20"/>
          <w:szCs w:val="20"/>
          <w:lang w:val="fr-FR"/>
        </w:rPr>
        <w:tab/>
      </w:r>
      <w:r w:rsidR="008879A6" w:rsidRPr="00286B98">
        <w:rPr>
          <w:rFonts w:ascii="Verdana" w:eastAsia="Verdana" w:hAnsi="Verdana" w:cs="Verdana"/>
          <w:b/>
          <w:sz w:val="20"/>
          <w:szCs w:val="20"/>
          <w:lang w:val="fr-FR"/>
        </w:rPr>
        <w:tab/>
        <w:t xml:space="preserve"> </w:t>
      </w:r>
      <w:r w:rsidR="0070442D" w:rsidRPr="00286B98">
        <w:rPr>
          <w:rFonts w:ascii="Verdana" w:eastAsia="Verdana" w:hAnsi="Verdana" w:cs="Verdana"/>
          <w:b/>
          <w:sz w:val="20"/>
          <w:szCs w:val="20"/>
          <w:lang w:val="fr-FR"/>
        </w:rPr>
        <w:t>MSI-</w:t>
      </w:r>
      <w:proofErr w:type="gramStart"/>
      <w:r w:rsidR="0070442D" w:rsidRPr="00286B98">
        <w:rPr>
          <w:rFonts w:ascii="Verdana" w:eastAsia="Verdana" w:hAnsi="Verdana" w:cs="Verdana"/>
          <w:b/>
          <w:sz w:val="20"/>
          <w:szCs w:val="20"/>
          <w:lang w:val="fr-FR"/>
        </w:rPr>
        <w:t>REF(</w:t>
      </w:r>
      <w:proofErr w:type="gramEnd"/>
      <w:r w:rsidR="0070442D" w:rsidRPr="00286B98">
        <w:rPr>
          <w:rFonts w:ascii="Verdana" w:eastAsia="Verdana" w:hAnsi="Verdana" w:cs="Verdana"/>
          <w:b/>
          <w:sz w:val="20"/>
          <w:szCs w:val="20"/>
          <w:lang w:val="fr-FR"/>
        </w:rPr>
        <w:t>2020)06</w:t>
      </w:r>
    </w:p>
    <w:p w14:paraId="644E56D2" w14:textId="77777777" w:rsidR="00D21F6D" w:rsidRPr="00286B98" w:rsidRDefault="00D21F6D">
      <w:pPr>
        <w:pStyle w:val="Title"/>
        <w:spacing w:line="259" w:lineRule="auto"/>
        <w:rPr>
          <w:rFonts w:ascii="Verdana" w:eastAsia="Verdana" w:hAnsi="Verdana" w:cs="Verdana"/>
          <w:b/>
          <w:sz w:val="20"/>
          <w:szCs w:val="20"/>
          <w:lang w:val="fr-FR"/>
        </w:rPr>
      </w:pPr>
    </w:p>
    <w:p w14:paraId="2C65A243" w14:textId="77777777" w:rsidR="00D21F6D" w:rsidRPr="00286B98" w:rsidRDefault="00D21F6D">
      <w:pPr>
        <w:pStyle w:val="Title"/>
        <w:spacing w:line="259" w:lineRule="auto"/>
        <w:rPr>
          <w:rFonts w:ascii="Verdana" w:eastAsia="Verdana" w:hAnsi="Verdana" w:cs="Verdana"/>
          <w:b/>
          <w:sz w:val="20"/>
          <w:szCs w:val="20"/>
          <w:lang w:val="fr-FR"/>
        </w:rPr>
      </w:pPr>
    </w:p>
    <w:p w14:paraId="520EB45D" w14:textId="77777777" w:rsidR="00D21F6D" w:rsidRPr="00286B98" w:rsidRDefault="00D21F6D">
      <w:pPr>
        <w:pStyle w:val="Title"/>
        <w:spacing w:line="259" w:lineRule="auto"/>
        <w:rPr>
          <w:rFonts w:ascii="Verdana" w:eastAsia="Verdana" w:hAnsi="Verdana" w:cs="Verdana"/>
          <w:b/>
          <w:sz w:val="20"/>
          <w:szCs w:val="20"/>
          <w:lang w:val="fr-FR"/>
        </w:rPr>
      </w:pPr>
    </w:p>
    <w:p w14:paraId="192A2D54" w14:textId="77777777" w:rsidR="00D21F6D" w:rsidRPr="00286B98" w:rsidRDefault="00D21F6D">
      <w:pPr>
        <w:rPr>
          <w:sz w:val="32"/>
          <w:szCs w:val="32"/>
          <w:shd w:val="clear" w:color="auto" w:fill="FF9900"/>
          <w:lang w:val="fr-FR"/>
        </w:rPr>
      </w:pPr>
    </w:p>
    <w:p w14:paraId="0219A551" w14:textId="77777777" w:rsidR="00D21F6D" w:rsidRPr="00286B98" w:rsidRDefault="00D21F6D">
      <w:pPr>
        <w:pStyle w:val="Title"/>
        <w:spacing w:line="259" w:lineRule="auto"/>
        <w:rPr>
          <w:rFonts w:ascii="Verdana" w:eastAsia="Verdana" w:hAnsi="Verdana" w:cs="Verdana"/>
          <w:b/>
          <w:sz w:val="20"/>
          <w:szCs w:val="20"/>
          <w:lang w:val="fr-FR"/>
        </w:rPr>
      </w:pPr>
    </w:p>
    <w:p w14:paraId="2CE7D7F0" w14:textId="77777777" w:rsidR="00D21F6D" w:rsidRPr="00286B98" w:rsidRDefault="00D21F6D">
      <w:pPr>
        <w:pStyle w:val="Title"/>
        <w:spacing w:line="259" w:lineRule="auto"/>
        <w:rPr>
          <w:rFonts w:ascii="Verdana" w:eastAsia="Verdana" w:hAnsi="Verdana" w:cs="Verdana"/>
          <w:b/>
          <w:sz w:val="20"/>
          <w:szCs w:val="20"/>
          <w:lang w:val="fr-FR"/>
        </w:rPr>
      </w:pPr>
    </w:p>
    <w:p w14:paraId="5553DEEA" w14:textId="77777777" w:rsidR="00D21F6D" w:rsidRPr="00286B98" w:rsidRDefault="00D21F6D">
      <w:pPr>
        <w:pStyle w:val="Title"/>
        <w:spacing w:line="259" w:lineRule="auto"/>
        <w:rPr>
          <w:rFonts w:ascii="Verdana" w:eastAsia="Verdana" w:hAnsi="Verdana" w:cs="Verdana"/>
          <w:b/>
          <w:sz w:val="20"/>
          <w:szCs w:val="20"/>
          <w:lang w:val="fr-FR"/>
        </w:rPr>
      </w:pPr>
    </w:p>
    <w:p w14:paraId="0D9BA7DA" w14:textId="77777777" w:rsidR="00D21F6D" w:rsidRPr="00286B98" w:rsidRDefault="00D21F6D">
      <w:pPr>
        <w:pStyle w:val="Title"/>
        <w:spacing w:line="259" w:lineRule="auto"/>
        <w:rPr>
          <w:rFonts w:ascii="Verdana" w:eastAsia="Verdana" w:hAnsi="Verdana" w:cs="Verdana"/>
          <w:b/>
          <w:sz w:val="20"/>
          <w:szCs w:val="20"/>
          <w:lang w:val="fr-FR"/>
        </w:rPr>
      </w:pPr>
    </w:p>
    <w:p w14:paraId="27831ECD" w14:textId="1A03C997" w:rsidR="00D21F6D" w:rsidRPr="00286B98" w:rsidRDefault="00AC43EE" w:rsidP="00AC43EE">
      <w:pPr>
        <w:pStyle w:val="Title"/>
        <w:spacing w:line="259" w:lineRule="auto"/>
        <w:jc w:val="center"/>
        <w:rPr>
          <w:rFonts w:ascii="Verdana" w:eastAsia="Verdana" w:hAnsi="Verdana" w:cs="Verdana"/>
          <w:sz w:val="24"/>
          <w:szCs w:val="24"/>
          <w:lang w:val="fr-FR"/>
        </w:rPr>
      </w:pPr>
      <w:r w:rsidRPr="00286B98">
        <w:rPr>
          <w:rFonts w:ascii="Verdana" w:eastAsia="Verdana" w:hAnsi="Verdana" w:cs="Verdana"/>
          <w:b/>
          <w:sz w:val="24"/>
          <w:szCs w:val="24"/>
          <w:lang w:val="fr-FR"/>
        </w:rPr>
        <w:t>Projet de recommandation CM/Rec(20</w:t>
      </w:r>
      <w:proofErr w:type="gramStart"/>
      <w:r w:rsidRPr="00286B98">
        <w:rPr>
          <w:rFonts w:ascii="Verdana" w:eastAsia="Verdana" w:hAnsi="Verdana" w:cs="Verdana"/>
          <w:b/>
          <w:sz w:val="24"/>
          <w:szCs w:val="24"/>
          <w:lang w:val="fr-FR"/>
        </w:rPr>
        <w:t>XX)XX</w:t>
      </w:r>
      <w:proofErr w:type="gramEnd"/>
      <w:r w:rsidRPr="00286B98">
        <w:rPr>
          <w:rFonts w:ascii="Verdana" w:eastAsia="Verdana" w:hAnsi="Verdana" w:cs="Verdana"/>
          <w:b/>
          <w:sz w:val="24"/>
          <w:szCs w:val="24"/>
          <w:lang w:val="fr-FR"/>
        </w:rPr>
        <w:t xml:space="preserve"> du Comité des Ministres aux États membres sur la communication électorale et la couverture médiatique des campagnes électorales</w:t>
      </w:r>
    </w:p>
    <w:p w14:paraId="6C4178AF" w14:textId="77777777" w:rsidR="00D21F6D" w:rsidRPr="00286B98" w:rsidRDefault="00D21F6D">
      <w:pPr>
        <w:pBdr>
          <w:top w:val="nil"/>
          <w:left w:val="nil"/>
          <w:bottom w:val="nil"/>
          <w:right w:val="nil"/>
          <w:between w:val="nil"/>
        </w:pBdr>
        <w:spacing w:line="259" w:lineRule="auto"/>
        <w:rPr>
          <w:rFonts w:ascii="Verdana" w:eastAsia="Verdana" w:hAnsi="Verdana" w:cs="Verdana"/>
          <w:sz w:val="20"/>
          <w:szCs w:val="20"/>
          <w:lang w:val="fr-FR"/>
        </w:rPr>
      </w:pPr>
    </w:p>
    <w:p w14:paraId="26BFC617" w14:textId="77777777" w:rsidR="00D21F6D" w:rsidRPr="00286B98" w:rsidRDefault="00D21F6D">
      <w:pPr>
        <w:pBdr>
          <w:top w:val="nil"/>
          <w:left w:val="nil"/>
          <w:bottom w:val="nil"/>
          <w:right w:val="nil"/>
          <w:between w:val="nil"/>
        </w:pBdr>
        <w:spacing w:line="259" w:lineRule="auto"/>
        <w:rPr>
          <w:rFonts w:ascii="Verdana" w:eastAsia="Verdana" w:hAnsi="Verdana" w:cs="Verdana"/>
          <w:sz w:val="20"/>
          <w:szCs w:val="20"/>
          <w:lang w:val="fr-FR"/>
        </w:rPr>
      </w:pPr>
    </w:p>
    <w:p w14:paraId="261F2537" w14:textId="77777777" w:rsidR="00D21F6D" w:rsidRPr="00286B98" w:rsidRDefault="0070442D">
      <w:pPr>
        <w:pStyle w:val="Heading1"/>
        <w:spacing w:line="259" w:lineRule="auto"/>
        <w:rPr>
          <w:rFonts w:ascii="Verdana" w:eastAsia="Verdana" w:hAnsi="Verdana" w:cs="Verdana"/>
          <w:sz w:val="20"/>
          <w:szCs w:val="20"/>
          <w:lang w:val="fr-FR"/>
        </w:rPr>
      </w:pPr>
      <w:bookmarkStart w:id="1" w:name="_30j0zll" w:colFirst="0" w:colLast="0"/>
      <w:bookmarkEnd w:id="1"/>
      <w:r w:rsidRPr="00286B98">
        <w:rPr>
          <w:lang w:val="fr-FR"/>
        </w:rPr>
        <w:br w:type="page"/>
      </w:r>
    </w:p>
    <w:p w14:paraId="13E3860D" w14:textId="657CDB46" w:rsidR="00D21F6D" w:rsidRPr="00286B98" w:rsidRDefault="00AC43EE" w:rsidP="00AC43EE">
      <w:pPr>
        <w:pStyle w:val="Heading1"/>
        <w:spacing w:line="259" w:lineRule="auto"/>
        <w:jc w:val="both"/>
        <w:rPr>
          <w:rFonts w:ascii="Verdana" w:eastAsia="Verdana" w:hAnsi="Verdana" w:cs="Verdana"/>
          <w:b/>
          <w:sz w:val="20"/>
          <w:szCs w:val="20"/>
          <w:lang w:val="fr-FR"/>
        </w:rPr>
      </w:pPr>
      <w:r w:rsidRPr="00286B98">
        <w:rPr>
          <w:rFonts w:ascii="Verdana" w:eastAsia="Verdana" w:hAnsi="Verdana" w:cs="Verdana"/>
          <w:b/>
          <w:sz w:val="20"/>
          <w:szCs w:val="20"/>
          <w:lang w:val="fr-FR"/>
        </w:rPr>
        <w:lastRenderedPageBreak/>
        <w:t>Préambule</w:t>
      </w:r>
    </w:p>
    <w:p w14:paraId="1A9A56C0" w14:textId="06895853" w:rsidR="00D21F6D" w:rsidRPr="00286B98" w:rsidRDefault="00343F8E" w:rsidP="00343F8E">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Le Comité des Ministres, en vertu de l’article 15.b du Statut du Conseil de l’Europe</w:t>
      </w:r>
      <w:r w:rsidR="00696082">
        <w:rPr>
          <w:rFonts w:ascii="Verdana" w:eastAsia="Verdana" w:hAnsi="Verdana" w:cs="Verdana"/>
          <w:sz w:val="20"/>
          <w:szCs w:val="20"/>
          <w:lang w:val="fr-FR"/>
        </w:rPr>
        <w:t>,</w:t>
      </w:r>
    </w:p>
    <w:p w14:paraId="2DFEB5CE" w14:textId="3E476236" w:rsidR="00D21F6D" w:rsidRPr="00286B98" w:rsidRDefault="00564027" w:rsidP="00CC0C38">
      <w:pPr>
        <w:pBdr>
          <w:top w:val="nil"/>
          <w:left w:val="nil"/>
          <w:bottom w:val="nil"/>
          <w:right w:val="nil"/>
          <w:between w:val="nil"/>
        </w:pBdr>
        <w:spacing w:after="160" w:line="259" w:lineRule="auto"/>
        <w:jc w:val="both"/>
        <w:rPr>
          <w:rFonts w:ascii="Verdana" w:eastAsia="Verdana" w:hAnsi="Verdana" w:cs="Verdana"/>
          <w:sz w:val="20"/>
          <w:szCs w:val="20"/>
          <w:lang w:val="fr-FR"/>
        </w:rPr>
      </w:pPr>
      <w:r>
        <w:rPr>
          <w:rFonts w:ascii="Verdana" w:eastAsia="Verdana" w:hAnsi="Verdana" w:cs="Verdana"/>
          <w:sz w:val="20"/>
          <w:szCs w:val="20"/>
          <w:lang w:val="fr-FR"/>
        </w:rPr>
        <w:t>C</w:t>
      </w:r>
      <w:r w:rsidR="00CC0C38" w:rsidRPr="00286B98">
        <w:rPr>
          <w:rFonts w:ascii="Verdana" w:eastAsia="Verdana" w:hAnsi="Verdana" w:cs="Verdana"/>
          <w:sz w:val="20"/>
          <w:szCs w:val="20"/>
          <w:lang w:val="fr-FR"/>
        </w:rPr>
        <w:t xml:space="preserve">ompte tenu du rôle fondamental </w:t>
      </w:r>
      <w:r w:rsidR="00696082">
        <w:rPr>
          <w:rFonts w:ascii="Verdana" w:eastAsia="Verdana" w:hAnsi="Verdana" w:cs="Verdana"/>
          <w:sz w:val="20"/>
          <w:szCs w:val="20"/>
          <w:lang w:val="fr-FR"/>
        </w:rPr>
        <w:t xml:space="preserve">de </w:t>
      </w:r>
      <w:r w:rsidR="00CC0C38" w:rsidRPr="00286B98">
        <w:rPr>
          <w:rFonts w:ascii="Verdana" w:eastAsia="Verdana" w:hAnsi="Verdana" w:cs="Verdana"/>
          <w:sz w:val="20"/>
          <w:szCs w:val="20"/>
          <w:lang w:val="fr-FR"/>
        </w:rPr>
        <w:t xml:space="preserve">communication politique et électorale </w:t>
      </w:r>
      <w:r w:rsidR="00696082">
        <w:rPr>
          <w:rFonts w:ascii="Verdana" w:eastAsia="Verdana" w:hAnsi="Verdana" w:cs="Verdana"/>
          <w:sz w:val="20"/>
          <w:szCs w:val="20"/>
          <w:lang w:val="fr-FR"/>
        </w:rPr>
        <w:t xml:space="preserve">pour l’existence du </w:t>
      </w:r>
      <w:r w:rsidR="00CC0C38" w:rsidRPr="00286B98">
        <w:rPr>
          <w:rFonts w:ascii="Verdana" w:eastAsia="Verdana" w:hAnsi="Verdana" w:cs="Verdana"/>
          <w:sz w:val="20"/>
          <w:szCs w:val="20"/>
          <w:lang w:val="fr-FR"/>
        </w:rPr>
        <w:t>débat démocratique ;</w:t>
      </w:r>
    </w:p>
    <w:p w14:paraId="1F916034" w14:textId="1D3ABE08" w:rsidR="00D21F6D" w:rsidRPr="00286B98" w:rsidRDefault="00564027" w:rsidP="004A2055">
      <w:pPr>
        <w:pBdr>
          <w:top w:val="nil"/>
          <w:left w:val="nil"/>
          <w:bottom w:val="nil"/>
          <w:right w:val="nil"/>
          <w:between w:val="nil"/>
        </w:pBdr>
        <w:spacing w:after="160" w:line="259" w:lineRule="auto"/>
        <w:jc w:val="both"/>
        <w:rPr>
          <w:rFonts w:ascii="Verdana" w:eastAsia="Verdana" w:hAnsi="Verdana" w:cs="Verdana"/>
          <w:sz w:val="20"/>
          <w:szCs w:val="20"/>
          <w:lang w:val="fr-FR"/>
        </w:rPr>
      </w:pPr>
      <w:r>
        <w:rPr>
          <w:rFonts w:ascii="Verdana" w:eastAsia="Verdana" w:hAnsi="Verdana" w:cs="Verdana"/>
          <w:sz w:val="20"/>
          <w:szCs w:val="20"/>
          <w:lang w:val="fr-FR"/>
        </w:rPr>
        <w:t>R</w:t>
      </w:r>
      <w:r w:rsidR="004A2055" w:rsidRPr="00286B98">
        <w:rPr>
          <w:rFonts w:ascii="Verdana" w:eastAsia="Verdana" w:hAnsi="Verdana" w:cs="Verdana"/>
          <w:sz w:val="20"/>
          <w:szCs w:val="20"/>
          <w:lang w:val="fr-FR"/>
        </w:rPr>
        <w:t xml:space="preserve">éaffirmant que des informations </w:t>
      </w:r>
      <w:r>
        <w:rPr>
          <w:rFonts w:ascii="Verdana" w:eastAsia="Verdana" w:hAnsi="Verdana" w:cs="Verdana"/>
          <w:sz w:val="20"/>
          <w:szCs w:val="20"/>
          <w:lang w:val="fr-FR"/>
        </w:rPr>
        <w:t>justes</w:t>
      </w:r>
      <w:r w:rsidR="004A2055" w:rsidRPr="00286B98">
        <w:rPr>
          <w:rFonts w:ascii="Verdana" w:eastAsia="Verdana" w:hAnsi="Verdana" w:cs="Verdana"/>
          <w:sz w:val="20"/>
          <w:szCs w:val="20"/>
          <w:lang w:val="fr-FR"/>
        </w:rPr>
        <w:t>, libres et fiables sont essentielles pour garantir l’intégrité du processus électoral ;</w:t>
      </w:r>
    </w:p>
    <w:p w14:paraId="27245F7E" w14:textId="16B92ED9" w:rsidR="00D21F6D" w:rsidRPr="00286B98" w:rsidRDefault="00564027" w:rsidP="004A2055">
      <w:pPr>
        <w:pBdr>
          <w:top w:val="nil"/>
          <w:left w:val="nil"/>
          <w:bottom w:val="nil"/>
          <w:right w:val="nil"/>
          <w:between w:val="nil"/>
        </w:pBdr>
        <w:spacing w:after="160" w:line="259" w:lineRule="auto"/>
        <w:jc w:val="both"/>
        <w:rPr>
          <w:rFonts w:ascii="Verdana" w:eastAsia="Verdana" w:hAnsi="Verdana" w:cs="Verdana"/>
          <w:sz w:val="20"/>
          <w:szCs w:val="20"/>
          <w:lang w:val="fr-FR"/>
        </w:rPr>
      </w:pPr>
      <w:r>
        <w:rPr>
          <w:rFonts w:ascii="Verdana" w:eastAsia="Verdana" w:hAnsi="Verdana" w:cs="Verdana"/>
          <w:sz w:val="20"/>
          <w:szCs w:val="20"/>
          <w:lang w:val="fr-FR"/>
        </w:rPr>
        <w:t>S</w:t>
      </w:r>
      <w:r w:rsidR="004A2055" w:rsidRPr="00286B98">
        <w:rPr>
          <w:rFonts w:ascii="Verdana" w:eastAsia="Verdana" w:hAnsi="Verdana" w:cs="Verdana"/>
          <w:sz w:val="20"/>
          <w:szCs w:val="20"/>
          <w:lang w:val="fr-FR"/>
        </w:rPr>
        <w:t xml:space="preserve">oulignant que l’intégrité des élections et de leurs résultats doit être </w:t>
      </w:r>
      <w:r w:rsidR="00397817">
        <w:rPr>
          <w:rFonts w:ascii="Verdana" w:eastAsia="Verdana" w:hAnsi="Verdana" w:cs="Verdana"/>
          <w:sz w:val="20"/>
          <w:szCs w:val="20"/>
          <w:lang w:val="fr-FR"/>
        </w:rPr>
        <w:t>assurée ;</w:t>
      </w:r>
    </w:p>
    <w:p w14:paraId="1F503F0A" w14:textId="13A3C22E" w:rsidR="00D21F6D" w:rsidRPr="00286B98" w:rsidRDefault="00564027" w:rsidP="004A2055">
      <w:pPr>
        <w:pBdr>
          <w:top w:val="nil"/>
          <w:left w:val="nil"/>
          <w:bottom w:val="nil"/>
          <w:right w:val="nil"/>
          <w:between w:val="nil"/>
        </w:pBdr>
        <w:spacing w:after="160" w:line="259" w:lineRule="auto"/>
        <w:jc w:val="both"/>
        <w:rPr>
          <w:rFonts w:ascii="Verdana" w:eastAsia="Verdana" w:hAnsi="Verdana" w:cs="Verdana"/>
          <w:sz w:val="20"/>
          <w:szCs w:val="20"/>
          <w:lang w:val="fr-FR"/>
        </w:rPr>
      </w:pPr>
      <w:r>
        <w:rPr>
          <w:rFonts w:ascii="Verdana" w:eastAsia="Verdana" w:hAnsi="Verdana" w:cs="Verdana"/>
          <w:sz w:val="20"/>
          <w:szCs w:val="20"/>
          <w:lang w:val="fr-FR"/>
        </w:rPr>
        <w:t>C</w:t>
      </w:r>
      <w:r w:rsidR="004A2055" w:rsidRPr="00286B98">
        <w:rPr>
          <w:rFonts w:ascii="Verdana" w:eastAsia="Verdana" w:hAnsi="Verdana" w:cs="Verdana"/>
          <w:sz w:val="20"/>
          <w:szCs w:val="20"/>
          <w:lang w:val="fr-FR"/>
        </w:rPr>
        <w:t xml:space="preserve">onscient que les partis politiques, les responsables politiques et les médias, chacun dans leur rôle, </w:t>
      </w:r>
      <w:r w:rsidR="00397817">
        <w:rPr>
          <w:rFonts w:ascii="Verdana" w:eastAsia="Verdana" w:hAnsi="Verdana" w:cs="Verdana"/>
          <w:sz w:val="20"/>
          <w:szCs w:val="20"/>
          <w:lang w:val="fr-FR"/>
        </w:rPr>
        <w:t xml:space="preserve">occupent une place essentielle </w:t>
      </w:r>
      <w:r w:rsidR="004A2055" w:rsidRPr="00286B98">
        <w:rPr>
          <w:rFonts w:ascii="Verdana" w:eastAsia="Verdana" w:hAnsi="Verdana" w:cs="Verdana"/>
          <w:sz w:val="20"/>
          <w:szCs w:val="20"/>
          <w:lang w:val="fr-FR"/>
        </w:rPr>
        <w:t>dans la communication politique et électorale ;</w:t>
      </w:r>
    </w:p>
    <w:p w14:paraId="0F3645A1" w14:textId="6CD6E758" w:rsidR="00D21F6D" w:rsidRPr="00286B98" w:rsidRDefault="00564027" w:rsidP="004A2055">
      <w:pPr>
        <w:pBdr>
          <w:top w:val="nil"/>
          <w:left w:val="nil"/>
          <w:bottom w:val="nil"/>
          <w:right w:val="nil"/>
          <w:between w:val="nil"/>
        </w:pBdr>
        <w:spacing w:after="160" w:line="259" w:lineRule="auto"/>
        <w:jc w:val="both"/>
        <w:rPr>
          <w:rFonts w:ascii="Verdana" w:eastAsia="Verdana" w:hAnsi="Verdana" w:cs="Verdana"/>
          <w:sz w:val="20"/>
          <w:szCs w:val="20"/>
          <w:lang w:val="fr-FR"/>
        </w:rPr>
      </w:pPr>
      <w:r>
        <w:rPr>
          <w:rFonts w:ascii="Verdana" w:eastAsia="Verdana" w:hAnsi="Verdana" w:cs="Verdana"/>
          <w:sz w:val="20"/>
          <w:szCs w:val="20"/>
          <w:lang w:val="fr-FR"/>
        </w:rPr>
        <w:t>R</w:t>
      </w:r>
      <w:r w:rsidR="004A2055" w:rsidRPr="00286B98">
        <w:rPr>
          <w:rFonts w:ascii="Verdana" w:eastAsia="Verdana" w:hAnsi="Verdana" w:cs="Verdana"/>
          <w:sz w:val="20"/>
          <w:szCs w:val="20"/>
          <w:lang w:val="fr-FR"/>
        </w:rPr>
        <w:t xml:space="preserve">econnaissant </w:t>
      </w:r>
      <w:r w:rsidR="004A2055" w:rsidRPr="000F592D">
        <w:rPr>
          <w:rFonts w:ascii="Verdana" w:eastAsia="Verdana" w:hAnsi="Verdana" w:cs="Verdana"/>
          <w:sz w:val="20"/>
          <w:szCs w:val="20"/>
          <w:lang w:val="fr-FR"/>
        </w:rPr>
        <w:t xml:space="preserve">que les plateformes en ligne </w:t>
      </w:r>
      <w:proofErr w:type="gramStart"/>
      <w:r w:rsidR="00397817" w:rsidRPr="000F592D">
        <w:rPr>
          <w:rFonts w:ascii="Verdana" w:eastAsia="Verdana" w:hAnsi="Verdana" w:cs="Verdana"/>
          <w:sz w:val="20"/>
          <w:szCs w:val="20"/>
          <w:lang w:val="fr-FR"/>
        </w:rPr>
        <w:t>sont</w:t>
      </w:r>
      <w:proofErr w:type="gramEnd"/>
      <w:r w:rsidR="00397817" w:rsidRPr="000F592D">
        <w:rPr>
          <w:rFonts w:ascii="Verdana" w:eastAsia="Verdana" w:hAnsi="Verdana" w:cs="Verdana"/>
          <w:sz w:val="20"/>
          <w:szCs w:val="20"/>
          <w:lang w:val="fr-FR"/>
        </w:rPr>
        <w:t xml:space="preserve"> de</w:t>
      </w:r>
      <w:r w:rsidR="00397817">
        <w:rPr>
          <w:rFonts w:ascii="Verdana" w:eastAsia="Verdana" w:hAnsi="Verdana" w:cs="Verdana"/>
          <w:sz w:val="20"/>
          <w:szCs w:val="20"/>
          <w:lang w:val="fr-FR"/>
        </w:rPr>
        <w:t xml:space="preserve"> plus en plus centrales pour </w:t>
      </w:r>
      <w:r w:rsidR="004A2055" w:rsidRPr="00286B98">
        <w:rPr>
          <w:rFonts w:ascii="Verdana" w:eastAsia="Verdana" w:hAnsi="Verdana" w:cs="Verdana"/>
          <w:sz w:val="20"/>
          <w:szCs w:val="20"/>
          <w:lang w:val="fr-FR"/>
        </w:rPr>
        <w:t>l’accès des citoyens aux informations, y compris sur des sujets politiques ;</w:t>
      </w:r>
    </w:p>
    <w:p w14:paraId="016B6E2C" w14:textId="59BD9085" w:rsidR="00E106C2" w:rsidRDefault="00564027" w:rsidP="00C13888">
      <w:pPr>
        <w:pBdr>
          <w:top w:val="nil"/>
          <w:left w:val="nil"/>
          <w:bottom w:val="nil"/>
          <w:right w:val="nil"/>
          <w:between w:val="nil"/>
        </w:pBdr>
        <w:spacing w:after="160" w:line="259" w:lineRule="auto"/>
        <w:jc w:val="both"/>
        <w:rPr>
          <w:rFonts w:ascii="Verdana" w:eastAsia="Verdana" w:hAnsi="Verdana" w:cs="Verdana"/>
          <w:sz w:val="20"/>
          <w:szCs w:val="20"/>
          <w:lang w:val="fr-FR"/>
        </w:rPr>
      </w:pPr>
      <w:r>
        <w:rPr>
          <w:rFonts w:ascii="Verdana" w:eastAsia="Verdana" w:hAnsi="Verdana" w:cs="Verdana"/>
          <w:sz w:val="20"/>
          <w:szCs w:val="20"/>
          <w:lang w:val="fr-FR"/>
        </w:rPr>
        <w:t>A</w:t>
      </w:r>
      <w:r w:rsidR="00C13888" w:rsidRPr="00286B98">
        <w:rPr>
          <w:rFonts w:ascii="Verdana" w:eastAsia="Verdana" w:hAnsi="Verdana" w:cs="Verdana"/>
          <w:sz w:val="20"/>
          <w:szCs w:val="20"/>
          <w:lang w:val="fr-FR"/>
        </w:rPr>
        <w:t xml:space="preserve">yant à l’esprit </w:t>
      </w:r>
      <w:r w:rsidR="004A2055" w:rsidRPr="00286B98">
        <w:rPr>
          <w:rFonts w:ascii="Verdana" w:eastAsia="Verdana" w:hAnsi="Verdana" w:cs="Verdana"/>
          <w:sz w:val="20"/>
          <w:szCs w:val="20"/>
          <w:lang w:val="fr-FR"/>
        </w:rPr>
        <w:t xml:space="preserve">que la </w:t>
      </w:r>
      <w:r w:rsidR="004A2055" w:rsidRPr="000F592D">
        <w:rPr>
          <w:rFonts w:ascii="Verdana" w:eastAsia="Verdana" w:hAnsi="Verdana" w:cs="Verdana"/>
          <w:sz w:val="20"/>
          <w:szCs w:val="20"/>
          <w:lang w:val="fr-FR"/>
        </w:rPr>
        <w:t xml:space="preserve">communication électorale est en train de basculer en ligne et que les plateformes en ligne sont en passe de l’emporter sur les médias traditionnels comme </w:t>
      </w:r>
      <w:r w:rsidR="00397817" w:rsidRPr="000F592D">
        <w:rPr>
          <w:rFonts w:ascii="Verdana" w:eastAsia="Verdana" w:hAnsi="Verdana" w:cs="Verdana"/>
          <w:sz w:val="20"/>
          <w:szCs w:val="20"/>
          <w:lang w:val="fr-FR"/>
        </w:rPr>
        <w:t xml:space="preserve">vecteurs </w:t>
      </w:r>
      <w:r w:rsidR="004A2055" w:rsidRPr="000F592D">
        <w:rPr>
          <w:rFonts w:ascii="Verdana" w:eastAsia="Verdana" w:hAnsi="Verdana" w:cs="Verdana"/>
          <w:sz w:val="20"/>
          <w:szCs w:val="20"/>
          <w:lang w:val="fr-FR"/>
        </w:rPr>
        <w:t xml:space="preserve">de publicité politique, </w:t>
      </w:r>
      <w:r w:rsidR="000F592D" w:rsidRPr="000F592D">
        <w:rPr>
          <w:rFonts w:ascii="Verdana" w:hAnsi="Verdana"/>
          <w:sz w:val="20"/>
          <w:lang w:val="fr-FR"/>
        </w:rPr>
        <w:t>sans pour autant être soumises</w:t>
      </w:r>
      <w:r w:rsidR="000F592D" w:rsidRPr="000F592D">
        <w:rPr>
          <w:rFonts w:ascii="Verdana" w:hAnsi="Verdana"/>
          <w:sz w:val="20"/>
          <w:lang w:val="fr-FR"/>
        </w:rPr>
        <w:t xml:space="preserve"> </w:t>
      </w:r>
      <w:r w:rsidR="000F592D" w:rsidRPr="000F592D">
        <w:rPr>
          <w:rFonts w:ascii="Verdana" w:hAnsi="Verdana"/>
          <w:sz w:val="20"/>
          <w:lang w:val="fr-FR"/>
        </w:rPr>
        <w:t xml:space="preserve">à un </w:t>
      </w:r>
      <w:r w:rsidR="000F592D" w:rsidRPr="000F592D">
        <w:rPr>
          <w:rFonts w:ascii="Verdana" w:eastAsia="Verdana" w:hAnsi="Verdana"/>
          <w:sz w:val="20"/>
          <w:lang w:val="fr-FR"/>
        </w:rPr>
        <w:t xml:space="preserve">niveau </w:t>
      </w:r>
      <w:r w:rsidR="000F592D" w:rsidRPr="000F592D">
        <w:rPr>
          <w:rFonts w:ascii="Verdana" w:eastAsia="Verdana" w:hAnsi="Verdana" w:cs="Verdana"/>
          <w:sz w:val="20"/>
          <w:szCs w:val="20"/>
          <w:lang w:val="fr-FR"/>
        </w:rPr>
        <w:t xml:space="preserve">spécifique </w:t>
      </w:r>
      <w:r w:rsidR="000F592D" w:rsidRPr="000F592D">
        <w:rPr>
          <w:rFonts w:ascii="Verdana" w:eastAsia="Verdana" w:hAnsi="Verdana"/>
          <w:sz w:val="20"/>
          <w:lang w:val="fr-FR"/>
        </w:rPr>
        <w:t>de</w:t>
      </w:r>
      <w:r w:rsidR="004A2055" w:rsidRPr="000F592D">
        <w:rPr>
          <w:rFonts w:ascii="Verdana" w:eastAsia="Verdana" w:hAnsi="Verdana" w:cs="Verdana"/>
          <w:sz w:val="20"/>
          <w:szCs w:val="20"/>
          <w:lang w:val="fr-FR"/>
        </w:rPr>
        <w:t xml:space="preserve"> réglementation et </w:t>
      </w:r>
      <w:r w:rsidR="000F592D" w:rsidRPr="000F592D">
        <w:rPr>
          <w:rFonts w:ascii="Verdana" w:eastAsia="Verdana" w:hAnsi="Verdana" w:cs="Verdana"/>
          <w:sz w:val="20"/>
          <w:szCs w:val="20"/>
          <w:lang w:val="fr-FR"/>
        </w:rPr>
        <w:t>de</w:t>
      </w:r>
      <w:r w:rsidR="004A2055" w:rsidRPr="000F592D">
        <w:rPr>
          <w:rFonts w:ascii="Verdana" w:eastAsia="Verdana" w:hAnsi="Verdana" w:cs="Verdana"/>
          <w:sz w:val="20"/>
          <w:szCs w:val="20"/>
          <w:lang w:val="fr-FR"/>
        </w:rPr>
        <w:t xml:space="preserve"> contrôle public ;</w:t>
      </w:r>
    </w:p>
    <w:p w14:paraId="2BE01311" w14:textId="12A0E7A6" w:rsidR="000F592D" w:rsidRDefault="00564027" w:rsidP="004A2055">
      <w:pPr>
        <w:pBdr>
          <w:top w:val="nil"/>
          <w:left w:val="nil"/>
          <w:bottom w:val="nil"/>
          <w:right w:val="nil"/>
          <w:between w:val="nil"/>
        </w:pBdr>
        <w:spacing w:after="160" w:line="259" w:lineRule="auto"/>
        <w:jc w:val="both"/>
        <w:rPr>
          <w:rFonts w:ascii="Verdana" w:hAnsi="Verdana"/>
          <w:sz w:val="20"/>
          <w:szCs w:val="20"/>
          <w:lang w:val="fr-FR"/>
        </w:rPr>
      </w:pPr>
      <w:r>
        <w:rPr>
          <w:rFonts w:ascii="Verdana" w:hAnsi="Verdana"/>
          <w:sz w:val="20"/>
          <w:szCs w:val="20"/>
          <w:lang w:val="fr-FR"/>
        </w:rPr>
        <w:t>R</w:t>
      </w:r>
      <w:r w:rsidR="004A2055" w:rsidRPr="00286B98">
        <w:rPr>
          <w:rFonts w:ascii="Verdana" w:hAnsi="Verdana"/>
          <w:sz w:val="20"/>
          <w:szCs w:val="20"/>
          <w:lang w:val="fr-FR"/>
        </w:rPr>
        <w:t xml:space="preserve">econnaissant que des techniques nouvelles ou mises à jour de publicité politique sont largement déployées, </w:t>
      </w:r>
      <w:r w:rsidR="000F592D">
        <w:rPr>
          <w:rFonts w:ascii="Verdana" w:hAnsi="Verdana"/>
          <w:sz w:val="20"/>
          <w:szCs w:val="20"/>
          <w:lang w:val="fr-FR"/>
        </w:rPr>
        <w:t xml:space="preserve">et </w:t>
      </w:r>
      <w:r w:rsidR="004A2055" w:rsidRPr="00286B98">
        <w:rPr>
          <w:rFonts w:ascii="Verdana" w:hAnsi="Verdana"/>
          <w:sz w:val="20"/>
          <w:szCs w:val="20"/>
          <w:lang w:val="fr-FR"/>
        </w:rPr>
        <w:t xml:space="preserve">qu’elles passent de plus en plus par le traitement d’un vaste volume de données personnelles en vue d’envoyer des messages politiques </w:t>
      </w:r>
      <w:proofErr w:type="spellStart"/>
      <w:r w:rsidR="004A2055" w:rsidRPr="00286B98">
        <w:rPr>
          <w:rFonts w:ascii="Verdana" w:hAnsi="Verdana"/>
          <w:sz w:val="20"/>
          <w:szCs w:val="20"/>
          <w:lang w:val="fr-FR"/>
        </w:rPr>
        <w:t>microciblés</w:t>
      </w:r>
      <w:proofErr w:type="spellEnd"/>
      <w:r w:rsidR="000F592D">
        <w:rPr>
          <w:rFonts w:ascii="Verdana" w:hAnsi="Verdana"/>
          <w:sz w:val="20"/>
          <w:szCs w:val="20"/>
          <w:lang w:val="fr-FR"/>
        </w:rPr>
        <w:t> ;</w:t>
      </w:r>
    </w:p>
    <w:p w14:paraId="7F12D698" w14:textId="41E37E7B" w:rsidR="000F592D" w:rsidRPr="000F592D" w:rsidRDefault="000F592D" w:rsidP="004A2055">
      <w:pPr>
        <w:pBdr>
          <w:top w:val="nil"/>
          <w:left w:val="nil"/>
          <w:bottom w:val="nil"/>
          <w:right w:val="nil"/>
          <w:between w:val="nil"/>
        </w:pBdr>
        <w:spacing w:after="160" w:line="259" w:lineRule="auto"/>
        <w:jc w:val="both"/>
        <w:rPr>
          <w:rFonts w:ascii="Verdana" w:hAnsi="Verdana"/>
          <w:sz w:val="20"/>
          <w:lang w:val="fr-FR"/>
        </w:rPr>
      </w:pPr>
      <w:r w:rsidRPr="000F592D">
        <w:rPr>
          <w:rFonts w:ascii="Verdana" w:eastAsia="Verdana" w:hAnsi="Verdana"/>
          <w:sz w:val="20"/>
          <w:lang w:val="fr-FR"/>
        </w:rPr>
        <w:t xml:space="preserve">Reconnaissant en outre que des modèles de financement différents, plus fragmentés et moins transparents sont utilisés </w:t>
      </w:r>
      <w:r w:rsidRPr="000F592D">
        <w:rPr>
          <w:rFonts w:ascii="Verdana" w:eastAsia="Verdana" w:hAnsi="Verdana" w:cs="Verdana"/>
          <w:sz w:val="20"/>
          <w:szCs w:val="20"/>
          <w:lang w:val="fr-FR"/>
        </w:rPr>
        <w:t xml:space="preserve">pour la </w:t>
      </w:r>
      <w:r w:rsidRPr="000F592D">
        <w:rPr>
          <w:rFonts w:ascii="Verdana" w:eastAsia="Verdana" w:hAnsi="Verdana"/>
          <w:sz w:val="20"/>
          <w:lang w:val="fr-FR"/>
        </w:rPr>
        <w:t xml:space="preserve">publicité </w:t>
      </w:r>
      <w:r w:rsidRPr="000F592D">
        <w:rPr>
          <w:rFonts w:ascii="Verdana" w:hAnsi="Verdana"/>
          <w:sz w:val="20"/>
          <w:lang w:val="fr-FR"/>
        </w:rPr>
        <w:t xml:space="preserve">politique </w:t>
      </w:r>
      <w:r w:rsidRPr="000F592D">
        <w:rPr>
          <w:rFonts w:ascii="Verdana" w:eastAsia="Verdana" w:hAnsi="Verdana"/>
          <w:sz w:val="20"/>
          <w:lang w:val="fr-FR"/>
        </w:rPr>
        <w:t>;</w:t>
      </w:r>
    </w:p>
    <w:p w14:paraId="7EC76D3B" w14:textId="02B19043" w:rsidR="00E106C2" w:rsidRPr="00286B98" w:rsidRDefault="00564027" w:rsidP="004A2055">
      <w:pPr>
        <w:jc w:val="both"/>
        <w:rPr>
          <w:rFonts w:ascii="Verdana" w:hAnsi="Verdana" w:cs="Calibri"/>
          <w:sz w:val="20"/>
          <w:szCs w:val="20"/>
          <w:lang w:val="fr-FR"/>
        </w:rPr>
      </w:pPr>
      <w:r>
        <w:rPr>
          <w:rFonts w:ascii="Verdana" w:hAnsi="Verdana" w:cs="Calibri"/>
          <w:sz w:val="20"/>
          <w:szCs w:val="20"/>
          <w:lang w:val="fr-FR"/>
        </w:rPr>
        <w:t>C</w:t>
      </w:r>
      <w:r w:rsidR="004A2055" w:rsidRPr="00286B98">
        <w:rPr>
          <w:rFonts w:ascii="Verdana" w:hAnsi="Verdana" w:cs="Calibri"/>
          <w:sz w:val="20"/>
          <w:szCs w:val="20"/>
          <w:lang w:val="fr-FR"/>
        </w:rPr>
        <w:t>onsidérant que la communication en ligne a facilité l</w:t>
      </w:r>
      <w:r w:rsidR="00397817">
        <w:rPr>
          <w:rFonts w:ascii="Verdana" w:hAnsi="Verdana" w:cs="Calibri"/>
          <w:sz w:val="20"/>
          <w:szCs w:val="20"/>
          <w:lang w:val="fr-FR"/>
        </w:rPr>
        <w:t xml:space="preserve">a tenue de débats et </w:t>
      </w:r>
      <w:r w:rsidR="004A2055" w:rsidRPr="00286B98">
        <w:rPr>
          <w:rFonts w:ascii="Verdana" w:hAnsi="Verdana" w:cs="Calibri"/>
          <w:sz w:val="20"/>
          <w:szCs w:val="20"/>
          <w:lang w:val="fr-FR"/>
        </w:rPr>
        <w:t xml:space="preserve">de campagnes politiques permanents, </w:t>
      </w:r>
      <w:r w:rsidR="00397817">
        <w:rPr>
          <w:rFonts w:ascii="Verdana" w:hAnsi="Verdana" w:cs="Calibri"/>
          <w:sz w:val="20"/>
          <w:szCs w:val="20"/>
          <w:lang w:val="fr-FR"/>
        </w:rPr>
        <w:t xml:space="preserve">si bien qu’il devient </w:t>
      </w:r>
      <w:r w:rsidR="004A2055" w:rsidRPr="00286B98">
        <w:rPr>
          <w:rFonts w:ascii="Verdana" w:hAnsi="Verdana" w:cs="Calibri"/>
          <w:sz w:val="20"/>
          <w:szCs w:val="20"/>
          <w:lang w:val="fr-FR"/>
        </w:rPr>
        <w:t>difficile de distinguer la communication politique en période électorale et hors période électorale ;</w:t>
      </w:r>
    </w:p>
    <w:p w14:paraId="0BDD730E" w14:textId="77777777" w:rsidR="00E106C2" w:rsidRPr="00286B98" w:rsidRDefault="00E106C2" w:rsidP="00E106C2">
      <w:pPr>
        <w:jc w:val="both"/>
        <w:rPr>
          <w:rFonts w:ascii="Verdana" w:hAnsi="Verdana" w:cs="Calibri"/>
          <w:sz w:val="20"/>
          <w:szCs w:val="20"/>
          <w:lang w:val="fr-FR"/>
        </w:rPr>
      </w:pPr>
    </w:p>
    <w:p w14:paraId="5A65D900" w14:textId="7836B116" w:rsidR="00E106C2" w:rsidRPr="00286B98" w:rsidRDefault="00564027" w:rsidP="004A2055">
      <w:pPr>
        <w:jc w:val="both"/>
        <w:rPr>
          <w:rFonts w:ascii="Verdana" w:hAnsi="Verdana" w:cs="Calibri"/>
          <w:sz w:val="20"/>
          <w:szCs w:val="20"/>
          <w:lang w:val="fr-FR"/>
        </w:rPr>
      </w:pPr>
      <w:r>
        <w:rPr>
          <w:rFonts w:ascii="Verdana" w:hAnsi="Verdana" w:cs="Calibri"/>
          <w:sz w:val="20"/>
          <w:szCs w:val="20"/>
          <w:lang w:val="fr-FR"/>
        </w:rPr>
        <w:t>C</w:t>
      </w:r>
      <w:r w:rsidR="004A2055" w:rsidRPr="00286B98">
        <w:rPr>
          <w:rFonts w:ascii="Verdana" w:hAnsi="Verdana" w:cs="Calibri"/>
          <w:sz w:val="20"/>
          <w:szCs w:val="20"/>
          <w:lang w:val="fr-FR"/>
        </w:rPr>
        <w:t>onsidérant que les possibilités offertes par les plateformes en ligne ont permis à un large éventail d’acteurs ayant des desseins politiques de prendre part à la communication et aux publicités politiques ;</w:t>
      </w:r>
    </w:p>
    <w:p w14:paraId="697F3CAC" w14:textId="77777777" w:rsidR="00E106C2" w:rsidRPr="00286B98" w:rsidRDefault="00E106C2" w:rsidP="00E106C2">
      <w:pPr>
        <w:jc w:val="both"/>
        <w:rPr>
          <w:rFonts w:ascii="Verdana" w:hAnsi="Verdana" w:cs="Calibri"/>
          <w:sz w:val="20"/>
          <w:szCs w:val="20"/>
          <w:lang w:val="fr-FR"/>
        </w:rPr>
      </w:pPr>
    </w:p>
    <w:p w14:paraId="75F93039" w14:textId="1D6D45AF" w:rsidR="00D21F6D" w:rsidRPr="00286B98" w:rsidRDefault="00B80E66" w:rsidP="004A2055">
      <w:pPr>
        <w:jc w:val="both"/>
        <w:rPr>
          <w:rFonts w:ascii="Verdana" w:hAnsi="Verdana" w:cs="Calibri"/>
          <w:sz w:val="20"/>
          <w:szCs w:val="20"/>
          <w:lang w:val="fr-FR"/>
        </w:rPr>
      </w:pPr>
      <w:r w:rsidRPr="00B80E66">
        <w:rPr>
          <w:rFonts w:ascii="Verdana" w:hAnsi="Verdana" w:cs="Calibri"/>
          <w:sz w:val="20"/>
          <w:szCs w:val="20"/>
          <w:lang w:val="fr-FR"/>
        </w:rPr>
        <w:t xml:space="preserve">Considérant qu'un large éventail d'individus et de groupes d'intérêt s'engagent de plus en plus dans des campagnes politiques de manière systématique et/ou organisée, en combinant des actions humaines et automatisées </w:t>
      </w:r>
      <w:r w:rsidR="004A2055" w:rsidRPr="00286B98">
        <w:rPr>
          <w:rFonts w:ascii="Verdana" w:hAnsi="Verdana" w:cs="Calibri"/>
          <w:sz w:val="20"/>
          <w:szCs w:val="20"/>
          <w:lang w:val="fr-FR"/>
        </w:rPr>
        <w:t>;</w:t>
      </w:r>
    </w:p>
    <w:p w14:paraId="1A35FBCE" w14:textId="77777777" w:rsidR="00E106C2" w:rsidRPr="00286B98" w:rsidRDefault="00E106C2" w:rsidP="00E106C2">
      <w:pPr>
        <w:jc w:val="both"/>
        <w:rPr>
          <w:rFonts w:ascii="Verdana" w:hAnsi="Verdana" w:cs="Calibri"/>
          <w:sz w:val="20"/>
          <w:szCs w:val="20"/>
          <w:lang w:val="fr-FR"/>
        </w:rPr>
      </w:pPr>
    </w:p>
    <w:p w14:paraId="6C95D787" w14:textId="526882BA" w:rsidR="00CF6500" w:rsidRDefault="00AA1EDC" w:rsidP="00C13888">
      <w:pPr>
        <w:jc w:val="both"/>
        <w:rPr>
          <w:rFonts w:ascii="Verdana" w:eastAsia="Verdana" w:hAnsi="Verdana" w:cs="Calibri"/>
          <w:sz w:val="20"/>
          <w:szCs w:val="20"/>
          <w:lang w:val="fr-FR"/>
        </w:rPr>
      </w:pPr>
      <w:r>
        <w:rPr>
          <w:rFonts w:ascii="Verdana" w:eastAsia="Verdana" w:hAnsi="Verdana" w:cs="Calibri"/>
          <w:sz w:val="20"/>
          <w:szCs w:val="20"/>
          <w:lang w:val="fr-FR"/>
        </w:rPr>
        <w:t>C</w:t>
      </w:r>
      <w:r w:rsidR="00C13888" w:rsidRPr="00286B98">
        <w:rPr>
          <w:rFonts w:ascii="Verdana" w:eastAsia="Verdana" w:hAnsi="Verdana" w:cs="Calibri"/>
          <w:sz w:val="20"/>
          <w:szCs w:val="20"/>
          <w:lang w:val="fr-FR"/>
        </w:rPr>
        <w:t>onsidérant en outre que les courtiers en données – organisations ou entreprises qui collectent, agrègent et analysent des données</w:t>
      </w:r>
      <w:r w:rsidR="00B80E66">
        <w:rPr>
          <w:rFonts w:ascii="Verdana" w:eastAsia="Verdana" w:hAnsi="Verdana" w:cs="Calibri"/>
          <w:sz w:val="20"/>
          <w:szCs w:val="20"/>
          <w:lang w:val="fr-FR"/>
        </w:rPr>
        <w:t xml:space="preserve"> </w:t>
      </w:r>
      <w:r w:rsidR="00C13888" w:rsidRPr="00286B98">
        <w:rPr>
          <w:rFonts w:ascii="Verdana" w:eastAsia="Verdana" w:hAnsi="Verdana" w:cs="Calibri"/>
          <w:sz w:val="20"/>
          <w:szCs w:val="20"/>
          <w:lang w:val="fr-FR"/>
        </w:rPr>
        <w:t xml:space="preserve">– utilisent des stratégies et des sources différentes </w:t>
      </w:r>
      <w:r w:rsidR="00B80E66" w:rsidRPr="00B80E66">
        <w:rPr>
          <w:rFonts w:ascii="Verdana" w:eastAsia="Verdana" w:hAnsi="Verdana" w:cs="Calibri"/>
          <w:sz w:val="20"/>
          <w:szCs w:val="20"/>
          <w:lang w:val="fr-FR"/>
        </w:rPr>
        <w:t>pour établir des profils d'électeurs potentiels afin de cibler la diffusion de publicités politiques</w:t>
      </w:r>
      <w:r w:rsidR="00C13888" w:rsidRPr="00286B98">
        <w:rPr>
          <w:rFonts w:ascii="Verdana" w:eastAsia="Verdana" w:hAnsi="Verdana" w:cs="Calibri"/>
          <w:sz w:val="20"/>
          <w:szCs w:val="20"/>
          <w:lang w:val="fr-FR"/>
        </w:rPr>
        <w:t> ;</w:t>
      </w:r>
    </w:p>
    <w:p w14:paraId="3E6F22AB" w14:textId="77777777" w:rsidR="00E106C2" w:rsidRPr="00286B98" w:rsidRDefault="00E106C2" w:rsidP="00E106C2">
      <w:pPr>
        <w:jc w:val="both"/>
        <w:rPr>
          <w:rFonts w:ascii="Verdana" w:eastAsia="Verdana" w:hAnsi="Verdana" w:cs="Verdana"/>
          <w:sz w:val="20"/>
          <w:szCs w:val="20"/>
          <w:lang w:val="fr-FR"/>
        </w:rPr>
      </w:pPr>
    </w:p>
    <w:p w14:paraId="73BBE879" w14:textId="2CD906FF" w:rsidR="00D21F6D" w:rsidRPr="00286B98" w:rsidRDefault="00497B02" w:rsidP="00C13888">
      <w:pPr>
        <w:pBdr>
          <w:top w:val="nil"/>
          <w:left w:val="nil"/>
          <w:bottom w:val="nil"/>
          <w:right w:val="nil"/>
          <w:between w:val="nil"/>
        </w:pBdr>
        <w:spacing w:after="160" w:line="259" w:lineRule="auto"/>
        <w:jc w:val="both"/>
        <w:rPr>
          <w:rFonts w:ascii="Verdana" w:eastAsia="Verdana" w:hAnsi="Verdana" w:cs="Verdana"/>
          <w:sz w:val="20"/>
          <w:szCs w:val="20"/>
          <w:lang w:val="fr-FR"/>
        </w:rPr>
      </w:pPr>
      <w:r>
        <w:rPr>
          <w:rFonts w:ascii="Verdana" w:eastAsia="Verdana" w:hAnsi="Verdana" w:cs="Verdana"/>
          <w:sz w:val="20"/>
          <w:szCs w:val="20"/>
          <w:lang w:val="fr-FR"/>
        </w:rPr>
        <w:t>N</w:t>
      </w:r>
      <w:r w:rsidR="00C13888" w:rsidRPr="00286B98">
        <w:rPr>
          <w:rFonts w:ascii="Verdana" w:eastAsia="Verdana" w:hAnsi="Verdana" w:cs="Verdana"/>
          <w:sz w:val="20"/>
          <w:szCs w:val="20"/>
          <w:lang w:val="fr-FR"/>
        </w:rPr>
        <w:t>otant que les a</w:t>
      </w:r>
      <w:r w:rsidR="00397817">
        <w:rPr>
          <w:rFonts w:ascii="Verdana" w:eastAsia="Verdana" w:hAnsi="Verdana" w:cs="Verdana"/>
          <w:sz w:val="20"/>
          <w:szCs w:val="20"/>
          <w:lang w:val="fr-FR"/>
        </w:rPr>
        <w:t xml:space="preserve">uteurs </w:t>
      </w:r>
      <w:r w:rsidR="00C13888" w:rsidRPr="00286B98">
        <w:rPr>
          <w:rFonts w:ascii="Verdana" w:eastAsia="Verdana" w:hAnsi="Verdana" w:cs="Verdana"/>
          <w:sz w:val="20"/>
          <w:szCs w:val="20"/>
          <w:lang w:val="fr-FR"/>
        </w:rPr>
        <w:t>traditionnels de la communication électorale, comme les médias, les partis politiques et les candidats, ont entrepris de s’adapter et se saisissent de plus en plus des outils et des possibilités offerts par les plateformes en ligne pour toucher les électeurs ;</w:t>
      </w:r>
    </w:p>
    <w:p w14:paraId="71DE6207" w14:textId="3F034FD6" w:rsidR="00D21F6D" w:rsidRPr="00286B98" w:rsidRDefault="002E58FB" w:rsidP="00C13888">
      <w:pPr>
        <w:pBdr>
          <w:top w:val="nil"/>
          <w:left w:val="nil"/>
          <w:bottom w:val="nil"/>
          <w:right w:val="nil"/>
          <w:between w:val="nil"/>
        </w:pBdr>
        <w:spacing w:after="160" w:line="259" w:lineRule="auto"/>
        <w:jc w:val="both"/>
        <w:rPr>
          <w:rFonts w:ascii="Verdana" w:eastAsia="Verdana" w:hAnsi="Verdana" w:cs="Verdana"/>
          <w:sz w:val="20"/>
          <w:szCs w:val="20"/>
          <w:lang w:val="fr-FR"/>
        </w:rPr>
      </w:pPr>
      <w:r>
        <w:rPr>
          <w:rFonts w:ascii="Verdana" w:eastAsia="Verdana" w:hAnsi="Verdana" w:cs="Verdana"/>
          <w:sz w:val="20"/>
          <w:szCs w:val="20"/>
          <w:lang w:val="fr-FR"/>
        </w:rPr>
        <w:t>N</w:t>
      </w:r>
      <w:r w:rsidR="00C13888" w:rsidRPr="00286B98">
        <w:rPr>
          <w:rFonts w:ascii="Verdana" w:eastAsia="Verdana" w:hAnsi="Verdana" w:cs="Verdana"/>
          <w:sz w:val="20"/>
          <w:szCs w:val="20"/>
          <w:lang w:val="fr-FR"/>
        </w:rPr>
        <w:t>otant que les plateformes en ligne sont elles-mêmes d</w:t>
      </w:r>
      <w:r w:rsidR="00397817">
        <w:rPr>
          <w:rFonts w:ascii="Verdana" w:eastAsia="Verdana" w:hAnsi="Verdana" w:cs="Verdana"/>
          <w:sz w:val="20"/>
          <w:szCs w:val="20"/>
          <w:lang w:val="fr-FR"/>
        </w:rPr>
        <w:t>’important</w:t>
      </w:r>
      <w:r w:rsidR="00497B02">
        <w:rPr>
          <w:rFonts w:ascii="Verdana" w:eastAsia="Verdana" w:hAnsi="Verdana" w:cs="Verdana"/>
          <w:sz w:val="20"/>
          <w:szCs w:val="20"/>
          <w:lang w:val="fr-FR"/>
        </w:rPr>
        <w:t>s acteurs</w:t>
      </w:r>
      <w:r w:rsidR="00397817">
        <w:rPr>
          <w:rFonts w:ascii="Verdana" w:eastAsia="Verdana" w:hAnsi="Verdana" w:cs="Verdana"/>
          <w:sz w:val="20"/>
          <w:szCs w:val="20"/>
          <w:lang w:val="fr-FR"/>
        </w:rPr>
        <w:t xml:space="preserve"> </w:t>
      </w:r>
      <w:r w:rsidR="00C13888" w:rsidRPr="00286B98">
        <w:rPr>
          <w:rFonts w:ascii="Verdana" w:eastAsia="Verdana" w:hAnsi="Verdana" w:cs="Verdana"/>
          <w:sz w:val="20"/>
          <w:szCs w:val="20"/>
          <w:lang w:val="fr-FR"/>
        </w:rPr>
        <w:t>du débat démocratique, puisque leurs fonctionnalités et leurs politiques de modération des contenus façonnent le contexte de la communication et de la publicité politiques en ligne ;</w:t>
      </w:r>
    </w:p>
    <w:p w14:paraId="7B63AB3D" w14:textId="071373B1" w:rsidR="00D21F6D" w:rsidRPr="00286B98" w:rsidRDefault="00497B02" w:rsidP="00C13888">
      <w:pPr>
        <w:widowControl w:val="0"/>
        <w:pBdr>
          <w:top w:val="nil"/>
          <w:left w:val="nil"/>
          <w:bottom w:val="nil"/>
          <w:right w:val="nil"/>
          <w:between w:val="nil"/>
        </w:pBdr>
        <w:spacing w:line="259" w:lineRule="auto"/>
        <w:jc w:val="both"/>
        <w:rPr>
          <w:rFonts w:ascii="Verdana" w:eastAsia="Verdana" w:hAnsi="Verdana" w:cs="Verdana"/>
          <w:sz w:val="20"/>
          <w:szCs w:val="20"/>
          <w:lang w:val="fr-FR"/>
        </w:rPr>
      </w:pPr>
      <w:r>
        <w:rPr>
          <w:rFonts w:ascii="Verdana" w:eastAsia="Verdana" w:hAnsi="Verdana" w:cs="Verdana"/>
          <w:sz w:val="20"/>
          <w:szCs w:val="20"/>
          <w:lang w:val="fr-FR"/>
        </w:rPr>
        <w:lastRenderedPageBreak/>
        <w:t>C</w:t>
      </w:r>
      <w:r w:rsidR="00C13888" w:rsidRPr="00286B98">
        <w:rPr>
          <w:rFonts w:ascii="Verdana" w:eastAsia="Verdana" w:hAnsi="Verdana" w:cs="Verdana"/>
          <w:sz w:val="20"/>
          <w:szCs w:val="20"/>
          <w:lang w:val="fr-FR"/>
        </w:rPr>
        <w:t xml:space="preserve">onsidérant que la publicité en ligne est moins coûteuse que celle sur les médias traditionnels, ce qui </w:t>
      </w:r>
      <w:r w:rsidR="00397817">
        <w:rPr>
          <w:rFonts w:ascii="Verdana" w:eastAsia="Verdana" w:hAnsi="Verdana" w:cs="Verdana"/>
          <w:sz w:val="20"/>
          <w:szCs w:val="20"/>
          <w:lang w:val="fr-FR"/>
        </w:rPr>
        <w:t>l’</w:t>
      </w:r>
      <w:r w:rsidR="00C13888" w:rsidRPr="00286B98">
        <w:rPr>
          <w:rFonts w:ascii="Verdana" w:eastAsia="Verdana" w:hAnsi="Verdana" w:cs="Verdana"/>
          <w:sz w:val="20"/>
          <w:szCs w:val="20"/>
          <w:lang w:val="fr-FR"/>
        </w:rPr>
        <w:t>a favorisé</w:t>
      </w:r>
      <w:r w:rsidR="00397817">
        <w:rPr>
          <w:rFonts w:ascii="Verdana" w:eastAsia="Verdana" w:hAnsi="Verdana" w:cs="Verdana"/>
          <w:sz w:val="20"/>
          <w:szCs w:val="20"/>
          <w:lang w:val="fr-FR"/>
        </w:rPr>
        <w:t>e</w:t>
      </w:r>
      <w:r w:rsidR="00C13888" w:rsidRPr="00286B98">
        <w:rPr>
          <w:rFonts w:ascii="Verdana" w:eastAsia="Verdana" w:hAnsi="Verdana" w:cs="Verdana"/>
          <w:sz w:val="20"/>
          <w:szCs w:val="20"/>
          <w:lang w:val="fr-FR"/>
        </w:rPr>
        <w:t xml:space="preserve"> tout en affectant la transparence du financement de la publicité politique et des campagnes électorales ; considérant en outre que les plateformes en ligne et les acteurs politiques peuvent ne pas toujours </w:t>
      </w:r>
      <w:r>
        <w:rPr>
          <w:rFonts w:ascii="Verdana" w:eastAsia="Verdana" w:hAnsi="Verdana" w:cs="Verdana"/>
          <w:sz w:val="20"/>
          <w:szCs w:val="20"/>
          <w:lang w:val="fr-FR"/>
        </w:rPr>
        <w:t xml:space="preserve">montrer </w:t>
      </w:r>
      <w:r w:rsidR="00C13888" w:rsidRPr="00286B98">
        <w:rPr>
          <w:rFonts w:ascii="Verdana" w:eastAsia="Verdana" w:hAnsi="Verdana" w:cs="Verdana"/>
          <w:sz w:val="20"/>
          <w:szCs w:val="20"/>
          <w:lang w:val="fr-FR"/>
        </w:rPr>
        <w:t>une totale transparence sur les dépenses de publicité politique et que d</w:t>
      </w:r>
      <w:r w:rsidR="00397817">
        <w:rPr>
          <w:rFonts w:ascii="Verdana" w:eastAsia="Verdana" w:hAnsi="Verdana" w:cs="Verdana"/>
          <w:sz w:val="20"/>
          <w:szCs w:val="20"/>
          <w:lang w:val="fr-FR"/>
        </w:rPr>
        <w:t xml:space="preserve">’autres </w:t>
      </w:r>
      <w:r w:rsidR="00C13888" w:rsidRPr="00286B98">
        <w:rPr>
          <w:rFonts w:ascii="Verdana" w:eastAsia="Verdana" w:hAnsi="Verdana" w:cs="Verdana"/>
          <w:sz w:val="20"/>
          <w:szCs w:val="20"/>
          <w:lang w:val="fr-FR"/>
        </w:rPr>
        <w:t xml:space="preserve">acteurs ayant des desseins politiques, </w:t>
      </w:r>
      <w:r w:rsidR="00397817">
        <w:rPr>
          <w:rFonts w:ascii="Verdana" w:eastAsia="Verdana" w:hAnsi="Verdana" w:cs="Verdana"/>
          <w:sz w:val="20"/>
          <w:szCs w:val="20"/>
          <w:lang w:val="fr-FR"/>
        </w:rPr>
        <w:t xml:space="preserve">hormis les </w:t>
      </w:r>
      <w:r w:rsidR="00C13888" w:rsidRPr="00286B98">
        <w:rPr>
          <w:rFonts w:ascii="Verdana" w:eastAsia="Verdana" w:hAnsi="Verdana" w:cs="Verdana"/>
          <w:sz w:val="20"/>
          <w:szCs w:val="20"/>
          <w:lang w:val="fr-FR"/>
        </w:rPr>
        <w:t xml:space="preserve">candidats et partis politiques déclarés, soutiennent financièrement </w:t>
      </w:r>
      <w:r w:rsidR="00397817">
        <w:rPr>
          <w:rFonts w:ascii="Verdana" w:eastAsia="Verdana" w:hAnsi="Verdana" w:cs="Verdana"/>
          <w:sz w:val="20"/>
          <w:szCs w:val="20"/>
          <w:lang w:val="fr-FR"/>
        </w:rPr>
        <w:t xml:space="preserve">en ligne </w:t>
      </w:r>
      <w:r w:rsidR="00C13888" w:rsidRPr="00286B98">
        <w:rPr>
          <w:rFonts w:ascii="Verdana" w:eastAsia="Verdana" w:hAnsi="Verdana" w:cs="Verdana"/>
          <w:sz w:val="20"/>
          <w:szCs w:val="20"/>
          <w:lang w:val="fr-FR"/>
        </w:rPr>
        <w:t>des candidats ou des partis</w:t>
      </w:r>
      <w:r w:rsidR="00B80E66">
        <w:rPr>
          <w:rFonts w:ascii="Verdana" w:eastAsia="Verdana" w:hAnsi="Verdana" w:cs="Verdana"/>
          <w:sz w:val="20"/>
          <w:szCs w:val="20"/>
          <w:lang w:val="fr-FR"/>
        </w:rPr>
        <w:t>,</w:t>
      </w:r>
      <w:r w:rsidR="00B80E66" w:rsidRPr="00B80E66">
        <w:rPr>
          <w:lang w:val="fr-FR"/>
        </w:rPr>
        <w:t xml:space="preserve"> </w:t>
      </w:r>
      <w:r w:rsidR="00B80E66" w:rsidRPr="00B80E66">
        <w:rPr>
          <w:rFonts w:ascii="Verdana" w:eastAsia="Verdana" w:hAnsi="Verdana" w:cs="Verdana"/>
          <w:sz w:val="20"/>
          <w:szCs w:val="20"/>
          <w:lang w:val="fr-FR"/>
        </w:rPr>
        <w:t>souvent aussi de manière non transparente</w:t>
      </w:r>
      <w:r w:rsidR="00397817">
        <w:rPr>
          <w:rFonts w:ascii="Verdana" w:eastAsia="Verdana" w:hAnsi="Verdana" w:cs="Verdana"/>
          <w:sz w:val="20"/>
          <w:szCs w:val="20"/>
          <w:lang w:val="fr-FR"/>
        </w:rPr>
        <w:t> ;</w:t>
      </w:r>
    </w:p>
    <w:p w14:paraId="30FDCB42" w14:textId="77777777" w:rsidR="00D21F6D" w:rsidRPr="00286B98" w:rsidRDefault="00D21F6D" w:rsidP="00E106C2">
      <w:pPr>
        <w:widowControl w:val="0"/>
        <w:pBdr>
          <w:top w:val="nil"/>
          <w:left w:val="nil"/>
          <w:bottom w:val="nil"/>
          <w:right w:val="nil"/>
          <w:between w:val="nil"/>
        </w:pBdr>
        <w:spacing w:line="259" w:lineRule="auto"/>
        <w:jc w:val="both"/>
        <w:rPr>
          <w:rFonts w:ascii="Verdana" w:eastAsia="Verdana" w:hAnsi="Verdana" w:cs="Verdana"/>
          <w:sz w:val="20"/>
          <w:szCs w:val="20"/>
          <w:lang w:val="fr-FR"/>
        </w:rPr>
      </w:pPr>
    </w:p>
    <w:p w14:paraId="136B7DDE" w14:textId="22B4DA07" w:rsidR="00D21F6D" w:rsidRPr="00286B98" w:rsidRDefault="00F0731C" w:rsidP="00C13888">
      <w:pPr>
        <w:widowControl w:val="0"/>
        <w:pBdr>
          <w:top w:val="nil"/>
          <w:left w:val="nil"/>
          <w:bottom w:val="nil"/>
          <w:right w:val="nil"/>
          <w:between w:val="nil"/>
        </w:pBdr>
        <w:spacing w:line="259" w:lineRule="auto"/>
        <w:jc w:val="both"/>
        <w:rPr>
          <w:rFonts w:ascii="Verdana" w:eastAsia="Verdana" w:hAnsi="Verdana" w:cs="Verdana"/>
          <w:sz w:val="20"/>
          <w:szCs w:val="20"/>
          <w:lang w:val="fr-FR"/>
        </w:rPr>
      </w:pPr>
      <w:r>
        <w:rPr>
          <w:rFonts w:ascii="Verdana" w:eastAsia="Verdana" w:hAnsi="Verdana" w:cs="Verdana"/>
          <w:sz w:val="20"/>
          <w:szCs w:val="20"/>
          <w:lang w:val="fr-FR"/>
        </w:rPr>
        <w:t>C</w:t>
      </w:r>
      <w:r w:rsidR="00C13888" w:rsidRPr="00286B98">
        <w:rPr>
          <w:rFonts w:ascii="Verdana" w:eastAsia="Verdana" w:hAnsi="Verdana" w:cs="Verdana"/>
          <w:sz w:val="20"/>
          <w:szCs w:val="20"/>
          <w:lang w:val="fr-FR"/>
        </w:rPr>
        <w:t>onstatant l’intégrité des procédures électorales</w:t>
      </w:r>
      <w:r>
        <w:rPr>
          <w:rFonts w:ascii="Verdana" w:eastAsia="Verdana" w:hAnsi="Verdana" w:cs="Verdana"/>
          <w:sz w:val="20"/>
          <w:szCs w:val="20"/>
          <w:lang w:val="fr-FR"/>
        </w:rPr>
        <w:t xml:space="preserve"> est garantie lorsque </w:t>
      </w:r>
      <w:r w:rsidR="00C13888" w:rsidRPr="00286B98">
        <w:rPr>
          <w:rFonts w:ascii="Verdana" w:eastAsia="Verdana" w:hAnsi="Verdana" w:cs="Verdana"/>
          <w:sz w:val="20"/>
          <w:szCs w:val="20"/>
          <w:lang w:val="fr-FR"/>
        </w:rPr>
        <w:t>l’égalité des conditions d’accès aux médias et l’équité des campagnes électorales</w:t>
      </w:r>
      <w:r>
        <w:rPr>
          <w:rFonts w:ascii="Verdana" w:eastAsia="Verdana" w:hAnsi="Verdana" w:cs="Verdana"/>
          <w:sz w:val="20"/>
          <w:szCs w:val="20"/>
          <w:lang w:val="fr-FR"/>
        </w:rPr>
        <w:t xml:space="preserve"> est respectée</w:t>
      </w:r>
      <w:r w:rsidR="001E07FD">
        <w:rPr>
          <w:rFonts w:ascii="Verdana" w:eastAsia="Verdana" w:hAnsi="Verdana" w:cs="Verdana"/>
          <w:sz w:val="20"/>
          <w:szCs w:val="20"/>
          <w:lang w:val="fr-FR"/>
        </w:rPr>
        <w:t>,</w:t>
      </w:r>
      <w:r w:rsidR="00C13888" w:rsidRPr="00286B98">
        <w:rPr>
          <w:rFonts w:ascii="Verdana" w:eastAsia="Verdana" w:hAnsi="Verdana" w:cs="Verdana"/>
          <w:sz w:val="20"/>
          <w:szCs w:val="20"/>
          <w:lang w:val="fr-FR"/>
        </w:rPr>
        <w:t xml:space="preserve"> et reconnaissant que le nouvel écosystème de l’information peut être source d’inégalités et d’opacité au sein des partis politiques et des candidats ;</w:t>
      </w:r>
    </w:p>
    <w:p w14:paraId="1DC86DCA" w14:textId="77777777" w:rsidR="00D21F6D" w:rsidRPr="00286B98" w:rsidRDefault="00D21F6D" w:rsidP="00E106C2">
      <w:pPr>
        <w:widowControl w:val="0"/>
        <w:pBdr>
          <w:top w:val="nil"/>
          <w:left w:val="nil"/>
          <w:bottom w:val="nil"/>
          <w:right w:val="nil"/>
          <w:between w:val="nil"/>
        </w:pBdr>
        <w:spacing w:line="259" w:lineRule="auto"/>
        <w:jc w:val="both"/>
        <w:rPr>
          <w:rFonts w:ascii="Verdana" w:eastAsia="Verdana" w:hAnsi="Verdana" w:cs="Verdana"/>
          <w:sz w:val="20"/>
          <w:szCs w:val="20"/>
          <w:lang w:val="fr-FR"/>
        </w:rPr>
      </w:pPr>
    </w:p>
    <w:p w14:paraId="2D28A471" w14:textId="0EF60387" w:rsidR="00D21F6D" w:rsidRDefault="00F0731C" w:rsidP="00C13888">
      <w:pPr>
        <w:widowControl w:val="0"/>
        <w:pBdr>
          <w:top w:val="nil"/>
          <w:left w:val="nil"/>
          <w:bottom w:val="nil"/>
          <w:right w:val="nil"/>
          <w:between w:val="nil"/>
        </w:pBdr>
        <w:spacing w:line="259" w:lineRule="auto"/>
        <w:jc w:val="both"/>
        <w:rPr>
          <w:rFonts w:ascii="Verdana" w:eastAsia="Verdana" w:hAnsi="Verdana" w:cs="Verdana"/>
          <w:sz w:val="20"/>
          <w:szCs w:val="20"/>
          <w:lang w:val="fr-FR"/>
        </w:rPr>
      </w:pPr>
      <w:r>
        <w:rPr>
          <w:rFonts w:ascii="Verdana" w:eastAsia="Verdana" w:hAnsi="Verdana" w:cs="Verdana"/>
          <w:sz w:val="20"/>
          <w:szCs w:val="20"/>
          <w:lang w:val="fr-FR"/>
        </w:rPr>
        <w:t>N</w:t>
      </w:r>
      <w:r w:rsidR="00C13888" w:rsidRPr="00286B98">
        <w:rPr>
          <w:rFonts w:ascii="Verdana" w:eastAsia="Verdana" w:hAnsi="Verdana" w:cs="Verdana"/>
          <w:sz w:val="20"/>
          <w:szCs w:val="20"/>
          <w:lang w:val="fr-FR"/>
        </w:rPr>
        <w:t xml:space="preserve">otant que le recours massif à la communication </w:t>
      </w:r>
      <w:r w:rsidR="00C13888" w:rsidRPr="00B80E66">
        <w:rPr>
          <w:rFonts w:ascii="Verdana" w:eastAsia="Verdana" w:hAnsi="Verdana" w:cs="Verdana"/>
          <w:sz w:val="20"/>
          <w:szCs w:val="20"/>
          <w:lang w:val="fr-FR"/>
        </w:rPr>
        <w:t>en ligne à des fins électorales peut conduire à l’utilisation abusive de données personnelles, à un abus du microciblage et à l’emploi de techniques opaques</w:t>
      </w:r>
      <w:r w:rsidR="00B80E66" w:rsidRPr="00B80E66">
        <w:rPr>
          <w:rFonts w:ascii="Verdana" w:eastAsia="Verdana" w:hAnsi="Verdana" w:cs="Verdana"/>
          <w:sz w:val="20"/>
          <w:szCs w:val="20"/>
          <w:lang w:val="fr-FR"/>
        </w:rPr>
        <w:t xml:space="preserve">, </w:t>
      </w:r>
      <w:r w:rsidR="00B80E66" w:rsidRPr="00B80E66">
        <w:rPr>
          <w:rFonts w:ascii="Verdana" w:eastAsia="Verdana" w:hAnsi="Verdana"/>
          <w:sz w:val="20"/>
          <w:lang w:val="fr-FR"/>
        </w:rPr>
        <w:t>notamment d'abus de bots et d'algorithmes</w:t>
      </w:r>
      <w:r w:rsidR="00B80E66" w:rsidRPr="00B80E66">
        <w:rPr>
          <w:rFonts w:ascii="Verdana" w:eastAsia="Verdana" w:hAnsi="Verdana" w:cs="Verdana"/>
          <w:sz w:val="20"/>
          <w:szCs w:val="20"/>
          <w:lang w:val="fr-FR"/>
        </w:rPr>
        <w:t xml:space="preserve">, </w:t>
      </w:r>
      <w:r w:rsidR="00C13888" w:rsidRPr="00B80E66">
        <w:rPr>
          <w:rFonts w:ascii="Verdana" w:eastAsia="Verdana" w:hAnsi="Verdana" w:cs="Verdana"/>
          <w:sz w:val="20"/>
          <w:szCs w:val="20"/>
          <w:lang w:val="fr-FR"/>
        </w:rPr>
        <w:t>pour diffuser l’information ; et reconnaissant que la segmentation de l’électorat</w:t>
      </w:r>
      <w:r w:rsidR="00C13888" w:rsidRPr="00286B98">
        <w:rPr>
          <w:rFonts w:ascii="Verdana" w:eastAsia="Verdana" w:hAnsi="Verdana" w:cs="Verdana"/>
          <w:sz w:val="20"/>
          <w:szCs w:val="20"/>
          <w:lang w:val="fr-FR"/>
        </w:rPr>
        <w:t xml:space="preserve"> peut aggraver la polarisation d</w:t>
      </w:r>
      <w:r w:rsidR="001E07FD">
        <w:rPr>
          <w:rFonts w:ascii="Verdana" w:eastAsia="Verdana" w:hAnsi="Verdana" w:cs="Verdana"/>
          <w:sz w:val="20"/>
          <w:szCs w:val="20"/>
          <w:lang w:val="fr-FR"/>
        </w:rPr>
        <w:t>u</w:t>
      </w:r>
      <w:r w:rsidR="00C13888" w:rsidRPr="00286B98">
        <w:rPr>
          <w:rFonts w:ascii="Verdana" w:eastAsia="Verdana" w:hAnsi="Verdana" w:cs="Verdana"/>
          <w:sz w:val="20"/>
          <w:szCs w:val="20"/>
          <w:lang w:val="fr-FR"/>
        </w:rPr>
        <w:t xml:space="preserve"> débat et </w:t>
      </w:r>
      <w:r w:rsidR="001E07FD">
        <w:rPr>
          <w:rFonts w:ascii="Verdana" w:eastAsia="Verdana" w:hAnsi="Verdana" w:cs="Verdana"/>
          <w:sz w:val="20"/>
          <w:szCs w:val="20"/>
          <w:lang w:val="fr-FR"/>
        </w:rPr>
        <w:t xml:space="preserve">nuire au </w:t>
      </w:r>
      <w:r w:rsidR="00C13888" w:rsidRPr="00286B98">
        <w:rPr>
          <w:rFonts w:ascii="Verdana" w:eastAsia="Verdana" w:hAnsi="Verdana" w:cs="Verdana"/>
          <w:sz w:val="20"/>
          <w:szCs w:val="20"/>
          <w:lang w:val="fr-FR"/>
        </w:rPr>
        <w:t xml:space="preserve">débat politique public </w:t>
      </w:r>
      <w:r w:rsidR="001E07FD">
        <w:rPr>
          <w:rFonts w:ascii="Verdana" w:eastAsia="Verdana" w:hAnsi="Verdana" w:cs="Verdana"/>
          <w:sz w:val="20"/>
          <w:szCs w:val="20"/>
          <w:lang w:val="fr-FR"/>
        </w:rPr>
        <w:t xml:space="preserve">au profit d’une </w:t>
      </w:r>
      <w:r w:rsidR="00C13888" w:rsidRPr="00286B98">
        <w:rPr>
          <w:rFonts w:ascii="Verdana" w:eastAsia="Verdana" w:hAnsi="Verdana" w:cs="Verdana"/>
          <w:sz w:val="20"/>
          <w:szCs w:val="20"/>
          <w:lang w:val="fr-FR"/>
        </w:rPr>
        <w:t>communication fermée, personnalisée et ciblée ;</w:t>
      </w:r>
    </w:p>
    <w:p w14:paraId="0EF20E37" w14:textId="771801FC" w:rsidR="00B80E66" w:rsidRDefault="00B80E66" w:rsidP="00C13888">
      <w:pPr>
        <w:widowControl w:val="0"/>
        <w:pBdr>
          <w:top w:val="nil"/>
          <w:left w:val="nil"/>
          <w:bottom w:val="nil"/>
          <w:right w:val="nil"/>
          <w:between w:val="nil"/>
        </w:pBdr>
        <w:spacing w:line="259" w:lineRule="auto"/>
        <w:jc w:val="both"/>
        <w:rPr>
          <w:rFonts w:ascii="Verdana" w:eastAsia="Verdana" w:hAnsi="Verdana" w:cs="Verdana"/>
          <w:sz w:val="20"/>
          <w:szCs w:val="20"/>
          <w:lang w:val="fr-FR"/>
        </w:rPr>
      </w:pPr>
    </w:p>
    <w:p w14:paraId="0B395686" w14:textId="3675008E" w:rsidR="00D21F6D" w:rsidRPr="00B80E66" w:rsidRDefault="00B80E66" w:rsidP="00B80E66">
      <w:pPr>
        <w:widowControl w:val="0"/>
        <w:spacing w:after="240" w:line="259" w:lineRule="auto"/>
        <w:jc w:val="both"/>
        <w:rPr>
          <w:rFonts w:ascii="Verdana" w:hAnsi="Verdana"/>
          <w:sz w:val="20"/>
          <w:lang w:val="fr-FR"/>
        </w:rPr>
      </w:pPr>
      <w:r w:rsidRPr="00B80E66">
        <w:rPr>
          <w:rFonts w:ascii="Verdana" w:eastAsia="Verdana" w:hAnsi="Verdana"/>
          <w:sz w:val="20"/>
          <w:lang w:val="fr-FR"/>
        </w:rPr>
        <w:t xml:space="preserve">Considérant que les campagnes électorales ont mis au point des procédures et des technologies de profilage psychologique destinées à susciter des réponses </w:t>
      </w:r>
      <w:r w:rsidR="00F83C79" w:rsidRPr="00B80E66">
        <w:rPr>
          <w:rFonts w:ascii="Verdana" w:eastAsia="Verdana" w:hAnsi="Verdana" w:cs="Verdana"/>
          <w:sz w:val="20"/>
          <w:szCs w:val="20"/>
          <w:lang w:val="fr-FR"/>
        </w:rPr>
        <w:t>de l’électorat</w:t>
      </w:r>
      <w:r w:rsidR="00F83C79" w:rsidRPr="00286B98">
        <w:rPr>
          <w:rFonts w:ascii="Verdana" w:eastAsia="Verdana" w:hAnsi="Verdana" w:cs="Verdana"/>
          <w:sz w:val="20"/>
          <w:szCs w:val="20"/>
          <w:lang w:val="fr-FR"/>
        </w:rPr>
        <w:t xml:space="preserve"> </w:t>
      </w:r>
      <w:r w:rsidRPr="00B80E66">
        <w:rPr>
          <w:rFonts w:ascii="Verdana" w:eastAsia="Verdana" w:hAnsi="Verdana"/>
          <w:sz w:val="20"/>
          <w:lang w:val="fr-FR"/>
        </w:rPr>
        <w:t>sur la base de réactions émotionnelles plutôt que de choix raisonnés et autonomes</w:t>
      </w:r>
      <w:r w:rsidRPr="00B80E66">
        <w:rPr>
          <w:rFonts w:ascii="Verdana" w:eastAsia="Verdana" w:hAnsi="Verdana"/>
          <w:sz w:val="20"/>
          <w:lang w:val="fr-FR"/>
        </w:rPr>
        <w:t xml:space="preserve"> ; </w:t>
      </w:r>
    </w:p>
    <w:p w14:paraId="31B9137E" w14:textId="085344C6" w:rsidR="00D21F6D" w:rsidRDefault="00F0731C" w:rsidP="00C13888">
      <w:pPr>
        <w:widowControl w:val="0"/>
        <w:pBdr>
          <w:top w:val="nil"/>
          <w:left w:val="nil"/>
          <w:bottom w:val="nil"/>
          <w:right w:val="nil"/>
          <w:between w:val="nil"/>
        </w:pBdr>
        <w:spacing w:line="259" w:lineRule="auto"/>
        <w:jc w:val="both"/>
        <w:rPr>
          <w:rFonts w:ascii="Verdana" w:eastAsia="Verdana" w:hAnsi="Verdana" w:cs="Verdana"/>
          <w:sz w:val="20"/>
          <w:szCs w:val="20"/>
          <w:lang w:val="fr-FR"/>
        </w:rPr>
      </w:pPr>
      <w:r w:rsidRPr="00B80E66">
        <w:rPr>
          <w:rFonts w:ascii="Verdana" w:eastAsia="Verdana" w:hAnsi="Verdana" w:cs="Verdana"/>
          <w:sz w:val="20"/>
          <w:szCs w:val="20"/>
          <w:lang w:val="fr-FR"/>
        </w:rPr>
        <w:t>C</w:t>
      </w:r>
      <w:r w:rsidR="00C13888" w:rsidRPr="00B80E66">
        <w:rPr>
          <w:rFonts w:ascii="Verdana" w:eastAsia="Verdana" w:hAnsi="Verdana" w:cs="Verdana"/>
          <w:sz w:val="20"/>
          <w:szCs w:val="20"/>
          <w:lang w:val="fr-FR"/>
        </w:rPr>
        <w:t>onscient</w:t>
      </w:r>
      <w:r w:rsidR="00C13888" w:rsidRPr="00286B98">
        <w:rPr>
          <w:rFonts w:ascii="Verdana" w:eastAsia="Verdana" w:hAnsi="Verdana" w:cs="Verdana"/>
          <w:sz w:val="20"/>
          <w:szCs w:val="20"/>
          <w:lang w:val="fr-FR"/>
        </w:rPr>
        <w:t xml:space="preserve"> que les </w:t>
      </w:r>
      <w:r w:rsidR="00C13888" w:rsidRPr="00F83C79">
        <w:rPr>
          <w:rFonts w:ascii="Verdana" w:eastAsia="Verdana" w:hAnsi="Verdana" w:cs="Verdana"/>
          <w:sz w:val="20"/>
          <w:szCs w:val="20"/>
          <w:lang w:val="fr-FR"/>
        </w:rPr>
        <w:t xml:space="preserve">citoyens </w:t>
      </w:r>
      <w:r w:rsidR="00F83C79" w:rsidRPr="00F83C79">
        <w:rPr>
          <w:rFonts w:ascii="Verdana" w:eastAsia="Verdana" w:hAnsi="Verdana" w:cs="Verdana"/>
          <w:sz w:val="20"/>
          <w:szCs w:val="20"/>
          <w:lang w:val="fr-FR"/>
        </w:rPr>
        <w:t xml:space="preserve">semblent être de plus en plus </w:t>
      </w:r>
      <w:r w:rsidR="00F83C79" w:rsidRPr="00F83C79">
        <w:rPr>
          <w:rFonts w:ascii="Verdana" w:eastAsia="Verdana" w:hAnsi="Verdana"/>
          <w:sz w:val="20"/>
          <w:lang w:val="fr-FR"/>
        </w:rPr>
        <w:t>exposés</w:t>
      </w:r>
      <w:r w:rsidR="00F83C79" w:rsidRPr="00F83C79">
        <w:rPr>
          <w:rFonts w:ascii="Verdana" w:eastAsia="Verdana" w:hAnsi="Verdana"/>
          <w:sz w:val="20"/>
          <w:lang w:val="fr-FR"/>
        </w:rPr>
        <w:t xml:space="preserve"> </w:t>
      </w:r>
      <w:r w:rsidR="00F83C79" w:rsidRPr="00F83C79">
        <w:rPr>
          <w:rFonts w:ascii="Verdana" w:eastAsia="Verdana" w:hAnsi="Verdana"/>
          <w:sz w:val="20"/>
          <w:lang w:val="fr-FR"/>
        </w:rPr>
        <w:t xml:space="preserve">à la </w:t>
      </w:r>
      <w:r w:rsidR="00F83C79" w:rsidRPr="00F83C79">
        <w:rPr>
          <w:rFonts w:ascii="Verdana" w:hAnsi="Verdana"/>
          <w:sz w:val="20"/>
          <w:lang w:val="fr-FR"/>
        </w:rPr>
        <w:t>désinformation en ligne</w:t>
      </w:r>
      <w:r w:rsidR="00C13888" w:rsidRPr="00F83C79">
        <w:rPr>
          <w:rFonts w:ascii="Verdana" w:eastAsia="Verdana" w:hAnsi="Verdana" w:cs="Verdana"/>
          <w:sz w:val="20"/>
          <w:szCs w:val="20"/>
          <w:lang w:val="fr-FR"/>
        </w:rPr>
        <w:t xml:space="preserve">, </w:t>
      </w:r>
      <w:r w:rsidR="00F83C79">
        <w:rPr>
          <w:rFonts w:ascii="Verdana" w:eastAsia="Verdana" w:hAnsi="Verdana" w:cs="Verdana"/>
          <w:sz w:val="20"/>
          <w:szCs w:val="20"/>
          <w:lang w:val="fr-FR"/>
        </w:rPr>
        <w:t xml:space="preserve">ce </w:t>
      </w:r>
      <w:r w:rsidR="00C13888" w:rsidRPr="00F83C79">
        <w:rPr>
          <w:rFonts w:ascii="Verdana" w:eastAsia="Verdana" w:hAnsi="Verdana" w:cs="Verdana"/>
          <w:sz w:val="20"/>
          <w:szCs w:val="20"/>
          <w:lang w:val="fr-FR"/>
        </w:rPr>
        <w:t>qui rend plus difficile de préserver l’intégrité des scrutins, d’assurer le pluralisme des médias et de mettre</w:t>
      </w:r>
      <w:r w:rsidR="00C13888" w:rsidRPr="00286B98">
        <w:rPr>
          <w:rFonts w:ascii="Verdana" w:eastAsia="Verdana" w:hAnsi="Verdana" w:cs="Verdana"/>
          <w:sz w:val="20"/>
          <w:szCs w:val="20"/>
          <w:lang w:val="fr-FR"/>
        </w:rPr>
        <w:t xml:space="preserve"> le processus démocratique à l’abri des manipulations ;</w:t>
      </w:r>
    </w:p>
    <w:p w14:paraId="5E73E3A4" w14:textId="77777777" w:rsidR="00F83C79" w:rsidRDefault="00F83C79" w:rsidP="00C13888">
      <w:pPr>
        <w:widowControl w:val="0"/>
        <w:pBdr>
          <w:top w:val="nil"/>
          <w:left w:val="nil"/>
          <w:bottom w:val="nil"/>
          <w:right w:val="nil"/>
          <w:between w:val="nil"/>
        </w:pBdr>
        <w:spacing w:line="259" w:lineRule="auto"/>
        <w:jc w:val="both"/>
        <w:rPr>
          <w:rFonts w:ascii="Verdana" w:eastAsia="Verdana" w:hAnsi="Verdana" w:cs="Verdana"/>
          <w:sz w:val="20"/>
          <w:szCs w:val="20"/>
          <w:lang w:val="fr-FR"/>
        </w:rPr>
      </w:pPr>
    </w:p>
    <w:p w14:paraId="7D821FFD" w14:textId="7AB0748B" w:rsidR="00F83C79" w:rsidRPr="00286B98" w:rsidRDefault="00F83C79" w:rsidP="00C13888">
      <w:pPr>
        <w:widowControl w:val="0"/>
        <w:pBdr>
          <w:top w:val="nil"/>
          <w:left w:val="nil"/>
          <w:bottom w:val="nil"/>
          <w:right w:val="nil"/>
          <w:between w:val="nil"/>
        </w:pBdr>
        <w:spacing w:line="259" w:lineRule="auto"/>
        <w:jc w:val="both"/>
        <w:rPr>
          <w:rFonts w:ascii="Verdana" w:eastAsia="Verdana" w:hAnsi="Verdana" w:cs="Verdana"/>
          <w:sz w:val="20"/>
          <w:szCs w:val="20"/>
          <w:lang w:val="fr-FR"/>
        </w:rPr>
      </w:pPr>
      <w:r w:rsidRPr="00F83C79">
        <w:rPr>
          <w:rFonts w:ascii="Verdana" w:eastAsia="Verdana" w:hAnsi="Verdana" w:cs="Verdana"/>
          <w:sz w:val="20"/>
          <w:szCs w:val="20"/>
          <w:lang w:val="fr-FR"/>
        </w:rPr>
        <w:t>Considérant que la diffusion de la désinformation en ligne a été utilisée pour compromettre des élections libres et équitables, notamment par le biais de stratégies et de manipulations de gouvernements étrangers ;</w:t>
      </w:r>
    </w:p>
    <w:p w14:paraId="242DA72F" w14:textId="77777777" w:rsidR="00D21F6D" w:rsidRPr="00286B98" w:rsidRDefault="00D21F6D" w:rsidP="00E106C2">
      <w:pPr>
        <w:widowControl w:val="0"/>
        <w:pBdr>
          <w:top w:val="nil"/>
          <w:left w:val="nil"/>
          <w:bottom w:val="nil"/>
          <w:right w:val="nil"/>
          <w:between w:val="nil"/>
        </w:pBdr>
        <w:spacing w:line="259" w:lineRule="auto"/>
        <w:jc w:val="both"/>
        <w:rPr>
          <w:rFonts w:ascii="Verdana" w:eastAsia="Verdana" w:hAnsi="Verdana" w:cs="Verdana"/>
          <w:sz w:val="20"/>
          <w:szCs w:val="20"/>
          <w:lang w:val="fr-FR"/>
        </w:rPr>
      </w:pPr>
    </w:p>
    <w:p w14:paraId="06738AD2" w14:textId="386434FB" w:rsidR="00D21F6D" w:rsidRPr="00286B98" w:rsidRDefault="00F0731C" w:rsidP="00C13888">
      <w:pPr>
        <w:widowControl w:val="0"/>
        <w:pBdr>
          <w:top w:val="nil"/>
          <w:left w:val="nil"/>
          <w:bottom w:val="nil"/>
          <w:right w:val="nil"/>
          <w:between w:val="nil"/>
        </w:pBdr>
        <w:spacing w:line="259" w:lineRule="auto"/>
        <w:jc w:val="both"/>
        <w:rPr>
          <w:rFonts w:ascii="Verdana" w:eastAsia="Verdana" w:hAnsi="Verdana" w:cs="Verdana"/>
          <w:sz w:val="20"/>
          <w:szCs w:val="20"/>
          <w:lang w:val="fr-FR"/>
        </w:rPr>
      </w:pPr>
      <w:r>
        <w:rPr>
          <w:rFonts w:ascii="Verdana" w:eastAsia="Verdana" w:hAnsi="Verdana" w:cs="Verdana"/>
          <w:sz w:val="20"/>
          <w:szCs w:val="20"/>
          <w:lang w:val="fr-FR"/>
        </w:rPr>
        <w:t>C</w:t>
      </w:r>
      <w:r w:rsidR="00C13888" w:rsidRPr="00286B98">
        <w:rPr>
          <w:rFonts w:ascii="Verdana" w:eastAsia="Verdana" w:hAnsi="Verdana" w:cs="Verdana"/>
          <w:sz w:val="20"/>
          <w:szCs w:val="20"/>
          <w:lang w:val="fr-FR"/>
        </w:rPr>
        <w:t xml:space="preserve">onstatant en outre que les risques qui pèsent sur l’intégrité des </w:t>
      </w:r>
      <w:r w:rsidR="008B777B">
        <w:rPr>
          <w:rFonts w:ascii="Verdana" w:eastAsia="Verdana" w:hAnsi="Verdana" w:cs="Verdana"/>
          <w:sz w:val="20"/>
          <w:szCs w:val="20"/>
          <w:lang w:val="fr-FR"/>
        </w:rPr>
        <w:t xml:space="preserve">scrutins </w:t>
      </w:r>
      <w:r w:rsidR="00C13888" w:rsidRPr="00286B98">
        <w:rPr>
          <w:rFonts w:ascii="Verdana" w:eastAsia="Verdana" w:hAnsi="Verdana" w:cs="Verdana"/>
          <w:sz w:val="20"/>
          <w:szCs w:val="20"/>
          <w:lang w:val="fr-FR"/>
        </w:rPr>
        <w:t>proviennent également d’un manque de recherches empiriques et de données sur le microciblage électoral, les pratiques de communication des acteurs politiques et les pratiques de modération des plateformes en ligne ;</w:t>
      </w:r>
    </w:p>
    <w:p w14:paraId="74768D61" w14:textId="77777777" w:rsidR="00D21F6D" w:rsidRPr="00286B98" w:rsidRDefault="00D21F6D" w:rsidP="00E106C2">
      <w:pPr>
        <w:widowControl w:val="0"/>
        <w:pBdr>
          <w:top w:val="nil"/>
          <w:left w:val="nil"/>
          <w:bottom w:val="nil"/>
          <w:right w:val="nil"/>
          <w:between w:val="nil"/>
        </w:pBdr>
        <w:spacing w:line="259" w:lineRule="auto"/>
        <w:jc w:val="both"/>
        <w:rPr>
          <w:rFonts w:ascii="Verdana" w:eastAsia="Verdana" w:hAnsi="Verdana" w:cs="Verdana"/>
          <w:sz w:val="20"/>
          <w:szCs w:val="20"/>
          <w:lang w:val="fr-FR"/>
        </w:rPr>
      </w:pPr>
    </w:p>
    <w:p w14:paraId="031ABDA6" w14:textId="1EC77CE2" w:rsidR="00D21F6D" w:rsidRPr="00286B98" w:rsidRDefault="00F83C79" w:rsidP="00C13888">
      <w:pPr>
        <w:jc w:val="both"/>
        <w:rPr>
          <w:rFonts w:ascii="Verdana" w:eastAsia="Verdana" w:hAnsi="Verdana" w:cs="Verdana"/>
          <w:color w:val="000000" w:themeColor="text1"/>
          <w:sz w:val="20"/>
          <w:szCs w:val="20"/>
          <w:lang w:val="fr-FR"/>
        </w:rPr>
      </w:pPr>
      <w:r>
        <w:rPr>
          <w:rFonts w:ascii="Verdana" w:eastAsia="Verdana" w:hAnsi="Verdana" w:cs="Verdana"/>
          <w:sz w:val="20"/>
          <w:szCs w:val="20"/>
          <w:lang w:val="fr-FR"/>
        </w:rPr>
        <w:t>C</w:t>
      </w:r>
      <w:r w:rsidR="00C13888" w:rsidRPr="00286B98">
        <w:rPr>
          <w:rFonts w:ascii="Verdana" w:eastAsia="Verdana" w:hAnsi="Verdana" w:cs="Verdana"/>
          <w:sz w:val="20"/>
          <w:szCs w:val="20"/>
          <w:lang w:val="fr-FR"/>
        </w:rPr>
        <w:t>onvaincu que toute modification des cadres existants en matière de communication électorale et de couverture médiatique des campagnes électorales devrait reposer sur les principes de la gouvernance des médias, de la communication et d’internet énoncés dans les précédentes recommandations du Comité des Ministres aux États membres ainsi que dans ses déclarations, notamment :</w:t>
      </w:r>
    </w:p>
    <w:p w14:paraId="4B5DEF66" w14:textId="5747F00E" w:rsidR="002865F6" w:rsidRPr="00286B98" w:rsidRDefault="00347757" w:rsidP="00347757">
      <w:pPr>
        <w:numPr>
          <w:ilvl w:val="0"/>
          <w:numId w:val="3"/>
        </w:numPr>
        <w:pBdr>
          <w:top w:val="nil"/>
          <w:left w:val="nil"/>
          <w:bottom w:val="nil"/>
          <w:right w:val="nil"/>
          <w:between w:val="nil"/>
        </w:pBdr>
        <w:spacing w:line="259" w:lineRule="auto"/>
        <w:jc w:val="both"/>
        <w:rPr>
          <w:rFonts w:ascii="Verdana" w:eastAsia="Verdana" w:hAnsi="Verdana" w:cs="Verdana"/>
          <w:color w:val="000000" w:themeColor="text1"/>
          <w:sz w:val="20"/>
          <w:szCs w:val="20"/>
          <w:lang w:val="fr-FR"/>
        </w:rPr>
      </w:pPr>
      <w:proofErr w:type="gramStart"/>
      <w:r w:rsidRPr="00286B98">
        <w:rPr>
          <w:rFonts w:ascii="Verdana" w:eastAsia="Verdana" w:hAnsi="Verdana" w:cs="Verdana"/>
          <w:color w:val="000000" w:themeColor="text1"/>
          <w:sz w:val="20"/>
          <w:szCs w:val="20"/>
          <w:lang w:val="fr-FR"/>
        </w:rPr>
        <w:t>la</w:t>
      </w:r>
      <w:proofErr w:type="gramEnd"/>
      <w:r w:rsidRPr="00286B98">
        <w:rPr>
          <w:rFonts w:ascii="Verdana" w:eastAsia="Verdana" w:hAnsi="Verdana" w:cs="Verdana"/>
          <w:color w:val="000000" w:themeColor="text1"/>
          <w:sz w:val="20"/>
          <w:szCs w:val="20"/>
          <w:lang w:val="fr-FR"/>
        </w:rPr>
        <w:t xml:space="preserve"> Recommandation CM/Rec(20XX)XX du Comité des Ministres aux États membres sur la promotion d’un environnement favorable à un journalisme de qualité à l’ère du numérique ;</w:t>
      </w:r>
    </w:p>
    <w:p w14:paraId="3259CE6A" w14:textId="5CEA9C1C" w:rsidR="002865F6" w:rsidRPr="00286B98" w:rsidRDefault="00F824A9" w:rsidP="00F824A9">
      <w:pPr>
        <w:numPr>
          <w:ilvl w:val="0"/>
          <w:numId w:val="3"/>
        </w:numPr>
        <w:pBdr>
          <w:top w:val="nil"/>
          <w:left w:val="nil"/>
          <w:bottom w:val="nil"/>
          <w:right w:val="nil"/>
          <w:between w:val="nil"/>
        </w:pBdr>
        <w:spacing w:line="259" w:lineRule="auto"/>
        <w:jc w:val="both"/>
        <w:rPr>
          <w:rFonts w:ascii="Verdana" w:eastAsia="Verdana" w:hAnsi="Verdana" w:cs="Verdana"/>
          <w:color w:val="000000" w:themeColor="text1"/>
          <w:sz w:val="20"/>
          <w:szCs w:val="20"/>
          <w:lang w:val="fr-FR"/>
        </w:rPr>
      </w:pPr>
      <w:proofErr w:type="gramStart"/>
      <w:r w:rsidRPr="00286B98">
        <w:rPr>
          <w:rFonts w:ascii="Verdana" w:eastAsia="Times New Roman" w:hAnsi="Verdana" w:cs="Times New Roman"/>
          <w:color w:val="000000" w:themeColor="text1"/>
          <w:sz w:val="20"/>
          <w:szCs w:val="20"/>
          <w:lang w:val="fr-FR" w:eastAsia="en-GB"/>
        </w:rPr>
        <w:t>la</w:t>
      </w:r>
      <w:proofErr w:type="gramEnd"/>
      <w:r w:rsidRPr="00286B98">
        <w:rPr>
          <w:rFonts w:ascii="Verdana" w:eastAsia="Times New Roman" w:hAnsi="Verdana" w:cs="Times New Roman"/>
          <w:color w:val="000000" w:themeColor="text1"/>
          <w:sz w:val="20"/>
          <w:szCs w:val="20"/>
          <w:lang w:val="fr-FR" w:eastAsia="en-GB"/>
        </w:rPr>
        <w:t xml:space="preserve"> Recommandation CM/Rec(2020)1 du Comité des Ministres aux États membres sur les impacts des systèmes algorithmiques sur les droits de l’homme ;</w:t>
      </w:r>
    </w:p>
    <w:p w14:paraId="678456BD" w14:textId="77777777" w:rsidR="00C24591" w:rsidRDefault="00347757" w:rsidP="00347757">
      <w:pPr>
        <w:numPr>
          <w:ilvl w:val="0"/>
          <w:numId w:val="3"/>
        </w:numPr>
        <w:pBdr>
          <w:top w:val="nil"/>
          <w:left w:val="nil"/>
          <w:bottom w:val="nil"/>
          <w:right w:val="nil"/>
          <w:between w:val="nil"/>
        </w:pBdr>
        <w:spacing w:line="259" w:lineRule="auto"/>
        <w:jc w:val="both"/>
        <w:rPr>
          <w:rFonts w:ascii="Verdana" w:eastAsia="Verdana" w:hAnsi="Verdana" w:cs="Verdana"/>
          <w:color w:val="000000" w:themeColor="text1"/>
          <w:sz w:val="20"/>
          <w:szCs w:val="20"/>
          <w:lang w:val="fr-FR"/>
        </w:rPr>
      </w:pPr>
      <w:proofErr w:type="gramStart"/>
      <w:r w:rsidRPr="00286B98">
        <w:rPr>
          <w:rFonts w:ascii="Verdana" w:eastAsia="Verdana" w:hAnsi="Verdana" w:cs="Verdana"/>
          <w:color w:val="000000" w:themeColor="text1"/>
          <w:sz w:val="20"/>
          <w:szCs w:val="20"/>
          <w:lang w:val="fr-FR"/>
        </w:rPr>
        <w:t>la</w:t>
      </w:r>
      <w:proofErr w:type="gramEnd"/>
      <w:r w:rsidRPr="00286B98">
        <w:rPr>
          <w:rFonts w:ascii="Verdana" w:eastAsia="Verdana" w:hAnsi="Verdana" w:cs="Verdana"/>
          <w:color w:val="000000" w:themeColor="text1"/>
          <w:sz w:val="20"/>
          <w:szCs w:val="20"/>
          <w:lang w:val="fr-FR"/>
        </w:rPr>
        <w:t xml:space="preserve"> Recommandation CM/Rec(2018)1 du Comité des Ministres aux États membres sur le pluralisme des médias et la transparence de leur propriété ;</w:t>
      </w:r>
    </w:p>
    <w:p w14:paraId="6A9174D5" w14:textId="665BB6E5" w:rsidR="00D21F6D" w:rsidRPr="00286B98" w:rsidRDefault="00347757" w:rsidP="00347757">
      <w:pPr>
        <w:numPr>
          <w:ilvl w:val="0"/>
          <w:numId w:val="3"/>
        </w:numPr>
        <w:pBdr>
          <w:top w:val="nil"/>
          <w:left w:val="nil"/>
          <w:bottom w:val="nil"/>
          <w:right w:val="nil"/>
          <w:between w:val="nil"/>
        </w:pBdr>
        <w:spacing w:line="259" w:lineRule="auto"/>
        <w:jc w:val="both"/>
        <w:rPr>
          <w:rFonts w:ascii="Verdana" w:eastAsia="Verdana" w:hAnsi="Verdana" w:cs="Verdana"/>
          <w:color w:val="000000" w:themeColor="text1"/>
          <w:sz w:val="20"/>
          <w:szCs w:val="20"/>
          <w:lang w:val="fr-FR"/>
        </w:rPr>
      </w:pPr>
      <w:proofErr w:type="gramStart"/>
      <w:r w:rsidRPr="00286B98">
        <w:rPr>
          <w:rFonts w:ascii="Verdana" w:eastAsia="Verdana" w:hAnsi="Verdana" w:cs="Verdana"/>
          <w:color w:val="000000" w:themeColor="text1"/>
          <w:sz w:val="20"/>
          <w:szCs w:val="20"/>
          <w:lang w:val="fr-FR"/>
        </w:rPr>
        <w:t>la</w:t>
      </w:r>
      <w:proofErr w:type="gramEnd"/>
      <w:r w:rsidRPr="00286B98">
        <w:rPr>
          <w:rFonts w:ascii="Verdana" w:eastAsia="Verdana" w:hAnsi="Verdana" w:cs="Verdana"/>
          <w:color w:val="000000" w:themeColor="text1"/>
          <w:sz w:val="20"/>
          <w:szCs w:val="20"/>
          <w:lang w:val="fr-FR"/>
        </w:rPr>
        <w:t xml:space="preserve"> Recommandation CM/Rec(2018)2 du Comité des Ministres aux États membres sur les rôles et les responsabilités des intermédiaires d’internet ;</w:t>
      </w:r>
    </w:p>
    <w:p w14:paraId="693C0D7B" w14:textId="3FEA7E26" w:rsidR="00D21F6D" w:rsidRPr="00286B98" w:rsidRDefault="00347757" w:rsidP="00347757">
      <w:pPr>
        <w:numPr>
          <w:ilvl w:val="0"/>
          <w:numId w:val="3"/>
        </w:numPr>
        <w:pBdr>
          <w:top w:val="nil"/>
          <w:left w:val="nil"/>
          <w:bottom w:val="nil"/>
          <w:right w:val="nil"/>
          <w:between w:val="nil"/>
        </w:pBdr>
        <w:spacing w:line="259" w:lineRule="auto"/>
        <w:jc w:val="both"/>
        <w:rPr>
          <w:rFonts w:ascii="Verdana" w:eastAsia="Verdana" w:hAnsi="Verdana" w:cs="Verdana"/>
          <w:color w:val="000000" w:themeColor="text1"/>
          <w:sz w:val="20"/>
          <w:szCs w:val="20"/>
          <w:lang w:val="fr-FR"/>
        </w:rPr>
      </w:pPr>
      <w:proofErr w:type="gramStart"/>
      <w:r w:rsidRPr="00286B98">
        <w:rPr>
          <w:rFonts w:ascii="Verdana" w:eastAsia="Verdana" w:hAnsi="Verdana" w:cs="Verdana"/>
          <w:color w:val="000000" w:themeColor="text1"/>
          <w:sz w:val="20"/>
          <w:szCs w:val="20"/>
          <w:lang w:val="fr-FR"/>
        </w:rPr>
        <w:lastRenderedPageBreak/>
        <w:t>la</w:t>
      </w:r>
      <w:proofErr w:type="gramEnd"/>
      <w:r w:rsidRPr="00286B98">
        <w:rPr>
          <w:rFonts w:ascii="Verdana" w:eastAsia="Verdana" w:hAnsi="Verdana" w:cs="Verdana"/>
          <w:color w:val="000000" w:themeColor="text1"/>
          <w:sz w:val="20"/>
          <w:szCs w:val="20"/>
          <w:lang w:val="fr-FR"/>
        </w:rPr>
        <w:t xml:space="preserve"> Recommandation CM/Rec(2016)1 du Comité des Ministres aux États membres </w:t>
      </w:r>
      <w:bookmarkStart w:id="2" w:name="_Hlk70612299"/>
      <w:r w:rsidRPr="00286B98">
        <w:rPr>
          <w:rFonts w:ascii="Verdana" w:eastAsia="Verdana" w:hAnsi="Verdana" w:cs="Verdana"/>
          <w:color w:val="000000" w:themeColor="text1"/>
          <w:sz w:val="20"/>
          <w:szCs w:val="20"/>
          <w:lang w:val="fr-FR"/>
        </w:rPr>
        <w:t>sur la protection et la promotion du droit à la liberté d</w:t>
      </w:r>
      <w:r w:rsidR="00C24591">
        <w:rPr>
          <w:rFonts w:ascii="Verdana" w:eastAsia="Verdana" w:hAnsi="Verdana" w:cs="Verdana"/>
          <w:color w:val="000000" w:themeColor="text1"/>
          <w:sz w:val="20"/>
          <w:szCs w:val="20"/>
          <w:lang w:val="fr-FR"/>
        </w:rPr>
        <w:t>’</w:t>
      </w:r>
      <w:r w:rsidRPr="00286B98">
        <w:rPr>
          <w:rFonts w:ascii="Verdana" w:eastAsia="Verdana" w:hAnsi="Verdana" w:cs="Verdana"/>
          <w:color w:val="000000" w:themeColor="text1"/>
          <w:sz w:val="20"/>
          <w:szCs w:val="20"/>
          <w:lang w:val="fr-FR"/>
        </w:rPr>
        <w:t>expression et du droit à la vie privée en lien avec la neutralité du réseau </w:t>
      </w:r>
      <w:bookmarkEnd w:id="2"/>
      <w:r w:rsidRPr="00286B98">
        <w:rPr>
          <w:rFonts w:ascii="Verdana" w:eastAsia="Verdana" w:hAnsi="Verdana" w:cs="Verdana"/>
          <w:color w:val="000000" w:themeColor="text1"/>
          <w:sz w:val="20"/>
          <w:szCs w:val="20"/>
          <w:lang w:val="fr-FR"/>
        </w:rPr>
        <w:t>;</w:t>
      </w:r>
    </w:p>
    <w:p w14:paraId="3FDE1C6C" w14:textId="1A803993" w:rsidR="00D21F6D" w:rsidRPr="00286B98" w:rsidRDefault="00347757" w:rsidP="00347757">
      <w:pPr>
        <w:numPr>
          <w:ilvl w:val="0"/>
          <w:numId w:val="3"/>
        </w:numPr>
        <w:pBdr>
          <w:top w:val="nil"/>
          <w:left w:val="nil"/>
          <w:bottom w:val="nil"/>
          <w:right w:val="nil"/>
          <w:between w:val="nil"/>
        </w:pBdr>
        <w:spacing w:line="259" w:lineRule="auto"/>
        <w:jc w:val="both"/>
        <w:rPr>
          <w:rFonts w:ascii="Verdana" w:eastAsia="Verdana" w:hAnsi="Verdana" w:cs="Verdana"/>
          <w:color w:val="000000" w:themeColor="text1"/>
          <w:sz w:val="20"/>
          <w:szCs w:val="20"/>
          <w:lang w:val="fr-FR"/>
        </w:rPr>
      </w:pPr>
      <w:proofErr w:type="gramStart"/>
      <w:r w:rsidRPr="00286B98">
        <w:rPr>
          <w:rFonts w:ascii="Verdana" w:eastAsia="Verdana" w:hAnsi="Verdana" w:cs="Verdana"/>
          <w:color w:val="000000" w:themeColor="text1"/>
          <w:sz w:val="20"/>
          <w:szCs w:val="20"/>
          <w:lang w:val="fr-FR"/>
        </w:rPr>
        <w:t>la</w:t>
      </w:r>
      <w:proofErr w:type="gramEnd"/>
      <w:r w:rsidRPr="00286B98">
        <w:rPr>
          <w:rFonts w:ascii="Verdana" w:eastAsia="Verdana" w:hAnsi="Verdana" w:cs="Verdana"/>
          <w:color w:val="000000" w:themeColor="text1"/>
          <w:sz w:val="20"/>
          <w:szCs w:val="20"/>
          <w:lang w:val="fr-FR"/>
        </w:rPr>
        <w:t xml:space="preserve"> Recommandation CM</w:t>
      </w:r>
      <w:r w:rsidRPr="00286B98">
        <w:rPr>
          <w:rFonts w:ascii="Verdana" w:eastAsia="Verdana" w:hAnsi="Verdana" w:cs="Verdana"/>
          <w:sz w:val="20"/>
          <w:szCs w:val="20"/>
          <w:lang w:val="fr-FR"/>
        </w:rPr>
        <w:t>/Rec(2016)4</w:t>
      </w:r>
      <w:r w:rsidRPr="00286B98">
        <w:rPr>
          <w:rFonts w:ascii="Verdana" w:eastAsia="Verdana" w:hAnsi="Verdana" w:cs="Verdana"/>
          <w:color w:val="000000" w:themeColor="text1"/>
          <w:sz w:val="20"/>
          <w:szCs w:val="20"/>
          <w:lang w:val="fr-FR"/>
        </w:rPr>
        <w:t xml:space="preserve"> du Comité des Ministres aux États membres sur la protection du journalisme et la sécurité des journalistes et autres acteurs des médias ;</w:t>
      </w:r>
    </w:p>
    <w:p w14:paraId="46F534EC" w14:textId="21BED328" w:rsidR="00D21F6D" w:rsidRPr="00286B98" w:rsidRDefault="00347757" w:rsidP="00347757">
      <w:pPr>
        <w:numPr>
          <w:ilvl w:val="0"/>
          <w:numId w:val="3"/>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la</w:t>
      </w:r>
      <w:proofErr w:type="gramEnd"/>
      <w:r w:rsidRPr="00286B98">
        <w:rPr>
          <w:rFonts w:ascii="Verdana" w:eastAsia="Verdana" w:hAnsi="Verdana" w:cs="Verdana"/>
          <w:sz w:val="20"/>
          <w:szCs w:val="20"/>
          <w:lang w:val="fr-FR"/>
        </w:rPr>
        <w:t xml:space="preserve"> Recommandation CM/Rec(2016)5 du Comité des Ministres aux États membres sur la liberté d’internet ;</w:t>
      </w:r>
    </w:p>
    <w:p w14:paraId="47FC2BD5" w14:textId="090323AE" w:rsidR="00D21F6D" w:rsidRPr="00286B98" w:rsidRDefault="00C3632F" w:rsidP="00C3632F">
      <w:pPr>
        <w:numPr>
          <w:ilvl w:val="0"/>
          <w:numId w:val="3"/>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la</w:t>
      </w:r>
      <w:proofErr w:type="gramEnd"/>
      <w:r w:rsidRPr="00286B98">
        <w:rPr>
          <w:rFonts w:ascii="Verdana" w:eastAsia="Verdana" w:hAnsi="Verdana" w:cs="Verdana"/>
          <w:sz w:val="20"/>
          <w:szCs w:val="20"/>
          <w:lang w:val="fr-FR"/>
        </w:rPr>
        <w:t xml:space="preserve"> Recommandation CM/Rec(2011)7 du Comité des Ministres aux États membres sur une nouvelle conception des médias ;</w:t>
      </w:r>
    </w:p>
    <w:p w14:paraId="302A6C03" w14:textId="0D4A08DF" w:rsidR="00D21F6D" w:rsidRPr="00286B98" w:rsidRDefault="00286B98" w:rsidP="00DF1539">
      <w:pPr>
        <w:numPr>
          <w:ilvl w:val="0"/>
          <w:numId w:val="3"/>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la</w:t>
      </w:r>
      <w:proofErr w:type="gramEnd"/>
      <w:r w:rsidRPr="00286B98">
        <w:rPr>
          <w:rFonts w:ascii="Verdana" w:eastAsia="Verdana" w:hAnsi="Verdana" w:cs="Verdana"/>
          <w:sz w:val="20"/>
          <w:szCs w:val="20"/>
          <w:lang w:val="fr-FR"/>
        </w:rPr>
        <w:t xml:space="preserve"> </w:t>
      </w:r>
      <w:r w:rsidR="0070442D" w:rsidRPr="00286B98">
        <w:rPr>
          <w:rFonts w:ascii="Verdana" w:eastAsia="Verdana" w:hAnsi="Verdana" w:cs="Verdana"/>
          <w:sz w:val="20"/>
          <w:szCs w:val="20"/>
          <w:lang w:val="fr-FR"/>
        </w:rPr>
        <w:t>Recomm</w:t>
      </w:r>
      <w:r w:rsidRPr="00286B98">
        <w:rPr>
          <w:rFonts w:ascii="Verdana" w:eastAsia="Verdana" w:hAnsi="Verdana" w:cs="Verdana"/>
          <w:sz w:val="20"/>
          <w:szCs w:val="20"/>
          <w:lang w:val="fr-FR"/>
        </w:rPr>
        <w:t>a</w:t>
      </w:r>
      <w:r w:rsidR="0070442D" w:rsidRPr="00286B98">
        <w:rPr>
          <w:rFonts w:ascii="Verdana" w:eastAsia="Verdana" w:hAnsi="Verdana" w:cs="Verdana"/>
          <w:sz w:val="20"/>
          <w:szCs w:val="20"/>
          <w:lang w:val="fr-FR"/>
        </w:rPr>
        <w:t xml:space="preserve">ndation CM/Rec(2007)3 </w:t>
      </w:r>
      <w:r w:rsidRPr="00286B98">
        <w:rPr>
          <w:rFonts w:ascii="Verdana" w:eastAsia="Verdana" w:hAnsi="Verdana" w:cs="Verdana"/>
          <w:sz w:val="20"/>
          <w:szCs w:val="20"/>
          <w:lang w:val="fr-FR"/>
        </w:rPr>
        <w:t>du Comité des Ministres aux États memb</w:t>
      </w:r>
      <w:r>
        <w:rPr>
          <w:rFonts w:ascii="Verdana" w:eastAsia="Verdana" w:hAnsi="Verdana" w:cs="Verdana"/>
          <w:sz w:val="20"/>
          <w:szCs w:val="20"/>
          <w:lang w:val="fr-FR"/>
        </w:rPr>
        <w:t>re</w:t>
      </w:r>
      <w:r w:rsidRPr="00286B98">
        <w:rPr>
          <w:rFonts w:ascii="Verdana" w:eastAsia="Verdana" w:hAnsi="Verdana" w:cs="Verdana"/>
          <w:sz w:val="20"/>
          <w:szCs w:val="20"/>
          <w:lang w:val="fr-FR"/>
        </w:rPr>
        <w:t>s sur la mission des m</w:t>
      </w:r>
      <w:r>
        <w:rPr>
          <w:rFonts w:ascii="Verdana" w:eastAsia="Verdana" w:hAnsi="Verdana" w:cs="Verdana"/>
          <w:sz w:val="20"/>
          <w:szCs w:val="20"/>
          <w:lang w:val="fr-FR"/>
        </w:rPr>
        <w:t>é</w:t>
      </w:r>
      <w:r w:rsidRPr="00286B98">
        <w:rPr>
          <w:rFonts w:ascii="Verdana" w:eastAsia="Verdana" w:hAnsi="Verdana" w:cs="Verdana"/>
          <w:sz w:val="20"/>
          <w:szCs w:val="20"/>
          <w:lang w:val="fr-FR"/>
        </w:rPr>
        <w:t>dias de service public dans la société de l’information</w:t>
      </w:r>
      <w:r w:rsidR="00426003">
        <w:rPr>
          <w:rFonts w:ascii="Verdana" w:eastAsia="Verdana" w:hAnsi="Verdana" w:cs="Verdana"/>
          <w:sz w:val="20"/>
          <w:szCs w:val="20"/>
          <w:lang w:val="fr-FR"/>
        </w:rPr>
        <w:t> </w:t>
      </w:r>
      <w:r w:rsidRPr="00286B98">
        <w:rPr>
          <w:rFonts w:ascii="Verdana" w:eastAsia="Verdana" w:hAnsi="Verdana" w:cs="Verdana"/>
          <w:sz w:val="20"/>
          <w:szCs w:val="20"/>
          <w:lang w:val="fr-FR"/>
        </w:rPr>
        <w:t>;</w:t>
      </w:r>
    </w:p>
    <w:p w14:paraId="667E7C90" w14:textId="3CF12376" w:rsidR="00D21F6D" w:rsidRPr="00286B98" w:rsidRDefault="00C3632F" w:rsidP="00C3632F">
      <w:pPr>
        <w:numPr>
          <w:ilvl w:val="0"/>
          <w:numId w:val="3"/>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la</w:t>
      </w:r>
      <w:proofErr w:type="gramEnd"/>
      <w:r w:rsidRPr="00286B98">
        <w:rPr>
          <w:rFonts w:ascii="Verdana" w:eastAsia="Verdana" w:hAnsi="Verdana" w:cs="Verdana"/>
          <w:sz w:val="20"/>
          <w:szCs w:val="20"/>
          <w:lang w:val="fr-FR"/>
        </w:rPr>
        <w:t xml:space="preserve"> Recommandation CM/Rec(2007)15 du Comité des Ministres aux États membres sur des mesures </w:t>
      </w:r>
      <w:bookmarkStart w:id="3" w:name="_Hlk70676860"/>
      <w:r w:rsidRPr="00286B98">
        <w:rPr>
          <w:rFonts w:ascii="Verdana" w:eastAsia="Verdana" w:hAnsi="Verdana" w:cs="Verdana"/>
          <w:sz w:val="20"/>
          <w:szCs w:val="20"/>
          <w:lang w:val="fr-FR"/>
        </w:rPr>
        <w:t>concernant la couverture des campagnes électorales par les médias</w:t>
      </w:r>
      <w:bookmarkEnd w:id="3"/>
      <w:r w:rsidRPr="00286B98">
        <w:rPr>
          <w:rFonts w:ascii="Verdana" w:eastAsia="Verdana" w:hAnsi="Verdana" w:cs="Verdana"/>
          <w:sz w:val="20"/>
          <w:szCs w:val="20"/>
          <w:lang w:val="fr-FR"/>
        </w:rPr>
        <w:t> ;</w:t>
      </w:r>
    </w:p>
    <w:p w14:paraId="1D7D9979" w14:textId="47F54BDA" w:rsidR="00D21F6D" w:rsidRPr="00286B98" w:rsidRDefault="00347757" w:rsidP="00347757">
      <w:pPr>
        <w:numPr>
          <w:ilvl w:val="0"/>
          <w:numId w:val="3"/>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la</w:t>
      </w:r>
      <w:proofErr w:type="gramEnd"/>
      <w:r w:rsidRPr="00286B98">
        <w:rPr>
          <w:rFonts w:ascii="Verdana" w:eastAsia="Verdana" w:hAnsi="Verdana" w:cs="Verdana"/>
          <w:sz w:val="20"/>
          <w:szCs w:val="20"/>
          <w:lang w:val="fr-FR"/>
        </w:rPr>
        <w:t xml:space="preserve"> Recommandation Rec(2000)23 du Comité des Ministres aux États membres concernant l’indépendance et les fonctions des autorités de régulation du secteur de la radiodiffusion ;</w:t>
      </w:r>
    </w:p>
    <w:p w14:paraId="767585C7" w14:textId="720A5958" w:rsidR="00D21F6D" w:rsidRPr="00286B98" w:rsidRDefault="00347757" w:rsidP="00347757">
      <w:pPr>
        <w:numPr>
          <w:ilvl w:val="0"/>
          <w:numId w:val="3"/>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la</w:t>
      </w:r>
      <w:proofErr w:type="gramEnd"/>
      <w:r w:rsidRPr="00286B98">
        <w:rPr>
          <w:rFonts w:ascii="Verdana" w:eastAsia="Verdana" w:hAnsi="Verdana" w:cs="Verdana"/>
          <w:sz w:val="20"/>
          <w:szCs w:val="20"/>
          <w:lang w:val="fr-FR"/>
        </w:rPr>
        <w:t xml:space="preserve"> Recommandation n° R(99)15 du Comité des Ministres aux États membres relative à des mesures concernant la couverture des campagnes électorales par les médias ;</w:t>
      </w:r>
    </w:p>
    <w:p w14:paraId="159A26CC" w14:textId="6DADB863" w:rsidR="00D21F6D" w:rsidRPr="00286B98" w:rsidRDefault="00347757" w:rsidP="00347757">
      <w:pPr>
        <w:numPr>
          <w:ilvl w:val="0"/>
          <w:numId w:val="3"/>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la</w:t>
      </w:r>
      <w:proofErr w:type="gramEnd"/>
      <w:r w:rsidRPr="00286B98">
        <w:rPr>
          <w:rFonts w:ascii="Verdana" w:eastAsia="Verdana" w:hAnsi="Verdana" w:cs="Verdana"/>
          <w:sz w:val="20"/>
          <w:szCs w:val="20"/>
          <w:lang w:val="fr-FR"/>
        </w:rPr>
        <w:t xml:space="preserve"> Déclaration du Comité des Ministres concernant la viabilité financière du journalisme de qualité à l’ère du numérique (13</w:t>
      </w:r>
      <w:r w:rsidR="00286B98">
        <w:rPr>
          <w:rFonts w:ascii="Verdana" w:eastAsia="Verdana" w:hAnsi="Verdana" w:cs="Verdana"/>
          <w:sz w:val="20"/>
          <w:szCs w:val="20"/>
          <w:lang w:val="fr-FR"/>
        </w:rPr>
        <w:t> </w:t>
      </w:r>
      <w:r w:rsidRPr="00286B98">
        <w:rPr>
          <w:rFonts w:ascii="Verdana" w:eastAsia="Verdana" w:hAnsi="Verdana" w:cs="Verdana"/>
          <w:sz w:val="20"/>
          <w:szCs w:val="20"/>
          <w:lang w:val="fr-FR"/>
        </w:rPr>
        <w:t>février 2019) ;</w:t>
      </w:r>
    </w:p>
    <w:p w14:paraId="55CF0B31" w14:textId="3A3A6FED" w:rsidR="00D21F6D" w:rsidRPr="00286B98" w:rsidRDefault="00347757" w:rsidP="00347757">
      <w:pPr>
        <w:numPr>
          <w:ilvl w:val="0"/>
          <w:numId w:val="3"/>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la</w:t>
      </w:r>
      <w:proofErr w:type="gramEnd"/>
      <w:r w:rsidRPr="00286B98">
        <w:rPr>
          <w:rFonts w:ascii="Verdana" w:eastAsia="Verdana" w:hAnsi="Verdana" w:cs="Verdana"/>
          <w:sz w:val="20"/>
          <w:szCs w:val="20"/>
          <w:lang w:val="fr-FR"/>
        </w:rPr>
        <w:t xml:space="preserve"> Déclaration du Comité des Ministres sur les capacités de manipulation des processus algorithmiques (13</w:t>
      </w:r>
      <w:r w:rsidR="00286B98">
        <w:rPr>
          <w:rFonts w:ascii="Verdana" w:eastAsia="Verdana" w:hAnsi="Verdana" w:cs="Verdana"/>
          <w:sz w:val="20"/>
          <w:szCs w:val="20"/>
          <w:lang w:val="fr-FR"/>
        </w:rPr>
        <w:t> </w:t>
      </w:r>
      <w:r w:rsidRPr="00286B98">
        <w:rPr>
          <w:rFonts w:ascii="Verdana" w:eastAsia="Verdana" w:hAnsi="Verdana" w:cs="Verdana"/>
          <w:sz w:val="20"/>
          <w:szCs w:val="20"/>
          <w:lang w:val="fr-FR"/>
        </w:rPr>
        <w:t>février 2019) ;</w:t>
      </w:r>
    </w:p>
    <w:p w14:paraId="02ED41A7" w14:textId="552B66F4" w:rsidR="00D21F6D" w:rsidRPr="00286B98" w:rsidRDefault="00347757" w:rsidP="00347757">
      <w:pPr>
        <w:numPr>
          <w:ilvl w:val="0"/>
          <w:numId w:val="3"/>
        </w:numPr>
        <w:pBdr>
          <w:top w:val="nil"/>
          <w:left w:val="nil"/>
          <w:bottom w:val="nil"/>
          <w:right w:val="nil"/>
          <w:between w:val="nil"/>
        </w:pBdr>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la</w:t>
      </w:r>
      <w:proofErr w:type="gramEnd"/>
      <w:r w:rsidRPr="00286B98">
        <w:rPr>
          <w:rFonts w:ascii="Verdana" w:eastAsia="Verdana" w:hAnsi="Verdana" w:cs="Verdana"/>
          <w:sz w:val="20"/>
          <w:szCs w:val="20"/>
          <w:lang w:val="fr-FR"/>
        </w:rPr>
        <w:t xml:space="preserve"> Déclaration du Comité des Ministres sur le rôle des médias associatifs dans la promotion de la cohésion sociale et du dialogue interculturel (11</w:t>
      </w:r>
      <w:r w:rsidR="00286B98">
        <w:rPr>
          <w:rFonts w:ascii="Verdana" w:eastAsia="Verdana" w:hAnsi="Verdana" w:cs="Verdana"/>
          <w:sz w:val="20"/>
          <w:szCs w:val="20"/>
          <w:lang w:val="fr-FR"/>
        </w:rPr>
        <w:t> </w:t>
      </w:r>
      <w:r w:rsidRPr="00286B98">
        <w:rPr>
          <w:rFonts w:ascii="Verdana" w:eastAsia="Verdana" w:hAnsi="Verdana" w:cs="Verdana"/>
          <w:sz w:val="20"/>
          <w:szCs w:val="20"/>
          <w:lang w:val="fr-FR"/>
        </w:rPr>
        <w:t>février 2009),</w:t>
      </w:r>
    </w:p>
    <w:p w14:paraId="62FC57E4" w14:textId="77777777" w:rsidR="00D21F6D" w:rsidRPr="00286B98" w:rsidRDefault="00D21F6D" w:rsidP="00DF1539">
      <w:pPr>
        <w:widowControl w:val="0"/>
        <w:pBdr>
          <w:top w:val="nil"/>
          <w:left w:val="nil"/>
          <w:bottom w:val="nil"/>
          <w:right w:val="nil"/>
          <w:between w:val="nil"/>
        </w:pBdr>
        <w:spacing w:line="259" w:lineRule="auto"/>
        <w:jc w:val="both"/>
        <w:rPr>
          <w:rFonts w:ascii="Verdana" w:eastAsia="Verdana" w:hAnsi="Verdana" w:cs="Verdana"/>
          <w:sz w:val="20"/>
          <w:szCs w:val="20"/>
          <w:lang w:val="fr-FR"/>
        </w:rPr>
      </w:pPr>
    </w:p>
    <w:p w14:paraId="05C4B6D4" w14:textId="71664B18" w:rsidR="00D21F6D" w:rsidRPr="00286B98" w:rsidRDefault="00EB2789" w:rsidP="00A75377">
      <w:pPr>
        <w:pBdr>
          <w:top w:val="nil"/>
          <w:left w:val="nil"/>
          <w:bottom w:val="nil"/>
          <w:right w:val="nil"/>
          <w:between w:val="nil"/>
        </w:pBdr>
        <w:spacing w:line="259" w:lineRule="auto"/>
        <w:jc w:val="both"/>
        <w:rPr>
          <w:rFonts w:ascii="Verdana" w:eastAsia="Verdana" w:hAnsi="Verdana" w:cs="Verdana"/>
          <w:sz w:val="20"/>
          <w:szCs w:val="20"/>
          <w:lang w:val="fr-FR"/>
        </w:rPr>
      </w:pPr>
      <w:r>
        <w:rPr>
          <w:rFonts w:ascii="Verdana" w:eastAsia="Verdana" w:hAnsi="Verdana" w:cs="Verdana"/>
          <w:sz w:val="20"/>
          <w:szCs w:val="20"/>
          <w:lang w:val="fr-FR"/>
        </w:rPr>
        <w:t>R</w:t>
      </w:r>
      <w:r w:rsidR="00A75377" w:rsidRPr="00286B98">
        <w:rPr>
          <w:rFonts w:ascii="Verdana" w:eastAsia="Verdana" w:hAnsi="Verdana" w:cs="Verdana"/>
          <w:sz w:val="20"/>
          <w:szCs w:val="20"/>
          <w:lang w:val="fr-FR"/>
        </w:rPr>
        <w:t>ecommande aux gouvernements des États membres :</w:t>
      </w:r>
    </w:p>
    <w:p w14:paraId="66A683D5" w14:textId="77777777" w:rsidR="00D21F6D" w:rsidRPr="00286B98" w:rsidRDefault="00D21F6D" w:rsidP="00DF1539">
      <w:pPr>
        <w:pBdr>
          <w:top w:val="nil"/>
          <w:left w:val="nil"/>
          <w:bottom w:val="nil"/>
          <w:right w:val="nil"/>
          <w:between w:val="nil"/>
        </w:pBdr>
        <w:spacing w:line="259" w:lineRule="auto"/>
        <w:jc w:val="both"/>
        <w:rPr>
          <w:rFonts w:ascii="Verdana" w:eastAsia="Verdana" w:hAnsi="Verdana" w:cs="Verdana"/>
          <w:sz w:val="20"/>
          <w:szCs w:val="20"/>
          <w:lang w:val="fr-FR"/>
        </w:rPr>
      </w:pPr>
    </w:p>
    <w:p w14:paraId="1D1C71A6" w14:textId="44465F98" w:rsidR="00D21F6D" w:rsidRPr="00286B98" w:rsidRDefault="0070442D" w:rsidP="00EA0E43">
      <w:pPr>
        <w:pBdr>
          <w:top w:val="nil"/>
          <w:left w:val="nil"/>
          <w:bottom w:val="nil"/>
          <w:right w:val="nil"/>
          <w:between w:val="nil"/>
        </w:pBdr>
        <w:spacing w:line="240" w:lineRule="auto"/>
        <w:jc w:val="both"/>
        <w:rPr>
          <w:rFonts w:ascii="Verdana" w:eastAsia="Verdana" w:hAnsi="Verdana" w:cs="Verdana"/>
          <w:color w:val="000000"/>
          <w:sz w:val="20"/>
          <w:szCs w:val="20"/>
          <w:lang w:val="fr-FR"/>
        </w:rPr>
      </w:pPr>
      <w:r w:rsidRPr="00286B98">
        <w:rPr>
          <w:rFonts w:ascii="Verdana" w:eastAsia="Verdana" w:hAnsi="Verdana" w:cs="Verdana"/>
          <w:color w:val="000000"/>
          <w:sz w:val="20"/>
          <w:szCs w:val="20"/>
          <w:lang w:val="fr-FR"/>
        </w:rPr>
        <w:t>1.</w:t>
      </w:r>
      <w:r w:rsidRPr="00286B98">
        <w:rPr>
          <w:rFonts w:ascii="Verdana" w:eastAsia="Verdana" w:hAnsi="Verdana" w:cs="Verdana"/>
          <w:color w:val="000000"/>
          <w:sz w:val="20"/>
          <w:szCs w:val="20"/>
          <w:lang w:val="fr-FR"/>
        </w:rPr>
        <w:tab/>
      </w:r>
      <w:r w:rsidR="00A75377" w:rsidRPr="00286B98">
        <w:rPr>
          <w:rFonts w:ascii="Verdana" w:eastAsia="Verdana" w:hAnsi="Verdana" w:cs="Verdana"/>
          <w:color w:val="000000"/>
          <w:sz w:val="20"/>
          <w:szCs w:val="20"/>
          <w:lang w:val="fr-FR"/>
        </w:rPr>
        <w:t xml:space="preserve">de mettre pleinement en œuvre les lignes directrices exposées </w:t>
      </w:r>
      <w:r w:rsidR="00EA0E43" w:rsidRPr="00286B98">
        <w:rPr>
          <w:rFonts w:ascii="Verdana" w:eastAsia="Verdana" w:hAnsi="Verdana" w:cs="Verdana"/>
          <w:color w:val="000000"/>
          <w:sz w:val="20"/>
          <w:szCs w:val="20"/>
          <w:lang w:val="fr-FR"/>
        </w:rPr>
        <w:t xml:space="preserve">en annexe à la </w:t>
      </w:r>
      <w:r w:rsidR="00A75377" w:rsidRPr="00286B98">
        <w:rPr>
          <w:rFonts w:ascii="Verdana" w:eastAsia="Verdana" w:hAnsi="Verdana" w:cs="Verdana"/>
          <w:color w:val="000000"/>
          <w:sz w:val="20"/>
          <w:szCs w:val="20"/>
          <w:lang w:val="fr-FR"/>
        </w:rPr>
        <w:t>présente Recommandation ;</w:t>
      </w:r>
    </w:p>
    <w:p w14:paraId="6740BD07" w14:textId="77777777" w:rsidR="00D21F6D" w:rsidRPr="00286B98" w:rsidRDefault="00D21F6D" w:rsidP="00DF1539">
      <w:pPr>
        <w:pBdr>
          <w:top w:val="nil"/>
          <w:left w:val="nil"/>
          <w:bottom w:val="nil"/>
          <w:right w:val="nil"/>
          <w:between w:val="nil"/>
        </w:pBdr>
        <w:spacing w:line="240" w:lineRule="auto"/>
        <w:jc w:val="both"/>
        <w:rPr>
          <w:rFonts w:ascii="Verdana" w:eastAsia="Verdana" w:hAnsi="Verdana" w:cs="Verdana"/>
          <w:color w:val="000000"/>
          <w:sz w:val="20"/>
          <w:szCs w:val="20"/>
          <w:lang w:val="fr-FR"/>
        </w:rPr>
      </w:pPr>
    </w:p>
    <w:p w14:paraId="39A09993" w14:textId="653E49D0" w:rsidR="00D21F6D" w:rsidRPr="00286B98" w:rsidRDefault="0070442D" w:rsidP="00A75377">
      <w:pPr>
        <w:pBdr>
          <w:top w:val="nil"/>
          <w:left w:val="nil"/>
          <w:bottom w:val="nil"/>
          <w:right w:val="nil"/>
          <w:between w:val="nil"/>
        </w:pBdr>
        <w:spacing w:line="240" w:lineRule="auto"/>
        <w:jc w:val="both"/>
        <w:rPr>
          <w:rFonts w:ascii="Verdana" w:eastAsia="Verdana" w:hAnsi="Verdana" w:cs="Verdana"/>
          <w:color w:val="000000"/>
          <w:sz w:val="20"/>
          <w:szCs w:val="20"/>
          <w:lang w:val="fr-FR"/>
        </w:rPr>
      </w:pPr>
      <w:r w:rsidRPr="00286B98">
        <w:rPr>
          <w:rFonts w:ascii="Verdana" w:eastAsia="Verdana" w:hAnsi="Verdana" w:cs="Verdana"/>
          <w:color w:val="000000"/>
          <w:sz w:val="20"/>
          <w:szCs w:val="20"/>
          <w:lang w:val="fr-FR"/>
        </w:rPr>
        <w:t>2.</w:t>
      </w:r>
      <w:r w:rsidRPr="00286B98">
        <w:rPr>
          <w:rFonts w:ascii="Verdana" w:eastAsia="Verdana" w:hAnsi="Verdana" w:cs="Verdana"/>
          <w:color w:val="000000"/>
          <w:sz w:val="20"/>
          <w:szCs w:val="20"/>
          <w:lang w:val="fr-FR"/>
        </w:rPr>
        <w:tab/>
      </w:r>
      <w:r w:rsidR="00A75377" w:rsidRPr="00286B98">
        <w:rPr>
          <w:rFonts w:ascii="Verdana" w:eastAsia="Verdana" w:hAnsi="Verdana" w:cs="Verdana"/>
          <w:color w:val="000000"/>
          <w:sz w:val="20"/>
          <w:szCs w:val="20"/>
          <w:lang w:val="fr-FR"/>
        </w:rPr>
        <w:t>de prendre en compte</w:t>
      </w:r>
      <w:r w:rsidR="00C24591">
        <w:rPr>
          <w:rFonts w:ascii="Verdana" w:eastAsia="Verdana" w:hAnsi="Verdana" w:cs="Verdana"/>
          <w:color w:val="000000"/>
          <w:sz w:val="20"/>
          <w:szCs w:val="20"/>
          <w:lang w:val="fr-FR"/>
        </w:rPr>
        <w:t>,</w:t>
      </w:r>
      <w:r w:rsidR="00A75377" w:rsidRPr="00286B98">
        <w:rPr>
          <w:rFonts w:ascii="Verdana" w:eastAsia="Verdana" w:hAnsi="Verdana" w:cs="Verdana"/>
          <w:color w:val="000000"/>
          <w:sz w:val="20"/>
          <w:szCs w:val="20"/>
          <w:lang w:val="fr-FR"/>
        </w:rPr>
        <w:t xml:space="preserve"> </w:t>
      </w:r>
      <w:r w:rsidR="00C24591" w:rsidRPr="00C24591">
        <w:rPr>
          <w:rFonts w:ascii="Verdana" w:eastAsia="Verdana" w:hAnsi="Verdana" w:cs="Verdana"/>
          <w:color w:val="000000"/>
          <w:sz w:val="20"/>
          <w:szCs w:val="20"/>
          <w:lang w:val="fr-FR"/>
        </w:rPr>
        <w:t xml:space="preserve">lors de la mise en œuvre des lignes directrices, </w:t>
      </w:r>
      <w:r w:rsidR="00A75377" w:rsidRPr="00286B98">
        <w:rPr>
          <w:rFonts w:ascii="Verdana" w:eastAsia="Verdana" w:hAnsi="Verdana" w:cs="Verdana"/>
          <w:color w:val="000000"/>
          <w:sz w:val="20"/>
          <w:szCs w:val="20"/>
          <w:lang w:val="fr-FR"/>
        </w:rPr>
        <w:t>les recommandations pertinentes du Comité des Ministres aux États membres et ses déclarations, la jurisprudence de la Cour européenne des droits de l’homme et les normes internationales afférentes ;</w:t>
      </w:r>
    </w:p>
    <w:p w14:paraId="613062AF" w14:textId="77777777" w:rsidR="00D21F6D" w:rsidRPr="00286B98" w:rsidRDefault="00D21F6D" w:rsidP="00DF1539">
      <w:pPr>
        <w:pBdr>
          <w:top w:val="nil"/>
          <w:left w:val="nil"/>
          <w:bottom w:val="nil"/>
          <w:right w:val="nil"/>
          <w:between w:val="nil"/>
        </w:pBdr>
        <w:spacing w:line="240" w:lineRule="auto"/>
        <w:jc w:val="both"/>
        <w:rPr>
          <w:rFonts w:ascii="Verdana" w:eastAsia="Verdana" w:hAnsi="Verdana" w:cs="Verdana"/>
          <w:color w:val="000000"/>
          <w:sz w:val="20"/>
          <w:szCs w:val="20"/>
          <w:lang w:val="fr-FR"/>
        </w:rPr>
      </w:pPr>
    </w:p>
    <w:p w14:paraId="1846BBF4" w14:textId="050A8774" w:rsidR="00D21F6D" w:rsidRPr="00286B98" w:rsidRDefault="0070442D" w:rsidP="00EA0E43">
      <w:pPr>
        <w:pBdr>
          <w:top w:val="nil"/>
          <w:left w:val="nil"/>
          <w:bottom w:val="nil"/>
          <w:right w:val="nil"/>
          <w:between w:val="nil"/>
        </w:pBdr>
        <w:spacing w:line="240" w:lineRule="auto"/>
        <w:jc w:val="both"/>
        <w:rPr>
          <w:rFonts w:ascii="Verdana" w:eastAsia="Verdana" w:hAnsi="Verdana" w:cs="Verdana"/>
          <w:color w:val="000000"/>
          <w:sz w:val="20"/>
          <w:szCs w:val="20"/>
          <w:lang w:val="fr-FR"/>
        </w:rPr>
      </w:pPr>
      <w:r w:rsidRPr="00286B98">
        <w:rPr>
          <w:rFonts w:ascii="Verdana" w:eastAsia="Verdana" w:hAnsi="Verdana" w:cs="Verdana"/>
          <w:color w:val="000000"/>
          <w:sz w:val="20"/>
          <w:szCs w:val="20"/>
          <w:lang w:val="fr-FR"/>
        </w:rPr>
        <w:t>3.</w:t>
      </w:r>
      <w:r w:rsidRPr="00286B98">
        <w:rPr>
          <w:rFonts w:ascii="Verdana" w:eastAsia="Verdana" w:hAnsi="Verdana" w:cs="Verdana"/>
          <w:color w:val="000000"/>
          <w:sz w:val="20"/>
          <w:szCs w:val="20"/>
          <w:lang w:val="fr-FR"/>
        </w:rPr>
        <w:tab/>
      </w:r>
      <w:r w:rsidR="00A75377" w:rsidRPr="00286B98">
        <w:rPr>
          <w:rFonts w:ascii="Verdana" w:eastAsia="Verdana" w:hAnsi="Verdana" w:cs="Verdana"/>
          <w:color w:val="000000"/>
          <w:sz w:val="20"/>
          <w:szCs w:val="20"/>
          <w:lang w:val="fr-FR"/>
        </w:rPr>
        <w:t xml:space="preserve">de promouvoir les objectifs de la présente </w:t>
      </w:r>
      <w:r w:rsidR="00EA0E43" w:rsidRPr="00286B98">
        <w:rPr>
          <w:rFonts w:ascii="Verdana" w:eastAsia="Verdana" w:hAnsi="Verdana" w:cs="Verdana"/>
          <w:color w:val="000000"/>
          <w:sz w:val="20"/>
          <w:szCs w:val="20"/>
          <w:lang w:val="fr-FR"/>
        </w:rPr>
        <w:t>R</w:t>
      </w:r>
      <w:r w:rsidR="00A75377" w:rsidRPr="00286B98">
        <w:rPr>
          <w:rFonts w:ascii="Verdana" w:eastAsia="Verdana" w:hAnsi="Verdana" w:cs="Verdana"/>
          <w:color w:val="000000"/>
          <w:sz w:val="20"/>
          <w:szCs w:val="20"/>
          <w:lang w:val="fr-FR"/>
        </w:rPr>
        <w:t>ecommandation au niveau national dans les langues nationales et minoritaires du pays, d’engager un dialogue et de coopérer avec toutes les parties prenantes pour assurer la diffusion la plus large possible de son contenu sur divers supports d’information, et de mettre en commun leur expertise et leurs pratiques au-delà des frontières en vue d’élaborer des politiques cohérentes sur la communication électorale et la couverture médiatique des campagnes électorales ;</w:t>
      </w:r>
    </w:p>
    <w:p w14:paraId="6CA53417" w14:textId="77777777" w:rsidR="00D21F6D" w:rsidRPr="00286B98" w:rsidRDefault="00D21F6D" w:rsidP="00DF1539">
      <w:pPr>
        <w:pBdr>
          <w:top w:val="nil"/>
          <w:left w:val="nil"/>
          <w:bottom w:val="nil"/>
          <w:right w:val="nil"/>
          <w:between w:val="nil"/>
        </w:pBdr>
        <w:spacing w:line="240" w:lineRule="auto"/>
        <w:jc w:val="both"/>
        <w:rPr>
          <w:rFonts w:ascii="Verdana" w:eastAsia="Verdana" w:hAnsi="Verdana" w:cs="Verdana"/>
          <w:color w:val="000000"/>
          <w:sz w:val="20"/>
          <w:szCs w:val="20"/>
          <w:lang w:val="fr-FR"/>
        </w:rPr>
      </w:pPr>
    </w:p>
    <w:p w14:paraId="6611CFEB" w14:textId="660EB9E6" w:rsidR="000F592D" w:rsidRDefault="0070442D" w:rsidP="00A75377">
      <w:pPr>
        <w:pBdr>
          <w:top w:val="nil"/>
          <w:left w:val="nil"/>
          <w:bottom w:val="nil"/>
          <w:right w:val="nil"/>
          <w:between w:val="nil"/>
        </w:pBdr>
        <w:spacing w:line="240" w:lineRule="auto"/>
        <w:jc w:val="both"/>
        <w:rPr>
          <w:rFonts w:ascii="Verdana" w:eastAsia="Verdana" w:hAnsi="Verdana" w:cs="Verdana"/>
          <w:color w:val="000000"/>
          <w:sz w:val="20"/>
          <w:szCs w:val="20"/>
          <w:lang w:val="fr-FR"/>
        </w:rPr>
      </w:pPr>
      <w:r w:rsidRPr="00286B98">
        <w:rPr>
          <w:rFonts w:ascii="Verdana" w:eastAsia="Verdana" w:hAnsi="Verdana" w:cs="Verdana"/>
          <w:color w:val="000000"/>
          <w:sz w:val="20"/>
          <w:szCs w:val="20"/>
          <w:lang w:val="fr-FR"/>
        </w:rPr>
        <w:t>4.</w:t>
      </w:r>
      <w:r w:rsidRPr="00286B98">
        <w:rPr>
          <w:rFonts w:ascii="Verdana" w:eastAsia="Verdana" w:hAnsi="Verdana" w:cs="Verdana"/>
          <w:color w:val="000000"/>
          <w:sz w:val="20"/>
          <w:szCs w:val="20"/>
          <w:lang w:val="fr-FR"/>
        </w:rPr>
        <w:tab/>
      </w:r>
      <w:r w:rsidR="00A75377" w:rsidRPr="00286B98">
        <w:rPr>
          <w:rFonts w:ascii="Verdana" w:eastAsia="Verdana" w:hAnsi="Verdana" w:cs="Verdana"/>
          <w:color w:val="000000"/>
          <w:sz w:val="20"/>
          <w:szCs w:val="20"/>
          <w:lang w:val="fr-FR"/>
        </w:rPr>
        <w:t xml:space="preserve">de réexaminer périodiquement, en concertation avec les parties prenantes, </w:t>
      </w:r>
      <w:r w:rsidR="00EB2789">
        <w:rPr>
          <w:rFonts w:ascii="Verdana" w:eastAsia="Verdana" w:hAnsi="Verdana" w:cs="Verdana"/>
          <w:color w:val="000000"/>
          <w:sz w:val="20"/>
          <w:szCs w:val="20"/>
          <w:lang w:val="fr-FR"/>
        </w:rPr>
        <w:t>et de faire rapport d</w:t>
      </w:r>
      <w:r w:rsidR="00A75377" w:rsidRPr="00286B98">
        <w:rPr>
          <w:rFonts w:ascii="Verdana" w:eastAsia="Verdana" w:hAnsi="Verdana" w:cs="Verdana"/>
          <w:color w:val="000000"/>
          <w:sz w:val="20"/>
          <w:szCs w:val="20"/>
          <w:lang w:val="fr-FR"/>
        </w:rPr>
        <w:t>es mesures prises pour mettre en œuvre la présente recommandation en vue d’améliorer leur efficacité.</w:t>
      </w:r>
    </w:p>
    <w:p w14:paraId="5CBC70CD" w14:textId="77777777" w:rsidR="000F592D" w:rsidRPr="00286B98" w:rsidRDefault="000F592D" w:rsidP="00A75377">
      <w:pPr>
        <w:pBdr>
          <w:top w:val="nil"/>
          <w:left w:val="nil"/>
          <w:bottom w:val="nil"/>
          <w:right w:val="nil"/>
          <w:between w:val="nil"/>
        </w:pBdr>
        <w:spacing w:line="240" w:lineRule="auto"/>
        <w:jc w:val="both"/>
        <w:rPr>
          <w:rFonts w:ascii="Verdana" w:eastAsia="Verdana" w:hAnsi="Verdana" w:cs="Verdana"/>
          <w:color w:val="000000"/>
          <w:sz w:val="20"/>
          <w:szCs w:val="20"/>
          <w:lang w:val="fr-FR"/>
        </w:rPr>
      </w:pPr>
    </w:p>
    <w:p w14:paraId="6D3C3614" w14:textId="77777777" w:rsidR="00D21F6D" w:rsidRPr="00286B98" w:rsidRDefault="0070442D" w:rsidP="00DF1539">
      <w:pPr>
        <w:spacing w:after="160" w:line="259" w:lineRule="auto"/>
        <w:jc w:val="both"/>
        <w:rPr>
          <w:rFonts w:ascii="Verdana" w:eastAsia="Verdana" w:hAnsi="Verdana" w:cs="Verdana"/>
          <w:sz w:val="20"/>
          <w:szCs w:val="20"/>
          <w:lang w:val="fr-FR"/>
        </w:rPr>
      </w:pPr>
      <w:r w:rsidRPr="00286B98">
        <w:rPr>
          <w:lang w:val="fr-FR"/>
        </w:rPr>
        <w:br w:type="page"/>
      </w:r>
    </w:p>
    <w:p w14:paraId="39F39DB2" w14:textId="6EB36FAE" w:rsidR="00D21F6D" w:rsidRPr="00286B98" w:rsidRDefault="00A75377" w:rsidP="00A75377">
      <w:pPr>
        <w:pBdr>
          <w:top w:val="nil"/>
          <w:left w:val="nil"/>
          <w:bottom w:val="nil"/>
          <w:right w:val="nil"/>
          <w:between w:val="nil"/>
        </w:pBdr>
        <w:spacing w:line="240" w:lineRule="auto"/>
        <w:jc w:val="both"/>
        <w:rPr>
          <w:rFonts w:ascii="Verdana" w:eastAsia="Verdana" w:hAnsi="Verdana" w:cs="Verdana"/>
          <w:b/>
          <w:sz w:val="20"/>
          <w:szCs w:val="20"/>
          <w:lang w:val="fr-FR"/>
        </w:rPr>
      </w:pPr>
      <w:r w:rsidRPr="00286B98">
        <w:rPr>
          <w:rFonts w:ascii="Verdana" w:eastAsia="Verdana" w:hAnsi="Verdana" w:cs="Verdana"/>
          <w:b/>
          <w:sz w:val="20"/>
          <w:szCs w:val="20"/>
          <w:lang w:val="fr-FR"/>
        </w:rPr>
        <w:lastRenderedPageBreak/>
        <w:t>Annexe à la Recommandation CM/Rec(20</w:t>
      </w:r>
      <w:proofErr w:type="gramStart"/>
      <w:r w:rsidRPr="00286B98">
        <w:rPr>
          <w:rFonts w:ascii="Verdana" w:eastAsia="Verdana" w:hAnsi="Verdana" w:cs="Verdana"/>
          <w:b/>
          <w:sz w:val="20"/>
          <w:szCs w:val="20"/>
          <w:lang w:val="fr-FR"/>
        </w:rPr>
        <w:t>XX)XX</w:t>
      </w:r>
      <w:proofErr w:type="gramEnd"/>
    </w:p>
    <w:p w14:paraId="51F57607" w14:textId="77777777" w:rsidR="00D21F6D" w:rsidRPr="00286B98" w:rsidRDefault="00D21F6D" w:rsidP="00DF1539">
      <w:pPr>
        <w:pBdr>
          <w:top w:val="nil"/>
          <w:left w:val="nil"/>
          <w:bottom w:val="nil"/>
          <w:right w:val="nil"/>
          <w:between w:val="nil"/>
        </w:pBdr>
        <w:spacing w:line="240" w:lineRule="auto"/>
        <w:jc w:val="both"/>
        <w:rPr>
          <w:rFonts w:ascii="Verdana" w:eastAsia="Verdana" w:hAnsi="Verdana" w:cs="Verdana"/>
          <w:b/>
          <w:sz w:val="20"/>
          <w:szCs w:val="20"/>
          <w:lang w:val="fr-FR"/>
        </w:rPr>
      </w:pPr>
    </w:p>
    <w:p w14:paraId="50BDC581" w14:textId="764CAC69" w:rsidR="00D21F6D" w:rsidRPr="00286B98" w:rsidRDefault="00A75377" w:rsidP="00A75377">
      <w:pPr>
        <w:pBdr>
          <w:top w:val="nil"/>
          <w:left w:val="nil"/>
          <w:bottom w:val="nil"/>
          <w:right w:val="nil"/>
          <w:between w:val="nil"/>
        </w:pBdr>
        <w:spacing w:line="240" w:lineRule="auto"/>
        <w:jc w:val="both"/>
        <w:rPr>
          <w:rFonts w:ascii="Verdana" w:eastAsia="Verdana" w:hAnsi="Verdana" w:cs="Verdana"/>
          <w:b/>
          <w:sz w:val="20"/>
          <w:szCs w:val="20"/>
          <w:lang w:val="fr-FR"/>
        </w:rPr>
      </w:pPr>
      <w:r w:rsidRPr="00286B98">
        <w:rPr>
          <w:rFonts w:ascii="Verdana" w:eastAsia="Verdana" w:hAnsi="Verdana" w:cs="Verdana"/>
          <w:b/>
          <w:sz w:val="20"/>
          <w:szCs w:val="20"/>
          <w:lang w:val="fr-FR"/>
        </w:rPr>
        <w:t>Lignes directrices</w:t>
      </w:r>
    </w:p>
    <w:p w14:paraId="1B4ED356" w14:textId="77777777" w:rsidR="00D21F6D" w:rsidRPr="00286B98" w:rsidRDefault="00D21F6D" w:rsidP="00DF1539">
      <w:pPr>
        <w:pBdr>
          <w:top w:val="nil"/>
          <w:left w:val="nil"/>
          <w:bottom w:val="nil"/>
          <w:right w:val="nil"/>
          <w:between w:val="nil"/>
        </w:pBdr>
        <w:spacing w:line="240" w:lineRule="auto"/>
        <w:jc w:val="both"/>
        <w:rPr>
          <w:rFonts w:ascii="Verdana" w:eastAsia="Verdana" w:hAnsi="Verdana" w:cs="Verdana"/>
          <w:b/>
          <w:sz w:val="20"/>
          <w:szCs w:val="20"/>
          <w:lang w:val="fr-FR"/>
        </w:rPr>
      </w:pPr>
    </w:p>
    <w:p w14:paraId="3A0E4C2E" w14:textId="0ABB3369" w:rsidR="00D21F6D" w:rsidRPr="00286B98" w:rsidRDefault="00A75377" w:rsidP="00A75377">
      <w:pPr>
        <w:spacing w:after="268"/>
        <w:ind w:right="45"/>
        <w:jc w:val="both"/>
        <w:rPr>
          <w:rFonts w:ascii="Verdana" w:eastAsia="Verdana" w:hAnsi="Verdana" w:cs="Verdana"/>
          <w:b/>
          <w:sz w:val="20"/>
          <w:szCs w:val="20"/>
          <w:lang w:val="fr-FR"/>
        </w:rPr>
      </w:pPr>
      <w:r w:rsidRPr="00286B98">
        <w:rPr>
          <w:rFonts w:ascii="Verdana" w:eastAsia="Verdana" w:hAnsi="Verdana" w:cs="Verdana"/>
          <w:b/>
          <w:sz w:val="20"/>
          <w:szCs w:val="20"/>
          <w:lang w:val="fr-FR"/>
        </w:rPr>
        <w:t>Champ d’application et définitions</w:t>
      </w:r>
    </w:p>
    <w:p w14:paraId="518D548E" w14:textId="253BF8F5" w:rsidR="00D21F6D" w:rsidRPr="00286B98" w:rsidRDefault="003D052B" w:rsidP="00EA0E43">
      <w:pP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1. </w:t>
      </w:r>
      <w:r w:rsidR="00EA0E43" w:rsidRPr="00286B98">
        <w:rPr>
          <w:rFonts w:ascii="Verdana" w:eastAsia="Verdana" w:hAnsi="Verdana" w:cs="Verdana"/>
          <w:sz w:val="20"/>
          <w:szCs w:val="20"/>
          <w:lang w:val="fr-FR"/>
        </w:rPr>
        <w:t>Les lignes directrices qui suivent s’appliquent à tous les types d</w:t>
      </w:r>
      <w:r w:rsidR="007C74FD">
        <w:rPr>
          <w:rFonts w:ascii="Verdana" w:eastAsia="Verdana" w:hAnsi="Verdana" w:cs="Verdana"/>
          <w:sz w:val="20"/>
          <w:szCs w:val="20"/>
          <w:lang w:val="fr-FR"/>
        </w:rPr>
        <w:t>e scrutins</w:t>
      </w:r>
      <w:r w:rsidR="00EA0E43" w:rsidRPr="00286B98">
        <w:rPr>
          <w:rFonts w:ascii="Verdana" w:eastAsia="Verdana" w:hAnsi="Verdana" w:cs="Verdana"/>
          <w:sz w:val="20"/>
          <w:szCs w:val="20"/>
          <w:lang w:val="fr-FR"/>
        </w:rPr>
        <w:t xml:space="preserve"> se déroulant dans les États membres, y compris, </w:t>
      </w:r>
      <w:r w:rsidR="00EB2789">
        <w:rPr>
          <w:rFonts w:ascii="Verdana" w:eastAsia="Verdana" w:hAnsi="Verdana" w:cs="Verdana"/>
          <w:sz w:val="20"/>
          <w:szCs w:val="20"/>
          <w:lang w:val="fr-FR"/>
        </w:rPr>
        <w:t>si nécessaire</w:t>
      </w:r>
      <w:r w:rsidR="00EA0E43" w:rsidRPr="00286B98">
        <w:rPr>
          <w:rFonts w:ascii="Verdana" w:eastAsia="Verdana" w:hAnsi="Verdana" w:cs="Verdana"/>
          <w:sz w:val="20"/>
          <w:szCs w:val="20"/>
          <w:lang w:val="fr-FR"/>
        </w:rPr>
        <w:t>, les référendums et les autres votes populaires.</w:t>
      </w:r>
    </w:p>
    <w:p w14:paraId="6E8F9D6B" w14:textId="16970291" w:rsidR="00E224D5" w:rsidRPr="00286B98" w:rsidRDefault="00E224D5">
      <w:pPr>
        <w:spacing w:line="259" w:lineRule="auto"/>
        <w:jc w:val="both"/>
        <w:rPr>
          <w:rFonts w:ascii="Verdana" w:eastAsia="Verdana" w:hAnsi="Verdana" w:cs="Verdana"/>
          <w:sz w:val="20"/>
          <w:szCs w:val="20"/>
          <w:lang w:val="fr-FR"/>
        </w:rPr>
      </w:pPr>
    </w:p>
    <w:p w14:paraId="4B07256D" w14:textId="69331603" w:rsidR="00E224D5" w:rsidRPr="00286B98" w:rsidRDefault="003D052B" w:rsidP="00E224D5">
      <w:pP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2. </w:t>
      </w:r>
      <w:r w:rsidR="00EA0E43" w:rsidRPr="00286B98">
        <w:rPr>
          <w:rFonts w:ascii="Verdana" w:eastAsia="Verdana" w:hAnsi="Verdana" w:cs="Verdana"/>
          <w:sz w:val="20"/>
          <w:szCs w:val="20"/>
          <w:lang w:val="fr-FR"/>
        </w:rPr>
        <w:t xml:space="preserve">Vu l’impact des communications en ligne sur l’opinion publique et le rôle des plateformes en ligne dans la diffusion des informations, la Recommandation s’attache en particulier aux principes </w:t>
      </w:r>
      <w:r w:rsidR="007C74FD">
        <w:rPr>
          <w:rFonts w:ascii="Verdana" w:eastAsia="Verdana" w:hAnsi="Verdana" w:cs="Verdana"/>
          <w:sz w:val="20"/>
          <w:szCs w:val="20"/>
          <w:lang w:val="fr-FR"/>
        </w:rPr>
        <w:t xml:space="preserve">visant à </w:t>
      </w:r>
      <w:r w:rsidR="00043663">
        <w:rPr>
          <w:rFonts w:ascii="Verdana" w:eastAsia="Verdana" w:hAnsi="Verdana" w:cs="Verdana"/>
          <w:sz w:val="20"/>
          <w:szCs w:val="20"/>
          <w:lang w:val="fr-FR"/>
        </w:rPr>
        <w:t xml:space="preserve">ce que </w:t>
      </w:r>
      <w:r w:rsidR="00EA0E43" w:rsidRPr="00286B98">
        <w:rPr>
          <w:rFonts w:ascii="Verdana" w:eastAsia="Verdana" w:hAnsi="Verdana" w:cs="Verdana"/>
          <w:sz w:val="20"/>
          <w:szCs w:val="20"/>
          <w:lang w:val="fr-FR"/>
        </w:rPr>
        <w:t>les communications et les dépenses électorales en ligne s</w:t>
      </w:r>
      <w:r w:rsidR="00043663">
        <w:rPr>
          <w:rFonts w:ascii="Verdana" w:eastAsia="Verdana" w:hAnsi="Verdana" w:cs="Verdana"/>
          <w:sz w:val="20"/>
          <w:szCs w:val="20"/>
          <w:lang w:val="fr-FR"/>
        </w:rPr>
        <w:t xml:space="preserve">oient </w:t>
      </w:r>
      <w:r w:rsidR="00EA0E43" w:rsidRPr="00286B98">
        <w:rPr>
          <w:rFonts w:ascii="Verdana" w:eastAsia="Verdana" w:hAnsi="Verdana" w:cs="Verdana"/>
          <w:sz w:val="20"/>
          <w:szCs w:val="20"/>
          <w:lang w:val="fr-FR"/>
        </w:rPr>
        <w:t>transparentes, afin d’éviter la manipulation de l’électorat</w:t>
      </w:r>
      <w:r w:rsidR="00043663">
        <w:rPr>
          <w:rFonts w:ascii="Verdana" w:eastAsia="Verdana" w:hAnsi="Verdana" w:cs="Verdana"/>
          <w:sz w:val="20"/>
          <w:szCs w:val="20"/>
          <w:lang w:val="fr-FR"/>
        </w:rPr>
        <w:t xml:space="preserve">, </w:t>
      </w:r>
      <w:r w:rsidR="00EB2789">
        <w:rPr>
          <w:rFonts w:ascii="Verdana" w:eastAsia="Verdana" w:hAnsi="Verdana" w:cs="Verdana"/>
          <w:sz w:val="20"/>
          <w:szCs w:val="20"/>
          <w:lang w:val="fr-FR"/>
        </w:rPr>
        <w:t>pour s’assurer qu</w:t>
      </w:r>
      <w:r w:rsidR="00EA0E43" w:rsidRPr="00286B98">
        <w:rPr>
          <w:rFonts w:ascii="Verdana" w:eastAsia="Verdana" w:hAnsi="Verdana" w:cs="Verdana"/>
          <w:sz w:val="20"/>
          <w:szCs w:val="20"/>
          <w:lang w:val="fr-FR"/>
        </w:rPr>
        <w:t>e les partis politiques et les candidats p</w:t>
      </w:r>
      <w:r w:rsidR="00043663">
        <w:rPr>
          <w:rFonts w:ascii="Verdana" w:eastAsia="Verdana" w:hAnsi="Verdana" w:cs="Verdana"/>
          <w:sz w:val="20"/>
          <w:szCs w:val="20"/>
          <w:lang w:val="fr-FR"/>
        </w:rPr>
        <w:t xml:space="preserve">uissent concourir </w:t>
      </w:r>
      <w:r w:rsidR="00EA0E43" w:rsidRPr="00286B98">
        <w:rPr>
          <w:rFonts w:ascii="Verdana" w:eastAsia="Verdana" w:hAnsi="Verdana" w:cs="Verdana"/>
          <w:sz w:val="20"/>
          <w:szCs w:val="20"/>
          <w:lang w:val="fr-FR"/>
        </w:rPr>
        <w:t>sur un pied d’égalité</w:t>
      </w:r>
      <w:r w:rsidR="00043663">
        <w:rPr>
          <w:rFonts w:ascii="Verdana" w:eastAsia="Verdana" w:hAnsi="Verdana" w:cs="Verdana"/>
          <w:sz w:val="20"/>
          <w:szCs w:val="20"/>
          <w:lang w:val="fr-FR"/>
        </w:rPr>
        <w:t xml:space="preserve"> et </w:t>
      </w:r>
      <w:r w:rsidR="00EA0E43" w:rsidRPr="00286B98">
        <w:rPr>
          <w:rFonts w:ascii="Verdana" w:eastAsia="Verdana" w:hAnsi="Verdana" w:cs="Verdana"/>
          <w:sz w:val="20"/>
          <w:szCs w:val="20"/>
          <w:lang w:val="fr-FR"/>
        </w:rPr>
        <w:t xml:space="preserve">que les cadres juridiques nationaux </w:t>
      </w:r>
      <w:r w:rsidR="007C74FD">
        <w:rPr>
          <w:rFonts w:ascii="Verdana" w:eastAsia="Verdana" w:hAnsi="Verdana" w:cs="Verdana"/>
          <w:sz w:val="20"/>
          <w:szCs w:val="20"/>
          <w:lang w:val="fr-FR"/>
        </w:rPr>
        <w:t xml:space="preserve">couvrent les </w:t>
      </w:r>
      <w:r w:rsidR="00EA0E43" w:rsidRPr="00286B98">
        <w:rPr>
          <w:rFonts w:ascii="Verdana" w:eastAsia="Verdana" w:hAnsi="Verdana" w:cs="Verdana"/>
          <w:sz w:val="20"/>
          <w:szCs w:val="20"/>
          <w:lang w:val="fr-FR"/>
        </w:rPr>
        <w:t xml:space="preserve">inquiétudes </w:t>
      </w:r>
      <w:r w:rsidR="007C74FD">
        <w:rPr>
          <w:rFonts w:ascii="Verdana" w:eastAsia="Verdana" w:hAnsi="Verdana" w:cs="Verdana"/>
          <w:sz w:val="20"/>
          <w:szCs w:val="20"/>
          <w:lang w:val="fr-FR"/>
        </w:rPr>
        <w:t xml:space="preserve">que suscitent </w:t>
      </w:r>
      <w:r w:rsidR="00EA0E43" w:rsidRPr="00286B98">
        <w:rPr>
          <w:rFonts w:ascii="Verdana" w:eastAsia="Verdana" w:hAnsi="Verdana" w:cs="Verdana"/>
          <w:sz w:val="20"/>
          <w:szCs w:val="20"/>
          <w:lang w:val="fr-FR"/>
        </w:rPr>
        <w:t>les nouvelles formes et techniques numériques des campagnes électorales en ligne</w:t>
      </w:r>
      <w:r w:rsidR="007C74FD" w:rsidRPr="00564027">
        <w:rPr>
          <w:lang w:val="fr-FR"/>
        </w:rPr>
        <w:t xml:space="preserve"> </w:t>
      </w:r>
      <w:r w:rsidR="007C74FD" w:rsidRPr="007C74FD">
        <w:rPr>
          <w:rFonts w:ascii="Verdana" w:eastAsia="Verdana" w:hAnsi="Verdana" w:cs="Verdana"/>
          <w:sz w:val="20"/>
          <w:szCs w:val="20"/>
          <w:lang w:val="fr-FR"/>
        </w:rPr>
        <w:t>pour l’équité et la légitimité des processus électoraux</w:t>
      </w:r>
      <w:r w:rsidR="00EA0E43" w:rsidRPr="00286B98">
        <w:rPr>
          <w:rFonts w:ascii="Verdana" w:eastAsia="Verdana" w:hAnsi="Verdana" w:cs="Verdana"/>
          <w:sz w:val="20"/>
          <w:szCs w:val="20"/>
          <w:lang w:val="fr-FR"/>
        </w:rPr>
        <w:t>.</w:t>
      </w:r>
    </w:p>
    <w:p w14:paraId="0CC4AD15" w14:textId="7030BBFE" w:rsidR="003D052B" w:rsidRPr="00286B98" w:rsidRDefault="003D052B" w:rsidP="00E224D5">
      <w:pPr>
        <w:spacing w:line="259" w:lineRule="auto"/>
        <w:jc w:val="both"/>
        <w:rPr>
          <w:rFonts w:ascii="Verdana" w:eastAsia="Verdana" w:hAnsi="Verdana" w:cs="Verdana"/>
          <w:sz w:val="20"/>
          <w:szCs w:val="20"/>
          <w:lang w:val="fr-FR"/>
        </w:rPr>
      </w:pPr>
    </w:p>
    <w:p w14:paraId="03DFCFAE" w14:textId="41BB10ED" w:rsidR="006C2D3C" w:rsidRPr="00286B98" w:rsidRDefault="003D052B" w:rsidP="00E224D5">
      <w:pP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3. </w:t>
      </w:r>
      <w:r w:rsidR="00EA0E43" w:rsidRPr="00286B98">
        <w:rPr>
          <w:rFonts w:ascii="Verdana" w:eastAsia="Verdana" w:hAnsi="Verdana" w:cs="Verdana"/>
          <w:sz w:val="20"/>
          <w:szCs w:val="20"/>
          <w:lang w:val="fr-FR"/>
        </w:rPr>
        <w:t xml:space="preserve">Contrairement à la publicité politique sur les médias publics et privés traditionnels, notamment audiovisuels (radio </w:t>
      </w:r>
      <w:r w:rsidR="00461B04">
        <w:rPr>
          <w:rFonts w:ascii="Verdana" w:eastAsia="Verdana" w:hAnsi="Verdana" w:cs="Verdana"/>
          <w:sz w:val="20"/>
          <w:szCs w:val="20"/>
          <w:lang w:val="fr-FR"/>
        </w:rPr>
        <w:t>et</w:t>
      </w:r>
      <w:r w:rsidR="00EA0E43" w:rsidRPr="00286B98">
        <w:rPr>
          <w:rFonts w:ascii="Verdana" w:eastAsia="Verdana" w:hAnsi="Verdana" w:cs="Verdana"/>
          <w:sz w:val="20"/>
          <w:szCs w:val="20"/>
          <w:lang w:val="fr-FR"/>
        </w:rPr>
        <w:t xml:space="preserve"> télévision), la publicité politique en ligne reste très peu réglementée.</w:t>
      </w:r>
      <w:r w:rsidRPr="00286B98">
        <w:rPr>
          <w:rFonts w:ascii="Verdana" w:eastAsia="Verdana" w:hAnsi="Verdana" w:cs="Verdana"/>
          <w:sz w:val="20"/>
          <w:szCs w:val="20"/>
          <w:lang w:val="fr-FR"/>
        </w:rPr>
        <w:t xml:space="preserve"> </w:t>
      </w:r>
      <w:r w:rsidR="006C2D3C" w:rsidRPr="006C2D3C">
        <w:rPr>
          <w:rFonts w:ascii="Verdana" w:eastAsia="Verdana" w:hAnsi="Verdana" w:cs="Verdana"/>
          <w:sz w:val="20"/>
          <w:szCs w:val="20"/>
          <w:lang w:val="fr-FR"/>
        </w:rPr>
        <w:t xml:space="preserve">Cette situation, ainsi que </w:t>
      </w:r>
      <w:r w:rsidR="006C2D3C" w:rsidRPr="006C2D3C">
        <w:rPr>
          <w:rFonts w:ascii="Verdana" w:eastAsia="Verdana" w:hAnsi="Verdana"/>
          <w:sz w:val="20"/>
          <w:lang w:val="fr-FR"/>
        </w:rPr>
        <w:t>les niveaux insuffisants de transparenc</w:t>
      </w:r>
      <w:r w:rsidR="006C2D3C">
        <w:rPr>
          <w:rFonts w:ascii="Verdana" w:eastAsia="Verdana" w:hAnsi="Verdana"/>
          <w:sz w:val="20"/>
          <w:lang w:val="fr-FR"/>
        </w:rPr>
        <w:t>e</w:t>
      </w:r>
      <w:r w:rsidR="006C2D3C">
        <w:rPr>
          <w:rFonts w:ascii="Verdana" w:eastAsia="Verdana" w:hAnsi="Verdana" w:cs="Verdana"/>
          <w:sz w:val="20"/>
          <w:szCs w:val="20"/>
          <w:lang w:val="fr-FR"/>
        </w:rPr>
        <w:t xml:space="preserve"> – </w:t>
      </w:r>
      <w:r w:rsidR="00461B04">
        <w:rPr>
          <w:rFonts w:ascii="Verdana" w:eastAsia="Verdana" w:hAnsi="Verdana" w:cs="Verdana"/>
          <w:sz w:val="20"/>
          <w:szCs w:val="20"/>
          <w:lang w:val="fr-FR"/>
        </w:rPr>
        <w:t xml:space="preserve">au niveau des </w:t>
      </w:r>
      <w:r w:rsidR="00EA0E43" w:rsidRPr="00286B98">
        <w:rPr>
          <w:rFonts w:ascii="Verdana" w:eastAsia="Verdana" w:hAnsi="Verdana" w:cs="Verdana"/>
          <w:sz w:val="20"/>
          <w:szCs w:val="20"/>
          <w:lang w:val="fr-FR"/>
        </w:rPr>
        <w:t xml:space="preserve">intermédiaires </w:t>
      </w:r>
      <w:r w:rsidR="00461B04">
        <w:rPr>
          <w:rFonts w:ascii="Verdana" w:eastAsia="Verdana" w:hAnsi="Verdana" w:cs="Verdana"/>
          <w:sz w:val="20"/>
          <w:szCs w:val="20"/>
          <w:lang w:val="fr-FR"/>
        </w:rPr>
        <w:t xml:space="preserve">aussi bien que des </w:t>
      </w:r>
      <w:r w:rsidR="00EA0E43" w:rsidRPr="00286B98">
        <w:rPr>
          <w:rFonts w:ascii="Verdana" w:eastAsia="Verdana" w:hAnsi="Verdana" w:cs="Verdana"/>
          <w:sz w:val="20"/>
          <w:szCs w:val="20"/>
          <w:lang w:val="fr-FR"/>
        </w:rPr>
        <w:t>campagnes</w:t>
      </w:r>
      <w:r w:rsidR="00461B04">
        <w:rPr>
          <w:rFonts w:ascii="Verdana" w:eastAsia="Verdana" w:hAnsi="Verdana" w:cs="Verdana"/>
          <w:sz w:val="20"/>
          <w:szCs w:val="20"/>
          <w:lang w:val="fr-FR"/>
        </w:rPr>
        <w:t xml:space="preserve"> elles-mêmes</w:t>
      </w:r>
      <w:r w:rsidR="00EA0E43" w:rsidRPr="00286B98">
        <w:rPr>
          <w:rFonts w:ascii="Verdana" w:eastAsia="Verdana" w:hAnsi="Verdana" w:cs="Verdana"/>
          <w:sz w:val="20"/>
          <w:szCs w:val="20"/>
          <w:lang w:val="fr-FR"/>
        </w:rPr>
        <w:t xml:space="preserve">, </w:t>
      </w:r>
      <w:r w:rsidR="00461B04">
        <w:rPr>
          <w:rFonts w:ascii="Verdana" w:eastAsia="Verdana" w:hAnsi="Verdana" w:cs="Verdana"/>
          <w:sz w:val="20"/>
          <w:szCs w:val="20"/>
          <w:lang w:val="fr-FR"/>
        </w:rPr>
        <w:t>d</w:t>
      </w:r>
      <w:r w:rsidR="00EA0E43" w:rsidRPr="00286B98">
        <w:rPr>
          <w:rFonts w:ascii="Verdana" w:eastAsia="Verdana" w:hAnsi="Verdana" w:cs="Verdana"/>
          <w:sz w:val="20"/>
          <w:szCs w:val="20"/>
          <w:lang w:val="fr-FR"/>
        </w:rPr>
        <w:t>es techniques employées</w:t>
      </w:r>
      <w:r w:rsidR="006C2D3C">
        <w:rPr>
          <w:rFonts w:ascii="Verdana" w:eastAsia="Verdana" w:hAnsi="Verdana"/>
          <w:sz w:val="20"/>
          <w:lang w:val="fr-FR"/>
        </w:rPr>
        <w:t xml:space="preserve">, </w:t>
      </w:r>
      <w:r w:rsidR="006C2D3C" w:rsidRPr="006C2D3C">
        <w:rPr>
          <w:rFonts w:ascii="Verdana" w:eastAsia="Verdana" w:hAnsi="Verdana"/>
          <w:sz w:val="20"/>
          <w:lang w:val="fr-FR"/>
        </w:rPr>
        <w:t>des acteurs impliqués</w:t>
      </w:r>
      <w:r w:rsidR="00EA0E43" w:rsidRPr="00286B98">
        <w:rPr>
          <w:rFonts w:ascii="Verdana" w:eastAsia="Verdana" w:hAnsi="Verdana" w:cs="Verdana"/>
          <w:sz w:val="20"/>
          <w:szCs w:val="20"/>
          <w:lang w:val="fr-FR"/>
        </w:rPr>
        <w:t xml:space="preserve"> et </w:t>
      </w:r>
      <w:r w:rsidR="00461B04">
        <w:rPr>
          <w:rFonts w:ascii="Verdana" w:eastAsia="Verdana" w:hAnsi="Verdana" w:cs="Verdana"/>
          <w:sz w:val="20"/>
          <w:szCs w:val="20"/>
          <w:lang w:val="fr-FR"/>
        </w:rPr>
        <w:t>d</w:t>
      </w:r>
      <w:r w:rsidR="00EA0E43" w:rsidRPr="00286B98">
        <w:rPr>
          <w:rFonts w:ascii="Verdana" w:eastAsia="Verdana" w:hAnsi="Verdana" w:cs="Verdana"/>
          <w:sz w:val="20"/>
          <w:szCs w:val="20"/>
          <w:lang w:val="fr-FR"/>
        </w:rPr>
        <w:t>es dépenses engagées</w:t>
      </w:r>
      <w:r w:rsidR="006C2D3C">
        <w:rPr>
          <w:rFonts w:ascii="Verdana" w:eastAsia="Verdana" w:hAnsi="Verdana" w:cs="Verdana"/>
          <w:sz w:val="20"/>
          <w:szCs w:val="20"/>
          <w:lang w:val="fr-FR"/>
        </w:rPr>
        <w:t xml:space="preserve"> – </w:t>
      </w:r>
      <w:r w:rsidR="006C2D3C" w:rsidRPr="006C2D3C">
        <w:rPr>
          <w:rFonts w:ascii="Verdana" w:hAnsi="Verdana"/>
          <w:sz w:val="20"/>
          <w:lang w:val="fr-FR"/>
        </w:rPr>
        <w:t>façonnent le contexte général de la campagne en ligne contemporaine.</w:t>
      </w:r>
      <w:r w:rsidR="006C2D3C">
        <w:rPr>
          <w:rFonts w:ascii="Verdana" w:hAnsi="Verdana"/>
          <w:sz w:val="20"/>
          <w:lang w:val="fr-FR"/>
        </w:rPr>
        <w:t xml:space="preserve"> </w:t>
      </w:r>
    </w:p>
    <w:p w14:paraId="6C3393FF" w14:textId="77777777" w:rsidR="00E224D5" w:rsidRPr="00286B98" w:rsidRDefault="00E224D5" w:rsidP="00E224D5">
      <w:pPr>
        <w:spacing w:line="259" w:lineRule="auto"/>
        <w:jc w:val="both"/>
        <w:rPr>
          <w:rFonts w:ascii="Verdana" w:eastAsia="Verdana" w:hAnsi="Verdana" w:cs="Verdana"/>
          <w:sz w:val="20"/>
          <w:szCs w:val="20"/>
          <w:lang w:val="fr-FR"/>
        </w:rPr>
      </w:pPr>
    </w:p>
    <w:p w14:paraId="3A4A2F58" w14:textId="25A780EE" w:rsidR="00E224D5" w:rsidRPr="00286B98" w:rsidRDefault="003D052B">
      <w:pP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4. </w:t>
      </w:r>
      <w:r w:rsidR="003A2F5F" w:rsidRPr="00286B98">
        <w:rPr>
          <w:rFonts w:ascii="Verdana" w:eastAsia="Verdana" w:hAnsi="Verdana" w:cs="Verdana"/>
          <w:sz w:val="20"/>
          <w:szCs w:val="20"/>
          <w:lang w:val="fr-FR"/>
        </w:rPr>
        <w:t>Toute mesure législative réglementant la communication politique en ligne devrait s’accompagner d’une analyse approfondie de son impact potentiel sur certains droits des acteurs concernés, en particulier le droit à des élections libres garanti par l’article 3 du Protocole n°</w:t>
      </w:r>
      <w:r w:rsidR="00286B98">
        <w:rPr>
          <w:rFonts w:ascii="Verdana" w:eastAsia="Verdana" w:hAnsi="Verdana" w:cs="Verdana"/>
          <w:sz w:val="20"/>
          <w:szCs w:val="20"/>
          <w:lang w:val="fr-FR"/>
        </w:rPr>
        <w:t> </w:t>
      </w:r>
      <w:r w:rsidR="003A2F5F" w:rsidRPr="00286B98">
        <w:rPr>
          <w:rFonts w:ascii="Verdana" w:eastAsia="Verdana" w:hAnsi="Verdana" w:cs="Verdana"/>
          <w:sz w:val="20"/>
          <w:szCs w:val="20"/>
          <w:lang w:val="fr-FR"/>
        </w:rPr>
        <w:t xml:space="preserve">1 à la </w:t>
      </w:r>
      <w:r w:rsidR="006F5688" w:rsidRPr="00286B98">
        <w:rPr>
          <w:rFonts w:ascii="Verdana" w:eastAsia="Verdana" w:hAnsi="Verdana" w:cs="Verdana"/>
          <w:sz w:val="20"/>
          <w:szCs w:val="20"/>
          <w:lang w:val="fr-FR"/>
        </w:rPr>
        <w:t xml:space="preserve">Convention de </w:t>
      </w:r>
      <w:r w:rsidR="00EB2789">
        <w:rPr>
          <w:rFonts w:ascii="Verdana" w:eastAsia="Verdana" w:hAnsi="Verdana" w:cs="Verdana"/>
          <w:sz w:val="20"/>
          <w:szCs w:val="20"/>
          <w:lang w:val="fr-FR"/>
        </w:rPr>
        <w:t xml:space="preserve">la </w:t>
      </w:r>
      <w:r w:rsidR="004578D3">
        <w:rPr>
          <w:rFonts w:ascii="Verdana" w:eastAsia="Verdana" w:hAnsi="Verdana" w:cs="Verdana"/>
          <w:sz w:val="20"/>
          <w:szCs w:val="20"/>
          <w:lang w:val="fr-FR"/>
        </w:rPr>
        <w:t>sauvegarde</w:t>
      </w:r>
      <w:r w:rsidR="006F5688" w:rsidRPr="00286B98">
        <w:rPr>
          <w:rFonts w:ascii="Verdana" w:eastAsia="Verdana" w:hAnsi="Verdana" w:cs="Verdana"/>
          <w:sz w:val="20"/>
          <w:szCs w:val="20"/>
          <w:lang w:val="fr-FR"/>
        </w:rPr>
        <w:t xml:space="preserve"> des droits de l’homme et des libertés fondamentales (STE n°</w:t>
      </w:r>
      <w:r w:rsidR="00286B98">
        <w:rPr>
          <w:rFonts w:ascii="Verdana" w:eastAsia="Verdana" w:hAnsi="Verdana" w:cs="Verdana"/>
          <w:sz w:val="20"/>
          <w:szCs w:val="20"/>
          <w:lang w:val="fr-FR"/>
        </w:rPr>
        <w:t> </w:t>
      </w:r>
      <w:r w:rsidR="006F5688" w:rsidRPr="00286B98">
        <w:rPr>
          <w:rFonts w:ascii="Verdana" w:eastAsia="Verdana" w:hAnsi="Verdana" w:cs="Verdana"/>
          <w:sz w:val="20"/>
          <w:szCs w:val="20"/>
          <w:lang w:val="fr-FR"/>
        </w:rPr>
        <w:t>5, ci-après « la Convention »), le droit à la liberté d’expression affirmé à l’article 10 de la Convention et le droit à la vie privée et à la protection des données, couvert par son article</w:t>
      </w:r>
      <w:r w:rsidR="00286B98">
        <w:rPr>
          <w:rFonts w:ascii="Verdana" w:eastAsia="Verdana" w:hAnsi="Verdana" w:cs="Verdana"/>
          <w:sz w:val="20"/>
          <w:szCs w:val="20"/>
          <w:lang w:val="fr-FR"/>
        </w:rPr>
        <w:t> </w:t>
      </w:r>
      <w:r w:rsidR="006F5688" w:rsidRPr="00286B98">
        <w:rPr>
          <w:rFonts w:ascii="Verdana" w:eastAsia="Verdana" w:hAnsi="Verdana" w:cs="Verdana"/>
          <w:sz w:val="20"/>
          <w:szCs w:val="20"/>
          <w:lang w:val="fr-FR"/>
        </w:rPr>
        <w:t>8.</w:t>
      </w:r>
      <w:r w:rsidR="00E224D5" w:rsidRPr="00286B98">
        <w:rPr>
          <w:rFonts w:ascii="Verdana" w:eastAsia="Verdana" w:hAnsi="Verdana" w:cs="Verdana"/>
          <w:sz w:val="20"/>
          <w:szCs w:val="20"/>
          <w:lang w:val="fr-FR"/>
        </w:rPr>
        <w:t xml:space="preserve"> </w:t>
      </w:r>
      <w:r w:rsidR="006F5688" w:rsidRPr="00286B98">
        <w:rPr>
          <w:rFonts w:ascii="Verdana" w:eastAsia="Verdana" w:hAnsi="Verdana" w:cs="Verdana"/>
          <w:sz w:val="20"/>
          <w:szCs w:val="20"/>
          <w:lang w:val="fr-FR"/>
        </w:rPr>
        <w:t>Ces mesures doivent en outre être nécessaires et proportionnées aux objectifs poursuivis.</w:t>
      </w:r>
    </w:p>
    <w:p w14:paraId="3BC5B551" w14:textId="2AC9ACCF" w:rsidR="00BF6E57" w:rsidRPr="00286B98" w:rsidRDefault="00BF6E57">
      <w:pPr>
        <w:spacing w:line="259" w:lineRule="auto"/>
        <w:jc w:val="both"/>
        <w:rPr>
          <w:rFonts w:ascii="Verdana" w:eastAsia="Verdana" w:hAnsi="Verdana" w:cs="Verdana"/>
          <w:sz w:val="20"/>
          <w:szCs w:val="20"/>
          <w:lang w:val="fr-FR"/>
        </w:rPr>
      </w:pPr>
    </w:p>
    <w:p w14:paraId="4A58C3BD" w14:textId="14DBAAA3" w:rsidR="00BF6E57" w:rsidRPr="00286B98" w:rsidRDefault="00E106C2" w:rsidP="006F5688">
      <w:pPr>
        <w:pBdr>
          <w:top w:val="nil"/>
          <w:left w:val="nil"/>
          <w:bottom w:val="nil"/>
          <w:right w:val="nil"/>
          <w:between w:val="nil"/>
        </w:pBd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5. </w:t>
      </w:r>
      <w:r w:rsidR="006F5688" w:rsidRPr="00286B98">
        <w:rPr>
          <w:rFonts w:ascii="Verdana" w:eastAsia="Verdana" w:hAnsi="Verdana" w:cs="Verdana"/>
          <w:sz w:val="20"/>
          <w:szCs w:val="20"/>
          <w:lang w:val="fr-FR"/>
        </w:rPr>
        <w:t xml:space="preserve">La présente Recommandation prolonge et complète les principes énoncés dans la Recommandation 2007(15) du Comité des Ministres aux États membres sur des mesures concernant la couverture des campagnes électorales par les médias, qui comprend des dispositions générales sur la couverture médiatique des campagnes électorales et des mesures spécifiques </w:t>
      </w:r>
      <w:r w:rsidR="00EC1E1A">
        <w:rPr>
          <w:rFonts w:ascii="Verdana" w:eastAsia="Verdana" w:hAnsi="Verdana" w:cs="Verdana"/>
          <w:sz w:val="20"/>
          <w:szCs w:val="20"/>
          <w:lang w:val="fr-FR"/>
        </w:rPr>
        <w:t xml:space="preserve">sur </w:t>
      </w:r>
      <w:r w:rsidR="006F5688" w:rsidRPr="00286B98">
        <w:rPr>
          <w:rFonts w:ascii="Verdana" w:eastAsia="Verdana" w:hAnsi="Verdana" w:cs="Verdana"/>
          <w:sz w:val="20"/>
          <w:szCs w:val="20"/>
          <w:lang w:val="fr-FR"/>
        </w:rPr>
        <w:t>les médias du secteur de la radiodiffusion.</w:t>
      </w:r>
    </w:p>
    <w:p w14:paraId="7AC93A98" w14:textId="77777777" w:rsidR="00BF6E57" w:rsidRPr="00286B98" w:rsidRDefault="00BF6E57" w:rsidP="00BF6E57">
      <w:pPr>
        <w:pBdr>
          <w:top w:val="nil"/>
          <w:left w:val="nil"/>
          <w:bottom w:val="nil"/>
          <w:right w:val="nil"/>
          <w:between w:val="nil"/>
        </w:pBdr>
        <w:spacing w:line="259" w:lineRule="auto"/>
        <w:jc w:val="both"/>
        <w:rPr>
          <w:rFonts w:ascii="Verdana" w:eastAsia="Verdana" w:hAnsi="Verdana" w:cs="Verdana"/>
          <w:sz w:val="20"/>
          <w:szCs w:val="20"/>
          <w:lang w:val="fr-FR"/>
        </w:rPr>
      </w:pPr>
    </w:p>
    <w:p w14:paraId="15F74683" w14:textId="0CECE8D7" w:rsidR="00BF6E57" w:rsidRPr="00286B98" w:rsidRDefault="00E106C2" w:rsidP="00C3632F">
      <w:pPr>
        <w:pBdr>
          <w:top w:val="nil"/>
          <w:left w:val="nil"/>
          <w:bottom w:val="nil"/>
          <w:right w:val="nil"/>
          <w:between w:val="nil"/>
        </w:pBd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6. </w:t>
      </w:r>
      <w:r w:rsidR="008629B2">
        <w:rPr>
          <w:rFonts w:ascii="Verdana" w:eastAsia="Verdana" w:hAnsi="Verdana" w:cs="Verdana"/>
          <w:sz w:val="20"/>
          <w:szCs w:val="20"/>
          <w:lang w:val="fr-FR"/>
        </w:rPr>
        <w:t>A</w:t>
      </w:r>
      <w:r w:rsidR="00C3632F" w:rsidRPr="00286B98">
        <w:rPr>
          <w:rFonts w:ascii="Verdana" w:eastAsia="Verdana" w:hAnsi="Verdana" w:cs="Verdana"/>
          <w:sz w:val="20"/>
          <w:szCs w:val="20"/>
          <w:lang w:val="fr-FR"/>
        </w:rPr>
        <w:t xml:space="preserve"> </w:t>
      </w:r>
      <w:r w:rsidR="008629B2">
        <w:rPr>
          <w:rFonts w:ascii="Verdana" w:eastAsia="Verdana" w:hAnsi="Verdana" w:cs="Verdana"/>
          <w:sz w:val="20"/>
          <w:szCs w:val="20"/>
          <w:lang w:val="fr-FR"/>
        </w:rPr>
        <w:t>l’</w:t>
      </w:r>
      <w:r w:rsidR="00C3632F" w:rsidRPr="00286B98">
        <w:rPr>
          <w:rFonts w:ascii="Verdana" w:eastAsia="Verdana" w:hAnsi="Verdana" w:cs="Verdana"/>
          <w:sz w:val="20"/>
          <w:szCs w:val="20"/>
          <w:lang w:val="fr-FR"/>
        </w:rPr>
        <w:t xml:space="preserve">égard </w:t>
      </w:r>
      <w:r w:rsidR="008629B2">
        <w:rPr>
          <w:rFonts w:ascii="Verdana" w:eastAsia="Verdana" w:hAnsi="Verdana" w:cs="Verdana"/>
          <w:sz w:val="20"/>
          <w:szCs w:val="20"/>
          <w:lang w:val="fr-FR"/>
        </w:rPr>
        <w:t>de</w:t>
      </w:r>
      <w:r w:rsidR="00C3632F" w:rsidRPr="00286B98">
        <w:rPr>
          <w:rFonts w:ascii="Verdana" w:eastAsia="Verdana" w:hAnsi="Verdana" w:cs="Verdana"/>
          <w:sz w:val="20"/>
          <w:szCs w:val="20"/>
          <w:lang w:val="fr-FR"/>
        </w:rPr>
        <w:t xml:space="preserve"> la Recommandation CM/</w:t>
      </w:r>
      <w:proofErr w:type="gramStart"/>
      <w:r w:rsidR="00C3632F" w:rsidRPr="00286B98">
        <w:rPr>
          <w:rFonts w:ascii="Verdana" w:eastAsia="Verdana" w:hAnsi="Verdana" w:cs="Verdana"/>
          <w:sz w:val="20"/>
          <w:szCs w:val="20"/>
          <w:lang w:val="fr-FR"/>
        </w:rPr>
        <w:t>Rec(</w:t>
      </w:r>
      <w:proofErr w:type="gramEnd"/>
      <w:r w:rsidR="00C3632F" w:rsidRPr="00286B98">
        <w:rPr>
          <w:rFonts w:ascii="Verdana" w:eastAsia="Verdana" w:hAnsi="Verdana" w:cs="Verdana"/>
          <w:sz w:val="20"/>
          <w:szCs w:val="20"/>
          <w:lang w:val="fr-FR"/>
        </w:rPr>
        <w:t>2011)7 du Comité des Ministres aux États membres sur une nouvelle conception des médias, les lignes directrices de la présente Recommandation sont pensées pour offrir des principes additionnels et complémentaires à la lumière de la convergence des technologies.</w:t>
      </w:r>
      <w:r w:rsidR="005C5911" w:rsidRPr="00286B98">
        <w:rPr>
          <w:rFonts w:ascii="Verdana" w:eastAsia="Verdana" w:hAnsi="Verdana" w:cs="Verdana"/>
          <w:sz w:val="20"/>
          <w:szCs w:val="20"/>
          <w:lang w:val="fr-FR"/>
        </w:rPr>
        <w:t xml:space="preserve"> </w:t>
      </w:r>
      <w:r w:rsidR="00C3632F" w:rsidRPr="00286B98">
        <w:rPr>
          <w:rFonts w:ascii="Verdana" w:eastAsia="Verdana" w:hAnsi="Verdana" w:cs="Verdana"/>
          <w:sz w:val="20"/>
          <w:szCs w:val="20"/>
          <w:lang w:val="fr-FR"/>
        </w:rPr>
        <w:t>Ainsi, les principes généraux énoncés dans la Recommandation CM/</w:t>
      </w:r>
      <w:proofErr w:type="gramStart"/>
      <w:r w:rsidR="00C3632F" w:rsidRPr="00286B98">
        <w:rPr>
          <w:rFonts w:ascii="Verdana" w:eastAsia="Verdana" w:hAnsi="Verdana" w:cs="Verdana"/>
          <w:sz w:val="20"/>
          <w:szCs w:val="20"/>
          <w:lang w:val="fr-FR"/>
        </w:rPr>
        <w:t>Rec(</w:t>
      </w:r>
      <w:proofErr w:type="gramEnd"/>
      <w:r w:rsidR="00C3632F" w:rsidRPr="00286B98">
        <w:rPr>
          <w:rFonts w:ascii="Verdana" w:eastAsia="Verdana" w:hAnsi="Verdana" w:cs="Verdana"/>
          <w:sz w:val="20"/>
          <w:szCs w:val="20"/>
          <w:lang w:val="fr-FR"/>
        </w:rPr>
        <w:t>2007)15 devraient continuer de s’appliquer aux médias dans ce contexte de convergence, sauf lorsque les nouvelles lignes directrices prévoient des normes spécifiques ayant un effet sur la validité et/ou l’application de ces principes du fait de la nature différente des technologies et des usages en ligne.</w:t>
      </w:r>
    </w:p>
    <w:p w14:paraId="0DAFF17C" w14:textId="77777777" w:rsidR="00D21F6D" w:rsidRPr="00286B98" w:rsidRDefault="00D21F6D">
      <w:pPr>
        <w:widowControl w:val="0"/>
        <w:pBdr>
          <w:top w:val="nil"/>
          <w:left w:val="nil"/>
          <w:bottom w:val="nil"/>
          <w:right w:val="nil"/>
          <w:between w:val="nil"/>
        </w:pBdr>
        <w:spacing w:line="259" w:lineRule="auto"/>
        <w:jc w:val="both"/>
        <w:rPr>
          <w:rFonts w:ascii="Verdana" w:eastAsia="Verdana" w:hAnsi="Verdana" w:cs="Verdana"/>
          <w:sz w:val="20"/>
          <w:szCs w:val="20"/>
          <w:lang w:val="fr-FR"/>
        </w:rPr>
      </w:pPr>
    </w:p>
    <w:p w14:paraId="0F0572EC" w14:textId="1EB27707" w:rsidR="00D21F6D" w:rsidRPr="00286B98" w:rsidRDefault="007F0B60" w:rsidP="00F824A9">
      <w:pPr>
        <w:widowControl w:val="0"/>
        <w:pBdr>
          <w:top w:val="nil"/>
          <w:left w:val="nil"/>
          <w:bottom w:val="nil"/>
          <w:right w:val="nil"/>
          <w:between w:val="nil"/>
        </w:pBdr>
        <w:spacing w:line="259" w:lineRule="auto"/>
        <w:jc w:val="both"/>
        <w:rPr>
          <w:rFonts w:ascii="Verdana" w:eastAsia="Verdana" w:hAnsi="Verdana" w:cs="Verdana"/>
          <w:bCs/>
          <w:sz w:val="20"/>
          <w:szCs w:val="20"/>
          <w:lang w:val="fr-FR"/>
        </w:rPr>
      </w:pPr>
      <w:r w:rsidRPr="00286B98">
        <w:rPr>
          <w:rFonts w:ascii="Verdana" w:eastAsia="Verdana" w:hAnsi="Verdana" w:cs="Verdana"/>
          <w:bCs/>
          <w:sz w:val="20"/>
          <w:szCs w:val="20"/>
          <w:lang w:val="fr-FR"/>
        </w:rPr>
        <w:t>7</w:t>
      </w:r>
      <w:r w:rsidR="003D052B" w:rsidRPr="00286B98">
        <w:rPr>
          <w:rFonts w:ascii="Verdana" w:eastAsia="Verdana" w:hAnsi="Verdana" w:cs="Verdana"/>
          <w:bCs/>
          <w:sz w:val="20"/>
          <w:szCs w:val="20"/>
          <w:lang w:val="fr-FR"/>
        </w:rPr>
        <w:t xml:space="preserve">. </w:t>
      </w:r>
      <w:r w:rsidR="008629B2">
        <w:rPr>
          <w:rFonts w:ascii="Verdana" w:eastAsia="Verdana" w:hAnsi="Verdana" w:cs="Verdana"/>
          <w:bCs/>
          <w:sz w:val="20"/>
          <w:szCs w:val="20"/>
          <w:lang w:val="fr-FR"/>
        </w:rPr>
        <w:t xml:space="preserve">Pour les besoins </w:t>
      </w:r>
      <w:r w:rsidR="00C3632F" w:rsidRPr="00286B98">
        <w:rPr>
          <w:rFonts w:ascii="Verdana" w:eastAsia="Verdana" w:hAnsi="Verdana" w:cs="Verdana"/>
          <w:bCs/>
          <w:sz w:val="20"/>
          <w:szCs w:val="20"/>
          <w:lang w:val="fr-FR"/>
        </w:rPr>
        <w:t>de la présente Recommandation</w:t>
      </w:r>
      <w:r w:rsidR="00F824A9" w:rsidRPr="00286B98">
        <w:rPr>
          <w:rFonts w:ascii="Verdana" w:eastAsia="Verdana" w:hAnsi="Verdana" w:cs="Verdana"/>
          <w:bCs/>
          <w:sz w:val="20"/>
          <w:szCs w:val="20"/>
          <w:lang w:val="fr-FR"/>
        </w:rPr>
        <w:t xml:space="preserve">, </w:t>
      </w:r>
      <w:r w:rsidR="008629B2">
        <w:rPr>
          <w:rFonts w:ascii="Verdana" w:eastAsia="Verdana" w:hAnsi="Verdana" w:cs="Verdana"/>
          <w:bCs/>
          <w:sz w:val="20"/>
          <w:szCs w:val="20"/>
          <w:lang w:val="fr-FR"/>
        </w:rPr>
        <w:t>nous</w:t>
      </w:r>
      <w:r w:rsidR="00F824A9" w:rsidRPr="00286B98">
        <w:rPr>
          <w:rFonts w:ascii="Verdana" w:eastAsia="Verdana" w:hAnsi="Verdana" w:cs="Verdana"/>
          <w:bCs/>
          <w:sz w:val="20"/>
          <w:szCs w:val="20"/>
          <w:lang w:val="fr-FR"/>
        </w:rPr>
        <w:t xml:space="preserve"> entend</w:t>
      </w:r>
      <w:r w:rsidR="008629B2">
        <w:rPr>
          <w:rFonts w:ascii="Verdana" w:eastAsia="Verdana" w:hAnsi="Verdana" w:cs="Verdana"/>
          <w:bCs/>
          <w:sz w:val="20"/>
          <w:szCs w:val="20"/>
          <w:lang w:val="fr-FR"/>
        </w:rPr>
        <w:t>ons</w:t>
      </w:r>
      <w:r w:rsidR="00F824A9" w:rsidRPr="00286B98">
        <w:rPr>
          <w:rFonts w:ascii="Verdana" w:eastAsia="Verdana" w:hAnsi="Verdana" w:cs="Verdana"/>
          <w:bCs/>
          <w:sz w:val="20"/>
          <w:szCs w:val="20"/>
          <w:lang w:val="fr-FR"/>
        </w:rPr>
        <w:t xml:space="preserve"> par :</w:t>
      </w:r>
    </w:p>
    <w:p w14:paraId="4911F612" w14:textId="271D5615" w:rsidR="004D749C" w:rsidRPr="004D749C" w:rsidRDefault="00C3632F" w:rsidP="004D749C">
      <w:pPr>
        <w:pStyle w:val="NoSpacing"/>
        <w:numPr>
          <w:ilvl w:val="0"/>
          <w:numId w:val="3"/>
        </w:numPr>
        <w:jc w:val="both"/>
        <w:rPr>
          <w:rFonts w:ascii="Verdana" w:hAnsi="Verdana"/>
          <w:color w:val="000000"/>
          <w:sz w:val="20"/>
          <w:szCs w:val="20"/>
          <w:lang w:val="fr-FR"/>
        </w:rPr>
      </w:pPr>
      <w:r w:rsidRPr="00286B98">
        <w:rPr>
          <w:rFonts w:ascii="Verdana" w:hAnsi="Verdana"/>
          <w:bCs/>
          <w:color w:val="000000"/>
          <w:sz w:val="20"/>
          <w:szCs w:val="20"/>
          <w:lang w:val="fr-FR"/>
        </w:rPr>
        <w:t>« </w:t>
      </w:r>
      <w:proofErr w:type="gramStart"/>
      <w:r w:rsidRPr="00286B98">
        <w:rPr>
          <w:rFonts w:ascii="Verdana" w:hAnsi="Verdana"/>
          <w:bCs/>
          <w:color w:val="000000"/>
          <w:sz w:val="20"/>
          <w:szCs w:val="20"/>
          <w:lang w:val="fr-FR"/>
        </w:rPr>
        <w:t>publicité</w:t>
      </w:r>
      <w:proofErr w:type="gramEnd"/>
      <w:r w:rsidRPr="00286B98">
        <w:rPr>
          <w:rFonts w:ascii="Verdana" w:hAnsi="Verdana"/>
          <w:bCs/>
          <w:color w:val="000000"/>
          <w:sz w:val="20"/>
          <w:szCs w:val="20"/>
          <w:lang w:val="fr-FR"/>
        </w:rPr>
        <w:t xml:space="preserve"> politique »</w:t>
      </w:r>
      <w:r w:rsidR="00F824A9" w:rsidRPr="00286B98">
        <w:rPr>
          <w:rFonts w:ascii="Verdana" w:hAnsi="Verdana"/>
          <w:bCs/>
          <w:color w:val="000000"/>
          <w:sz w:val="20"/>
          <w:szCs w:val="20"/>
          <w:lang w:val="fr-FR"/>
        </w:rPr>
        <w:t>,</w:t>
      </w:r>
      <w:r w:rsidRPr="00286B98">
        <w:rPr>
          <w:rFonts w:ascii="Verdana" w:hAnsi="Verdana"/>
          <w:bCs/>
          <w:color w:val="000000"/>
          <w:sz w:val="20"/>
          <w:szCs w:val="20"/>
          <w:lang w:val="fr-FR"/>
        </w:rPr>
        <w:t xml:space="preserve"> les contenus qui apparaissent, </w:t>
      </w:r>
      <w:r w:rsidR="009558C2" w:rsidRPr="00286B98">
        <w:rPr>
          <w:rFonts w:ascii="Verdana" w:hAnsi="Verdana"/>
          <w:bCs/>
          <w:color w:val="000000"/>
          <w:sz w:val="20"/>
          <w:szCs w:val="20"/>
          <w:lang w:val="fr-FR"/>
        </w:rPr>
        <w:t>à tout moment de l</w:t>
      </w:r>
      <w:r w:rsidRPr="00286B98">
        <w:rPr>
          <w:rFonts w:ascii="Verdana" w:hAnsi="Verdana"/>
          <w:bCs/>
          <w:color w:val="000000"/>
          <w:sz w:val="20"/>
          <w:szCs w:val="20"/>
          <w:lang w:val="fr-FR"/>
        </w:rPr>
        <w:t xml:space="preserve">’année, sur des espaces payants fournis par des médias et des plateformes en ligne et qui </w:t>
      </w:r>
      <w:r w:rsidRPr="00286B98">
        <w:rPr>
          <w:rFonts w:ascii="Verdana" w:hAnsi="Verdana"/>
          <w:bCs/>
          <w:color w:val="000000"/>
          <w:sz w:val="20"/>
          <w:szCs w:val="20"/>
          <w:lang w:val="fr-FR"/>
        </w:rPr>
        <w:lastRenderedPageBreak/>
        <w:t xml:space="preserve">plaident directement ou indirectement pour ou contre un parti, un candidat ou une prise de position </w:t>
      </w:r>
      <w:r w:rsidR="009558C2" w:rsidRPr="00286B98">
        <w:rPr>
          <w:rFonts w:ascii="Verdana" w:hAnsi="Verdana"/>
          <w:bCs/>
          <w:color w:val="000000"/>
          <w:sz w:val="20"/>
          <w:szCs w:val="20"/>
          <w:lang w:val="fr-FR"/>
        </w:rPr>
        <w:t xml:space="preserve">en </w:t>
      </w:r>
      <w:r w:rsidR="009558C2" w:rsidRPr="004D749C">
        <w:rPr>
          <w:rFonts w:ascii="Verdana" w:hAnsi="Verdana"/>
          <w:bCs/>
          <w:color w:val="000000"/>
          <w:sz w:val="20"/>
          <w:szCs w:val="20"/>
          <w:lang w:val="fr-FR"/>
        </w:rPr>
        <w:t xml:space="preserve">rapport avec une élection, un référendum, un vote populaire, le dépôt d’un projet de loi ou </w:t>
      </w:r>
      <w:r w:rsidR="004D749C" w:rsidRPr="004D749C">
        <w:rPr>
          <w:rFonts w:ascii="Verdana" w:eastAsia="Verdana" w:hAnsi="Verdana"/>
          <w:color w:val="000000"/>
          <w:sz w:val="20"/>
          <w:lang w:val="fr-FR"/>
        </w:rPr>
        <w:t xml:space="preserve">toute autre </w:t>
      </w:r>
      <w:r w:rsidR="004D749C" w:rsidRPr="004D749C">
        <w:rPr>
          <w:rFonts w:ascii="Verdana" w:eastAsia="Verdana" w:hAnsi="Verdana" w:cs="Verdana"/>
          <w:color w:val="000000"/>
          <w:sz w:val="20"/>
          <w:szCs w:val="20"/>
          <w:lang w:val="fr-FR"/>
        </w:rPr>
        <w:t>question politique (publicité thématique)</w:t>
      </w:r>
      <w:r w:rsidR="009558C2" w:rsidRPr="004D749C">
        <w:rPr>
          <w:rFonts w:ascii="Verdana" w:hAnsi="Verdana"/>
          <w:bCs/>
          <w:color w:val="000000"/>
          <w:sz w:val="20"/>
          <w:szCs w:val="20"/>
          <w:lang w:val="fr-FR"/>
        </w:rPr>
        <w:t> ;</w:t>
      </w:r>
    </w:p>
    <w:p w14:paraId="026CD08B" w14:textId="0FA745D1" w:rsidR="004D749C" w:rsidRDefault="009558C2" w:rsidP="004D749C">
      <w:pPr>
        <w:pStyle w:val="NoSpacing"/>
        <w:numPr>
          <w:ilvl w:val="0"/>
          <w:numId w:val="3"/>
        </w:numPr>
        <w:jc w:val="both"/>
        <w:rPr>
          <w:rFonts w:ascii="Verdana" w:hAnsi="Verdana"/>
          <w:color w:val="000000"/>
          <w:sz w:val="20"/>
          <w:szCs w:val="20"/>
          <w:lang w:val="fr-FR"/>
        </w:rPr>
      </w:pPr>
      <w:r w:rsidRPr="00286B98">
        <w:rPr>
          <w:rFonts w:ascii="Verdana" w:hAnsi="Verdana"/>
          <w:color w:val="000000"/>
          <w:sz w:val="20"/>
          <w:szCs w:val="20"/>
          <w:lang w:val="fr-FR"/>
        </w:rPr>
        <w:t>« </w:t>
      </w:r>
      <w:proofErr w:type="gramStart"/>
      <w:r w:rsidRPr="00286B98">
        <w:rPr>
          <w:rFonts w:ascii="Verdana" w:hAnsi="Verdana"/>
          <w:color w:val="000000"/>
          <w:sz w:val="20"/>
          <w:szCs w:val="20"/>
          <w:lang w:val="fr-FR"/>
        </w:rPr>
        <w:t>communication</w:t>
      </w:r>
      <w:proofErr w:type="gramEnd"/>
      <w:r w:rsidRPr="00286B98">
        <w:rPr>
          <w:rFonts w:ascii="Verdana" w:hAnsi="Verdana"/>
          <w:color w:val="000000"/>
          <w:sz w:val="20"/>
          <w:szCs w:val="20"/>
          <w:lang w:val="fr-FR"/>
        </w:rPr>
        <w:t xml:space="preserve"> politique »</w:t>
      </w:r>
      <w:r w:rsidR="00F824A9" w:rsidRPr="00286B98">
        <w:rPr>
          <w:rFonts w:ascii="Verdana" w:hAnsi="Verdana"/>
          <w:color w:val="000000"/>
          <w:sz w:val="20"/>
          <w:szCs w:val="20"/>
          <w:lang w:val="fr-FR"/>
        </w:rPr>
        <w:t>,</w:t>
      </w:r>
      <w:r w:rsidRPr="00286B98">
        <w:rPr>
          <w:rFonts w:ascii="Verdana" w:hAnsi="Verdana"/>
          <w:color w:val="000000"/>
          <w:sz w:val="20"/>
          <w:szCs w:val="20"/>
          <w:lang w:val="fr-FR"/>
        </w:rPr>
        <w:t xml:space="preserve"> </w:t>
      </w:r>
      <w:r w:rsidR="00F824A9" w:rsidRPr="00286B98">
        <w:rPr>
          <w:rFonts w:ascii="Verdana" w:hAnsi="Verdana"/>
          <w:color w:val="000000"/>
          <w:sz w:val="20"/>
          <w:szCs w:val="20"/>
          <w:lang w:val="fr-FR"/>
        </w:rPr>
        <w:t>t</w:t>
      </w:r>
      <w:r w:rsidRPr="00286B98">
        <w:rPr>
          <w:rFonts w:ascii="Verdana" w:hAnsi="Verdana"/>
          <w:color w:val="000000"/>
          <w:sz w:val="20"/>
          <w:szCs w:val="20"/>
          <w:lang w:val="fr-FR"/>
        </w:rPr>
        <w:t xml:space="preserve">oute communication </w:t>
      </w:r>
      <w:r w:rsidR="004D749C">
        <w:rPr>
          <w:rFonts w:ascii="Verdana" w:hAnsi="Verdana"/>
          <w:color w:val="000000"/>
          <w:sz w:val="20"/>
          <w:szCs w:val="20"/>
          <w:lang w:val="fr-FR"/>
        </w:rPr>
        <w:t>sur la</w:t>
      </w:r>
      <w:r w:rsidRPr="00286B98">
        <w:rPr>
          <w:rFonts w:ascii="Verdana" w:hAnsi="Verdana"/>
          <w:color w:val="000000"/>
          <w:sz w:val="20"/>
          <w:szCs w:val="20"/>
          <w:lang w:val="fr-FR"/>
        </w:rPr>
        <w:t xml:space="preserve"> politique diffusée par des médias ou par des plateformes en ligne, englobant les communications d’élus ou d’autres acteurs de la vie politique cherchant à atteindre certains objectifs, celles adressées à ces acteurs par d’autres personnes, comme les électeurs, et les communications concernant ces acteurs et leurs activités, telles que les analyses et débats médiatiques et journalistiques consacrés à la vie politique ;</w:t>
      </w:r>
    </w:p>
    <w:p w14:paraId="7FA9176A" w14:textId="0C1AEAC6" w:rsidR="00150DA4" w:rsidRPr="004C584A" w:rsidRDefault="009558C2" w:rsidP="00F824A9">
      <w:pPr>
        <w:pStyle w:val="NoSpacing"/>
        <w:numPr>
          <w:ilvl w:val="0"/>
          <w:numId w:val="3"/>
        </w:numPr>
        <w:jc w:val="both"/>
        <w:rPr>
          <w:rFonts w:ascii="Verdana" w:hAnsi="Verdana"/>
          <w:color w:val="000000"/>
          <w:sz w:val="20"/>
          <w:szCs w:val="20"/>
          <w:lang w:val="fr-FR"/>
        </w:rPr>
      </w:pPr>
      <w:r w:rsidRPr="00286B98">
        <w:rPr>
          <w:rFonts w:ascii="Verdana" w:hAnsi="Verdana"/>
          <w:color w:val="000000"/>
          <w:sz w:val="20"/>
          <w:szCs w:val="20"/>
          <w:lang w:val="fr-FR"/>
        </w:rPr>
        <w:t>« </w:t>
      </w:r>
      <w:proofErr w:type="gramStart"/>
      <w:r w:rsidRPr="004C584A">
        <w:rPr>
          <w:rFonts w:ascii="Verdana" w:hAnsi="Verdana"/>
          <w:color w:val="000000"/>
          <w:sz w:val="20"/>
          <w:szCs w:val="20"/>
          <w:lang w:val="fr-FR"/>
        </w:rPr>
        <w:t>communication</w:t>
      </w:r>
      <w:proofErr w:type="gramEnd"/>
      <w:r w:rsidRPr="004C584A">
        <w:rPr>
          <w:rFonts w:ascii="Verdana" w:hAnsi="Verdana"/>
          <w:color w:val="000000"/>
          <w:sz w:val="20"/>
          <w:szCs w:val="20"/>
          <w:lang w:val="fr-FR"/>
        </w:rPr>
        <w:t xml:space="preserve"> électorale »</w:t>
      </w:r>
      <w:r w:rsidR="00F824A9" w:rsidRPr="004C584A">
        <w:rPr>
          <w:rFonts w:ascii="Verdana" w:hAnsi="Verdana"/>
          <w:color w:val="000000"/>
          <w:sz w:val="20"/>
          <w:szCs w:val="20"/>
          <w:lang w:val="fr-FR"/>
        </w:rPr>
        <w:t>,</w:t>
      </w:r>
      <w:r w:rsidRPr="004C584A">
        <w:rPr>
          <w:rFonts w:ascii="Verdana" w:hAnsi="Verdana"/>
          <w:color w:val="000000"/>
          <w:sz w:val="20"/>
          <w:szCs w:val="20"/>
          <w:lang w:val="fr-FR"/>
        </w:rPr>
        <w:t xml:space="preserve"> la communication politique en période électorale ;</w:t>
      </w:r>
    </w:p>
    <w:p w14:paraId="5947793C" w14:textId="76D6EF1C" w:rsidR="004C584A" w:rsidRPr="004C584A" w:rsidRDefault="009558C2" w:rsidP="004C584A">
      <w:pPr>
        <w:numPr>
          <w:ilvl w:val="0"/>
          <w:numId w:val="3"/>
        </w:numPr>
        <w:pBdr>
          <w:top w:val="nil"/>
          <w:left w:val="nil"/>
          <w:bottom w:val="nil"/>
          <w:right w:val="nil"/>
          <w:between w:val="nil"/>
        </w:pBdr>
        <w:spacing w:line="240" w:lineRule="auto"/>
        <w:jc w:val="both"/>
        <w:rPr>
          <w:rFonts w:ascii="Verdana" w:eastAsia="Verdana" w:hAnsi="Verdana"/>
          <w:sz w:val="20"/>
          <w:lang w:val="fr-FR"/>
        </w:rPr>
      </w:pPr>
      <w:r w:rsidRPr="004C584A">
        <w:rPr>
          <w:rFonts w:ascii="Verdana" w:hAnsi="Verdana"/>
          <w:color w:val="000000"/>
          <w:sz w:val="20"/>
          <w:szCs w:val="20"/>
          <w:lang w:val="fr-FR"/>
        </w:rPr>
        <w:t>« </w:t>
      </w:r>
      <w:proofErr w:type="gramStart"/>
      <w:r w:rsidRPr="004C584A">
        <w:rPr>
          <w:rFonts w:ascii="Verdana" w:hAnsi="Verdana"/>
          <w:color w:val="000000"/>
          <w:sz w:val="20"/>
          <w:szCs w:val="20"/>
          <w:lang w:val="fr-FR"/>
        </w:rPr>
        <w:t>acteurs</w:t>
      </w:r>
      <w:proofErr w:type="gramEnd"/>
      <w:r w:rsidRPr="004C584A">
        <w:rPr>
          <w:rFonts w:ascii="Verdana" w:hAnsi="Verdana"/>
          <w:color w:val="000000"/>
          <w:sz w:val="20"/>
          <w:szCs w:val="20"/>
          <w:lang w:val="fr-FR"/>
        </w:rPr>
        <w:t xml:space="preserve"> politiques », des individus ou des entités qui aspirent, </w:t>
      </w:r>
      <w:r w:rsidR="004C584A" w:rsidRPr="004C584A">
        <w:rPr>
          <w:rFonts w:ascii="Verdana" w:eastAsia="Verdana" w:hAnsi="Verdana"/>
          <w:color w:val="000000"/>
          <w:sz w:val="20"/>
          <w:lang w:val="fr-FR"/>
        </w:rPr>
        <w:t xml:space="preserve">par des moyens organisationnels, institutionnels, </w:t>
      </w:r>
      <w:r w:rsidR="004C584A" w:rsidRPr="004C584A">
        <w:rPr>
          <w:rFonts w:ascii="Verdana" w:eastAsia="Verdana" w:hAnsi="Verdana" w:cs="Verdana"/>
          <w:color w:val="000000"/>
          <w:sz w:val="20"/>
          <w:szCs w:val="20"/>
          <w:lang w:val="fr-FR"/>
        </w:rPr>
        <w:t xml:space="preserve">financiers </w:t>
      </w:r>
      <w:r w:rsidR="004C584A" w:rsidRPr="004C584A">
        <w:rPr>
          <w:rFonts w:ascii="Verdana" w:eastAsia="Verdana" w:hAnsi="Verdana"/>
          <w:color w:val="000000"/>
          <w:sz w:val="20"/>
          <w:lang w:val="fr-FR"/>
        </w:rPr>
        <w:t xml:space="preserve">et de communication, à influencer </w:t>
      </w:r>
      <w:r w:rsidR="004C584A" w:rsidRPr="004C584A">
        <w:rPr>
          <w:rFonts w:ascii="Verdana" w:eastAsia="Verdana" w:hAnsi="Verdana" w:cs="Verdana"/>
          <w:color w:val="000000"/>
          <w:sz w:val="20"/>
          <w:szCs w:val="20"/>
          <w:lang w:val="fr-FR"/>
        </w:rPr>
        <w:t xml:space="preserve">directement ou indirectement </w:t>
      </w:r>
      <w:r w:rsidR="004C584A" w:rsidRPr="004C584A">
        <w:rPr>
          <w:rFonts w:ascii="Verdana" w:eastAsia="Verdana" w:hAnsi="Verdana"/>
          <w:color w:val="000000"/>
          <w:sz w:val="20"/>
          <w:lang w:val="fr-FR"/>
        </w:rPr>
        <w:t>le processus décisionnel ;</w:t>
      </w:r>
    </w:p>
    <w:p w14:paraId="2EACAB14" w14:textId="76789442" w:rsidR="00E224D5" w:rsidRPr="004C584A" w:rsidRDefault="00B11833" w:rsidP="00F824A9">
      <w:pPr>
        <w:pStyle w:val="NoSpacing"/>
        <w:numPr>
          <w:ilvl w:val="0"/>
          <w:numId w:val="3"/>
        </w:numPr>
        <w:jc w:val="both"/>
        <w:rPr>
          <w:rFonts w:ascii="Verdana" w:hAnsi="Verdana"/>
          <w:sz w:val="20"/>
          <w:szCs w:val="20"/>
          <w:lang w:val="fr-FR"/>
        </w:rPr>
      </w:pPr>
      <w:r w:rsidRPr="004C584A">
        <w:rPr>
          <w:rFonts w:ascii="Verdana" w:hAnsi="Verdana"/>
          <w:sz w:val="20"/>
          <w:szCs w:val="20"/>
          <w:lang w:val="fr-FR"/>
        </w:rPr>
        <w:t>« </w:t>
      </w:r>
      <w:proofErr w:type="gramStart"/>
      <w:r w:rsidRPr="004C584A">
        <w:rPr>
          <w:rFonts w:ascii="Verdana" w:hAnsi="Verdana"/>
          <w:sz w:val="20"/>
          <w:szCs w:val="20"/>
          <w:lang w:val="fr-FR"/>
        </w:rPr>
        <w:t>médias</w:t>
      </w:r>
      <w:proofErr w:type="gramEnd"/>
      <w:r w:rsidRPr="004C584A">
        <w:rPr>
          <w:rFonts w:ascii="Verdana" w:hAnsi="Verdana"/>
          <w:sz w:val="20"/>
          <w:szCs w:val="20"/>
          <w:lang w:val="fr-FR"/>
        </w:rPr>
        <w:t> »</w:t>
      </w:r>
      <w:r w:rsidR="00F824A9" w:rsidRPr="004C584A">
        <w:rPr>
          <w:rFonts w:ascii="Verdana" w:hAnsi="Verdana"/>
          <w:sz w:val="20"/>
          <w:szCs w:val="20"/>
          <w:lang w:val="fr-FR"/>
        </w:rPr>
        <w:t>,</w:t>
      </w:r>
      <w:r w:rsidRPr="004C584A">
        <w:rPr>
          <w:rFonts w:ascii="Verdana" w:hAnsi="Verdana"/>
          <w:sz w:val="20"/>
          <w:szCs w:val="20"/>
          <w:lang w:val="fr-FR"/>
        </w:rPr>
        <w:t xml:space="preserve"> des services proposés par des acteurs qui ont l’intention d’agir comme un média, </w:t>
      </w:r>
      <w:r w:rsidR="008629B2" w:rsidRPr="004C584A">
        <w:rPr>
          <w:rFonts w:ascii="Verdana" w:hAnsi="Verdana"/>
          <w:sz w:val="20"/>
          <w:szCs w:val="20"/>
          <w:lang w:val="fr-FR"/>
        </w:rPr>
        <w:t xml:space="preserve">qui </w:t>
      </w:r>
      <w:r w:rsidRPr="004C584A">
        <w:rPr>
          <w:rFonts w:ascii="Verdana" w:hAnsi="Verdana"/>
          <w:sz w:val="20"/>
          <w:szCs w:val="20"/>
          <w:lang w:val="fr-FR"/>
        </w:rPr>
        <w:t xml:space="preserve">ont pour finalité de produire et de diffuser des contenus, exercent sur ces contenus un contrôle éditorial, </w:t>
      </w:r>
      <w:r w:rsidR="008629B2" w:rsidRPr="004C584A">
        <w:rPr>
          <w:rFonts w:ascii="Verdana" w:hAnsi="Verdana"/>
          <w:sz w:val="20"/>
          <w:szCs w:val="20"/>
          <w:lang w:val="fr-FR"/>
        </w:rPr>
        <w:t xml:space="preserve">qui </w:t>
      </w:r>
      <w:r w:rsidRPr="004C584A">
        <w:rPr>
          <w:rFonts w:ascii="Verdana" w:hAnsi="Verdana"/>
          <w:sz w:val="20"/>
          <w:szCs w:val="20"/>
          <w:lang w:val="fr-FR"/>
        </w:rPr>
        <w:t xml:space="preserve">obéissent à des normes professionnelles, s’efforcent de toucher un public et font face à </w:t>
      </w:r>
      <w:r w:rsidR="004C584A" w:rsidRPr="004C584A">
        <w:rPr>
          <w:rFonts w:ascii="Verdana" w:eastAsia="Verdana" w:hAnsi="Verdana"/>
          <w:color w:val="000000"/>
          <w:sz w:val="20"/>
          <w:lang w:val="fr-FR"/>
        </w:rPr>
        <w:t xml:space="preserve">une </w:t>
      </w:r>
      <w:r w:rsidR="004C584A" w:rsidRPr="004C584A">
        <w:rPr>
          <w:rFonts w:ascii="Verdana" w:eastAsia="Verdana" w:hAnsi="Verdana" w:cs="Verdana"/>
          <w:color w:val="000000"/>
          <w:sz w:val="20"/>
          <w:szCs w:val="20"/>
          <w:lang w:val="fr-FR"/>
        </w:rPr>
        <w:t>attente du public</w:t>
      </w:r>
      <w:r w:rsidRPr="004C584A">
        <w:rPr>
          <w:rFonts w:ascii="Verdana" w:hAnsi="Verdana"/>
          <w:sz w:val="20"/>
          <w:szCs w:val="20"/>
          <w:lang w:val="fr-FR"/>
        </w:rPr>
        <w:t>, comme proposé par la Recommandation CM/Rec(2011)7 sur une</w:t>
      </w:r>
      <w:r w:rsidRPr="00286B98">
        <w:rPr>
          <w:rFonts w:ascii="Verdana" w:hAnsi="Verdana"/>
          <w:sz w:val="20"/>
          <w:szCs w:val="20"/>
          <w:lang w:val="fr-FR"/>
        </w:rPr>
        <w:t xml:space="preserve"> nouvelle conception des médias.</w:t>
      </w:r>
      <w:r w:rsidR="00E224D5" w:rsidRPr="00286B98">
        <w:rPr>
          <w:rFonts w:ascii="Verdana" w:hAnsi="Verdana"/>
          <w:sz w:val="20"/>
          <w:szCs w:val="20"/>
          <w:lang w:val="fr-FR"/>
        </w:rPr>
        <w:t xml:space="preserve"> </w:t>
      </w:r>
      <w:r w:rsidRPr="00286B98">
        <w:rPr>
          <w:rFonts w:ascii="Verdana" w:hAnsi="Verdana"/>
          <w:sz w:val="20"/>
          <w:szCs w:val="20"/>
          <w:lang w:val="fr-FR"/>
        </w:rPr>
        <w:t xml:space="preserve">Cette définition englobe les médias imprimés, radiodiffusés et en ligne, y </w:t>
      </w:r>
      <w:r w:rsidRPr="004C584A">
        <w:rPr>
          <w:rFonts w:ascii="Verdana" w:hAnsi="Verdana"/>
          <w:sz w:val="20"/>
          <w:szCs w:val="20"/>
          <w:lang w:val="fr-FR"/>
        </w:rPr>
        <w:t>compris les services audio et vidéo en continu ;</w:t>
      </w:r>
    </w:p>
    <w:p w14:paraId="69F3AA8E" w14:textId="464D912B" w:rsidR="004C584A" w:rsidRPr="004C584A" w:rsidRDefault="00B11833" w:rsidP="004C584A">
      <w:pPr>
        <w:numPr>
          <w:ilvl w:val="0"/>
          <w:numId w:val="3"/>
        </w:numPr>
        <w:pBdr>
          <w:top w:val="nil"/>
          <w:left w:val="nil"/>
          <w:bottom w:val="nil"/>
          <w:right w:val="nil"/>
          <w:between w:val="nil"/>
        </w:pBdr>
        <w:spacing w:line="240" w:lineRule="auto"/>
        <w:jc w:val="both"/>
        <w:rPr>
          <w:rFonts w:ascii="Verdana" w:eastAsia="Verdana" w:hAnsi="Verdana"/>
          <w:color w:val="000000"/>
          <w:sz w:val="20"/>
          <w:lang w:val="fr-FR"/>
        </w:rPr>
      </w:pPr>
      <w:r w:rsidRPr="004C584A">
        <w:rPr>
          <w:rFonts w:ascii="Verdana" w:eastAsia="Times New Roman" w:hAnsi="Verdana" w:cs="Times New Roman"/>
          <w:color w:val="000000" w:themeColor="text1"/>
          <w:sz w:val="20"/>
          <w:szCs w:val="20"/>
          <w:lang w:val="fr-FR"/>
        </w:rPr>
        <w:t>« </w:t>
      </w:r>
      <w:proofErr w:type="gramStart"/>
      <w:r w:rsidRPr="004C584A">
        <w:rPr>
          <w:rFonts w:ascii="Verdana" w:eastAsia="Times New Roman" w:hAnsi="Verdana" w:cs="Times New Roman"/>
          <w:color w:val="000000" w:themeColor="text1"/>
          <w:sz w:val="20"/>
          <w:szCs w:val="20"/>
          <w:lang w:val="fr-FR"/>
        </w:rPr>
        <w:t>plateformes</w:t>
      </w:r>
      <w:proofErr w:type="gramEnd"/>
      <w:r w:rsidRPr="004C584A">
        <w:rPr>
          <w:rFonts w:ascii="Verdana" w:eastAsia="Times New Roman" w:hAnsi="Verdana" w:cs="Times New Roman"/>
          <w:color w:val="000000" w:themeColor="text1"/>
          <w:sz w:val="20"/>
          <w:szCs w:val="20"/>
          <w:lang w:val="fr-FR"/>
        </w:rPr>
        <w:t xml:space="preserve"> en ligne »</w:t>
      </w:r>
      <w:r w:rsidR="00F824A9" w:rsidRPr="004C584A">
        <w:rPr>
          <w:rFonts w:ascii="Verdana" w:eastAsia="Times New Roman" w:hAnsi="Verdana" w:cs="Times New Roman"/>
          <w:color w:val="000000" w:themeColor="text1"/>
          <w:sz w:val="20"/>
          <w:szCs w:val="20"/>
          <w:lang w:val="fr-FR"/>
        </w:rPr>
        <w:t>,</w:t>
      </w:r>
      <w:r w:rsidRPr="004C584A">
        <w:rPr>
          <w:rFonts w:ascii="Verdana" w:eastAsia="Times New Roman" w:hAnsi="Verdana" w:cs="Times New Roman"/>
          <w:color w:val="000000" w:themeColor="text1"/>
          <w:sz w:val="20"/>
          <w:szCs w:val="20"/>
          <w:lang w:val="fr-FR"/>
        </w:rPr>
        <w:t xml:space="preserve"> des prestations numériques proposées par des </w:t>
      </w:r>
      <w:r w:rsidR="004C584A" w:rsidRPr="004C584A">
        <w:rPr>
          <w:rFonts w:ascii="Verdana" w:eastAsia="Times New Roman" w:hAnsi="Verdana" w:cs="Times New Roman"/>
          <w:color w:val="000000" w:themeColor="text1"/>
          <w:sz w:val="20"/>
          <w:szCs w:val="20"/>
          <w:lang w:val="fr-FR"/>
        </w:rPr>
        <w:t>acteurs</w:t>
      </w:r>
      <w:r w:rsidRPr="004C584A">
        <w:rPr>
          <w:rFonts w:ascii="Verdana" w:eastAsia="Times New Roman" w:hAnsi="Verdana" w:cs="Times New Roman"/>
          <w:color w:val="000000" w:themeColor="text1"/>
          <w:sz w:val="20"/>
          <w:szCs w:val="20"/>
          <w:lang w:val="fr-FR"/>
        </w:rPr>
        <w:t xml:space="preserve"> qui, sur des marchés multidimensionnels, relient des participants, fixent les règles des interactions entre </w:t>
      </w:r>
      <w:r w:rsidR="00EC1E1A" w:rsidRPr="004C584A">
        <w:rPr>
          <w:rFonts w:ascii="Verdana" w:eastAsia="Times New Roman" w:hAnsi="Verdana" w:cs="Times New Roman"/>
          <w:color w:val="000000" w:themeColor="text1"/>
          <w:sz w:val="20"/>
          <w:szCs w:val="20"/>
          <w:lang w:val="fr-FR"/>
        </w:rPr>
        <w:t xml:space="preserve">ces participants </w:t>
      </w:r>
      <w:r w:rsidRPr="004C584A">
        <w:rPr>
          <w:rFonts w:ascii="Verdana" w:eastAsia="Times New Roman" w:hAnsi="Verdana" w:cs="Times New Roman"/>
          <w:color w:val="000000" w:themeColor="text1"/>
          <w:sz w:val="20"/>
          <w:szCs w:val="20"/>
          <w:lang w:val="fr-FR"/>
        </w:rPr>
        <w:t xml:space="preserve">et recourent à des systèmes algorithmiques pour recueillir et analyser les données et personnaliser leurs </w:t>
      </w:r>
      <w:r w:rsidR="004C584A" w:rsidRPr="004C584A">
        <w:rPr>
          <w:rFonts w:ascii="Verdana" w:hAnsi="Verdana"/>
          <w:bCs/>
          <w:color w:val="000000" w:themeColor="text1"/>
          <w:sz w:val="20"/>
          <w:szCs w:val="20"/>
          <w:lang w:val="fr-FR"/>
        </w:rPr>
        <w:t>services (dans la communication, ces plateformes comprennent par exemple les moteurs de recherche, les agrégateurs d'actualités, les services de partage de vidéos et les réseaux sociaux) ;</w:t>
      </w:r>
    </w:p>
    <w:p w14:paraId="4D9DE459" w14:textId="55500BB6" w:rsidR="00E224D5" w:rsidRPr="00286B98" w:rsidRDefault="00B11833" w:rsidP="00F824A9">
      <w:pPr>
        <w:pStyle w:val="NoSpacing"/>
        <w:numPr>
          <w:ilvl w:val="0"/>
          <w:numId w:val="3"/>
        </w:numPr>
        <w:jc w:val="both"/>
        <w:rPr>
          <w:rFonts w:ascii="Verdana" w:hAnsi="Verdana"/>
          <w:color w:val="000000"/>
          <w:sz w:val="20"/>
          <w:szCs w:val="20"/>
          <w:lang w:val="fr-FR"/>
        </w:rPr>
      </w:pPr>
      <w:r w:rsidRPr="004C584A">
        <w:rPr>
          <w:rFonts w:ascii="Verdana" w:eastAsia="Times New Roman" w:hAnsi="Verdana" w:cs="Times New Roman"/>
          <w:bCs/>
          <w:color w:val="000000"/>
          <w:sz w:val="20"/>
          <w:szCs w:val="20"/>
          <w:lang w:val="fr-FR"/>
        </w:rPr>
        <w:t>« </w:t>
      </w:r>
      <w:proofErr w:type="gramStart"/>
      <w:r w:rsidRPr="004C584A">
        <w:rPr>
          <w:rFonts w:ascii="Verdana" w:eastAsia="Times New Roman" w:hAnsi="Verdana" w:cs="Times New Roman"/>
          <w:bCs/>
          <w:color w:val="000000"/>
          <w:sz w:val="20"/>
          <w:szCs w:val="20"/>
          <w:lang w:val="fr-FR"/>
        </w:rPr>
        <w:t>systèmes</w:t>
      </w:r>
      <w:proofErr w:type="gramEnd"/>
      <w:r w:rsidRPr="004C584A">
        <w:rPr>
          <w:rFonts w:ascii="Verdana" w:eastAsia="Times New Roman" w:hAnsi="Verdana" w:cs="Times New Roman"/>
          <w:bCs/>
          <w:color w:val="000000"/>
          <w:sz w:val="20"/>
          <w:szCs w:val="20"/>
          <w:lang w:val="fr-FR"/>
        </w:rPr>
        <w:t xml:space="preserve"> algorithmiques »</w:t>
      </w:r>
      <w:r w:rsidR="00F824A9" w:rsidRPr="004C584A">
        <w:rPr>
          <w:rFonts w:ascii="Verdana" w:eastAsia="Times New Roman" w:hAnsi="Verdana" w:cs="Times New Roman"/>
          <w:bCs/>
          <w:color w:val="000000"/>
          <w:sz w:val="20"/>
          <w:szCs w:val="20"/>
          <w:lang w:val="fr-FR"/>
        </w:rPr>
        <w:t>,</w:t>
      </w:r>
      <w:r w:rsidRPr="004C584A">
        <w:rPr>
          <w:rFonts w:ascii="Verdana" w:eastAsia="Times New Roman" w:hAnsi="Verdana" w:cs="Times New Roman"/>
          <w:bCs/>
          <w:color w:val="000000"/>
          <w:sz w:val="20"/>
          <w:szCs w:val="20"/>
          <w:lang w:val="fr-FR"/>
        </w:rPr>
        <w:t xml:space="preserve"> des applications qui effectuent une ou plusieurs tâches comme la collecte, le regroupement, le nettoyage, le tri, la classification et la déduction de données, ainsi que la sélection, la hiérarchisation, la formulation de recommandations</w:t>
      </w:r>
      <w:r w:rsidRPr="00286B98">
        <w:rPr>
          <w:rFonts w:ascii="Verdana" w:eastAsia="Times New Roman" w:hAnsi="Verdana" w:cs="Times New Roman"/>
          <w:bCs/>
          <w:color w:val="000000"/>
          <w:sz w:val="20"/>
          <w:szCs w:val="20"/>
          <w:lang w:val="fr-FR"/>
        </w:rPr>
        <w:t xml:space="preserve"> et la prise de décision</w:t>
      </w:r>
      <w:r w:rsidR="00141F92">
        <w:rPr>
          <w:rFonts w:ascii="Verdana" w:eastAsia="Times New Roman" w:hAnsi="Verdana" w:cs="Times New Roman"/>
          <w:bCs/>
          <w:color w:val="000000"/>
          <w:sz w:val="20"/>
          <w:szCs w:val="20"/>
          <w:lang w:val="fr-FR"/>
        </w:rPr>
        <w:t>s</w:t>
      </w:r>
      <w:r w:rsidRPr="00286B98">
        <w:rPr>
          <w:rFonts w:ascii="Verdana" w:eastAsia="Times New Roman" w:hAnsi="Verdana" w:cs="Times New Roman"/>
          <w:bCs/>
          <w:color w:val="000000"/>
          <w:sz w:val="20"/>
          <w:szCs w:val="20"/>
          <w:lang w:val="fr-FR"/>
        </w:rPr>
        <w:t>, selon la définition proposée par la Recommandation CM/Rec(2020)1 sur les impacts des systèmes algorithmiques sur les droits de l’homme ;</w:t>
      </w:r>
    </w:p>
    <w:p w14:paraId="30A064B6" w14:textId="678BCAEF" w:rsidR="00E224D5" w:rsidRPr="00286B98" w:rsidRDefault="00F824A9" w:rsidP="00F824A9">
      <w:pPr>
        <w:pStyle w:val="NoSpacing"/>
        <w:numPr>
          <w:ilvl w:val="0"/>
          <w:numId w:val="3"/>
        </w:numPr>
        <w:jc w:val="both"/>
        <w:rPr>
          <w:rFonts w:ascii="Verdana" w:hAnsi="Verdana"/>
          <w:color w:val="000000"/>
          <w:sz w:val="20"/>
          <w:szCs w:val="20"/>
          <w:lang w:val="fr-FR"/>
        </w:rPr>
      </w:pPr>
      <w:r w:rsidRPr="00286B98">
        <w:rPr>
          <w:rFonts w:ascii="Verdana" w:hAnsi="Verdana"/>
          <w:color w:val="000000"/>
          <w:sz w:val="20"/>
          <w:szCs w:val="20"/>
          <w:lang w:val="fr-FR"/>
        </w:rPr>
        <w:t>« </w:t>
      </w:r>
      <w:proofErr w:type="gramStart"/>
      <w:r w:rsidRPr="00286B98">
        <w:rPr>
          <w:rFonts w:ascii="Verdana" w:hAnsi="Verdana"/>
          <w:color w:val="000000"/>
          <w:sz w:val="20"/>
          <w:szCs w:val="20"/>
          <w:lang w:val="fr-FR"/>
        </w:rPr>
        <w:t>segmentation</w:t>
      </w:r>
      <w:proofErr w:type="gramEnd"/>
      <w:r w:rsidRPr="00286B98">
        <w:rPr>
          <w:rFonts w:ascii="Verdana" w:hAnsi="Verdana"/>
          <w:color w:val="000000"/>
          <w:sz w:val="20"/>
          <w:szCs w:val="20"/>
          <w:lang w:val="fr-FR"/>
        </w:rPr>
        <w:t> », le processus par lequel les acteurs d’une campagne électorale identifient les différents segments de l’électorat qu’ils cherchent à toucher afin de les connaître, de les convaincre et/ou de les mobiliser ;</w:t>
      </w:r>
    </w:p>
    <w:p w14:paraId="739B873F" w14:textId="5B7F06C6" w:rsidR="00E224D5" w:rsidRPr="00286B98" w:rsidRDefault="00F824A9" w:rsidP="00F824A9">
      <w:pPr>
        <w:pStyle w:val="NoSpacing"/>
        <w:numPr>
          <w:ilvl w:val="0"/>
          <w:numId w:val="3"/>
        </w:numPr>
        <w:jc w:val="both"/>
        <w:rPr>
          <w:rFonts w:ascii="Verdana" w:hAnsi="Verdana"/>
          <w:color w:val="000000" w:themeColor="text1"/>
          <w:sz w:val="20"/>
          <w:szCs w:val="20"/>
          <w:lang w:val="fr-FR"/>
        </w:rPr>
      </w:pPr>
      <w:r w:rsidRPr="00286B98">
        <w:rPr>
          <w:rFonts w:ascii="Verdana" w:hAnsi="Verdana"/>
          <w:color w:val="000000" w:themeColor="text1"/>
          <w:sz w:val="20"/>
          <w:szCs w:val="20"/>
          <w:lang w:val="fr-FR"/>
        </w:rPr>
        <w:t>« </w:t>
      </w:r>
      <w:proofErr w:type="gramStart"/>
      <w:r w:rsidRPr="00286B98">
        <w:rPr>
          <w:rFonts w:ascii="Verdana" w:hAnsi="Verdana"/>
          <w:color w:val="000000" w:themeColor="text1"/>
          <w:sz w:val="20"/>
          <w:szCs w:val="20"/>
          <w:lang w:val="fr-FR"/>
        </w:rPr>
        <w:t>microciblage</w:t>
      </w:r>
      <w:proofErr w:type="gramEnd"/>
      <w:r w:rsidRPr="00286B98">
        <w:rPr>
          <w:rFonts w:ascii="Verdana" w:hAnsi="Verdana"/>
          <w:color w:val="000000" w:themeColor="text1"/>
          <w:sz w:val="20"/>
          <w:szCs w:val="20"/>
          <w:lang w:val="fr-FR"/>
        </w:rPr>
        <w:t xml:space="preserve"> », une stratégie fondée sur les données visant à adresser </w:t>
      </w:r>
      <w:r w:rsidR="00141F92">
        <w:rPr>
          <w:rFonts w:ascii="Verdana" w:hAnsi="Verdana"/>
          <w:color w:val="000000" w:themeColor="text1"/>
          <w:sz w:val="20"/>
          <w:szCs w:val="20"/>
          <w:lang w:val="fr-FR"/>
        </w:rPr>
        <w:t>d</w:t>
      </w:r>
      <w:r w:rsidRPr="00286B98">
        <w:rPr>
          <w:rFonts w:ascii="Verdana" w:hAnsi="Verdana"/>
          <w:color w:val="000000" w:themeColor="text1"/>
          <w:sz w:val="20"/>
          <w:szCs w:val="20"/>
          <w:lang w:val="fr-FR"/>
        </w:rPr>
        <w:t>es messages sur mesure à des électeurs qu’il est possible de convaincre ou de mobiliser tout en ignorant les autres ;</w:t>
      </w:r>
    </w:p>
    <w:p w14:paraId="21C3C92D" w14:textId="69C9EFC9" w:rsidR="00150DA4" w:rsidRPr="004C584A" w:rsidRDefault="00F824A9" w:rsidP="00F824A9">
      <w:pPr>
        <w:pStyle w:val="NoSpacing"/>
        <w:numPr>
          <w:ilvl w:val="0"/>
          <w:numId w:val="3"/>
        </w:numPr>
        <w:jc w:val="both"/>
        <w:rPr>
          <w:rFonts w:ascii="Verdana" w:hAnsi="Verdana"/>
          <w:sz w:val="20"/>
          <w:szCs w:val="20"/>
          <w:lang w:val="fr-FR"/>
        </w:rPr>
      </w:pPr>
      <w:r w:rsidRPr="00286B98">
        <w:rPr>
          <w:rFonts w:ascii="Verdana" w:hAnsi="Verdana"/>
          <w:sz w:val="20"/>
          <w:szCs w:val="20"/>
          <w:lang w:val="fr-FR"/>
        </w:rPr>
        <w:t>« </w:t>
      </w:r>
      <w:proofErr w:type="gramStart"/>
      <w:r w:rsidRPr="00286B98">
        <w:rPr>
          <w:rFonts w:ascii="Verdana" w:hAnsi="Verdana"/>
          <w:sz w:val="20"/>
          <w:szCs w:val="20"/>
          <w:lang w:val="fr-FR"/>
        </w:rPr>
        <w:t>autorégulation</w:t>
      </w:r>
      <w:proofErr w:type="gramEnd"/>
      <w:r w:rsidRPr="00286B98">
        <w:rPr>
          <w:rFonts w:ascii="Verdana" w:hAnsi="Verdana"/>
          <w:sz w:val="20"/>
          <w:szCs w:val="20"/>
          <w:lang w:val="fr-FR"/>
        </w:rPr>
        <w:t xml:space="preserve"> </w:t>
      </w:r>
      <w:r w:rsidRPr="004C584A">
        <w:rPr>
          <w:rFonts w:ascii="Verdana" w:hAnsi="Verdana"/>
          <w:sz w:val="20"/>
          <w:szCs w:val="20"/>
          <w:lang w:val="fr-FR"/>
        </w:rPr>
        <w:t>du secteur », le fait qu’une organisation couvrant un secteur économique donné élabore et fasse appliquer des normes et des règles relatives au comportement des entreprises de ce secteur ;</w:t>
      </w:r>
    </w:p>
    <w:p w14:paraId="4576804C" w14:textId="77777777" w:rsidR="004C584A" w:rsidRPr="004C584A" w:rsidRDefault="00F824A9" w:rsidP="004C584A">
      <w:pPr>
        <w:numPr>
          <w:ilvl w:val="0"/>
          <w:numId w:val="16"/>
        </w:numPr>
        <w:pBdr>
          <w:top w:val="nil"/>
          <w:left w:val="nil"/>
          <w:bottom w:val="nil"/>
          <w:right w:val="nil"/>
          <w:between w:val="nil"/>
        </w:pBdr>
        <w:spacing w:line="240" w:lineRule="auto"/>
        <w:jc w:val="both"/>
        <w:rPr>
          <w:rFonts w:ascii="Verdana" w:eastAsia="Verdana" w:hAnsi="Verdana"/>
          <w:color w:val="000000"/>
          <w:sz w:val="20"/>
          <w:lang w:val="fr-FR"/>
        </w:rPr>
      </w:pPr>
      <w:r w:rsidRPr="004C584A">
        <w:rPr>
          <w:rFonts w:ascii="Verdana" w:eastAsia="Times New Roman" w:hAnsi="Verdana" w:cs="Times New Roman"/>
          <w:color w:val="000000" w:themeColor="text1"/>
          <w:sz w:val="20"/>
          <w:szCs w:val="20"/>
          <w:lang w:val="fr-FR"/>
        </w:rPr>
        <w:t>« </w:t>
      </w:r>
      <w:proofErr w:type="spellStart"/>
      <w:proofErr w:type="gramStart"/>
      <w:r w:rsidRPr="004C584A">
        <w:rPr>
          <w:rFonts w:ascii="Verdana" w:eastAsia="Times New Roman" w:hAnsi="Verdana" w:cs="Times New Roman"/>
          <w:color w:val="000000" w:themeColor="text1"/>
          <w:sz w:val="20"/>
          <w:szCs w:val="20"/>
          <w:lang w:val="fr-FR"/>
        </w:rPr>
        <w:t>corégulation</w:t>
      </w:r>
      <w:proofErr w:type="spellEnd"/>
      <w:proofErr w:type="gramEnd"/>
      <w:r w:rsidRPr="004C584A">
        <w:rPr>
          <w:rFonts w:ascii="Verdana" w:eastAsia="Times New Roman" w:hAnsi="Verdana" w:cs="Times New Roman"/>
          <w:color w:val="000000" w:themeColor="text1"/>
          <w:sz w:val="20"/>
          <w:szCs w:val="20"/>
          <w:lang w:val="fr-FR"/>
        </w:rPr>
        <w:t xml:space="preserve"> », </w:t>
      </w:r>
      <w:r w:rsidR="004C584A" w:rsidRPr="004C584A">
        <w:rPr>
          <w:rFonts w:ascii="Verdana" w:eastAsia="Verdana" w:hAnsi="Verdana"/>
          <w:color w:val="000000"/>
          <w:sz w:val="20"/>
          <w:lang w:val="fr-FR"/>
        </w:rPr>
        <w:t xml:space="preserve">(parfois aussi appelée autorégulation réglementée) désigne l'autorégulation du secteur assortie d'un mandat et/ou d'une certaine surveillance par l'État </w:t>
      </w:r>
      <w:r w:rsidR="004C584A" w:rsidRPr="004C584A">
        <w:rPr>
          <w:rFonts w:ascii="Verdana" w:eastAsia="Verdana" w:hAnsi="Verdana" w:cs="Verdana"/>
          <w:color w:val="000000"/>
          <w:sz w:val="20"/>
          <w:szCs w:val="20"/>
          <w:lang w:val="fr-FR"/>
        </w:rPr>
        <w:t>;</w:t>
      </w:r>
    </w:p>
    <w:p w14:paraId="3159A029" w14:textId="32B9B062" w:rsidR="004D749C" w:rsidRPr="004C584A" w:rsidRDefault="004C584A" w:rsidP="004D749C">
      <w:pPr>
        <w:numPr>
          <w:ilvl w:val="0"/>
          <w:numId w:val="16"/>
        </w:numPr>
        <w:spacing w:line="233" w:lineRule="auto"/>
        <w:jc w:val="both"/>
        <w:rPr>
          <w:rFonts w:ascii="Verdana" w:eastAsia="Verdana" w:hAnsi="Verdana"/>
          <w:sz w:val="20"/>
          <w:lang w:val="fr-FR"/>
        </w:rPr>
      </w:pPr>
      <w:r w:rsidRPr="004C584A">
        <w:rPr>
          <w:rFonts w:ascii="Verdana" w:eastAsia="Times New Roman" w:hAnsi="Verdana" w:cs="Times New Roman"/>
          <w:color w:val="000000" w:themeColor="text1"/>
          <w:sz w:val="20"/>
          <w:szCs w:val="20"/>
          <w:lang w:val="fr-FR"/>
        </w:rPr>
        <w:t>« </w:t>
      </w:r>
      <w:proofErr w:type="gramStart"/>
      <w:r w:rsidR="004D749C" w:rsidRPr="004C584A">
        <w:rPr>
          <w:rFonts w:ascii="Verdana" w:eastAsia="Verdana" w:hAnsi="Verdana"/>
          <w:color w:val="000000"/>
          <w:sz w:val="20"/>
          <w:lang w:val="fr-FR"/>
        </w:rPr>
        <w:t>désinformation</w:t>
      </w:r>
      <w:proofErr w:type="gramEnd"/>
      <w:r w:rsidRPr="004C584A">
        <w:rPr>
          <w:rFonts w:ascii="Verdana" w:eastAsia="Times New Roman" w:hAnsi="Verdana" w:cs="Times New Roman"/>
          <w:color w:val="000000" w:themeColor="text1"/>
          <w:sz w:val="20"/>
          <w:szCs w:val="20"/>
          <w:lang w:val="fr-FR"/>
        </w:rPr>
        <w:t xml:space="preserve"> », </w:t>
      </w:r>
      <w:r w:rsidR="004D749C" w:rsidRPr="004C584A">
        <w:rPr>
          <w:rFonts w:ascii="Verdana" w:eastAsia="Verdana" w:hAnsi="Verdana"/>
          <w:color w:val="000000"/>
          <w:sz w:val="20"/>
          <w:lang w:val="fr-FR"/>
        </w:rPr>
        <w:t>des informations vérifiables fausses, inexactes ou trompeuses créées et diffusées délibérément pour causer des dommages ou réaliser des gains économiques ou politiques en trompant le public.</w:t>
      </w:r>
    </w:p>
    <w:p w14:paraId="61AFD711" w14:textId="77777777" w:rsidR="004D749C" w:rsidRPr="00286B98" w:rsidRDefault="004D749C" w:rsidP="004D749C">
      <w:pPr>
        <w:pStyle w:val="NoSpacing"/>
        <w:jc w:val="both"/>
        <w:rPr>
          <w:rFonts w:ascii="Verdana" w:hAnsi="Verdana"/>
          <w:color w:val="000000" w:themeColor="text1"/>
          <w:sz w:val="20"/>
          <w:szCs w:val="20"/>
          <w:lang w:val="fr-FR"/>
        </w:rPr>
      </w:pPr>
    </w:p>
    <w:p w14:paraId="71AD9239" w14:textId="77777777" w:rsidR="00B21BF6" w:rsidRPr="00286B98" w:rsidRDefault="00B21BF6" w:rsidP="00B57034">
      <w:pPr>
        <w:spacing w:after="160" w:line="259" w:lineRule="auto"/>
        <w:jc w:val="both"/>
        <w:rPr>
          <w:rFonts w:ascii="Verdana" w:eastAsia="Verdana" w:hAnsi="Verdana" w:cs="Verdana"/>
          <w:b/>
          <w:sz w:val="20"/>
          <w:szCs w:val="20"/>
          <w:lang w:val="fr-FR"/>
        </w:rPr>
      </w:pPr>
    </w:p>
    <w:p w14:paraId="535A5FA8" w14:textId="098CDE0C" w:rsidR="00B57034" w:rsidRPr="00286B98" w:rsidRDefault="00B57034" w:rsidP="00347757">
      <w:pPr>
        <w:spacing w:after="160" w:line="259" w:lineRule="auto"/>
        <w:jc w:val="both"/>
        <w:rPr>
          <w:rFonts w:ascii="Verdana" w:eastAsia="Verdana" w:hAnsi="Verdana" w:cs="Verdana"/>
          <w:b/>
          <w:strike/>
          <w:sz w:val="20"/>
          <w:szCs w:val="20"/>
          <w:lang w:val="fr-FR"/>
        </w:rPr>
      </w:pPr>
      <w:r w:rsidRPr="00286B98">
        <w:rPr>
          <w:rFonts w:ascii="Verdana" w:eastAsia="Verdana" w:hAnsi="Verdana" w:cs="Verdana"/>
          <w:b/>
          <w:sz w:val="20"/>
          <w:szCs w:val="20"/>
          <w:lang w:val="fr-FR"/>
        </w:rPr>
        <w:t xml:space="preserve">1. </w:t>
      </w:r>
      <w:r w:rsidR="00347757" w:rsidRPr="00286B98">
        <w:rPr>
          <w:rFonts w:ascii="Verdana" w:eastAsia="Verdana" w:hAnsi="Verdana" w:cs="Verdana"/>
          <w:b/>
          <w:sz w:val="20"/>
          <w:szCs w:val="20"/>
          <w:lang w:val="fr-FR"/>
        </w:rPr>
        <w:t>Principes de gouvernance</w:t>
      </w:r>
    </w:p>
    <w:p w14:paraId="4D14A48B" w14:textId="42B4CAEC" w:rsidR="00B57034" w:rsidRDefault="00B57034" w:rsidP="00473438">
      <w:pP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1.1. </w:t>
      </w:r>
      <w:r w:rsidR="004C584A" w:rsidRPr="004C584A">
        <w:rPr>
          <w:rFonts w:ascii="Verdana" w:eastAsia="Verdana" w:hAnsi="Verdana" w:cs="Verdana"/>
          <w:sz w:val="20"/>
          <w:szCs w:val="20"/>
          <w:lang w:val="fr-FR"/>
        </w:rPr>
        <w:t xml:space="preserve">Les cadres juridiques et réglementaires relatifs à la publicité politique et aux campagnes électorales, ainsi que les approches d'autorégulation ou de </w:t>
      </w:r>
      <w:proofErr w:type="spellStart"/>
      <w:r w:rsidR="004C584A" w:rsidRPr="004C584A">
        <w:rPr>
          <w:rFonts w:ascii="Verdana" w:eastAsia="Verdana" w:hAnsi="Verdana" w:cs="Verdana"/>
          <w:sz w:val="20"/>
          <w:szCs w:val="20"/>
          <w:lang w:val="fr-FR"/>
        </w:rPr>
        <w:t>corégulation</w:t>
      </w:r>
      <w:proofErr w:type="spellEnd"/>
      <w:r w:rsidR="004C584A" w:rsidRPr="004C584A">
        <w:rPr>
          <w:rFonts w:ascii="Verdana" w:eastAsia="Verdana" w:hAnsi="Verdana" w:cs="Verdana"/>
          <w:sz w:val="20"/>
          <w:szCs w:val="20"/>
          <w:lang w:val="fr-FR"/>
        </w:rPr>
        <w:t xml:space="preserve"> dans ce domaine, devraient être élaborés et appliqués dans le respect des normes du Conseil de l'Europe et de la jurisprudence pertinente de la Cour européenne des droits de l'homme.</w:t>
      </w:r>
      <w:r w:rsidR="004C584A" w:rsidRPr="004C584A">
        <w:rPr>
          <w:rFonts w:ascii="Verdana" w:eastAsia="Verdana" w:hAnsi="Verdana" w:cs="Verdana"/>
          <w:sz w:val="20"/>
          <w:szCs w:val="20"/>
          <w:lang w:val="fr-FR"/>
        </w:rPr>
        <w:t xml:space="preserve"> </w:t>
      </w:r>
      <w:r w:rsidR="00473438" w:rsidRPr="004C584A">
        <w:rPr>
          <w:rFonts w:ascii="Verdana" w:eastAsia="Verdana" w:hAnsi="Verdana" w:cs="Verdana"/>
          <w:sz w:val="20"/>
          <w:szCs w:val="20"/>
          <w:lang w:val="fr-FR"/>
        </w:rPr>
        <w:lastRenderedPageBreak/>
        <w:t xml:space="preserve">Compte tenu des particularités de l’environnement en ligne et </w:t>
      </w:r>
      <w:r w:rsidR="00FC0829" w:rsidRPr="004C584A">
        <w:rPr>
          <w:rFonts w:ascii="Verdana" w:eastAsia="Verdana" w:hAnsi="Verdana" w:cs="Verdana"/>
          <w:sz w:val="20"/>
          <w:szCs w:val="20"/>
          <w:lang w:val="fr-FR"/>
        </w:rPr>
        <w:t>d</w:t>
      </w:r>
      <w:r w:rsidR="00473438" w:rsidRPr="004C584A">
        <w:rPr>
          <w:rFonts w:ascii="Verdana" w:eastAsia="Verdana" w:hAnsi="Verdana" w:cs="Verdana"/>
          <w:sz w:val="20"/>
          <w:szCs w:val="20"/>
          <w:lang w:val="fr-FR"/>
        </w:rPr>
        <w:t xml:space="preserve">es plateformes en ligne, les États devraient considérer la </w:t>
      </w:r>
      <w:proofErr w:type="spellStart"/>
      <w:r w:rsidR="00473438" w:rsidRPr="004C584A">
        <w:rPr>
          <w:rFonts w:ascii="Verdana" w:eastAsia="Verdana" w:hAnsi="Verdana" w:cs="Verdana"/>
          <w:sz w:val="20"/>
          <w:szCs w:val="20"/>
          <w:lang w:val="fr-FR"/>
        </w:rPr>
        <w:t>corégulation</w:t>
      </w:r>
      <w:proofErr w:type="spellEnd"/>
      <w:r w:rsidR="00473438" w:rsidRPr="004C584A">
        <w:rPr>
          <w:rFonts w:ascii="Verdana" w:eastAsia="Verdana" w:hAnsi="Verdana" w:cs="Verdana"/>
          <w:sz w:val="20"/>
          <w:szCs w:val="20"/>
          <w:lang w:val="fr-FR"/>
        </w:rPr>
        <w:t xml:space="preserve"> comme une approche opportune pour réglementer la publicité politique</w:t>
      </w:r>
      <w:r w:rsidR="004C584A" w:rsidRPr="004C584A">
        <w:rPr>
          <w:rFonts w:ascii="Verdana" w:eastAsia="Verdana" w:hAnsi="Verdana" w:cs="Verdana"/>
          <w:sz w:val="20"/>
          <w:szCs w:val="20"/>
          <w:lang w:val="fr-FR"/>
        </w:rPr>
        <w:t xml:space="preserve"> en ligne, et, </w:t>
      </w:r>
      <w:r w:rsidR="004C584A" w:rsidRPr="004C584A">
        <w:rPr>
          <w:rFonts w:ascii="Verdana" w:hAnsi="Verdana"/>
          <w:sz w:val="20"/>
          <w:lang w:val="fr-FR"/>
        </w:rPr>
        <w:t>le cas échéant,</w:t>
      </w:r>
      <w:r w:rsidR="004C584A" w:rsidRPr="004C584A">
        <w:rPr>
          <w:rFonts w:ascii="Verdana" w:hAnsi="Verdana"/>
          <w:sz w:val="20"/>
          <w:lang w:val="fr-FR"/>
        </w:rPr>
        <w:t xml:space="preserve"> </w:t>
      </w:r>
      <w:r w:rsidR="004C584A" w:rsidRPr="004C584A">
        <w:rPr>
          <w:rFonts w:ascii="Verdana" w:eastAsia="Verdana" w:hAnsi="Verdana" w:cs="Verdana"/>
          <w:sz w:val="20"/>
          <w:szCs w:val="20"/>
          <w:lang w:val="fr-FR"/>
        </w:rPr>
        <w:t>l</w:t>
      </w:r>
      <w:r w:rsidR="00473438" w:rsidRPr="004C584A">
        <w:rPr>
          <w:rFonts w:ascii="Verdana" w:eastAsia="Verdana" w:hAnsi="Verdana" w:cs="Verdana"/>
          <w:sz w:val="20"/>
          <w:szCs w:val="20"/>
          <w:lang w:val="fr-FR"/>
        </w:rPr>
        <w:t>es campagnes électorales</w:t>
      </w:r>
      <w:r w:rsidR="004C584A" w:rsidRPr="004C584A">
        <w:rPr>
          <w:rFonts w:ascii="Verdana" w:eastAsia="Verdana" w:hAnsi="Verdana" w:cs="Verdana"/>
          <w:sz w:val="20"/>
          <w:szCs w:val="20"/>
          <w:lang w:val="fr-FR"/>
        </w:rPr>
        <w:t xml:space="preserve"> en ligne</w:t>
      </w:r>
      <w:r w:rsidR="00473438" w:rsidRPr="004C584A">
        <w:rPr>
          <w:rFonts w:ascii="Verdana" w:eastAsia="Verdana" w:hAnsi="Verdana" w:cs="Verdana"/>
          <w:sz w:val="20"/>
          <w:szCs w:val="20"/>
          <w:lang w:val="fr-FR"/>
        </w:rPr>
        <w:t>.</w:t>
      </w:r>
      <w:r w:rsidRPr="004C584A">
        <w:rPr>
          <w:rFonts w:ascii="Verdana" w:eastAsia="Verdana" w:hAnsi="Verdana" w:cs="Verdana"/>
          <w:sz w:val="20"/>
          <w:szCs w:val="20"/>
          <w:lang w:val="fr-FR"/>
        </w:rPr>
        <w:t xml:space="preserve"> </w:t>
      </w:r>
      <w:r w:rsidR="00473438" w:rsidRPr="004C584A">
        <w:rPr>
          <w:rFonts w:ascii="Verdana" w:eastAsia="Verdana" w:hAnsi="Verdana" w:cs="Verdana"/>
          <w:sz w:val="20"/>
          <w:szCs w:val="20"/>
          <w:lang w:val="fr-FR"/>
        </w:rPr>
        <w:t>Les plateformes en ligne devraient aligner leurs conditions d’utilisation sur les principes énoncés dans la loi et contribuer, en</w:t>
      </w:r>
      <w:r w:rsidR="00473438" w:rsidRPr="00286B98">
        <w:rPr>
          <w:rFonts w:ascii="Verdana" w:eastAsia="Verdana" w:hAnsi="Verdana" w:cs="Verdana"/>
          <w:sz w:val="20"/>
          <w:szCs w:val="20"/>
          <w:lang w:val="fr-FR"/>
        </w:rPr>
        <w:t xml:space="preserve"> vertu de ce cadre juridique, à leur mise en œuvre.</w:t>
      </w:r>
    </w:p>
    <w:p w14:paraId="2BF953A5" w14:textId="77777777" w:rsidR="00B57034" w:rsidRPr="00286B98" w:rsidRDefault="00B57034" w:rsidP="00B57034">
      <w:pPr>
        <w:spacing w:line="259" w:lineRule="auto"/>
        <w:jc w:val="both"/>
        <w:rPr>
          <w:rFonts w:ascii="Verdana" w:eastAsia="Verdana" w:hAnsi="Verdana" w:cs="Verdana"/>
          <w:sz w:val="20"/>
          <w:szCs w:val="20"/>
          <w:lang w:val="fr-FR"/>
        </w:rPr>
      </w:pPr>
    </w:p>
    <w:p w14:paraId="170AB10B" w14:textId="65AFBDD9" w:rsidR="00B57034" w:rsidRDefault="00B57034" w:rsidP="00A4220D">
      <w:pPr>
        <w:jc w:val="both"/>
        <w:rPr>
          <w:rFonts w:ascii="Verdana" w:hAnsi="Verdana"/>
          <w:sz w:val="20"/>
          <w:szCs w:val="20"/>
          <w:lang w:val="fr-FR"/>
        </w:rPr>
      </w:pPr>
      <w:r w:rsidRPr="00E004BD">
        <w:rPr>
          <w:rFonts w:ascii="Verdana" w:hAnsi="Verdana"/>
          <w:sz w:val="20"/>
          <w:szCs w:val="20"/>
          <w:lang w:val="fr-FR"/>
        </w:rPr>
        <w:t xml:space="preserve">1.2. </w:t>
      </w:r>
      <w:r w:rsidR="004C584A" w:rsidRPr="00E004BD">
        <w:rPr>
          <w:rFonts w:ascii="Verdana" w:eastAsia="Verdana" w:hAnsi="Verdana"/>
          <w:sz w:val="20"/>
          <w:lang w:val="fr-FR"/>
        </w:rPr>
        <w:t xml:space="preserve">Dans le </w:t>
      </w:r>
      <w:r w:rsidR="004C584A" w:rsidRPr="00E004BD">
        <w:rPr>
          <w:rFonts w:ascii="Verdana" w:eastAsia="Verdana" w:hAnsi="Verdana" w:cs="Verdana"/>
          <w:sz w:val="20"/>
          <w:szCs w:val="20"/>
          <w:lang w:val="fr-FR"/>
        </w:rPr>
        <w:t xml:space="preserve">cadre de ces cadres de </w:t>
      </w:r>
      <w:proofErr w:type="spellStart"/>
      <w:r w:rsidR="004C584A" w:rsidRPr="00E004BD">
        <w:rPr>
          <w:rFonts w:ascii="Verdana" w:eastAsia="Verdana" w:hAnsi="Verdana" w:cs="Verdana"/>
          <w:sz w:val="20"/>
          <w:szCs w:val="20"/>
          <w:lang w:val="fr-FR"/>
        </w:rPr>
        <w:t>corégulation</w:t>
      </w:r>
      <w:proofErr w:type="spellEnd"/>
      <w:r w:rsidR="004C584A" w:rsidRPr="00E004BD">
        <w:rPr>
          <w:rFonts w:ascii="Verdana" w:eastAsia="Verdana" w:hAnsi="Verdana" w:cs="Verdana"/>
          <w:sz w:val="20"/>
          <w:szCs w:val="20"/>
          <w:lang w:val="fr-FR"/>
        </w:rPr>
        <w:t xml:space="preserve">, </w:t>
      </w:r>
      <w:r w:rsidR="004C584A" w:rsidRPr="00E004BD">
        <w:rPr>
          <w:rFonts w:ascii="Verdana" w:hAnsi="Verdana"/>
          <w:sz w:val="20"/>
          <w:szCs w:val="20"/>
          <w:lang w:val="fr-FR"/>
        </w:rPr>
        <w:t>l</w:t>
      </w:r>
      <w:r w:rsidR="00845E78" w:rsidRPr="00E004BD">
        <w:rPr>
          <w:rFonts w:ascii="Verdana" w:hAnsi="Verdana"/>
          <w:sz w:val="20"/>
          <w:szCs w:val="20"/>
          <w:lang w:val="fr-FR"/>
        </w:rPr>
        <w:t>es États devraient envisager</w:t>
      </w:r>
      <w:r w:rsidR="00E004BD" w:rsidRPr="00E004BD">
        <w:rPr>
          <w:rFonts w:ascii="Verdana" w:hAnsi="Verdana"/>
          <w:sz w:val="20"/>
          <w:szCs w:val="20"/>
          <w:lang w:val="fr-FR"/>
        </w:rPr>
        <w:t xml:space="preserve"> </w:t>
      </w:r>
      <w:r w:rsidR="00E004BD" w:rsidRPr="00E004BD">
        <w:rPr>
          <w:rFonts w:ascii="Verdana" w:hAnsi="Verdana"/>
          <w:sz w:val="20"/>
          <w:lang w:val="fr-FR"/>
        </w:rPr>
        <w:t xml:space="preserve">de </w:t>
      </w:r>
      <w:r w:rsidR="00E004BD" w:rsidRPr="00E004BD">
        <w:rPr>
          <w:rFonts w:ascii="Verdana" w:eastAsia="Verdana" w:hAnsi="Verdana" w:cs="Verdana"/>
          <w:sz w:val="20"/>
          <w:szCs w:val="20"/>
          <w:lang w:val="fr-FR"/>
        </w:rPr>
        <w:t xml:space="preserve">traiter spécifiquement la publicité politique, de manière </w:t>
      </w:r>
      <w:r w:rsidR="00E004BD" w:rsidRPr="00E004BD">
        <w:rPr>
          <w:rFonts w:ascii="Verdana" w:hAnsi="Verdana"/>
          <w:sz w:val="20"/>
          <w:lang w:val="fr-FR"/>
        </w:rPr>
        <w:t>appropriée et proportionnée</w:t>
      </w:r>
      <w:r w:rsidR="00E004BD" w:rsidRPr="00E004BD">
        <w:rPr>
          <w:rFonts w:ascii="Verdana" w:hAnsi="Verdana"/>
          <w:sz w:val="20"/>
          <w:lang w:val="fr-FR"/>
        </w:rPr>
        <w:t>,</w:t>
      </w:r>
      <w:r w:rsidR="00845E78" w:rsidRPr="00E004BD">
        <w:rPr>
          <w:rFonts w:ascii="Verdana" w:hAnsi="Verdana"/>
          <w:sz w:val="20"/>
          <w:szCs w:val="20"/>
          <w:lang w:val="fr-FR"/>
        </w:rPr>
        <w:t xml:space="preserve"> y compris en dehors des périodes électorales </w:t>
      </w:r>
      <w:r w:rsidR="00E004BD" w:rsidRPr="00E004BD">
        <w:rPr>
          <w:rFonts w:ascii="Verdana" w:hAnsi="Verdana"/>
          <w:sz w:val="20"/>
          <w:lang w:val="fr-FR"/>
        </w:rPr>
        <w:t>telles que définies par les règles nationales</w:t>
      </w:r>
      <w:r w:rsidR="00845E78" w:rsidRPr="00E004BD">
        <w:rPr>
          <w:rFonts w:ascii="Verdana" w:hAnsi="Verdana"/>
          <w:sz w:val="20"/>
          <w:szCs w:val="20"/>
          <w:lang w:val="fr-FR"/>
        </w:rPr>
        <w:t>.</w:t>
      </w:r>
    </w:p>
    <w:p w14:paraId="1036AD25" w14:textId="77777777" w:rsidR="00B57034" w:rsidRPr="00286B98" w:rsidRDefault="00B57034" w:rsidP="00B57034">
      <w:pPr>
        <w:jc w:val="both"/>
        <w:rPr>
          <w:rFonts w:ascii="Verdana" w:hAnsi="Verdana"/>
          <w:sz w:val="20"/>
          <w:szCs w:val="20"/>
          <w:lang w:val="fr-FR"/>
        </w:rPr>
      </w:pPr>
    </w:p>
    <w:p w14:paraId="7A91B8B2" w14:textId="615472A9" w:rsidR="00E004BD" w:rsidRPr="00286B98" w:rsidRDefault="00B57034" w:rsidP="00A4220D">
      <w:pPr>
        <w:jc w:val="both"/>
        <w:rPr>
          <w:rFonts w:ascii="Verdana" w:hAnsi="Verdana"/>
          <w:sz w:val="20"/>
          <w:szCs w:val="20"/>
          <w:lang w:val="fr-FR"/>
        </w:rPr>
      </w:pPr>
      <w:r w:rsidRPr="00286B98">
        <w:rPr>
          <w:rFonts w:ascii="Verdana" w:hAnsi="Verdana"/>
          <w:sz w:val="20"/>
          <w:szCs w:val="20"/>
          <w:lang w:val="fr-FR"/>
        </w:rPr>
        <w:t xml:space="preserve">1.3. </w:t>
      </w:r>
      <w:r w:rsidR="00E004BD" w:rsidRPr="00E004BD">
        <w:rPr>
          <w:rFonts w:ascii="Verdana" w:eastAsia="Verdana" w:hAnsi="Verdana"/>
          <w:sz w:val="20"/>
          <w:lang w:val="fr-FR"/>
        </w:rPr>
        <w:t xml:space="preserve">Dans le cadre </w:t>
      </w:r>
      <w:r w:rsidR="00E004BD" w:rsidRPr="00E004BD">
        <w:rPr>
          <w:rFonts w:ascii="Verdana" w:eastAsia="Verdana" w:hAnsi="Verdana" w:cs="Verdana"/>
          <w:sz w:val="20"/>
          <w:szCs w:val="20"/>
          <w:lang w:val="fr-FR"/>
        </w:rPr>
        <w:t xml:space="preserve">de ces cadres de </w:t>
      </w:r>
      <w:proofErr w:type="spellStart"/>
      <w:r w:rsidR="00E004BD" w:rsidRPr="00E004BD">
        <w:rPr>
          <w:rFonts w:ascii="Verdana" w:eastAsia="Verdana" w:hAnsi="Verdana" w:cs="Verdana"/>
          <w:sz w:val="20"/>
          <w:szCs w:val="20"/>
          <w:lang w:val="fr-FR"/>
        </w:rPr>
        <w:t>corégulation</w:t>
      </w:r>
      <w:proofErr w:type="spellEnd"/>
      <w:r w:rsidR="00E004BD" w:rsidRPr="00E004BD">
        <w:rPr>
          <w:rFonts w:ascii="Verdana" w:eastAsia="Verdana" w:hAnsi="Verdana" w:cs="Verdana"/>
          <w:sz w:val="20"/>
          <w:szCs w:val="20"/>
          <w:lang w:val="fr-FR"/>
        </w:rPr>
        <w:t xml:space="preserve">, </w:t>
      </w:r>
      <w:r w:rsidR="00A4220D" w:rsidRPr="00E004BD">
        <w:rPr>
          <w:rFonts w:ascii="Verdana" w:hAnsi="Verdana"/>
          <w:sz w:val="20"/>
          <w:szCs w:val="20"/>
          <w:lang w:val="fr-FR"/>
        </w:rPr>
        <w:t xml:space="preserve">les États devraient </w:t>
      </w:r>
      <w:r w:rsidR="00E004BD" w:rsidRPr="00E004BD">
        <w:rPr>
          <w:rFonts w:ascii="Verdana" w:hAnsi="Verdana"/>
          <w:sz w:val="20"/>
          <w:szCs w:val="20"/>
          <w:lang w:val="fr-FR"/>
        </w:rPr>
        <w:t xml:space="preserve">en outre </w:t>
      </w:r>
      <w:r w:rsidR="00A4220D" w:rsidRPr="00E004BD">
        <w:rPr>
          <w:rFonts w:ascii="Verdana" w:hAnsi="Verdana"/>
          <w:sz w:val="20"/>
          <w:szCs w:val="20"/>
          <w:lang w:val="fr-FR"/>
        </w:rPr>
        <w:t xml:space="preserve">instaurer des sanctions </w:t>
      </w:r>
      <w:r w:rsidR="00E004BD" w:rsidRPr="00E004BD">
        <w:rPr>
          <w:rFonts w:ascii="Verdana" w:eastAsia="Verdana" w:hAnsi="Verdana" w:cs="Verdana"/>
          <w:sz w:val="20"/>
          <w:szCs w:val="20"/>
          <w:lang w:val="fr-FR"/>
        </w:rPr>
        <w:t xml:space="preserve">appropriées </w:t>
      </w:r>
      <w:r w:rsidR="00E004BD" w:rsidRPr="00E004BD">
        <w:rPr>
          <w:rFonts w:ascii="Verdana" w:eastAsia="Verdana" w:hAnsi="Verdana"/>
          <w:sz w:val="20"/>
          <w:lang w:val="fr-FR"/>
        </w:rPr>
        <w:t>en cas de non-conformité</w:t>
      </w:r>
      <w:r w:rsidR="00E004BD" w:rsidRPr="00E004BD">
        <w:rPr>
          <w:rFonts w:ascii="Verdana" w:hAnsi="Verdana"/>
          <w:sz w:val="20"/>
          <w:szCs w:val="20"/>
          <w:lang w:val="fr-FR"/>
        </w:rPr>
        <w:t xml:space="preserve"> afin de</w:t>
      </w:r>
      <w:r w:rsidR="00E004BD" w:rsidRPr="00E004BD">
        <w:rPr>
          <w:rFonts w:ascii="Verdana" w:hAnsi="Verdana"/>
          <w:sz w:val="20"/>
          <w:szCs w:val="20"/>
          <w:lang w:val="fr-FR"/>
        </w:rPr>
        <w:t xml:space="preserve"> garantir l’efficacité des mesures proposées dans la présente </w:t>
      </w:r>
      <w:r w:rsidR="00E004BD" w:rsidRPr="00E004BD">
        <w:rPr>
          <w:rFonts w:ascii="Verdana" w:eastAsia="Verdana" w:hAnsi="Verdana" w:cs="Verdana"/>
          <w:sz w:val="20"/>
          <w:szCs w:val="20"/>
          <w:lang w:val="fr-FR"/>
        </w:rPr>
        <w:t>recommandation</w:t>
      </w:r>
      <w:r w:rsidR="00A4220D" w:rsidRPr="00E004BD">
        <w:rPr>
          <w:rFonts w:ascii="Verdana" w:hAnsi="Verdana"/>
          <w:sz w:val="20"/>
          <w:szCs w:val="20"/>
          <w:lang w:val="fr-FR"/>
        </w:rPr>
        <w:t>.</w:t>
      </w:r>
      <w:r w:rsidRPr="00E004BD">
        <w:rPr>
          <w:rFonts w:ascii="Verdana" w:hAnsi="Verdana"/>
          <w:sz w:val="20"/>
          <w:szCs w:val="20"/>
          <w:lang w:val="fr-FR"/>
        </w:rPr>
        <w:t xml:space="preserve"> </w:t>
      </w:r>
      <w:r w:rsidR="00E004BD" w:rsidRPr="00E004BD">
        <w:rPr>
          <w:rFonts w:ascii="Verdana" w:eastAsia="Verdana" w:hAnsi="Verdana"/>
          <w:sz w:val="20"/>
          <w:lang w:val="fr-FR"/>
        </w:rPr>
        <w:t xml:space="preserve">Les États </w:t>
      </w:r>
      <w:r w:rsidR="00A4220D" w:rsidRPr="00E004BD">
        <w:rPr>
          <w:rFonts w:ascii="Verdana" w:hAnsi="Verdana"/>
          <w:sz w:val="20"/>
          <w:szCs w:val="20"/>
          <w:lang w:val="fr-FR"/>
        </w:rPr>
        <w:t xml:space="preserve">devraient </w:t>
      </w:r>
      <w:r w:rsidR="00F63A48" w:rsidRPr="00E004BD">
        <w:rPr>
          <w:rFonts w:ascii="Verdana" w:hAnsi="Verdana"/>
          <w:sz w:val="20"/>
          <w:szCs w:val="20"/>
          <w:lang w:val="fr-FR"/>
        </w:rPr>
        <w:t xml:space="preserve">s’assurer que </w:t>
      </w:r>
      <w:r w:rsidR="00A4220D" w:rsidRPr="00E004BD">
        <w:rPr>
          <w:rFonts w:ascii="Verdana" w:hAnsi="Verdana"/>
          <w:sz w:val="20"/>
          <w:szCs w:val="20"/>
          <w:lang w:val="fr-FR"/>
        </w:rPr>
        <w:t>ces sanctions restent proportionnées, afin d’éviter que les</w:t>
      </w:r>
      <w:r w:rsidR="00A4220D" w:rsidRPr="00286B98">
        <w:rPr>
          <w:rFonts w:ascii="Verdana" w:hAnsi="Verdana"/>
          <w:sz w:val="20"/>
          <w:szCs w:val="20"/>
          <w:lang w:val="fr-FR"/>
        </w:rPr>
        <w:t xml:space="preserve"> plateformes en ligne ne fassent preuve d’une prudence excessive pouvant entraîner la restriction de contenus licites et des ingérences injustifiées dans le droit à la liberté d’expression.</w:t>
      </w:r>
    </w:p>
    <w:p w14:paraId="0B77C654" w14:textId="7FBFB6DA" w:rsidR="00B57034" w:rsidRDefault="00B57034" w:rsidP="00B57034">
      <w:pPr>
        <w:jc w:val="both"/>
        <w:rPr>
          <w:rFonts w:ascii="Verdana" w:hAnsi="Verdana"/>
          <w:sz w:val="20"/>
          <w:szCs w:val="20"/>
          <w:lang w:val="fr-FR"/>
        </w:rPr>
      </w:pPr>
    </w:p>
    <w:p w14:paraId="78D6B3E4" w14:textId="70CAFE3E" w:rsidR="00E004BD" w:rsidRDefault="00E004BD" w:rsidP="00B57034">
      <w:pPr>
        <w:jc w:val="both"/>
        <w:rPr>
          <w:rFonts w:ascii="Verdana" w:eastAsia="Verdana" w:hAnsi="Verdana"/>
          <w:sz w:val="20"/>
          <w:lang w:val="fr-FR"/>
        </w:rPr>
      </w:pPr>
      <w:r w:rsidRPr="00E004BD">
        <w:rPr>
          <w:rFonts w:ascii="Verdana" w:eastAsia="Verdana" w:hAnsi="Verdana"/>
          <w:sz w:val="20"/>
          <w:lang w:val="fr-FR"/>
        </w:rPr>
        <w:t xml:space="preserve">1.4. Dans ce cadre de </w:t>
      </w:r>
      <w:proofErr w:type="spellStart"/>
      <w:r w:rsidRPr="00E004BD">
        <w:rPr>
          <w:rFonts w:ascii="Verdana" w:eastAsia="Verdana" w:hAnsi="Verdana"/>
          <w:sz w:val="20"/>
          <w:lang w:val="fr-FR"/>
        </w:rPr>
        <w:t>corégulation</w:t>
      </w:r>
      <w:proofErr w:type="spellEnd"/>
      <w:r w:rsidRPr="00E004BD">
        <w:rPr>
          <w:rFonts w:ascii="Verdana" w:eastAsia="Verdana" w:hAnsi="Verdana"/>
          <w:sz w:val="20"/>
          <w:lang w:val="fr-FR"/>
        </w:rPr>
        <w:t xml:space="preserve">, et conformément à la Recommandation sur les principes de gouvernance des médias et de la communication, les États sont encouragés à envisager et à développer - en coopération avec les plateformes et les </w:t>
      </w:r>
      <w:r w:rsidRPr="00E004BD">
        <w:rPr>
          <w:rFonts w:ascii="Verdana" w:eastAsia="Verdana" w:hAnsi="Verdana" w:cs="Verdana"/>
          <w:sz w:val="20"/>
          <w:szCs w:val="20"/>
          <w:lang w:val="fr-FR"/>
        </w:rPr>
        <w:t xml:space="preserve">organisations de la </w:t>
      </w:r>
      <w:r w:rsidRPr="00E004BD">
        <w:rPr>
          <w:rFonts w:ascii="Verdana" w:eastAsia="Verdana" w:hAnsi="Verdana"/>
          <w:sz w:val="20"/>
          <w:lang w:val="fr-FR"/>
        </w:rPr>
        <w:t xml:space="preserve">société civile - un mécanisme de contrôle démocratique indépendant qui devrait inclure des obligations de déclaration par les plateformes à des autorités compétentes indépendantes </w:t>
      </w:r>
      <w:r w:rsidRPr="00E004BD">
        <w:rPr>
          <w:rFonts w:ascii="Verdana" w:eastAsia="Verdana" w:hAnsi="Verdana" w:cs="Verdana"/>
          <w:sz w:val="20"/>
          <w:szCs w:val="20"/>
          <w:lang w:val="fr-FR"/>
        </w:rPr>
        <w:t>désignées</w:t>
      </w:r>
      <w:r w:rsidRPr="00E004BD">
        <w:rPr>
          <w:rFonts w:ascii="Verdana" w:eastAsia="Verdana" w:hAnsi="Verdana"/>
          <w:sz w:val="20"/>
          <w:lang w:val="fr-FR"/>
        </w:rPr>
        <w:t>. Ces autorités de régulation devraient s'engager dans une consultation, une coopération et un dialogue réguliers, ouverts et inclusifs avec toutes les parties prenantes concernées, afin de garantir qu'un équilibre approprié est trouvé entre l'intérêt public, les intérêts des utilisateurs et des parties concernées, et les intérêts de l'industrie.</w:t>
      </w:r>
    </w:p>
    <w:p w14:paraId="368892C0" w14:textId="30729DE7" w:rsidR="00E004BD" w:rsidRDefault="00E004BD" w:rsidP="00B57034">
      <w:pPr>
        <w:jc w:val="both"/>
        <w:rPr>
          <w:rFonts w:ascii="Verdana" w:eastAsia="Verdana" w:hAnsi="Verdana"/>
          <w:sz w:val="20"/>
          <w:lang w:val="fr-FR"/>
        </w:rPr>
      </w:pPr>
    </w:p>
    <w:p w14:paraId="38206BB4" w14:textId="6D0661A5" w:rsidR="00E004BD" w:rsidRDefault="00E004BD" w:rsidP="00B57034">
      <w:pPr>
        <w:jc w:val="both"/>
        <w:rPr>
          <w:rFonts w:ascii="Verdana" w:eastAsia="Verdana" w:hAnsi="Verdana"/>
          <w:sz w:val="20"/>
          <w:lang w:val="fr-FR"/>
        </w:rPr>
      </w:pPr>
      <w:r w:rsidRPr="00E004BD">
        <w:rPr>
          <w:rFonts w:ascii="Verdana" w:eastAsia="Verdana" w:hAnsi="Verdana"/>
          <w:sz w:val="20"/>
          <w:lang w:val="fr-FR"/>
        </w:rPr>
        <w:t xml:space="preserve">1.5. Des autorités de régulation indépendantes devraient être clairement désignées et dotées de pouvoirs leur permettant de prendre des mesures et des sanctions opportunes, proportionnées et, le cas échéant, graduées en cas de violation des règles statutaires et de </w:t>
      </w:r>
      <w:proofErr w:type="spellStart"/>
      <w:r w:rsidRPr="00E004BD">
        <w:rPr>
          <w:rFonts w:ascii="Verdana" w:eastAsia="Verdana" w:hAnsi="Verdana"/>
          <w:sz w:val="20"/>
          <w:lang w:val="fr-FR"/>
        </w:rPr>
        <w:t>corégulation</w:t>
      </w:r>
      <w:proofErr w:type="spellEnd"/>
      <w:r w:rsidRPr="00E004BD">
        <w:rPr>
          <w:rFonts w:ascii="Verdana" w:eastAsia="Verdana" w:hAnsi="Verdana"/>
          <w:sz w:val="20"/>
          <w:lang w:val="fr-FR"/>
        </w:rPr>
        <w:t>.</w:t>
      </w:r>
    </w:p>
    <w:p w14:paraId="28DCF87F" w14:textId="4035D5DC" w:rsidR="00E004BD" w:rsidRDefault="00E004BD" w:rsidP="00B57034">
      <w:pPr>
        <w:jc w:val="both"/>
        <w:rPr>
          <w:rFonts w:ascii="Verdana" w:eastAsia="Verdana" w:hAnsi="Verdana"/>
          <w:sz w:val="20"/>
          <w:lang w:val="fr-FR"/>
        </w:rPr>
      </w:pPr>
    </w:p>
    <w:p w14:paraId="6C5A3BD3" w14:textId="040A3715" w:rsidR="00E004BD" w:rsidRPr="002656A5" w:rsidRDefault="00E004BD" w:rsidP="00B57034">
      <w:pPr>
        <w:jc w:val="both"/>
        <w:rPr>
          <w:rFonts w:ascii="Verdana" w:eastAsia="Verdana" w:hAnsi="Verdana"/>
          <w:sz w:val="20"/>
          <w:lang w:val="fr-FR"/>
        </w:rPr>
      </w:pPr>
      <w:r w:rsidRPr="00E004BD">
        <w:rPr>
          <w:rFonts w:ascii="Verdana" w:eastAsia="Verdana" w:hAnsi="Verdana"/>
          <w:sz w:val="20"/>
          <w:lang w:val="fr-FR"/>
        </w:rPr>
        <w:t>1.6. Les États d</w:t>
      </w:r>
      <w:r>
        <w:rPr>
          <w:rFonts w:ascii="Verdana" w:eastAsia="Verdana" w:hAnsi="Verdana"/>
          <w:sz w:val="20"/>
          <w:lang w:val="fr-FR"/>
        </w:rPr>
        <w:t xml:space="preserve">evraient </w:t>
      </w:r>
      <w:r w:rsidRPr="00E004BD">
        <w:rPr>
          <w:rFonts w:ascii="Verdana" w:eastAsia="Verdana" w:hAnsi="Verdana"/>
          <w:sz w:val="20"/>
          <w:lang w:val="fr-FR"/>
        </w:rPr>
        <w:t xml:space="preserve">veiller à ce que les autorités de régulation indépendantes disposent des </w:t>
      </w:r>
      <w:r w:rsidRPr="002656A5">
        <w:rPr>
          <w:rFonts w:ascii="Verdana" w:eastAsia="Verdana" w:hAnsi="Verdana"/>
          <w:sz w:val="20"/>
          <w:lang w:val="fr-FR"/>
        </w:rPr>
        <w:t>outils et des ressources nécessaires pour évaluer les pratiques de modération de contenu des plateformes en ligne, telles que les suppressions de comptes et de contenus visant à influencer les campagnes électorales ou les mesures prises contre les comportements illégaux en matière de campagne électorale.</w:t>
      </w:r>
    </w:p>
    <w:p w14:paraId="5B7F67CF" w14:textId="229323A3" w:rsidR="00B57034" w:rsidRPr="002656A5" w:rsidRDefault="00B57034" w:rsidP="00B57034">
      <w:pPr>
        <w:jc w:val="both"/>
        <w:rPr>
          <w:rFonts w:ascii="Verdana" w:hAnsi="Verdana"/>
          <w:sz w:val="20"/>
          <w:szCs w:val="20"/>
          <w:lang w:val="fr-FR"/>
        </w:rPr>
      </w:pPr>
    </w:p>
    <w:p w14:paraId="69240B1F" w14:textId="2FA02CA8" w:rsidR="0039252E" w:rsidRPr="002656A5" w:rsidRDefault="002656A5" w:rsidP="00A4220D">
      <w:pPr>
        <w:spacing w:after="160" w:line="259" w:lineRule="auto"/>
        <w:jc w:val="both"/>
        <w:rPr>
          <w:rFonts w:ascii="Verdana" w:eastAsia="Verdana" w:hAnsi="Verdana"/>
          <w:sz w:val="20"/>
          <w:lang w:val="fr-FR"/>
        </w:rPr>
      </w:pPr>
      <w:r w:rsidRPr="002656A5">
        <w:rPr>
          <w:rFonts w:ascii="Verdana" w:eastAsia="Verdana" w:hAnsi="Verdana"/>
          <w:sz w:val="20"/>
          <w:lang w:val="fr-FR"/>
        </w:rPr>
        <w:t xml:space="preserve">1.7. Les États devraient prévoir la création de </w:t>
      </w:r>
      <w:r w:rsidRPr="002656A5">
        <w:rPr>
          <w:rFonts w:ascii="Verdana" w:hAnsi="Verdana"/>
          <w:sz w:val="20"/>
          <w:lang w:val="fr-FR"/>
        </w:rPr>
        <w:t xml:space="preserve">conseils consultatifs </w:t>
      </w:r>
      <w:r w:rsidRPr="002656A5">
        <w:rPr>
          <w:rFonts w:ascii="Verdana" w:eastAsia="Verdana" w:hAnsi="Verdana"/>
          <w:sz w:val="20"/>
          <w:lang w:val="fr-FR"/>
        </w:rPr>
        <w:t>indépendants pour soutenir les autorités réglementaires indépendantes</w:t>
      </w:r>
      <w:r w:rsidRPr="002656A5">
        <w:rPr>
          <w:rFonts w:ascii="Verdana" w:hAnsi="Verdana"/>
          <w:sz w:val="20"/>
          <w:lang w:val="fr-FR"/>
        </w:rPr>
        <w:t xml:space="preserve">. </w:t>
      </w:r>
      <w:r w:rsidRPr="002656A5">
        <w:rPr>
          <w:rFonts w:ascii="Verdana" w:eastAsia="Verdana" w:hAnsi="Verdana"/>
          <w:sz w:val="20"/>
          <w:lang w:val="fr-FR"/>
        </w:rPr>
        <w:t xml:space="preserve">Ces conseils consultatifs multipartites devraient être composés d'experts indépendants compétents et de représentants de la société civile afin d'aider les autorités indépendantes à évaluer régulièrement le respect </w:t>
      </w:r>
      <w:r w:rsidRPr="002656A5">
        <w:rPr>
          <w:rFonts w:ascii="Verdana" w:hAnsi="Verdana"/>
          <w:sz w:val="20"/>
          <w:lang w:val="fr-FR"/>
        </w:rPr>
        <w:t xml:space="preserve">des obligations de </w:t>
      </w:r>
      <w:proofErr w:type="spellStart"/>
      <w:r w:rsidRPr="002656A5">
        <w:rPr>
          <w:rFonts w:ascii="Verdana" w:hAnsi="Verdana"/>
          <w:sz w:val="20"/>
          <w:lang w:val="fr-FR"/>
        </w:rPr>
        <w:t>corégulation</w:t>
      </w:r>
      <w:proofErr w:type="spellEnd"/>
      <w:r w:rsidRPr="002656A5">
        <w:rPr>
          <w:rFonts w:ascii="Verdana" w:hAnsi="Verdana"/>
          <w:sz w:val="20"/>
          <w:lang w:val="fr-FR"/>
        </w:rPr>
        <w:t>.</w:t>
      </w:r>
    </w:p>
    <w:p w14:paraId="6420D900" w14:textId="14328CEE" w:rsidR="004C584A" w:rsidRPr="00286B98" w:rsidRDefault="00B21BF6" w:rsidP="00526035">
      <w:pPr>
        <w:spacing w:after="160" w:line="259" w:lineRule="auto"/>
        <w:jc w:val="both"/>
        <w:rPr>
          <w:rFonts w:ascii="Verdana" w:eastAsia="Verdana" w:hAnsi="Verdana" w:cs="Verdana"/>
          <w:sz w:val="20"/>
          <w:szCs w:val="20"/>
          <w:lang w:val="fr-FR"/>
        </w:rPr>
      </w:pPr>
      <w:r w:rsidRPr="002656A5">
        <w:rPr>
          <w:rFonts w:ascii="Verdana" w:eastAsia="Verdana" w:hAnsi="Verdana" w:cs="Verdana"/>
          <w:sz w:val="20"/>
          <w:szCs w:val="20"/>
          <w:lang w:val="fr-FR"/>
        </w:rPr>
        <w:t>1</w:t>
      </w:r>
      <w:r w:rsidR="00B57034" w:rsidRPr="002656A5">
        <w:rPr>
          <w:rFonts w:ascii="Verdana" w:eastAsia="Verdana" w:hAnsi="Verdana" w:cs="Verdana"/>
          <w:sz w:val="20"/>
          <w:szCs w:val="20"/>
          <w:lang w:val="fr-FR"/>
        </w:rPr>
        <w:t>.</w:t>
      </w:r>
      <w:r w:rsidR="00E004BD" w:rsidRPr="002656A5">
        <w:rPr>
          <w:rFonts w:ascii="Verdana" w:eastAsia="Verdana" w:hAnsi="Verdana" w:cs="Verdana"/>
          <w:sz w:val="20"/>
          <w:szCs w:val="20"/>
          <w:lang w:val="fr-FR"/>
        </w:rPr>
        <w:t>8</w:t>
      </w:r>
      <w:r w:rsidR="00B57034" w:rsidRPr="002656A5">
        <w:rPr>
          <w:rFonts w:ascii="Verdana" w:eastAsia="Verdana" w:hAnsi="Verdana" w:cs="Verdana"/>
          <w:sz w:val="20"/>
          <w:szCs w:val="20"/>
          <w:lang w:val="fr-FR"/>
        </w:rPr>
        <w:t xml:space="preserve">. </w:t>
      </w:r>
      <w:r w:rsidR="00555BFC" w:rsidRPr="002656A5">
        <w:rPr>
          <w:rFonts w:ascii="Verdana" w:eastAsia="Verdana" w:hAnsi="Verdana" w:cs="Verdana"/>
          <w:sz w:val="20"/>
          <w:szCs w:val="20"/>
          <w:lang w:val="fr-FR"/>
        </w:rPr>
        <w:t xml:space="preserve">Les États devraient </w:t>
      </w:r>
      <w:r w:rsidR="00526035" w:rsidRPr="002656A5">
        <w:rPr>
          <w:rFonts w:ascii="Verdana" w:eastAsia="Verdana" w:hAnsi="Verdana" w:cs="Verdana"/>
          <w:sz w:val="20"/>
          <w:szCs w:val="20"/>
          <w:lang w:val="fr-FR"/>
        </w:rPr>
        <w:t xml:space="preserve">exiger des </w:t>
      </w:r>
      <w:r w:rsidR="00555BFC" w:rsidRPr="002656A5">
        <w:rPr>
          <w:rFonts w:ascii="Verdana" w:eastAsia="Verdana" w:hAnsi="Verdana" w:cs="Verdana"/>
          <w:sz w:val="20"/>
          <w:szCs w:val="20"/>
          <w:lang w:val="fr-FR"/>
        </w:rPr>
        <w:t xml:space="preserve">plateformes en ligne </w:t>
      </w:r>
      <w:r w:rsidR="00526035" w:rsidRPr="002656A5">
        <w:rPr>
          <w:rFonts w:ascii="Verdana" w:eastAsia="Verdana" w:hAnsi="Verdana" w:cs="Verdana"/>
          <w:sz w:val="20"/>
          <w:szCs w:val="20"/>
          <w:lang w:val="fr-FR"/>
        </w:rPr>
        <w:t xml:space="preserve">qu’elles proposent </w:t>
      </w:r>
      <w:r w:rsidR="00555BFC" w:rsidRPr="002656A5">
        <w:rPr>
          <w:rFonts w:ascii="Verdana" w:eastAsia="Verdana" w:hAnsi="Verdana" w:cs="Verdana"/>
          <w:sz w:val="20"/>
          <w:szCs w:val="20"/>
          <w:lang w:val="fr-FR"/>
        </w:rPr>
        <w:t>des recours effectifs aux utilisateurs et aux</w:t>
      </w:r>
      <w:r w:rsidR="00555BFC" w:rsidRPr="00286B98">
        <w:rPr>
          <w:rFonts w:ascii="Verdana" w:eastAsia="Verdana" w:hAnsi="Verdana" w:cs="Verdana"/>
          <w:sz w:val="20"/>
          <w:szCs w:val="20"/>
          <w:lang w:val="fr-FR"/>
        </w:rPr>
        <w:t xml:space="preserve"> médias affectés par les actions des plateformes en matière de communication politique. En outre, les États devraient </w:t>
      </w:r>
      <w:r w:rsidR="00526035" w:rsidRPr="00286B98">
        <w:rPr>
          <w:rFonts w:ascii="Verdana" w:eastAsia="Verdana" w:hAnsi="Verdana" w:cs="Verdana"/>
          <w:sz w:val="20"/>
          <w:szCs w:val="20"/>
          <w:lang w:val="fr-FR"/>
        </w:rPr>
        <w:t xml:space="preserve">imposer </w:t>
      </w:r>
      <w:r w:rsidR="00555BFC" w:rsidRPr="00286B98">
        <w:rPr>
          <w:rFonts w:ascii="Verdana" w:eastAsia="Verdana" w:hAnsi="Verdana" w:cs="Verdana"/>
          <w:sz w:val="20"/>
          <w:szCs w:val="20"/>
          <w:lang w:val="fr-FR"/>
        </w:rPr>
        <w:t xml:space="preserve">aux plateformes en ligne d’offrir à leurs utilisateurs des moyens de signaler les publicités politiques mal </w:t>
      </w:r>
      <w:r w:rsidR="00555BFC" w:rsidRPr="00286B98">
        <w:rPr>
          <w:rFonts w:ascii="Verdana" w:eastAsia="Verdana" w:hAnsi="Verdana" w:cs="Verdana"/>
          <w:sz w:val="20"/>
          <w:szCs w:val="20"/>
          <w:lang w:val="fr-FR"/>
        </w:rPr>
        <w:lastRenderedPageBreak/>
        <w:t>étiquetées ou retirées à tort ;</w:t>
      </w:r>
      <w:r w:rsidR="00286B98">
        <w:rPr>
          <w:rFonts w:ascii="Verdana" w:eastAsia="Verdana" w:hAnsi="Verdana" w:cs="Verdana"/>
          <w:sz w:val="20"/>
          <w:szCs w:val="20"/>
          <w:lang w:val="fr-FR"/>
        </w:rPr>
        <w:t xml:space="preserve"> </w:t>
      </w:r>
      <w:r w:rsidR="00555BFC" w:rsidRPr="00286B98">
        <w:rPr>
          <w:rFonts w:ascii="Verdana" w:eastAsia="Verdana" w:hAnsi="Verdana" w:cs="Verdana"/>
          <w:sz w:val="20"/>
          <w:szCs w:val="20"/>
          <w:lang w:val="fr-FR"/>
        </w:rPr>
        <w:t>les plateformes devraient aussi fournir des données sur ce type de signalement.</w:t>
      </w:r>
    </w:p>
    <w:p w14:paraId="7D13503A" w14:textId="7C2F29A7" w:rsidR="00D21F6D" w:rsidRPr="00286B98" w:rsidRDefault="00B21BF6" w:rsidP="00555BFC">
      <w:pPr>
        <w:pBdr>
          <w:top w:val="nil"/>
          <w:left w:val="nil"/>
          <w:bottom w:val="nil"/>
          <w:right w:val="nil"/>
          <w:between w:val="nil"/>
        </w:pBdr>
        <w:spacing w:after="160" w:line="259" w:lineRule="auto"/>
        <w:ind w:firstLine="720"/>
        <w:jc w:val="both"/>
        <w:rPr>
          <w:rFonts w:ascii="Verdana" w:eastAsia="Verdana" w:hAnsi="Verdana" w:cs="Verdana"/>
          <w:b/>
          <w:sz w:val="20"/>
          <w:szCs w:val="20"/>
          <w:lang w:val="fr-FR"/>
        </w:rPr>
      </w:pPr>
      <w:r w:rsidRPr="00286B98">
        <w:rPr>
          <w:rFonts w:ascii="Verdana" w:eastAsia="Verdana" w:hAnsi="Verdana" w:cs="Verdana"/>
          <w:b/>
          <w:sz w:val="20"/>
          <w:szCs w:val="20"/>
          <w:lang w:val="fr-FR"/>
        </w:rPr>
        <w:t xml:space="preserve">2. </w:t>
      </w:r>
      <w:r w:rsidR="00555BFC" w:rsidRPr="00286B98">
        <w:rPr>
          <w:rFonts w:ascii="Verdana" w:eastAsia="Verdana" w:hAnsi="Verdana" w:cs="Verdana"/>
          <w:b/>
          <w:sz w:val="20"/>
          <w:szCs w:val="20"/>
          <w:lang w:val="fr-FR"/>
        </w:rPr>
        <w:t>Principes applicables à la publicité politique en ligne</w:t>
      </w:r>
    </w:p>
    <w:p w14:paraId="08AC6DA5" w14:textId="18C74890" w:rsidR="002656A5" w:rsidRPr="00286B98" w:rsidRDefault="00B21BF6" w:rsidP="00025DE9">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2</w:t>
      </w:r>
      <w:r w:rsidR="0070442D" w:rsidRPr="00286B98">
        <w:rPr>
          <w:rFonts w:ascii="Verdana" w:eastAsia="Verdana" w:hAnsi="Verdana" w:cs="Verdana"/>
          <w:sz w:val="20"/>
          <w:szCs w:val="20"/>
          <w:lang w:val="fr-FR"/>
        </w:rPr>
        <w:t>.1.</w:t>
      </w:r>
      <w:r w:rsidR="00D10353" w:rsidRPr="00286B98">
        <w:rPr>
          <w:rFonts w:ascii="Verdana" w:eastAsia="Verdana" w:hAnsi="Verdana" w:cs="Verdana"/>
          <w:sz w:val="20"/>
          <w:szCs w:val="20"/>
          <w:lang w:val="fr-FR"/>
        </w:rPr>
        <w:t xml:space="preserve"> </w:t>
      </w:r>
      <w:r w:rsidR="002656A5">
        <w:rPr>
          <w:rFonts w:ascii="Verdana" w:eastAsia="Verdana" w:hAnsi="Verdana" w:cs="Verdana"/>
          <w:sz w:val="20"/>
          <w:szCs w:val="20"/>
          <w:lang w:val="fr-FR"/>
        </w:rPr>
        <w:t>L</w:t>
      </w:r>
      <w:r w:rsidR="00691E15">
        <w:rPr>
          <w:rFonts w:ascii="Verdana" w:eastAsia="Verdana" w:hAnsi="Verdana" w:cs="Verdana"/>
          <w:sz w:val="20"/>
          <w:szCs w:val="20"/>
          <w:lang w:val="fr-FR"/>
        </w:rPr>
        <w:t>es</w:t>
      </w:r>
      <w:r w:rsidR="00025DE9" w:rsidRPr="00286B98">
        <w:rPr>
          <w:rFonts w:ascii="Verdana" w:eastAsia="Verdana" w:hAnsi="Verdana" w:cs="Verdana"/>
          <w:sz w:val="20"/>
          <w:szCs w:val="20"/>
          <w:lang w:val="fr-FR"/>
        </w:rPr>
        <w:t xml:space="preserve"> publicité</w:t>
      </w:r>
      <w:r w:rsidR="00691E15">
        <w:rPr>
          <w:rFonts w:ascii="Verdana" w:eastAsia="Verdana" w:hAnsi="Verdana" w:cs="Verdana"/>
          <w:sz w:val="20"/>
          <w:szCs w:val="20"/>
          <w:lang w:val="fr-FR"/>
        </w:rPr>
        <w:t>s</w:t>
      </w:r>
      <w:r w:rsidR="00025DE9" w:rsidRPr="00286B98">
        <w:rPr>
          <w:rFonts w:ascii="Verdana" w:eastAsia="Verdana" w:hAnsi="Verdana" w:cs="Verdana"/>
          <w:sz w:val="20"/>
          <w:szCs w:val="20"/>
          <w:lang w:val="fr-FR"/>
        </w:rPr>
        <w:t xml:space="preserve"> politique</w:t>
      </w:r>
      <w:r w:rsidR="00691E15">
        <w:rPr>
          <w:rFonts w:ascii="Verdana" w:eastAsia="Verdana" w:hAnsi="Verdana" w:cs="Verdana"/>
          <w:sz w:val="20"/>
          <w:szCs w:val="20"/>
          <w:lang w:val="fr-FR"/>
        </w:rPr>
        <w:t>s</w:t>
      </w:r>
      <w:r w:rsidR="002656A5">
        <w:rPr>
          <w:rFonts w:ascii="Verdana" w:eastAsia="Verdana" w:hAnsi="Verdana" w:cs="Verdana"/>
          <w:sz w:val="20"/>
          <w:szCs w:val="20"/>
          <w:lang w:val="fr-FR"/>
        </w:rPr>
        <w:t xml:space="preserve"> en </w:t>
      </w:r>
      <w:r w:rsidR="002656A5" w:rsidRPr="0042051D">
        <w:rPr>
          <w:rFonts w:ascii="Verdana" w:eastAsia="Verdana" w:hAnsi="Verdana" w:cs="Verdana"/>
          <w:sz w:val="20"/>
          <w:szCs w:val="20"/>
          <w:lang w:val="fr-FR"/>
        </w:rPr>
        <w:t xml:space="preserve">ligne, y compris la </w:t>
      </w:r>
      <w:r w:rsidR="002656A5" w:rsidRPr="0042051D">
        <w:rPr>
          <w:rFonts w:ascii="Verdana" w:eastAsia="Verdana" w:hAnsi="Verdana"/>
          <w:sz w:val="20"/>
          <w:lang w:val="fr-FR"/>
        </w:rPr>
        <w:t>publicité thématique</w:t>
      </w:r>
      <w:r w:rsidR="002656A5" w:rsidRPr="0042051D">
        <w:rPr>
          <w:rFonts w:ascii="Verdana" w:eastAsia="Verdana" w:hAnsi="Verdana"/>
          <w:sz w:val="20"/>
          <w:lang w:val="fr-FR"/>
        </w:rPr>
        <w:t xml:space="preserve">, </w:t>
      </w:r>
      <w:r w:rsidR="0042051D" w:rsidRPr="0042051D">
        <w:rPr>
          <w:rFonts w:ascii="Verdana" w:eastAsia="Verdana" w:hAnsi="Verdana"/>
          <w:sz w:val="20"/>
          <w:lang w:val="fr-FR"/>
        </w:rPr>
        <w:t xml:space="preserve">devraient pouvoir </w:t>
      </w:r>
      <w:r w:rsidR="0042051D" w:rsidRPr="0042051D">
        <w:rPr>
          <w:rFonts w:ascii="Verdana" w:eastAsia="Verdana" w:hAnsi="Verdana"/>
          <w:sz w:val="20"/>
          <w:lang w:val="fr-FR"/>
        </w:rPr>
        <w:t>être distinguée</w:t>
      </w:r>
      <w:r w:rsidR="0042051D" w:rsidRPr="0042051D">
        <w:rPr>
          <w:rFonts w:ascii="Verdana" w:eastAsia="Verdana" w:hAnsi="Verdana"/>
          <w:sz w:val="20"/>
          <w:lang w:val="fr-FR"/>
        </w:rPr>
        <w:t>s</w:t>
      </w:r>
      <w:r w:rsidR="00025DE9" w:rsidRPr="0042051D">
        <w:rPr>
          <w:rFonts w:ascii="Verdana" w:eastAsia="Verdana" w:hAnsi="Verdana" w:cs="Verdana"/>
          <w:sz w:val="20"/>
          <w:szCs w:val="20"/>
          <w:lang w:val="fr-FR"/>
        </w:rPr>
        <w:t xml:space="preserve"> du contenu éditorial, y compris</w:t>
      </w:r>
      <w:r w:rsidR="00025DE9" w:rsidRPr="00286B98">
        <w:rPr>
          <w:rFonts w:ascii="Verdana" w:eastAsia="Verdana" w:hAnsi="Verdana" w:cs="Verdana"/>
          <w:sz w:val="20"/>
          <w:szCs w:val="20"/>
          <w:lang w:val="fr-FR"/>
        </w:rPr>
        <w:t xml:space="preserve"> </w:t>
      </w:r>
      <w:r w:rsidR="0042051D">
        <w:rPr>
          <w:rFonts w:ascii="Verdana" w:eastAsia="Verdana" w:hAnsi="Verdana" w:cs="Verdana"/>
          <w:sz w:val="20"/>
          <w:szCs w:val="20"/>
          <w:lang w:val="fr-FR"/>
        </w:rPr>
        <w:t>les actualités</w:t>
      </w:r>
      <w:r w:rsidR="00025DE9" w:rsidRPr="00286B98">
        <w:rPr>
          <w:rFonts w:ascii="Verdana" w:eastAsia="Verdana" w:hAnsi="Verdana" w:cs="Verdana"/>
          <w:sz w:val="20"/>
          <w:szCs w:val="20"/>
          <w:lang w:val="fr-FR"/>
        </w:rPr>
        <w:t>.</w:t>
      </w:r>
    </w:p>
    <w:p w14:paraId="6C336E61" w14:textId="5ADDCEAD" w:rsidR="0042051D" w:rsidRPr="00286B98" w:rsidRDefault="00025DE9" w:rsidP="00025DE9">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2.2 </w:t>
      </w:r>
      <w:r w:rsidR="0042051D">
        <w:rPr>
          <w:rFonts w:ascii="Verdana" w:eastAsia="Verdana" w:hAnsi="Verdana"/>
          <w:sz w:val="20"/>
          <w:lang w:val="fr-FR"/>
        </w:rPr>
        <w:t>L</w:t>
      </w:r>
      <w:r w:rsidRPr="00286B98">
        <w:rPr>
          <w:rFonts w:ascii="Verdana" w:eastAsia="Verdana" w:hAnsi="Verdana" w:cs="Verdana"/>
          <w:sz w:val="20"/>
          <w:szCs w:val="20"/>
          <w:lang w:val="fr-FR"/>
        </w:rPr>
        <w:t xml:space="preserve">a publicité politique en </w:t>
      </w:r>
      <w:r w:rsidRPr="0042051D">
        <w:rPr>
          <w:rFonts w:ascii="Verdana" w:eastAsia="Verdana" w:hAnsi="Verdana" w:cs="Verdana"/>
          <w:sz w:val="20"/>
          <w:szCs w:val="20"/>
          <w:lang w:val="fr-FR"/>
        </w:rPr>
        <w:t>ligne</w:t>
      </w:r>
      <w:r w:rsidR="0042051D" w:rsidRPr="0042051D">
        <w:rPr>
          <w:rFonts w:ascii="Verdana" w:eastAsia="Verdana" w:hAnsi="Verdana"/>
          <w:sz w:val="20"/>
          <w:lang w:val="fr-FR"/>
        </w:rPr>
        <w:t xml:space="preserve">, </w:t>
      </w:r>
      <w:r w:rsidR="0042051D" w:rsidRPr="0042051D">
        <w:rPr>
          <w:rFonts w:ascii="Verdana" w:eastAsia="Verdana" w:hAnsi="Verdana"/>
          <w:sz w:val="20"/>
          <w:lang w:val="fr-FR"/>
        </w:rPr>
        <w:t>y compris la publicité thématique,</w:t>
      </w:r>
      <w:r w:rsidRPr="0042051D">
        <w:rPr>
          <w:rFonts w:ascii="Verdana" w:eastAsia="Verdana" w:hAnsi="Verdana" w:cs="Verdana"/>
          <w:sz w:val="20"/>
          <w:szCs w:val="20"/>
          <w:lang w:val="fr-FR"/>
        </w:rPr>
        <w:t xml:space="preserve"> devrait</w:t>
      </w:r>
      <w:r w:rsidRPr="00286B98">
        <w:rPr>
          <w:rFonts w:ascii="Verdana" w:eastAsia="Verdana" w:hAnsi="Verdana" w:cs="Verdana"/>
          <w:sz w:val="20"/>
          <w:szCs w:val="20"/>
          <w:lang w:val="fr-FR"/>
        </w:rPr>
        <w:t xml:space="preserve"> obéir au principe général de transparence.</w:t>
      </w:r>
      <w:r w:rsidR="0070442D" w:rsidRPr="00286B98">
        <w:rPr>
          <w:rFonts w:ascii="Verdana" w:eastAsia="Verdana" w:hAnsi="Verdana" w:cs="Verdana"/>
          <w:sz w:val="20"/>
          <w:szCs w:val="20"/>
          <w:lang w:val="fr-FR"/>
        </w:rPr>
        <w:t xml:space="preserve"> </w:t>
      </w:r>
      <w:r w:rsidRPr="00286B98">
        <w:rPr>
          <w:rFonts w:ascii="Verdana" w:eastAsia="Verdana" w:hAnsi="Verdana" w:cs="Verdana"/>
          <w:sz w:val="20"/>
          <w:szCs w:val="20"/>
          <w:lang w:val="fr-FR"/>
        </w:rPr>
        <w:t xml:space="preserve">Les États </w:t>
      </w:r>
      <w:r w:rsidRPr="0042051D">
        <w:rPr>
          <w:rFonts w:ascii="Verdana" w:eastAsia="Verdana" w:hAnsi="Verdana" w:cs="Verdana"/>
          <w:sz w:val="20"/>
          <w:szCs w:val="20"/>
          <w:lang w:val="fr-FR"/>
        </w:rPr>
        <w:t xml:space="preserve">devraient </w:t>
      </w:r>
      <w:r w:rsidR="0042051D" w:rsidRPr="0042051D">
        <w:rPr>
          <w:rFonts w:ascii="Verdana" w:eastAsia="Verdana" w:hAnsi="Verdana"/>
          <w:sz w:val="20"/>
          <w:lang w:val="fr-FR"/>
        </w:rPr>
        <w:t xml:space="preserve">promouvoir un cadre de </w:t>
      </w:r>
      <w:proofErr w:type="spellStart"/>
      <w:r w:rsidR="0042051D" w:rsidRPr="0042051D">
        <w:rPr>
          <w:rFonts w:ascii="Verdana" w:eastAsia="Verdana" w:hAnsi="Verdana"/>
          <w:sz w:val="20"/>
          <w:lang w:val="fr-FR"/>
        </w:rPr>
        <w:t>corégulation</w:t>
      </w:r>
      <w:proofErr w:type="spellEnd"/>
      <w:r w:rsidR="0042051D" w:rsidRPr="0042051D">
        <w:rPr>
          <w:rFonts w:ascii="Verdana" w:eastAsia="Verdana" w:hAnsi="Verdana"/>
          <w:sz w:val="20"/>
          <w:lang w:val="fr-FR"/>
        </w:rPr>
        <w:t xml:space="preserve"> </w:t>
      </w:r>
      <w:r w:rsidR="0042051D" w:rsidRPr="0042051D">
        <w:rPr>
          <w:rFonts w:ascii="Verdana" w:eastAsia="Verdana" w:hAnsi="Verdana" w:cs="Verdana"/>
          <w:sz w:val="20"/>
          <w:szCs w:val="20"/>
          <w:lang w:val="fr-FR"/>
        </w:rPr>
        <w:t>visant à garantir</w:t>
      </w:r>
      <w:r w:rsidR="0042051D" w:rsidRPr="0042051D">
        <w:rPr>
          <w:rFonts w:ascii="Verdana" w:eastAsia="Verdana" w:hAnsi="Verdana" w:cs="Verdana"/>
          <w:sz w:val="20"/>
          <w:szCs w:val="20"/>
          <w:lang w:val="fr-FR"/>
        </w:rPr>
        <w:t xml:space="preserve"> </w:t>
      </w:r>
      <w:r w:rsidRPr="0042051D">
        <w:rPr>
          <w:rFonts w:ascii="Verdana" w:eastAsia="Verdana" w:hAnsi="Verdana" w:cs="Verdana"/>
          <w:sz w:val="20"/>
          <w:szCs w:val="20"/>
          <w:lang w:val="fr-FR"/>
        </w:rPr>
        <w:t>que les publicités politiques soient clairement désignées comme telles et mentionnent les auteurs de la campagne.</w:t>
      </w:r>
      <w:r w:rsidR="0070442D" w:rsidRPr="0042051D">
        <w:rPr>
          <w:rFonts w:ascii="Verdana" w:eastAsia="Verdana" w:hAnsi="Verdana" w:cs="Verdana"/>
          <w:sz w:val="20"/>
          <w:szCs w:val="20"/>
          <w:lang w:val="fr-FR"/>
        </w:rPr>
        <w:t xml:space="preserve"> </w:t>
      </w:r>
      <w:r w:rsidRPr="0042051D">
        <w:rPr>
          <w:rFonts w:ascii="Verdana" w:eastAsia="Verdana" w:hAnsi="Verdana" w:cs="Verdana"/>
          <w:sz w:val="20"/>
          <w:szCs w:val="20"/>
          <w:lang w:val="fr-FR"/>
        </w:rPr>
        <w:t>Les publicités politiques</w:t>
      </w:r>
      <w:r w:rsidR="0042051D">
        <w:rPr>
          <w:rFonts w:ascii="Verdana" w:eastAsia="Verdana" w:hAnsi="Verdana" w:cs="Verdana"/>
          <w:sz w:val="20"/>
          <w:szCs w:val="20"/>
          <w:lang w:val="fr-FR"/>
        </w:rPr>
        <w:t xml:space="preserve"> et thématiques</w:t>
      </w:r>
      <w:r w:rsidRPr="0042051D">
        <w:rPr>
          <w:rFonts w:ascii="Verdana" w:eastAsia="Verdana" w:hAnsi="Verdana" w:cs="Verdana"/>
          <w:sz w:val="20"/>
          <w:szCs w:val="20"/>
          <w:lang w:val="fr-FR"/>
        </w:rPr>
        <w:t xml:space="preserve"> devraient comporter, au minimum, les noms et adresses des auteurs</w:t>
      </w:r>
      <w:r w:rsidRPr="00286B98">
        <w:rPr>
          <w:rFonts w:ascii="Verdana" w:eastAsia="Verdana" w:hAnsi="Verdana" w:cs="Verdana"/>
          <w:sz w:val="20"/>
          <w:szCs w:val="20"/>
          <w:lang w:val="fr-FR"/>
        </w:rPr>
        <w:t xml:space="preserve"> de la campagne (c’est-à-dire </w:t>
      </w:r>
      <w:r w:rsidR="00691E15">
        <w:rPr>
          <w:rFonts w:ascii="Verdana" w:eastAsia="Verdana" w:hAnsi="Verdana" w:cs="Verdana"/>
          <w:sz w:val="20"/>
          <w:szCs w:val="20"/>
          <w:lang w:val="fr-FR"/>
        </w:rPr>
        <w:t>d</w:t>
      </w:r>
      <w:r w:rsidRPr="00286B98">
        <w:rPr>
          <w:rFonts w:ascii="Verdana" w:eastAsia="Verdana" w:hAnsi="Verdana" w:cs="Verdana"/>
          <w:sz w:val="20"/>
          <w:szCs w:val="20"/>
          <w:lang w:val="fr-FR"/>
        </w:rPr>
        <w:t>es personnes physiques ou morales responsables de l</w:t>
      </w:r>
      <w:r w:rsidR="00691E15">
        <w:rPr>
          <w:rFonts w:ascii="Verdana" w:eastAsia="Verdana" w:hAnsi="Verdana" w:cs="Verdana"/>
          <w:sz w:val="20"/>
          <w:szCs w:val="20"/>
          <w:lang w:val="fr-FR"/>
        </w:rPr>
        <w:t>a</w:t>
      </w:r>
      <w:r w:rsidRPr="00286B98">
        <w:rPr>
          <w:rFonts w:ascii="Verdana" w:eastAsia="Verdana" w:hAnsi="Verdana" w:cs="Verdana"/>
          <w:sz w:val="20"/>
          <w:szCs w:val="20"/>
          <w:lang w:val="fr-FR"/>
        </w:rPr>
        <w:t xml:space="preserve"> production</w:t>
      </w:r>
      <w:r w:rsidR="00691E15">
        <w:rPr>
          <w:rFonts w:ascii="Verdana" w:eastAsia="Verdana" w:hAnsi="Verdana" w:cs="Verdana"/>
          <w:sz w:val="20"/>
          <w:szCs w:val="20"/>
          <w:lang w:val="fr-FR"/>
        </w:rPr>
        <w:t xml:space="preserve"> des publicités</w:t>
      </w:r>
      <w:r w:rsidR="00CD3BEA">
        <w:rPr>
          <w:rFonts w:ascii="Verdana" w:eastAsia="Verdana" w:hAnsi="Verdana" w:cs="Verdana"/>
          <w:sz w:val="20"/>
          <w:szCs w:val="20"/>
          <w:lang w:val="fr-FR"/>
        </w:rPr>
        <w:t xml:space="preserve"> en question</w:t>
      </w:r>
      <w:r w:rsidRPr="00286B98">
        <w:rPr>
          <w:rFonts w:ascii="Verdana" w:eastAsia="Verdana" w:hAnsi="Verdana" w:cs="Verdana"/>
          <w:sz w:val="20"/>
          <w:szCs w:val="20"/>
          <w:lang w:val="fr-FR"/>
        </w:rPr>
        <w:t>).</w:t>
      </w:r>
    </w:p>
    <w:p w14:paraId="279B89C0" w14:textId="0AA16D3D" w:rsidR="00D21F6D" w:rsidRPr="00286B98" w:rsidRDefault="00025DE9" w:rsidP="00CB0B86">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2.3. Les États devraient s’assurer que les partis politiques et les candidats conservent des archives de toutes leurs publicités politiques, p</w:t>
      </w:r>
      <w:r w:rsidR="00CB0B86" w:rsidRPr="00286B98">
        <w:rPr>
          <w:rFonts w:ascii="Verdana" w:eastAsia="Verdana" w:hAnsi="Verdana" w:cs="Verdana"/>
          <w:sz w:val="20"/>
          <w:szCs w:val="20"/>
          <w:lang w:val="fr-FR"/>
        </w:rPr>
        <w:t xml:space="preserve">arues </w:t>
      </w:r>
      <w:r w:rsidRPr="00286B98">
        <w:rPr>
          <w:rFonts w:ascii="Verdana" w:eastAsia="Verdana" w:hAnsi="Verdana" w:cs="Verdana"/>
          <w:sz w:val="20"/>
          <w:szCs w:val="20"/>
          <w:lang w:val="fr-FR"/>
        </w:rPr>
        <w:t xml:space="preserve">en ligne et hors ligne, </w:t>
      </w:r>
      <w:r w:rsidR="00CB43A9">
        <w:rPr>
          <w:rFonts w:ascii="Verdana" w:eastAsia="Verdana" w:hAnsi="Verdana" w:cs="Verdana"/>
          <w:sz w:val="20"/>
          <w:szCs w:val="20"/>
          <w:lang w:val="fr-FR"/>
        </w:rPr>
        <w:t xml:space="preserve">assorties de </w:t>
      </w:r>
      <w:r w:rsidRPr="00286B98">
        <w:rPr>
          <w:rFonts w:ascii="Verdana" w:eastAsia="Verdana" w:hAnsi="Verdana" w:cs="Verdana"/>
          <w:sz w:val="20"/>
          <w:szCs w:val="20"/>
          <w:lang w:val="fr-FR"/>
        </w:rPr>
        <w:t xml:space="preserve">précisions sur les groupes qui ont été ciblés par des annonces individuelles, donnant ainsi sur la démographie du public cible des informations </w:t>
      </w:r>
      <w:r w:rsidR="00CB0B86" w:rsidRPr="00286B98">
        <w:rPr>
          <w:rFonts w:ascii="Verdana" w:eastAsia="Verdana" w:hAnsi="Verdana" w:cs="Verdana"/>
          <w:sz w:val="20"/>
          <w:szCs w:val="20"/>
          <w:lang w:val="fr-FR"/>
        </w:rPr>
        <w:t xml:space="preserve">d’une finesse </w:t>
      </w:r>
      <w:r w:rsidRPr="00286B98">
        <w:rPr>
          <w:rFonts w:ascii="Verdana" w:eastAsia="Verdana" w:hAnsi="Verdana" w:cs="Verdana"/>
          <w:sz w:val="20"/>
          <w:szCs w:val="20"/>
          <w:lang w:val="fr-FR"/>
        </w:rPr>
        <w:t>équivalente à celle utilisée pour acheter et diffuser les publicités.</w:t>
      </w:r>
    </w:p>
    <w:p w14:paraId="1500542F" w14:textId="327CB868" w:rsidR="00D21F6D" w:rsidRDefault="00025DE9" w:rsidP="00CB0B86">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2.4. </w:t>
      </w:r>
      <w:r w:rsidR="0042051D" w:rsidRPr="0042051D">
        <w:rPr>
          <w:rFonts w:ascii="Verdana" w:eastAsia="Verdana" w:hAnsi="Verdana"/>
          <w:sz w:val="20"/>
          <w:lang w:val="fr-FR"/>
        </w:rPr>
        <w:t xml:space="preserve">Dans un cadre de </w:t>
      </w:r>
      <w:proofErr w:type="spellStart"/>
      <w:r w:rsidR="0042051D" w:rsidRPr="0042051D">
        <w:rPr>
          <w:rFonts w:ascii="Verdana" w:eastAsia="Verdana" w:hAnsi="Verdana"/>
          <w:sz w:val="20"/>
          <w:lang w:val="fr-FR"/>
        </w:rPr>
        <w:t>corégulation</w:t>
      </w:r>
      <w:proofErr w:type="spellEnd"/>
      <w:r w:rsidR="0042051D" w:rsidRPr="0042051D">
        <w:rPr>
          <w:rFonts w:ascii="Verdana" w:eastAsia="Verdana" w:hAnsi="Verdana"/>
          <w:sz w:val="20"/>
          <w:lang w:val="fr-FR"/>
        </w:rPr>
        <w:t xml:space="preserve">, </w:t>
      </w:r>
      <w:proofErr w:type="spellStart"/>
      <w:r w:rsidR="0042051D" w:rsidRPr="0042051D">
        <w:rPr>
          <w:rFonts w:ascii="Verdana" w:eastAsia="Verdana" w:hAnsi="Verdana" w:cs="Verdana"/>
          <w:sz w:val="20"/>
          <w:szCs w:val="20"/>
          <w:lang w:val="fr-FR"/>
        </w:rPr>
        <w:t>l</w:t>
      </w:r>
      <w:r w:rsidRPr="0042051D">
        <w:rPr>
          <w:rFonts w:ascii="Verdana" w:eastAsia="Verdana" w:hAnsi="Verdana" w:cs="Verdana"/>
          <w:sz w:val="20"/>
          <w:szCs w:val="20"/>
          <w:lang w:val="fr-FR"/>
        </w:rPr>
        <w:t xml:space="preserve">es </w:t>
      </w:r>
      <w:proofErr w:type="spellEnd"/>
      <w:r w:rsidRPr="0042051D">
        <w:rPr>
          <w:rFonts w:ascii="Verdana" w:eastAsia="Verdana" w:hAnsi="Verdana" w:cs="Verdana"/>
          <w:sz w:val="20"/>
          <w:szCs w:val="20"/>
          <w:lang w:val="fr-FR"/>
        </w:rPr>
        <w:t>États devraient aussi demander aux plateformes en ligne d’établir des bibliothèques réunissant toutes les publicités politiques qu’elles ont diffusées, en précisant les groupes</w:t>
      </w:r>
      <w:r w:rsidRPr="00286B98">
        <w:rPr>
          <w:rFonts w:ascii="Verdana" w:eastAsia="Verdana" w:hAnsi="Verdana" w:cs="Verdana"/>
          <w:sz w:val="20"/>
          <w:szCs w:val="20"/>
          <w:lang w:val="fr-FR"/>
        </w:rPr>
        <w:t xml:space="preserve"> ciblés avec une </w:t>
      </w:r>
      <w:r w:rsidR="00CB0B86" w:rsidRPr="00286B98">
        <w:rPr>
          <w:rFonts w:ascii="Verdana" w:eastAsia="Verdana" w:hAnsi="Verdana" w:cs="Verdana"/>
          <w:sz w:val="20"/>
          <w:szCs w:val="20"/>
          <w:lang w:val="fr-FR"/>
        </w:rPr>
        <w:t xml:space="preserve">finesse </w:t>
      </w:r>
      <w:r w:rsidRPr="00286B98">
        <w:rPr>
          <w:rFonts w:ascii="Verdana" w:eastAsia="Verdana" w:hAnsi="Verdana" w:cs="Verdana"/>
          <w:sz w:val="20"/>
          <w:szCs w:val="20"/>
          <w:lang w:val="fr-FR"/>
        </w:rPr>
        <w:t>équivalente à celle utilisée pour l’achat des publicités.</w:t>
      </w:r>
    </w:p>
    <w:p w14:paraId="48AA42D9" w14:textId="7C2B1127" w:rsidR="00D21F6D" w:rsidRDefault="00025DE9" w:rsidP="00025DE9">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2.5. Les bibliothèques de </w:t>
      </w:r>
      <w:r w:rsidRPr="007E7D95">
        <w:rPr>
          <w:rFonts w:ascii="Verdana" w:eastAsia="Verdana" w:hAnsi="Verdana" w:cs="Verdana"/>
          <w:sz w:val="20"/>
          <w:szCs w:val="20"/>
          <w:lang w:val="fr-FR"/>
        </w:rPr>
        <w:t xml:space="preserve">publicités </w:t>
      </w:r>
      <w:r w:rsidR="001C728D" w:rsidRPr="007E7D95">
        <w:rPr>
          <w:rFonts w:ascii="Verdana" w:eastAsia="Verdana" w:hAnsi="Verdana"/>
          <w:sz w:val="20"/>
          <w:lang w:val="fr-FR"/>
        </w:rPr>
        <w:t>détenues par les</w:t>
      </w:r>
      <w:r w:rsidRPr="007E7D95">
        <w:rPr>
          <w:rFonts w:ascii="Verdana" w:eastAsia="Verdana" w:hAnsi="Verdana" w:cs="Verdana"/>
          <w:sz w:val="20"/>
          <w:szCs w:val="20"/>
          <w:lang w:val="fr-FR"/>
        </w:rPr>
        <w:t xml:space="preserve"> acteurs politiques et des plateformes en ligne devraient être tenues dans un format ouvert et lisible par machine ; elles devraient être accessibles </w:t>
      </w:r>
      <w:r w:rsidR="001C728D" w:rsidRPr="007E7D95">
        <w:rPr>
          <w:rFonts w:ascii="Verdana" w:eastAsia="Verdana" w:hAnsi="Verdana"/>
          <w:sz w:val="20"/>
          <w:lang w:val="fr-FR"/>
        </w:rPr>
        <w:t xml:space="preserve">en temps réel </w:t>
      </w:r>
      <w:r w:rsidRPr="007E7D95">
        <w:rPr>
          <w:rFonts w:ascii="Verdana" w:eastAsia="Verdana" w:hAnsi="Verdana" w:cs="Verdana"/>
          <w:sz w:val="20"/>
          <w:szCs w:val="20"/>
          <w:lang w:val="fr-FR"/>
        </w:rPr>
        <w:t xml:space="preserve">au grand public et pouvoir être examinées par les autorités </w:t>
      </w:r>
      <w:r w:rsidR="007E7D95" w:rsidRPr="007E7D95">
        <w:rPr>
          <w:rFonts w:ascii="Verdana" w:eastAsia="Verdana" w:hAnsi="Verdana"/>
          <w:sz w:val="20"/>
          <w:lang w:val="fr-FR"/>
        </w:rPr>
        <w:t>de régulation</w:t>
      </w:r>
      <w:r w:rsidRPr="007E7D95">
        <w:rPr>
          <w:rFonts w:ascii="Verdana" w:eastAsia="Verdana" w:hAnsi="Verdana" w:cs="Verdana"/>
          <w:sz w:val="20"/>
          <w:szCs w:val="20"/>
          <w:lang w:val="fr-FR"/>
        </w:rPr>
        <w:t xml:space="preserve"> indépendantes concernées, </w:t>
      </w:r>
      <w:r w:rsidR="007E7D95" w:rsidRPr="007E7D95">
        <w:rPr>
          <w:rFonts w:ascii="Verdana" w:hAnsi="Verdana"/>
          <w:sz w:val="20"/>
          <w:lang w:val="fr-FR"/>
        </w:rPr>
        <w:t>l</w:t>
      </w:r>
      <w:r w:rsidR="007E7D95" w:rsidRPr="007E7D95">
        <w:rPr>
          <w:rFonts w:ascii="Verdana" w:hAnsi="Verdana"/>
          <w:sz w:val="20"/>
          <w:lang w:val="fr-FR"/>
        </w:rPr>
        <w:t xml:space="preserve">es </w:t>
      </w:r>
      <w:r w:rsidR="007E7D95" w:rsidRPr="007E7D95">
        <w:rPr>
          <w:rFonts w:ascii="Verdana" w:eastAsia="Verdana" w:hAnsi="Verdana"/>
          <w:sz w:val="20"/>
          <w:lang w:val="fr-FR"/>
        </w:rPr>
        <w:t xml:space="preserve">conseils </w:t>
      </w:r>
      <w:r w:rsidR="007E7D95" w:rsidRPr="007E7D95">
        <w:rPr>
          <w:rFonts w:ascii="Verdana" w:hAnsi="Verdana"/>
          <w:sz w:val="20"/>
          <w:lang w:val="fr-FR"/>
        </w:rPr>
        <w:t>consultatifs indépendants</w:t>
      </w:r>
      <w:r w:rsidR="007E7D95" w:rsidRPr="007E7D95">
        <w:rPr>
          <w:rFonts w:ascii="Verdana" w:eastAsia="Verdana" w:hAnsi="Verdana"/>
          <w:sz w:val="20"/>
          <w:lang w:val="fr-FR"/>
        </w:rPr>
        <w:t>,</w:t>
      </w:r>
      <w:r w:rsidR="007E7D95" w:rsidRPr="007E7D95">
        <w:rPr>
          <w:rFonts w:ascii="Verdana" w:eastAsia="Verdana" w:hAnsi="Verdana"/>
          <w:sz w:val="20"/>
          <w:lang w:val="fr-FR"/>
        </w:rPr>
        <w:t xml:space="preserve"> </w:t>
      </w:r>
      <w:r w:rsidRPr="007E7D95">
        <w:rPr>
          <w:rFonts w:ascii="Verdana" w:eastAsia="Verdana" w:hAnsi="Verdana" w:cs="Verdana"/>
          <w:sz w:val="20"/>
          <w:szCs w:val="20"/>
          <w:lang w:val="fr-FR"/>
        </w:rPr>
        <w:t>les chercheurs et la société civile.</w:t>
      </w:r>
    </w:p>
    <w:p w14:paraId="398E9BC0" w14:textId="7B1BB009" w:rsidR="0042051D" w:rsidRPr="00813D9E" w:rsidRDefault="007E7D95" w:rsidP="00025DE9">
      <w:pPr>
        <w:pBdr>
          <w:top w:val="nil"/>
          <w:left w:val="nil"/>
          <w:bottom w:val="nil"/>
          <w:right w:val="nil"/>
          <w:between w:val="nil"/>
        </w:pBdr>
        <w:spacing w:after="160" w:line="259" w:lineRule="auto"/>
        <w:jc w:val="both"/>
        <w:rPr>
          <w:rFonts w:ascii="Verdana" w:eastAsia="Verdana" w:hAnsi="Verdana" w:cs="Verdana"/>
          <w:bCs/>
          <w:sz w:val="20"/>
          <w:szCs w:val="20"/>
          <w:lang w:val="fr-FR"/>
        </w:rPr>
      </w:pPr>
      <w:r w:rsidRPr="00813D9E">
        <w:rPr>
          <w:rFonts w:ascii="Verdana" w:eastAsia="Verdana" w:hAnsi="Verdana"/>
          <w:bCs/>
          <w:sz w:val="20"/>
          <w:lang w:val="fr-FR"/>
        </w:rPr>
        <w:t xml:space="preserve">2.6. </w:t>
      </w:r>
      <w:r w:rsidRPr="00813D9E">
        <w:rPr>
          <w:rFonts w:ascii="Verdana" w:eastAsia="Verdana" w:hAnsi="Verdana" w:cs="Verdana"/>
          <w:bCs/>
          <w:sz w:val="20"/>
          <w:szCs w:val="20"/>
          <w:lang w:val="fr-FR"/>
        </w:rPr>
        <w:t>Les bibliothèques visées aux paragraphes 2.4. et 2.5. d</w:t>
      </w:r>
      <w:r w:rsidRPr="00813D9E">
        <w:rPr>
          <w:rFonts w:ascii="Verdana" w:eastAsia="Verdana" w:hAnsi="Verdana" w:cs="Verdana"/>
          <w:bCs/>
          <w:sz w:val="20"/>
          <w:szCs w:val="20"/>
          <w:lang w:val="fr-FR"/>
        </w:rPr>
        <w:t>evraient</w:t>
      </w:r>
      <w:r w:rsidRPr="00813D9E">
        <w:rPr>
          <w:rFonts w:ascii="Verdana" w:eastAsia="Verdana" w:hAnsi="Verdana" w:cs="Verdana"/>
          <w:bCs/>
          <w:sz w:val="20"/>
          <w:szCs w:val="20"/>
          <w:lang w:val="fr-FR"/>
        </w:rPr>
        <w:t xml:space="preserve"> fonctionner dans le respect des exigences découlant de la </w:t>
      </w:r>
      <w:r w:rsidR="00813D9E" w:rsidRPr="00813D9E">
        <w:rPr>
          <w:rFonts w:ascii="Verdana" w:eastAsia="Verdana" w:hAnsi="Verdana" w:cs="Verdana"/>
          <w:sz w:val="20"/>
          <w:szCs w:val="20"/>
          <w:lang w:val="fr-FR"/>
        </w:rPr>
        <w:t xml:space="preserve">Convention pour la protection des personnes à l’égard du traitement automatisé des données à caractère personnel </w:t>
      </w:r>
      <w:r w:rsidRPr="00813D9E">
        <w:rPr>
          <w:rFonts w:ascii="Verdana" w:eastAsia="Verdana" w:hAnsi="Verdana" w:cs="Verdana"/>
          <w:bCs/>
          <w:sz w:val="20"/>
          <w:szCs w:val="20"/>
          <w:lang w:val="fr-FR"/>
        </w:rPr>
        <w:t>(STCE n° 108,</w:t>
      </w:r>
      <w:r w:rsidR="00813D9E" w:rsidRPr="00813D9E">
        <w:rPr>
          <w:rFonts w:ascii="Verdana" w:eastAsia="Verdana" w:hAnsi="Verdana" w:cs="Verdana"/>
          <w:bCs/>
          <w:sz w:val="20"/>
          <w:szCs w:val="20"/>
          <w:lang w:val="fr-FR"/>
        </w:rPr>
        <w:t xml:space="preserve"> « </w:t>
      </w:r>
      <w:r w:rsidRPr="00813D9E">
        <w:rPr>
          <w:rFonts w:ascii="Verdana" w:eastAsia="Verdana" w:hAnsi="Verdana" w:cs="Verdana"/>
          <w:bCs/>
          <w:sz w:val="20"/>
          <w:szCs w:val="20"/>
          <w:lang w:val="fr-FR"/>
        </w:rPr>
        <w:t>Convention 108</w:t>
      </w:r>
      <w:r w:rsidR="00813D9E" w:rsidRPr="00813D9E">
        <w:rPr>
          <w:rFonts w:ascii="Verdana" w:eastAsia="Verdana" w:hAnsi="Verdana" w:cs="Verdana"/>
          <w:bCs/>
          <w:sz w:val="20"/>
          <w:szCs w:val="20"/>
          <w:lang w:val="fr-FR"/>
        </w:rPr>
        <w:t> »</w:t>
      </w:r>
      <w:r w:rsidRPr="00813D9E">
        <w:rPr>
          <w:rFonts w:ascii="Verdana" w:eastAsia="Verdana" w:hAnsi="Verdana" w:cs="Verdana"/>
          <w:bCs/>
          <w:sz w:val="20"/>
          <w:szCs w:val="20"/>
          <w:lang w:val="fr-FR"/>
        </w:rPr>
        <w:t xml:space="preserve">) et de la Convention modernisée pour la protection des personnes à l'égard du traitement des données à caractère personnel (STCE n° </w:t>
      </w:r>
      <w:r w:rsidRPr="00813D9E">
        <w:rPr>
          <w:rFonts w:ascii="Verdana" w:eastAsia="Verdana" w:hAnsi="Verdana"/>
          <w:bCs/>
          <w:sz w:val="20"/>
          <w:lang w:val="fr-FR"/>
        </w:rPr>
        <w:t xml:space="preserve">223, </w:t>
      </w:r>
      <w:r w:rsidR="00813D9E" w:rsidRPr="00813D9E">
        <w:rPr>
          <w:rFonts w:ascii="Verdana" w:eastAsia="Verdana" w:hAnsi="Verdana"/>
          <w:bCs/>
          <w:sz w:val="20"/>
          <w:lang w:val="fr-FR"/>
        </w:rPr>
        <w:t>« </w:t>
      </w:r>
      <w:r w:rsidRPr="00813D9E">
        <w:rPr>
          <w:rFonts w:ascii="Verdana" w:eastAsia="Verdana" w:hAnsi="Verdana"/>
          <w:bCs/>
          <w:sz w:val="20"/>
          <w:lang w:val="fr-FR"/>
        </w:rPr>
        <w:t>Convention 108 modernisée</w:t>
      </w:r>
      <w:r w:rsidR="00813D9E" w:rsidRPr="00813D9E">
        <w:rPr>
          <w:rFonts w:ascii="Verdana" w:eastAsia="Verdana" w:hAnsi="Verdana"/>
          <w:bCs/>
          <w:sz w:val="20"/>
          <w:lang w:val="fr-FR"/>
        </w:rPr>
        <w:t> »</w:t>
      </w:r>
      <w:r w:rsidRPr="00813D9E">
        <w:rPr>
          <w:rFonts w:ascii="Verdana" w:eastAsia="Verdana" w:hAnsi="Verdana"/>
          <w:bCs/>
          <w:sz w:val="20"/>
          <w:lang w:val="fr-FR"/>
        </w:rPr>
        <w:t>).</w:t>
      </w:r>
      <w:r w:rsidRPr="00813D9E">
        <w:rPr>
          <w:rFonts w:ascii="Verdana" w:eastAsia="Verdana" w:hAnsi="Verdana" w:cs="Verdana"/>
          <w:bCs/>
          <w:sz w:val="20"/>
          <w:szCs w:val="20"/>
          <w:lang w:val="fr-FR"/>
        </w:rPr>
        <w:t xml:space="preserve"> En particulier, les données à caractère personnel d</w:t>
      </w:r>
      <w:r w:rsidR="00813D9E">
        <w:rPr>
          <w:rFonts w:ascii="Verdana" w:eastAsia="Verdana" w:hAnsi="Verdana" w:cs="Verdana"/>
          <w:bCs/>
          <w:sz w:val="20"/>
          <w:szCs w:val="20"/>
          <w:lang w:val="fr-FR"/>
        </w:rPr>
        <w:t>evrai</w:t>
      </w:r>
      <w:r w:rsidRPr="00813D9E">
        <w:rPr>
          <w:rFonts w:ascii="Verdana" w:eastAsia="Verdana" w:hAnsi="Verdana" w:cs="Verdana"/>
          <w:bCs/>
          <w:sz w:val="20"/>
          <w:szCs w:val="20"/>
          <w:lang w:val="fr-FR"/>
        </w:rPr>
        <w:t>ent être supprimées une fois que la finalité pour laquelle elles ont été traitées a été atteinte ou conservées sous une forme qui empêche toute identification directe ou indirecte des personnes concernées.</w:t>
      </w:r>
    </w:p>
    <w:p w14:paraId="646F5E3A" w14:textId="7CE217D0" w:rsidR="007E7D95" w:rsidRPr="00813D9E" w:rsidRDefault="00B21BF6" w:rsidP="00671E0C">
      <w:pPr>
        <w:pBdr>
          <w:top w:val="nil"/>
          <w:left w:val="nil"/>
          <w:bottom w:val="nil"/>
          <w:right w:val="nil"/>
          <w:between w:val="nil"/>
        </w:pBdr>
        <w:spacing w:after="160" w:line="259" w:lineRule="auto"/>
        <w:jc w:val="both"/>
        <w:rPr>
          <w:rFonts w:ascii="Verdana" w:eastAsia="Verdana" w:hAnsi="Verdana"/>
          <w:sz w:val="20"/>
          <w:lang w:val="fr-FR"/>
        </w:rPr>
      </w:pPr>
      <w:r w:rsidRPr="00286B98">
        <w:rPr>
          <w:rFonts w:ascii="Verdana" w:eastAsia="Verdana" w:hAnsi="Verdana" w:cs="Verdana"/>
          <w:sz w:val="20"/>
          <w:szCs w:val="20"/>
          <w:lang w:val="fr-FR"/>
        </w:rPr>
        <w:t>2</w:t>
      </w:r>
      <w:r w:rsidR="0070442D" w:rsidRPr="00286B98">
        <w:rPr>
          <w:rFonts w:ascii="Verdana" w:eastAsia="Verdana" w:hAnsi="Verdana" w:cs="Verdana"/>
          <w:sz w:val="20"/>
          <w:szCs w:val="20"/>
          <w:lang w:val="fr-FR"/>
        </w:rPr>
        <w:t>.</w:t>
      </w:r>
      <w:r w:rsidR="007E7D95">
        <w:rPr>
          <w:rFonts w:ascii="Verdana" w:eastAsia="Verdana" w:hAnsi="Verdana" w:cs="Verdana"/>
          <w:sz w:val="20"/>
          <w:szCs w:val="20"/>
          <w:lang w:val="fr-FR"/>
        </w:rPr>
        <w:t>7</w:t>
      </w:r>
      <w:r w:rsidR="0070442D" w:rsidRPr="00286B98">
        <w:rPr>
          <w:rFonts w:ascii="Verdana" w:eastAsia="Verdana" w:hAnsi="Verdana" w:cs="Verdana"/>
          <w:sz w:val="20"/>
          <w:szCs w:val="20"/>
          <w:lang w:val="fr-FR"/>
        </w:rPr>
        <w:t xml:space="preserve">. </w:t>
      </w:r>
      <w:r w:rsidR="00813D9E" w:rsidRPr="00813D9E">
        <w:rPr>
          <w:rFonts w:ascii="Verdana" w:eastAsia="Verdana" w:hAnsi="Verdana" w:cs="Verdana"/>
          <w:sz w:val="20"/>
          <w:szCs w:val="20"/>
          <w:lang w:val="fr-FR"/>
        </w:rPr>
        <w:t xml:space="preserve">Les </w:t>
      </w:r>
      <w:r w:rsidR="00813D9E" w:rsidRPr="00813D9E">
        <w:rPr>
          <w:rFonts w:ascii="Verdana" w:eastAsia="Verdana" w:hAnsi="Verdana"/>
          <w:sz w:val="20"/>
          <w:lang w:val="fr-FR"/>
        </w:rPr>
        <w:t xml:space="preserve">autorités de régulation indépendantes compétentes, soutenues par les conseils consultatifs indépendants, devraient </w:t>
      </w:r>
      <w:r w:rsidR="00813D9E" w:rsidRPr="00813D9E">
        <w:rPr>
          <w:rFonts w:ascii="Verdana" w:eastAsia="Verdana" w:hAnsi="Verdana" w:cs="Verdana"/>
          <w:sz w:val="20"/>
          <w:szCs w:val="20"/>
          <w:lang w:val="fr-FR"/>
        </w:rPr>
        <w:t xml:space="preserve">développer des outils pour évaluer </w:t>
      </w:r>
      <w:r w:rsidR="00813D9E" w:rsidRPr="00813D9E">
        <w:rPr>
          <w:rFonts w:ascii="Verdana" w:eastAsia="Verdana" w:hAnsi="Verdana" w:cs="Verdana"/>
          <w:sz w:val="20"/>
          <w:szCs w:val="20"/>
          <w:lang w:val="sl-SI"/>
        </w:rPr>
        <w:t>d</w:t>
      </w:r>
      <w:r w:rsidR="00813D9E" w:rsidRPr="00813D9E">
        <w:rPr>
          <w:rFonts w:ascii="Verdana" w:eastAsia="Verdana" w:hAnsi="Verdana" w:cs="Verdana"/>
          <w:sz w:val="20"/>
          <w:szCs w:val="20"/>
          <w:lang w:val="sl-SI"/>
        </w:rPr>
        <w:t xml:space="preserve"> </w:t>
      </w:r>
      <w:r w:rsidR="00813D9E" w:rsidRPr="00813D9E">
        <w:rPr>
          <w:rFonts w:ascii="Verdana" w:eastAsia="Verdana" w:hAnsi="Verdana" w:cs="Verdana"/>
          <w:sz w:val="20"/>
          <w:szCs w:val="20"/>
          <w:lang w:val="sl-SI"/>
        </w:rPr>
        <w:t xml:space="preserve">dans quelle mesure les </w:t>
      </w:r>
      <w:r w:rsidR="00813D9E" w:rsidRPr="00813D9E">
        <w:rPr>
          <w:rFonts w:ascii="Verdana" w:eastAsia="Verdana" w:hAnsi="Verdana" w:cs="Verdana"/>
          <w:sz w:val="20"/>
          <w:szCs w:val="20"/>
          <w:lang w:val="fr-FR"/>
        </w:rPr>
        <w:t xml:space="preserve">plateformes </w:t>
      </w:r>
      <w:r w:rsidR="00813D9E" w:rsidRPr="00813D9E">
        <w:rPr>
          <w:rFonts w:ascii="Verdana" w:eastAsia="Verdana" w:hAnsi="Verdana" w:cs="Verdana"/>
          <w:sz w:val="20"/>
          <w:szCs w:val="20"/>
          <w:lang w:val="sl-SI"/>
        </w:rPr>
        <w:t xml:space="preserve">parviennent à garantir que </w:t>
      </w:r>
      <w:r w:rsidR="00813D9E" w:rsidRPr="00813D9E">
        <w:rPr>
          <w:rFonts w:ascii="Verdana" w:eastAsia="Verdana" w:hAnsi="Verdana"/>
          <w:sz w:val="20"/>
          <w:lang w:val="fr-FR"/>
        </w:rPr>
        <w:t>les publicités politiques sont classées comme telles et ne passent pas inaperçues.</w:t>
      </w:r>
      <w:r w:rsidR="00813D9E" w:rsidRPr="00813D9E">
        <w:rPr>
          <w:rFonts w:ascii="Verdana" w:eastAsia="Verdana" w:hAnsi="Verdana"/>
          <w:sz w:val="20"/>
          <w:lang w:val="fr-FR"/>
        </w:rPr>
        <w:t xml:space="preserve"> </w:t>
      </w:r>
      <w:r w:rsidR="00813D9E" w:rsidRPr="00813D9E">
        <w:rPr>
          <w:rFonts w:ascii="Verdana" w:eastAsia="Verdana" w:hAnsi="Verdana"/>
          <w:sz w:val="20"/>
          <w:lang w:val="fr-FR"/>
        </w:rPr>
        <w:t xml:space="preserve">Cela inclut les publicités émanant de </w:t>
      </w:r>
      <w:r w:rsidR="00813D9E" w:rsidRPr="00813D9E">
        <w:rPr>
          <w:rFonts w:ascii="Verdana" w:eastAsia="Verdana" w:hAnsi="Verdana"/>
          <w:sz w:val="20"/>
          <w:lang w:val="fr-FR"/>
        </w:rPr>
        <w:t>soutiens</w:t>
      </w:r>
      <w:r w:rsidR="00813D9E" w:rsidRPr="00813D9E">
        <w:rPr>
          <w:rFonts w:ascii="Verdana" w:eastAsia="Verdana" w:hAnsi="Verdana"/>
          <w:sz w:val="20"/>
          <w:lang w:val="fr-FR"/>
        </w:rPr>
        <w:t xml:space="preserve"> extérieurs aux partis politiques et aux candidats</w:t>
      </w:r>
      <w:r w:rsidR="00813D9E" w:rsidRPr="00813D9E">
        <w:rPr>
          <w:rFonts w:ascii="Verdana" w:eastAsia="Verdana" w:hAnsi="Verdana"/>
          <w:sz w:val="20"/>
          <w:lang w:val="sl-SI"/>
        </w:rPr>
        <w:t xml:space="preserve">, ainsi que </w:t>
      </w:r>
      <w:r w:rsidR="00813D9E" w:rsidRPr="00813D9E">
        <w:rPr>
          <w:rFonts w:ascii="Verdana" w:eastAsia="Verdana" w:hAnsi="Verdana"/>
          <w:sz w:val="20"/>
          <w:lang w:val="sl-SI"/>
        </w:rPr>
        <w:t>le suivi</w:t>
      </w:r>
      <w:r w:rsidR="00813D9E" w:rsidRPr="00813D9E">
        <w:rPr>
          <w:rFonts w:ascii="Verdana" w:eastAsia="Verdana" w:hAnsi="Verdana"/>
          <w:sz w:val="20"/>
          <w:lang w:val="fr-FR"/>
        </w:rPr>
        <w:t xml:space="preserve"> des bots (applications logicielles qui exécutent des </w:t>
      </w:r>
      <w:r w:rsidR="00813D9E" w:rsidRPr="00813D9E">
        <w:rPr>
          <w:rFonts w:ascii="Verdana" w:hAnsi="Verdana"/>
          <w:sz w:val="20"/>
          <w:lang w:val="fr-FR"/>
        </w:rPr>
        <w:t>tâches</w:t>
      </w:r>
      <w:r w:rsidR="00813D9E" w:rsidRPr="00813D9E">
        <w:rPr>
          <w:rFonts w:ascii="Verdana" w:eastAsia="Verdana" w:hAnsi="Verdana"/>
          <w:sz w:val="20"/>
          <w:lang w:val="fr-FR"/>
        </w:rPr>
        <w:t xml:space="preserve"> automatisées</w:t>
      </w:r>
      <w:r w:rsidR="00813D9E" w:rsidRPr="00813D9E">
        <w:rPr>
          <w:rFonts w:ascii="Verdana" w:hAnsi="Verdana"/>
          <w:sz w:val="20"/>
          <w:lang w:val="fr-FR"/>
        </w:rPr>
        <w:t>) et des comportements inauthentiques coordonnés.</w:t>
      </w:r>
      <w:r w:rsidR="00813D9E" w:rsidRPr="00813D9E">
        <w:rPr>
          <w:rFonts w:ascii="Verdana" w:eastAsia="Verdana" w:hAnsi="Verdana"/>
          <w:sz w:val="20"/>
          <w:lang w:val="fr-FR"/>
        </w:rPr>
        <w:t xml:space="preserve"> </w:t>
      </w:r>
      <w:r w:rsidR="00671E0C" w:rsidRPr="00813D9E">
        <w:rPr>
          <w:rFonts w:ascii="Verdana" w:eastAsia="Verdana" w:hAnsi="Verdana" w:cs="Verdana"/>
          <w:sz w:val="20"/>
          <w:szCs w:val="20"/>
          <w:lang w:val="fr-FR"/>
        </w:rPr>
        <w:t xml:space="preserve">Afin d’élaborer des mécanismes </w:t>
      </w:r>
      <w:r w:rsidR="00813D9E" w:rsidRPr="00813D9E">
        <w:rPr>
          <w:rFonts w:ascii="Verdana" w:eastAsia="Verdana" w:hAnsi="Verdana"/>
          <w:sz w:val="20"/>
          <w:lang w:val="fr-FR"/>
        </w:rPr>
        <w:t>d'</w:t>
      </w:r>
      <w:r w:rsidR="00813D9E" w:rsidRPr="00813D9E">
        <w:rPr>
          <w:rFonts w:ascii="Verdana" w:eastAsia="Verdana" w:hAnsi="Verdana" w:cs="Verdana"/>
          <w:sz w:val="20"/>
          <w:szCs w:val="20"/>
          <w:lang w:val="fr-FR"/>
        </w:rPr>
        <w:t>évaluation</w:t>
      </w:r>
      <w:r w:rsidR="00813D9E" w:rsidRPr="00813D9E">
        <w:rPr>
          <w:rFonts w:ascii="Verdana" w:eastAsia="Verdana" w:hAnsi="Verdana" w:cs="Verdana"/>
          <w:sz w:val="20"/>
          <w:szCs w:val="20"/>
          <w:lang w:val="fr-FR"/>
        </w:rPr>
        <w:t xml:space="preserve"> </w:t>
      </w:r>
      <w:r w:rsidR="00671E0C" w:rsidRPr="00813D9E">
        <w:rPr>
          <w:rFonts w:ascii="Verdana" w:eastAsia="Verdana" w:hAnsi="Verdana" w:cs="Verdana"/>
          <w:sz w:val="20"/>
          <w:szCs w:val="20"/>
          <w:lang w:val="fr-FR"/>
        </w:rPr>
        <w:t>rapides et efficaces, de solides processus de collaboration devraient être mis en place avec les plateformes en ligne et associer des universitaires, des experts et des membres de la société civile, pour veiller à ce que le suivi</w:t>
      </w:r>
      <w:r w:rsidR="00671E0C" w:rsidRPr="00286B98">
        <w:rPr>
          <w:rFonts w:ascii="Verdana" w:eastAsia="Verdana" w:hAnsi="Verdana" w:cs="Verdana"/>
          <w:sz w:val="20"/>
          <w:szCs w:val="20"/>
          <w:lang w:val="fr-FR"/>
        </w:rPr>
        <w:t xml:space="preserve"> soit fondé sur la recherche, à la pointe du progrès et respectueux des droits de l’homme.</w:t>
      </w:r>
    </w:p>
    <w:p w14:paraId="61174DC3" w14:textId="6561E9A1" w:rsidR="002656A5" w:rsidRPr="00286B98" w:rsidRDefault="00671E0C" w:rsidP="00C549ED">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lastRenderedPageBreak/>
        <w:t>2.</w:t>
      </w:r>
      <w:r w:rsidR="007E7D95">
        <w:rPr>
          <w:rFonts w:ascii="Verdana" w:eastAsia="Verdana" w:hAnsi="Verdana" w:cs="Verdana"/>
          <w:sz w:val="20"/>
          <w:szCs w:val="20"/>
          <w:lang w:val="fr-FR"/>
        </w:rPr>
        <w:t>8</w:t>
      </w:r>
      <w:r w:rsidRPr="00286B98">
        <w:rPr>
          <w:rFonts w:ascii="Verdana" w:eastAsia="Verdana" w:hAnsi="Verdana" w:cs="Verdana"/>
          <w:sz w:val="20"/>
          <w:szCs w:val="20"/>
          <w:lang w:val="fr-FR"/>
        </w:rPr>
        <w:t xml:space="preserve">. Au moyen de mesures de </w:t>
      </w:r>
      <w:proofErr w:type="spellStart"/>
      <w:r w:rsidRPr="00286B98">
        <w:rPr>
          <w:rFonts w:ascii="Verdana" w:eastAsia="Verdana" w:hAnsi="Verdana" w:cs="Verdana"/>
          <w:sz w:val="20"/>
          <w:szCs w:val="20"/>
          <w:lang w:val="fr-FR"/>
        </w:rPr>
        <w:t>corégulation</w:t>
      </w:r>
      <w:proofErr w:type="spellEnd"/>
      <w:r w:rsidRPr="00286B98">
        <w:rPr>
          <w:rFonts w:ascii="Verdana" w:eastAsia="Verdana" w:hAnsi="Verdana" w:cs="Verdana"/>
          <w:sz w:val="20"/>
          <w:szCs w:val="20"/>
          <w:lang w:val="fr-FR"/>
        </w:rPr>
        <w:t xml:space="preserve">, les États devraient s’assurer qu’en période électorale, les plateformes </w:t>
      </w:r>
      <w:r w:rsidRPr="007E7D95">
        <w:rPr>
          <w:rFonts w:ascii="Verdana" w:eastAsia="Verdana" w:hAnsi="Verdana" w:cs="Verdana"/>
          <w:sz w:val="20"/>
          <w:szCs w:val="20"/>
          <w:lang w:val="fr-FR"/>
        </w:rPr>
        <w:t>en ligne donnent accès à des espaces de publicité politique de façon équitable et non discriminatoire et facturent à tous les mêmes prix pour les mêmes services.</w:t>
      </w:r>
      <w:r w:rsidR="0070442D" w:rsidRPr="007E7D95">
        <w:rPr>
          <w:rFonts w:ascii="Verdana" w:eastAsia="Verdana" w:hAnsi="Verdana" w:cs="Verdana"/>
          <w:sz w:val="20"/>
          <w:szCs w:val="20"/>
          <w:lang w:val="fr-FR"/>
        </w:rPr>
        <w:t xml:space="preserve"> </w:t>
      </w:r>
      <w:r w:rsidRPr="007E7D95">
        <w:rPr>
          <w:rFonts w:ascii="Verdana" w:eastAsia="Verdana" w:hAnsi="Verdana" w:cs="Verdana"/>
          <w:sz w:val="20"/>
          <w:szCs w:val="20"/>
          <w:lang w:val="fr-FR"/>
        </w:rPr>
        <w:t xml:space="preserve">Les États peuvent aussi </w:t>
      </w:r>
      <w:r w:rsidR="00C549ED" w:rsidRPr="007E7D95">
        <w:rPr>
          <w:rFonts w:ascii="Verdana" w:eastAsia="Verdana" w:hAnsi="Verdana" w:cs="Verdana"/>
          <w:sz w:val="20"/>
          <w:szCs w:val="20"/>
          <w:lang w:val="fr-FR"/>
        </w:rPr>
        <w:t xml:space="preserve">choisir </w:t>
      </w:r>
      <w:r w:rsidR="007E7D95" w:rsidRPr="007E7D95">
        <w:rPr>
          <w:rFonts w:ascii="Verdana" w:eastAsia="Verdana" w:hAnsi="Verdana" w:cs="Verdana"/>
          <w:sz w:val="20"/>
          <w:szCs w:val="20"/>
          <w:lang w:val="fr-FR"/>
        </w:rPr>
        <w:t xml:space="preserve">de </w:t>
      </w:r>
      <w:r w:rsidR="007E7D95" w:rsidRPr="007E7D95">
        <w:rPr>
          <w:rFonts w:ascii="Verdana" w:eastAsia="Verdana" w:hAnsi="Verdana" w:cs="Verdana"/>
          <w:sz w:val="20"/>
          <w:szCs w:val="20"/>
          <w:lang w:val="fr-FR"/>
        </w:rPr>
        <w:t>restreindre</w:t>
      </w:r>
      <w:r w:rsidRPr="007E7D95">
        <w:rPr>
          <w:rFonts w:ascii="Verdana" w:eastAsia="Verdana" w:hAnsi="Verdana" w:cs="Verdana"/>
          <w:sz w:val="20"/>
          <w:szCs w:val="20"/>
          <w:lang w:val="fr-FR"/>
        </w:rPr>
        <w:t xml:space="preserve"> la publicité politique en période électorale.</w:t>
      </w:r>
    </w:p>
    <w:p w14:paraId="48E6F12A" w14:textId="3E6A52DB" w:rsidR="00D21F6D" w:rsidRPr="00286B98" w:rsidRDefault="00B21BF6" w:rsidP="00205E58">
      <w:pPr>
        <w:pBdr>
          <w:top w:val="nil"/>
          <w:left w:val="nil"/>
          <w:bottom w:val="nil"/>
          <w:right w:val="nil"/>
          <w:between w:val="nil"/>
        </w:pBdr>
        <w:spacing w:after="160" w:line="259" w:lineRule="auto"/>
        <w:ind w:firstLine="720"/>
        <w:jc w:val="both"/>
        <w:rPr>
          <w:rFonts w:ascii="Verdana" w:eastAsia="Verdana" w:hAnsi="Verdana" w:cs="Verdana"/>
          <w:sz w:val="20"/>
          <w:szCs w:val="20"/>
          <w:lang w:val="fr-FR"/>
        </w:rPr>
      </w:pPr>
      <w:r w:rsidRPr="00286B98">
        <w:rPr>
          <w:rFonts w:ascii="Verdana" w:eastAsia="Verdana" w:hAnsi="Verdana" w:cs="Verdana"/>
          <w:b/>
          <w:sz w:val="20"/>
          <w:szCs w:val="20"/>
          <w:lang w:val="fr-FR"/>
        </w:rPr>
        <w:t>3</w:t>
      </w:r>
      <w:r w:rsidR="0070442D" w:rsidRPr="00286B98">
        <w:rPr>
          <w:rFonts w:ascii="Verdana" w:eastAsia="Verdana" w:hAnsi="Verdana" w:cs="Verdana"/>
          <w:b/>
          <w:sz w:val="20"/>
          <w:szCs w:val="20"/>
          <w:lang w:val="fr-FR"/>
        </w:rPr>
        <w:t xml:space="preserve">. </w:t>
      </w:r>
      <w:r w:rsidR="00205E58" w:rsidRPr="00286B98">
        <w:rPr>
          <w:rFonts w:ascii="Verdana" w:eastAsia="Verdana" w:hAnsi="Verdana" w:cs="Verdana"/>
          <w:b/>
          <w:sz w:val="20"/>
          <w:szCs w:val="20"/>
          <w:lang w:val="fr-FR"/>
        </w:rPr>
        <w:t>Limites au soutien et au financement des campagnes et aux dépenses électorales</w:t>
      </w:r>
    </w:p>
    <w:p w14:paraId="695E71B8" w14:textId="47B6F2C9" w:rsidR="00813D9E" w:rsidRPr="003A00A8" w:rsidRDefault="00205E58" w:rsidP="00205E58">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3.1. Les États devraient veiller à ce que tous les partis politiques et les candidats concourent sur un pied d’égalité, en </w:t>
      </w:r>
      <w:r w:rsidR="009B254D">
        <w:rPr>
          <w:rFonts w:ascii="Verdana" w:eastAsia="Verdana" w:hAnsi="Verdana" w:cs="Verdana"/>
          <w:sz w:val="20"/>
          <w:szCs w:val="20"/>
          <w:lang w:val="fr-FR"/>
        </w:rPr>
        <w:t xml:space="preserve">empêchant que des </w:t>
      </w:r>
      <w:r w:rsidR="009B254D" w:rsidRPr="003A00A8">
        <w:rPr>
          <w:rFonts w:ascii="Verdana" w:eastAsia="Verdana" w:hAnsi="Verdana" w:cs="Verdana"/>
          <w:sz w:val="20"/>
          <w:szCs w:val="20"/>
          <w:lang w:val="fr-FR"/>
        </w:rPr>
        <w:t xml:space="preserve">soutiens financiers n’exercent une influence indue sur </w:t>
      </w:r>
      <w:r w:rsidRPr="003A00A8">
        <w:rPr>
          <w:rFonts w:ascii="Verdana" w:eastAsia="Verdana" w:hAnsi="Verdana" w:cs="Verdana"/>
          <w:sz w:val="20"/>
          <w:szCs w:val="20"/>
          <w:lang w:val="fr-FR"/>
        </w:rPr>
        <w:t xml:space="preserve">les campagnes politiques et en </w:t>
      </w:r>
      <w:r w:rsidR="00CB43A9" w:rsidRPr="003A00A8">
        <w:rPr>
          <w:rFonts w:ascii="Verdana" w:eastAsia="Verdana" w:hAnsi="Verdana" w:cs="Verdana"/>
          <w:sz w:val="20"/>
          <w:szCs w:val="20"/>
          <w:lang w:val="fr-FR"/>
        </w:rPr>
        <w:t xml:space="preserve">exigeant </w:t>
      </w:r>
      <w:r w:rsidRPr="003A00A8">
        <w:rPr>
          <w:rFonts w:ascii="Verdana" w:eastAsia="Verdana" w:hAnsi="Verdana" w:cs="Verdana"/>
          <w:sz w:val="20"/>
          <w:szCs w:val="20"/>
          <w:lang w:val="fr-FR"/>
        </w:rPr>
        <w:t xml:space="preserve">la transparence sur les </w:t>
      </w:r>
      <w:r w:rsidR="003A00A8" w:rsidRPr="003A00A8">
        <w:rPr>
          <w:rFonts w:ascii="Verdana" w:eastAsia="Verdana" w:hAnsi="Verdana"/>
          <w:sz w:val="20"/>
          <w:lang w:val="fr-FR"/>
        </w:rPr>
        <w:t xml:space="preserve">revenus </w:t>
      </w:r>
      <w:r w:rsidR="003A00A8" w:rsidRPr="003A00A8">
        <w:rPr>
          <w:rFonts w:ascii="Verdana" w:eastAsia="Verdana" w:hAnsi="Verdana"/>
          <w:sz w:val="20"/>
          <w:lang w:val="fr-FR"/>
        </w:rPr>
        <w:t xml:space="preserve">et les </w:t>
      </w:r>
      <w:r w:rsidRPr="003A00A8">
        <w:rPr>
          <w:rFonts w:ascii="Verdana" w:eastAsia="Verdana" w:hAnsi="Verdana" w:cs="Verdana"/>
          <w:sz w:val="20"/>
          <w:szCs w:val="20"/>
          <w:lang w:val="fr-FR"/>
        </w:rPr>
        <w:t xml:space="preserve">dépenses des partis politiques, des candidats et des </w:t>
      </w:r>
      <w:r w:rsidR="003A00A8" w:rsidRPr="003A00A8">
        <w:rPr>
          <w:rFonts w:ascii="Verdana" w:eastAsia="Verdana" w:hAnsi="Verdana"/>
          <w:sz w:val="20"/>
          <w:lang w:val="fr-FR"/>
        </w:rPr>
        <w:t>autres acteurs politiques, y compris des personnes et entités agissant en leur nom, comme les organisateurs de campagnes, les sociétés de conseil ou les analystes de données et les sociétés de collecte de données.</w:t>
      </w:r>
    </w:p>
    <w:p w14:paraId="213D561C" w14:textId="7E032C29" w:rsidR="003A00A8" w:rsidRPr="003A00A8" w:rsidRDefault="00B21BF6" w:rsidP="00205E58">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3</w:t>
      </w:r>
      <w:r w:rsidR="0070442D" w:rsidRPr="00286B98">
        <w:rPr>
          <w:rFonts w:ascii="Verdana" w:eastAsia="Verdana" w:hAnsi="Verdana" w:cs="Verdana"/>
          <w:sz w:val="20"/>
          <w:szCs w:val="20"/>
          <w:lang w:val="fr-FR"/>
        </w:rPr>
        <w:t>.</w:t>
      </w:r>
      <w:r w:rsidR="00205E58" w:rsidRPr="00286B98">
        <w:rPr>
          <w:rFonts w:ascii="Verdana" w:eastAsia="Verdana" w:hAnsi="Verdana" w:cs="Verdana"/>
          <w:sz w:val="20"/>
          <w:szCs w:val="20"/>
          <w:lang w:val="fr-FR"/>
        </w:rPr>
        <w:t xml:space="preserve">2. </w:t>
      </w:r>
      <w:r w:rsidR="00205E58" w:rsidRPr="003A00A8">
        <w:rPr>
          <w:rFonts w:ascii="Verdana" w:eastAsia="Verdana" w:hAnsi="Verdana" w:cs="Verdana"/>
          <w:sz w:val="20"/>
          <w:szCs w:val="20"/>
          <w:lang w:val="fr-FR"/>
        </w:rPr>
        <w:t xml:space="preserve">Concernant les plafonds de dépenses électorales, les États devraient adapter la législation imposant des limites de dépenses aux partis politiques, aux candidats et aux </w:t>
      </w:r>
      <w:r w:rsidR="003A00A8" w:rsidRPr="003A00A8">
        <w:rPr>
          <w:rFonts w:ascii="Verdana" w:eastAsia="Verdana" w:hAnsi="Verdana" w:cs="Verdana"/>
          <w:sz w:val="20"/>
          <w:szCs w:val="20"/>
          <w:lang w:val="fr-FR"/>
        </w:rPr>
        <w:t xml:space="preserve">acteurs </w:t>
      </w:r>
      <w:r w:rsidR="003A00A8" w:rsidRPr="003A00A8">
        <w:rPr>
          <w:rFonts w:ascii="Verdana" w:eastAsia="Verdana" w:hAnsi="Verdana"/>
          <w:sz w:val="20"/>
          <w:lang w:val="fr-FR"/>
        </w:rPr>
        <w:t>politiques concernés</w:t>
      </w:r>
      <w:r w:rsidR="003A00A8" w:rsidRPr="003A00A8">
        <w:rPr>
          <w:rFonts w:ascii="Verdana" w:eastAsia="Verdana" w:hAnsi="Verdana"/>
          <w:sz w:val="20"/>
          <w:lang w:val="fr-FR"/>
        </w:rPr>
        <w:t xml:space="preserve"> </w:t>
      </w:r>
      <w:r w:rsidR="00205E58" w:rsidRPr="003A00A8">
        <w:rPr>
          <w:rFonts w:ascii="Verdana" w:eastAsia="Verdana" w:hAnsi="Verdana" w:cs="Verdana"/>
          <w:sz w:val="20"/>
          <w:szCs w:val="20"/>
          <w:lang w:val="fr-FR"/>
        </w:rPr>
        <w:t>pour qu’elle s’applique également à l’environnement en ligne, don</w:t>
      </w:r>
      <w:r w:rsidR="00CB43A9" w:rsidRPr="003A00A8">
        <w:rPr>
          <w:rFonts w:ascii="Verdana" w:eastAsia="Verdana" w:hAnsi="Verdana" w:cs="Verdana"/>
          <w:sz w:val="20"/>
          <w:szCs w:val="20"/>
          <w:lang w:val="fr-FR"/>
        </w:rPr>
        <w:t>t</w:t>
      </w:r>
      <w:r w:rsidR="00205E58" w:rsidRPr="003A00A8">
        <w:rPr>
          <w:rFonts w:ascii="Verdana" w:eastAsia="Verdana" w:hAnsi="Verdana" w:cs="Verdana"/>
          <w:sz w:val="20"/>
          <w:szCs w:val="20"/>
          <w:lang w:val="fr-FR"/>
        </w:rPr>
        <w:t xml:space="preserve"> le fonctionnement et les modèles de facturation diffèrent de ceux des campagnes traditionnelles hors ligne.</w:t>
      </w:r>
      <w:r w:rsidR="0070442D" w:rsidRPr="003A00A8">
        <w:rPr>
          <w:rFonts w:ascii="Verdana" w:eastAsia="Verdana" w:hAnsi="Verdana" w:cs="Verdana"/>
          <w:sz w:val="20"/>
          <w:szCs w:val="20"/>
          <w:lang w:val="fr-FR"/>
        </w:rPr>
        <w:t xml:space="preserve"> </w:t>
      </w:r>
    </w:p>
    <w:p w14:paraId="7D6BA175" w14:textId="3D311DE6" w:rsidR="003A00A8" w:rsidRPr="003A00A8" w:rsidRDefault="003A00A8" w:rsidP="00205E58">
      <w:pPr>
        <w:pBdr>
          <w:top w:val="nil"/>
          <w:left w:val="nil"/>
          <w:bottom w:val="nil"/>
          <w:right w:val="nil"/>
          <w:between w:val="nil"/>
        </w:pBdr>
        <w:spacing w:after="160" w:line="259" w:lineRule="auto"/>
        <w:jc w:val="both"/>
        <w:rPr>
          <w:rFonts w:ascii="Verdana" w:hAnsi="Verdana"/>
          <w:sz w:val="20"/>
          <w:lang w:val="fr-FR"/>
        </w:rPr>
      </w:pPr>
      <w:r w:rsidRPr="003A00A8">
        <w:rPr>
          <w:rFonts w:ascii="Verdana" w:eastAsia="Verdana" w:hAnsi="Verdana"/>
          <w:sz w:val="20"/>
          <w:lang w:val="fr-FR"/>
        </w:rPr>
        <w:t xml:space="preserve">3.3. Les États devraient adapter la législation relative aux seuils de dons, </w:t>
      </w:r>
      <w:r w:rsidRPr="003A00A8">
        <w:rPr>
          <w:rFonts w:ascii="Verdana" w:eastAsia="Verdana" w:hAnsi="Verdana" w:cs="Verdana"/>
          <w:sz w:val="20"/>
          <w:szCs w:val="20"/>
          <w:lang w:val="fr-FR"/>
        </w:rPr>
        <w:t>y compris les financements participatifs</w:t>
      </w:r>
      <w:r w:rsidRPr="003A00A8">
        <w:rPr>
          <w:rFonts w:ascii="Verdana" w:eastAsia="Verdana" w:hAnsi="Verdana" w:cs="Verdana"/>
          <w:sz w:val="20"/>
          <w:szCs w:val="20"/>
          <w:lang w:val="fr-FR"/>
        </w:rPr>
        <w:t>,</w:t>
      </w:r>
      <w:r w:rsidRPr="003A00A8">
        <w:rPr>
          <w:rFonts w:ascii="Verdana" w:eastAsia="Verdana" w:hAnsi="Verdana"/>
          <w:sz w:val="20"/>
          <w:lang w:val="fr-FR"/>
        </w:rPr>
        <w:t xml:space="preserve"> à l'environnement en ligne. En </w:t>
      </w:r>
      <w:r w:rsidRPr="003A00A8">
        <w:rPr>
          <w:rFonts w:ascii="Verdana" w:hAnsi="Verdana"/>
          <w:sz w:val="20"/>
          <w:lang w:val="fr-FR"/>
        </w:rPr>
        <w:t xml:space="preserve">outre, les États devraient </w:t>
      </w:r>
      <w:r w:rsidRPr="003A00A8">
        <w:rPr>
          <w:rFonts w:ascii="Verdana" w:eastAsia="Verdana" w:hAnsi="Verdana" w:cs="Verdana"/>
          <w:sz w:val="20"/>
          <w:szCs w:val="20"/>
          <w:lang w:val="fr-FR"/>
        </w:rPr>
        <w:t>les dons de l’étranger et les dépenses de campagne</w:t>
      </w:r>
      <w:r w:rsidRPr="003A00A8">
        <w:rPr>
          <w:rFonts w:ascii="Verdana" w:eastAsia="Verdana" w:hAnsi="Verdana" w:cs="Verdana"/>
          <w:sz w:val="20"/>
          <w:szCs w:val="20"/>
          <w:lang w:val="fr-FR"/>
        </w:rPr>
        <w:t xml:space="preserve"> </w:t>
      </w:r>
      <w:r w:rsidRPr="003A00A8">
        <w:rPr>
          <w:rFonts w:ascii="Verdana" w:eastAsia="Verdana" w:hAnsi="Verdana" w:cs="Verdana"/>
          <w:sz w:val="20"/>
          <w:szCs w:val="20"/>
          <w:lang w:val="fr-FR"/>
        </w:rPr>
        <w:t>réalisées hors du pays</w:t>
      </w:r>
      <w:r w:rsidRPr="003A00A8">
        <w:rPr>
          <w:rFonts w:ascii="Verdana" w:hAnsi="Verdana"/>
          <w:sz w:val="20"/>
          <w:lang w:val="fr-FR"/>
        </w:rPr>
        <w:t xml:space="preserve">. Les </w:t>
      </w:r>
      <w:r w:rsidRPr="003A00A8">
        <w:rPr>
          <w:rFonts w:ascii="Verdana" w:eastAsia="Verdana" w:hAnsi="Verdana"/>
          <w:sz w:val="20"/>
          <w:lang w:val="fr-FR"/>
        </w:rPr>
        <w:t xml:space="preserve">États devraient </w:t>
      </w:r>
      <w:r w:rsidRPr="003A00A8">
        <w:rPr>
          <w:rFonts w:ascii="Verdana" w:hAnsi="Verdana"/>
          <w:sz w:val="20"/>
          <w:lang w:val="fr-FR"/>
        </w:rPr>
        <w:t xml:space="preserve">en outre interdire les dons anonymes aux partis politiques et aux candidats. La </w:t>
      </w:r>
      <w:r w:rsidRPr="003A00A8">
        <w:rPr>
          <w:rFonts w:ascii="Verdana" w:eastAsia="Verdana" w:hAnsi="Verdana"/>
          <w:sz w:val="20"/>
          <w:lang w:val="fr-FR"/>
        </w:rPr>
        <w:t xml:space="preserve">mise en œuvre effective de ces règles devrait être garantie par les </w:t>
      </w:r>
      <w:r w:rsidRPr="003A00A8">
        <w:rPr>
          <w:rFonts w:ascii="Verdana" w:hAnsi="Verdana"/>
          <w:sz w:val="20"/>
          <w:lang w:val="fr-FR"/>
        </w:rPr>
        <w:t xml:space="preserve">autorités nationales indépendantes </w:t>
      </w:r>
      <w:r w:rsidRPr="003A00A8">
        <w:rPr>
          <w:rFonts w:ascii="Verdana" w:eastAsia="Verdana" w:hAnsi="Verdana"/>
          <w:sz w:val="20"/>
          <w:lang w:val="fr-FR"/>
        </w:rPr>
        <w:t>compétentes</w:t>
      </w:r>
      <w:r w:rsidRPr="003A00A8">
        <w:rPr>
          <w:rFonts w:ascii="Verdana" w:hAnsi="Verdana"/>
          <w:sz w:val="20"/>
          <w:lang w:val="fr-FR"/>
        </w:rPr>
        <w:t xml:space="preserve">. </w:t>
      </w:r>
    </w:p>
    <w:p w14:paraId="5D6C052D" w14:textId="1CAF218E" w:rsidR="00AA7D5B" w:rsidRPr="007E3953" w:rsidRDefault="00205E58" w:rsidP="00CB0B86">
      <w:pPr>
        <w:pBdr>
          <w:top w:val="nil"/>
          <w:left w:val="nil"/>
          <w:bottom w:val="nil"/>
          <w:right w:val="nil"/>
          <w:between w:val="nil"/>
        </w:pBdr>
        <w:spacing w:after="160" w:line="259" w:lineRule="auto"/>
        <w:jc w:val="both"/>
        <w:rPr>
          <w:rFonts w:ascii="Verdana" w:eastAsia="Verdana" w:hAnsi="Verdana" w:cs="Verdana"/>
          <w:b/>
          <w:sz w:val="20"/>
          <w:szCs w:val="20"/>
          <w:lang w:val="fr-FR"/>
        </w:rPr>
      </w:pPr>
      <w:r w:rsidRPr="00286B98">
        <w:rPr>
          <w:rFonts w:ascii="Verdana" w:eastAsia="Verdana" w:hAnsi="Verdana" w:cs="Verdana"/>
          <w:sz w:val="20"/>
          <w:szCs w:val="20"/>
          <w:lang w:val="fr-FR"/>
        </w:rPr>
        <w:t>3.</w:t>
      </w:r>
      <w:r w:rsidR="003A00A8">
        <w:rPr>
          <w:rFonts w:ascii="Verdana" w:eastAsia="Verdana" w:hAnsi="Verdana" w:cs="Verdana"/>
          <w:sz w:val="20"/>
          <w:szCs w:val="20"/>
          <w:lang w:val="fr-FR"/>
        </w:rPr>
        <w:t>4</w:t>
      </w:r>
      <w:r w:rsidRPr="00286B98">
        <w:rPr>
          <w:rFonts w:ascii="Verdana" w:eastAsia="Verdana" w:hAnsi="Verdana" w:cs="Verdana"/>
          <w:sz w:val="20"/>
          <w:szCs w:val="20"/>
          <w:lang w:val="fr-FR"/>
        </w:rPr>
        <w:t xml:space="preserve">. </w:t>
      </w:r>
      <w:r w:rsidRPr="00E226A1">
        <w:rPr>
          <w:rFonts w:ascii="Verdana" w:eastAsia="Verdana" w:hAnsi="Verdana" w:cs="Verdana"/>
          <w:sz w:val="20"/>
          <w:szCs w:val="20"/>
          <w:lang w:val="fr-FR"/>
        </w:rPr>
        <w:t xml:space="preserve">Les États devraient obliger les partis politiques, les candidats et les </w:t>
      </w:r>
      <w:r w:rsidR="003A00A8" w:rsidRPr="00E226A1">
        <w:rPr>
          <w:rFonts w:ascii="Verdana" w:hAnsi="Verdana"/>
          <w:sz w:val="20"/>
          <w:lang w:val="fr-FR"/>
        </w:rPr>
        <w:t>acteurs politiques concernés</w:t>
      </w:r>
      <w:r w:rsidRPr="00E226A1">
        <w:rPr>
          <w:rFonts w:ascii="Verdana" w:eastAsia="Verdana" w:hAnsi="Verdana" w:cs="Verdana"/>
          <w:sz w:val="20"/>
          <w:szCs w:val="20"/>
          <w:lang w:val="fr-FR"/>
        </w:rPr>
        <w:t xml:space="preserve"> </w:t>
      </w:r>
      <w:r w:rsidR="003A00A8" w:rsidRPr="00E226A1">
        <w:rPr>
          <w:rFonts w:ascii="Verdana" w:hAnsi="Verdana"/>
          <w:sz w:val="20"/>
          <w:lang w:val="fr-FR"/>
        </w:rPr>
        <w:t xml:space="preserve">de </w:t>
      </w:r>
      <w:r w:rsidR="003A00A8" w:rsidRPr="00E226A1">
        <w:rPr>
          <w:rFonts w:ascii="Verdana" w:eastAsia="Verdana" w:hAnsi="Verdana" w:cs="Verdana"/>
          <w:sz w:val="20"/>
          <w:szCs w:val="20"/>
          <w:lang w:val="fr-FR"/>
        </w:rPr>
        <w:t>divulguer aux</w:t>
      </w:r>
      <w:r w:rsidRPr="00E226A1">
        <w:rPr>
          <w:rFonts w:ascii="Verdana" w:eastAsia="Verdana" w:hAnsi="Verdana" w:cs="Verdana"/>
          <w:sz w:val="20"/>
          <w:szCs w:val="20"/>
          <w:lang w:val="fr-FR"/>
        </w:rPr>
        <w:t xml:space="preserve"> autorités nationales compétentes leurs dépenses de campagne et </w:t>
      </w:r>
      <w:r w:rsidR="003A00A8" w:rsidRPr="00E226A1">
        <w:rPr>
          <w:rFonts w:ascii="Verdana" w:eastAsia="Verdana" w:hAnsi="Verdana" w:cs="Verdana"/>
          <w:sz w:val="20"/>
          <w:szCs w:val="20"/>
          <w:lang w:val="fr-FR"/>
        </w:rPr>
        <w:t>leurs</w:t>
      </w:r>
      <w:r w:rsidRPr="00E226A1">
        <w:rPr>
          <w:rFonts w:ascii="Verdana" w:eastAsia="Verdana" w:hAnsi="Verdana" w:cs="Verdana"/>
          <w:sz w:val="20"/>
          <w:szCs w:val="20"/>
          <w:lang w:val="fr-FR"/>
        </w:rPr>
        <w:t xml:space="preserve"> contributions (en nature et financières)</w:t>
      </w:r>
      <w:r w:rsidR="003A00A8" w:rsidRPr="00E226A1">
        <w:rPr>
          <w:rFonts w:ascii="Verdana" w:eastAsia="Verdana" w:hAnsi="Verdana" w:cs="Verdana"/>
          <w:sz w:val="20"/>
          <w:szCs w:val="20"/>
          <w:lang w:val="fr-FR"/>
        </w:rPr>
        <w:t xml:space="preserve">. </w:t>
      </w:r>
      <w:r w:rsidR="003A00A8" w:rsidRPr="00E226A1">
        <w:rPr>
          <w:rFonts w:ascii="Verdana" w:hAnsi="Verdana"/>
          <w:sz w:val="20"/>
          <w:lang w:val="fr-FR"/>
        </w:rPr>
        <w:t xml:space="preserve">Les États </w:t>
      </w:r>
      <w:r w:rsidR="00E226A1" w:rsidRPr="00E226A1">
        <w:rPr>
          <w:rFonts w:ascii="Verdana" w:eastAsia="Verdana" w:hAnsi="Verdana" w:cs="Verdana"/>
          <w:sz w:val="20"/>
          <w:szCs w:val="20"/>
          <w:lang w:val="fr-FR"/>
        </w:rPr>
        <w:t>devraient garantir la mise à disposition des informations</w:t>
      </w:r>
      <w:r w:rsidR="00E226A1">
        <w:rPr>
          <w:rFonts w:ascii="Verdana" w:eastAsia="Verdana" w:hAnsi="Verdana" w:cs="Verdana"/>
          <w:sz w:val="20"/>
          <w:szCs w:val="20"/>
          <w:lang w:val="fr-FR"/>
        </w:rPr>
        <w:t xml:space="preserve"> </w:t>
      </w:r>
      <w:r w:rsidR="00E226A1" w:rsidRPr="00286B98">
        <w:rPr>
          <w:rFonts w:ascii="Verdana" w:eastAsia="Verdana" w:hAnsi="Verdana" w:cs="Verdana"/>
          <w:sz w:val="20"/>
          <w:szCs w:val="20"/>
          <w:lang w:val="fr-FR"/>
        </w:rPr>
        <w:t>sur les dons et les dépenses de campagne dans un format ouvert et lisible par machine, consultable, utilisable et partageable par tous, afin que les citoyens, les journalistes et les autres acteurs intéressés puissent accéder à ces données, les vérifier et les analyser</w:t>
      </w:r>
      <w:r w:rsidR="00E226A1">
        <w:rPr>
          <w:rFonts w:ascii="Verdana" w:eastAsia="Verdana" w:hAnsi="Verdana" w:cs="Verdana"/>
          <w:sz w:val="20"/>
          <w:szCs w:val="20"/>
          <w:lang w:val="fr-FR"/>
        </w:rPr>
        <w:t xml:space="preserve">. </w:t>
      </w:r>
      <w:r w:rsidR="00E226A1" w:rsidRPr="00286B98">
        <w:rPr>
          <w:rFonts w:ascii="Verdana" w:eastAsia="Verdana" w:hAnsi="Verdana" w:cs="Verdana"/>
          <w:sz w:val="20"/>
          <w:szCs w:val="20"/>
          <w:lang w:val="fr-FR"/>
        </w:rPr>
        <w:t xml:space="preserve">Ces données détaillées devraient couvrir les dépenses et les contributions (financières et en nature) pour chacun des aspects suivants : </w:t>
      </w:r>
      <w:r w:rsidR="00E226A1">
        <w:rPr>
          <w:rFonts w:ascii="Verdana" w:eastAsia="Verdana" w:hAnsi="Verdana" w:cs="Verdana"/>
          <w:sz w:val="20"/>
          <w:szCs w:val="20"/>
          <w:lang w:val="fr-FR"/>
        </w:rPr>
        <w:t>i</w:t>
      </w:r>
      <w:r w:rsidR="00E226A1" w:rsidRPr="00286B98">
        <w:rPr>
          <w:rFonts w:ascii="Verdana" w:eastAsia="Verdana" w:hAnsi="Verdana" w:cs="Verdana"/>
          <w:sz w:val="20"/>
          <w:szCs w:val="20"/>
          <w:lang w:val="fr-FR"/>
        </w:rPr>
        <w:t xml:space="preserve">) campagnes en ligne ; </w:t>
      </w:r>
      <w:r w:rsidR="00E226A1">
        <w:rPr>
          <w:rFonts w:ascii="Verdana" w:eastAsia="Verdana" w:hAnsi="Verdana" w:cs="Verdana"/>
          <w:sz w:val="20"/>
          <w:szCs w:val="20"/>
          <w:lang w:val="fr-FR"/>
        </w:rPr>
        <w:t>ii</w:t>
      </w:r>
      <w:r w:rsidR="00E226A1" w:rsidRPr="00286B98">
        <w:rPr>
          <w:rFonts w:ascii="Verdana" w:eastAsia="Verdana" w:hAnsi="Verdana" w:cs="Verdana"/>
          <w:sz w:val="20"/>
          <w:szCs w:val="20"/>
          <w:lang w:val="fr-FR"/>
        </w:rPr>
        <w:t xml:space="preserve">) répartition entre les différents médias et plateformes en ligne ; </w:t>
      </w:r>
      <w:r w:rsidR="00E226A1">
        <w:rPr>
          <w:rFonts w:ascii="Verdana" w:eastAsia="Verdana" w:hAnsi="Verdana" w:cs="Verdana"/>
          <w:sz w:val="20"/>
          <w:szCs w:val="20"/>
          <w:lang w:val="fr-FR"/>
        </w:rPr>
        <w:t>iii</w:t>
      </w:r>
      <w:r w:rsidR="00E226A1" w:rsidRPr="00286B98">
        <w:rPr>
          <w:rFonts w:ascii="Verdana" w:eastAsia="Verdana" w:hAnsi="Verdana" w:cs="Verdana"/>
          <w:sz w:val="20"/>
          <w:szCs w:val="20"/>
          <w:lang w:val="fr-FR"/>
        </w:rPr>
        <w:t>) publicités politiques, frais de consultants afférents, frais de bases de données et d’études de marché et sommes versées à des intermédiaires, tel</w:t>
      </w:r>
      <w:r w:rsidR="00E226A1">
        <w:rPr>
          <w:rFonts w:ascii="Verdana" w:eastAsia="Verdana" w:hAnsi="Verdana" w:cs="Verdana"/>
          <w:sz w:val="20"/>
          <w:szCs w:val="20"/>
          <w:lang w:val="fr-FR"/>
        </w:rPr>
        <w:t>s</w:t>
      </w:r>
      <w:r w:rsidR="00E226A1" w:rsidRPr="00286B98">
        <w:rPr>
          <w:rFonts w:ascii="Verdana" w:eastAsia="Verdana" w:hAnsi="Verdana" w:cs="Verdana"/>
          <w:sz w:val="20"/>
          <w:szCs w:val="20"/>
          <w:lang w:val="fr-FR"/>
        </w:rPr>
        <w:t xml:space="preserve"> que les analystes de données ou les entreprises de collecte de données, chargés d’éditer des publicités politiques en ligne pour les partis et les candidats ; </w:t>
      </w:r>
      <w:r w:rsidR="00E226A1">
        <w:rPr>
          <w:rFonts w:ascii="Verdana" w:eastAsia="Verdana" w:hAnsi="Verdana" w:cs="Verdana"/>
          <w:sz w:val="20"/>
          <w:szCs w:val="20"/>
          <w:lang w:val="fr-FR"/>
        </w:rPr>
        <w:t>iv</w:t>
      </w:r>
      <w:r w:rsidR="00E226A1" w:rsidRPr="00286B98">
        <w:rPr>
          <w:rFonts w:ascii="Verdana" w:eastAsia="Verdana" w:hAnsi="Verdana" w:cs="Verdana"/>
          <w:sz w:val="20"/>
          <w:szCs w:val="20"/>
          <w:lang w:val="fr-FR"/>
        </w:rPr>
        <w:t>) répartition par groupe cible, y compris le degré de finesse des informations démographiques utilisées pour la diffusion des publicités.</w:t>
      </w:r>
    </w:p>
    <w:p w14:paraId="60BE2E4A" w14:textId="6B80DAD5" w:rsidR="00D21F6D" w:rsidRDefault="00205E58" w:rsidP="00CB0B86">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3.5. </w:t>
      </w:r>
      <w:r w:rsidRPr="007E3953">
        <w:rPr>
          <w:rFonts w:ascii="Verdana" w:eastAsia="Verdana" w:hAnsi="Verdana" w:cs="Verdana"/>
          <w:sz w:val="20"/>
          <w:szCs w:val="20"/>
          <w:lang w:val="fr-FR"/>
        </w:rPr>
        <w:t xml:space="preserve">Les États devraient </w:t>
      </w:r>
      <w:r w:rsidR="00526035" w:rsidRPr="007E3953">
        <w:rPr>
          <w:rFonts w:ascii="Verdana" w:eastAsia="Verdana" w:hAnsi="Verdana" w:cs="Verdana"/>
          <w:sz w:val="20"/>
          <w:szCs w:val="20"/>
          <w:lang w:val="fr-FR"/>
        </w:rPr>
        <w:t xml:space="preserve">exiger, </w:t>
      </w:r>
      <w:r w:rsidR="003B3857" w:rsidRPr="007E3953">
        <w:rPr>
          <w:rFonts w:ascii="Verdana" w:eastAsia="Verdana" w:hAnsi="Verdana" w:cs="Verdana"/>
          <w:sz w:val="20"/>
          <w:szCs w:val="20"/>
          <w:lang w:val="fr-FR"/>
        </w:rPr>
        <w:t xml:space="preserve">au travers des </w:t>
      </w:r>
      <w:r w:rsidRPr="007E3953">
        <w:rPr>
          <w:rFonts w:ascii="Verdana" w:eastAsia="Verdana" w:hAnsi="Verdana" w:cs="Verdana"/>
          <w:sz w:val="20"/>
          <w:szCs w:val="20"/>
          <w:lang w:val="fr-FR"/>
        </w:rPr>
        <w:t xml:space="preserve">cadres de </w:t>
      </w:r>
      <w:proofErr w:type="spellStart"/>
      <w:r w:rsidRPr="007E3953">
        <w:rPr>
          <w:rFonts w:ascii="Verdana" w:eastAsia="Verdana" w:hAnsi="Verdana" w:cs="Verdana"/>
          <w:sz w:val="20"/>
          <w:szCs w:val="20"/>
          <w:lang w:val="fr-FR"/>
        </w:rPr>
        <w:t>corégulation</w:t>
      </w:r>
      <w:proofErr w:type="spellEnd"/>
      <w:r w:rsidRPr="007E3953">
        <w:rPr>
          <w:rFonts w:ascii="Verdana" w:eastAsia="Verdana" w:hAnsi="Verdana" w:cs="Verdana"/>
          <w:sz w:val="20"/>
          <w:szCs w:val="20"/>
          <w:lang w:val="fr-FR"/>
        </w:rPr>
        <w:t>, la plus grande transparence sur les dépenses électorales, y compris de la part des plateformes en ligne.</w:t>
      </w:r>
      <w:r w:rsidR="0070442D" w:rsidRPr="007E3953">
        <w:rPr>
          <w:rFonts w:ascii="Verdana" w:eastAsia="Verdana" w:hAnsi="Verdana" w:cs="Verdana"/>
          <w:sz w:val="20"/>
          <w:szCs w:val="20"/>
          <w:lang w:val="fr-FR"/>
        </w:rPr>
        <w:t xml:space="preserve"> </w:t>
      </w:r>
      <w:r w:rsidR="00526035" w:rsidRPr="007E3953">
        <w:rPr>
          <w:rFonts w:ascii="Verdana" w:eastAsia="Verdana" w:hAnsi="Verdana" w:cs="Verdana"/>
          <w:sz w:val="20"/>
          <w:szCs w:val="20"/>
          <w:lang w:val="fr-FR"/>
        </w:rPr>
        <w:t xml:space="preserve">Les plateformes en ligne devraient fournir des données détaillées aux </w:t>
      </w:r>
      <w:r w:rsidR="007E3953" w:rsidRPr="007E3953">
        <w:rPr>
          <w:rFonts w:ascii="Verdana" w:hAnsi="Verdana"/>
          <w:sz w:val="20"/>
          <w:lang w:val="fr-FR"/>
        </w:rPr>
        <w:t>autorités indépendantes compétentes et les rendre accessibles à l'examen des conseils consultatifs indépendants et du grand public</w:t>
      </w:r>
      <w:r w:rsidR="00526035" w:rsidRPr="007E3953">
        <w:rPr>
          <w:rFonts w:ascii="Verdana" w:eastAsia="Verdana" w:hAnsi="Verdana" w:cs="Verdana"/>
          <w:sz w:val="20"/>
          <w:szCs w:val="20"/>
          <w:lang w:val="fr-FR"/>
        </w:rPr>
        <w:t xml:space="preserve"> dans un format ouvert, en précisant les dépenses ventilées par groupe cible des partis politiques, des candidats et </w:t>
      </w:r>
      <w:r w:rsidR="007E3953" w:rsidRPr="007E3953">
        <w:rPr>
          <w:rFonts w:ascii="Verdana" w:hAnsi="Verdana"/>
          <w:sz w:val="20"/>
          <w:lang w:val="fr-FR"/>
        </w:rPr>
        <w:t>des acteurs politiques pertinents</w:t>
      </w:r>
      <w:r w:rsidR="007E3953" w:rsidRPr="007E3953">
        <w:rPr>
          <w:rFonts w:ascii="Verdana" w:hAnsi="Verdana"/>
          <w:sz w:val="20"/>
          <w:lang w:val="fr-FR"/>
        </w:rPr>
        <w:t xml:space="preserve">. </w:t>
      </w:r>
      <w:r w:rsidR="007E3953" w:rsidRPr="007E3953">
        <w:rPr>
          <w:rFonts w:ascii="Verdana" w:hAnsi="Verdana"/>
          <w:sz w:val="20"/>
          <w:lang w:val="fr-FR"/>
        </w:rPr>
        <w:t>Ces données devraient être</w:t>
      </w:r>
      <w:r w:rsidR="007E3953" w:rsidRPr="007E3953">
        <w:rPr>
          <w:rFonts w:ascii="Verdana" w:eastAsia="Verdana" w:hAnsi="Verdana" w:cs="Verdana"/>
          <w:sz w:val="20"/>
          <w:szCs w:val="20"/>
          <w:lang w:val="fr-FR"/>
        </w:rPr>
        <w:t xml:space="preserve"> accompagnées </w:t>
      </w:r>
      <w:r w:rsidR="00526035" w:rsidRPr="007E3953">
        <w:rPr>
          <w:rFonts w:ascii="Verdana" w:eastAsia="Verdana" w:hAnsi="Verdana" w:cs="Verdana"/>
          <w:sz w:val="20"/>
          <w:szCs w:val="20"/>
          <w:lang w:val="fr-FR"/>
        </w:rPr>
        <w:t>d</w:t>
      </w:r>
      <w:r w:rsidR="00CB0B86" w:rsidRPr="007E3953">
        <w:rPr>
          <w:rFonts w:ascii="Verdana" w:eastAsia="Verdana" w:hAnsi="Verdana" w:cs="Verdana"/>
          <w:sz w:val="20"/>
          <w:szCs w:val="20"/>
          <w:lang w:val="fr-FR"/>
        </w:rPr>
        <w:t xml:space="preserve">’informations </w:t>
      </w:r>
      <w:r w:rsidR="00526035" w:rsidRPr="007E3953">
        <w:rPr>
          <w:rFonts w:ascii="Verdana" w:eastAsia="Verdana" w:hAnsi="Verdana" w:cs="Verdana"/>
          <w:sz w:val="20"/>
          <w:szCs w:val="20"/>
          <w:lang w:val="fr-FR"/>
        </w:rPr>
        <w:t xml:space="preserve">démographiques </w:t>
      </w:r>
      <w:r w:rsidR="00CB0B86" w:rsidRPr="007E3953">
        <w:rPr>
          <w:rFonts w:ascii="Verdana" w:eastAsia="Verdana" w:hAnsi="Verdana" w:cs="Verdana"/>
          <w:sz w:val="20"/>
          <w:szCs w:val="20"/>
          <w:lang w:val="fr-FR"/>
        </w:rPr>
        <w:t xml:space="preserve">de la même finesse que celle </w:t>
      </w:r>
      <w:r w:rsidR="00526035" w:rsidRPr="007E3953">
        <w:rPr>
          <w:rFonts w:ascii="Verdana" w:eastAsia="Verdana" w:hAnsi="Verdana" w:cs="Verdana"/>
          <w:sz w:val="20"/>
          <w:szCs w:val="20"/>
          <w:lang w:val="fr-FR"/>
        </w:rPr>
        <w:t>utilisé</w:t>
      </w:r>
      <w:r w:rsidR="00CB0B86" w:rsidRPr="007E3953">
        <w:rPr>
          <w:rFonts w:ascii="Verdana" w:eastAsia="Verdana" w:hAnsi="Verdana" w:cs="Verdana"/>
          <w:sz w:val="20"/>
          <w:szCs w:val="20"/>
          <w:lang w:val="fr-FR"/>
        </w:rPr>
        <w:t>e</w:t>
      </w:r>
      <w:r w:rsidR="00526035" w:rsidRPr="007E3953">
        <w:rPr>
          <w:rFonts w:ascii="Verdana" w:eastAsia="Verdana" w:hAnsi="Verdana" w:cs="Verdana"/>
          <w:sz w:val="20"/>
          <w:szCs w:val="20"/>
          <w:lang w:val="fr-FR"/>
        </w:rPr>
        <w:t xml:space="preserve"> pour diffuser les publicités.</w:t>
      </w:r>
    </w:p>
    <w:p w14:paraId="22B14CB1" w14:textId="2461A0C4" w:rsidR="007E3953" w:rsidRPr="007E3953" w:rsidRDefault="007E3953" w:rsidP="00CB0B86">
      <w:pPr>
        <w:pBdr>
          <w:top w:val="nil"/>
          <w:left w:val="nil"/>
          <w:bottom w:val="nil"/>
          <w:right w:val="nil"/>
          <w:between w:val="nil"/>
        </w:pBdr>
        <w:spacing w:after="160" w:line="259" w:lineRule="auto"/>
        <w:jc w:val="both"/>
        <w:rPr>
          <w:rFonts w:ascii="Verdana" w:eastAsia="Verdana" w:hAnsi="Verdana" w:cs="Verdana"/>
          <w:bCs/>
          <w:sz w:val="20"/>
          <w:szCs w:val="20"/>
          <w:lang w:val="fr-FR"/>
        </w:rPr>
      </w:pPr>
      <w:r w:rsidRPr="007E3953">
        <w:rPr>
          <w:rFonts w:ascii="Verdana" w:eastAsia="Verdana" w:hAnsi="Verdana"/>
          <w:bCs/>
          <w:sz w:val="20"/>
          <w:lang w:val="fr-FR"/>
        </w:rPr>
        <w:t>3.</w:t>
      </w:r>
      <w:r w:rsidRPr="007E3953">
        <w:rPr>
          <w:rFonts w:ascii="Verdana" w:eastAsia="Verdana" w:hAnsi="Verdana" w:cs="Verdana"/>
          <w:bCs/>
          <w:sz w:val="20"/>
          <w:szCs w:val="20"/>
          <w:lang w:val="fr-FR"/>
        </w:rPr>
        <w:t xml:space="preserve">6. Lors de l'élaboration de leurs cadres de transparence des dépenses et des contributions aux campagnes électorales, comme indiqué aux paragraphes 3.4. et 3.5., </w:t>
      </w:r>
      <w:r w:rsidRPr="007E3953">
        <w:rPr>
          <w:rFonts w:ascii="Verdana" w:eastAsia="Verdana" w:hAnsi="Verdana" w:cs="Verdana"/>
          <w:bCs/>
          <w:sz w:val="20"/>
          <w:szCs w:val="20"/>
          <w:lang w:val="fr-FR"/>
        </w:rPr>
        <w:lastRenderedPageBreak/>
        <w:t xml:space="preserve">les États devraient prévoir des garanties appropriées pour le traitement des données à caractère personnel, en considérant notamment que les données relatives aux opinions politiques relèvent de catégories spéciales de données au sens de la Convention 108 modernisée, qui, en raison de leur nature sensible, ne devraient être traitées que lorsque des garanties complémentaires sont prévues par la loi pour protéger les personnes concernées des risques que le traitement de ces données sensibles peut présenter pour leurs droits et intérêts. </w:t>
      </w:r>
    </w:p>
    <w:p w14:paraId="7B02BD6C" w14:textId="088D154D" w:rsidR="00D21F6D" w:rsidRPr="00286B98" w:rsidRDefault="00526035" w:rsidP="00526035">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3.</w:t>
      </w:r>
      <w:r w:rsidR="007E3953">
        <w:rPr>
          <w:rFonts w:ascii="Verdana" w:eastAsia="Verdana" w:hAnsi="Verdana" w:cs="Verdana"/>
          <w:sz w:val="20"/>
          <w:szCs w:val="20"/>
          <w:lang w:val="fr-FR"/>
        </w:rPr>
        <w:t>7</w:t>
      </w:r>
      <w:r w:rsidRPr="00286B98">
        <w:rPr>
          <w:rFonts w:ascii="Verdana" w:eastAsia="Verdana" w:hAnsi="Verdana" w:cs="Verdana"/>
          <w:sz w:val="20"/>
          <w:szCs w:val="20"/>
          <w:lang w:val="fr-FR"/>
        </w:rPr>
        <w:t xml:space="preserve">. Les États devraient assurer aux </w:t>
      </w:r>
      <w:r w:rsidRPr="007E3953">
        <w:rPr>
          <w:rFonts w:ascii="Verdana" w:eastAsia="Verdana" w:hAnsi="Verdana" w:cs="Verdana"/>
          <w:sz w:val="20"/>
          <w:szCs w:val="20"/>
          <w:lang w:val="fr-FR"/>
        </w:rPr>
        <w:t xml:space="preserve">autorités </w:t>
      </w:r>
      <w:r w:rsidR="007E3953" w:rsidRPr="007E3953">
        <w:rPr>
          <w:rFonts w:ascii="Verdana" w:eastAsia="Verdana" w:hAnsi="Verdana"/>
          <w:sz w:val="20"/>
          <w:lang w:val="fr-FR"/>
        </w:rPr>
        <w:t>indépendantes compétentes</w:t>
      </w:r>
      <w:r w:rsidRPr="007E3953">
        <w:rPr>
          <w:rFonts w:ascii="Verdana" w:eastAsia="Verdana" w:hAnsi="Verdana" w:cs="Verdana"/>
          <w:sz w:val="20"/>
          <w:szCs w:val="20"/>
          <w:lang w:val="fr-FR"/>
        </w:rPr>
        <w:t xml:space="preserve"> les conditions nécessaires pour qu’ils renforcent leur suivi des dépenses électorales et l’adaptent aux campagnes en ligne, en veillant à ce que ces entités</w:t>
      </w:r>
      <w:r w:rsidRPr="00286B98">
        <w:rPr>
          <w:rFonts w:ascii="Verdana" w:eastAsia="Verdana" w:hAnsi="Verdana" w:cs="Verdana"/>
          <w:sz w:val="20"/>
          <w:szCs w:val="20"/>
          <w:lang w:val="fr-FR"/>
        </w:rPr>
        <w:t> :</w:t>
      </w:r>
    </w:p>
    <w:p w14:paraId="3329D1B2" w14:textId="28604A8E" w:rsidR="00D21F6D" w:rsidRPr="00286B98" w:rsidRDefault="00526035" w:rsidP="00526035">
      <w:pPr>
        <w:numPr>
          <w:ilvl w:val="0"/>
          <w:numId w:val="2"/>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puissent</w:t>
      </w:r>
      <w:proofErr w:type="gramEnd"/>
      <w:r w:rsidRPr="00286B98">
        <w:rPr>
          <w:rFonts w:ascii="Verdana" w:eastAsia="Verdana" w:hAnsi="Verdana" w:cs="Verdana"/>
          <w:sz w:val="20"/>
          <w:szCs w:val="20"/>
          <w:lang w:val="fr-FR"/>
        </w:rPr>
        <w:t xml:space="preserve"> demander aux plateformes en ligne, aux partis politiques et aux candidats des informations sur les dépenses de publicité politique numérique et les contraindre à répondre, y compris en imposant des </w:t>
      </w:r>
      <w:r w:rsidR="007E3953" w:rsidRPr="007E3953">
        <w:rPr>
          <w:rFonts w:ascii="Verdana" w:eastAsia="Verdana" w:hAnsi="Verdana" w:cs="Verdana"/>
          <w:sz w:val="20"/>
          <w:szCs w:val="20"/>
          <w:lang w:val="fr-FR"/>
        </w:rPr>
        <w:t>sanctions adéquates</w:t>
      </w:r>
      <w:r w:rsidRPr="00286B98">
        <w:rPr>
          <w:rFonts w:ascii="Verdana" w:eastAsia="Verdana" w:hAnsi="Verdana" w:cs="Verdana"/>
          <w:sz w:val="20"/>
          <w:szCs w:val="20"/>
          <w:lang w:val="fr-FR"/>
        </w:rPr>
        <w:t xml:space="preserve"> en cas de non-conformité ;</w:t>
      </w:r>
    </w:p>
    <w:p w14:paraId="665E5E12" w14:textId="5E59D8F3" w:rsidR="00D21F6D" w:rsidRPr="00286B98" w:rsidRDefault="00526035" w:rsidP="00526035">
      <w:pPr>
        <w:numPr>
          <w:ilvl w:val="0"/>
          <w:numId w:val="2"/>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disposent</w:t>
      </w:r>
      <w:proofErr w:type="gramEnd"/>
      <w:r w:rsidRPr="00286B98">
        <w:rPr>
          <w:rFonts w:ascii="Verdana" w:eastAsia="Verdana" w:hAnsi="Verdana" w:cs="Verdana"/>
          <w:sz w:val="20"/>
          <w:szCs w:val="20"/>
          <w:lang w:val="fr-FR"/>
        </w:rPr>
        <w:t xml:space="preserve"> des financements, des ressources et des capacités d’analyse nécessaires pour surveiller les dépenses de campagne, en particulier en ligne, à l’aide de méthodes à jour ;</w:t>
      </w:r>
    </w:p>
    <w:p w14:paraId="4D4BD286" w14:textId="4A826296" w:rsidR="00D21F6D" w:rsidRPr="00286B98" w:rsidRDefault="00526035" w:rsidP="00526035">
      <w:pPr>
        <w:numPr>
          <w:ilvl w:val="0"/>
          <w:numId w:val="2"/>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revoient</w:t>
      </w:r>
      <w:proofErr w:type="gramEnd"/>
      <w:r w:rsidRPr="00286B98">
        <w:rPr>
          <w:rFonts w:ascii="Verdana" w:eastAsia="Verdana" w:hAnsi="Verdana" w:cs="Verdana"/>
          <w:sz w:val="20"/>
          <w:szCs w:val="20"/>
          <w:lang w:val="fr-FR"/>
        </w:rPr>
        <w:t xml:space="preserve"> les catégories actuelles de dépenses et les méthodes de calcul des limites des dons et des dépenses politiques pour les adapter à l’environnement en ligne ;</w:t>
      </w:r>
    </w:p>
    <w:p w14:paraId="5C8A2257" w14:textId="09DFC48E" w:rsidR="00813D9E" w:rsidRPr="007E3953" w:rsidRDefault="00526035" w:rsidP="007E3953">
      <w:pPr>
        <w:numPr>
          <w:ilvl w:val="0"/>
          <w:numId w:val="2"/>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286B98">
        <w:rPr>
          <w:rFonts w:ascii="Verdana" w:eastAsia="Verdana" w:hAnsi="Verdana" w:cs="Verdana"/>
          <w:sz w:val="20"/>
          <w:szCs w:val="20"/>
          <w:lang w:val="fr-FR"/>
        </w:rPr>
        <w:t>examinent</w:t>
      </w:r>
      <w:proofErr w:type="gramEnd"/>
      <w:r w:rsidRPr="00286B98">
        <w:rPr>
          <w:rFonts w:ascii="Verdana" w:eastAsia="Verdana" w:hAnsi="Verdana" w:cs="Verdana"/>
          <w:sz w:val="20"/>
          <w:szCs w:val="20"/>
          <w:lang w:val="fr-FR"/>
        </w:rPr>
        <w:t xml:space="preserve"> l’efficacité des quotas, limites et catégories d’informations à transmettre actuellement appliqués aux dépenses électorales eu égard à l</w:t>
      </w:r>
      <w:r w:rsidR="00CB43A9">
        <w:rPr>
          <w:rFonts w:ascii="Verdana" w:eastAsia="Verdana" w:hAnsi="Verdana" w:cs="Verdana"/>
          <w:sz w:val="20"/>
          <w:szCs w:val="20"/>
          <w:lang w:val="fr-FR"/>
        </w:rPr>
        <w:t xml:space="preserve">’essor </w:t>
      </w:r>
      <w:r w:rsidRPr="00286B98">
        <w:rPr>
          <w:rFonts w:ascii="Verdana" w:eastAsia="Verdana" w:hAnsi="Verdana" w:cs="Verdana"/>
          <w:sz w:val="20"/>
          <w:szCs w:val="20"/>
          <w:lang w:val="fr-FR"/>
        </w:rPr>
        <w:t xml:space="preserve">de la publicité </w:t>
      </w:r>
      <w:r w:rsidRPr="007E3953">
        <w:rPr>
          <w:rFonts w:ascii="Verdana" w:eastAsia="Verdana" w:hAnsi="Verdana" w:cs="Verdana"/>
          <w:sz w:val="20"/>
          <w:szCs w:val="20"/>
          <w:lang w:val="fr-FR"/>
        </w:rPr>
        <w:t>politique en ligne</w:t>
      </w:r>
      <w:r w:rsidR="007E3953" w:rsidRPr="007E3953">
        <w:rPr>
          <w:rFonts w:ascii="Verdana" w:eastAsia="Verdana" w:hAnsi="Verdana" w:cs="Verdana"/>
          <w:sz w:val="20"/>
          <w:szCs w:val="20"/>
          <w:lang w:val="fr-FR"/>
        </w:rPr>
        <w:t> ;</w:t>
      </w:r>
    </w:p>
    <w:p w14:paraId="110FE467" w14:textId="77777777" w:rsidR="00813D9E" w:rsidRPr="007E3953" w:rsidRDefault="00813D9E" w:rsidP="00813D9E">
      <w:pPr>
        <w:numPr>
          <w:ilvl w:val="0"/>
          <w:numId w:val="17"/>
        </w:numPr>
        <w:pBdr>
          <w:top w:val="nil"/>
          <w:left w:val="nil"/>
          <w:bottom w:val="nil"/>
          <w:right w:val="nil"/>
          <w:between w:val="nil"/>
        </w:pBdr>
        <w:spacing w:line="259" w:lineRule="auto"/>
        <w:jc w:val="both"/>
        <w:rPr>
          <w:rFonts w:ascii="Verdana" w:hAnsi="Verdana"/>
          <w:sz w:val="20"/>
          <w:lang w:val="fr-FR"/>
        </w:rPr>
      </w:pPr>
      <w:proofErr w:type="gramStart"/>
      <w:r w:rsidRPr="007E3953">
        <w:rPr>
          <w:rFonts w:ascii="Verdana" w:eastAsia="Verdana" w:hAnsi="Verdana"/>
          <w:sz w:val="20"/>
          <w:lang w:val="fr-FR"/>
        </w:rPr>
        <w:t>examiner</w:t>
      </w:r>
      <w:proofErr w:type="gramEnd"/>
      <w:r w:rsidRPr="007E3953">
        <w:rPr>
          <w:rFonts w:ascii="Verdana" w:eastAsia="Verdana" w:hAnsi="Verdana"/>
          <w:sz w:val="20"/>
          <w:lang w:val="fr-FR"/>
        </w:rPr>
        <w:t xml:space="preserve"> le développement de nouvelles méthodes de financement, telles que les crypto-monnaies, qu'il est difficile de relier à des organisations, personnes et/ou États spécifiques, mais qui sont de plus en plus utilisées pour la collecte de fonds/dons par les acteurs politiques en Europe. </w:t>
      </w:r>
    </w:p>
    <w:p w14:paraId="4F24A043" w14:textId="77777777" w:rsidR="00813D9E" w:rsidRPr="00286B98" w:rsidRDefault="00813D9E" w:rsidP="00302026">
      <w:pPr>
        <w:pBdr>
          <w:top w:val="nil"/>
          <w:left w:val="nil"/>
          <w:bottom w:val="nil"/>
          <w:right w:val="nil"/>
          <w:between w:val="nil"/>
        </w:pBdr>
        <w:spacing w:after="160" w:line="259" w:lineRule="auto"/>
        <w:jc w:val="both"/>
        <w:rPr>
          <w:rFonts w:ascii="Verdana" w:eastAsia="Verdana" w:hAnsi="Verdana" w:cs="Verdana"/>
          <w:sz w:val="20"/>
          <w:szCs w:val="20"/>
          <w:lang w:val="fr-FR"/>
        </w:rPr>
      </w:pPr>
    </w:p>
    <w:p w14:paraId="12484774" w14:textId="1EBF7F9D" w:rsidR="00D21F6D" w:rsidRPr="0001528E" w:rsidRDefault="00B21BF6" w:rsidP="0001528E">
      <w:pPr>
        <w:pBdr>
          <w:top w:val="nil"/>
          <w:left w:val="nil"/>
          <w:bottom w:val="nil"/>
          <w:right w:val="nil"/>
          <w:between w:val="nil"/>
        </w:pBdr>
        <w:spacing w:after="160" w:line="259" w:lineRule="auto"/>
        <w:ind w:firstLine="720"/>
        <w:jc w:val="both"/>
        <w:rPr>
          <w:rFonts w:ascii="Verdana" w:eastAsia="Verdana" w:hAnsi="Verdana"/>
          <w:b/>
          <w:strike/>
          <w:sz w:val="20"/>
          <w:highlight w:val="yellow"/>
          <w:lang w:val="fr-FR"/>
        </w:rPr>
      </w:pPr>
      <w:r w:rsidRPr="00286B98">
        <w:rPr>
          <w:rFonts w:ascii="Verdana" w:eastAsia="Verdana" w:hAnsi="Verdana" w:cs="Verdana"/>
          <w:b/>
          <w:sz w:val="20"/>
          <w:szCs w:val="20"/>
          <w:lang w:val="fr-FR"/>
        </w:rPr>
        <w:t>4</w:t>
      </w:r>
      <w:r w:rsidR="0070442D" w:rsidRPr="00286B98">
        <w:rPr>
          <w:rFonts w:ascii="Verdana" w:eastAsia="Verdana" w:hAnsi="Verdana" w:cs="Verdana"/>
          <w:b/>
          <w:sz w:val="20"/>
          <w:szCs w:val="20"/>
          <w:lang w:val="fr-FR"/>
        </w:rPr>
        <w:t xml:space="preserve">. </w:t>
      </w:r>
      <w:r w:rsidR="0001528E" w:rsidRPr="0001528E">
        <w:rPr>
          <w:rFonts w:ascii="Verdana" w:eastAsia="Verdana" w:hAnsi="Verdana"/>
          <w:b/>
          <w:sz w:val="20"/>
          <w:lang w:val="fr-FR"/>
        </w:rPr>
        <w:t xml:space="preserve">Transparence, responsabilité et </w:t>
      </w:r>
      <w:proofErr w:type="spellStart"/>
      <w:r w:rsidR="0001528E" w:rsidRPr="0001528E">
        <w:rPr>
          <w:rFonts w:ascii="Verdana" w:eastAsia="Verdana" w:hAnsi="Verdana"/>
          <w:b/>
          <w:sz w:val="20"/>
          <w:lang w:val="fr-FR"/>
        </w:rPr>
        <w:t>explicabilité</w:t>
      </w:r>
      <w:proofErr w:type="spellEnd"/>
      <w:r w:rsidR="0001528E" w:rsidRPr="0001528E">
        <w:rPr>
          <w:rFonts w:ascii="Verdana" w:eastAsia="Verdana" w:hAnsi="Verdana"/>
          <w:b/>
          <w:sz w:val="20"/>
          <w:lang w:val="fr-FR"/>
        </w:rPr>
        <w:t xml:space="preserve"> des </w:t>
      </w:r>
      <w:r w:rsidR="0001528E" w:rsidRPr="0001528E">
        <w:rPr>
          <w:rFonts w:ascii="Verdana" w:eastAsia="Verdana" w:hAnsi="Verdana" w:cs="Verdana"/>
          <w:b/>
          <w:sz w:val="20"/>
          <w:szCs w:val="20"/>
          <w:lang w:val="fr-FR"/>
        </w:rPr>
        <w:t>systèmes algorithmiques</w:t>
      </w:r>
    </w:p>
    <w:p w14:paraId="7ADD7D09" w14:textId="78F92D8F" w:rsidR="0001528E" w:rsidRPr="00286B98" w:rsidRDefault="00302026" w:rsidP="00302026">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4.</w:t>
      </w:r>
      <w:r w:rsidR="0001528E">
        <w:rPr>
          <w:rFonts w:ascii="Verdana" w:eastAsia="Verdana" w:hAnsi="Verdana" w:cs="Verdana"/>
          <w:sz w:val="20"/>
          <w:szCs w:val="20"/>
          <w:lang w:val="fr-FR"/>
        </w:rPr>
        <w:t>1</w:t>
      </w:r>
      <w:r w:rsidRPr="00286B98">
        <w:rPr>
          <w:rFonts w:ascii="Verdana" w:eastAsia="Verdana" w:hAnsi="Verdana" w:cs="Verdana"/>
          <w:sz w:val="20"/>
          <w:szCs w:val="20"/>
          <w:lang w:val="fr-FR"/>
        </w:rPr>
        <w:t>. Étant donné le contexte actuel, marqué par la surabondance d’informations, la difficulté à retenir l’attention et la polarisation du débat public, et conformément à la Recommandation CM/Rec(</w:t>
      </w:r>
      <w:r w:rsidRPr="0001528E">
        <w:rPr>
          <w:rFonts w:ascii="Verdana" w:eastAsia="Verdana" w:hAnsi="Verdana" w:cs="Verdana"/>
          <w:sz w:val="20"/>
          <w:szCs w:val="20"/>
          <w:lang w:val="fr-FR"/>
        </w:rPr>
        <w:t xml:space="preserve">2018)2 du Comité des Ministres aux États membres sur les rôles et les responsabilités des intermédiaires d’internet, les États devraient élaborer des politiques de </w:t>
      </w:r>
      <w:proofErr w:type="spellStart"/>
      <w:r w:rsidRPr="0001528E">
        <w:rPr>
          <w:rFonts w:ascii="Verdana" w:eastAsia="Verdana" w:hAnsi="Verdana" w:cs="Verdana"/>
          <w:sz w:val="20"/>
          <w:szCs w:val="20"/>
          <w:lang w:val="fr-FR"/>
        </w:rPr>
        <w:t>corégulation</w:t>
      </w:r>
      <w:proofErr w:type="spellEnd"/>
      <w:r w:rsidRPr="0001528E">
        <w:rPr>
          <w:rFonts w:ascii="Verdana" w:eastAsia="Verdana" w:hAnsi="Verdana" w:cs="Verdana"/>
          <w:sz w:val="20"/>
          <w:szCs w:val="20"/>
          <w:lang w:val="fr-FR"/>
        </w:rPr>
        <w:t xml:space="preserve"> couvrant les systèmes algorithmiques qui régissent la diffusion des contenus en ligne et</w:t>
      </w:r>
      <w:r w:rsidR="0001528E" w:rsidRPr="0001528E">
        <w:rPr>
          <w:rFonts w:ascii="Verdana" w:eastAsia="Verdana" w:hAnsi="Verdana" w:cs="Verdana"/>
          <w:sz w:val="20"/>
          <w:szCs w:val="20"/>
          <w:lang w:val="fr-FR"/>
        </w:rPr>
        <w:t xml:space="preserve"> </w:t>
      </w:r>
      <w:r w:rsidR="0001528E" w:rsidRPr="0001528E">
        <w:rPr>
          <w:rFonts w:ascii="Verdana" w:eastAsia="Verdana" w:hAnsi="Verdana"/>
          <w:sz w:val="20"/>
          <w:lang w:val="fr-FR"/>
        </w:rPr>
        <w:t xml:space="preserve">spécifiquement la publicité et la </w:t>
      </w:r>
      <w:r w:rsidR="0001528E" w:rsidRPr="0001528E">
        <w:rPr>
          <w:rFonts w:ascii="Verdana" w:eastAsia="Verdana" w:hAnsi="Verdana" w:cs="Verdana"/>
          <w:sz w:val="20"/>
          <w:szCs w:val="20"/>
          <w:lang w:val="fr-FR"/>
        </w:rPr>
        <w:t xml:space="preserve">communication </w:t>
      </w:r>
      <w:r w:rsidR="0001528E" w:rsidRPr="0001528E">
        <w:rPr>
          <w:rFonts w:ascii="Verdana" w:eastAsia="Verdana" w:hAnsi="Verdana"/>
          <w:sz w:val="20"/>
          <w:lang w:val="fr-FR"/>
        </w:rPr>
        <w:t>politiques</w:t>
      </w:r>
      <w:r w:rsidRPr="0001528E">
        <w:rPr>
          <w:rFonts w:ascii="Verdana" w:eastAsia="Verdana" w:hAnsi="Verdana" w:cs="Verdana"/>
          <w:sz w:val="20"/>
          <w:szCs w:val="20"/>
          <w:lang w:val="fr-FR"/>
        </w:rPr>
        <w:t>, en vue de diversifier l’exposition aux informations.</w:t>
      </w:r>
      <w:r w:rsidR="0070442D" w:rsidRPr="0001528E">
        <w:rPr>
          <w:rFonts w:ascii="Verdana" w:eastAsia="Verdana" w:hAnsi="Verdana" w:cs="Verdana"/>
          <w:sz w:val="20"/>
          <w:szCs w:val="20"/>
          <w:lang w:val="fr-FR"/>
        </w:rPr>
        <w:t xml:space="preserve"> </w:t>
      </w:r>
      <w:r w:rsidRPr="0001528E">
        <w:rPr>
          <w:rFonts w:ascii="Verdana" w:eastAsia="Verdana" w:hAnsi="Verdana" w:cs="Verdana"/>
          <w:sz w:val="20"/>
          <w:szCs w:val="20"/>
          <w:lang w:val="fr-FR"/>
        </w:rPr>
        <w:t>Cette diversité peut être améliorée, entre autres, en modifiant la présentation des recommandations, en offrant une navigation interactive dans des séries de recommandations</w:t>
      </w:r>
      <w:r w:rsidRPr="00286B98">
        <w:rPr>
          <w:rFonts w:ascii="Verdana" w:eastAsia="Verdana" w:hAnsi="Verdana" w:cs="Verdana"/>
          <w:sz w:val="20"/>
          <w:szCs w:val="20"/>
          <w:lang w:val="fr-FR"/>
        </w:rPr>
        <w:t xml:space="preserve"> différentes ou en permettant aux citoyens de modifier leurs paramètres de recommandation.</w:t>
      </w:r>
    </w:p>
    <w:p w14:paraId="610B72FE" w14:textId="4D2E2755" w:rsidR="00D21F6D" w:rsidRPr="00286B98" w:rsidRDefault="00EE1562" w:rsidP="00EE1562">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4.</w:t>
      </w:r>
      <w:r w:rsidR="0001528E">
        <w:rPr>
          <w:rFonts w:ascii="Verdana" w:eastAsia="Verdana" w:hAnsi="Verdana" w:cs="Verdana"/>
          <w:sz w:val="20"/>
          <w:szCs w:val="20"/>
          <w:lang w:val="fr-FR"/>
        </w:rPr>
        <w:t>2</w:t>
      </w:r>
      <w:r w:rsidRPr="00286B98">
        <w:rPr>
          <w:rFonts w:ascii="Verdana" w:eastAsia="Verdana" w:hAnsi="Verdana" w:cs="Verdana"/>
          <w:sz w:val="20"/>
          <w:szCs w:val="20"/>
          <w:lang w:val="fr-FR"/>
        </w:rPr>
        <w:t>. Les États</w:t>
      </w:r>
      <w:r w:rsidR="0001528E">
        <w:rPr>
          <w:rFonts w:ascii="Verdana" w:eastAsia="Verdana" w:hAnsi="Verdana" w:cs="Verdana"/>
          <w:sz w:val="20"/>
          <w:szCs w:val="20"/>
          <w:lang w:val="fr-FR"/>
        </w:rPr>
        <w:t xml:space="preserve">, </w:t>
      </w:r>
      <w:r w:rsidR="0001528E" w:rsidRPr="0001528E">
        <w:rPr>
          <w:rFonts w:ascii="Verdana" w:eastAsia="Verdana" w:hAnsi="Verdana" w:cs="Verdana"/>
          <w:sz w:val="20"/>
          <w:szCs w:val="20"/>
          <w:lang w:val="fr-FR"/>
        </w:rPr>
        <w:t xml:space="preserve">dans le cadre de systèmes de </w:t>
      </w:r>
      <w:proofErr w:type="spellStart"/>
      <w:r w:rsidR="0001528E" w:rsidRPr="0001528E">
        <w:rPr>
          <w:rFonts w:ascii="Verdana" w:eastAsia="Verdana" w:hAnsi="Verdana" w:cs="Verdana"/>
          <w:sz w:val="20"/>
          <w:szCs w:val="20"/>
          <w:lang w:val="fr-FR"/>
        </w:rPr>
        <w:t>corégulation</w:t>
      </w:r>
      <w:proofErr w:type="spellEnd"/>
      <w:r w:rsidR="0001528E" w:rsidRPr="0001528E">
        <w:rPr>
          <w:rFonts w:ascii="Verdana" w:eastAsia="Verdana" w:hAnsi="Verdana" w:cs="Verdana"/>
          <w:sz w:val="20"/>
          <w:szCs w:val="20"/>
          <w:lang w:val="fr-FR"/>
        </w:rPr>
        <w:t xml:space="preserve">, </w:t>
      </w:r>
      <w:r w:rsidRPr="00286B98">
        <w:rPr>
          <w:rFonts w:ascii="Verdana" w:eastAsia="Verdana" w:hAnsi="Verdana" w:cs="Verdana"/>
          <w:sz w:val="20"/>
          <w:szCs w:val="20"/>
          <w:lang w:val="fr-FR"/>
        </w:rPr>
        <w:t xml:space="preserve">devraient </w:t>
      </w:r>
      <w:r w:rsidR="00F42E09">
        <w:rPr>
          <w:rFonts w:ascii="Verdana" w:eastAsia="Verdana" w:hAnsi="Verdana" w:cs="Verdana"/>
          <w:sz w:val="20"/>
          <w:szCs w:val="20"/>
          <w:lang w:val="fr-FR"/>
        </w:rPr>
        <w:t xml:space="preserve">exiger la </w:t>
      </w:r>
      <w:r w:rsidRPr="00286B98">
        <w:rPr>
          <w:rFonts w:ascii="Verdana" w:eastAsia="Verdana" w:hAnsi="Verdana" w:cs="Verdana"/>
          <w:sz w:val="20"/>
          <w:szCs w:val="20"/>
          <w:lang w:val="fr-FR"/>
        </w:rPr>
        <w:t xml:space="preserve">transparence des systèmes algorithmiques </w:t>
      </w:r>
      <w:r w:rsidR="00F42E09">
        <w:rPr>
          <w:rFonts w:ascii="Verdana" w:eastAsia="Verdana" w:hAnsi="Verdana" w:cs="Verdana"/>
          <w:sz w:val="20"/>
          <w:szCs w:val="20"/>
          <w:lang w:val="fr-FR"/>
        </w:rPr>
        <w:t xml:space="preserve">à un degré </w:t>
      </w:r>
      <w:r w:rsidRPr="00286B98">
        <w:rPr>
          <w:rFonts w:ascii="Verdana" w:eastAsia="Verdana" w:hAnsi="Verdana" w:cs="Verdana"/>
          <w:sz w:val="20"/>
          <w:szCs w:val="20"/>
          <w:lang w:val="fr-FR"/>
        </w:rPr>
        <w:t>suffisant pour assurer leur conformité avec les normes internationales de droits de l’homme, et en particulier avec la Recommandation CM/</w:t>
      </w:r>
      <w:proofErr w:type="gramStart"/>
      <w:r w:rsidRPr="00286B98">
        <w:rPr>
          <w:rFonts w:ascii="Verdana" w:eastAsia="Verdana" w:hAnsi="Verdana" w:cs="Verdana"/>
          <w:sz w:val="20"/>
          <w:szCs w:val="20"/>
          <w:lang w:val="fr-FR"/>
        </w:rPr>
        <w:t>Rec(</w:t>
      </w:r>
      <w:proofErr w:type="gramEnd"/>
      <w:r w:rsidRPr="00286B98">
        <w:rPr>
          <w:rFonts w:ascii="Verdana" w:eastAsia="Verdana" w:hAnsi="Verdana" w:cs="Verdana"/>
          <w:sz w:val="20"/>
          <w:szCs w:val="20"/>
          <w:lang w:val="fr-FR"/>
        </w:rPr>
        <w:t xml:space="preserve">2020)1 du Comité </w:t>
      </w:r>
      <w:r w:rsidRPr="0001528E">
        <w:rPr>
          <w:rFonts w:ascii="Verdana" w:eastAsia="Verdana" w:hAnsi="Verdana" w:cs="Verdana"/>
          <w:sz w:val="20"/>
          <w:szCs w:val="20"/>
          <w:lang w:val="fr-FR"/>
        </w:rPr>
        <w:t>des Ministres aux États membres sur les impacts des systèmes algorithmiques sur les droits de l’homme.</w:t>
      </w:r>
      <w:r w:rsidR="0070442D" w:rsidRPr="0001528E">
        <w:rPr>
          <w:rFonts w:ascii="Verdana" w:eastAsia="Verdana" w:hAnsi="Verdana" w:cs="Verdana"/>
          <w:sz w:val="20"/>
          <w:szCs w:val="20"/>
          <w:lang w:val="fr-FR"/>
        </w:rPr>
        <w:t xml:space="preserve"> </w:t>
      </w:r>
      <w:r w:rsidRPr="0001528E">
        <w:rPr>
          <w:rFonts w:ascii="Verdana" w:eastAsia="Verdana" w:hAnsi="Verdana" w:cs="Verdana"/>
          <w:sz w:val="20"/>
          <w:szCs w:val="20"/>
          <w:lang w:val="fr-FR"/>
        </w:rPr>
        <w:t xml:space="preserve">Les algorithmes utilisés par des acteurs publics et privés pour classer et afficher </w:t>
      </w:r>
      <w:r w:rsidR="0001528E" w:rsidRPr="0001528E">
        <w:rPr>
          <w:rFonts w:ascii="Verdana" w:hAnsi="Verdana"/>
          <w:sz w:val="20"/>
          <w:lang w:val="fr-FR"/>
        </w:rPr>
        <w:t xml:space="preserve">la publicité politique, le matériel de communication électorale et les </w:t>
      </w:r>
      <w:r w:rsidR="0001528E" w:rsidRPr="0001528E">
        <w:rPr>
          <w:rFonts w:ascii="Verdana" w:hAnsi="Verdana"/>
          <w:sz w:val="20"/>
          <w:lang w:val="fr-FR"/>
        </w:rPr>
        <w:t>informations</w:t>
      </w:r>
      <w:r w:rsidR="0001528E">
        <w:rPr>
          <w:rFonts w:ascii="Verdana" w:hAnsi="Verdana"/>
          <w:sz w:val="20"/>
          <w:lang w:val="fr-FR"/>
        </w:rPr>
        <w:t xml:space="preserve"> </w:t>
      </w:r>
      <w:r w:rsidR="0001528E" w:rsidRPr="00286B98">
        <w:rPr>
          <w:rFonts w:ascii="Verdana" w:eastAsia="Verdana" w:hAnsi="Verdana" w:cs="Verdana"/>
          <w:sz w:val="20"/>
          <w:szCs w:val="20"/>
          <w:lang w:val="fr-FR"/>
        </w:rPr>
        <w:t>relatives à la politique et aux sujets d’actualité</w:t>
      </w:r>
      <w:r w:rsidR="0001528E">
        <w:rPr>
          <w:rFonts w:ascii="Verdana" w:eastAsia="Verdana" w:hAnsi="Verdana" w:cs="Verdana"/>
          <w:sz w:val="20"/>
          <w:szCs w:val="20"/>
          <w:lang w:val="fr-FR"/>
        </w:rPr>
        <w:t xml:space="preserve"> </w:t>
      </w:r>
      <w:r w:rsidRPr="00286B98">
        <w:rPr>
          <w:rFonts w:ascii="Verdana" w:eastAsia="Verdana" w:hAnsi="Verdana" w:cs="Verdana"/>
          <w:sz w:val="20"/>
          <w:szCs w:val="20"/>
          <w:lang w:val="fr-FR"/>
        </w:rPr>
        <w:t xml:space="preserve">devraient être transparents et vérifiables, </w:t>
      </w:r>
      <w:r w:rsidR="007E765A">
        <w:rPr>
          <w:rFonts w:ascii="Verdana" w:eastAsia="Verdana" w:hAnsi="Verdana" w:cs="Verdana"/>
          <w:sz w:val="20"/>
          <w:szCs w:val="20"/>
          <w:lang w:val="fr-FR"/>
        </w:rPr>
        <w:t>ayant</w:t>
      </w:r>
      <w:r w:rsidR="00F42E09">
        <w:rPr>
          <w:rFonts w:ascii="Verdana" w:eastAsia="Verdana" w:hAnsi="Verdana" w:cs="Verdana"/>
          <w:sz w:val="20"/>
          <w:szCs w:val="20"/>
          <w:lang w:val="fr-FR"/>
        </w:rPr>
        <w:t xml:space="preserve"> égard </w:t>
      </w:r>
      <w:r w:rsidRPr="00286B98">
        <w:rPr>
          <w:rFonts w:ascii="Verdana" w:eastAsia="Verdana" w:hAnsi="Verdana" w:cs="Verdana"/>
          <w:sz w:val="20"/>
          <w:szCs w:val="20"/>
          <w:lang w:val="fr-FR"/>
        </w:rPr>
        <w:t xml:space="preserve">en particulier </w:t>
      </w:r>
      <w:r w:rsidR="007E765A">
        <w:rPr>
          <w:rFonts w:ascii="Verdana" w:eastAsia="Verdana" w:hAnsi="Verdana" w:cs="Verdana"/>
          <w:sz w:val="20"/>
          <w:szCs w:val="20"/>
          <w:lang w:val="fr-FR"/>
        </w:rPr>
        <w:t>des</w:t>
      </w:r>
      <w:r w:rsidR="00F42E09">
        <w:rPr>
          <w:rFonts w:ascii="Verdana" w:eastAsia="Verdana" w:hAnsi="Verdana" w:cs="Verdana"/>
          <w:sz w:val="20"/>
          <w:szCs w:val="20"/>
          <w:lang w:val="fr-FR"/>
        </w:rPr>
        <w:t xml:space="preserve"> </w:t>
      </w:r>
      <w:r w:rsidRPr="00286B98">
        <w:rPr>
          <w:rFonts w:ascii="Verdana" w:eastAsia="Verdana" w:hAnsi="Verdana" w:cs="Verdana"/>
          <w:sz w:val="20"/>
          <w:szCs w:val="20"/>
          <w:lang w:val="fr-FR"/>
        </w:rPr>
        <w:t>potentiels biais et inexactitudes des systèmes utilisés.</w:t>
      </w:r>
      <w:r w:rsidR="0070442D" w:rsidRPr="00286B98">
        <w:rPr>
          <w:rFonts w:ascii="Verdana" w:eastAsia="Verdana" w:hAnsi="Verdana" w:cs="Verdana"/>
          <w:sz w:val="20"/>
          <w:szCs w:val="20"/>
          <w:lang w:val="fr-FR"/>
        </w:rPr>
        <w:t xml:space="preserve"> </w:t>
      </w:r>
      <w:r w:rsidRPr="00286B98">
        <w:rPr>
          <w:rFonts w:ascii="Verdana" w:eastAsia="Verdana" w:hAnsi="Verdana" w:cs="Verdana"/>
          <w:sz w:val="20"/>
          <w:szCs w:val="20"/>
          <w:lang w:val="fr-FR"/>
        </w:rPr>
        <w:t>À cette fin, les États devraient :</w:t>
      </w:r>
    </w:p>
    <w:p w14:paraId="0F475F5B" w14:textId="10BA0F45" w:rsidR="00D21F6D" w:rsidRPr="00381155" w:rsidRDefault="00EE1562" w:rsidP="00EE1562">
      <w:pPr>
        <w:numPr>
          <w:ilvl w:val="0"/>
          <w:numId w:val="1"/>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381155">
        <w:rPr>
          <w:rFonts w:ascii="Verdana" w:eastAsia="Verdana" w:hAnsi="Verdana" w:cs="Verdana"/>
          <w:sz w:val="20"/>
          <w:szCs w:val="20"/>
          <w:lang w:val="fr-FR"/>
        </w:rPr>
        <w:lastRenderedPageBreak/>
        <w:t>élaborer</w:t>
      </w:r>
      <w:proofErr w:type="gramEnd"/>
      <w:r w:rsidRPr="00381155">
        <w:rPr>
          <w:rFonts w:ascii="Verdana" w:eastAsia="Verdana" w:hAnsi="Verdana" w:cs="Verdana"/>
          <w:sz w:val="20"/>
          <w:szCs w:val="20"/>
          <w:lang w:val="fr-FR"/>
        </w:rPr>
        <w:t xml:space="preserve"> des cadres</w:t>
      </w:r>
      <w:r w:rsidR="0001528E" w:rsidRPr="00381155">
        <w:rPr>
          <w:rFonts w:ascii="Verdana" w:eastAsia="Verdana" w:hAnsi="Verdana" w:cs="Verdana"/>
          <w:sz w:val="20"/>
          <w:szCs w:val="20"/>
          <w:lang w:val="fr-FR"/>
        </w:rPr>
        <w:t xml:space="preserve">, </w:t>
      </w:r>
      <w:r w:rsidRPr="00381155">
        <w:rPr>
          <w:rFonts w:ascii="Verdana" w:eastAsia="Verdana" w:hAnsi="Verdana" w:cs="Verdana"/>
          <w:sz w:val="20"/>
          <w:szCs w:val="20"/>
          <w:lang w:val="fr-FR"/>
        </w:rPr>
        <w:t>des normes</w:t>
      </w:r>
      <w:r w:rsidR="0001528E" w:rsidRPr="00381155">
        <w:rPr>
          <w:rFonts w:ascii="Verdana" w:eastAsia="Verdana" w:hAnsi="Verdana" w:cs="Verdana"/>
          <w:sz w:val="20"/>
          <w:szCs w:val="20"/>
          <w:lang w:val="fr-FR"/>
        </w:rPr>
        <w:t xml:space="preserve"> et des politiques</w:t>
      </w:r>
      <w:r w:rsidRPr="00381155">
        <w:rPr>
          <w:rFonts w:ascii="Verdana" w:eastAsia="Verdana" w:hAnsi="Verdana" w:cs="Verdana"/>
          <w:sz w:val="20"/>
          <w:szCs w:val="20"/>
          <w:lang w:val="fr-FR"/>
        </w:rPr>
        <w:t xml:space="preserve"> sur la transparence et l’explicabilité des algorithmes, conformément à la Recommandation CM/Rec(2020)1 ;</w:t>
      </w:r>
      <w:r w:rsidR="0070442D" w:rsidRPr="00381155">
        <w:rPr>
          <w:rFonts w:ascii="Verdana" w:eastAsia="Verdana" w:hAnsi="Verdana" w:cs="Verdana"/>
          <w:sz w:val="20"/>
          <w:szCs w:val="20"/>
          <w:lang w:val="fr-FR"/>
        </w:rPr>
        <w:t xml:space="preserve"> </w:t>
      </w:r>
    </w:p>
    <w:p w14:paraId="6DD40C3E" w14:textId="0594EAA9" w:rsidR="00D21F6D" w:rsidRPr="00381155" w:rsidRDefault="0001528E" w:rsidP="006E23D2">
      <w:pPr>
        <w:numPr>
          <w:ilvl w:val="0"/>
          <w:numId w:val="1"/>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381155">
        <w:rPr>
          <w:rFonts w:ascii="Verdana" w:eastAsia="Verdana" w:hAnsi="Verdana"/>
          <w:sz w:val="20"/>
          <w:lang w:val="fr-FR"/>
        </w:rPr>
        <w:t>attribuer</w:t>
      </w:r>
      <w:proofErr w:type="gramEnd"/>
      <w:r w:rsidRPr="00381155">
        <w:rPr>
          <w:rFonts w:ascii="Verdana" w:eastAsia="Verdana" w:hAnsi="Verdana"/>
          <w:sz w:val="20"/>
          <w:lang w:val="fr-FR"/>
        </w:rPr>
        <w:t xml:space="preserve"> aux autorités de régulation indépendantes le</w:t>
      </w:r>
      <w:r w:rsidRPr="00381155">
        <w:rPr>
          <w:rFonts w:ascii="Verdana" w:eastAsia="Verdana" w:hAnsi="Verdana"/>
          <w:sz w:val="20"/>
          <w:lang w:val="fr-FR"/>
        </w:rPr>
        <w:t xml:space="preserve">s </w:t>
      </w:r>
      <w:r w:rsidR="006E23D2" w:rsidRPr="00381155">
        <w:rPr>
          <w:rFonts w:ascii="Verdana" w:eastAsia="Verdana" w:hAnsi="Verdana" w:cs="Verdana"/>
          <w:sz w:val="20"/>
          <w:szCs w:val="20"/>
          <w:lang w:val="fr-FR"/>
        </w:rPr>
        <w:t>compétences et les ressources nécessaires pour analyser les algorithmes et en réaliser l’audit ;</w:t>
      </w:r>
    </w:p>
    <w:p w14:paraId="7AE68694" w14:textId="76ACC2EE" w:rsidR="00D21F6D" w:rsidRPr="00381155" w:rsidRDefault="006E23D2" w:rsidP="006E23D2">
      <w:pPr>
        <w:numPr>
          <w:ilvl w:val="0"/>
          <w:numId w:val="1"/>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381155">
        <w:rPr>
          <w:rFonts w:ascii="Verdana" w:eastAsia="Verdana" w:hAnsi="Verdana" w:cs="Verdana"/>
          <w:sz w:val="20"/>
          <w:szCs w:val="20"/>
          <w:lang w:val="fr-FR"/>
        </w:rPr>
        <w:t>veiller</w:t>
      </w:r>
      <w:proofErr w:type="gramEnd"/>
      <w:r w:rsidRPr="00381155">
        <w:rPr>
          <w:rFonts w:ascii="Verdana" w:eastAsia="Verdana" w:hAnsi="Verdana" w:cs="Verdana"/>
          <w:sz w:val="20"/>
          <w:szCs w:val="20"/>
          <w:lang w:val="fr-FR"/>
        </w:rPr>
        <w:t xml:space="preserve"> à ce que </w:t>
      </w:r>
      <w:r w:rsidR="0001528E" w:rsidRPr="00381155">
        <w:rPr>
          <w:rFonts w:ascii="Verdana" w:eastAsia="Verdana" w:hAnsi="Verdana"/>
          <w:sz w:val="20"/>
          <w:lang w:val="fr-FR"/>
        </w:rPr>
        <w:t>ces autorités</w:t>
      </w:r>
      <w:r w:rsidR="0001528E" w:rsidRPr="00381155">
        <w:rPr>
          <w:rFonts w:ascii="Verdana" w:eastAsia="Verdana" w:hAnsi="Verdana" w:cs="Verdana"/>
          <w:sz w:val="20"/>
          <w:szCs w:val="20"/>
          <w:lang w:val="fr-FR"/>
        </w:rPr>
        <w:t xml:space="preserve"> </w:t>
      </w:r>
      <w:r w:rsidRPr="00381155">
        <w:rPr>
          <w:rFonts w:ascii="Verdana" w:eastAsia="Verdana" w:hAnsi="Verdana" w:cs="Verdana"/>
          <w:sz w:val="20"/>
          <w:szCs w:val="20"/>
          <w:lang w:val="fr-FR"/>
        </w:rPr>
        <w:t>assurent un suivi régulier</w:t>
      </w:r>
      <w:r w:rsidR="00580807" w:rsidRPr="00381155">
        <w:rPr>
          <w:rFonts w:ascii="Verdana" w:eastAsia="Verdana" w:hAnsi="Verdana" w:cs="Verdana"/>
          <w:sz w:val="20"/>
          <w:szCs w:val="20"/>
          <w:lang w:val="fr-FR"/>
        </w:rPr>
        <w:t xml:space="preserve"> et public</w:t>
      </w:r>
      <w:r w:rsidRPr="00381155">
        <w:rPr>
          <w:rFonts w:ascii="Verdana" w:eastAsia="Verdana" w:hAnsi="Verdana" w:cs="Verdana"/>
          <w:sz w:val="20"/>
          <w:szCs w:val="20"/>
          <w:lang w:val="fr-FR"/>
        </w:rPr>
        <w:t>, assorti de rapports, sur la transparence et les biais des algorithmes ;</w:t>
      </w:r>
    </w:p>
    <w:p w14:paraId="5CBF2257" w14:textId="6A08B4BC" w:rsidR="00580807" w:rsidRPr="00381155" w:rsidRDefault="00580807" w:rsidP="00580807">
      <w:pPr>
        <w:numPr>
          <w:ilvl w:val="0"/>
          <w:numId w:val="1"/>
        </w:numPr>
        <w:pBdr>
          <w:top w:val="nil"/>
          <w:left w:val="nil"/>
          <w:bottom w:val="nil"/>
          <w:right w:val="nil"/>
          <w:between w:val="nil"/>
        </w:pBdr>
        <w:spacing w:line="259" w:lineRule="auto"/>
        <w:jc w:val="both"/>
        <w:rPr>
          <w:rFonts w:ascii="Verdana" w:eastAsia="Verdana" w:hAnsi="Verdana"/>
          <w:sz w:val="20"/>
          <w:lang w:val="fr-FR"/>
        </w:rPr>
      </w:pPr>
      <w:proofErr w:type="gramStart"/>
      <w:r w:rsidRPr="00381155">
        <w:rPr>
          <w:rFonts w:ascii="Verdana" w:eastAsia="Verdana" w:hAnsi="Verdana"/>
          <w:sz w:val="20"/>
          <w:lang w:val="fr-FR"/>
        </w:rPr>
        <w:t>créer</w:t>
      </w:r>
      <w:proofErr w:type="gramEnd"/>
      <w:r w:rsidRPr="00381155">
        <w:rPr>
          <w:rFonts w:ascii="Verdana" w:eastAsia="Verdana" w:hAnsi="Verdana"/>
          <w:sz w:val="20"/>
          <w:lang w:val="fr-FR"/>
        </w:rPr>
        <w:t xml:space="preserve"> des possibilités pour les groupes multipartites de répondre aux préoccupations liées au déploiement des algorithmes, en offrant à un plus large éventail de parties prenantes, y compris la société civile et les représentants des partis politiques, de participer aux processus d'élaboration des politiques ;</w:t>
      </w:r>
    </w:p>
    <w:p w14:paraId="78C5D6DF" w14:textId="5A5A5BE6" w:rsidR="00D21F6D" w:rsidRPr="00381155" w:rsidRDefault="006E23D2" w:rsidP="006E23D2">
      <w:pPr>
        <w:numPr>
          <w:ilvl w:val="0"/>
          <w:numId w:val="1"/>
        </w:numPr>
        <w:pBdr>
          <w:top w:val="nil"/>
          <w:left w:val="nil"/>
          <w:bottom w:val="nil"/>
          <w:right w:val="nil"/>
          <w:between w:val="nil"/>
        </w:pBdr>
        <w:spacing w:line="259" w:lineRule="auto"/>
        <w:jc w:val="both"/>
        <w:rPr>
          <w:rFonts w:ascii="Verdana" w:eastAsia="Verdana" w:hAnsi="Verdana" w:cs="Verdana"/>
          <w:sz w:val="20"/>
          <w:szCs w:val="20"/>
          <w:lang w:val="fr-FR"/>
        </w:rPr>
      </w:pPr>
      <w:proofErr w:type="gramStart"/>
      <w:r w:rsidRPr="00381155">
        <w:rPr>
          <w:rFonts w:ascii="Verdana" w:eastAsia="Verdana" w:hAnsi="Verdana" w:cs="Verdana"/>
          <w:sz w:val="20"/>
          <w:szCs w:val="20"/>
          <w:lang w:val="fr-FR"/>
        </w:rPr>
        <w:t>imposer</w:t>
      </w:r>
      <w:proofErr w:type="gramEnd"/>
      <w:r w:rsidRPr="00381155">
        <w:rPr>
          <w:rFonts w:ascii="Verdana" w:eastAsia="Verdana" w:hAnsi="Verdana" w:cs="Verdana"/>
          <w:sz w:val="20"/>
          <w:szCs w:val="20"/>
          <w:lang w:val="fr-FR"/>
        </w:rPr>
        <w:t xml:space="preserve"> aux plateformes en ligne de publier, régulièrement et en temps voulu, des rapports sur la transparence et des statistiques sur l’emploi </w:t>
      </w:r>
      <w:r w:rsidR="00DE1D7C" w:rsidRPr="00381155">
        <w:rPr>
          <w:rFonts w:ascii="Verdana" w:eastAsia="Verdana" w:hAnsi="Verdana"/>
          <w:sz w:val="20"/>
          <w:lang w:val="fr-FR"/>
        </w:rPr>
        <w:t xml:space="preserve">des algorithmes </w:t>
      </w:r>
      <w:r w:rsidR="00DE1D7C" w:rsidRPr="00381155">
        <w:rPr>
          <w:rFonts w:ascii="Verdana" w:eastAsia="Verdana" w:hAnsi="Verdana" w:cs="Verdana"/>
          <w:sz w:val="20"/>
          <w:szCs w:val="20"/>
          <w:lang w:val="fr-FR"/>
        </w:rPr>
        <w:t>dans la curation de contenu</w:t>
      </w:r>
      <w:r w:rsidRPr="00381155">
        <w:rPr>
          <w:rFonts w:ascii="Verdana" w:eastAsia="Verdana" w:hAnsi="Verdana" w:cs="Verdana"/>
          <w:sz w:val="20"/>
          <w:szCs w:val="20"/>
          <w:lang w:val="fr-FR"/>
        </w:rPr>
        <w:t>, précisant notamment comment elles classent et profilent les messages de campagne, modèrent ces contenus et ciblent les utilisateurs qui y sont exposés ;</w:t>
      </w:r>
    </w:p>
    <w:p w14:paraId="56FDAB66" w14:textId="149EB635" w:rsidR="007E3953" w:rsidRPr="00381155" w:rsidRDefault="006E23D2" w:rsidP="00381155">
      <w:pPr>
        <w:numPr>
          <w:ilvl w:val="0"/>
          <w:numId w:val="1"/>
        </w:numPr>
        <w:pBdr>
          <w:top w:val="nil"/>
          <w:left w:val="nil"/>
          <w:bottom w:val="nil"/>
          <w:right w:val="nil"/>
          <w:between w:val="nil"/>
        </w:pBdr>
        <w:spacing w:after="160" w:line="259" w:lineRule="auto"/>
        <w:jc w:val="both"/>
        <w:rPr>
          <w:rFonts w:ascii="Verdana" w:eastAsia="Verdana" w:hAnsi="Verdana" w:cs="Verdana"/>
          <w:sz w:val="20"/>
          <w:szCs w:val="20"/>
          <w:lang w:val="fr-FR"/>
        </w:rPr>
      </w:pPr>
      <w:proofErr w:type="gramStart"/>
      <w:r w:rsidRPr="00381155">
        <w:rPr>
          <w:rFonts w:ascii="Verdana" w:eastAsia="Verdana" w:hAnsi="Verdana" w:cs="Verdana"/>
          <w:sz w:val="20"/>
          <w:szCs w:val="20"/>
          <w:lang w:val="fr-FR"/>
        </w:rPr>
        <w:t>veiller</w:t>
      </w:r>
      <w:proofErr w:type="gramEnd"/>
      <w:r w:rsidRPr="00381155">
        <w:rPr>
          <w:rFonts w:ascii="Verdana" w:eastAsia="Verdana" w:hAnsi="Verdana" w:cs="Verdana"/>
          <w:sz w:val="20"/>
          <w:szCs w:val="20"/>
          <w:lang w:val="fr-FR"/>
        </w:rPr>
        <w:t xml:space="preserve"> à ce que</w:t>
      </w:r>
      <w:r w:rsidRPr="00286B98">
        <w:rPr>
          <w:rFonts w:ascii="Verdana" w:eastAsia="Verdana" w:hAnsi="Verdana" w:cs="Verdana"/>
          <w:sz w:val="20"/>
          <w:szCs w:val="20"/>
          <w:lang w:val="fr-FR"/>
        </w:rPr>
        <w:t xml:space="preserve"> les plateformes en ligne intègrent à leurs processus des mécanismes de retours et d’audit en continu sur les systèmes algorithmiques et leur application.</w:t>
      </w:r>
    </w:p>
    <w:p w14:paraId="67EB19F9" w14:textId="5F63799D" w:rsidR="00D21F6D" w:rsidRPr="00381155" w:rsidRDefault="00B21BF6" w:rsidP="006E23D2">
      <w:pPr>
        <w:pBdr>
          <w:top w:val="nil"/>
          <w:left w:val="nil"/>
          <w:bottom w:val="nil"/>
          <w:right w:val="nil"/>
          <w:between w:val="nil"/>
        </w:pBdr>
        <w:spacing w:after="160" w:line="259" w:lineRule="auto"/>
        <w:ind w:firstLine="720"/>
        <w:jc w:val="both"/>
        <w:rPr>
          <w:rFonts w:ascii="Verdana" w:eastAsia="Verdana" w:hAnsi="Verdana" w:cs="Verdana"/>
          <w:sz w:val="20"/>
          <w:szCs w:val="20"/>
          <w:lang w:val="fr-FR"/>
        </w:rPr>
      </w:pPr>
      <w:r w:rsidRPr="00286B98">
        <w:rPr>
          <w:rFonts w:ascii="Verdana" w:eastAsia="Verdana" w:hAnsi="Verdana" w:cs="Verdana"/>
          <w:b/>
          <w:sz w:val="20"/>
          <w:szCs w:val="20"/>
          <w:lang w:val="fr-FR"/>
        </w:rPr>
        <w:t xml:space="preserve">5. </w:t>
      </w:r>
      <w:r w:rsidR="00381155">
        <w:rPr>
          <w:rFonts w:ascii="Verdana" w:eastAsia="Verdana" w:hAnsi="Verdana" w:cs="Verdana"/>
          <w:b/>
          <w:sz w:val="20"/>
          <w:szCs w:val="20"/>
          <w:lang w:val="fr-FR"/>
        </w:rPr>
        <w:t>Mod</w:t>
      </w:r>
      <w:r w:rsidR="00381155" w:rsidRPr="00381155">
        <w:rPr>
          <w:rFonts w:ascii="Verdana" w:eastAsia="Verdana" w:hAnsi="Verdana" w:cs="Verdana"/>
          <w:b/>
          <w:sz w:val="20"/>
          <w:szCs w:val="20"/>
          <w:lang w:val="fr-FR"/>
        </w:rPr>
        <w:t xml:space="preserve">ération du </w:t>
      </w:r>
      <w:r w:rsidR="00381155" w:rsidRPr="00381155">
        <w:rPr>
          <w:rFonts w:ascii="Verdana" w:eastAsia="Verdana" w:hAnsi="Verdana"/>
          <w:b/>
          <w:sz w:val="20"/>
          <w:lang w:val="fr-FR"/>
        </w:rPr>
        <w:t xml:space="preserve">contenu et </w:t>
      </w:r>
      <w:r w:rsidR="00381155" w:rsidRPr="00381155">
        <w:rPr>
          <w:rFonts w:ascii="Verdana" w:eastAsia="Verdana" w:hAnsi="Verdana" w:cs="Verdana"/>
          <w:b/>
          <w:sz w:val="20"/>
          <w:szCs w:val="20"/>
          <w:lang w:val="fr-FR"/>
        </w:rPr>
        <w:t xml:space="preserve">traitement des </w:t>
      </w:r>
      <w:r w:rsidR="00381155" w:rsidRPr="00381155">
        <w:rPr>
          <w:rFonts w:ascii="Verdana" w:hAnsi="Verdana"/>
          <w:b/>
          <w:sz w:val="20"/>
          <w:lang w:val="fr-FR"/>
        </w:rPr>
        <w:t>comptes problématiques</w:t>
      </w:r>
    </w:p>
    <w:p w14:paraId="07CB4B99" w14:textId="733E8D7A" w:rsidR="00381155" w:rsidRPr="00AA20FC" w:rsidRDefault="00B21BF6" w:rsidP="00582A66">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5</w:t>
      </w:r>
      <w:r w:rsidR="0070442D" w:rsidRPr="00286B98">
        <w:rPr>
          <w:rFonts w:ascii="Verdana" w:eastAsia="Verdana" w:hAnsi="Verdana" w:cs="Verdana"/>
          <w:sz w:val="20"/>
          <w:szCs w:val="20"/>
          <w:lang w:val="fr-FR"/>
        </w:rPr>
        <w:t xml:space="preserve">.1. </w:t>
      </w:r>
      <w:r w:rsidR="00582A66" w:rsidRPr="00286B98">
        <w:rPr>
          <w:rFonts w:ascii="Verdana" w:eastAsia="Verdana" w:hAnsi="Verdana" w:cs="Verdana"/>
          <w:sz w:val="20"/>
          <w:szCs w:val="20"/>
          <w:lang w:val="fr-FR"/>
        </w:rPr>
        <w:t xml:space="preserve">Les États devraient adopter des mesures de </w:t>
      </w:r>
      <w:proofErr w:type="spellStart"/>
      <w:r w:rsidR="00582A66" w:rsidRPr="00286B98">
        <w:rPr>
          <w:rFonts w:ascii="Verdana" w:eastAsia="Verdana" w:hAnsi="Verdana" w:cs="Verdana"/>
          <w:sz w:val="20"/>
          <w:szCs w:val="20"/>
          <w:lang w:val="fr-FR"/>
        </w:rPr>
        <w:t>corégulation</w:t>
      </w:r>
      <w:proofErr w:type="spellEnd"/>
      <w:r w:rsidR="00582A66" w:rsidRPr="00286B98">
        <w:rPr>
          <w:rFonts w:ascii="Verdana" w:eastAsia="Verdana" w:hAnsi="Verdana" w:cs="Verdana"/>
          <w:sz w:val="20"/>
          <w:szCs w:val="20"/>
          <w:lang w:val="fr-FR"/>
        </w:rPr>
        <w:t xml:space="preserve"> pour veiller à ce que les plateformes en </w:t>
      </w:r>
      <w:r w:rsidR="00582A66" w:rsidRPr="00AA20FC">
        <w:rPr>
          <w:rFonts w:ascii="Verdana" w:eastAsia="Verdana" w:hAnsi="Verdana" w:cs="Verdana"/>
          <w:sz w:val="20"/>
          <w:szCs w:val="20"/>
          <w:lang w:val="fr-FR"/>
        </w:rPr>
        <w:t xml:space="preserve">ligne concernées prévoient des garanties contre les représentations déformées et la diffusion </w:t>
      </w:r>
      <w:r w:rsidR="00381155" w:rsidRPr="00AA20FC">
        <w:rPr>
          <w:rFonts w:ascii="Verdana" w:eastAsia="Verdana" w:hAnsi="Verdana"/>
          <w:sz w:val="20"/>
          <w:lang w:val="fr-FR"/>
        </w:rPr>
        <w:t>intentionnelle de désinformation politique</w:t>
      </w:r>
      <w:r w:rsidR="00582A66" w:rsidRPr="00AA20FC">
        <w:rPr>
          <w:rFonts w:ascii="Verdana" w:eastAsia="Verdana" w:hAnsi="Verdana" w:cs="Verdana"/>
          <w:sz w:val="20"/>
          <w:szCs w:val="20"/>
          <w:lang w:val="fr-FR"/>
        </w:rPr>
        <w:t>, tout en assurant le plein respect de la liberté d’expression et de l’anonymat et la confidentialité des communications privées</w:t>
      </w:r>
      <w:r w:rsidR="00381155" w:rsidRPr="00AA20FC">
        <w:rPr>
          <w:rFonts w:ascii="Verdana" w:eastAsia="Verdana" w:hAnsi="Verdana" w:cs="Verdana"/>
          <w:sz w:val="20"/>
          <w:szCs w:val="20"/>
          <w:lang w:val="fr-FR"/>
        </w:rPr>
        <w:t xml:space="preserve">, </w:t>
      </w:r>
      <w:r w:rsidR="00381155" w:rsidRPr="00AA20FC">
        <w:rPr>
          <w:rFonts w:ascii="Verdana" w:eastAsia="Verdana" w:hAnsi="Verdana" w:cs="Verdana"/>
          <w:sz w:val="20"/>
          <w:szCs w:val="20"/>
          <w:lang w:val="fr-FR"/>
        </w:rPr>
        <w:t>ainsi que de toutes les autres normes pertinentes du Conseil de l'Europe</w:t>
      </w:r>
      <w:r w:rsidR="00582A66" w:rsidRPr="00AA20FC">
        <w:rPr>
          <w:rFonts w:ascii="Verdana" w:eastAsia="Verdana" w:hAnsi="Verdana" w:cs="Verdana"/>
          <w:sz w:val="20"/>
          <w:szCs w:val="20"/>
          <w:lang w:val="fr-FR"/>
        </w:rPr>
        <w:t>.</w:t>
      </w:r>
    </w:p>
    <w:p w14:paraId="3F37312B" w14:textId="49325658" w:rsidR="00D21F6D" w:rsidRPr="00AA20FC" w:rsidRDefault="00582A66" w:rsidP="00582A66">
      <w:pPr>
        <w:pBdr>
          <w:top w:val="nil"/>
          <w:left w:val="nil"/>
          <w:bottom w:val="nil"/>
          <w:right w:val="nil"/>
          <w:between w:val="nil"/>
        </w:pBdr>
        <w:spacing w:after="160" w:line="259" w:lineRule="auto"/>
        <w:jc w:val="both"/>
        <w:rPr>
          <w:rFonts w:ascii="Verdana" w:eastAsia="Verdana" w:hAnsi="Verdana" w:cs="Verdana"/>
          <w:sz w:val="20"/>
          <w:szCs w:val="20"/>
          <w:lang w:val="fr-FR"/>
        </w:rPr>
      </w:pPr>
      <w:r w:rsidRPr="00AA20FC">
        <w:rPr>
          <w:rFonts w:ascii="Verdana" w:eastAsia="Verdana" w:hAnsi="Verdana" w:cs="Verdana"/>
          <w:sz w:val="20"/>
          <w:szCs w:val="20"/>
          <w:lang w:val="fr-FR"/>
        </w:rPr>
        <w:t xml:space="preserve">5.2. </w:t>
      </w:r>
      <w:r w:rsidR="00381155" w:rsidRPr="00AA20FC">
        <w:rPr>
          <w:rFonts w:ascii="Verdana" w:eastAsia="Verdana" w:hAnsi="Verdana" w:cs="Verdana"/>
          <w:sz w:val="20"/>
          <w:szCs w:val="20"/>
          <w:lang w:val="fr-FR"/>
        </w:rPr>
        <w:t>En ce qui concerne le paragraphe 5.1.,</w:t>
      </w:r>
      <w:r w:rsidR="00381155" w:rsidRPr="00AA20FC">
        <w:rPr>
          <w:rFonts w:ascii="Verdana" w:eastAsia="Verdana" w:hAnsi="Verdana" w:cs="Verdana"/>
          <w:sz w:val="20"/>
          <w:szCs w:val="20"/>
          <w:lang w:val="fr-FR"/>
        </w:rPr>
        <w:t xml:space="preserve"> l</w:t>
      </w:r>
      <w:r w:rsidRPr="00AA20FC">
        <w:rPr>
          <w:rFonts w:ascii="Verdana" w:eastAsia="Verdana" w:hAnsi="Verdana" w:cs="Verdana"/>
          <w:sz w:val="20"/>
          <w:szCs w:val="20"/>
          <w:lang w:val="fr-FR"/>
        </w:rPr>
        <w:t>es États devraient exiger des plateformes en ligne qu’elles appliquent des systèmes de transparence étiquetant clairement comme tels les comptes et les procédés automatiques, afin que leurs activités ne puissent être confondues avec des interactions humaines.</w:t>
      </w:r>
    </w:p>
    <w:p w14:paraId="2081FFF4" w14:textId="0028EE93" w:rsidR="00381155" w:rsidRPr="00286B98" w:rsidRDefault="00582A66" w:rsidP="00582A66">
      <w:pPr>
        <w:pBdr>
          <w:top w:val="nil"/>
          <w:left w:val="nil"/>
          <w:bottom w:val="nil"/>
          <w:right w:val="nil"/>
          <w:between w:val="nil"/>
        </w:pBdr>
        <w:spacing w:after="160" w:line="259" w:lineRule="auto"/>
        <w:jc w:val="both"/>
        <w:rPr>
          <w:rFonts w:ascii="Verdana" w:eastAsia="Verdana" w:hAnsi="Verdana" w:cs="Verdana"/>
          <w:sz w:val="20"/>
          <w:szCs w:val="20"/>
          <w:lang w:val="fr-FR"/>
        </w:rPr>
      </w:pPr>
      <w:r w:rsidRPr="00AA20FC">
        <w:rPr>
          <w:rFonts w:ascii="Verdana" w:eastAsia="Verdana" w:hAnsi="Verdana" w:cs="Verdana"/>
          <w:sz w:val="20"/>
          <w:szCs w:val="20"/>
          <w:lang w:val="fr-FR"/>
        </w:rPr>
        <w:t xml:space="preserve">5.3. </w:t>
      </w:r>
      <w:r w:rsidR="00381155" w:rsidRPr="00AA20FC">
        <w:rPr>
          <w:rFonts w:ascii="Verdana" w:eastAsia="Verdana" w:hAnsi="Verdana" w:cs="Verdana"/>
          <w:sz w:val="20"/>
          <w:szCs w:val="20"/>
          <w:lang w:val="fr-FR"/>
        </w:rPr>
        <w:t xml:space="preserve">En ce qui concerne le paragraphe 5.1, </w:t>
      </w:r>
      <w:r w:rsidR="00381155" w:rsidRPr="00AA20FC">
        <w:rPr>
          <w:rFonts w:ascii="Verdana" w:eastAsia="Verdana" w:hAnsi="Verdana" w:cs="Verdana"/>
          <w:sz w:val="20"/>
          <w:szCs w:val="20"/>
          <w:lang w:val="fr-FR"/>
        </w:rPr>
        <w:t>l</w:t>
      </w:r>
      <w:r w:rsidRPr="00AA20FC">
        <w:rPr>
          <w:rFonts w:ascii="Verdana" w:eastAsia="Verdana" w:hAnsi="Verdana" w:cs="Verdana"/>
          <w:sz w:val="20"/>
          <w:szCs w:val="20"/>
          <w:lang w:val="fr-FR"/>
        </w:rPr>
        <w:t xml:space="preserve">es États </w:t>
      </w:r>
      <w:r w:rsidR="00381155" w:rsidRPr="00AA20FC">
        <w:rPr>
          <w:rFonts w:ascii="Verdana" w:eastAsia="Verdana" w:hAnsi="Verdana" w:cs="Verdana"/>
          <w:sz w:val="20"/>
          <w:szCs w:val="20"/>
          <w:lang w:val="fr-FR"/>
        </w:rPr>
        <w:t xml:space="preserve">devraient </w:t>
      </w:r>
      <w:r w:rsidR="00381155" w:rsidRPr="00AA20FC">
        <w:rPr>
          <w:rFonts w:ascii="Verdana" w:eastAsia="Verdana" w:hAnsi="Verdana"/>
          <w:sz w:val="20"/>
          <w:lang w:val="fr-FR"/>
        </w:rPr>
        <w:t xml:space="preserve">veiller à ce que toute mesure visant à limiter la diffusion de contenus </w:t>
      </w:r>
      <w:r w:rsidR="00381155" w:rsidRPr="00AA20FC">
        <w:rPr>
          <w:rFonts w:ascii="Verdana" w:eastAsia="Verdana" w:hAnsi="Verdana" w:cs="Verdana"/>
          <w:sz w:val="20"/>
          <w:szCs w:val="20"/>
          <w:lang w:val="fr-FR"/>
        </w:rPr>
        <w:t xml:space="preserve">préjudiciables </w:t>
      </w:r>
      <w:r w:rsidR="00381155" w:rsidRPr="00AA20FC">
        <w:rPr>
          <w:rFonts w:ascii="Verdana" w:eastAsia="Verdana" w:hAnsi="Verdana"/>
          <w:sz w:val="20"/>
          <w:lang w:val="fr-FR"/>
        </w:rPr>
        <w:t>soit conforme à l'</w:t>
      </w:r>
      <w:r w:rsidR="00381155" w:rsidRPr="00AA20FC">
        <w:rPr>
          <w:rFonts w:ascii="Verdana" w:eastAsia="Verdana" w:hAnsi="Verdana"/>
          <w:sz w:val="20"/>
          <w:lang w:val="fr-FR"/>
        </w:rPr>
        <w:t>État</w:t>
      </w:r>
      <w:r w:rsidR="00381155" w:rsidRPr="00AA20FC">
        <w:rPr>
          <w:rFonts w:ascii="Verdana" w:eastAsia="Verdana" w:hAnsi="Verdana"/>
          <w:sz w:val="20"/>
          <w:lang w:val="fr-FR"/>
        </w:rPr>
        <w:t xml:space="preserve"> de droit </w:t>
      </w:r>
      <w:r w:rsidR="00381155" w:rsidRPr="00AA20FC">
        <w:rPr>
          <w:rFonts w:ascii="Verdana" w:eastAsia="Verdana" w:hAnsi="Verdana" w:cs="Verdana"/>
          <w:sz w:val="20"/>
          <w:szCs w:val="20"/>
          <w:lang w:val="fr-FR"/>
        </w:rPr>
        <w:t>et aux droits de l'homme tels qu'énoncés dans la Convention et à toutes les autres normes pertinentes du Conseil de l'Europe</w:t>
      </w:r>
      <w:r w:rsidRPr="00AA20FC">
        <w:rPr>
          <w:rFonts w:ascii="Verdana" w:eastAsia="Verdana" w:hAnsi="Verdana" w:cs="Verdana"/>
          <w:sz w:val="20"/>
          <w:szCs w:val="20"/>
          <w:lang w:val="fr-FR"/>
        </w:rPr>
        <w:t>.</w:t>
      </w:r>
      <w:r w:rsidR="00381155" w:rsidRPr="00AA20FC">
        <w:rPr>
          <w:rFonts w:ascii="Verdana" w:eastAsia="Verdana" w:hAnsi="Verdana" w:cs="Verdana"/>
          <w:sz w:val="20"/>
          <w:szCs w:val="20"/>
          <w:lang w:val="fr-FR"/>
        </w:rPr>
        <w:t xml:space="preserve"> </w:t>
      </w:r>
      <w:r w:rsidRPr="00AA20FC">
        <w:rPr>
          <w:rFonts w:ascii="Verdana" w:eastAsia="Verdana" w:hAnsi="Verdana" w:cs="Verdana"/>
          <w:sz w:val="20"/>
          <w:szCs w:val="20"/>
          <w:lang w:val="fr-FR"/>
        </w:rPr>
        <w:t xml:space="preserve">Pour que le public puisse prendre connaissance de l’ensemble des politiques et actions entreprises à cet égard, les États devraient exiger des plateformes en ligne qu’elles établissent régulièrement, dans le respect des règles applicables de protection des données, des rapports sur les </w:t>
      </w:r>
      <w:r w:rsidR="00381155" w:rsidRPr="00AA20FC">
        <w:rPr>
          <w:rFonts w:ascii="Verdana" w:hAnsi="Verdana"/>
          <w:sz w:val="20"/>
          <w:lang w:val="fr-FR"/>
        </w:rPr>
        <w:t>leurs mesures de modération des contenus ainsi que sur les contenus et les comptes bloqués, supprimés ou déclassés de manière transparente</w:t>
      </w:r>
      <w:r w:rsidR="00AA20FC" w:rsidRPr="00AA20FC">
        <w:rPr>
          <w:rFonts w:ascii="Verdana" w:eastAsia="Verdana" w:hAnsi="Verdana" w:cs="Verdana"/>
          <w:sz w:val="20"/>
          <w:szCs w:val="20"/>
          <w:lang w:val="fr-FR"/>
        </w:rPr>
        <w:t xml:space="preserve">, </w:t>
      </w:r>
      <w:r w:rsidR="00AA20FC" w:rsidRPr="00AA20FC">
        <w:rPr>
          <w:rFonts w:ascii="Verdana" w:hAnsi="Verdana"/>
          <w:sz w:val="20"/>
          <w:lang w:val="fr-FR"/>
        </w:rPr>
        <w:t>sous forme de données lisibles par machine, y compris les motifs des actions entreprises.</w:t>
      </w:r>
      <w:r w:rsidR="00AA20FC" w:rsidRPr="00AA20FC">
        <w:rPr>
          <w:rFonts w:ascii="Verdana" w:eastAsia="Verdana" w:hAnsi="Verdana" w:cs="Verdana"/>
          <w:sz w:val="20"/>
          <w:szCs w:val="20"/>
          <w:lang w:val="fr-FR"/>
        </w:rPr>
        <w:t xml:space="preserve"> </w:t>
      </w:r>
      <w:r w:rsidRPr="00AA20FC">
        <w:rPr>
          <w:rFonts w:ascii="Verdana" w:eastAsia="Verdana" w:hAnsi="Verdana" w:cs="Verdana"/>
          <w:sz w:val="20"/>
          <w:szCs w:val="20"/>
          <w:lang w:val="fr-FR"/>
        </w:rPr>
        <w:t>Les</w:t>
      </w:r>
      <w:r w:rsidRPr="00286B98">
        <w:rPr>
          <w:rFonts w:ascii="Verdana" w:eastAsia="Verdana" w:hAnsi="Verdana" w:cs="Verdana"/>
          <w:sz w:val="20"/>
          <w:szCs w:val="20"/>
          <w:lang w:val="fr-FR"/>
        </w:rPr>
        <w:t xml:space="preserve"> États devraient aussi obliger les plateformes en ligne à coopérer avec les autorités compétentes et à leur fournir les données nécessaires à une supervision indépendante.</w:t>
      </w:r>
    </w:p>
    <w:p w14:paraId="5E386A78" w14:textId="43F6706A" w:rsidR="00AA20FC" w:rsidRPr="00AA20FC" w:rsidRDefault="00A17A6D" w:rsidP="00AA20FC">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5.</w:t>
      </w:r>
      <w:r w:rsidR="00AA20FC">
        <w:rPr>
          <w:rFonts w:ascii="Verdana" w:eastAsia="Verdana" w:hAnsi="Verdana" w:cs="Verdana"/>
          <w:sz w:val="20"/>
          <w:szCs w:val="20"/>
          <w:lang w:val="fr-FR"/>
        </w:rPr>
        <w:t>4</w:t>
      </w:r>
      <w:r w:rsidRPr="00286B98">
        <w:rPr>
          <w:rFonts w:ascii="Verdana" w:eastAsia="Verdana" w:hAnsi="Verdana" w:cs="Verdana"/>
          <w:sz w:val="20"/>
          <w:szCs w:val="20"/>
          <w:lang w:val="fr-FR"/>
        </w:rPr>
        <w:t>. Les États devraient exiger des plateformes en ligne qu’elles améliorent la surveillance des placements de publicités en vue de réduire les revenus des auteurs de désinformation politique.</w:t>
      </w:r>
      <w:r w:rsidR="0070442D" w:rsidRPr="00286B98">
        <w:rPr>
          <w:rFonts w:ascii="Verdana" w:eastAsia="Verdana" w:hAnsi="Verdana" w:cs="Verdana"/>
          <w:sz w:val="20"/>
          <w:szCs w:val="20"/>
          <w:lang w:val="fr-FR"/>
        </w:rPr>
        <w:t xml:space="preserve"> </w:t>
      </w:r>
      <w:r w:rsidRPr="00286B98">
        <w:rPr>
          <w:rFonts w:ascii="Verdana" w:eastAsia="Verdana" w:hAnsi="Verdana" w:cs="Verdana"/>
          <w:sz w:val="20"/>
          <w:szCs w:val="20"/>
          <w:lang w:val="fr-FR"/>
        </w:rPr>
        <w:t xml:space="preserve">Les États devraient aussi obliger les plateformes en ligne à coopérer avec les autorités </w:t>
      </w:r>
      <w:r w:rsidRPr="00AA20FC">
        <w:rPr>
          <w:rFonts w:ascii="Verdana" w:eastAsia="Verdana" w:hAnsi="Verdana" w:cs="Verdana"/>
          <w:sz w:val="20"/>
          <w:szCs w:val="20"/>
          <w:lang w:val="fr-FR"/>
        </w:rPr>
        <w:t>compétentes et à leur fournir les données nécessaires à une supervision indépendante.</w:t>
      </w:r>
      <w:r w:rsidR="00AA20FC" w:rsidRPr="00AA20FC">
        <w:rPr>
          <w:rFonts w:ascii="Verdana" w:eastAsia="Verdana" w:hAnsi="Verdana" w:cs="Verdana"/>
          <w:sz w:val="20"/>
          <w:szCs w:val="20"/>
          <w:lang w:val="fr-FR"/>
        </w:rPr>
        <w:t xml:space="preserve"> </w:t>
      </w:r>
      <w:r w:rsidR="00AA20FC" w:rsidRPr="00AA20FC">
        <w:rPr>
          <w:rFonts w:ascii="Verdana" w:eastAsia="Verdana" w:hAnsi="Verdana" w:cs="Verdana"/>
          <w:sz w:val="20"/>
          <w:szCs w:val="20"/>
          <w:lang w:val="fr-FR"/>
        </w:rPr>
        <w:t>Ces obligations devraient être appliquées conformément aux normes applicables du Conseil de l'Europe.</w:t>
      </w:r>
    </w:p>
    <w:p w14:paraId="6E44BDF6" w14:textId="77777777" w:rsidR="00AA20FC" w:rsidRPr="00286B98" w:rsidRDefault="00AA20FC" w:rsidP="00A17A6D">
      <w:pPr>
        <w:pBdr>
          <w:top w:val="nil"/>
          <w:left w:val="nil"/>
          <w:bottom w:val="nil"/>
          <w:right w:val="nil"/>
          <w:between w:val="nil"/>
        </w:pBdr>
        <w:spacing w:after="160" w:line="259" w:lineRule="auto"/>
        <w:jc w:val="both"/>
        <w:rPr>
          <w:rFonts w:ascii="Verdana" w:eastAsia="Verdana" w:hAnsi="Verdana" w:cs="Verdana"/>
          <w:sz w:val="20"/>
          <w:szCs w:val="20"/>
          <w:lang w:val="fr-FR"/>
        </w:rPr>
      </w:pPr>
    </w:p>
    <w:p w14:paraId="22C2BE38" w14:textId="1C5F87C0" w:rsidR="00D21F6D" w:rsidRPr="00286B98" w:rsidRDefault="00365FED" w:rsidP="00365FED">
      <w:pP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lastRenderedPageBreak/>
        <w:t>5.</w:t>
      </w:r>
      <w:r w:rsidR="00AA20FC">
        <w:rPr>
          <w:rFonts w:ascii="Verdana" w:eastAsia="Verdana" w:hAnsi="Verdana" w:cs="Verdana"/>
          <w:sz w:val="20"/>
          <w:szCs w:val="20"/>
          <w:lang w:val="fr-FR"/>
        </w:rPr>
        <w:t>5</w:t>
      </w:r>
      <w:r w:rsidRPr="00286B98">
        <w:rPr>
          <w:rFonts w:ascii="Verdana" w:eastAsia="Verdana" w:hAnsi="Verdana" w:cs="Verdana"/>
          <w:sz w:val="20"/>
          <w:szCs w:val="20"/>
          <w:lang w:val="fr-FR"/>
        </w:rPr>
        <w:t xml:space="preserve">. Les États devraient exiger des plateformes en ligne des politiques transparentes sur les règles et les critères qu’elles appliquent pour publier et retirer </w:t>
      </w:r>
      <w:r w:rsidR="00AA20FC" w:rsidRPr="00AA20FC">
        <w:rPr>
          <w:rFonts w:ascii="Verdana" w:eastAsia="Verdana" w:hAnsi="Verdana" w:cs="Verdana"/>
          <w:sz w:val="20"/>
          <w:szCs w:val="20"/>
          <w:lang w:val="fr-FR"/>
        </w:rPr>
        <w:t>des communications politiques</w:t>
      </w:r>
      <w:r w:rsidRPr="00286B98">
        <w:rPr>
          <w:rFonts w:ascii="Verdana" w:eastAsia="Verdana" w:hAnsi="Verdana" w:cs="Verdana"/>
          <w:sz w:val="20"/>
          <w:szCs w:val="20"/>
          <w:lang w:val="fr-FR"/>
        </w:rPr>
        <w:t>.</w:t>
      </w:r>
    </w:p>
    <w:p w14:paraId="12B2C097" w14:textId="29FBDD65" w:rsidR="00746026" w:rsidRPr="00286B98" w:rsidRDefault="00973FD4" w:rsidP="00973FD4">
      <w:pPr>
        <w:widowControl w:val="0"/>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5.</w:t>
      </w:r>
      <w:r w:rsidR="00AA20FC">
        <w:rPr>
          <w:rFonts w:ascii="Verdana" w:eastAsia="Verdana" w:hAnsi="Verdana" w:cs="Verdana"/>
          <w:sz w:val="20"/>
          <w:szCs w:val="20"/>
          <w:lang w:val="fr-FR"/>
        </w:rPr>
        <w:t>6</w:t>
      </w:r>
      <w:r w:rsidRPr="00286B98">
        <w:rPr>
          <w:rFonts w:ascii="Verdana" w:eastAsia="Verdana" w:hAnsi="Verdana" w:cs="Verdana"/>
          <w:sz w:val="20"/>
          <w:szCs w:val="20"/>
          <w:lang w:val="fr-FR"/>
        </w:rPr>
        <w:t xml:space="preserve">. Les États peuvent exiger des plateformes en ligne que dans un cadre de </w:t>
      </w:r>
      <w:proofErr w:type="spellStart"/>
      <w:r w:rsidRPr="00286B98">
        <w:rPr>
          <w:rFonts w:ascii="Verdana" w:eastAsia="Verdana" w:hAnsi="Verdana" w:cs="Verdana"/>
          <w:sz w:val="20"/>
          <w:szCs w:val="20"/>
          <w:lang w:val="fr-FR"/>
        </w:rPr>
        <w:t>corégulation</w:t>
      </w:r>
      <w:proofErr w:type="spellEnd"/>
      <w:r w:rsidRPr="00286B98">
        <w:rPr>
          <w:rFonts w:ascii="Verdana" w:eastAsia="Verdana" w:hAnsi="Verdana" w:cs="Verdana"/>
          <w:sz w:val="20"/>
          <w:szCs w:val="20"/>
          <w:lang w:val="fr-FR"/>
        </w:rPr>
        <w:t>, elles contribuent en période électorale à faire appliquer les règles de silence électoral ou l’interdiction des sondages d’opinion.</w:t>
      </w:r>
    </w:p>
    <w:p w14:paraId="1AF2F8E4" w14:textId="77777777" w:rsidR="00746026" w:rsidRPr="00286B98" w:rsidRDefault="00746026" w:rsidP="00746026">
      <w:pPr>
        <w:widowControl w:val="0"/>
        <w:spacing w:line="259" w:lineRule="auto"/>
        <w:jc w:val="both"/>
        <w:rPr>
          <w:rFonts w:ascii="Verdana" w:eastAsia="Verdana" w:hAnsi="Verdana" w:cs="Verdana"/>
          <w:color w:val="000000" w:themeColor="text1"/>
          <w:sz w:val="20"/>
          <w:szCs w:val="20"/>
          <w:lang w:val="fr-FR"/>
        </w:rPr>
      </w:pPr>
    </w:p>
    <w:p w14:paraId="16062977" w14:textId="05620221" w:rsidR="00381155" w:rsidRPr="00286B98" w:rsidRDefault="00973FD4" w:rsidP="00B21BF6">
      <w:pPr>
        <w:widowControl w:val="0"/>
        <w:spacing w:line="259" w:lineRule="auto"/>
        <w:jc w:val="both"/>
        <w:rPr>
          <w:rFonts w:ascii="Verdana" w:eastAsia="Verdana" w:hAnsi="Verdana" w:cs="Verdana"/>
          <w:color w:val="000000" w:themeColor="text1"/>
          <w:sz w:val="20"/>
          <w:szCs w:val="20"/>
          <w:lang w:val="fr-FR"/>
        </w:rPr>
      </w:pPr>
      <w:r w:rsidRPr="00286B98">
        <w:rPr>
          <w:rFonts w:ascii="Verdana" w:eastAsia="Verdana" w:hAnsi="Verdana" w:cs="Verdana"/>
          <w:color w:val="000000" w:themeColor="text1"/>
          <w:sz w:val="20"/>
          <w:szCs w:val="20"/>
          <w:lang w:val="fr-FR"/>
        </w:rPr>
        <w:t>5.</w:t>
      </w:r>
      <w:r w:rsidR="00AA20FC">
        <w:rPr>
          <w:rFonts w:ascii="Verdana" w:eastAsia="Verdana" w:hAnsi="Verdana" w:cs="Verdana"/>
          <w:color w:val="000000" w:themeColor="text1"/>
          <w:sz w:val="20"/>
          <w:szCs w:val="20"/>
          <w:lang w:val="fr-FR"/>
        </w:rPr>
        <w:t>7</w:t>
      </w:r>
      <w:r w:rsidRPr="00286B98">
        <w:rPr>
          <w:rFonts w:ascii="Verdana" w:eastAsia="Verdana" w:hAnsi="Verdana" w:cs="Verdana"/>
          <w:color w:val="000000" w:themeColor="text1"/>
          <w:sz w:val="20"/>
          <w:szCs w:val="20"/>
          <w:lang w:val="fr-FR"/>
        </w:rPr>
        <w:t>. Les États devraient veiller à ce que les flux de données et de contenus en ligne relatifs à des sujets électoraux soient traités de manière égale et non discriminatoire par les fournisseurs de services internet concernés, conformément au principe de la neutralité du réseau tel qu’énoncé dans la Recommandation CM/Rec(2016)1 du Comité des Ministres aux États membres sur la protection et la promotion du droit à la liberté d</w:t>
      </w:r>
      <w:r w:rsidR="00F52E70">
        <w:rPr>
          <w:rFonts w:ascii="Verdana" w:eastAsia="Verdana" w:hAnsi="Verdana" w:cs="Verdana"/>
          <w:color w:val="000000" w:themeColor="text1"/>
          <w:sz w:val="20"/>
          <w:szCs w:val="20"/>
          <w:lang w:val="fr-FR"/>
        </w:rPr>
        <w:t>’</w:t>
      </w:r>
      <w:r w:rsidRPr="00286B98">
        <w:rPr>
          <w:rFonts w:ascii="Verdana" w:eastAsia="Verdana" w:hAnsi="Verdana" w:cs="Verdana"/>
          <w:color w:val="000000" w:themeColor="text1"/>
          <w:sz w:val="20"/>
          <w:szCs w:val="20"/>
          <w:lang w:val="fr-FR"/>
        </w:rPr>
        <w:t>expression et du droit à la vie privée en lien avec la neutralité du réseau.</w:t>
      </w:r>
      <w:r w:rsidR="00746026" w:rsidRPr="00286B98">
        <w:rPr>
          <w:rFonts w:ascii="Verdana" w:eastAsia="Verdana" w:hAnsi="Verdana" w:cs="Verdana"/>
          <w:color w:val="000000" w:themeColor="text1"/>
          <w:sz w:val="20"/>
          <w:szCs w:val="20"/>
          <w:lang w:val="fr-FR"/>
        </w:rPr>
        <w:t xml:space="preserve"> </w:t>
      </w:r>
      <w:r w:rsidRPr="00286B98">
        <w:rPr>
          <w:rFonts w:ascii="Verdana" w:eastAsia="Verdana" w:hAnsi="Verdana" w:cs="Verdana"/>
          <w:color w:val="000000" w:themeColor="text1"/>
          <w:sz w:val="20"/>
          <w:szCs w:val="20"/>
          <w:lang w:val="fr-FR"/>
        </w:rPr>
        <w:t>En période électorale en particulier, il convient d’empêcher les fournisseurs de services internet concernés de déterminer unilatéralement la disponibilité effective des données en ligne.</w:t>
      </w:r>
    </w:p>
    <w:p w14:paraId="19F4B971" w14:textId="77777777" w:rsidR="00B21BF6" w:rsidRPr="00286B98" w:rsidRDefault="00B21BF6" w:rsidP="00B21BF6">
      <w:pPr>
        <w:widowControl w:val="0"/>
        <w:spacing w:line="259" w:lineRule="auto"/>
        <w:jc w:val="both"/>
        <w:rPr>
          <w:rFonts w:ascii="Verdana" w:eastAsia="Verdana" w:hAnsi="Verdana" w:cs="Verdana"/>
          <w:sz w:val="20"/>
          <w:szCs w:val="20"/>
          <w:lang w:val="fr-FR"/>
        </w:rPr>
      </w:pPr>
    </w:p>
    <w:p w14:paraId="6B6BF969" w14:textId="79921E69" w:rsidR="00D21F6D" w:rsidRPr="00286B98" w:rsidRDefault="00B21BF6" w:rsidP="00910CFB">
      <w:pPr>
        <w:widowControl w:val="0"/>
        <w:spacing w:line="259" w:lineRule="auto"/>
        <w:ind w:firstLine="720"/>
        <w:jc w:val="both"/>
        <w:rPr>
          <w:rFonts w:ascii="Verdana" w:eastAsia="Verdana" w:hAnsi="Verdana" w:cs="Verdana"/>
          <w:b/>
          <w:sz w:val="20"/>
          <w:szCs w:val="20"/>
          <w:lang w:val="fr-FR"/>
        </w:rPr>
      </w:pPr>
      <w:r w:rsidRPr="00286B98">
        <w:rPr>
          <w:rFonts w:ascii="Verdana" w:eastAsia="Verdana" w:hAnsi="Verdana" w:cs="Verdana"/>
          <w:b/>
          <w:sz w:val="20"/>
          <w:szCs w:val="20"/>
          <w:lang w:val="fr-FR"/>
        </w:rPr>
        <w:t xml:space="preserve">6. </w:t>
      </w:r>
      <w:r w:rsidR="00910CFB" w:rsidRPr="00286B98">
        <w:rPr>
          <w:rFonts w:ascii="Verdana" w:eastAsia="Verdana" w:hAnsi="Verdana" w:cs="Verdana"/>
          <w:b/>
          <w:sz w:val="20"/>
          <w:szCs w:val="20"/>
          <w:lang w:val="fr-FR"/>
        </w:rPr>
        <w:t>Vie privée, consentement et microciblage</w:t>
      </w:r>
    </w:p>
    <w:p w14:paraId="7A1FA50C" w14:textId="77777777" w:rsidR="00B21BF6" w:rsidRPr="00286B98" w:rsidRDefault="00B21BF6" w:rsidP="00B21BF6">
      <w:pPr>
        <w:widowControl w:val="0"/>
        <w:spacing w:line="259" w:lineRule="auto"/>
        <w:jc w:val="both"/>
        <w:rPr>
          <w:rFonts w:ascii="Verdana" w:eastAsia="Verdana" w:hAnsi="Verdana" w:cs="Verdana"/>
          <w:sz w:val="20"/>
          <w:szCs w:val="20"/>
          <w:lang w:val="fr-FR"/>
        </w:rPr>
      </w:pPr>
    </w:p>
    <w:p w14:paraId="284C121B" w14:textId="2BBE1413" w:rsidR="00D21F6D" w:rsidRDefault="00B21BF6" w:rsidP="00910CFB">
      <w:pPr>
        <w:pBdr>
          <w:top w:val="nil"/>
          <w:left w:val="nil"/>
          <w:bottom w:val="nil"/>
          <w:right w:val="nil"/>
          <w:between w:val="nil"/>
        </w:pBd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6</w:t>
      </w:r>
      <w:r w:rsidR="0070442D" w:rsidRPr="00286B98">
        <w:rPr>
          <w:rFonts w:ascii="Verdana" w:eastAsia="Verdana" w:hAnsi="Verdana" w:cs="Verdana"/>
          <w:sz w:val="20"/>
          <w:szCs w:val="20"/>
          <w:lang w:val="fr-FR"/>
        </w:rPr>
        <w:t>.1.</w:t>
      </w:r>
      <w:r w:rsidR="0070442D" w:rsidRPr="00286B98">
        <w:rPr>
          <w:rFonts w:ascii="Verdana" w:eastAsia="Verdana" w:hAnsi="Verdana" w:cs="Verdana"/>
          <w:sz w:val="20"/>
          <w:szCs w:val="20"/>
          <w:lang w:val="fr-FR"/>
        </w:rPr>
        <w:tab/>
      </w:r>
      <w:r w:rsidR="00910CFB" w:rsidRPr="00286B98">
        <w:rPr>
          <w:rFonts w:ascii="Verdana" w:eastAsia="Verdana" w:hAnsi="Verdana" w:cs="Verdana"/>
          <w:sz w:val="20"/>
          <w:szCs w:val="20"/>
          <w:lang w:val="fr-FR"/>
        </w:rPr>
        <w:t xml:space="preserve">Les États devraient examiner les incidences de la publicité politique ciblée ou </w:t>
      </w:r>
      <w:proofErr w:type="spellStart"/>
      <w:r w:rsidR="00910CFB" w:rsidRPr="00286B98">
        <w:rPr>
          <w:rFonts w:ascii="Verdana" w:eastAsia="Verdana" w:hAnsi="Verdana" w:cs="Verdana"/>
          <w:sz w:val="20"/>
          <w:szCs w:val="20"/>
          <w:lang w:val="fr-FR"/>
        </w:rPr>
        <w:t>microciblée</w:t>
      </w:r>
      <w:proofErr w:type="spellEnd"/>
      <w:r w:rsidR="00910CFB" w:rsidRPr="00286B98">
        <w:rPr>
          <w:rFonts w:ascii="Verdana" w:eastAsia="Verdana" w:hAnsi="Verdana" w:cs="Verdana"/>
          <w:sz w:val="20"/>
          <w:szCs w:val="20"/>
          <w:lang w:val="fr-FR"/>
        </w:rPr>
        <w:t xml:space="preserve"> sur le </w:t>
      </w:r>
      <w:r w:rsidR="00910CFB" w:rsidRPr="00D96AA4">
        <w:rPr>
          <w:rFonts w:ascii="Verdana" w:eastAsia="Verdana" w:hAnsi="Verdana" w:cs="Verdana"/>
          <w:sz w:val="20"/>
          <w:szCs w:val="20"/>
          <w:lang w:val="fr-FR"/>
        </w:rPr>
        <w:t xml:space="preserve">comportement de vote des citoyens ainsi que sur leur droit à l’information, dont l’accès aux informations et </w:t>
      </w:r>
      <w:r w:rsidR="00D96AA4" w:rsidRPr="00D96AA4">
        <w:rPr>
          <w:rFonts w:ascii="Verdana" w:eastAsia="Verdana" w:hAnsi="Verdana"/>
          <w:sz w:val="20"/>
          <w:lang w:val="fr-FR"/>
        </w:rPr>
        <w:t>l'exposition à des points de vue politiquement divers</w:t>
      </w:r>
      <w:r w:rsidR="00910CFB" w:rsidRPr="00D96AA4">
        <w:rPr>
          <w:rFonts w:ascii="Verdana" w:eastAsia="Verdana" w:hAnsi="Verdana" w:cs="Verdana"/>
          <w:sz w:val="20"/>
          <w:szCs w:val="20"/>
          <w:lang w:val="fr-FR"/>
        </w:rPr>
        <w:t xml:space="preserve">, </w:t>
      </w:r>
      <w:r w:rsidR="00910CFB" w:rsidRPr="001A192E">
        <w:rPr>
          <w:rFonts w:ascii="Verdana" w:eastAsia="Verdana" w:hAnsi="Verdana" w:cs="Verdana"/>
          <w:sz w:val="20"/>
          <w:szCs w:val="20"/>
          <w:lang w:val="fr-FR"/>
        </w:rPr>
        <w:t>et sur le droit à la libre expression de l’opinion sur le choix du corps législatif.</w:t>
      </w:r>
      <w:r w:rsidR="0070442D" w:rsidRPr="001A192E">
        <w:rPr>
          <w:rFonts w:ascii="Verdana" w:eastAsia="Verdana" w:hAnsi="Verdana" w:cs="Verdana"/>
          <w:sz w:val="20"/>
          <w:szCs w:val="20"/>
          <w:lang w:val="fr-FR"/>
        </w:rPr>
        <w:t xml:space="preserve"> </w:t>
      </w:r>
      <w:r w:rsidR="00910CFB" w:rsidRPr="001A192E">
        <w:rPr>
          <w:rFonts w:ascii="Verdana" w:eastAsia="Verdana" w:hAnsi="Verdana" w:cs="Verdana"/>
          <w:sz w:val="20"/>
          <w:szCs w:val="20"/>
          <w:lang w:val="fr-FR"/>
        </w:rPr>
        <w:t xml:space="preserve">À cette fin, les États devraient s’assurer que leurs législations et politiques de protection des données applicables </w:t>
      </w:r>
      <w:r w:rsidR="007E765A" w:rsidRPr="001A192E">
        <w:rPr>
          <w:rFonts w:ascii="Verdana" w:eastAsia="Verdana" w:hAnsi="Verdana" w:cs="Verdana"/>
          <w:sz w:val="20"/>
          <w:szCs w:val="20"/>
          <w:lang w:val="fr-FR"/>
        </w:rPr>
        <w:t>dans le</w:t>
      </w:r>
      <w:r w:rsidR="00910CFB" w:rsidRPr="001A192E">
        <w:rPr>
          <w:rFonts w:ascii="Verdana" w:eastAsia="Verdana" w:hAnsi="Verdana" w:cs="Verdana"/>
          <w:sz w:val="20"/>
          <w:szCs w:val="20"/>
          <w:lang w:val="fr-FR"/>
        </w:rPr>
        <w:t xml:space="preserve"> contexte des campagnes et de la communication électorales respectent pleinement les exigences de protection des données prévues par les cadres juridiques existants en la matière, dont les normes internationales énoncées dans la </w:t>
      </w:r>
      <w:r w:rsidR="001A192E" w:rsidRPr="001A192E">
        <w:rPr>
          <w:rFonts w:ascii="Verdana" w:eastAsia="Verdana" w:hAnsi="Verdana" w:cs="Verdana"/>
          <w:sz w:val="20"/>
          <w:szCs w:val="20"/>
          <w:lang w:val="fr-FR"/>
        </w:rPr>
        <w:t xml:space="preserve">Convention 108 et la </w:t>
      </w:r>
      <w:r w:rsidR="001A192E" w:rsidRPr="001A192E">
        <w:rPr>
          <w:rFonts w:ascii="Verdana" w:hAnsi="Verdana"/>
          <w:sz w:val="20"/>
          <w:lang w:val="fr-FR"/>
        </w:rPr>
        <w:t xml:space="preserve">Convention </w:t>
      </w:r>
      <w:r w:rsidR="001A192E" w:rsidRPr="001A192E">
        <w:rPr>
          <w:rFonts w:ascii="Verdana" w:eastAsia="Verdana" w:hAnsi="Verdana" w:cs="Verdana"/>
          <w:sz w:val="20"/>
          <w:szCs w:val="20"/>
          <w:lang w:val="fr-FR"/>
        </w:rPr>
        <w:t xml:space="preserve">108 </w:t>
      </w:r>
      <w:r w:rsidR="001A192E" w:rsidRPr="001A192E">
        <w:rPr>
          <w:rFonts w:ascii="Verdana" w:hAnsi="Verdana"/>
          <w:sz w:val="20"/>
          <w:lang w:val="fr-FR"/>
        </w:rPr>
        <w:t>modernisée</w:t>
      </w:r>
      <w:r w:rsidR="001A192E" w:rsidRPr="001A192E">
        <w:rPr>
          <w:rFonts w:ascii="Verdana" w:eastAsia="Verdana" w:hAnsi="Verdana" w:cs="Verdana"/>
          <w:sz w:val="20"/>
          <w:szCs w:val="20"/>
          <w:lang w:val="fr-FR"/>
        </w:rPr>
        <w:t>.</w:t>
      </w:r>
    </w:p>
    <w:p w14:paraId="095F4B16" w14:textId="77777777" w:rsidR="00D21F6D" w:rsidRPr="00286B98" w:rsidRDefault="00D21F6D" w:rsidP="00B21BF6">
      <w:pPr>
        <w:pBdr>
          <w:top w:val="nil"/>
          <w:left w:val="nil"/>
          <w:bottom w:val="nil"/>
          <w:right w:val="nil"/>
          <w:between w:val="nil"/>
        </w:pBdr>
        <w:spacing w:line="259" w:lineRule="auto"/>
        <w:jc w:val="both"/>
        <w:rPr>
          <w:rFonts w:ascii="Verdana" w:eastAsia="Verdana" w:hAnsi="Verdana" w:cs="Verdana"/>
          <w:sz w:val="20"/>
          <w:szCs w:val="20"/>
          <w:lang w:val="fr-FR"/>
        </w:rPr>
      </w:pPr>
    </w:p>
    <w:p w14:paraId="2E06E1FE" w14:textId="608E1ADA" w:rsidR="001C0391" w:rsidRPr="00286B98" w:rsidRDefault="00B21BF6" w:rsidP="00CB0B86">
      <w:pPr>
        <w:pBdr>
          <w:top w:val="nil"/>
          <w:left w:val="nil"/>
          <w:bottom w:val="nil"/>
          <w:right w:val="nil"/>
          <w:between w:val="nil"/>
        </w:pBd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6</w:t>
      </w:r>
      <w:r w:rsidR="0070442D" w:rsidRPr="00286B98">
        <w:rPr>
          <w:rFonts w:ascii="Verdana" w:eastAsia="Verdana" w:hAnsi="Verdana" w:cs="Verdana"/>
          <w:sz w:val="20"/>
          <w:szCs w:val="20"/>
          <w:lang w:val="fr-FR"/>
        </w:rPr>
        <w:t>.2.</w:t>
      </w:r>
      <w:r w:rsidR="0070442D" w:rsidRPr="00286B98">
        <w:rPr>
          <w:rFonts w:ascii="Verdana" w:eastAsia="Verdana" w:hAnsi="Verdana" w:cs="Verdana"/>
          <w:sz w:val="20"/>
          <w:szCs w:val="20"/>
          <w:lang w:val="fr-FR"/>
        </w:rPr>
        <w:tab/>
      </w:r>
      <w:r w:rsidR="00910CFB" w:rsidRPr="00286B98">
        <w:rPr>
          <w:rFonts w:ascii="Verdana" w:eastAsia="Verdana" w:hAnsi="Verdana" w:cs="Verdana"/>
          <w:sz w:val="20"/>
          <w:szCs w:val="20"/>
          <w:lang w:val="fr-FR"/>
        </w:rPr>
        <w:t xml:space="preserve">Les États devraient veiller à ce que les plateformes en ligne informent les citoyens, au cas par cas, sur les raisons pour lesquelles ils sont ciblés par des publicités politiques, avec le même degré de </w:t>
      </w:r>
      <w:r w:rsidR="00CB0B86" w:rsidRPr="00286B98">
        <w:rPr>
          <w:rFonts w:ascii="Verdana" w:eastAsia="Verdana" w:hAnsi="Verdana" w:cs="Verdana"/>
          <w:sz w:val="20"/>
          <w:szCs w:val="20"/>
          <w:lang w:val="fr-FR"/>
        </w:rPr>
        <w:t xml:space="preserve">finesse </w:t>
      </w:r>
      <w:r w:rsidR="00910CFB" w:rsidRPr="00286B98">
        <w:rPr>
          <w:rFonts w:ascii="Verdana" w:eastAsia="Verdana" w:hAnsi="Verdana" w:cs="Verdana"/>
          <w:sz w:val="20"/>
          <w:szCs w:val="20"/>
          <w:lang w:val="fr-FR"/>
        </w:rPr>
        <w:t>que celui accessible aux annonceurs pour sélectionner leurs destinataires.</w:t>
      </w:r>
    </w:p>
    <w:p w14:paraId="7BD0E990" w14:textId="77777777" w:rsidR="00D21F6D" w:rsidRPr="00286B98" w:rsidRDefault="00D21F6D" w:rsidP="00B21BF6">
      <w:pPr>
        <w:pBdr>
          <w:top w:val="nil"/>
          <w:left w:val="nil"/>
          <w:bottom w:val="nil"/>
          <w:right w:val="nil"/>
          <w:between w:val="nil"/>
        </w:pBdr>
        <w:spacing w:line="259" w:lineRule="auto"/>
        <w:jc w:val="both"/>
        <w:rPr>
          <w:rFonts w:ascii="Verdana" w:eastAsia="Verdana" w:hAnsi="Verdana" w:cs="Verdana"/>
          <w:sz w:val="20"/>
          <w:szCs w:val="20"/>
          <w:lang w:val="fr-FR"/>
        </w:rPr>
      </w:pPr>
    </w:p>
    <w:p w14:paraId="16B03FCF" w14:textId="685F6075" w:rsidR="001C0391" w:rsidRPr="00286B98" w:rsidRDefault="00B21BF6" w:rsidP="00910CFB">
      <w:pPr>
        <w:pBdr>
          <w:top w:val="nil"/>
          <w:left w:val="nil"/>
          <w:bottom w:val="nil"/>
          <w:right w:val="nil"/>
          <w:between w:val="nil"/>
        </w:pBd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6</w:t>
      </w:r>
      <w:r w:rsidR="0070442D" w:rsidRPr="00286B98">
        <w:rPr>
          <w:rFonts w:ascii="Verdana" w:eastAsia="Verdana" w:hAnsi="Verdana" w:cs="Verdana"/>
          <w:sz w:val="20"/>
          <w:szCs w:val="20"/>
          <w:lang w:val="fr-FR"/>
        </w:rPr>
        <w:t>.3.</w:t>
      </w:r>
      <w:r w:rsidR="0070442D" w:rsidRPr="00286B98">
        <w:rPr>
          <w:rFonts w:ascii="Verdana" w:eastAsia="Verdana" w:hAnsi="Verdana" w:cs="Verdana"/>
          <w:sz w:val="20"/>
          <w:szCs w:val="20"/>
          <w:lang w:val="fr-FR"/>
        </w:rPr>
        <w:tab/>
      </w:r>
      <w:r w:rsidR="00910CFB" w:rsidRPr="00286B98">
        <w:rPr>
          <w:rFonts w:ascii="Verdana" w:eastAsia="Verdana" w:hAnsi="Verdana" w:cs="Verdana"/>
          <w:sz w:val="20"/>
          <w:szCs w:val="20"/>
          <w:lang w:val="fr-FR"/>
        </w:rPr>
        <w:t>Les États devraient exiger des plateformes en ligne qu’elles créent des outils permettant aux citoyens de refuser la publicité politique en ligne.</w:t>
      </w:r>
    </w:p>
    <w:p w14:paraId="624FB326" w14:textId="77777777" w:rsidR="00D21F6D" w:rsidRPr="00286B98" w:rsidRDefault="00D21F6D" w:rsidP="00B21BF6">
      <w:pPr>
        <w:pBdr>
          <w:top w:val="nil"/>
          <w:left w:val="nil"/>
          <w:bottom w:val="nil"/>
          <w:right w:val="nil"/>
          <w:between w:val="nil"/>
        </w:pBdr>
        <w:spacing w:line="259" w:lineRule="auto"/>
        <w:jc w:val="both"/>
        <w:rPr>
          <w:rFonts w:ascii="Verdana" w:eastAsia="Verdana" w:hAnsi="Verdana" w:cs="Verdana"/>
          <w:sz w:val="20"/>
          <w:szCs w:val="20"/>
          <w:lang w:val="fr-FR"/>
        </w:rPr>
      </w:pPr>
    </w:p>
    <w:p w14:paraId="6AA2A9EF" w14:textId="3F379CFA" w:rsidR="001C0391" w:rsidRPr="00286B98" w:rsidRDefault="00B21BF6" w:rsidP="00910CFB">
      <w:pPr>
        <w:pBdr>
          <w:top w:val="nil"/>
          <w:left w:val="nil"/>
          <w:bottom w:val="nil"/>
          <w:right w:val="nil"/>
          <w:between w:val="nil"/>
        </w:pBd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6</w:t>
      </w:r>
      <w:r w:rsidR="0070442D" w:rsidRPr="00286B98">
        <w:rPr>
          <w:rFonts w:ascii="Verdana" w:eastAsia="Verdana" w:hAnsi="Verdana" w:cs="Verdana"/>
          <w:sz w:val="20"/>
          <w:szCs w:val="20"/>
          <w:lang w:val="fr-FR"/>
        </w:rPr>
        <w:t>.4.</w:t>
      </w:r>
      <w:r w:rsidR="0070442D" w:rsidRPr="00286B98">
        <w:rPr>
          <w:rFonts w:ascii="Verdana" w:eastAsia="Verdana" w:hAnsi="Verdana" w:cs="Verdana"/>
          <w:sz w:val="20"/>
          <w:szCs w:val="20"/>
          <w:lang w:val="fr-FR"/>
        </w:rPr>
        <w:tab/>
      </w:r>
      <w:r w:rsidR="00910CFB" w:rsidRPr="00286B98">
        <w:rPr>
          <w:rFonts w:ascii="Verdana" w:eastAsia="Verdana" w:hAnsi="Verdana" w:cs="Verdana"/>
          <w:sz w:val="20"/>
          <w:szCs w:val="20"/>
          <w:lang w:val="fr-FR"/>
        </w:rPr>
        <w:t xml:space="preserve">Les États devraient prévoir des mécanismes formels de collaboration entre les autorités de régulation indépendantes et les </w:t>
      </w:r>
      <w:r w:rsidR="001C0391" w:rsidRPr="001C0391">
        <w:rPr>
          <w:rFonts w:ascii="Verdana" w:eastAsia="Verdana" w:hAnsi="Verdana" w:cs="Verdana"/>
          <w:sz w:val="20"/>
          <w:szCs w:val="20"/>
          <w:lang w:val="fr-FR"/>
        </w:rPr>
        <w:t>autorités chargées de la protection des données</w:t>
      </w:r>
      <w:r w:rsidR="00910CFB" w:rsidRPr="00286B98">
        <w:rPr>
          <w:rFonts w:ascii="Verdana" w:eastAsia="Verdana" w:hAnsi="Verdana" w:cs="Verdana"/>
          <w:sz w:val="20"/>
          <w:szCs w:val="20"/>
          <w:lang w:val="fr-FR"/>
        </w:rPr>
        <w:t xml:space="preserve">, afin </w:t>
      </w:r>
      <w:r w:rsidR="001A192E" w:rsidRPr="001A192E">
        <w:rPr>
          <w:rFonts w:ascii="Verdana" w:eastAsia="Verdana" w:hAnsi="Verdana" w:cs="Verdana"/>
          <w:sz w:val="20"/>
          <w:szCs w:val="20"/>
          <w:lang w:val="fr-FR"/>
        </w:rPr>
        <w:t xml:space="preserve">de leur permettre de définir efficacement des orientations sur le </w:t>
      </w:r>
      <w:proofErr w:type="spellStart"/>
      <w:r w:rsidR="001A192E" w:rsidRPr="001A192E">
        <w:rPr>
          <w:rFonts w:ascii="Verdana" w:eastAsia="Verdana" w:hAnsi="Verdana" w:cs="Verdana"/>
          <w:sz w:val="20"/>
          <w:szCs w:val="20"/>
          <w:lang w:val="fr-FR"/>
        </w:rPr>
        <w:t>microciblage</w:t>
      </w:r>
      <w:proofErr w:type="spellEnd"/>
      <w:r w:rsidR="001A192E" w:rsidRPr="001A192E">
        <w:rPr>
          <w:rFonts w:ascii="Verdana" w:eastAsia="Verdana" w:hAnsi="Verdana" w:cs="Verdana"/>
          <w:sz w:val="20"/>
          <w:szCs w:val="20"/>
          <w:lang w:val="fr-FR"/>
        </w:rPr>
        <w:t xml:space="preserve"> politique pour informer les citoyens de leurs droits en matière de protection des données.</w:t>
      </w:r>
    </w:p>
    <w:p w14:paraId="4A8B8415" w14:textId="77777777" w:rsidR="00D21F6D" w:rsidRPr="00286B98" w:rsidRDefault="00D21F6D" w:rsidP="00B21BF6">
      <w:pPr>
        <w:pBdr>
          <w:top w:val="nil"/>
          <w:left w:val="nil"/>
          <w:bottom w:val="nil"/>
          <w:right w:val="nil"/>
          <w:between w:val="nil"/>
        </w:pBdr>
        <w:spacing w:line="259" w:lineRule="auto"/>
        <w:jc w:val="both"/>
        <w:rPr>
          <w:rFonts w:ascii="Verdana" w:eastAsia="Verdana" w:hAnsi="Verdana" w:cs="Verdana"/>
          <w:sz w:val="20"/>
          <w:szCs w:val="20"/>
          <w:lang w:val="fr-FR"/>
        </w:rPr>
      </w:pPr>
    </w:p>
    <w:p w14:paraId="5FB1E8B4" w14:textId="135696F1" w:rsidR="00D96AA4" w:rsidRPr="001A192E" w:rsidRDefault="00B21BF6" w:rsidP="00D96AA4">
      <w:pPr>
        <w:pBdr>
          <w:top w:val="nil"/>
          <w:left w:val="nil"/>
          <w:bottom w:val="nil"/>
          <w:right w:val="nil"/>
          <w:between w:val="nil"/>
        </w:pBd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6</w:t>
      </w:r>
      <w:r w:rsidR="0070442D" w:rsidRPr="00286B98">
        <w:rPr>
          <w:rFonts w:ascii="Verdana" w:eastAsia="Verdana" w:hAnsi="Verdana" w:cs="Verdana"/>
          <w:sz w:val="20"/>
          <w:szCs w:val="20"/>
          <w:lang w:val="fr-FR"/>
        </w:rPr>
        <w:t>.5.</w:t>
      </w:r>
      <w:r w:rsidR="0070442D" w:rsidRPr="00286B98">
        <w:rPr>
          <w:rFonts w:ascii="Verdana" w:eastAsia="Verdana" w:hAnsi="Verdana" w:cs="Verdana"/>
          <w:sz w:val="20"/>
          <w:szCs w:val="20"/>
          <w:lang w:val="fr-FR"/>
        </w:rPr>
        <w:tab/>
      </w:r>
      <w:r w:rsidR="00910CFB" w:rsidRPr="00286B98">
        <w:rPr>
          <w:rFonts w:ascii="Verdana" w:eastAsia="Verdana" w:hAnsi="Verdana" w:cs="Verdana"/>
          <w:sz w:val="20"/>
          <w:szCs w:val="20"/>
          <w:lang w:val="fr-FR"/>
        </w:rPr>
        <w:t xml:space="preserve">Les </w:t>
      </w:r>
      <w:r w:rsidR="00910CFB" w:rsidRPr="001A192E">
        <w:rPr>
          <w:rFonts w:ascii="Verdana" w:eastAsia="Verdana" w:hAnsi="Verdana" w:cs="Verdana"/>
          <w:sz w:val="20"/>
          <w:szCs w:val="20"/>
          <w:lang w:val="fr-FR"/>
        </w:rPr>
        <w:t>partis politiques</w:t>
      </w:r>
      <w:r w:rsidR="001A192E" w:rsidRPr="001A192E">
        <w:rPr>
          <w:rFonts w:ascii="Verdana" w:eastAsia="Verdana" w:hAnsi="Verdana" w:cs="Verdana"/>
          <w:sz w:val="20"/>
          <w:szCs w:val="20"/>
          <w:lang w:val="fr-FR"/>
        </w:rPr>
        <w:t>,</w:t>
      </w:r>
      <w:r w:rsidR="00910CFB" w:rsidRPr="001A192E">
        <w:rPr>
          <w:rFonts w:ascii="Verdana" w:eastAsia="Verdana" w:hAnsi="Verdana" w:cs="Verdana"/>
          <w:sz w:val="20"/>
          <w:szCs w:val="20"/>
          <w:lang w:val="fr-FR"/>
        </w:rPr>
        <w:t xml:space="preserve"> </w:t>
      </w:r>
      <w:r w:rsidR="001A192E" w:rsidRPr="001A192E">
        <w:rPr>
          <w:rFonts w:ascii="Verdana" w:hAnsi="Verdana"/>
          <w:sz w:val="20"/>
          <w:lang w:val="fr-FR"/>
        </w:rPr>
        <w:t xml:space="preserve">les </w:t>
      </w:r>
      <w:r w:rsidR="001A192E" w:rsidRPr="001A192E">
        <w:rPr>
          <w:rFonts w:ascii="Verdana" w:eastAsia="Verdana" w:hAnsi="Verdana" w:cs="Verdana"/>
          <w:sz w:val="20"/>
          <w:szCs w:val="20"/>
          <w:lang w:val="fr-FR"/>
        </w:rPr>
        <w:t>groupes d'intérêt soutenant les partis</w:t>
      </w:r>
      <w:r w:rsidR="001A192E" w:rsidRPr="001A192E">
        <w:rPr>
          <w:rFonts w:ascii="Verdana" w:eastAsia="Verdana" w:hAnsi="Verdana" w:cs="Verdana"/>
          <w:sz w:val="20"/>
          <w:szCs w:val="20"/>
          <w:lang w:val="sl-SI"/>
        </w:rPr>
        <w:t xml:space="preserve">, les </w:t>
      </w:r>
      <w:r w:rsidR="001A192E" w:rsidRPr="001A192E">
        <w:rPr>
          <w:rFonts w:ascii="Verdana" w:hAnsi="Verdana"/>
          <w:sz w:val="20"/>
          <w:lang w:val="fr-FR"/>
        </w:rPr>
        <w:t xml:space="preserve">candidats </w:t>
      </w:r>
      <w:r w:rsidR="001A192E" w:rsidRPr="001A192E">
        <w:rPr>
          <w:rFonts w:ascii="Verdana" w:eastAsia="Verdana" w:hAnsi="Verdana" w:cs="Verdana"/>
          <w:sz w:val="20"/>
          <w:szCs w:val="20"/>
          <w:lang w:val="fr-FR"/>
        </w:rPr>
        <w:t xml:space="preserve">et les autres acteurs politiques </w:t>
      </w:r>
      <w:r w:rsidR="001A192E" w:rsidRPr="001A192E">
        <w:rPr>
          <w:rFonts w:ascii="Verdana" w:eastAsia="Verdana" w:hAnsi="Verdana"/>
          <w:sz w:val="20"/>
          <w:lang w:val="fr-FR"/>
        </w:rPr>
        <w:t xml:space="preserve">sont fortement encouragés à adopter des </w:t>
      </w:r>
      <w:r w:rsidR="001A192E" w:rsidRPr="001A192E">
        <w:rPr>
          <w:rFonts w:ascii="Verdana" w:eastAsia="Verdana" w:hAnsi="Verdana" w:cs="Verdana"/>
          <w:sz w:val="20"/>
          <w:szCs w:val="20"/>
          <w:lang w:val="fr-FR"/>
        </w:rPr>
        <w:t xml:space="preserve">codes </w:t>
      </w:r>
      <w:r w:rsidR="001A192E" w:rsidRPr="001A192E">
        <w:rPr>
          <w:rFonts w:ascii="Verdana" w:hAnsi="Verdana"/>
          <w:sz w:val="20"/>
          <w:lang w:val="fr-FR"/>
        </w:rPr>
        <w:t xml:space="preserve">de </w:t>
      </w:r>
      <w:r w:rsidR="001A192E" w:rsidRPr="001A192E">
        <w:rPr>
          <w:rFonts w:ascii="Verdana" w:eastAsia="Verdana" w:hAnsi="Verdana" w:cs="Verdana"/>
          <w:sz w:val="20"/>
          <w:szCs w:val="20"/>
          <w:lang w:val="fr-FR"/>
        </w:rPr>
        <w:t xml:space="preserve">conduite </w:t>
      </w:r>
      <w:r w:rsidR="001A192E" w:rsidRPr="001A192E">
        <w:rPr>
          <w:rFonts w:ascii="Verdana" w:hAnsi="Verdana"/>
          <w:sz w:val="20"/>
          <w:lang w:val="fr-FR"/>
        </w:rPr>
        <w:t xml:space="preserve">visant à éviter l'abus des techniques de </w:t>
      </w:r>
      <w:proofErr w:type="spellStart"/>
      <w:r w:rsidR="001A192E" w:rsidRPr="001A192E">
        <w:rPr>
          <w:rFonts w:ascii="Verdana" w:hAnsi="Verdana"/>
          <w:sz w:val="20"/>
          <w:lang w:val="fr-FR"/>
        </w:rPr>
        <w:t>microciblage</w:t>
      </w:r>
      <w:proofErr w:type="spellEnd"/>
      <w:r w:rsidR="001A192E" w:rsidRPr="001A192E">
        <w:rPr>
          <w:rFonts w:ascii="Verdana" w:hAnsi="Verdana"/>
          <w:sz w:val="20"/>
          <w:lang w:val="fr-FR"/>
        </w:rPr>
        <w:t>.</w:t>
      </w:r>
    </w:p>
    <w:p w14:paraId="4C5C52FA" w14:textId="0CE82D3F" w:rsidR="00E224D5" w:rsidRPr="00286B98" w:rsidRDefault="00E224D5" w:rsidP="00B21BF6">
      <w:pPr>
        <w:pBdr>
          <w:top w:val="nil"/>
          <w:left w:val="nil"/>
          <w:bottom w:val="nil"/>
          <w:right w:val="nil"/>
          <w:between w:val="nil"/>
        </w:pBdr>
        <w:spacing w:line="259" w:lineRule="auto"/>
        <w:jc w:val="both"/>
        <w:rPr>
          <w:rFonts w:ascii="Verdana" w:eastAsia="Verdana" w:hAnsi="Verdana" w:cs="Verdana"/>
          <w:sz w:val="20"/>
          <w:szCs w:val="20"/>
          <w:lang w:val="fr-FR"/>
        </w:rPr>
      </w:pPr>
    </w:p>
    <w:p w14:paraId="4F08BE4C" w14:textId="2FF59FF7" w:rsidR="00E224D5" w:rsidRPr="00286B98" w:rsidRDefault="00B21BF6" w:rsidP="00910CFB">
      <w:pPr>
        <w:pBdr>
          <w:top w:val="nil"/>
          <w:left w:val="nil"/>
          <w:bottom w:val="nil"/>
          <w:right w:val="nil"/>
          <w:between w:val="nil"/>
        </w:pBdr>
        <w:spacing w:line="259" w:lineRule="auto"/>
        <w:ind w:firstLine="720"/>
        <w:jc w:val="both"/>
        <w:rPr>
          <w:rFonts w:ascii="Verdana" w:eastAsia="Verdana" w:hAnsi="Verdana" w:cs="Verdana"/>
          <w:b/>
          <w:bCs/>
          <w:sz w:val="20"/>
          <w:szCs w:val="20"/>
          <w:lang w:val="fr-FR"/>
        </w:rPr>
      </w:pPr>
      <w:r w:rsidRPr="00286B98">
        <w:rPr>
          <w:rFonts w:ascii="Verdana" w:eastAsia="Verdana" w:hAnsi="Verdana" w:cs="Verdana"/>
          <w:b/>
          <w:bCs/>
          <w:sz w:val="20"/>
          <w:szCs w:val="20"/>
          <w:lang w:val="fr-FR"/>
        </w:rPr>
        <w:t xml:space="preserve">7. </w:t>
      </w:r>
      <w:r w:rsidR="00910CFB" w:rsidRPr="00286B98">
        <w:rPr>
          <w:rFonts w:ascii="Verdana" w:eastAsia="Verdana" w:hAnsi="Verdana" w:cs="Verdana"/>
          <w:b/>
          <w:bCs/>
          <w:sz w:val="20"/>
          <w:szCs w:val="20"/>
          <w:lang w:val="fr-FR"/>
        </w:rPr>
        <w:t>Couverture médiatique des campagnes électorales</w:t>
      </w:r>
    </w:p>
    <w:p w14:paraId="4FF80621" w14:textId="77777777" w:rsidR="00E224D5" w:rsidRPr="00286B98" w:rsidRDefault="00E224D5" w:rsidP="00B21BF6">
      <w:pPr>
        <w:pBdr>
          <w:top w:val="nil"/>
          <w:left w:val="nil"/>
          <w:bottom w:val="nil"/>
          <w:right w:val="nil"/>
          <w:between w:val="nil"/>
        </w:pBdr>
        <w:spacing w:line="259" w:lineRule="auto"/>
        <w:jc w:val="both"/>
        <w:rPr>
          <w:rFonts w:ascii="Verdana" w:eastAsia="Verdana" w:hAnsi="Verdana" w:cs="Verdana"/>
          <w:sz w:val="20"/>
          <w:szCs w:val="20"/>
          <w:lang w:val="fr-FR"/>
        </w:rPr>
      </w:pPr>
    </w:p>
    <w:p w14:paraId="30944FDE" w14:textId="677C08F2" w:rsidR="00D62226" w:rsidRPr="00286B98" w:rsidRDefault="008879A6" w:rsidP="00586CBC">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7.1. </w:t>
      </w:r>
      <w:r w:rsidR="002B1173" w:rsidRPr="00286B98">
        <w:rPr>
          <w:rFonts w:ascii="Verdana" w:eastAsia="Verdana" w:hAnsi="Verdana" w:cs="Verdana"/>
          <w:sz w:val="20"/>
          <w:szCs w:val="20"/>
          <w:lang w:val="fr-FR"/>
        </w:rPr>
        <w:t>Vu l’impact des médias sur la formation de l’opinion publique</w:t>
      </w:r>
      <w:r w:rsidR="00586CBC" w:rsidRPr="00286B98">
        <w:rPr>
          <w:rFonts w:ascii="Verdana" w:eastAsia="Verdana" w:hAnsi="Verdana" w:cs="Verdana"/>
          <w:sz w:val="20"/>
          <w:szCs w:val="20"/>
          <w:lang w:val="fr-FR"/>
        </w:rPr>
        <w:t>, les principes généraux suivants, énoncés dans la Recommandation CM/</w:t>
      </w:r>
      <w:proofErr w:type="gramStart"/>
      <w:r w:rsidR="00586CBC" w:rsidRPr="00286B98">
        <w:rPr>
          <w:rFonts w:ascii="Verdana" w:eastAsia="Verdana" w:hAnsi="Verdana" w:cs="Verdana"/>
          <w:sz w:val="20"/>
          <w:szCs w:val="20"/>
          <w:lang w:val="fr-FR"/>
        </w:rPr>
        <w:t>Rec(</w:t>
      </w:r>
      <w:proofErr w:type="gramEnd"/>
      <w:r w:rsidR="00586CBC" w:rsidRPr="00286B98">
        <w:rPr>
          <w:rFonts w:ascii="Verdana" w:eastAsia="Verdana" w:hAnsi="Verdana" w:cs="Verdana"/>
          <w:sz w:val="20"/>
          <w:szCs w:val="20"/>
          <w:lang w:val="fr-FR"/>
        </w:rPr>
        <w:t>2007)15 concernant la couverture des campagnes électorales par les médias, devraient être considérés comme toujours valables au-delà des mutations du paysage des médias et de l’information :</w:t>
      </w:r>
    </w:p>
    <w:p w14:paraId="3694F8FC" w14:textId="64593D2F" w:rsidR="00D62226" w:rsidRPr="00B26E78" w:rsidRDefault="00586CBC" w:rsidP="00586CBC">
      <w:pPr>
        <w:pStyle w:val="ListParagraph"/>
        <w:numPr>
          <w:ilvl w:val="0"/>
          <w:numId w:val="14"/>
        </w:numPr>
        <w:pBdr>
          <w:top w:val="nil"/>
          <w:left w:val="nil"/>
          <w:bottom w:val="nil"/>
          <w:right w:val="nil"/>
          <w:between w:val="nil"/>
        </w:pBdr>
        <w:spacing w:line="259" w:lineRule="auto"/>
        <w:jc w:val="both"/>
        <w:rPr>
          <w:rFonts w:ascii="Verdana" w:hAnsi="Verdana"/>
          <w:sz w:val="20"/>
          <w:szCs w:val="20"/>
          <w:lang w:val="fr-FR"/>
        </w:rPr>
      </w:pPr>
      <w:proofErr w:type="gramStart"/>
      <w:r w:rsidRPr="00B26E78">
        <w:rPr>
          <w:rFonts w:ascii="Verdana" w:hAnsi="Verdana"/>
          <w:sz w:val="20"/>
          <w:szCs w:val="20"/>
          <w:lang w:val="fr-FR"/>
        </w:rPr>
        <w:lastRenderedPageBreak/>
        <w:t>non</w:t>
      </w:r>
      <w:proofErr w:type="gramEnd"/>
      <w:r w:rsidRPr="00B26E78">
        <w:rPr>
          <w:rFonts w:ascii="Verdana" w:hAnsi="Verdana"/>
          <w:sz w:val="20"/>
          <w:szCs w:val="20"/>
          <w:lang w:val="fr-FR"/>
        </w:rPr>
        <w:t>-in</w:t>
      </w:r>
      <w:r w:rsidR="007E765A">
        <w:rPr>
          <w:rFonts w:ascii="Verdana" w:hAnsi="Verdana"/>
          <w:sz w:val="20"/>
          <w:szCs w:val="20"/>
          <w:lang w:val="fr-FR"/>
        </w:rPr>
        <w:t>tervention</w:t>
      </w:r>
      <w:r w:rsidRPr="00B26E78">
        <w:rPr>
          <w:rFonts w:ascii="Verdana" w:hAnsi="Verdana"/>
          <w:sz w:val="20"/>
          <w:szCs w:val="20"/>
          <w:lang w:val="fr-FR"/>
        </w:rPr>
        <w:t xml:space="preserve"> des autorités publiques dans les activités des journalistes et des médias ;</w:t>
      </w:r>
    </w:p>
    <w:p w14:paraId="0C20B7C9" w14:textId="1A147332" w:rsidR="00D62226" w:rsidRPr="00B26E78" w:rsidRDefault="00586CBC" w:rsidP="00586CBC">
      <w:pPr>
        <w:pStyle w:val="ListParagraph"/>
        <w:numPr>
          <w:ilvl w:val="0"/>
          <w:numId w:val="14"/>
        </w:numPr>
        <w:pBdr>
          <w:top w:val="nil"/>
          <w:left w:val="nil"/>
          <w:bottom w:val="nil"/>
          <w:right w:val="nil"/>
          <w:between w:val="nil"/>
        </w:pBdr>
        <w:spacing w:line="259" w:lineRule="auto"/>
        <w:jc w:val="both"/>
        <w:rPr>
          <w:rFonts w:ascii="Verdana" w:hAnsi="Verdana"/>
          <w:sz w:val="20"/>
          <w:szCs w:val="20"/>
          <w:lang w:val="fr-FR"/>
        </w:rPr>
      </w:pPr>
      <w:proofErr w:type="gramStart"/>
      <w:r w:rsidRPr="00B26E78">
        <w:rPr>
          <w:rFonts w:ascii="Verdana" w:hAnsi="Verdana"/>
          <w:sz w:val="20"/>
          <w:szCs w:val="20"/>
          <w:lang w:val="fr-FR"/>
        </w:rPr>
        <w:t>mesures</w:t>
      </w:r>
      <w:proofErr w:type="gramEnd"/>
      <w:r w:rsidRPr="00B26E78">
        <w:rPr>
          <w:rFonts w:ascii="Verdana" w:hAnsi="Verdana"/>
          <w:sz w:val="20"/>
          <w:szCs w:val="20"/>
          <w:lang w:val="fr-FR"/>
        </w:rPr>
        <w:t xml:space="preserve"> de protection contre les attaques, les intimidations ou les autres pressions illégales sur les médias ;</w:t>
      </w:r>
    </w:p>
    <w:p w14:paraId="5E37647F" w14:textId="50E75B0D" w:rsidR="00D62226" w:rsidRPr="00B26E78" w:rsidRDefault="00586CBC" w:rsidP="00586CBC">
      <w:pPr>
        <w:pStyle w:val="ListParagraph"/>
        <w:numPr>
          <w:ilvl w:val="0"/>
          <w:numId w:val="14"/>
        </w:numPr>
        <w:pBdr>
          <w:top w:val="nil"/>
          <w:left w:val="nil"/>
          <w:bottom w:val="nil"/>
          <w:right w:val="nil"/>
          <w:between w:val="nil"/>
        </w:pBdr>
        <w:spacing w:line="259" w:lineRule="auto"/>
        <w:jc w:val="both"/>
        <w:rPr>
          <w:rFonts w:ascii="Verdana" w:hAnsi="Verdana"/>
          <w:sz w:val="20"/>
          <w:szCs w:val="20"/>
          <w:lang w:val="fr-FR"/>
        </w:rPr>
      </w:pPr>
      <w:proofErr w:type="gramStart"/>
      <w:r w:rsidRPr="00B26E78">
        <w:rPr>
          <w:rFonts w:ascii="Verdana" w:hAnsi="Verdana"/>
          <w:sz w:val="20"/>
          <w:szCs w:val="20"/>
          <w:lang w:val="fr-FR"/>
        </w:rPr>
        <w:t>indépendance</w:t>
      </w:r>
      <w:proofErr w:type="gramEnd"/>
      <w:r w:rsidRPr="00B26E78">
        <w:rPr>
          <w:rFonts w:ascii="Verdana" w:hAnsi="Verdana"/>
          <w:sz w:val="20"/>
          <w:szCs w:val="20"/>
          <w:lang w:val="fr-FR"/>
        </w:rPr>
        <w:t xml:space="preserve"> éditoriale des médias ;</w:t>
      </w:r>
    </w:p>
    <w:p w14:paraId="0E174B1C" w14:textId="5B8E8A40" w:rsidR="00D62226" w:rsidRPr="00B26E78" w:rsidRDefault="00586CBC" w:rsidP="00586CBC">
      <w:pPr>
        <w:pStyle w:val="ListParagraph"/>
        <w:numPr>
          <w:ilvl w:val="0"/>
          <w:numId w:val="14"/>
        </w:numPr>
        <w:pBdr>
          <w:top w:val="nil"/>
          <w:left w:val="nil"/>
          <w:bottom w:val="nil"/>
          <w:right w:val="nil"/>
          <w:between w:val="nil"/>
        </w:pBdr>
        <w:spacing w:line="259" w:lineRule="auto"/>
        <w:jc w:val="both"/>
        <w:rPr>
          <w:rFonts w:ascii="Verdana" w:hAnsi="Verdana"/>
          <w:sz w:val="20"/>
          <w:szCs w:val="20"/>
          <w:lang w:val="fr-FR"/>
        </w:rPr>
      </w:pPr>
      <w:proofErr w:type="gramStart"/>
      <w:r w:rsidRPr="00B26E78">
        <w:rPr>
          <w:rFonts w:ascii="Verdana" w:hAnsi="Verdana"/>
          <w:sz w:val="20"/>
          <w:szCs w:val="20"/>
          <w:lang w:val="fr-FR"/>
        </w:rPr>
        <w:t>égalité</w:t>
      </w:r>
      <w:proofErr w:type="gramEnd"/>
      <w:r w:rsidRPr="00B26E78">
        <w:rPr>
          <w:rFonts w:ascii="Verdana" w:hAnsi="Verdana"/>
          <w:sz w:val="20"/>
          <w:szCs w:val="20"/>
          <w:lang w:val="fr-FR"/>
        </w:rPr>
        <w:t xml:space="preserve"> et équité du traitement appliqué aux concurrents politiques dans les médias qui sont la propriété des pouvoirs publics ;</w:t>
      </w:r>
    </w:p>
    <w:p w14:paraId="2EA92506" w14:textId="5C34063E" w:rsidR="00D62226" w:rsidRPr="00B26E78" w:rsidRDefault="00586CBC" w:rsidP="00586CBC">
      <w:pPr>
        <w:pStyle w:val="ListParagraph"/>
        <w:numPr>
          <w:ilvl w:val="0"/>
          <w:numId w:val="14"/>
        </w:numPr>
        <w:pBdr>
          <w:top w:val="nil"/>
          <w:left w:val="nil"/>
          <w:bottom w:val="nil"/>
          <w:right w:val="nil"/>
          <w:between w:val="nil"/>
        </w:pBdr>
        <w:spacing w:line="259" w:lineRule="auto"/>
        <w:jc w:val="both"/>
        <w:rPr>
          <w:rFonts w:ascii="Verdana" w:hAnsi="Verdana"/>
          <w:sz w:val="20"/>
          <w:szCs w:val="20"/>
          <w:lang w:val="fr-FR"/>
        </w:rPr>
      </w:pPr>
      <w:proofErr w:type="gramStart"/>
      <w:r w:rsidRPr="00B26E78">
        <w:rPr>
          <w:rFonts w:ascii="Verdana" w:hAnsi="Verdana"/>
          <w:sz w:val="20"/>
          <w:szCs w:val="20"/>
          <w:lang w:val="fr-FR"/>
        </w:rPr>
        <w:t>respect</w:t>
      </w:r>
      <w:proofErr w:type="gramEnd"/>
      <w:r w:rsidRPr="00B26E78">
        <w:rPr>
          <w:rFonts w:ascii="Verdana" w:hAnsi="Verdana"/>
          <w:sz w:val="20"/>
          <w:szCs w:val="20"/>
          <w:lang w:val="fr-FR"/>
        </w:rPr>
        <w:t xml:space="preserve"> des normes professionnelles et éthiques des médias, dont les mesures d’autorégulation des médias ;</w:t>
      </w:r>
    </w:p>
    <w:p w14:paraId="29FE2555" w14:textId="02D8AA8E" w:rsidR="00D62226" w:rsidRPr="00B26E78" w:rsidRDefault="00586CBC" w:rsidP="00586CBC">
      <w:pPr>
        <w:pStyle w:val="ListParagraph"/>
        <w:numPr>
          <w:ilvl w:val="0"/>
          <w:numId w:val="14"/>
        </w:numPr>
        <w:pBdr>
          <w:top w:val="nil"/>
          <w:left w:val="nil"/>
          <w:bottom w:val="nil"/>
          <w:right w:val="nil"/>
          <w:between w:val="nil"/>
        </w:pBdr>
        <w:spacing w:line="259" w:lineRule="auto"/>
        <w:jc w:val="both"/>
        <w:rPr>
          <w:rFonts w:ascii="Verdana" w:hAnsi="Verdana"/>
          <w:sz w:val="20"/>
          <w:szCs w:val="20"/>
          <w:lang w:val="fr-FR"/>
        </w:rPr>
      </w:pPr>
      <w:proofErr w:type="gramStart"/>
      <w:r w:rsidRPr="00B26E78">
        <w:rPr>
          <w:rFonts w:ascii="Verdana" w:hAnsi="Verdana"/>
          <w:sz w:val="20"/>
          <w:szCs w:val="20"/>
          <w:lang w:val="fr-FR"/>
        </w:rPr>
        <w:t>transparence</w:t>
      </w:r>
      <w:proofErr w:type="gramEnd"/>
      <w:r w:rsidRPr="00B26E78">
        <w:rPr>
          <w:rFonts w:ascii="Verdana" w:hAnsi="Verdana"/>
          <w:sz w:val="20"/>
          <w:szCs w:val="20"/>
          <w:lang w:val="fr-FR"/>
        </w:rPr>
        <w:t xml:space="preserve"> et accès aux médias ;</w:t>
      </w:r>
    </w:p>
    <w:p w14:paraId="15EAF2AA" w14:textId="0AA4B0D8" w:rsidR="00D62226" w:rsidRPr="00B26E78" w:rsidRDefault="00586CBC" w:rsidP="00586CBC">
      <w:pPr>
        <w:pStyle w:val="ListParagraph"/>
        <w:numPr>
          <w:ilvl w:val="0"/>
          <w:numId w:val="14"/>
        </w:numPr>
        <w:pBdr>
          <w:top w:val="nil"/>
          <w:left w:val="nil"/>
          <w:bottom w:val="nil"/>
          <w:right w:val="nil"/>
          <w:between w:val="nil"/>
        </w:pBdr>
        <w:spacing w:line="259" w:lineRule="auto"/>
        <w:jc w:val="both"/>
        <w:rPr>
          <w:rFonts w:ascii="Verdana" w:hAnsi="Verdana"/>
          <w:sz w:val="20"/>
          <w:szCs w:val="20"/>
          <w:lang w:val="fr-FR"/>
        </w:rPr>
      </w:pPr>
      <w:proofErr w:type="gramStart"/>
      <w:r w:rsidRPr="00B26E78">
        <w:rPr>
          <w:rFonts w:ascii="Verdana" w:hAnsi="Verdana"/>
          <w:sz w:val="20"/>
          <w:szCs w:val="20"/>
          <w:lang w:val="fr-FR"/>
        </w:rPr>
        <w:t>droit</w:t>
      </w:r>
      <w:proofErr w:type="gramEnd"/>
      <w:r w:rsidRPr="00B26E78">
        <w:rPr>
          <w:rFonts w:ascii="Verdana" w:hAnsi="Verdana"/>
          <w:sz w:val="20"/>
          <w:szCs w:val="20"/>
          <w:lang w:val="fr-FR"/>
        </w:rPr>
        <w:t xml:space="preserve"> de réponse ou recours équivalents ;</w:t>
      </w:r>
    </w:p>
    <w:p w14:paraId="716C33DA" w14:textId="151B8698" w:rsidR="00D62226" w:rsidRPr="00B26E78" w:rsidRDefault="00586CBC" w:rsidP="00586CBC">
      <w:pPr>
        <w:pStyle w:val="ListParagraph"/>
        <w:numPr>
          <w:ilvl w:val="0"/>
          <w:numId w:val="14"/>
        </w:numPr>
        <w:pBdr>
          <w:top w:val="nil"/>
          <w:left w:val="nil"/>
          <w:bottom w:val="nil"/>
          <w:right w:val="nil"/>
          <w:between w:val="nil"/>
        </w:pBdr>
        <w:spacing w:line="259" w:lineRule="auto"/>
        <w:jc w:val="both"/>
        <w:rPr>
          <w:rFonts w:ascii="Verdana" w:hAnsi="Verdana"/>
          <w:sz w:val="20"/>
          <w:szCs w:val="20"/>
          <w:lang w:val="fr-FR"/>
        </w:rPr>
      </w:pPr>
      <w:proofErr w:type="gramStart"/>
      <w:r w:rsidRPr="00B26E78">
        <w:rPr>
          <w:rFonts w:ascii="Verdana" w:hAnsi="Verdana"/>
          <w:sz w:val="20"/>
          <w:szCs w:val="20"/>
          <w:lang w:val="fr-FR"/>
        </w:rPr>
        <w:t>transparence</w:t>
      </w:r>
      <w:proofErr w:type="gramEnd"/>
      <w:r w:rsidRPr="00B26E78">
        <w:rPr>
          <w:rFonts w:ascii="Verdana" w:hAnsi="Verdana"/>
          <w:sz w:val="20"/>
          <w:szCs w:val="20"/>
          <w:lang w:val="fr-FR"/>
        </w:rPr>
        <w:t xml:space="preserve"> sur les sondages d’opinion politiques</w:t>
      </w:r>
      <w:r w:rsidR="00B7066D" w:rsidRPr="00B26E78">
        <w:rPr>
          <w:rFonts w:ascii="Verdana" w:hAnsi="Verdana"/>
          <w:sz w:val="20"/>
          <w:szCs w:val="20"/>
          <w:lang w:val="fr-FR"/>
        </w:rPr>
        <w:t> ;</w:t>
      </w:r>
    </w:p>
    <w:p w14:paraId="2BBF14EC" w14:textId="75338ABE" w:rsidR="00D62226" w:rsidRPr="00B26E78" w:rsidRDefault="00586CBC" w:rsidP="00586CBC">
      <w:pPr>
        <w:pStyle w:val="ListParagraph"/>
        <w:numPr>
          <w:ilvl w:val="0"/>
          <w:numId w:val="14"/>
        </w:numPr>
        <w:pBdr>
          <w:top w:val="nil"/>
          <w:left w:val="nil"/>
          <w:bottom w:val="nil"/>
          <w:right w:val="nil"/>
          <w:between w:val="nil"/>
        </w:pBdr>
        <w:spacing w:line="259" w:lineRule="auto"/>
        <w:jc w:val="both"/>
        <w:rPr>
          <w:rFonts w:ascii="Verdana" w:hAnsi="Verdana"/>
          <w:sz w:val="20"/>
          <w:szCs w:val="20"/>
          <w:lang w:val="fr-FR"/>
        </w:rPr>
      </w:pPr>
      <w:proofErr w:type="gramStart"/>
      <w:r w:rsidRPr="00B26E78">
        <w:rPr>
          <w:rFonts w:ascii="Verdana" w:hAnsi="Verdana"/>
          <w:sz w:val="20"/>
          <w:szCs w:val="20"/>
          <w:lang w:val="fr-FR"/>
        </w:rPr>
        <w:t>possibilité</w:t>
      </w:r>
      <w:proofErr w:type="gramEnd"/>
      <w:r w:rsidRPr="00B26E78">
        <w:rPr>
          <w:rFonts w:ascii="Verdana" w:hAnsi="Verdana"/>
          <w:sz w:val="20"/>
          <w:szCs w:val="20"/>
          <w:lang w:val="fr-FR"/>
        </w:rPr>
        <w:t xml:space="preserve"> de prévoir un « jour de réflexion ».</w:t>
      </w:r>
    </w:p>
    <w:p w14:paraId="5F12D354" w14:textId="77777777" w:rsidR="00D62226" w:rsidRPr="00286B98" w:rsidRDefault="00D62226" w:rsidP="00D62226">
      <w:pPr>
        <w:pStyle w:val="ListParagraph"/>
        <w:pBdr>
          <w:top w:val="nil"/>
          <w:left w:val="nil"/>
          <w:bottom w:val="nil"/>
          <w:right w:val="nil"/>
          <w:between w:val="nil"/>
        </w:pBdr>
        <w:spacing w:line="259" w:lineRule="auto"/>
        <w:jc w:val="both"/>
        <w:rPr>
          <w:rFonts w:ascii="Verdana" w:eastAsia="Verdana" w:hAnsi="Verdana" w:cs="Verdana"/>
          <w:sz w:val="20"/>
          <w:szCs w:val="20"/>
          <w:lang w:val="fr-FR"/>
        </w:rPr>
      </w:pPr>
    </w:p>
    <w:p w14:paraId="165B9C19" w14:textId="050134F6" w:rsidR="008F0FE2" w:rsidRPr="00286B98" w:rsidRDefault="00586CBC" w:rsidP="00586CBC">
      <w:pPr>
        <w:pBdr>
          <w:top w:val="nil"/>
          <w:left w:val="nil"/>
          <w:bottom w:val="nil"/>
          <w:right w:val="nil"/>
          <w:between w:val="nil"/>
        </w:pBdr>
        <w:spacing w:after="160"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7.2. </w:t>
      </w:r>
      <w:r w:rsidR="00F52E70">
        <w:rPr>
          <w:rFonts w:ascii="Verdana" w:eastAsia="Verdana" w:hAnsi="Verdana" w:cs="Verdana"/>
          <w:sz w:val="20"/>
          <w:szCs w:val="20"/>
          <w:lang w:val="fr-FR"/>
        </w:rPr>
        <w:t xml:space="preserve">Afin de </w:t>
      </w:r>
      <w:r w:rsidR="00F52E70" w:rsidRPr="00F52E70">
        <w:rPr>
          <w:rFonts w:ascii="Verdana" w:eastAsia="Verdana" w:hAnsi="Verdana" w:cs="Verdana"/>
          <w:sz w:val="20"/>
          <w:szCs w:val="20"/>
          <w:lang w:val="fr-FR"/>
        </w:rPr>
        <w:t xml:space="preserve">refléter l’impact des différents médias dans un contexte de convergence, </w:t>
      </w:r>
      <w:r w:rsidR="00F52E70">
        <w:rPr>
          <w:rFonts w:ascii="Verdana" w:eastAsia="Verdana" w:hAnsi="Verdana" w:cs="Verdana"/>
          <w:sz w:val="20"/>
          <w:szCs w:val="20"/>
          <w:lang w:val="fr-FR"/>
        </w:rPr>
        <w:t>t</w:t>
      </w:r>
      <w:r w:rsidRPr="00286B98">
        <w:rPr>
          <w:rFonts w:ascii="Verdana" w:eastAsia="Verdana" w:hAnsi="Verdana" w:cs="Verdana"/>
          <w:sz w:val="20"/>
          <w:szCs w:val="20"/>
          <w:lang w:val="fr-FR"/>
        </w:rPr>
        <w:t>outes les exigences réglementaires fondées sur les principes existants devraient être proportionnées et progressives</w:t>
      </w:r>
      <w:r w:rsidR="00F52E70">
        <w:rPr>
          <w:rFonts w:ascii="Verdana" w:eastAsia="Verdana" w:hAnsi="Verdana" w:cs="Verdana"/>
          <w:sz w:val="20"/>
          <w:szCs w:val="20"/>
          <w:lang w:val="fr-FR"/>
        </w:rPr>
        <w:t>,</w:t>
      </w:r>
      <w:r w:rsidRPr="00286B98">
        <w:rPr>
          <w:rFonts w:ascii="Verdana" w:eastAsia="Verdana" w:hAnsi="Verdana" w:cs="Verdana"/>
          <w:sz w:val="20"/>
          <w:szCs w:val="20"/>
          <w:lang w:val="fr-FR"/>
        </w:rPr>
        <w:t xml:space="preserve"> conformément aux normes énoncées dans la Recommandation CM/</w:t>
      </w:r>
      <w:proofErr w:type="gramStart"/>
      <w:r w:rsidRPr="00286B98">
        <w:rPr>
          <w:rFonts w:ascii="Verdana" w:eastAsia="Verdana" w:hAnsi="Verdana" w:cs="Verdana"/>
          <w:sz w:val="20"/>
          <w:szCs w:val="20"/>
          <w:lang w:val="fr-FR"/>
        </w:rPr>
        <w:t>Rec(</w:t>
      </w:r>
      <w:proofErr w:type="gramEnd"/>
      <w:r w:rsidRPr="00286B98">
        <w:rPr>
          <w:rFonts w:ascii="Verdana" w:eastAsia="Verdana" w:hAnsi="Verdana" w:cs="Verdana"/>
          <w:sz w:val="20"/>
          <w:szCs w:val="20"/>
          <w:lang w:val="fr-FR"/>
        </w:rPr>
        <w:t>2011)7 sur une nouvelle conception des médias.</w:t>
      </w:r>
    </w:p>
    <w:p w14:paraId="1FB74C68" w14:textId="4F09FBF4" w:rsidR="00E224D5" w:rsidRPr="00286B98" w:rsidRDefault="00586CBC" w:rsidP="00586CBC">
      <w:pPr>
        <w:pBdr>
          <w:top w:val="nil"/>
          <w:left w:val="nil"/>
          <w:bottom w:val="nil"/>
          <w:right w:val="nil"/>
          <w:between w:val="nil"/>
        </w:pBdr>
        <w:spacing w:line="259" w:lineRule="auto"/>
        <w:jc w:val="both"/>
        <w:rPr>
          <w:rFonts w:ascii="Verdana" w:eastAsia="Verdana" w:hAnsi="Verdana" w:cs="Verdana"/>
          <w:sz w:val="20"/>
          <w:szCs w:val="20"/>
          <w:lang w:val="fr-FR"/>
        </w:rPr>
      </w:pPr>
      <w:r w:rsidRPr="00286B98">
        <w:rPr>
          <w:rFonts w:ascii="Verdana" w:eastAsia="Verdana" w:hAnsi="Verdana" w:cs="Verdana"/>
          <w:sz w:val="20"/>
          <w:szCs w:val="20"/>
          <w:lang w:val="fr-FR"/>
        </w:rPr>
        <w:t xml:space="preserve">7.3. Vu l’influence toujours </w:t>
      </w:r>
      <w:r w:rsidR="00FF407E">
        <w:rPr>
          <w:rFonts w:ascii="Verdana" w:eastAsia="Verdana" w:hAnsi="Verdana" w:cs="Verdana"/>
          <w:sz w:val="20"/>
          <w:szCs w:val="20"/>
          <w:lang w:val="fr-FR"/>
        </w:rPr>
        <w:t xml:space="preserve">considérable </w:t>
      </w:r>
      <w:r w:rsidRPr="00286B98">
        <w:rPr>
          <w:rFonts w:ascii="Verdana" w:eastAsia="Verdana" w:hAnsi="Verdana" w:cs="Verdana"/>
          <w:sz w:val="20"/>
          <w:szCs w:val="20"/>
          <w:lang w:val="fr-FR"/>
        </w:rPr>
        <w:t>des médias audiovisuels sur l’opinion publique, les cadres réglementaires devraient imposer à ces médias, et notamment aux médias linéaires publics et privés, de couvrir les campagnes électorales de manière équitable, équilibrée et impartiale.</w:t>
      </w:r>
      <w:r w:rsidR="00BB017E" w:rsidRPr="00286B98">
        <w:rPr>
          <w:rFonts w:ascii="Verdana" w:eastAsia="Verdana" w:hAnsi="Verdana" w:cs="Verdana"/>
          <w:sz w:val="20"/>
          <w:szCs w:val="20"/>
          <w:lang w:val="fr-FR"/>
        </w:rPr>
        <w:t xml:space="preserve"> </w:t>
      </w:r>
      <w:r w:rsidRPr="00286B98">
        <w:rPr>
          <w:rFonts w:ascii="Verdana" w:eastAsia="Verdana" w:hAnsi="Verdana" w:cs="Verdana"/>
          <w:sz w:val="20"/>
          <w:szCs w:val="20"/>
          <w:lang w:val="fr-FR"/>
        </w:rPr>
        <w:t>Dans la mesure où les partis politiques et les candidats sont autorisés à acheter de l’espace publicitaire à des fins électorales, l’ensemble des partis et des candidats doit pouvoir le faire à égalité de conditions et de tarifs.</w:t>
      </w:r>
    </w:p>
    <w:p w14:paraId="0128DE36" w14:textId="17E16BDA" w:rsidR="00E224D5" w:rsidRPr="00286B98" w:rsidRDefault="00E224D5" w:rsidP="00B21BF6">
      <w:pPr>
        <w:pBdr>
          <w:top w:val="nil"/>
          <w:left w:val="nil"/>
          <w:bottom w:val="nil"/>
          <w:right w:val="nil"/>
          <w:between w:val="nil"/>
        </w:pBdr>
        <w:spacing w:line="259" w:lineRule="auto"/>
        <w:jc w:val="both"/>
        <w:rPr>
          <w:rFonts w:ascii="Verdana" w:eastAsia="Verdana" w:hAnsi="Verdana" w:cs="Verdana"/>
          <w:sz w:val="20"/>
          <w:szCs w:val="20"/>
          <w:lang w:val="fr-FR"/>
        </w:rPr>
      </w:pPr>
    </w:p>
    <w:p w14:paraId="37FC27E0" w14:textId="1DC690AE" w:rsidR="00E224D5" w:rsidRPr="00286B98" w:rsidRDefault="00586CBC" w:rsidP="00586CBC">
      <w:pPr>
        <w:jc w:val="both"/>
        <w:rPr>
          <w:rFonts w:ascii="Verdana" w:eastAsia="Times New Roman" w:hAnsi="Verdana" w:cs="Times New Roman"/>
          <w:color w:val="000000" w:themeColor="text1"/>
          <w:sz w:val="20"/>
          <w:szCs w:val="20"/>
          <w:lang w:val="fr-FR"/>
        </w:rPr>
      </w:pPr>
      <w:r w:rsidRPr="00286B98">
        <w:rPr>
          <w:rFonts w:ascii="Verdana" w:eastAsia="Times New Roman" w:hAnsi="Verdana" w:cs="Times New Roman"/>
          <w:color w:val="000000" w:themeColor="text1"/>
          <w:sz w:val="20"/>
          <w:szCs w:val="20"/>
          <w:lang w:val="fr-FR"/>
        </w:rPr>
        <w:t>7.4. Les États devraient reconnaître le rôle crucial des médias de service public indépendants pour la promotion du débat public et du pluralisme politique et, en période électorale, pour l</w:t>
      </w:r>
      <w:r w:rsidR="00F52E70">
        <w:rPr>
          <w:rFonts w:ascii="Verdana" w:eastAsia="Times New Roman" w:hAnsi="Verdana" w:cs="Times New Roman"/>
          <w:color w:val="000000" w:themeColor="text1"/>
          <w:sz w:val="20"/>
          <w:szCs w:val="20"/>
          <w:lang w:val="fr-FR"/>
        </w:rPr>
        <w:t xml:space="preserve">’application de </w:t>
      </w:r>
      <w:r w:rsidRPr="00286B98">
        <w:rPr>
          <w:rFonts w:ascii="Verdana" w:eastAsia="Times New Roman" w:hAnsi="Verdana" w:cs="Times New Roman"/>
          <w:color w:val="000000" w:themeColor="text1"/>
          <w:sz w:val="20"/>
          <w:szCs w:val="20"/>
          <w:lang w:val="fr-FR"/>
        </w:rPr>
        <w:t xml:space="preserve">conditions égales </w:t>
      </w:r>
      <w:r w:rsidR="00F52E70">
        <w:rPr>
          <w:rFonts w:ascii="Verdana" w:eastAsia="Times New Roman" w:hAnsi="Verdana" w:cs="Times New Roman"/>
          <w:color w:val="000000" w:themeColor="text1"/>
          <w:sz w:val="20"/>
          <w:szCs w:val="20"/>
          <w:lang w:val="fr-FR"/>
        </w:rPr>
        <w:t xml:space="preserve">à </w:t>
      </w:r>
      <w:r w:rsidRPr="00286B98">
        <w:rPr>
          <w:rFonts w:ascii="Verdana" w:eastAsia="Times New Roman" w:hAnsi="Verdana" w:cs="Times New Roman"/>
          <w:color w:val="000000" w:themeColor="text1"/>
          <w:sz w:val="20"/>
          <w:szCs w:val="20"/>
          <w:lang w:val="fr-FR"/>
        </w:rPr>
        <w:t>l’attribution du temps d’antenne aux partis politiques et aux candidats.</w:t>
      </w:r>
      <w:r w:rsidR="00286B98">
        <w:rPr>
          <w:rFonts w:ascii="Verdana" w:eastAsia="Times New Roman" w:hAnsi="Verdana" w:cs="Times New Roman"/>
          <w:color w:val="000000" w:themeColor="text1"/>
          <w:sz w:val="20"/>
          <w:szCs w:val="20"/>
          <w:lang w:val="fr-FR"/>
        </w:rPr>
        <w:t xml:space="preserve"> </w:t>
      </w:r>
      <w:r w:rsidRPr="00286B98">
        <w:rPr>
          <w:rFonts w:ascii="Verdana" w:eastAsia="Times New Roman" w:hAnsi="Verdana" w:cs="Times New Roman"/>
          <w:color w:val="000000" w:themeColor="text1"/>
          <w:sz w:val="20"/>
          <w:szCs w:val="20"/>
          <w:lang w:val="fr-FR"/>
        </w:rPr>
        <w:t>Les États devraient reconnaître aux médias de service public ce rôle crucial et garantir leur indépendance et leur pérennité, afin de leur permettre de continuer à jouer ce rôle dans le paysage multimédia.</w:t>
      </w:r>
    </w:p>
    <w:p w14:paraId="5F927F0F" w14:textId="77777777" w:rsidR="00E224D5" w:rsidRPr="00286B98" w:rsidRDefault="00E224D5" w:rsidP="00E224D5">
      <w:pPr>
        <w:jc w:val="both"/>
        <w:rPr>
          <w:rFonts w:ascii="Verdana" w:eastAsia="Times New Roman" w:hAnsi="Verdana" w:cs="Times New Roman"/>
          <w:sz w:val="20"/>
          <w:szCs w:val="20"/>
          <w:lang w:val="fr-FR"/>
        </w:rPr>
      </w:pPr>
    </w:p>
    <w:p w14:paraId="52E3FE7B" w14:textId="7BE96427" w:rsidR="00D21F6D" w:rsidRPr="001A192E" w:rsidRDefault="00E93B7D" w:rsidP="002B1173">
      <w:pPr>
        <w:jc w:val="both"/>
        <w:rPr>
          <w:rFonts w:ascii="Verdana" w:hAnsi="Verdana"/>
          <w:color w:val="000000" w:themeColor="text1"/>
          <w:sz w:val="20"/>
          <w:szCs w:val="20"/>
          <w:lang w:val="fr-FR"/>
        </w:rPr>
      </w:pPr>
      <w:r w:rsidRPr="00286B98">
        <w:rPr>
          <w:rFonts w:ascii="Verdana" w:hAnsi="Verdana"/>
          <w:color w:val="000000" w:themeColor="text1"/>
          <w:sz w:val="20"/>
          <w:szCs w:val="20"/>
          <w:lang w:val="fr-FR"/>
        </w:rPr>
        <w:t xml:space="preserve">7.5. L’éducation aux médias et à l’information, dont les compétences numériques et la réflexion critique, constitue une part essentielle de la citoyenneté dans le nouvel environnement en ligne et une condition préalable à une participation informée </w:t>
      </w:r>
      <w:r w:rsidR="005E50D4">
        <w:rPr>
          <w:rFonts w:ascii="Verdana" w:hAnsi="Verdana"/>
          <w:color w:val="000000" w:themeColor="text1"/>
          <w:sz w:val="20"/>
          <w:szCs w:val="20"/>
          <w:lang w:val="fr-FR"/>
        </w:rPr>
        <w:t xml:space="preserve">de chacun </w:t>
      </w:r>
      <w:r w:rsidRPr="00286B98">
        <w:rPr>
          <w:rFonts w:ascii="Verdana" w:hAnsi="Verdana"/>
          <w:color w:val="000000" w:themeColor="text1"/>
          <w:sz w:val="20"/>
          <w:szCs w:val="20"/>
          <w:lang w:val="fr-FR"/>
        </w:rPr>
        <w:t>à la vie politique d’un pays, aussi bien comme électeur que comme responsable politique.</w:t>
      </w:r>
      <w:r w:rsidR="00E224D5" w:rsidRPr="00286B98">
        <w:rPr>
          <w:rFonts w:ascii="Verdana" w:hAnsi="Verdana"/>
          <w:color w:val="000000" w:themeColor="text1"/>
          <w:sz w:val="20"/>
          <w:szCs w:val="20"/>
          <w:lang w:val="fr-FR"/>
        </w:rPr>
        <w:t xml:space="preserve"> </w:t>
      </w:r>
      <w:r w:rsidRPr="00286B98">
        <w:rPr>
          <w:rFonts w:ascii="Verdana" w:hAnsi="Verdana"/>
          <w:color w:val="000000" w:themeColor="text1"/>
          <w:sz w:val="20"/>
          <w:szCs w:val="20"/>
          <w:lang w:val="fr-FR"/>
        </w:rPr>
        <w:t>Les États devraient promouvoir l’éducation aux médias et à l’information dans les programmes scolaires, dans les cursus d’apprentissage tout au long de la vie et à travers des programmes de soutien aux médias, en particulier aux médias associatifs et de service public.</w:t>
      </w:r>
    </w:p>
    <w:sectPr w:rsidR="00D21F6D" w:rsidRPr="001A192E">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73C59" w14:textId="77777777" w:rsidR="00707F9C" w:rsidRDefault="00707F9C">
      <w:pPr>
        <w:spacing w:line="240" w:lineRule="auto"/>
      </w:pPr>
      <w:r>
        <w:separator/>
      </w:r>
    </w:p>
  </w:endnote>
  <w:endnote w:type="continuationSeparator" w:id="0">
    <w:p w14:paraId="23EA434F" w14:textId="77777777" w:rsidR="00707F9C" w:rsidRDefault="00707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Noto Sans Symbols">
    <w:altName w:val="Calibri"/>
    <w:panose1 w:val="020B0604020202020204"/>
    <w:charset w:val="00"/>
    <w:family w:val="auto"/>
    <w:pitch w:val="default"/>
  </w:font>
  <w:font w:name="Arial Nova">
    <w:altName w:val="Arial"/>
    <w:panose1 w:val="020B0504020202020204"/>
    <w:charset w:val="00"/>
    <w:family w:val="swiss"/>
    <w:pitch w:val="variable"/>
    <w:sig w:usb0="2000028F" w:usb1="00000002"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23697" w14:textId="77777777" w:rsidR="00D21F6D" w:rsidRDefault="00D21F6D">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37EDF" w14:textId="2F28A9AB" w:rsidR="00D21F6D" w:rsidRDefault="0070442D">
    <w:pPr>
      <w:pBdr>
        <w:top w:val="nil"/>
        <w:left w:val="nil"/>
        <w:bottom w:val="nil"/>
        <w:right w:val="nil"/>
        <w:between w:val="nil"/>
      </w:pBdr>
      <w:tabs>
        <w:tab w:val="center" w:pos="4513"/>
        <w:tab w:val="right" w:pos="9026"/>
      </w:tabs>
      <w:spacing w:line="240" w:lineRule="auto"/>
      <w:jc w:val="center"/>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D81048">
      <w:rPr>
        <w:rFonts w:ascii="Verdana" w:eastAsia="Verdana" w:hAnsi="Verdana" w:cs="Verdana"/>
        <w:noProof/>
        <w:color w:val="000000"/>
        <w:sz w:val="18"/>
        <w:szCs w:val="18"/>
      </w:rPr>
      <w:t>5</w:t>
    </w:r>
    <w:r>
      <w:rPr>
        <w:rFonts w:ascii="Verdana" w:eastAsia="Verdana" w:hAnsi="Verdana" w:cs="Verdana"/>
        <w:color w:val="000000"/>
        <w:sz w:val="18"/>
        <w:szCs w:val="18"/>
      </w:rPr>
      <w:fldChar w:fldCharType="end"/>
    </w:r>
  </w:p>
  <w:p w14:paraId="60E70DD9" w14:textId="77777777" w:rsidR="00D21F6D" w:rsidRDefault="00D21F6D">
    <w:pPr>
      <w:pBdr>
        <w:top w:val="nil"/>
        <w:left w:val="nil"/>
        <w:bottom w:val="nil"/>
        <w:right w:val="nil"/>
        <w:between w:val="nil"/>
      </w:pBdr>
      <w:jc w:val="right"/>
      <w:rPr>
        <w:rFonts w:ascii="Verdana" w:eastAsia="Verdana" w:hAnsi="Verdana" w:cs="Verdana"/>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61BF5" w14:textId="77777777" w:rsidR="00D21F6D" w:rsidRDefault="00D21F6D">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E2210" w14:textId="77777777" w:rsidR="00707F9C" w:rsidRDefault="00707F9C">
      <w:pPr>
        <w:spacing w:line="240" w:lineRule="auto"/>
      </w:pPr>
      <w:r>
        <w:separator/>
      </w:r>
    </w:p>
  </w:footnote>
  <w:footnote w:type="continuationSeparator" w:id="0">
    <w:p w14:paraId="760921CE" w14:textId="77777777" w:rsidR="00707F9C" w:rsidRDefault="00707F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0CC03" w14:textId="6AE38F7F" w:rsidR="00D21F6D" w:rsidRDefault="00707F9C">
    <w:pPr>
      <w:pBdr>
        <w:top w:val="nil"/>
        <w:left w:val="nil"/>
        <w:bottom w:val="nil"/>
        <w:right w:val="nil"/>
        <w:between w:val="nil"/>
      </w:pBdr>
      <w:tabs>
        <w:tab w:val="center" w:pos="4513"/>
        <w:tab w:val="right" w:pos="9026"/>
      </w:tabs>
      <w:spacing w:line="240" w:lineRule="auto"/>
      <w:rPr>
        <w:color w:val="000000"/>
      </w:rPr>
    </w:pPr>
    <w:r>
      <w:rPr>
        <w:noProof/>
      </w:rPr>
      <w:pict w14:anchorId="3704F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4579" o:spid="_x0000_s2050" type="#_x0000_t136" alt="" style="position:absolute;margin-left:0;margin-top:0;width:495.05pt;height:141.4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C1999" w14:textId="2FD535C2" w:rsidR="00D21F6D" w:rsidRDefault="00707F9C">
    <w:pPr>
      <w:pBdr>
        <w:top w:val="nil"/>
        <w:left w:val="nil"/>
        <w:bottom w:val="nil"/>
        <w:right w:val="nil"/>
        <w:between w:val="nil"/>
      </w:pBdr>
      <w:tabs>
        <w:tab w:val="center" w:pos="4513"/>
        <w:tab w:val="right" w:pos="9026"/>
      </w:tabs>
      <w:spacing w:line="240" w:lineRule="auto"/>
      <w:rPr>
        <w:color w:val="000000"/>
      </w:rPr>
    </w:pPr>
    <w:r>
      <w:rPr>
        <w:noProof/>
      </w:rPr>
      <w:pict w14:anchorId="217C1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4580" o:spid="_x0000_s2049" type="#_x0000_t136" alt="" style="position:absolute;margin-left:0;margin-top:0;width:495.05pt;height:141.4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58FAB" w14:textId="02C4D054" w:rsidR="00D21F6D" w:rsidRPr="00564027" w:rsidRDefault="00AC43EE" w:rsidP="00AC43EE">
    <w:pPr>
      <w:pBdr>
        <w:top w:val="nil"/>
        <w:left w:val="nil"/>
        <w:bottom w:val="nil"/>
        <w:right w:val="nil"/>
        <w:between w:val="nil"/>
      </w:pBdr>
      <w:spacing w:line="240" w:lineRule="auto"/>
      <w:rPr>
        <w:rFonts w:ascii="Verdana" w:eastAsia="Verdana" w:hAnsi="Verdana" w:cs="Verdana"/>
        <w:i/>
        <w:color w:val="000000"/>
        <w:sz w:val="20"/>
        <w:szCs w:val="20"/>
        <w:lang w:val="fr-FR"/>
      </w:rPr>
    </w:pPr>
    <w:r w:rsidRPr="00AC43EE">
      <w:rPr>
        <w:rFonts w:ascii="Verdana" w:eastAsia="Verdana" w:hAnsi="Verdana" w:cs="Verdana"/>
        <w:i/>
        <w:color w:val="000000"/>
        <w:sz w:val="20"/>
        <w:szCs w:val="20"/>
        <w:lang w:val="fr-FR"/>
      </w:rPr>
      <w:t>Comité d’experts sur l’environnement des médias</w:t>
    </w:r>
  </w:p>
  <w:p w14:paraId="68C549F7" w14:textId="5CD727E3" w:rsidR="00D21F6D" w:rsidRPr="00062F0D" w:rsidRDefault="00AC43EE" w:rsidP="00AC43EE">
    <w:pPr>
      <w:pBdr>
        <w:top w:val="nil"/>
        <w:left w:val="nil"/>
        <w:bottom w:val="nil"/>
        <w:right w:val="nil"/>
        <w:between w:val="nil"/>
      </w:pBdr>
      <w:spacing w:line="240" w:lineRule="auto"/>
      <w:ind w:left="708" w:firstLine="708"/>
      <w:rPr>
        <w:rFonts w:ascii="Verdana" w:eastAsia="Verdana" w:hAnsi="Verdana" w:cs="Verdana"/>
        <w:i/>
        <w:color w:val="000000"/>
        <w:sz w:val="20"/>
        <w:szCs w:val="20"/>
        <w:lang w:val="fr-FR"/>
      </w:rPr>
    </w:pPr>
    <w:proofErr w:type="gramStart"/>
    <w:r w:rsidRPr="00AC43EE">
      <w:rPr>
        <w:rFonts w:ascii="Verdana" w:eastAsia="Verdana" w:hAnsi="Verdana" w:cs="Verdana"/>
        <w:i/>
        <w:color w:val="000000"/>
        <w:sz w:val="20"/>
        <w:szCs w:val="20"/>
        <w:lang w:val="fr-FR"/>
      </w:rPr>
      <w:t>et</w:t>
    </w:r>
    <w:proofErr w:type="gramEnd"/>
    <w:r w:rsidRPr="00AC43EE">
      <w:rPr>
        <w:rFonts w:ascii="Verdana" w:eastAsia="Verdana" w:hAnsi="Verdana" w:cs="Verdana"/>
        <w:i/>
        <w:color w:val="000000"/>
        <w:sz w:val="20"/>
        <w:szCs w:val="20"/>
        <w:lang w:val="fr-FR"/>
      </w:rPr>
      <w:t xml:space="preserve"> leur réforme (MSI-REF)</w:t>
    </w:r>
  </w:p>
  <w:p w14:paraId="73B3876E" w14:textId="77777777" w:rsidR="00D21F6D" w:rsidRDefault="0070442D">
    <w:pPr>
      <w:keepNext/>
      <w:keepLines/>
      <w:pBdr>
        <w:top w:val="nil"/>
        <w:left w:val="nil"/>
        <w:bottom w:val="nil"/>
        <w:right w:val="nil"/>
        <w:between w:val="nil"/>
      </w:pBdr>
      <w:spacing w:before="480" w:line="240" w:lineRule="auto"/>
      <w:jc w:val="right"/>
      <w:rPr>
        <w:rFonts w:ascii="Cambria" w:eastAsia="Cambria" w:hAnsi="Cambria" w:cs="Cambria"/>
        <w:b/>
        <w:color w:val="365F91"/>
        <w:sz w:val="28"/>
        <w:szCs w:val="28"/>
      </w:rPr>
    </w:pPr>
    <w:r w:rsidRPr="00062F0D">
      <w:rPr>
        <w:rFonts w:ascii="Verdana" w:eastAsia="Verdana" w:hAnsi="Verdana" w:cs="Verdana"/>
        <w:color w:val="365F91"/>
        <w:sz w:val="28"/>
        <w:szCs w:val="28"/>
        <w:lang w:val="fr-FR"/>
      </w:rPr>
      <w:tab/>
    </w:r>
    <w:r>
      <w:rPr>
        <w:rFonts w:ascii="Cambria" w:eastAsia="Cambria" w:hAnsi="Cambria" w:cs="Cambria"/>
        <w:noProof/>
        <w:color w:val="000000"/>
        <w:sz w:val="24"/>
        <w:szCs w:val="24"/>
        <w:lang w:eastAsia="en-GB"/>
      </w:rPr>
      <w:drawing>
        <wp:inline distT="0" distB="0" distL="0" distR="0" wp14:anchorId="3BF81704" wp14:editId="3797CDD8">
          <wp:extent cx="1259206" cy="1004835"/>
          <wp:effectExtent l="0" t="0" r="0" b="0"/>
          <wp:docPr id="3" name="image1.jpg" descr="COE-Logo-Fil-BW"/>
          <wp:cNvGraphicFramePr/>
          <a:graphic xmlns:a="http://schemas.openxmlformats.org/drawingml/2006/main">
            <a:graphicData uri="http://schemas.openxmlformats.org/drawingml/2006/picture">
              <pic:pic xmlns:pic="http://schemas.openxmlformats.org/drawingml/2006/picture">
                <pic:nvPicPr>
                  <pic:cNvPr id="0" name="image1.jpg" descr="COE-Logo-Fil-BW"/>
                  <pic:cNvPicPr preferRelativeResize="0"/>
                </pic:nvPicPr>
                <pic:blipFill>
                  <a:blip r:embed="rId1"/>
                  <a:srcRect/>
                  <a:stretch>
                    <a:fillRect/>
                  </a:stretch>
                </pic:blipFill>
                <pic:spPr>
                  <a:xfrm>
                    <a:off x="0" y="0"/>
                    <a:ext cx="1259206" cy="1004835"/>
                  </a:xfrm>
                  <a:prstGeom prst="rect">
                    <a:avLst/>
                  </a:prstGeom>
                  <a:ln/>
                </pic:spPr>
              </pic:pic>
            </a:graphicData>
          </a:graphic>
        </wp:inline>
      </w:drawing>
    </w:r>
  </w:p>
  <w:p w14:paraId="495F8D15" w14:textId="77777777" w:rsidR="00D21F6D" w:rsidRDefault="00D21F6D">
    <w:pPr>
      <w:pBdr>
        <w:top w:val="nil"/>
        <w:left w:val="nil"/>
        <w:bottom w:val="nil"/>
        <w:right w:val="nil"/>
        <w:between w:val="nil"/>
      </w:pBdr>
      <w:tabs>
        <w:tab w:val="center" w:pos="4513"/>
        <w:tab w:val="right" w:pos="9026"/>
        <w:tab w:val="left" w:pos="2223"/>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734B6"/>
    <w:multiLevelType w:val="multilevel"/>
    <w:tmpl w:val="F306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F4B6A"/>
    <w:multiLevelType w:val="multilevel"/>
    <w:tmpl w:val="E104FB5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F249D"/>
    <w:multiLevelType w:val="multilevel"/>
    <w:tmpl w:val="87EC0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4A486F"/>
    <w:multiLevelType w:val="multilevel"/>
    <w:tmpl w:val="19E49D6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B36272"/>
    <w:multiLevelType w:val="multilevel"/>
    <w:tmpl w:val="02E6866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0C3658"/>
    <w:multiLevelType w:val="multilevel"/>
    <w:tmpl w:val="FDFE8D0A"/>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E96834"/>
    <w:multiLevelType w:val="multilevel"/>
    <w:tmpl w:val="E050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B2F51"/>
    <w:multiLevelType w:val="multilevel"/>
    <w:tmpl w:val="E75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F6F30"/>
    <w:multiLevelType w:val="hybridMultilevel"/>
    <w:tmpl w:val="90CED5D0"/>
    <w:lvl w:ilvl="0" w:tplc="CAB2899E">
      <w:start w:val="1"/>
      <w:numFmt w:val="bullet"/>
      <w:lvlText w:val=""/>
      <w:lvlJc w:val="left"/>
      <w:pPr>
        <w:tabs>
          <w:tab w:val="num" w:pos="720"/>
        </w:tabs>
        <w:ind w:left="720" w:hanging="360"/>
      </w:pPr>
      <w:rPr>
        <w:rFonts w:ascii="Symbol" w:hAnsi="Symbol" w:hint="default"/>
        <w:sz w:val="20"/>
      </w:rPr>
    </w:lvl>
    <w:lvl w:ilvl="1" w:tplc="19F2AAF2" w:tentative="1">
      <w:start w:val="1"/>
      <w:numFmt w:val="bullet"/>
      <w:lvlText w:val="o"/>
      <w:lvlJc w:val="left"/>
      <w:pPr>
        <w:tabs>
          <w:tab w:val="num" w:pos="1440"/>
        </w:tabs>
        <w:ind w:left="1440" w:hanging="360"/>
      </w:pPr>
      <w:rPr>
        <w:rFonts w:ascii="Courier New" w:hAnsi="Courier New" w:hint="default"/>
        <w:sz w:val="20"/>
      </w:rPr>
    </w:lvl>
    <w:lvl w:ilvl="2" w:tplc="837A547C" w:tentative="1">
      <w:start w:val="1"/>
      <w:numFmt w:val="bullet"/>
      <w:lvlText w:val=""/>
      <w:lvlJc w:val="left"/>
      <w:pPr>
        <w:tabs>
          <w:tab w:val="num" w:pos="2160"/>
        </w:tabs>
        <w:ind w:left="2160" w:hanging="360"/>
      </w:pPr>
      <w:rPr>
        <w:rFonts w:ascii="Wingdings" w:hAnsi="Wingdings" w:hint="default"/>
        <w:sz w:val="20"/>
      </w:rPr>
    </w:lvl>
    <w:lvl w:ilvl="3" w:tplc="6D12B7C2" w:tentative="1">
      <w:start w:val="1"/>
      <w:numFmt w:val="bullet"/>
      <w:lvlText w:val=""/>
      <w:lvlJc w:val="left"/>
      <w:pPr>
        <w:tabs>
          <w:tab w:val="num" w:pos="2880"/>
        </w:tabs>
        <w:ind w:left="2880" w:hanging="360"/>
      </w:pPr>
      <w:rPr>
        <w:rFonts w:ascii="Wingdings" w:hAnsi="Wingdings" w:hint="default"/>
        <w:sz w:val="20"/>
      </w:rPr>
    </w:lvl>
    <w:lvl w:ilvl="4" w:tplc="3374627C" w:tentative="1">
      <w:start w:val="1"/>
      <w:numFmt w:val="bullet"/>
      <w:lvlText w:val=""/>
      <w:lvlJc w:val="left"/>
      <w:pPr>
        <w:tabs>
          <w:tab w:val="num" w:pos="3600"/>
        </w:tabs>
        <w:ind w:left="3600" w:hanging="360"/>
      </w:pPr>
      <w:rPr>
        <w:rFonts w:ascii="Wingdings" w:hAnsi="Wingdings" w:hint="default"/>
        <w:sz w:val="20"/>
      </w:rPr>
    </w:lvl>
    <w:lvl w:ilvl="5" w:tplc="C2E8DCDC" w:tentative="1">
      <w:start w:val="1"/>
      <w:numFmt w:val="bullet"/>
      <w:lvlText w:val=""/>
      <w:lvlJc w:val="left"/>
      <w:pPr>
        <w:tabs>
          <w:tab w:val="num" w:pos="4320"/>
        </w:tabs>
        <w:ind w:left="4320" w:hanging="360"/>
      </w:pPr>
      <w:rPr>
        <w:rFonts w:ascii="Wingdings" w:hAnsi="Wingdings" w:hint="default"/>
        <w:sz w:val="20"/>
      </w:rPr>
    </w:lvl>
    <w:lvl w:ilvl="6" w:tplc="9DCC2A70" w:tentative="1">
      <w:start w:val="1"/>
      <w:numFmt w:val="bullet"/>
      <w:lvlText w:val=""/>
      <w:lvlJc w:val="left"/>
      <w:pPr>
        <w:tabs>
          <w:tab w:val="num" w:pos="5040"/>
        </w:tabs>
        <w:ind w:left="5040" w:hanging="360"/>
      </w:pPr>
      <w:rPr>
        <w:rFonts w:ascii="Wingdings" w:hAnsi="Wingdings" w:hint="default"/>
        <w:sz w:val="20"/>
      </w:rPr>
    </w:lvl>
    <w:lvl w:ilvl="7" w:tplc="96861C88" w:tentative="1">
      <w:start w:val="1"/>
      <w:numFmt w:val="bullet"/>
      <w:lvlText w:val=""/>
      <w:lvlJc w:val="left"/>
      <w:pPr>
        <w:tabs>
          <w:tab w:val="num" w:pos="5760"/>
        </w:tabs>
        <w:ind w:left="5760" w:hanging="360"/>
      </w:pPr>
      <w:rPr>
        <w:rFonts w:ascii="Wingdings" w:hAnsi="Wingdings" w:hint="default"/>
        <w:sz w:val="20"/>
      </w:rPr>
    </w:lvl>
    <w:lvl w:ilvl="8" w:tplc="D9146706"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F17BE"/>
    <w:multiLevelType w:val="multilevel"/>
    <w:tmpl w:val="3392DE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3914561"/>
    <w:multiLevelType w:val="hybridMultilevel"/>
    <w:tmpl w:val="9F46C6C4"/>
    <w:lvl w:ilvl="0" w:tplc="112ABB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B4F05"/>
    <w:multiLevelType w:val="multilevel"/>
    <w:tmpl w:val="8454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56591"/>
    <w:multiLevelType w:val="multilevel"/>
    <w:tmpl w:val="8A5E9972"/>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4B3B22"/>
    <w:multiLevelType w:val="hybridMultilevel"/>
    <w:tmpl w:val="6C9ADFE6"/>
    <w:lvl w:ilvl="0" w:tplc="8A6A7D08">
      <w:numFmt w:val="bullet"/>
      <w:lvlText w:val="-"/>
      <w:lvlJc w:val="left"/>
      <w:pPr>
        <w:ind w:left="720" w:hanging="360"/>
      </w:pPr>
      <w:rPr>
        <w:rFonts w:ascii="Arial Nova" w:eastAsia="Arial"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502FA"/>
    <w:multiLevelType w:val="multilevel"/>
    <w:tmpl w:val="A8C626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0E4A90"/>
    <w:multiLevelType w:val="hybridMultilevel"/>
    <w:tmpl w:val="D9E0014A"/>
    <w:lvl w:ilvl="0" w:tplc="E48454AC">
      <w:numFmt w:val="bullet"/>
      <w:lvlText w:val="•"/>
      <w:lvlJc w:val="left"/>
      <w:pPr>
        <w:ind w:left="1080" w:hanging="72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27204"/>
    <w:multiLevelType w:val="hybridMultilevel"/>
    <w:tmpl w:val="7168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242130"/>
    <w:multiLevelType w:val="multilevel"/>
    <w:tmpl w:val="D248C90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17"/>
  </w:num>
  <w:num w:numId="4">
    <w:abstractNumId w:val="4"/>
  </w:num>
  <w:num w:numId="5">
    <w:abstractNumId w:val="9"/>
  </w:num>
  <w:num w:numId="6">
    <w:abstractNumId w:val="2"/>
  </w:num>
  <w:num w:numId="7">
    <w:abstractNumId w:val="7"/>
  </w:num>
  <w:num w:numId="8">
    <w:abstractNumId w:val="11"/>
  </w:num>
  <w:num w:numId="9">
    <w:abstractNumId w:val="8"/>
  </w:num>
  <w:num w:numId="10">
    <w:abstractNumId w:val="0"/>
  </w:num>
  <w:num w:numId="11">
    <w:abstractNumId w:val="6"/>
  </w:num>
  <w:num w:numId="12">
    <w:abstractNumId w:val="10"/>
  </w:num>
  <w:num w:numId="13">
    <w:abstractNumId w:val="16"/>
  </w:num>
  <w:num w:numId="14">
    <w:abstractNumId w:val="13"/>
  </w:num>
  <w:num w:numId="15">
    <w:abstractNumId w:val="15"/>
  </w:num>
  <w:num w:numId="16">
    <w:abstractNumId w:val="14"/>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F6D"/>
    <w:rsid w:val="0001528E"/>
    <w:rsid w:val="00025DE9"/>
    <w:rsid w:val="00041B16"/>
    <w:rsid w:val="00043663"/>
    <w:rsid w:val="00062F0D"/>
    <w:rsid w:val="000744B2"/>
    <w:rsid w:val="00097F6F"/>
    <w:rsid w:val="000DE760"/>
    <w:rsid w:val="000F592D"/>
    <w:rsid w:val="001348AA"/>
    <w:rsid w:val="00134B3F"/>
    <w:rsid w:val="001362C8"/>
    <w:rsid w:val="00141F92"/>
    <w:rsid w:val="00143D9D"/>
    <w:rsid w:val="00150DA4"/>
    <w:rsid w:val="00186E85"/>
    <w:rsid w:val="001A192E"/>
    <w:rsid w:val="001B47FC"/>
    <w:rsid w:val="001C0391"/>
    <w:rsid w:val="001C728D"/>
    <w:rsid w:val="001E07FD"/>
    <w:rsid w:val="001E46DE"/>
    <w:rsid w:val="001FBEB5"/>
    <w:rsid w:val="00202547"/>
    <w:rsid w:val="002046AE"/>
    <w:rsid w:val="00205E58"/>
    <w:rsid w:val="00246D5B"/>
    <w:rsid w:val="002656A5"/>
    <w:rsid w:val="00275954"/>
    <w:rsid w:val="002865F6"/>
    <w:rsid w:val="00286B98"/>
    <w:rsid w:val="00292A9E"/>
    <w:rsid w:val="002B1173"/>
    <w:rsid w:val="002E31C4"/>
    <w:rsid w:val="002E58FB"/>
    <w:rsid w:val="002F6CB3"/>
    <w:rsid w:val="00302026"/>
    <w:rsid w:val="00317239"/>
    <w:rsid w:val="003246C1"/>
    <w:rsid w:val="00327CC2"/>
    <w:rsid w:val="00343F8E"/>
    <w:rsid w:val="00347757"/>
    <w:rsid w:val="00365FED"/>
    <w:rsid w:val="0037190A"/>
    <w:rsid w:val="00381155"/>
    <w:rsid w:val="0039252E"/>
    <w:rsid w:val="00397817"/>
    <w:rsid w:val="003A00A8"/>
    <w:rsid w:val="003A2F5F"/>
    <w:rsid w:val="003B3857"/>
    <w:rsid w:val="003D052B"/>
    <w:rsid w:val="003E0FA9"/>
    <w:rsid w:val="003E490B"/>
    <w:rsid w:val="0042051D"/>
    <w:rsid w:val="00426003"/>
    <w:rsid w:val="00440D7E"/>
    <w:rsid w:val="004578D3"/>
    <w:rsid w:val="0046069C"/>
    <w:rsid w:val="00461B04"/>
    <w:rsid w:val="00473438"/>
    <w:rsid w:val="0049551D"/>
    <w:rsid w:val="00497B02"/>
    <w:rsid w:val="004A2055"/>
    <w:rsid w:val="004A6510"/>
    <w:rsid w:val="004C584A"/>
    <w:rsid w:val="004D749C"/>
    <w:rsid w:val="00526035"/>
    <w:rsid w:val="00540633"/>
    <w:rsid w:val="00544BE9"/>
    <w:rsid w:val="00555BFC"/>
    <w:rsid w:val="00555D3A"/>
    <w:rsid w:val="00564027"/>
    <w:rsid w:val="00580807"/>
    <w:rsid w:val="00582A66"/>
    <w:rsid w:val="00586CBC"/>
    <w:rsid w:val="00591243"/>
    <w:rsid w:val="005C00D3"/>
    <w:rsid w:val="005C5911"/>
    <w:rsid w:val="005E50D4"/>
    <w:rsid w:val="006170DC"/>
    <w:rsid w:val="00632C81"/>
    <w:rsid w:val="00643683"/>
    <w:rsid w:val="00667667"/>
    <w:rsid w:val="00671E0C"/>
    <w:rsid w:val="0069042F"/>
    <w:rsid w:val="00691E15"/>
    <w:rsid w:val="00696082"/>
    <w:rsid w:val="006A5937"/>
    <w:rsid w:val="006C2D3C"/>
    <w:rsid w:val="006C72E6"/>
    <w:rsid w:val="006E23D2"/>
    <w:rsid w:val="006F2B72"/>
    <w:rsid w:val="006F5688"/>
    <w:rsid w:val="0070442D"/>
    <w:rsid w:val="00707F9C"/>
    <w:rsid w:val="0072761D"/>
    <w:rsid w:val="00744093"/>
    <w:rsid w:val="00746026"/>
    <w:rsid w:val="00761446"/>
    <w:rsid w:val="0076677D"/>
    <w:rsid w:val="007B079E"/>
    <w:rsid w:val="007C0C1E"/>
    <w:rsid w:val="007C74FD"/>
    <w:rsid w:val="007D1C98"/>
    <w:rsid w:val="007E2B4D"/>
    <w:rsid w:val="007E3953"/>
    <w:rsid w:val="007E765A"/>
    <w:rsid w:val="007E7D95"/>
    <w:rsid w:val="007F0B60"/>
    <w:rsid w:val="00813D9E"/>
    <w:rsid w:val="00822689"/>
    <w:rsid w:val="008403E7"/>
    <w:rsid w:val="00845E78"/>
    <w:rsid w:val="00846A2E"/>
    <w:rsid w:val="00861DAE"/>
    <w:rsid w:val="008629B2"/>
    <w:rsid w:val="00882971"/>
    <w:rsid w:val="008879A6"/>
    <w:rsid w:val="008B777B"/>
    <w:rsid w:val="008F0FE2"/>
    <w:rsid w:val="00910CFB"/>
    <w:rsid w:val="00927B99"/>
    <w:rsid w:val="009558C2"/>
    <w:rsid w:val="009570C1"/>
    <w:rsid w:val="00973FD4"/>
    <w:rsid w:val="00993344"/>
    <w:rsid w:val="009B254D"/>
    <w:rsid w:val="009C0193"/>
    <w:rsid w:val="009F7DE0"/>
    <w:rsid w:val="00A17A6D"/>
    <w:rsid w:val="00A25058"/>
    <w:rsid w:val="00A4220D"/>
    <w:rsid w:val="00A75377"/>
    <w:rsid w:val="00A75DB3"/>
    <w:rsid w:val="00A96242"/>
    <w:rsid w:val="00AA1EDC"/>
    <w:rsid w:val="00AA20FC"/>
    <w:rsid w:val="00AA7D5B"/>
    <w:rsid w:val="00AC43EE"/>
    <w:rsid w:val="00AC536B"/>
    <w:rsid w:val="00B07D36"/>
    <w:rsid w:val="00B11833"/>
    <w:rsid w:val="00B161B5"/>
    <w:rsid w:val="00B21BF6"/>
    <w:rsid w:val="00B26E78"/>
    <w:rsid w:val="00B57034"/>
    <w:rsid w:val="00B7066D"/>
    <w:rsid w:val="00B7255E"/>
    <w:rsid w:val="00B80E66"/>
    <w:rsid w:val="00BB017E"/>
    <w:rsid w:val="00BD5691"/>
    <w:rsid w:val="00BF6E57"/>
    <w:rsid w:val="00C13888"/>
    <w:rsid w:val="00C24591"/>
    <w:rsid w:val="00C25FDE"/>
    <w:rsid w:val="00C3632F"/>
    <w:rsid w:val="00C549ED"/>
    <w:rsid w:val="00C71F0C"/>
    <w:rsid w:val="00CB0B86"/>
    <w:rsid w:val="00CB43A9"/>
    <w:rsid w:val="00CC0C38"/>
    <w:rsid w:val="00CD3BEA"/>
    <w:rsid w:val="00CF4B5E"/>
    <w:rsid w:val="00CF6500"/>
    <w:rsid w:val="00D07C0B"/>
    <w:rsid w:val="00D10353"/>
    <w:rsid w:val="00D1372E"/>
    <w:rsid w:val="00D177EA"/>
    <w:rsid w:val="00D21F6D"/>
    <w:rsid w:val="00D23636"/>
    <w:rsid w:val="00D32ADF"/>
    <w:rsid w:val="00D41996"/>
    <w:rsid w:val="00D62226"/>
    <w:rsid w:val="00D67586"/>
    <w:rsid w:val="00D81048"/>
    <w:rsid w:val="00D96AA4"/>
    <w:rsid w:val="00DD23DC"/>
    <w:rsid w:val="00DE1D7C"/>
    <w:rsid w:val="00DF11D9"/>
    <w:rsid w:val="00DF1539"/>
    <w:rsid w:val="00E004BD"/>
    <w:rsid w:val="00E106C2"/>
    <w:rsid w:val="00E224D5"/>
    <w:rsid w:val="00E226A1"/>
    <w:rsid w:val="00E23EAB"/>
    <w:rsid w:val="00E62223"/>
    <w:rsid w:val="00E77943"/>
    <w:rsid w:val="00E93B7D"/>
    <w:rsid w:val="00E97F2D"/>
    <w:rsid w:val="00EA0E43"/>
    <w:rsid w:val="00EA4CDB"/>
    <w:rsid w:val="00EB2789"/>
    <w:rsid w:val="00EC1E1A"/>
    <w:rsid w:val="00ECFE89"/>
    <w:rsid w:val="00EE1562"/>
    <w:rsid w:val="00EE5D9D"/>
    <w:rsid w:val="00EF7A03"/>
    <w:rsid w:val="00F0731C"/>
    <w:rsid w:val="00F2055F"/>
    <w:rsid w:val="00F3505A"/>
    <w:rsid w:val="00F37F1D"/>
    <w:rsid w:val="00F42E09"/>
    <w:rsid w:val="00F52E70"/>
    <w:rsid w:val="00F63A48"/>
    <w:rsid w:val="00F824A9"/>
    <w:rsid w:val="00F83C79"/>
    <w:rsid w:val="00FC05E8"/>
    <w:rsid w:val="00FC0829"/>
    <w:rsid w:val="00FF407E"/>
    <w:rsid w:val="01F8507E"/>
    <w:rsid w:val="02CAC120"/>
    <w:rsid w:val="046D9818"/>
    <w:rsid w:val="05F04BA2"/>
    <w:rsid w:val="07455BD3"/>
    <w:rsid w:val="076BA51B"/>
    <w:rsid w:val="0907757C"/>
    <w:rsid w:val="09E21012"/>
    <w:rsid w:val="0B9621E1"/>
    <w:rsid w:val="0BDA6F04"/>
    <w:rsid w:val="0D33159F"/>
    <w:rsid w:val="0EAC7052"/>
    <w:rsid w:val="0EE020D7"/>
    <w:rsid w:val="0FB04ABF"/>
    <w:rsid w:val="10693090"/>
    <w:rsid w:val="10BC472F"/>
    <w:rsid w:val="10E030F3"/>
    <w:rsid w:val="111AB155"/>
    <w:rsid w:val="112AC8CF"/>
    <w:rsid w:val="112BEC2C"/>
    <w:rsid w:val="113EE632"/>
    <w:rsid w:val="12B681B6"/>
    <w:rsid w:val="13FC8119"/>
    <w:rsid w:val="14BF96F3"/>
    <w:rsid w:val="151FC5AB"/>
    <w:rsid w:val="16C8BD0E"/>
    <w:rsid w:val="16D0AA94"/>
    <w:rsid w:val="16EB32BC"/>
    <w:rsid w:val="1925C33A"/>
    <w:rsid w:val="1947158B"/>
    <w:rsid w:val="1A1198A7"/>
    <w:rsid w:val="1A21B021"/>
    <w:rsid w:val="1A31C79B"/>
    <w:rsid w:val="1A9AF279"/>
    <w:rsid w:val="1AEB0FE0"/>
    <w:rsid w:val="1D582D86"/>
    <w:rsid w:val="1E118F9E"/>
    <w:rsid w:val="1EBA6A28"/>
    <w:rsid w:val="1F6A064A"/>
    <w:rsid w:val="215A5164"/>
    <w:rsid w:val="215B3853"/>
    <w:rsid w:val="229A8945"/>
    <w:rsid w:val="23B75790"/>
    <w:rsid w:val="24DAC5DA"/>
    <w:rsid w:val="2527E2AC"/>
    <w:rsid w:val="269806DE"/>
    <w:rsid w:val="26E5E76F"/>
    <w:rsid w:val="2759E627"/>
    <w:rsid w:val="288B26A1"/>
    <w:rsid w:val="29011FA9"/>
    <w:rsid w:val="2B26483D"/>
    <w:rsid w:val="2BDA5F51"/>
    <w:rsid w:val="2C839F40"/>
    <w:rsid w:val="2CC65161"/>
    <w:rsid w:val="2D665D30"/>
    <w:rsid w:val="2E1F6FA1"/>
    <w:rsid w:val="2E28BCF2"/>
    <w:rsid w:val="2E9094EE"/>
    <w:rsid w:val="2FB3527C"/>
    <w:rsid w:val="2FBB4002"/>
    <w:rsid w:val="2FC369F6"/>
    <w:rsid w:val="2FD6A659"/>
    <w:rsid w:val="30AF3F63"/>
    <w:rsid w:val="31F713B6"/>
    <w:rsid w:val="3239D4ED"/>
    <w:rsid w:val="327572F8"/>
    <w:rsid w:val="33269149"/>
    <w:rsid w:val="33FD0028"/>
    <w:rsid w:val="348EB125"/>
    <w:rsid w:val="36B335C5"/>
    <w:rsid w:val="37051C1C"/>
    <w:rsid w:val="3751F4FE"/>
    <w:rsid w:val="37DFB6B2"/>
    <w:rsid w:val="37E4763F"/>
    <w:rsid w:val="37E7A438"/>
    <w:rsid w:val="38382AE8"/>
    <w:rsid w:val="384C362D"/>
    <w:rsid w:val="3897DB9A"/>
    <w:rsid w:val="396A4C3C"/>
    <w:rsid w:val="3AEDDB2F"/>
    <w:rsid w:val="3B1F44FA"/>
    <w:rsid w:val="3B49E49C"/>
    <w:rsid w:val="3B79EBB3"/>
    <w:rsid w:val="3D6B4CBD"/>
    <w:rsid w:val="3D745DA0"/>
    <w:rsid w:val="3E35936B"/>
    <w:rsid w:val="3ED5D69C"/>
    <w:rsid w:val="3F071D1E"/>
    <w:rsid w:val="3F0F0AA4"/>
    <w:rsid w:val="3F1BEAB2"/>
    <w:rsid w:val="3F399190"/>
    <w:rsid w:val="40ABFE62"/>
    <w:rsid w:val="4131ECDE"/>
    <w:rsid w:val="4169022E"/>
    <w:rsid w:val="41DD5815"/>
    <w:rsid w:val="42632D58"/>
    <w:rsid w:val="428285DF"/>
    <w:rsid w:val="42F527AF"/>
    <w:rsid w:val="43D387AA"/>
    <w:rsid w:val="44A369ED"/>
    <w:rsid w:val="46308DD6"/>
    <w:rsid w:val="47CC5E37"/>
    <w:rsid w:val="47E5C302"/>
    <w:rsid w:val="4898A839"/>
    <w:rsid w:val="49819363"/>
    <w:rsid w:val="49DE83BF"/>
    <w:rsid w:val="4A39B84B"/>
    <w:rsid w:val="4A52E0A8"/>
    <w:rsid w:val="4B6D36D7"/>
    <w:rsid w:val="4BDE998F"/>
    <w:rsid w:val="4D27F887"/>
    <w:rsid w:val="4E7B0C7B"/>
    <w:rsid w:val="4F2651CB"/>
    <w:rsid w:val="4F2F62AE"/>
    <w:rsid w:val="4F3FB696"/>
    <w:rsid w:val="4FEFB18A"/>
    <w:rsid w:val="501A14BE"/>
    <w:rsid w:val="50C2222C"/>
    <w:rsid w:val="51ACD43C"/>
    <w:rsid w:val="524DDB13"/>
    <w:rsid w:val="53407AA9"/>
    <w:rsid w:val="53F6767B"/>
    <w:rsid w:val="54E474FE"/>
    <w:rsid w:val="552EBFB1"/>
    <w:rsid w:val="559DBD43"/>
    <w:rsid w:val="5793D553"/>
    <w:rsid w:val="5800CEFB"/>
    <w:rsid w:val="599EBDC4"/>
    <w:rsid w:val="59E36CB2"/>
    <w:rsid w:val="5A1E0185"/>
    <w:rsid w:val="5AA4A27D"/>
    <w:rsid w:val="5AF158EE"/>
    <w:rsid w:val="5B29534E"/>
    <w:rsid w:val="5B3A8E25"/>
    <w:rsid w:val="5B427BAB"/>
    <w:rsid w:val="5BBE324B"/>
    <w:rsid w:val="5F0D6AFB"/>
    <w:rsid w:val="5F4C8D0F"/>
    <w:rsid w:val="60E85D70"/>
    <w:rsid w:val="60EC7F79"/>
    <w:rsid w:val="60F99847"/>
    <w:rsid w:val="61A1A5B5"/>
    <w:rsid w:val="61F3AD2C"/>
    <w:rsid w:val="62939159"/>
    <w:rsid w:val="6345A00A"/>
    <w:rsid w:val="649CE040"/>
    <w:rsid w:val="664211D8"/>
    <w:rsid w:val="6820FEB3"/>
    <w:rsid w:val="69B4E18E"/>
    <w:rsid w:val="6AEA15EB"/>
    <w:rsid w:val="6CD440E2"/>
    <w:rsid w:val="6D056D8B"/>
    <w:rsid w:val="6D58842A"/>
    <w:rsid w:val="6E3B43EA"/>
    <w:rsid w:val="6E7717DA"/>
    <w:rsid w:val="6E7F0560"/>
    <w:rsid w:val="7012E83B"/>
    <w:rsid w:val="7019DED9"/>
    <w:rsid w:val="7061A8C4"/>
    <w:rsid w:val="71B8ECDC"/>
    <w:rsid w:val="71C90456"/>
    <w:rsid w:val="7282102D"/>
    <w:rsid w:val="73760F8E"/>
    <w:rsid w:val="73790678"/>
    <w:rsid w:val="73BF1A8E"/>
    <w:rsid w:val="7426DA7C"/>
    <w:rsid w:val="742E0ADA"/>
    <w:rsid w:val="74AB0C9E"/>
    <w:rsid w:val="7519CD75"/>
    <w:rsid w:val="75DB3FAE"/>
    <w:rsid w:val="76A5351D"/>
    <w:rsid w:val="77142569"/>
    <w:rsid w:val="786AD302"/>
    <w:rsid w:val="79014B5F"/>
    <w:rsid w:val="7923DED9"/>
    <w:rsid w:val="795B6ABA"/>
    <w:rsid w:val="79B58A15"/>
    <w:rsid w:val="79C1B807"/>
    <w:rsid w:val="79DC03C1"/>
    <w:rsid w:val="7AC7D92E"/>
    <w:rsid w:val="7BAA614A"/>
    <w:rsid w:val="7DDBE3E4"/>
    <w:rsid w:val="7F78D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A1696A"/>
  <w15:docId w15:val="{F6C28383-3052-4C66-A438-100310EF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C72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2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1D9"/>
    <w:rPr>
      <w:b/>
      <w:bCs/>
    </w:rPr>
  </w:style>
  <w:style w:type="character" w:customStyle="1" w:styleId="CommentSubjectChar">
    <w:name w:val="Comment Subject Char"/>
    <w:basedOn w:val="CommentTextChar"/>
    <w:link w:val="CommentSubject"/>
    <w:uiPriority w:val="99"/>
    <w:semiHidden/>
    <w:rsid w:val="00DF11D9"/>
    <w:rPr>
      <w:b/>
      <w:bCs/>
      <w:sz w:val="20"/>
      <w:szCs w:val="20"/>
    </w:rPr>
  </w:style>
  <w:style w:type="paragraph" w:styleId="ListParagraph">
    <w:name w:val="List Paragraph"/>
    <w:basedOn w:val="Normal"/>
    <w:uiPriority w:val="34"/>
    <w:qFormat/>
    <w:rsid w:val="002046AE"/>
    <w:pPr>
      <w:ind w:left="720"/>
      <w:contextualSpacing/>
    </w:pPr>
  </w:style>
  <w:style w:type="paragraph" w:styleId="NormalWeb">
    <w:name w:val="Normal (Web)"/>
    <w:basedOn w:val="Normal"/>
    <w:uiPriority w:val="99"/>
    <w:semiHidden/>
    <w:unhideWhenUsed/>
    <w:rsid w:val="00143D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E23EAB"/>
    <w:pPr>
      <w:spacing w:line="240" w:lineRule="auto"/>
    </w:pPr>
  </w:style>
  <w:style w:type="paragraph" w:styleId="NoSpacing">
    <w:name w:val="No Spacing"/>
    <w:uiPriority w:val="1"/>
    <w:qFormat/>
    <w:rsid w:val="00EA4CDB"/>
    <w:pPr>
      <w:spacing w:line="240" w:lineRule="auto"/>
    </w:pPr>
  </w:style>
  <w:style w:type="character" w:styleId="Strong">
    <w:name w:val="Strong"/>
    <w:basedOn w:val="DefaultParagraphFont"/>
    <w:uiPriority w:val="22"/>
    <w:qFormat/>
    <w:rsid w:val="002865F6"/>
    <w:rPr>
      <w:b/>
      <w:bCs/>
    </w:rPr>
  </w:style>
  <w:style w:type="character" w:styleId="Hyperlink">
    <w:name w:val="Hyperlink"/>
    <w:basedOn w:val="DefaultParagraphFont"/>
    <w:uiPriority w:val="99"/>
    <w:unhideWhenUsed/>
    <w:rsid w:val="008879A6"/>
    <w:rPr>
      <w:color w:val="0000FF" w:themeColor="hyperlink"/>
      <w:u w:val="single"/>
    </w:rPr>
  </w:style>
  <w:style w:type="character" w:styleId="UnresolvedMention">
    <w:name w:val="Unresolved Mention"/>
    <w:basedOn w:val="DefaultParagraphFont"/>
    <w:uiPriority w:val="99"/>
    <w:semiHidden/>
    <w:unhideWhenUsed/>
    <w:rsid w:val="0088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6621">
      <w:bodyDiv w:val="1"/>
      <w:marLeft w:val="0"/>
      <w:marRight w:val="0"/>
      <w:marTop w:val="0"/>
      <w:marBottom w:val="0"/>
      <w:divBdr>
        <w:top w:val="none" w:sz="0" w:space="0" w:color="auto"/>
        <w:left w:val="none" w:sz="0" w:space="0" w:color="auto"/>
        <w:bottom w:val="none" w:sz="0" w:space="0" w:color="auto"/>
        <w:right w:val="none" w:sz="0" w:space="0" w:color="auto"/>
      </w:divBdr>
    </w:div>
    <w:div w:id="1079642403">
      <w:bodyDiv w:val="1"/>
      <w:marLeft w:val="0"/>
      <w:marRight w:val="0"/>
      <w:marTop w:val="0"/>
      <w:marBottom w:val="0"/>
      <w:divBdr>
        <w:top w:val="none" w:sz="0" w:space="0" w:color="auto"/>
        <w:left w:val="none" w:sz="0" w:space="0" w:color="auto"/>
        <w:bottom w:val="none" w:sz="0" w:space="0" w:color="auto"/>
        <w:right w:val="none" w:sz="0" w:space="0" w:color="auto"/>
      </w:divBdr>
    </w:div>
    <w:div w:id="1254898936">
      <w:bodyDiv w:val="1"/>
      <w:marLeft w:val="0"/>
      <w:marRight w:val="0"/>
      <w:marTop w:val="0"/>
      <w:marBottom w:val="0"/>
      <w:divBdr>
        <w:top w:val="none" w:sz="0" w:space="0" w:color="auto"/>
        <w:left w:val="none" w:sz="0" w:space="0" w:color="auto"/>
        <w:bottom w:val="none" w:sz="0" w:space="0" w:color="auto"/>
        <w:right w:val="none" w:sz="0" w:space="0" w:color="auto"/>
      </w:divBdr>
    </w:div>
    <w:div w:id="1327977024">
      <w:bodyDiv w:val="1"/>
      <w:marLeft w:val="0"/>
      <w:marRight w:val="0"/>
      <w:marTop w:val="0"/>
      <w:marBottom w:val="0"/>
      <w:divBdr>
        <w:top w:val="none" w:sz="0" w:space="0" w:color="auto"/>
        <w:left w:val="none" w:sz="0" w:space="0" w:color="auto"/>
        <w:bottom w:val="none" w:sz="0" w:space="0" w:color="auto"/>
        <w:right w:val="none" w:sz="0" w:space="0" w:color="auto"/>
      </w:divBdr>
    </w:div>
    <w:div w:id="1364599035">
      <w:bodyDiv w:val="1"/>
      <w:marLeft w:val="0"/>
      <w:marRight w:val="0"/>
      <w:marTop w:val="0"/>
      <w:marBottom w:val="0"/>
      <w:divBdr>
        <w:top w:val="none" w:sz="0" w:space="0" w:color="auto"/>
        <w:left w:val="none" w:sz="0" w:space="0" w:color="auto"/>
        <w:bottom w:val="none" w:sz="0" w:space="0" w:color="auto"/>
        <w:right w:val="none" w:sz="0" w:space="0" w:color="auto"/>
      </w:divBdr>
    </w:div>
    <w:div w:id="1493567662">
      <w:bodyDiv w:val="1"/>
      <w:marLeft w:val="0"/>
      <w:marRight w:val="0"/>
      <w:marTop w:val="0"/>
      <w:marBottom w:val="0"/>
      <w:divBdr>
        <w:top w:val="none" w:sz="0" w:space="0" w:color="auto"/>
        <w:left w:val="none" w:sz="0" w:space="0" w:color="auto"/>
        <w:bottom w:val="none" w:sz="0" w:space="0" w:color="auto"/>
        <w:right w:val="none" w:sz="0" w:space="0" w:color="auto"/>
      </w:divBdr>
    </w:div>
    <w:div w:id="1649549572">
      <w:bodyDiv w:val="1"/>
      <w:marLeft w:val="0"/>
      <w:marRight w:val="0"/>
      <w:marTop w:val="0"/>
      <w:marBottom w:val="0"/>
      <w:divBdr>
        <w:top w:val="none" w:sz="0" w:space="0" w:color="auto"/>
        <w:left w:val="none" w:sz="0" w:space="0" w:color="auto"/>
        <w:bottom w:val="none" w:sz="0" w:space="0" w:color="auto"/>
        <w:right w:val="none" w:sz="0" w:space="0" w:color="auto"/>
      </w:divBdr>
    </w:div>
    <w:div w:id="1653824859">
      <w:bodyDiv w:val="1"/>
      <w:marLeft w:val="0"/>
      <w:marRight w:val="0"/>
      <w:marTop w:val="0"/>
      <w:marBottom w:val="0"/>
      <w:divBdr>
        <w:top w:val="none" w:sz="0" w:space="0" w:color="auto"/>
        <w:left w:val="none" w:sz="0" w:space="0" w:color="auto"/>
        <w:bottom w:val="none" w:sz="0" w:space="0" w:color="auto"/>
        <w:right w:val="none" w:sz="0" w:space="0" w:color="auto"/>
      </w:divBdr>
    </w:div>
    <w:div w:id="1704330918">
      <w:bodyDiv w:val="1"/>
      <w:marLeft w:val="0"/>
      <w:marRight w:val="0"/>
      <w:marTop w:val="0"/>
      <w:marBottom w:val="0"/>
      <w:divBdr>
        <w:top w:val="none" w:sz="0" w:space="0" w:color="auto"/>
        <w:left w:val="none" w:sz="0" w:space="0" w:color="auto"/>
        <w:bottom w:val="none" w:sz="0" w:space="0" w:color="auto"/>
        <w:right w:val="none" w:sz="0" w:space="0" w:color="auto"/>
      </w:divBdr>
    </w:div>
    <w:div w:id="1761440702">
      <w:bodyDiv w:val="1"/>
      <w:marLeft w:val="0"/>
      <w:marRight w:val="0"/>
      <w:marTop w:val="0"/>
      <w:marBottom w:val="0"/>
      <w:divBdr>
        <w:top w:val="none" w:sz="0" w:space="0" w:color="auto"/>
        <w:left w:val="none" w:sz="0" w:space="0" w:color="auto"/>
        <w:bottom w:val="none" w:sz="0" w:space="0" w:color="auto"/>
        <w:right w:val="none" w:sz="0" w:space="0" w:color="auto"/>
      </w:divBdr>
    </w:div>
    <w:div w:id="2053455940">
      <w:bodyDiv w:val="1"/>
      <w:marLeft w:val="0"/>
      <w:marRight w:val="0"/>
      <w:marTop w:val="0"/>
      <w:marBottom w:val="0"/>
      <w:divBdr>
        <w:top w:val="none" w:sz="0" w:space="0" w:color="auto"/>
        <w:left w:val="none" w:sz="0" w:space="0" w:color="auto"/>
        <w:bottom w:val="none" w:sz="0" w:space="0" w:color="auto"/>
        <w:right w:val="none" w:sz="0" w:space="0" w:color="auto"/>
      </w:divBdr>
    </w:div>
    <w:div w:id="2107071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763E51382F6C48ABCEB818707BDB80" ma:contentTypeVersion="7" ma:contentTypeDescription="Create a new document." ma:contentTypeScope="" ma:versionID="866a5dc392f3c9907d3470ac48cb58ed">
  <xsd:schema xmlns:xsd="http://www.w3.org/2001/XMLSchema" xmlns:xs="http://www.w3.org/2001/XMLSchema" xmlns:p="http://schemas.microsoft.com/office/2006/metadata/properties" xmlns:ns3="2e2a9c03-169d-4ce0-a8c2-c88bb4ac09ce" xmlns:ns4="e19bce97-3476-4b3f-9e6a-e6e5e88d9349" targetNamespace="http://schemas.microsoft.com/office/2006/metadata/properties" ma:root="true" ma:fieldsID="89c9fea2cd5b83bcc7ccaa632363e205" ns3:_="" ns4:_="">
    <xsd:import namespace="2e2a9c03-169d-4ce0-a8c2-c88bb4ac09ce"/>
    <xsd:import namespace="e19bce97-3476-4b3f-9e6a-e6e5e88d93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a9c03-169d-4ce0-a8c2-c88bb4ac0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bce97-3476-4b3f-9e6a-e6e5e88d93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26F81-BFC9-4481-88F6-48964D13CF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15A98-D1A2-408F-8A97-58DEA8436B6B}">
  <ds:schemaRefs>
    <ds:schemaRef ds:uri="http://schemas.openxmlformats.org/officeDocument/2006/bibliography"/>
  </ds:schemaRefs>
</ds:datastoreItem>
</file>

<file path=customXml/itemProps3.xml><?xml version="1.0" encoding="utf-8"?>
<ds:datastoreItem xmlns:ds="http://schemas.openxmlformats.org/officeDocument/2006/customXml" ds:itemID="{3D05809B-D706-44E4-B9F1-2E6D176B6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a9c03-169d-4ce0-a8c2-c88bb4ac09ce"/>
    <ds:schemaRef ds:uri="e19bce97-3476-4b3f-9e6a-e6e5e88d9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73963-4B7E-469D-BF29-81D42E746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13</Pages>
  <Words>6077</Words>
  <Characters>34643</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Raphaël KIES</dc:creator>
  <cp:lastModifiedBy>urska umek</cp:lastModifiedBy>
  <cp:revision>14</cp:revision>
  <dcterms:created xsi:type="dcterms:W3CDTF">2021-07-15T12:02:00Z</dcterms:created>
  <dcterms:modified xsi:type="dcterms:W3CDTF">2021-07-19T11:47:00Z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0x0101008F763E51382F6C48ABCEB818707BDB80</vt:lpwstr>
  </property>
</Properties>
</file>