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5AB3" w14:textId="76A76FC4" w:rsidR="00102B0A" w:rsidRDefault="00924133" w:rsidP="00245C04">
      <w:pPr>
        <w:tabs>
          <w:tab w:val="left" w:pos="3366"/>
        </w:tabs>
        <w:jc w:val="center"/>
        <w:rPr>
          <w:b/>
          <w:bCs/>
          <w:iCs/>
          <w:sz w:val="24"/>
          <w:szCs w:val="24"/>
        </w:rPr>
      </w:pPr>
      <w:bookmarkStart w:id="0" w:name="_GoBack"/>
      <w:bookmarkEnd w:id="0"/>
      <w:proofErr w:type="spellStart"/>
      <w:r w:rsidRPr="00924133">
        <w:rPr>
          <w:b/>
          <w:bCs/>
          <w:iCs/>
          <w:sz w:val="24"/>
          <w:szCs w:val="24"/>
        </w:rPr>
        <w:t>Inicijativa</w:t>
      </w:r>
      <w:proofErr w:type="spellEnd"/>
      <w:r w:rsidRPr="00924133">
        <w:rPr>
          <w:b/>
          <w:bCs/>
          <w:iCs/>
          <w:sz w:val="24"/>
          <w:szCs w:val="24"/>
        </w:rPr>
        <w:t xml:space="preserve"> za </w:t>
      </w:r>
      <w:proofErr w:type="spellStart"/>
      <w:r w:rsidRPr="00924133">
        <w:rPr>
          <w:b/>
          <w:bCs/>
          <w:iCs/>
          <w:sz w:val="24"/>
          <w:szCs w:val="24"/>
        </w:rPr>
        <w:t>pravnu</w:t>
      </w:r>
      <w:proofErr w:type="spellEnd"/>
      <w:r w:rsidRPr="00924133">
        <w:rPr>
          <w:b/>
          <w:bCs/>
          <w:iCs/>
          <w:sz w:val="24"/>
          <w:szCs w:val="24"/>
        </w:rPr>
        <w:t xml:space="preserve"> </w:t>
      </w:r>
      <w:proofErr w:type="spellStart"/>
      <w:r w:rsidRPr="00924133">
        <w:rPr>
          <w:b/>
          <w:bCs/>
          <w:iCs/>
          <w:sz w:val="24"/>
          <w:szCs w:val="24"/>
        </w:rPr>
        <w:t>sigurnost</w:t>
      </w:r>
      <w:proofErr w:type="spellEnd"/>
      <w:r w:rsidRPr="00924133">
        <w:rPr>
          <w:b/>
          <w:bCs/>
          <w:iCs/>
          <w:sz w:val="24"/>
          <w:szCs w:val="24"/>
        </w:rPr>
        <w:t xml:space="preserve"> </w:t>
      </w:r>
      <w:proofErr w:type="spellStart"/>
      <w:r w:rsidRPr="00924133">
        <w:rPr>
          <w:b/>
          <w:bCs/>
          <w:iCs/>
          <w:sz w:val="24"/>
          <w:szCs w:val="24"/>
        </w:rPr>
        <w:t>i</w:t>
      </w:r>
      <w:proofErr w:type="spellEnd"/>
      <w:r w:rsidRPr="00924133">
        <w:rPr>
          <w:b/>
          <w:bCs/>
          <w:iCs/>
          <w:sz w:val="24"/>
          <w:szCs w:val="24"/>
        </w:rPr>
        <w:t xml:space="preserve"> </w:t>
      </w:r>
      <w:proofErr w:type="spellStart"/>
      <w:r w:rsidRPr="00924133">
        <w:rPr>
          <w:b/>
          <w:bCs/>
          <w:iCs/>
          <w:sz w:val="24"/>
          <w:szCs w:val="24"/>
        </w:rPr>
        <w:t>efikasno</w:t>
      </w:r>
      <w:proofErr w:type="spellEnd"/>
      <w:r w:rsidRPr="00924133">
        <w:rPr>
          <w:b/>
          <w:bCs/>
          <w:iCs/>
          <w:sz w:val="24"/>
          <w:szCs w:val="24"/>
        </w:rPr>
        <w:t xml:space="preserve"> </w:t>
      </w:r>
      <w:proofErr w:type="spellStart"/>
      <w:r w:rsidRPr="00924133">
        <w:rPr>
          <w:b/>
          <w:bCs/>
          <w:iCs/>
          <w:sz w:val="24"/>
          <w:szCs w:val="24"/>
        </w:rPr>
        <w:t>pravosuđe</w:t>
      </w:r>
      <w:proofErr w:type="spellEnd"/>
      <w:r w:rsidRPr="00924133">
        <w:rPr>
          <w:b/>
          <w:bCs/>
          <w:iCs/>
          <w:sz w:val="24"/>
          <w:szCs w:val="24"/>
        </w:rPr>
        <w:t xml:space="preserve"> u </w:t>
      </w:r>
      <w:proofErr w:type="spellStart"/>
      <w:r w:rsidRPr="00924133">
        <w:rPr>
          <w:b/>
          <w:bCs/>
          <w:iCs/>
          <w:sz w:val="24"/>
          <w:szCs w:val="24"/>
        </w:rPr>
        <w:t>Bosni</w:t>
      </w:r>
      <w:proofErr w:type="spellEnd"/>
      <w:r w:rsidRPr="00924133">
        <w:rPr>
          <w:b/>
          <w:bCs/>
          <w:iCs/>
          <w:sz w:val="24"/>
          <w:szCs w:val="24"/>
        </w:rPr>
        <w:t xml:space="preserve"> </w:t>
      </w:r>
      <w:proofErr w:type="spellStart"/>
      <w:r w:rsidRPr="00924133">
        <w:rPr>
          <w:b/>
          <w:bCs/>
          <w:iCs/>
          <w:sz w:val="24"/>
          <w:szCs w:val="24"/>
        </w:rPr>
        <w:t>i</w:t>
      </w:r>
      <w:proofErr w:type="spellEnd"/>
      <w:r w:rsidRPr="00924133">
        <w:rPr>
          <w:b/>
          <w:bCs/>
          <w:iCs/>
          <w:sz w:val="24"/>
          <w:szCs w:val="24"/>
        </w:rPr>
        <w:t xml:space="preserve"> </w:t>
      </w:r>
      <w:proofErr w:type="spellStart"/>
      <w:r w:rsidRPr="00924133">
        <w:rPr>
          <w:b/>
          <w:bCs/>
          <w:iCs/>
          <w:sz w:val="24"/>
          <w:szCs w:val="24"/>
        </w:rPr>
        <w:t>Hercegovini</w:t>
      </w:r>
      <w:proofErr w:type="spellEnd"/>
      <w:r w:rsidRPr="00924133">
        <w:rPr>
          <w:b/>
          <w:bCs/>
          <w:iCs/>
          <w:sz w:val="24"/>
          <w:szCs w:val="24"/>
        </w:rPr>
        <w:t xml:space="preserve"> </w:t>
      </w:r>
      <w:r w:rsidR="00545D18">
        <w:rPr>
          <w:b/>
          <w:bCs/>
          <w:iCs/>
          <w:sz w:val="24"/>
          <w:szCs w:val="24"/>
        </w:rPr>
        <w:t xml:space="preserve">– </w:t>
      </w:r>
      <w:proofErr w:type="spellStart"/>
      <w:r>
        <w:rPr>
          <w:b/>
          <w:bCs/>
          <w:iCs/>
          <w:sz w:val="24"/>
          <w:szCs w:val="24"/>
        </w:rPr>
        <w:t>Faza</w:t>
      </w:r>
      <w:proofErr w:type="spellEnd"/>
      <w:r w:rsidR="00545D18">
        <w:rPr>
          <w:b/>
          <w:bCs/>
          <w:iCs/>
          <w:sz w:val="24"/>
          <w:szCs w:val="24"/>
        </w:rPr>
        <w:t xml:space="preserve"> II</w:t>
      </w:r>
    </w:p>
    <w:p w14:paraId="6BAA5A98" w14:textId="349BA48D" w:rsidR="00073D6E" w:rsidRPr="00073D6E" w:rsidRDefault="00924133" w:rsidP="00245C04">
      <w:pPr>
        <w:tabs>
          <w:tab w:val="left" w:pos="3366"/>
        </w:tabs>
        <w:jc w:val="center"/>
        <w:rPr>
          <w:rFonts w:ascii="Calibri" w:hAnsi="Calibri" w:cs="Calibri"/>
          <w:b/>
          <w:i/>
          <w:sz w:val="24"/>
          <w:szCs w:val="24"/>
        </w:rPr>
      </w:pPr>
      <w:proofErr w:type="spellStart"/>
      <w:r>
        <w:rPr>
          <w:rFonts w:ascii="Calibri" w:hAnsi="Calibri" w:cs="Calibri"/>
          <w:b/>
          <w:i/>
          <w:sz w:val="24"/>
          <w:szCs w:val="24"/>
        </w:rPr>
        <w:t>S</w:t>
      </w:r>
      <w:r w:rsidRPr="00924133">
        <w:rPr>
          <w:rFonts w:ascii="Calibri" w:hAnsi="Calibri" w:cs="Calibri"/>
          <w:b/>
          <w:i/>
          <w:sz w:val="24"/>
          <w:szCs w:val="24"/>
        </w:rPr>
        <w:t>ažetak</w:t>
      </w:r>
      <w:proofErr w:type="spellEnd"/>
      <w:r w:rsidRPr="00924133">
        <w:rPr>
          <w:rFonts w:ascii="Calibri" w:hAnsi="Calibri" w:cs="Calibri"/>
          <w:b/>
          <w:i/>
          <w:sz w:val="24"/>
          <w:szCs w:val="24"/>
        </w:rPr>
        <w:t xml:space="preserve"> </w:t>
      </w:r>
      <w:proofErr w:type="spellStart"/>
      <w:r w:rsidRPr="00924133">
        <w:rPr>
          <w:rFonts w:ascii="Calibri" w:hAnsi="Calibri" w:cs="Calibri"/>
          <w:b/>
          <w:i/>
          <w:sz w:val="24"/>
          <w:szCs w:val="24"/>
        </w:rPr>
        <w:t>projekta</w:t>
      </w:r>
      <w:proofErr w:type="spellEnd"/>
    </w:p>
    <w:tbl>
      <w:tblPr>
        <w:tblStyle w:val="TableGrid"/>
        <w:tblW w:w="0" w:type="auto"/>
        <w:tblLook w:val="04A0" w:firstRow="1" w:lastRow="0" w:firstColumn="1" w:lastColumn="0" w:noHBand="0" w:noVBand="1"/>
      </w:tblPr>
      <w:tblGrid>
        <w:gridCol w:w="2479"/>
        <w:gridCol w:w="6871"/>
      </w:tblGrid>
      <w:tr w:rsidR="003149C4" w14:paraId="21CD9544" w14:textId="77777777" w:rsidTr="00736007">
        <w:tc>
          <w:tcPr>
            <w:tcW w:w="2518" w:type="dxa"/>
            <w:shd w:val="clear" w:color="auto" w:fill="D9D9D9" w:themeFill="background1" w:themeFillShade="D9"/>
          </w:tcPr>
          <w:p w14:paraId="016263B2" w14:textId="452F91A4" w:rsidR="003149C4" w:rsidRDefault="00924133" w:rsidP="00405A89">
            <w:pPr>
              <w:tabs>
                <w:tab w:val="left" w:pos="3366"/>
              </w:tabs>
              <w:jc w:val="both"/>
              <w:rPr>
                <w:rFonts w:ascii="Calibri" w:hAnsi="Calibri" w:cs="Calibri"/>
                <w:b/>
                <w:sz w:val="24"/>
                <w:szCs w:val="24"/>
              </w:rPr>
            </w:pPr>
            <w:proofErr w:type="spellStart"/>
            <w:r>
              <w:rPr>
                <w:rFonts w:ascii="Calibri" w:hAnsi="Calibri" w:cs="Calibri"/>
                <w:b/>
                <w:sz w:val="24"/>
                <w:szCs w:val="24"/>
              </w:rPr>
              <w:t>Naziv</w:t>
            </w:r>
            <w:proofErr w:type="spellEnd"/>
            <w:r>
              <w:rPr>
                <w:rFonts w:ascii="Calibri" w:hAnsi="Calibri" w:cs="Calibri"/>
                <w:b/>
                <w:sz w:val="24"/>
                <w:szCs w:val="24"/>
              </w:rPr>
              <w:t xml:space="preserve"> </w:t>
            </w:r>
            <w:proofErr w:type="spellStart"/>
            <w:r>
              <w:rPr>
                <w:rFonts w:ascii="Calibri" w:hAnsi="Calibri" w:cs="Calibri"/>
                <w:b/>
                <w:sz w:val="24"/>
                <w:szCs w:val="24"/>
              </w:rPr>
              <w:t>projekta</w:t>
            </w:r>
            <w:proofErr w:type="spellEnd"/>
          </w:p>
          <w:p w14:paraId="36975B7D" w14:textId="77777777" w:rsidR="00006226" w:rsidRDefault="00006226" w:rsidP="00405A89">
            <w:pPr>
              <w:tabs>
                <w:tab w:val="left" w:pos="3366"/>
              </w:tabs>
              <w:jc w:val="both"/>
              <w:rPr>
                <w:rFonts w:ascii="Calibri" w:hAnsi="Calibri" w:cs="Calibri"/>
                <w:b/>
                <w:sz w:val="24"/>
                <w:szCs w:val="24"/>
              </w:rPr>
            </w:pPr>
          </w:p>
        </w:tc>
        <w:tc>
          <w:tcPr>
            <w:tcW w:w="7058" w:type="dxa"/>
          </w:tcPr>
          <w:p w14:paraId="679D8A40" w14:textId="75C1F0CE" w:rsidR="002B50E4" w:rsidRPr="0017778B" w:rsidRDefault="00924133" w:rsidP="00CA42FE">
            <w:pPr>
              <w:tabs>
                <w:tab w:val="left" w:pos="3366"/>
              </w:tabs>
              <w:jc w:val="both"/>
              <w:rPr>
                <w:rFonts w:ascii="Calibri" w:hAnsi="Calibri" w:cs="Calibri"/>
                <w:sz w:val="24"/>
                <w:szCs w:val="24"/>
              </w:rPr>
            </w:pPr>
            <w:r w:rsidRPr="00354A45">
              <w:rPr>
                <w:rFonts w:cstheme="minorHAnsi"/>
                <w:lang w:val="hr-HR" w:eastAsia="bs-Latn-BA"/>
              </w:rPr>
              <w:t>Inicijativa za pravnu sigurnost i efikasno pravosuđe u Bosni i Hercegovini</w:t>
            </w:r>
            <w:r w:rsidRPr="00CA42FE">
              <w:rPr>
                <w:rFonts w:ascii="Calibri" w:hAnsi="Calibri" w:cs="Calibri"/>
                <w:sz w:val="24"/>
                <w:szCs w:val="24"/>
              </w:rPr>
              <w:t xml:space="preserve"> </w:t>
            </w:r>
            <w:r w:rsidR="00CA42FE" w:rsidRPr="00CA42FE">
              <w:rPr>
                <w:rFonts w:ascii="Calibri" w:hAnsi="Calibri" w:cs="Calibri"/>
                <w:sz w:val="24"/>
                <w:szCs w:val="24"/>
              </w:rPr>
              <w:t xml:space="preserve">- </w:t>
            </w:r>
            <w:proofErr w:type="spellStart"/>
            <w:r>
              <w:rPr>
                <w:rFonts w:ascii="Calibri" w:hAnsi="Calibri" w:cs="Calibri"/>
                <w:sz w:val="24"/>
                <w:szCs w:val="24"/>
              </w:rPr>
              <w:t>Faza</w:t>
            </w:r>
            <w:proofErr w:type="spellEnd"/>
            <w:r w:rsidR="00CA42FE" w:rsidRPr="00CA42FE">
              <w:rPr>
                <w:rFonts w:ascii="Calibri" w:hAnsi="Calibri" w:cs="Calibri"/>
                <w:sz w:val="24"/>
                <w:szCs w:val="24"/>
              </w:rPr>
              <w:t xml:space="preserve"> II</w:t>
            </w:r>
          </w:p>
        </w:tc>
      </w:tr>
      <w:tr w:rsidR="003149C4" w14:paraId="49B528EE" w14:textId="77777777" w:rsidTr="00736007">
        <w:tc>
          <w:tcPr>
            <w:tcW w:w="2518" w:type="dxa"/>
            <w:shd w:val="clear" w:color="auto" w:fill="D9D9D9" w:themeFill="background1" w:themeFillShade="D9"/>
          </w:tcPr>
          <w:p w14:paraId="66E40746" w14:textId="41E6BA04" w:rsidR="00006226" w:rsidRDefault="00924133" w:rsidP="0017778B">
            <w:pPr>
              <w:tabs>
                <w:tab w:val="left" w:pos="3366"/>
              </w:tabs>
              <w:jc w:val="both"/>
              <w:rPr>
                <w:rFonts w:ascii="Calibri" w:hAnsi="Calibri" w:cs="Calibri"/>
                <w:b/>
                <w:sz w:val="24"/>
                <w:szCs w:val="24"/>
              </w:rPr>
            </w:pPr>
            <w:proofErr w:type="spellStart"/>
            <w:r>
              <w:rPr>
                <w:rFonts w:ascii="Calibri" w:hAnsi="Calibri" w:cs="Calibri"/>
                <w:b/>
                <w:sz w:val="24"/>
                <w:szCs w:val="24"/>
              </w:rPr>
              <w:t>Država</w:t>
            </w:r>
            <w:proofErr w:type="spellEnd"/>
          </w:p>
        </w:tc>
        <w:tc>
          <w:tcPr>
            <w:tcW w:w="7058" w:type="dxa"/>
          </w:tcPr>
          <w:p w14:paraId="54F803C3" w14:textId="20F9952C" w:rsidR="002B50E4" w:rsidRPr="0017778B" w:rsidRDefault="0017778B" w:rsidP="00405A89">
            <w:pPr>
              <w:tabs>
                <w:tab w:val="left" w:pos="3366"/>
              </w:tabs>
              <w:jc w:val="both"/>
              <w:rPr>
                <w:rFonts w:ascii="Calibri" w:hAnsi="Calibri" w:cs="Calibri"/>
                <w:sz w:val="24"/>
                <w:szCs w:val="24"/>
              </w:rPr>
            </w:pPr>
            <w:r>
              <w:rPr>
                <w:rFonts w:ascii="Calibri" w:hAnsi="Calibri" w:cs="Calibri"/>
                <w:sz w:val="24"/>
                <w:szCs w:val="24"/>
              </w:rPr>
              <w:t>Bosn</w:t>
            </w:r>
            <w:r w:rsidR="00924133">
              <w:rPr>
                <w:rFonts w:ascii="Calibri" w:hAnsi="Calibri" w:cs="Calibri"/>
                <w:sz w:val="24"/>
                <w:szCs w:val="24"/>
              </w:rPr>
              <w:t xml:space="preserve">a </w:t>
            </w:r>
            <w:proofErr w:type="spellStart"/>
            <w:r w:rsidR="00924133">
              <w:rPr>
                <w:rFonts w:ascii="Calibri" w:hAnsi="Calibri" w:cs="Calibri"/>
                <w:sz w:val="24"/>
                <w:szCs w:val="24"/>
              </w:rPr>
              <w:t>i</w:t>
            </w:r>
            <w:proofErr w:type="spellEnd"/>
            <w:r w:rsidR="00924133">
              <w:rPr>
                <w:rFonts w:ascii="Calibri" w:hAnsi="Calibri" w:cs="Calibri"/>
                <w:sz w:val="24"/>
                <w:szCs w:val="24"/>
              </w:rPr>
              <w:t xml:space="preserve"> Hercegovina</w:t>
            </w:r>
          </w:p>
        </w:tc>
      </w:tr>
      <w:tr w:rsidR="003149C4" w14:paraId="30B5D9F9" w14:textId="77777777" w:rsidTr="0017778B">
        <w:trPr>
          <w:trHeight w:val="561"/>
        </w:trPr>
        <w:tc>
          <w:tcPr>
            <w:tcW w:w="2518" w:type="dxa"/>
            <w:shd w:val="clear" w:color="auto" w:fill="D9D9D9" w:themeFill="background1" w:themeFillShade="D9"/>
          </w:tcPr>
          <w:p w14:paraId="45F00B2D" w14:textId="0F46423E" w:rsidR="00006226" w:rsidRDefault="003149C4" w:rsidP="0017778B">
            <w:pPr>
              <w:tabs>
                <w:tab w:val="left" w:pos="3366"/>
              </w:tabs>
              <w:jc w:val="both"/>
              <w:rPr>
                <w:rFonts w:ascii="Calibri" w:hAnsi="Calibri" w:cs="Calibri"/>
                <w:b/>
                <w:sz w:val="24"/>
                <w:szCs w:val="24"/>
              </w:rPr>
            </w:pPr>
            <w:proofErr w:type="spellStart"/>
            <w:r>
              <w:rPr>
                <w:rFonts w:ascii="Calibri" w:hAnsi="Calibri" w:cs="Calibri"/>
                <w:b/>
                <w:sz w:val="24"/>
                <w:szCs w:val="24"/>
              </w:rPr>
              <w:t>Bu</w:t>
            </w:r>
            <w:r w:rsidR="00924133">
              <w:rPr>
                <w:rFonts w:ascii="Calibri" w:hAnsi="Calibri" w:cs="Calibri"/>
                <w:b/>
                <w:sz w:val="24"/>
                <w:szCs w:val="24"/>
              </w:rPr>
              <w:t>džet</w:t>
            </w:r>
            <w:proofErr w:type="spellEnd"/>
          </w:p>
        </w:tc>
        <w:tc>
          <w:tcPr>
            <w:tcW w:w="7058" w:type="dxa"/>
          </w:tcPr>
          <w:p w14:paraId="24E99996" w14:textId="77777777" w:rsidR="00431E05" w:rsidRPr="004450E7" w:rsidRDefault="00102B0A" w:rsidP="0017778B">
            <w:pPr>
              <w:tabs>
                <w:tab w:val="left" w:pos="3366"/>
              </w:tabs>
              <w:jc w:val="both"/>
              <w:rPr>
                <w:rFonts w:ascii="Calibri" w:hAnsi="Calibri" w:cs="Calibri"/>
                <w:b/>
                <w:sz w:val="24"/>
                <w:szCs w:val="24"/>
                <w:highlight w:val="yellow"/>
              </w:rPr>
            </w:pPr>
            <w:r>
              <w:rPr>
                <w:rFonts w:ascii="Calibri" w:hAnsi="Calibri" w:cs="Calibri"/>
                <w:sz w:val="24"/>
                <w:szCs w:val="24"/>
              </w:rPr>
              <w:t>5</w:t>
            </w:r>
            <w:r w:rsidR="00ED28E6" w:rsidRPr="0018157B">
              <w:rPr>
                <w:rFonts w:ascii="Calibri" w:hAnsi="Calibri" w:cs="Calibri"/>
                <w:sz w:val="24"/>
                <w:szCs w:val="24"/>
              </w:rPr>
              <w:t>00</w:t>
            </w:r>
            <w:r w:rsidR="00431E05" w:rsidRPr="0018157B">
              <w:rPr>
                <w:rFonts w:ascii="Calibri" w:hAnsi="Calibri" w:cs="Calibri"/>
                <w:sz w:val="24"/>
                <w:szCs w:val="24"/>
              </w:rPr>
              <w:t> </w:t>
            </w:r>
            <w:r w:rsidR="00ED28E6" w:rsidRPr="0018157B">
              <w:rPr>
                <w:rFonts w:ascii="Calibri" w:hAnsi="Calibri" w:cs="Calibri"/>
                <w:sz w:val="24"/>
                <w:szCs w:val="24"/>
              </w:rPr>
              <w:t>000</w:t>
            </w:r>
            <w:r w:rsidR="00431E05" w:rsidRPr="0018157B">
              <w:rPr>
                <w:rFonts w:ascii="Calibri" w:hAnsi="Calibri" w:cs="Calibri"/>
                <w:sz w:val="24"/>
                <w:szCs w:val="24"/>
              </w:rPr>
              <w:t xml:space="preserve"> €</w:t>
            </w:r>
          </w:p>
        </w:tc>
      </w:tr>
      <w:tr w:rsidR="003149C4" w14:paraId="140C8974" w14:textId="77777777" w:rsidTr="00736007">
        <w:tc>
          <w:tcPr>
            <w:tcW w:w="2518" w:type="dxa"/>
            <w:shd w:val="clear" w:color="auto" w:fill="D9D9D9" w:themeFill="background1" w:themeFillShade="D9"/>
          </w:tcPr>
          <w:p w14:paraId="4B77EE10" w14:textId="0E566C57" w:rsidR="00006226" w:rsidRDefault="00924133" w:rsidP="00405A89">
            <w:pPr>
              <w:tabs>
                <w:tab w:val="left" w:pos="3366"/>
              </w:tabs>
              <w:jc w:val="both"/>
              <w:rPr>
                <w:rFonts w:ascii="Calibri" w:hAnsi="Calibri" w:cs="Calibri"/>
                <w:b/>
                <w:sz w:val="24"/>
                <w:szCs w:val="24"/>
              </w:rPr>
            </w:pPr>
            <w:proofErr w:type="spellStart"/>
            <w:r>
              <w:rPr>
                <w:rFonts w:ascii="Calibri" w:hAnsi="Calibri" w:cs="Calibri"/>
                <w:b/>
                <w:sz w:val="24"/>
                <w:szCs w:val="24"/>
              </w:rPr>
              <w:t>Finansiranje</w:t>
            </w:r>
            <w:proofErr w:type="spellEnd"/>
          </w:p>
        </w:tc>
        <w:tc>
          <w:tcPr>
            <w:tcW w:w="7058" w:type="dxa"/>
          </w:tcPr>
          <w:p w14:paraId="3A4916A4" w14:textId="77777777" w:rsidR="0017778B" w:rsidRDefault="00924133" w:rsidP="0017778B">
            <w:pPr>
              <w:tabs>
                <w:tab w:val="left" w:pos="3366"/>
              </w:tabs>
              <w:jc w:val="both"/>
              <w:rPr>
                <w:rFonts w:ascii="Calibri" w:hAnsi="Calibri" w:cs="Calibri"/>
                <w:sz w:val="24"/>
                <w:szCs w:val="24"/>
              </w:rPr>
            </w:pPr>
            <w:proofErr w:type="spellStart"/>
            <w:r w:rsidRPr="00924133">
              <w:rPr>
                <w:rFonts w:ascii="Calibri" w:hAnsi="Calibri" w:cs="Calibri"/>
                <w:sz w:val="24"/>
                <w:szCs w:val="24"/>
              </w:rPr>
              <w:t>Dobrovoljni</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prilog</w:t>
            </w:r>
            <w:proofErr w:type="spellEnd"/>
            <w:r w:rsidRPr="00924133">
              <w:rPr>
                <w:rFonts w:ascii="Calibri" w:hAnsi="Calibri" w:cs="Calibri"/>
                <w:sz w:val="24"/>
                <w:szCs w:val="24"/>
              </w:rPr>
              <w:t xml:space="preserve"> - </w:t>
            </w:r>
            <w:proofErr w:type="spellStart"/>
            <w:r w:rsidRPr="00924133">
              <w:rPr>
                <w:rFonts w:ascii="Calibri" w:hAnsi="Calibri" w:cs="Calibri"/>
                <w:sz w:val="24"/>
                <w:szCs w:val="24"/>
              </w:rPr>
              <w:t>Kraljevin</w:t>
            </w:r>
            <w:r>
              <w:rPr>
                <w:rFonts w:ascii="Calibri" w:hAnsi="Calibri" w:cs="Calibri"/>
                <w:sz w:val="24"/>
                <w:szCs w:val="24"/>
              </w:rPr>
              <w:t>e</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Norvešk</w:t>
            </w:r>
            <w:r>
              <w:rPr>
                <w:rFonts w:ascii="Calibri" w:hAnsi="Calibri" w:cs="Calibri"/>
                <w:sz w:val="24"/>
                <w:szCs w:val="24"/>
              </w:rPr>
              <w:t>e</w:t>
            </w:r>
            <w:proofErr w:type="spellEnd"/>
          </w:p>
          <w:p w14:paraId="10F7F8B2" w14:textId="6148A0AE" w:rsidR="00924133" w:rsidRDefault="00924133" w:rsidP="0017778B">
            <w:pPr>
              <w:tabs>
                <w:tab w:val="left" w:pos="3366"/>
              </w:tabs>
              <w:jc w:val="both"/>
              <w:rPr>
                <w:rFonts w:ascii="Calibri" w:hAnsi="Calibri" w:cs="Calibri"/>
                <w:b/>
                <w:sz w:val="24"/>
                <w:szCs w:val="24"/>
              </w:rPr>
            </w:pPr>
          </w:p>
        </w:tc>
      </w:tr>
      <w:tr w:rsidR="003149C4" w14:paraId="747B3653" w14:textId="77777777" w:rsidTr="00736007">
        <w:tc>
          <w:tcPr>
            <w:tcW w:w="2518" w:type="dxa"/>
            <w:shd w:val="clear" w:color="auto" w:fill="D9D9D9" w:themeFill="background1" w:themeFillShade="D9"/>
          </w:tcPr>
          <w:p w14:paraId="4001D0E0" w14:textId="0CEF0EDD" w:rsidR="00006226" w:rsidRDefault="00924133" w:rsidP="00405A89">
            <w:pPr>
              <w:tabs>
                <w:tab w:val="left" w:pos="3366"/>
              </w:tabs>
              <w:jc w:val="both"/>
              <w:rPr>
                <w:rFonts w:ascii="Calibri" w:hAnsi="Calibri" w:cs="Calibri"/>
                <w:b/>
                <w:sz w:val="24"/>
                <w:szCs w:val="24"/>
              </w:rPr>
            </w:pPr>
            <w:proofErr w:type="spellStart"/>
            <w:r>
              <w:rPr>
                <w:rFonts w:ascii="Calibri" w:hAnsi="Calibri" w:cs="Calibri"/>
                <w:b/>
                <w:sz w:val="24"/>
                <w:szCs w:val="24"/>
              </w:rPr>
              <w:t>Trajanje</w:t>
            </w:r>
            <w:proofErr w:type="spellEnd"/>
          </w:p>
        </w:tc>
        <w:tc>
          <w:tcPr>
            <w:tcW w:w="7058" w:type="dxa"/>
          </w:tcPr>
          <w:p w14:paraId="7246DC61" w14:textId="77777777" w:rsidR="00924133" w:rsidRDefault="00924133" w:rsidP="00924133">
            <w:r>
              <w:t xml:space="preserve">18 </w:t>
            </w:r>
            <w:proofErr w:type="spellStart"/>
            <w:r>
              <w:t>mjeseci</w:t>
            </w:r>
            <w:proofErr w:type="spellEnd"/>
            <w:r>
              <w:t xml:space="preserve"> (1. </w:t>
            </w:r>
            <w:r>
              <w:rPr>
                <w:lang w:val="sr-Latn-BA"/>
              </w:rPr>
              <w:t>jula</w:t>
            </w:r>
            <w:r>
              <w:t xml:space="preserve"> 2020. - 31. </w:t>
            </w:r>
            <w:r>
              <w:rPr>
                <w:lang w:val="sr-Latn-BA"/>
              </w:rPr>
              <w:t>decembra</w:t>
            </w:r>
            <w:r>
              <w:t xml:space="preserve"> 2021.)</w:t>
            </w:r>
          </w:p>
          <w:p w14:paraId="27D01325" w14:textId="77777777" w:rsidR="00431E05" w:rsidRDefault="00431E05" w:rsidP="00405A89">
            <w:pPr>
              <w:tabs>
                <w:tab w:val="left" w:pos="3366"/>
              </w:tabs>
              <w:jc w:val="both"/>
              <w:rPr>
                <w:rFonts w:ascii="Calibri" w:hAnsi="Calibri" w:cs="Calibri"/>
                <w:b/>
                <w:sz w:val="24"/>
                <w:szCs w:val="24"/>
              </w:rPr>
            </w:pPr>
          </w:p>
        </w:tc>
      </w:tr>
      <w:tr w:rsidR="003149C4" w14:paraId="46FE2EA1" w14:textId="77777777" w:rsidTr="00736007">
        <w:tc>
          <w:tcPr>
            <w:tcW w:w="2518" w:type="dxa"/>
            <w:shd w:val="clear" w:color="auto" w:fill="D9D9D9" w:themeFill="background1" w:themeFillShade="D9"/>
          </w:tcPr>
          <w:p w14:paraId="35DFFDB9" w14:textId="68033429" w:rsidR="003149C4" w:rsidRDefault="00924133" w:rsidP="00560EF8">
            <w:pPr>
              <w:tabs>
                <w:tab w:val="left" w:pos="3366"/>
              </w:tabs>
              <w:rPr>
                <w:rFonts w:ascii="Calibri" w:hAnsi="Calibri" w:cs="Calibri"/>
                <w:b/>
                <w:sz w:val="24"/>
                <w:szCs w:val="24"/>
              </w:rPr>
            </w:pPr>
            <w:proofErr w:type="spellStart"/>
            <w:r>
              <w:rPr>
                <w:rFonts w:ascii="Calibri" w:hAnsi="Calibri" w:cs="Calibri"/>
                <w:b/>
                <w:sz w:val="24"/>
                <w:szCs w:val="24"/>
              </w:rPr>
              <w:t>Partneri</w:t>
            </w:r>
            <w:proofErr w:type="spellEnd"/>
            <w:r>
              <w:rPr>
                <w:rFonts w:ascii="Calibri" w:hAnsi="Calibri" w:cs="Calibri"/>
                <w:b/>
                <w:sz w:val="24"/>
                <w:szCs w:val="24"/>
              </w:rPr>
              <w:t xml:space="preserve"> </w:t>
            </w:r>
            <w:proofErr w:type="spellStart"/>
            <w:r>
              <w:rPr>
                <w:rFonts w:ascii="Calibri" w:hAnsi="Calibri" w:cs="Calibri"/>
                <w:b/>
                <w:sz w:val="24"/>
                <w:szCs w:val="24"/>
              </w:rPr>
              <w:t>i</w:t>
            </w:r>
            <w:proofErr w:type="spellEnd"/>
            <w:r>
              <w:rPr>
                <w:rFonts w:ascii="Calibri" w:hAnsi="Calibri" w:cs="Calibri"/>
                <w:b/>
                <w:sz w:val="24"/>
                <w:szCs w:val="24"/>
              </w:rPr>
              <w:t xml:space="preserve"> </w:t>
            </w:r>
            <w:proofErr w:type="spellStart"/>
            <w:r>
              <w:rPr>
                <w:rFonts w:ascii="Calibri" w:hAnsi="Calibri" w:cs="Calibri"/>
                <w:b/>
                <w:sz w:val="24"/>
                <w:szCs w:val="24"/>
              </w:rPr>
              <w:t>korisnici</w:t>
            </w:r>
            <w:proofErr w:type="spellEnd"/>
          </w:p>
          <w:p w14:paraId="6D156783" w14:textId="77777777" w:rsidR="00006226" w:rsidRDefault="00006226" w:rsidP="00560EF8">
            <w:pPr>
              <w:tabs>
                <w:tab w:val="left" w:pos="3366"/>
              </w:tabs>
              <w:rPr>
                <w:rFonts w:ascii="Calibri" w:hAnsi="Calibri" w:cs="Calibri"/>
                <w:b/>
                <w:sz w:val="24"/>
                <w:szCs w:val="24"/>
              </w:rPr>
            </w:pPr>
          </w:p>
          <w:p w14:paraId="69310D77" w14:textId="77777777" w:rsidR="00006226" w:rsidRDefault="00006226" w:rsidP="00560EF8">
            <w:pPr>
              <w:tabs>
                <w:tab w:val="left" w:pos="3366"/>
              </w:tabs>
              <w:rPr>
                <w:rFonts w:ascii="Calibri" w:hAnsi="Calibri" w:cs="Calibri"/>
                <w:b/>
                <w:sz w:val="24"/>
                <w:szCs w:val="24"/>
              </w:rPr>
            </w:pPr>
          </w:p>
          <w:p w14:paraId="19DE7842" w14:textId="77777777" w:rsidR="00006226" w:rsidRDefault="00006226" w:rsidP="00560EF8">
            <w:pPr>
              <w:tabs>
                <w:tab w:val="left" w:pos="3366"/>
              </w:tabs>
              <w:rPr>
                <w:rFonts w:ascii="Calibri" w:hAnsi="Calibri" w:cs="Calibri"/>
                <w:b/>
                <w:sz w:val="24"/>
                <w:szCs w:val="24"/>
              </w:rPr>
            </w:pPr>
          </w:p>
          <w:p w14:paraId="06B83048" w14:textId="77777777" w:rsidR="00006226" w:rsidRDefault="00006226" w:rsidP="00560EF8">
            <w:pPr>
              <w:tabs>
                <w:tab w:val="left" w:pos="3366"/>
              </w:tabs>
              <w:rPr>
                <w:rFonts w:ascii="Calibri" w:hAnsi="Calibri" w:cs="Calibri"/>
                <w:b/>
                <w:sz w:val="24"/>
                <w:szCs w:val="24"/>
              </w:rPr>
            </w:pPr>
          </w:p>
          <w:p w14:paraId="6320E563" w14:textId="77777777" w:rsidR="00006226" w:rsidRDefault="00006226" w:rsidP="00560EF8">
            <w:pPr>
              <w:tabs>
                <w:tab w:val="left" w:pos="3366"/>
              </w:tabs>
              <w:rPr>
                <w:rFonts w:ascii="Calibri" w:hAnsi="Calibri" w:cs="Calibri"/>
                <w:b/>
                <w:sz w:val="24"/>
                <w:szCs w:val="24"/>
              </w:rPr>
            </w:pPr>
          </w:p>
          <w:p w14:paraId="29F60106" w14:textId="77777777" w:rsidR="00006226" w:rsidRDefault="00006226" w:rsidP="00560EF8">
            <w:pPr>
              <w:tabs>
                <w:tab w:val="left" w:pos="3366"/>
              </w:tabs>
              <w:rPr>
                <w:rFonts w:ascii="Calibri" w:hAnsi="Calibri" w:cs="Calibri"/>
                <w:b/>
                <w:sz w:val="24"/>
                <w:szCs w:val="24"/>
              </w:rPr>
            </w:pPr>
          </w:p>
        </w:tc>
        <w:tc>
          <w:tcPr>
            <w:tcW w:w="7058" w:type="dxa"/>
          </w:tcPr>
          <w:p w14:paraId="5D920CB4" w14:textId="28BA5716" w:rsidR="00CA42FE" w:rsidRPr="0017778B" w:rsidRDefault="00924133" w:rsidP="00CA42FE">
            <w:pPr>
              <w:jc w:val="both"/>
              <w:rPr>
                <w:rFonts w:cs="Calibri"/>
                <w:sz w:val="24"/>
                <w:szCs w:val="24"/>
                <w:lang w:val="en-GB"/>
              </w:rPr>
            </w:pPr>
            <w:proofErr w:type="spellStart"/>
            <w:r w:rsidRPr="00924133">
              <w:rPr>
                <w:rFonts w:cs="Calibri"/>
                <w:sz w:val="24"/>
                <w:szCs w:val="24"/>
                <w:lang w:val="en-GB"/>
              </w:rPr>
              <w:t>Ministarstvo</w:t>
            </w:r>
            <w:proofErr w:type="spellEnd"/>
            <w:r w:rsidRPr="00924133">
              <w:rPr>
                <w:rFonts w:cs="Calibri"/>
                <w:sz w:val="24"/>
                <w:szCs w:val="24"/>
                <w:lang w:val="en-GB"/>
              </w:rPr>
              <w:t xml:space="preserve"> </w:t>
            </w:r>
            <w:proofErr w:type="spellStart"/>
            <w:r w:rsidRPr="00924133">
              <w:rPr>
                <w:rFonts w:cs="Calibri"/>
                <w:sz w:val="24"/>
                <w:szCs w:val="24"/>
                <w:lang w:val="en-GB"/>
              </w:rPr>
              <w:t>pravde</w:t>
            </w:r>
            <w:proofErr w:type="spellEnd"/>
            <w:r w:rsidRPr="00924133">
              <w:rPr>
                <w:rFonts w:cs="Calibri"/>
                <w:sz w:val="24"/>
                <w:szCs w:val="24"/>
                <w:lang w:val="en-GB"/>
              </w:rPr>
              <w:t xml:space="preserve"> </w:t>
            </w:r>
            <w:proofErr w:type="spellStart"/>
            <w:r w:rsidRPr="00924133">
              <w:rPr>
                <w:rFonts w:cs="Calibri"/>
                <w:sz w:val="24"/>
                <w:szCs w:val="24"/>
                <w:lang w:val="en-GB"/>
              </w:rPr>
              <w:t>Bosne</w:t>
            </w:r>
            <w:proofErr w:type="spellEnd"/>
            <w:r w:rsidRPr="00924133">
              <w:rPr>
                <w:rFonts w:cs="Calibri"/>
                <w:sz w:val="24"/>
                <w:szCs w:val="24"/>
                <w:lang w:val="en-GB"/>
              </w:rPr>
              <w:t xml:space="preserve"> </w:t>
            </w:r>
            <w:proofErr w:type="spellStart"/>
            <w:r w:rsidRPr="00924133">
              <w:rPr>
                <w:rFonts w:cs="Calibri"/>
                <w:sz w:val="24"/>
                <w:szCs w:val="24"/>
                <w:lang w:val="en-GB"/>
              </w:rPr>
              <w:t>i</w:t>
            </w:r>
            <w:proofErr w:type="spellEnd"/>
            <w:r w:rsidRPr="00924133">
              <w:rPr>
                <w:rFonts w:cs="Calibri"/>
                <w:sz w:val="24"/>
                <w:szCs w:val="24"/>
                <w:lang w:val="en-GB"/>
              </w:rPr>
              <w:t xml:space="preserve"> </w:t>
            </w:r>
            <w:proofErr w:type="spellStart"/>
            <w:r w:rsidRPr="00924133">
              <w:rPr>
                <w:rFonts w:cs="Calibri"/>
                <w:sz w:val="24"/>
                <w:szCs w:val="24"/>
                <w:lang w:val="en-GB"/>
              </w:rPr>
              <w:t>Hercegovine</w:t>
            </w:r>
            <w:proofErr w:type="spellEnd"/>
            <w:r w:rsidRPr="00924133">
              <w:rPr>
                <w:rFonts w:cs="Calibri"/>
                <w:sz w:val="24"/>
                <w:szCs w:val="24"/>
                <w:lang w:val="en-GB"/>
              </w:rPr>
              <w:t xml:space="preserve">, </w:t>
            </w:r>
            <w:proofErr w:type="spellStart"/>
            <w:r w:rsidRPr="00924133">
              <w:rPr>
                <w:rFonts w:cs="Calibri"/>
                <w:sz w:val="24"/>
                <w:szCs w:val="24"/>
                <w:lang w:val="en-GB"/>
              </w:rPr>
              <w:t>Visoko</w:t>
            </w:r>
            <w:proofErr w:type="spellEnd"/>
            <w:r w:rsidRPr="00924133">
              <w:rPr>
                <w:rFonts w:cs="Calibri"/>
                <w:sz w:val="24"/>
                <w:szCs w:val="24"/>
                <w:lang w:val="en-GB"/>
              </w:rPr>
              <w:t xml:space="preserve"> </w:t>
            </w:r>
            <w:proofErr w:type="spellStart"/>
            <w:r w:rsidRPr="00924133">
              <w:rPr>
                <w:rFonts w:cs="Calibri"/>
                <w:sz w:val="24"/>
                <w:szCs w:val="24"/>
                <w:lang w:val="en-GB"/>
              </w:rPr>
              <w:t>sudsko</w:t>
            </w:r>
            <w:proofErr w:type="spellEnd"/>
            <w:r w:rsidRPr="00924133">
              <w:rPr>
                <w:rFonts w:cs="Calibri"/>
                <w:sz w:val="24"/>
                <w:szCs w:val="24"/>
                <w:lang w:val="en-GB"/>
              </w:rPr>
              <w:t xml:space="preserve"> </w:t>
            </w:r>
            <w:proofErr w:type="spellStart"/>
            <w:r w:rsidRPr="00924133">
              <w:rPr>
                <w:rFonts w:cs="Calibri"/>
                <w:sz w:val="24"/>
                <w:szCs w:val="24"/>
                <w:lang w:val="en-GB"/>
              </w:rPr>
              <w:t>i</w:t>
            </w:r>
            <w:proofErr w:type="spellEnd"/>
            <w:r w:rsidRPr="00924133">
              <w:rPr>
                <w:rFonts w:cs="Calibri"/>
                <w:sz w:val="24"/>
                <w:szCs w:val="24"/>
                <w:lang w:val="en-GB"/>
              </w:rPr>
              <w:t xml:space="preserve"> </w:t>
            </w:r>
            <w:proofErr w:type="spellStart"/>
            <w:r w:rsidRPr="00924133">
              <w:rPr>
                <w:rFonts w:cs="Calibri"/>
                <w:sz w:val="24"/>
                <w:szCs w:val="24"/>
                <w:lang w:val="en-GB"/>
              </w:rPr>
              <w:t>tužilačko</w:t>
            </w:r>
            <w:proofErr w:type="spellEnd"/>
            <w:r w:rsidRPr="00924133">
              <w:rPr>
                <w:rFonts w:cs="Calibri"/>
                <w:sz w:val="24"/>
                <w:szCs w:val="24"/>
                <w:lang w:val="en-GB"/>
              </w:rPr>
              <w:t xml:space="preserve"> </w:t>
            </w:r>
            <w:proofErr w:type="spellStart"/>
            <w:r w:rsidRPr="00924133">
              <w:rPr>
                <w:rFonts w:cs="Calibri"/>
                <w:sz w:val="24"/>
                <w:szCs w:val="24"/>
                <w:lang w:val="en-GB"/>
              </w:rPr>
              <w:t>vijeće</w:t>
            </w:r>
            <w:proofErr w:type="spellEnd"/>
            <w:r w:rsidRPr="00924133">
              <w:rPr>
                <w:rFonts w:cs="Calibri"/>
                <w:sz w:val="24"/>
                <w:szCs w:val="24"/>
                <w:lang w:val="en-GB"/>
              </w:rPr>
              <w:t xml:space="preserve"> </w:t>
            </w:r>
            <w:proofErr w:type="spellStart"/>
            <w:r w:rsidRPr="00924133">
              <w:rPr>
                <w:rFonts w:cs="Calibri"/>
                <w:sz w:val="24"/>
                <w:szCs w:val="24"/>
                <w:lang w:val="en-GB"/>
              </w:rPr>
              <w:t>Bosne</w:t>
            </w:r>
            <w:proofErr w:type="spellEnd"/>
            <w:r w:rsidRPr="00924133">
              <w:rPr>
                <w:rFonts w:cs="Calibri"/>
                <w:sz w:val="24"/>
                <w:szCs w:val="24"/>
                <w:lang w:val="en-GB"/>
              </w:rPr>
              <w:t xml:space="preserve"> </w:t>
            </w:r>
            <w:proofErr w:type="spellStart"/>
            <w:r w:rsidRPr="00924133">
              <w:rPr>
                <w:rFonts w:cs="Calibri"/>
                <w:sz w:val="24"/>
                <w:szCs w:val="24"/>
                <w:lang w:val="en-GB"/>
              </w:rPr>
              <w:t>i</w:t>
            </w:r>
            <w:proofErr w:type="spellEnd"/>
            <w:r w:rsidRPr="00924133">
              <w:rPr>
                <w:rFonts w:cs="Calibri"/>
                <w:sz w:val="24"/>
                <w:szCs w:val="24"/>
                <w:lang w:val="en-GB"/>
              </w:rPr>
              <w:t xml:space="preserve"> </w:t>
            </w:r>
            <w:proofErr w:type="spellStart"/>
            <w:r w:rsidRPr="00924133">
              <w:rPr>
                <w:rFonts w:cs="Calibri"/>
                <w:sz w:val="24"/>
                <w:szCs w:val="24"/>
                <w:lang w:val="en-GB"/>
              </w:rPr>
              <w:t>Hercegovine</w:t>
            </w:r>
            <w:proofErr w:type="spellEnd"/>
            <w:r w:rsidRPr="00924133">
              <w:rPr>
                <w:rFonts w:cs="Calibri"/>
                <w:sz w:val="24"/>
                <w:szCs w:val="24"/>
                <w:lang w:val="en-GB"/>
              </w:rPr>
              <w:t xml:space="preserve">, Sud </w:t>
            </w:r>
            <w:proofErr w:type="spellStart"/>
            <w:r w:rsidRPr="00924133">
              <w:rPr>
                <w:rFonts w:cs="Calibri"/>
                <w:sz w:val="24"/>
                <w:szCs w:val="24"/>
                <w:lang w:val="en-GB"/>
              </w:rPr>
              <w:t>Bosne</w:t>
            </w:r>
            <w:proofErr w:type="spellEnd"/>
            <w:r w:rsidRPr="00924133">
              <w:rPr>
                <w:rFonts w:cs="Calibri"/>
                <w:sz w:val="24"/>
                <w:szCs w:val="24"/>
                <w:lang w:val="en-GB"/>
              </w:rPr>
              <w:t xml:space="preserve"> </w:t>
            </w:r>
            <w:proofErr w:type="spellStart"/>
            <w:r w:rsidRPr="00924133">
              <w:rPr>
                <w:rFonts w:cs="Calibri"/>
                <w:sz w:val="24"/>
                <w:szCs w:val="24"/>
                <w:lang w:val="en-GB"/>
              </w:rPr>
              <w:t>i</w:t>
            </w:r>
            <w:proofErr w:type="spellEnd"/>
            <w:r w:rsidRPr="00924133">
              <w:rPr>
                <w:rFonts w:cs="Calibri"/>
                <w:sz w:val="24"/>
                <w:szCs w:val="24"/>
                <w:lang w:val="en-GB"/>
              </w:rPr>
              <w:t xml:space="preserve"> </w:t>
            </w:r>
            <w:proofErr w:type="spellStart"/>
            <w:r w:rsidRPr="00924133">
              <w:rPr>
                <w:rFonts w:cs="Calibri"/>
                <w:sz w:val="24"/>
                <w:szCs w:val="24"/>
                <w:lang w:val="en-GB"/>
              </w:rPr>
              <w:t>Hercegovine</w:t>
            </w:r>
            <w:proofErr w:type="spellEnd"/>
            <w:r w:rsidRPr="00924133">
              <w:rPr>
                <w:rFonts w:cs="Calibri"/>
                <w:sz w:val="24"/>
                <w:szCs w:val="24"/>
                <w:lang w:val="en-GB"/>
              </w:rPr>
              <w:t xml:space="preserve">, </w:t>
            </w:r>
            <w:proofErr w:type="spellStart"/>
            <w:r w:rsidRPr="00924133">
              <w:rPr>
                <w:rFonts w:cs="Calibri"/>
                <w:sz w:val="24"/>
                <w:szCs w:val="24"/>
                <w:lang w:val="en-GB"/>
              </w:rPr>
              <w:t>Vrhovni</w:t>
            </w:r>
            <w:proofErr w:type="spellEnd"/>
            <w:r w:rsidRPr="00924133">
              <w:rPr>
                <w:rFonts w:cs="Calibri"/>
                <w:sz w:val="24"/>
                <w:szCs w:val="24"/>
                <w:lang w:val="en-GB"/>
              </w:rPr>
              <w:t xml:space="preserve"> </w:t>
            </w:r>
            <w:proofErr w:type="spellStart"/>
            <w:r w:rsidRPr="00924133">
              <w:rPr>
                <w:rFonts w:cs="Calibri"/>
                <w:sz w:val="24"/>
                <w:szCs w:val="24"/>
                <w:lang w:val="en-GB"/>
              </w:rPr>
              <w:t>sud</w:t>
            </w:r>
            <w:proofErr w:type="spellEnd"/>
            <w:r w:rsidRPr="00924133">
              <w:rPr>
                <w:rFonts w:cs="Calibri"/>
                <w:sz w:val="24"/>
                <w:szCs w:val="24"/>
                <w:lang w:val="en-GB"/>
              </w:rPr>
              <w:t xml:space="preserve"> </w:t>
            </w:r>
            <w:proofErr w:type="spellStart"/>
            <w:r w:rsidRPr="00924133">
              <w:rPr>
                <w:rFonts w:cs="Calibri"/>
                <w:sz w:val="24"/>
                <w:szCs w:val="24"/>
                <w:lang w:val="en-GB"/>
              </w:rPr>
              <w:t>Federacije</w:t>
            </w:r>
            <w:proofErr w:type="spellEnd"/>
            <w:r w:rsidRPr="00924133">
              <w:rPr>
                <w:rFonts w:cs="Calibri"/>
                <w:sz w:val="24"/>
                <w:szCs w:val="24"/>
                <w:lang w:val="en-GB"/>
              </w:rPr>
              <w:t xml:space="preserve"> </w:t>
            </w:r>
            <w:proofErr w:type="spellStart"/>
            <w:r w:rsidRPr="00924133">
              <w:rPr>
                <w:rFonts w:cs="Calibri"/>
                <w:sz w:val="24"/>
                <w:szCs w:val="24"/>
                <w:lang w:val="en-GB"/>
              </w:rPr>
              <w:t>Bosne</w:t>
            </w:r>
            <w:proofErr w:type="spellEnd"/>
            <w:r w:rsidRPr="00924133">
              <w:rPr>
                <w:rFonts w:cs="Calibri"/>
                <w:sz w:val="24"/>
                <w:szCs w:val="24"/>
                <w:lang w:val="en-GB"/>
              </w:rPr>
              <w:t xml:space="preserve"> </w:t>
            </w:r>
            <w:proofErr w:type="spellStart"/>
            <w:r w:rsidRPr="00924133">
              <w:rPr>
                <w:rFonts w:cs="Calibri"/>
                <w:sz w:val="24"/>
                <w:szCs w:val="24"/>
                <w:lang w:val="en-GB"/>
              </w:rPr>
              <w:t>i</w:t>
            </w:r>
            <w:proofErr w:type="spellEnd"/>
            <w:r w:rsidRPr="00924133">
              <w:rPr>
                <w:rFonts w:cs="Calibri"/>
                <w:sz w:val="24"/>
                <w:szCs w:val="24"/>
                <w:lang w:val="en-GB"/>
              </w:rPr>
              <w:t xml:space="preserve"> </w:t>
            </w:r>
            <w:proofErr w:type="spellStart"/>
            <w:r w:rsidRPr="00924133">
              <w:rPr>
                <w:rFonts w:cs="Calibri"/>
                <w:sz w:val="24"/>
                <w:szCs w:val="24"/>
                <w:lang w:val="en-GB"/>
              </w:rPr>
              <w:t>Hercegovine</w:t>
            </w:r>
            <w:proofErr w:type="spellEnd"/>
            <w:r w:rsidRPr="00924133">
              <w:rPr>
                <w:rFonts w:cs="Calibri"/>
                <w:sz w:val="24"/>
                <w:szCs w:val="24"/>
                <w:lang w:val="en-GB"/>
              </w:rPr>
              <w:t xml:space="preserve">, </w:t>
            </w:r>
            <w:proofErr w:type="spellStart"/>
            <w:r w:rsidRPr="00924133">
              <w:rPr>
                <w:rFonts w:cs="Calibri"/>
                <w:sz w:val="24"/>
                <w:szCs w:val="24"/>
                <w:lang w:val="en-GB"/>
              </w:rPr>
              <w:t>Vrhovni</w:t>
            </w:r>
            <w:proofErr w:type="spellEnd"/>
            <w:r w:rsidRPr="00924133">
              <w:rPr>
                <w:rFonts w:cs="Calibri"/>
                <w:sz w:val="24"/>
                <w:szCs w:val="24"/>
                <w:lang w:val="en-GB"/>
              </w:rPr>
              <w:t xml:space="preserve"> </w:t>
            </w:r>
            <w:proofErr w:type="spellStart"/>
            <w:r w:rsidRPr="00924133">
              <w:rPr>
                <w:rFonts w:cs="Calibri"/>
                <w:sz w:val="24"/>
                <w:szCs w:val="24"/>
                <w:lang w:val="en-GB"/>
              </w:rPr>
              <w:t>sud</w:t>
            </w:r>
            <w:proofErr w:type="spellEnd"/>
            <w:r w:rsidRPr="00924133">
              <w:rPr>
                <w:rFonts w:cs="Calibri"/>
                <w:sz w:val="24"/>
                <w:szCs w:val="24"/>
                <w:lang w:val="en-GB"/>
              </w:rPr>
              <w:t xml:space="preserve"> </w:t>
            </w:r>
            <w:proofErr w:type="spellStart"/>
            <w:r w:rsidRPr="00924133">
              <w:rPr>
                <w:rFonts w:cs="Calibri"/>
                <w:sz w:val="24"/>
                <w:szCs w:val="24"/>
                <w:lang w:val="en-GB"/>
              </w:rPr>
              <w:t>Republike</w:t>
            </w:r>
            <w:proofErr w:type="spellEnd"/>
            <w:r w:rsidRPr="00924133">
              <w:rPr>
                <w:rFonts w:cs="Calibri"/>
                <w:sz w:val="24"/>
                <w:szCs w:val="24"/>
                <w:lang w:val="en-GB"/>
              </w:rPr>
              <w:t xml:space="preserve"> Srpske, </w:t>
            </w:r>
            <w:proofErr w:type="spellStart"/>
            <w:r w:rsidRPr="00924133">
              <w:rPr>
                <w:rFonts w:cs="Calibri"/>
                <w:sz w:val="24"/>
                <w:szCs w:val="24"/>
                <w:lang w:val="en-GB"/>
              </w:rPr>
              <w:t>Apelacioni</w:t>
            </w:r>
            <w:proofErr w:type="spellEnd"/>
            <w:r w:rsidRPr="00924133">
              <w:rPr>
                <w:rFonts w:cs="Calibri"/>
                <w:sz w:val="24"/>
                <w:szCs w:val="24"/>
                <w:lang w:val="en-GB"/>
              </w:rPr>
              <w:t xml:space="preserve"> </w:t>
            </w:r>
            <w:proofErr w:type="spellStart"/>
            <w:r w:rsidRPr="00924133">
              <w:rPr>
                <w:rFonts w:cs="Calibri"/>
                <w:sz w:val="24"/>
                <w:szCs w:val="24"/>
                <w:lang w:val="en-GB"/>
              </w:rPr>
              <w:t>sud</w:t>
            </w:r>
            <w:proofErr w:type="spellEnd"/>
            <w:r w:rsidRPr="00924133">
              <w:rPr>
                <w:rFonts w:cs="Calibri"/>
                <w:sz w:val="24"/>
                <w:szCs w:val="24"/>
                <w:lang w:val="en-GB"/>
              </w:rPr>
              <w:t xml:space="preserve"> Sud </w:t>
            </w:r>
            <w:proofErr w:type="spellStart"/>
            <w:r w:rsidRPr="00924133">
              <w:rPr>
                <w:rFonts w:cs="Calibri"/>
                <w:sz w:val="24"/>
                <w:szCs w:val="24"/>
                <w:lang w:val="en-GB"/>
              </w:rPr>
              <w:t>Brčko</w:t>
            </w:r>
            <w:proofErr w:type="spellEnd"/>
            <w:r w:rsidRPr="00924133">
              <w:rPr>
                <w:rFonts w:cs="Calibri"/>
                <w:sz w:val="24"/>
                <w:szCs w:val="24"/>
                <w:lang w:val="en-GB"/>
              </w:rPr>
              <w:t xml:space="preserve"> </w:t>
            </w:r>
            <w:proofErr w:type="spellStart"/>
            <w:r w:rsidRPr="00924133">
              <w:rPr>
                <w:rFonts w:cs="Calibri"/>
                <w:sz w:val="24"/>
                <w:szCs w:val="24"/>
                <w:lang w:val="en-GB"/>
              </w:rPr>
              <w:t>distrikta</w:t>
            </w:r>
            <w:proofErr w:type="spellEnd"/>
            <w:r w:rsidRPr="00924133">
              <w:rPr>
                <w:rFonts w:cs="Calibri"/>
                <w:sz w:val="24"/>
                <w:szCs w:val="24"/>
                <w:lang w:val="en-GB"/>
              </w:rPr>
              <w:t xml:space="preserve">; </w:t>
            </w:r>
            <w:proofErr w:type="spellStart"/>
            <w:r>
              <w:rPr>
                <w:rFonts w:cs="Calibri"/>
                <w:sz w:val="24"/>
                <w:szCs w:val="24"/>
                <w:lang w:val="en-GB"/>
              </w:rPr>
              <w:t>c</w:t>
            </w:r>
            <w:r w:rsidRPr="00924133">
              <w:rPr>
                <w:rFonts w:cs="Calibri"/>
                <w:sz w:val="24"/>
                <w:szCs w:val="24"/>
                <w:lang w:val="en-GB"/>
              </w:rPr>
              <w:t>entri</w:t>
            </w:r>
            <w:proofErr w:type="spellEnd"/>
            <w:r w:rsidRPr="00924133">
              <w:rPr>
                <w:rFonts w:cs="Calibri"/>
                <w:sz w:val="24"/>
                <w:szCs w:val="24"/>
                <w:lang w:val="en-GB"/>
              </w:rPr>
              <w:t xml:space="preserve"> za </w:t>
            </w:r>
            <w:proofErr w:type="spellStart"/>
            <w:r w:rsidRPr="00924133">
              <w:rPr>
                <w:rFonts w:cs="Calibri"/>
                <w:sz w:val="24"/>
                <w:szCs w:val="24"/>
                <w:lang w:val="en-GB"/>
              </w:rPr>
              <w:t>obuku</w:t>
            </w:r>
            <w:proofErr w:type="spellEnd"/>
            <w:r w:rsidRPr="00924133">
              <w:rPr>
                <w:rFonts w:cs="Calibri"/>
                <w:sz w:val="24"/>
                <w:szCs w:val="24"/>
                <w:lang w:val="en-GB"/>
              </w:rPr>
              <w:t xml:space="preserve"> </w:t>
            </w:r>
            <w:proofErr w:type="spellStart"/>
            <w:r w:rsidRPr="00924133">
              <w:rPr>
                <w:rFonts w:cs="Calibri"/>
                <w:sz w:val="24"/>
                <w:szCs w:val="24"/>
                <w:lang w:val="en-GB"/>
              </w:rPr>
              <w:t>sudija</w:t>
            </w:r>
            <w:proofErr w:type="spellEnd"/>
            <w:r w:rsidRPr="00924133">
              <w:rPr>
                <w:rFonts w:cs="Calibri"/>
                <w:sz w:val="24"/>
                <w:szCs w:val="24"/>
                <w:lang w:val="en-GB"/>
              </w:rPr>
              <w:t xml:space="preserve"> </w:t>
            </w:r>
            <w:proofErr w:type="spellStart"/>
            <w:r w:rsidRPr="00924133">
              <w:rPr>
                <w:rFonts w:cs="Calibri"/>
                <w:sz w:val="24"/>
                <w:szCs w:val="24"/>
                <w:lang w:val="en-GB"/>
              </w:rPr>
              <w:t>i</w:t>
            </w:r>
            <w:proofErr w:type="spellEnd"/>
            <w:r w:rsidRPr="00924133">
              <w:rPr>
                <w:rFonts w:cs="Calibri"/>
                <w:sz w:val="24"/>
                <w:szCs w:val="24"/>
                <w:lang w:val="en-GB"/>
              </w:rPr>
              <w:t xml:space="preserve"> </w:t>
            </w:r>
            <w:proofErr w:type="spellStart"/>
            <w:r w:rsidRPr="00924133">
              <w:rPr>
                <w:rFonts w:cs="Calibri"/>
                <w:sz w:val="24"/>
                <w:szCs w:val="24"/>
                <w:lang w:val="en-GB"/>
              </w:rPr>
              <w:t>tužilaca</w:t>
            </w:r>
            <w:proofErr w:type="spellEnd"/>
            <w:r w:rsidRPr="00924133">
              <w:rPr>
                <w:rFonts w:cs="Calibri"/>
                <w:sz w:val="24"/>
                <w:szCs w:val="24"/>
                <w:lang w:val="en-GB"/>
              </w:rPr>
              <w:t xml:space="preserve"> </w:t>
            </w:r>
            <w:proofErr w:type="spellStart"/>
            <w:r w:rsidRPr="00924133">
              <w:rPr>
                <w:rFonts w:cs="Calibri"/>
                <w:sz w:val="24"/>
                <w:szCs w:val="24"/>
                <w:lang w:val="en-GB"/>
              </w:rPr>
              <w:t>Federacije</w:t>
            </w:r>
            <w:proofErr w:type="spellEnd"/>
            <w:r w:rsidRPr="00924133">
              <w:rPr>
                <w:rFonts w:cs="Calibri"/>
                <w:sz w:val="24"/>
                <w:szCs w:val="24"/>
                <w:lang w:val="en-GB"/>
              </w:rPr>
              <w:t xml:space="preserve"> </w:t>
            </w:r>
            <w:proofErr w:type="spellStart"/>
            <w:r w:rsidRPr="00924133">
              <w:rPr>
                <w:rFonts w:cs="Calibri"/>
                <w:sz w:val="24"/>
                <w:szCs w:val="24"/>
                <w:lang w:val="en-GB"/>
              </w:rPr>
              <w:t>Bosne</w:t>
            </w:r>
            <w:proofErr w:type="spellEnd"/>
            <w:r w:rsidRPr="00924133">
              <w:rPr>
                <w:rFonts w:cs="Calibri"/>
                <w:sz w:val="24"/>
                <w:szCs w:val="24"/>
                <w:lang w:val="en-GB"/>
              </w:rPr>
              <w:t xml:space="preserve"> </w:t>
            </w:r>
            <w:proofErr w:type="spellStart"/>
            <w:r w:rsidRPr="00924133">
              <w:rPr>
                <w:rFonts w:cs="Calibri"/>
                <w:sz w:val="24"/>
                <w:szCs w:val="24"/>
                <w:lang w:val="en-GB"/>
              </w:rPr>
              <w:t>i</w:t>
            </w:r>
            <w:proofErr w:type="spellEnd"/>
            <w:r w:rsidRPr="00924133">
              <w:rPr>
                <w:rFonts w:cs="Calibri"/>
                <w:sz w:val="24"/>
                <w:szCs w:val="24"/>
                <w:lang w:val="en-GB"/>
              </w:rPr>
              <w:t xml:space="preserve"> </w:t>
            </w:r>
            <w:proofErr w:type="spellStart"/>
            <w:r w:rsidRPr="00924133">
              <w:rPr>
                <w:rFonts w:cs="Calibri"/>
                <w:sz w:val="24"/>
                <w:szCs w:val="24"/>
                <w:lang w:val="en-GB"/>
              </w:rPr>
              <w:t>Hercegovine</w:t>
            </w:r>
            <w:proofErr w:type="spellEnd"/>
            <w:r w:rsidRPr="00924133">
              <w:rPr>
                <w:rFonts w:cs="Calibri"/>
                <w:sz w:val="24"/>
                <w:szCs w:val="24"/>
                <w:lang w:val="en-GB"/>
              </w:rPr>
              <w:t xml:space="preserve"> </w:t>
            </w:r>
            <w:proofErr w:type="spellStart"/>
            <w:r w:rsidRPr="00924133">
              <w:rPr>
                <w:rFonts w:cs="Calibri"/>
                <w:sz w:val="24"/>
                <w:szCs w:val="24"/>
                <w:lang w:val="en-GB"/>
              </w:rPr>
              <w:t>i</w:t>
            </w:r>
            <w:proofErr w:type="spellEnd"/>
            <w:r w:rsidRPr="00924133">
              <w:rPr>
                <w:rFonts w:cs="Calibri"/>
                <w:sz w:val="24"/>
                <w:szCs w:val="24"/>
                <w:lang w:val="en-GB"/>
              </w:rPr>
              <w:t xml:space="preserve"> </w:t>
            </w:r>
            <w:proofErr w:type="spellStart"/>
            <w:r w:rsidRPr="00924133">
              <w:rPr>
                <w:rFonts w:cs="Calibri"/>
                <w:sz w:val="24"/>
                <w:szCs w:val="24"/>
                <w:lang w:val="en-GB"/>
              </w:rPr>
              <w:t>Republike</w:t>
            </w:r>
            <w:proofErr w:type="spellEnd"/>
            <w:r w:rsidRPr="00924133">
              <w:rPr>
                <w:rFonts w:cs="Calibri"/>
                <w:sz w:val="24"/>
                <w:szCs w:val="24"/>
                <w:lang w:val="en-GB"/>
              </w:rPr>
              <w:t xml:space="preserve"> Srpske; </w:t>
            </w:r>
            <w:proofErr w:type="spellStart"/>
            <w:r w:rsidRPr="00924133">
              <w:rPr>
                <w:rFonts w:cs="Calibri"/>
                <w:sz w:val="24"/>
                <w:szCs w:val="24"/>
                <w:lang w:val="en-GB"/>
              </w:rPr>
              <w:t>pravni</w:t>
            </w:r>
            <w:proofErr w:type="spellEnd"/>
            <w:r w:rsidRPr="00924133">
              <w:rPr>
                <w:rFonts w:cs="Calibri"/>
                <w:sz w:val="24"/>
                <w:szCs w:val="24"/>
                <w:lang w:val="en-GB"/>
              </w:rPr>
              <w:t xml:space="preserve"> </w:t>
            </w:r>
            <w:proofErr w:type="spellStart"/>
            <w:r w:rsidRPr="00924133">
              <w:rPr>
                <w:rFonts w:cs="Calibri"/>
                <w:sz w:val="24"/>
                <w:szCs w:val="24"/>
                <w:lang w:val="en-GB"/>
              </w:rPr>
              <w:t>fakulteti</w:t>
            </w:r>
            <w:proofErr w:type="spellEnd"/>
            <w:r w:rsidRPr="00924133">
              <w:rPr>
                <w:rFonts w:cs="Calibri"/>
                <w:sz w:val="24"/>
                <w:szCs w:val="24"/>
                <w:lang w:val="en-GB"/>
              </w:rPr>
              <w:t xml:space="preserve"> </w:t>
            </w:r>
            <w:proofErr w:type="spellStart"/>
            <w:r w:rsidRPr="00924133">
              <w:rPr>
                <w:rFonts w:cs="Calibri"/>
                <w:sz w:val="24"/>
                <w:szCs w:val="24"/>
                <w:lang w:val="en-GB"/>
              </w:rPr>
              <w:t>univerziteta</w:t>
            </w:r>
            <w:proofErr w:type="spellEnd"/>
            <w:r w:rsidRPr="00924133">
              <w:rPr>
                <w:rFonts w:cs="Calibri"/>
                <w:sz w:val="24"/>
                <w:szCs w:val="24"/>
                <w:lang w:val="en-GB"/>
              </w:rPr>
              <w:t xml:space="preserve"> u </w:t>
            </w:r>
            <w:proofErr w:type="spellStart"/>
            <w:r w:rsidRPr="00924133">
              <w:rPr>
                <w:rFonts w:cs="Calibri"/>
                <w:sz w:val="24"/>
                <w:szCs w:val="24"/>
                <w:lang w:val="en-GB"/>
              </w:rPr>
              <w:t>Bosni</w:t>
            </w:r>
            <w:proofErr w:type="spellEnd"/>
            <w:r w:rsidRPr="00924133">
              <w:rPr>
                <w:rFonts w:cs="Calibri"/>
                <w:sz w:val="24"/>
                <w:szCs w:val="24"/>
                <w:lang w:val="en-GB"/>
              </w:rPr>
              <w:t xml:space="preserve"> </w:t>
            </w:r>
            <w:proofErr w:type="spellStart"/>
            <w:r w:rsidRPr="00924133">
              <w:rPr>
                <w:rFonts w:cs="Calibri"/>
                <w:sz w:val="24"/>
                <w:szCs w:val="24"/>
                <w:lang w:val="en-GB"/>
              </w:rPr>
              <w:t>i</w:t>
            </w:r>
            <w:proofErr w:type="spellEnd"/>
            <w:r w:rsidRPr="00924133">
              <w:rPr>
                <w:rFonts w:cs="Calibri"/>
                <w:sz w:val="24"/>
                <w:szCs w:val="24"/>
                <w:lang w:val="en-GB"/>
              </w:rPr>
              <w:t xml:space="preserve"> </w:t>
            </w:r>
            <w:proofErr w:type="spellStart"/>
            <w:r w:rsidRPr="00924133">
              <w:rPr>
                <w:rFonts w:cs="Calibri"/>
                <w:sz w:val="24"/>
                <w:szCs w:val="24"/>
                <w:lang w:val="en-GB"/>
              </w:rPr>
              <w:t>Hercegovini</w:t>
            </w:r>
            <w:proofErr w:type="spellEnd"/>
            <w:r w:rsidRPr="00924133">
              <w:rPr>
                <w:rFonts w:cs="Calibri"/>
                <w:sz w:val="24"/>
                <w:szCs w:val="24"/>
                <w:lang w:val="en-GB"/>
              </w:rPr>
              <w:t>.</w:t>
            </w:r>
          </w:p>
        </w:tc>
      </w:tr>
      <w:tr w:rsidR="003149C4" w14:paraId="1344EB61" w14:textId="77777777" w:rsidTr="00736007">
        <w:tc>
          <w:tcPr>
            <w:tcW w:w="2518" w:type="dxa"/>
            <w:shd w:val="clear" w:color="auto" w:fill="D9D9D9" w:themeFill="background1" w:themeFillShade="D9"/>
          </w:tcPr>
          <w:p w14:paraId="204FBD24" w14:textId="1D171354" w:rsidR="003149C4" w:rsidRDefault="00924133" w:rsidP="00405A89">
            <w:pPr>
              <w:tabs>
                <w:tab w:val="left" w:pos="3366"/>
              </w:tabs>
              <w:jc w:val="both"/>
              <w:rPr>
                <w:rFonts w:ascii="Calibri" w:hAnsi="Calibri" w:cs="Calibri"/>
                <w:b/>
                <w:sz w:val="24"/>
                <w:szCs w:val="24"/>
              </w:rPr>
            </w:pPr>
            <w:proofErr w:type="spellStart"/>
            <w:r>
              <w:rPr>
                <w:rFonts w:ascii="Calibri" w:hAnsi="Calibri" w:cs="Calibri"/>
                <w:b/>
                <w:sz w:val="24"/>
                <w:szCs w:val="24"/>
              </w:rPr>
              <w:t>Glavni</w:t>
            </w:r>
            <w:proofErr w:type="spellEnd"/>
            <w:r>
              <w:rPr>
                <w:rFonts w:ascii="Calibri" w:hAnsi="Calibri" w:cs="Calibri"/>
                <w:b/>
                <w:sz w:val="24"/>
                <w:szCs w:val="24"/>
              </w:rPr>
              <w:t xml:space="preserve"> </w:t>
            </w:r>
            <w:proofErr w:type="spellStart"/>
            <w:r>
              <w:rPr>
                <w:rFonts w:ascii="Calibri" w:hAnsi="Calibri" w:cs="Calibri"/>
                <w:b/>
                <w:sz w:val="24"/>
                <w:szCs w:val="24"/>
              </w:rPr>
              <w:t>cilj</w:t>
            </w:r>
            <w:proofErr w:type="spellEnd"/>
          </w:p>
          <w:p w14:paraId="2E17E213" w14:textId="77777777" w:rsidR="00006226" w:rsidRDefault="00006226" w:rsidP="00405A89">
            <w:pPr>
              <w:tabs>
                <w:tab w:val="left" w:pos="3366"/>
              </w:tabs>
              <w:jc w:val="both"/>
              <w:rPr>
                <w:rFonts w:ascii="Calibri" w:hAnsi="Calibri" w:cs="Calibri"/>
                <w:b/>
                <w:sz w:val="24"/>
                <w:szCs w:val="24"/>
              </w:rPr>
            </w:pPr>
          </w:p>
          <w:p w14:paraId="6548BE21" w14:textId="77777777" w:rsidR="00006226" w:rsidRDefault="00006226" w:rsidP="00405A89">
            <w:pPr>
              <w:tabs>
                <w:tab w:val="left" w:pos="3366"/>
              </w:tabs>
              <w:jc w:val="both"/>
              <w:rPr>
                <w:rFonts w:ascii="Calibri" w:hAnsi="Calibri" w:cs="Calibri"/>
                <w:b/>
                <w:sz w:val="24"/>
                <w:szCs w:val="24"/>
              </w:rPr>
            </w:pPr>
          </w:p>
        </w:tc>
        <w:tc>
          <w:tcPr>
            <w:tcW w:w="7058" w:type="dxa"/>
          </w:tcPr>
          <w:p w14:paraId="32B2DFEA" w14:textId="73804DE5" w:rsidR="00736007" w:rsidRPr="00790A03" w:rsidRDefault="00924133" w:rsidP="00056A0F">
            <w:pPr>
              <w:spacing w:before="60"/>
              <w:jc w:val="both"/>
              <w:rPr>
                <w:rFonts w:ascii="Calibri" w:hAnsi="Calibri" w:cs="Calibri"/>
                <w:sz w:val="24"/>
                <w:szCs w:val="24"/>
                <w:highlight w:val="yellow"/>
              </w:rPr>
            </w:pPr>
            <w:proofErr w:type="spellStart"/>
            <w:r w:rsidRPr="00924133">
              <w:rPr>
                <w:rFonts w:ascii="Calibri" w:hAnsi="Calibri" w:cs="Calibri"/>
                <w:sz w:val="24"/>
                <w:szCs w:val="24"/>
              </w:rPr>
              <w:t>Glavni</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cilj</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projekta</w:t>
            </w:r>
            <w:proofErr w:type="spellEnd"/>
            <w:r w:rsidRPr="00924133">
              <w:rPr>
                <w:rFonts w:ascii="Calibri" w:hAnsi="Calibri" w:cs="Calibri"/>
                <w:sz w:val="24"/>
                <w:szCs w:val="24"/>
              </w:rPr>
              <w:t xml:space="preserve"> je </w:t>
            </w:r>
            <w:proofErr w:type="spellStart"/>
            <w:r w:rsidRPr="00924133">
              <w:rPr>
                <w:rFonts w:ascii="Calibri" w:hAnsi="Calibri" w:cs="Calibri"/>
                <w:sz w:val="24"/>
                <w:szCs w:val="24"/>
              </w:rPr>
              <w:t>podržati</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dosljedniju</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primjenu</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sudske</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prakse</w:t>
            </w:r>
            <w:proofErr w:type="spellEnd"/>
            <w:r w:rsidRPr="00924133">
              <w:rPr>
                <w:rFonts w:ascii="Calibri" w:hAnsi="Calibri" w:cs="Calibri"/>
                <w:sz w:val="24"/>
                <w:szCs w:val="24"/>
              </w:rPr>
              <w:t xml:space="preserve"> u </w:t>
            </w:r>
            <w:proofErr w:type="spellStart"/>
            <w:r w:rsidRPr="00924133">
              <w:rPr>
                <w:rFonts w:ascii="Calibri" w:hAnsi="Calibri" w:cs="Calibri"/>
                <w:sz w:val="24"/>
                <w:szCs w:val="24"/>
              </w:rPr>
              <w:t>Bosni</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i</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Hercegovini</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što</w:t>
            </w:r>
            <w:proofErr w:type="spellEnd"/>
            <w:r w:rsidRPr="00924133">
              <w:rPr>
                <w:rFonts w:ascii="Calibri" w:hAnsi="Calibri" w:cs="Calibri"/>
                <w:sz w:val="24"/>
                <w:szCs w:val="24"/>
              </w:rPr>
              <w:t xml:space="preserve"> je od </w:t>
            </w:r>
            <w:proofErr w:type="spellStart"/>
            <w:r w:rsidRPr="00924133">
              <w:rPr>
                <w:rFonts w:ascii="Calibri" w:hAnsi="Calibri" w:cs="Calibri"/>
                <w:sz w:val="24"/>
                <w:szCs w:val="24"/>
              </w:rPr>
              <w:t>ključne</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važnosti</w:t>
            </w:r>
            <w:proofErr w:type="spellEnd"/>
            <w:r w:rsidRPr="00924133">
              <w:rPr>
                <w:rFonts w:ascii="Calibri" w:hAnsi="Calibri" w:cs="Calibri"/>
                <w:sz w:val="24"/>
                <w:szCs w:val="24"/>
              </w:rPr>
              <w:t xml:space="preserve"> za </w:t>
            </w:r>
            <w:proofErr w:type="spellStart"/>
            <w:r w:rsidRPr="00924133">
              <w:rPr>
                <w:rFonts w:ascii="Calibri" w:hAnsi="Calibri" w:cs="Calibri"/>
                <w:sz w:val="24"/>
                <w:szCs w:val="24"/>
              </w:rPr>
              <w:t>osiguranje</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pravne</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sigurnosti</w:t>
            </w:r>
            <w:proofErr w:type="spellEnd"/>
            <w:r w:rsidRPr="00924133">
              <w:rPr>
                <w:rFonts w:ascii="Calibri" w:hAnsi="Calibri" w:cs="Calibri"/>
                <w:sz w:val="24"/>
                <w:szCs w:val="24"/>
              </w:rPr>
              <w:t xml:space="preserve"> </w:t>
            </w:r>
            <w:proofErr w:type="spellStart"/>
            <w:r w:rsidR="005F1B6E">
              <w:rPr>
                <w:rFonts w:ascii="Calibri" w:hAnsi="Calibri" w:cs="Calibri"/>
                <w:sz w:val="24"/>
                <w:szCs w:val="24"/>
              </w:rPr>
              <w:t>svih</w:t>
            </w:r>
            <w:proofErr w:type="spellEnd"/>
            <w:r w:rsidR="005F1B6E">
              <w:rPr>
                <w:rFonts w:ascii="Calibri" w:hAnsi="Calibri" w:cs="Calibri"/>
                <w:sz w:val="24"/>
                <w:szCs w:val="24"/>
              </w:rPr>
              <w:t xml:space="preserve"> </w:t>
            </w:r>
            <w:proofErr w:type="spellStart"/>
            <w:r w:rsidR="005F1B6E">
              <w:rPr>
                <w:rFonts w:ascii="Calibri" w:hAnsi="Calibri" w:cs="Calibri"/>
                <w:sz w:val="24"/>
                <w:szCs w:val="24"/>
              </w:rPr>
              <w:t>osoba</w:t>
            </w:r>
            <w:proofErr w:type="spellEnd"/>
            <w:r w:rsidR="005F1B6E">
              <w:rPr>
                <w:rFonts w:ascii="Calibri" w:hAnsi="Calibri" w:cs="Calibri"/>
                <w:sz w:val="24"/>
                <w:szCs w:val="24"/>
              </w:rPr>
              <w:t xml:space="preserve"> </w:t>
            </w:r>
            <w:proofErr w:type="spellStart"/>
            <w:r w:rsidRPr="00924133">
              <w:rPr>
                <w:rFonts w:ascii="Calibri" w:hAnsi="Calibri" w:cs="Calibri"/>
                <w:sz w:val="24"/>
                <w:szCs w:val="24"/>
              </w:rPr>
              <w:t>i</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funkcionisanje</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efikasnog</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pravosuđa</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koje</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poštuje</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ljudska</w:t>
            </w:r>
            <w:proofErr w:type="spellEnd"/>
            <w:r w:rsidRPr="00924133">
              <w:rPr>
                <w:rFonts w:ascii="Calibri" w:hAnsi="Calibri" w:cs="Calibri"/>
                <w:sz w:val="24"/>
                <w:szCs w:val="24"/>
              </w:rPr>
              <w:t xml:space="preserve"> </w:t>
            </w:r>
            <w:proofErr w:type="spellStart"/>
            <w:r w:rsidRPr="00924133">
              <w:rPr>
                <w:rFonts w:ascii="Calibri" w:hAnsi="Calibri" w:cs="Calibri"/>
                <w:sz w:val="24"/>
                <w:szCs w:val="24"/>
              </w:rPr>
              <w:t>prava</w:t>
            </w:r>
            <w:proofErr w:type="spellEnd"/>
            <w:r w:rsidRPr="00924133">
              <w:rPr>
                <w:rFonts w:ascii="Calibri" w:hAnsi="Calibri" w:cs="Calibri"/>
                <w:sz w:val="24"/>
                <w:szCs w:val="24"/>
              </w:rPr>
              <w:t>.</w:t>
            </w:r>
          </w:p>
        </w:tc>
      </w:tr>
      <w:tr w:rsidR="003149C4" w:rsidRPr="00874CA1" w14:paraId="40656968" w14:textId="77777777" w:rsidTr="00736007">
        <w:tc>
          <w:tcPr>
            <w:tcW w:w="2518" w:type="dxa"/>
            <w:shd w:val="clear" w:color="auto" w:fill="D9D9D9" w:themeFill="background1" w:themeFillShade="D9"/>
          </w:tcPr>
          <w:p w14:paraId="555FDADC" w14:textId="4D49A237" w:rsidR="00006226" w:rsidRDefault="00924133" w:rsidP="0015305C">
            <w:pPr>
              <w:tabs>
                <w:tab w:val="left" w:pos="3366"/>
              </w:tabs>
              <w:jc w:val="both"/>
              <w:rPr>
                <w:rFonts w:ascii="Calibri" w:hAnsi="Calibri" w:cs="Calibri"/>
                <w:b/>
                <w:sz w:val="24"/>
                <w:szCs w:val="24"/>
              </w:rPr>
            </w:pPr>
            <w:proofErr w:type="spellStart"/>
            <w:r w:rsidRPr="00924133">
              <w:rPr>
                <w:rFonts w:ascii="Calibri" w:hAnsi="Calibri" w:cs="Calibri"/>
                <w:b/>
                <w:sz w:val="24"/>
                <w:szCs w:val="24"/>
              </w:rPr>
              <w:t>Očekivani</w:t>
            </w:r>
            <w:proofErr w:type="spellEnd"/>
            <w:r w:rsidRPr="00924133">
              <w:rPr>
                <w:rFonts w:ascii="Calibri" w:hAnsi="Calibri" w:cs="Calibri"/>
                <w:b/>
                <w:sz w:val="24"/>
                <w:szCs w:val="24"/>
              </w:rPr>
              <w:t xml:space="preserve"> </w:t>
            </w:r>
            <w:proofErr w:type="spellStart"/>
            <w:r w:rsidRPr="00924133">
              <w:rPr>
                <w:rFonts w:ascii="Calibri" w:hAnsi="Calibri" w:cs="Calibri"/>
                <w:b/>
                <w:sz w:val="24"/>
                <w:szCs w:val="24"/>
              </w:rPr>
              <w:t>rezultati</w:t>
            </w:r>
            <w:proofErr w:type="spellEnd"/>
          </w:p>
          <w:p w14:paraId="595C1225" w14:textId="77777777" w:rsidR="00006226" w:rsidRDefault="00006226" w:rsidP="0015305C">
            <w:pPr>
              <w:tabs>
                <w:tab w:val="left" w:pos="3366"/>
              </w:tabs>
              <w:jc w:val="both"/>
              <w:rPr>
                <w:rFonts w:ascii="Calibri" w:hAnsi="Calibri" w:cs="Calibri"/>
                <w:b/>
                <w:sz w:val="24"/>
                <w:szCs w:val="24"/>
              </w:rPr>
            </w:pPr>
          </w:p>
          <w:p w14:paraId="3C3108AF" w14:textId="77777777" w:rsidR="00006226" w:rsidRDefault="00006226" w:rsidP="0015305C">
            <w:pPr>
              <w:tabs>
                <w:tab w:val="left" w:pos="3366"/>
              </w:tabs>
              <w:jc w:val="both"/>
              <w:rPr>
                <w:rFonts w:ascii="Calibri" w:hAnsi="Calibri" w:cs="Calibri"/>
                <w:b/>
                <w:sz w:val="24"/>
                <w:szCs w:val="24"/>
              </w:rPr>
            </w:pPr>
          </w:p>
          <w:p w14:paraId="4026E2FD" w14:textId="77777777" w:rsidR="00006226" w:rsidRDefault="00006226" w:rsidP="0015305C">
            <w:pPr>
              <w:tabs>
                <w:tab w:val="left" w:pos="3366"/>
              </w:tabs>
              <w:jc w:val="both"/>
              <w:rPr>
                <w:rFonts w:ascii="Calibri" w:hAnsi="Calibri" w:cs="Calibri"/>
                <w:b/>
                <w:sz w:val="24"/>
                <w:szCs w:val="24"/>
              </w:rPr>
            </w:pPr>
          </w:p>
          <w:p w14:paraId="2EDECD57" w14:textId="77777777" w:rsidR="00006226" w:rsidRDefault="00006226" w:rsidP="0015305C">
            <w:pPr>
              <w:tabs>
                <w:tab w:val="left" w:pos="3366"/>
              </w:tabs>
              <w:jc w:val="both"/>
              <w:rPr>
                <w:rFonts w:ascii="Calibri" w:hAnsi="Calibri" w:cs="Calibri"/>
                <w:b/>
                <w:sz w:val="24"/>
                <w:szCs w:val="24"/>
              </w:rPr>
            </w:pPr>
          </w:p>
          <w:p w14:paraId="34785CBF" w14:textId="77777777" w:rsidR="00006226" w:rsidRDefault="00006226" w:rsidP="0015305C">
            <w:pPr>
              <w:tabs>
                <w:tab w:val="left" w:pos="3366"/>
              </w:tabs>
              <w:jc w:val="both"/>
              <w:rPr>
                <w:rFonts w:ascii="Calibri" w:hAnsi="Calibri" w:cs="Calibri"/>
                <w:b/>
                <w:sz w:val="24"/>
                <w:szCs w:val="24"/>
              </w:rPr>
            </w:pPr>
          </w:p>
          <w:p w14:paraId="088AD293" w14:textId="77777777" w:rsidR="00006226" w:rsidRDefault="00006226" w:rsidP="0015305C">
            <w:pPr>
              <w:tabs>
                <w:tab w:val="left" w:pos="3366"/>
              </w:tabs>
              <w:jc w:val="both"/>
              <w:rPr>
                <w:rFonts w:ascii="Calibri" w:hAnsi="Calibri" w:cs="Calibri"/>
                <w:b/>
                <w:sz w:val="24"/>
                <w:szCs w:val="24"/>
              </w:rPr>
            </w:pPr>
          </w:p>
          <w:p w14:paraId="50BCF3F2" w14:textId="77777777" w:rsidR="00006226" w:rsidRDefault="00006226" w:rsidP="0015305C">
            <w:pPr>
              <w:tabs>
                <w:tab w:val="left" w:pos="3366"/>
              </w:tabs>
              <w:jc w:val="both"/>
              <w:rPr>
                <w:rFonts w:ascii="Calibri" w:hAnsi="Calibri" w:cs="Calibri"/>
                <w:b/>
                <w:sz w:val="24"/>
                <w:szCs w:val="24"/>
              </w:rPr>
            </w:pPr>
          </w:p>
        </w:tc>
        <w:tc>
          <w:tcPr>
            <w:tcW w:w="7058" w:type="dxa"/>
          </w:tcPr>
          <w:p w14:paraId="5B79A094" w14:textId="6EC9A2BE" w:rsidR="00924133" w:rsidRPr="00924133" w:rsidRDefault="003D64A8" w:rsidP="00924133">
            <w:pPr>
              <w:pStyle w:val="ListParagraph"/>
              <w:numPr>
                <w:ilvl w:val="0"/>
                <w:numId w:val="7"/>
              </w:numPr>
              <w:tabs>
                <w:tab w:val="left" w:pos="3366"/>
              </w:tabs>
              <w:jc w:val="both"/>
              <w:rPr>
                <w:rFonts w:ascii="Calibri" w:hAnsi="Calibri" w:cs="Calibri"/>
                <w:sz w:val="24"/>
                <w:szCs w:val="24"/>
              </w:rPr>
            </w:pPr>
            <w:proofErr w:type="spellStart"/>
            <w:r>
              <w:rPr>
                <w:rFonts w:ascii="Calibri" w:hAnsi="Calibri" w:cs="Calibri"/>
                <w:sz w:val="24"/>
                <w:szCs w:val="24"/>
              </w:rPr>
              <w:t>B</w:t>
            </w:r>
            <w:r w:rsidR="00924133" w:rsidRPr="00924133">
              <w:rPr>
                <w:rFonts w:ascii="Calibri" w:hAnsi="Calibri" w:cs="Calibri"/>
                <w:sz w:val="24"/>
                <w:szCs w:val="24"/>
              </w:rPr>
              <w:t>aza</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podataka</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sudske</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prakse</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i</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sistemi</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upravljanja</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predmetima</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koje</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koriste</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sudovi</w:t>
            </w:r>
            <w:proofErr w:type="spellEnd"/>
            <w:r w:rsidR="00924133" w:rsidRPr="00924133">
              <w:rPr>
                <w:rFonts w:ascii="Calibri" w:hAnsi="Calibri" w:cs="Calibri"/>
                <w:sz w:val="24"/>
                <w:szCs w:val="24"/>
              </w:rPr>
              <w:t xml:space="preserve"> u </w:t>
            </w:r>
            <w:proofErr w:type="spellStart"/>
            <w:r w:rsidR="00924133" w:rsidRPr="00924133">
              <w:rPr>
                <w:rFonts w:ascii="Calibri" w:hAnsi="Calibri" w:cs="Calibri"/>
                <w:sz w:val="24"/>
                <w:szCs w:val="24"/>
              </w:rPr>
              <w:t>Bosni</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i</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Hercegovini</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primjenjuju</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istu</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metodologiju</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klasifikacije</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predmeta</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i</w:t>
            </w:r>
            <w:proofErr w:type="spellEnd"/>
            <w:r w:rsidR="00924133" w:rsidRPr="00924133">
              <w:rPr>
                <w:rFonts w:ascii="Calibri" w:hAnsi="Calibri" w:cs="Calibri"/>
                <w:sz w:val="24"/>
                <w:szCs w:val="24"/>
              </w:rPr>
              <w:t xml:space="preserve"> da u </w:t>
            </w:r>
            <w:proofErr w:type="spellStart"/>
            <w:r w:rsidR="00924133" w:rsidRPr="00924133">
              <w:rPr>
                <w:rFonts w:ascii="Calibri" w:hAnsi="Calibri" w:cs="Calibri"/>
                <w:sz w:val="24"/>
                <w:szCs w:val="24"/>
              </w:rPr>
              <w:t>predmetima</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koji</w:t>
            </w:r>
            <w:proofErr w:type="spellEnd"/>
            <w:r w:rsidR="00924133" w:rsidRPr="00924133">
              <w:rPr>
                <w:rFonts w:ascii="Calibri" w:hAnsi="Calibri" w:cs="Calibri"/>
                <w:sz w:val="24"/>
                <w:szCs w:val="24"/>
              </w:rPr>
              <w:t xml:space="preserve"> se </w:t>
            </w:r>
            <w:proofErr w:type="spellStart"/>
            <w:r w:rsidR="00924133" w:rsidRPr="00924133">
              <w:rPr>
                <w:rFonts w:ascii="Calibri" w:hAnsi="Calibri" w:cs="Calibri"/>
                <w:sz w:val="24"/>
                <w:szCs w:val="24"/>
              </w:rPr>
              <w:t>tiču</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ljudskih</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prava</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koriste</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vokabular</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i</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deskriptore</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koji</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su</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kompatibilni</w:t>
            </w:r>
            <w:proofErr w:type="spellEnd"/>
            <w:r w:rsidR="00924133" w:rsidRPr="00924133">
              <w:rPr>
                <w:rFonts w:ascii="Calibri" w:hAnsi="Calibri" w:cs="Calibri"/>
                <w:sz w:val="24"/>
                <w:szCs w:val="24"/>
              </w:rPr>
              <w:t xml:space="preserve"> s </w:t>
            </w:r>
            <w:proofErr w:type="spellStart"/>
            <w:r w:rsidR="00924133" w:rsidRPr="00924133">
              <w:rPr>
                <w:rFonts w:ascii="Calibri" w:hAnsi="Calibri" w:cs="Calibri"/>
                <w:sz w:val="24"/>
                <w:szCs w:val="24"/>
              </w:rPr>
              <w:t>pristupom</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Evropskog</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suda</w:t>
            </w:r>
            <w:proofErr w:type="spellEnd"/>
            <w:r w:rsidR="00924133" w:rsidRPr="00924133">
              <w:rPr>
                <w:rFonts w:ascii="Calibri" w:hAnsi="Calibri" w:cs="Calibri"/>
                <w:sz w:val="24"/>
                <w:szCs w:val="24"/>
              </w:rPr>
              <w:t xml:space="preserve"> za </w:t>
            </w:r>
            <w:proofErr w:type="spellStart"/>
            <w:r w:rsidR="00924133" w:rsidRPr="00924133">
              <w:rPr>
                <w:rFonts w:ascii="Calibri" w:hAnsi="Calibri" w:cs="Calibri"/>
                <w:sz w:val="24"/>
                <w:szCs w:val="24"/>
              </w:rPr>
              <w:t>ljudska</w:t>
            </w:r>
            <w:proofErr w:type="spellEnd"/>
            <w:r w:rsidR="00924133" w:rsidRPr="00924133">
              <w:rPr>
                <w:rFonts w:ascii="Calibri" w:hAnsi="Calibri" w:cs="Calibri"/>
                <w:sz w:val="24"/>
                <w:szCs w:val="24"/>
              </w:rPr>
              <w:t xml:space="preserve"> </w:t>
            </w:r>
            <w:proofErr w:type="spellStart"/>
            <w:r w:rsidR="00924133" w:rsidRPr="00924133">
              <w:rPr>
                <w:rFonts w:ascii="Calibri" w:hAnsi="Calibri" w:cs="Calibri"/>
                <w:sz w:val="24"/>
                <w:szCs w:val="24"/>
              </w:rPr>
              <w:t>prava</w:t>
            </w:r>
            <w:proofErr w:type="spellEnd"/>
            <w:r w:rsidR="00924133" w:rsidRPr="00924133">
              <w:rPr>
                <w:rFonts w:ascii="Calibri" w:hAnsi="Calibri" w:cs="Calibri"/>
                <w:sz w:val="24"/>
                <w:szCs w:val="24"/>
              </w:rPr>
              <w:t xml:space="preserve"> </w:t>
            </w:r>
            <w:proofErr w:type="gramStart"/>
            <w:r w:rsidR="00924133" w:rsidRPr="00924133">
              <w:rPr>
                <w:rFonts w:ascii="Calibri" w:hAnsi="Calibri" w:cs="Calibri"/>
                <w:sz w:val="24"/>
                <w:szCs w:val="24"/>
              </w:rPr>
              <w:t>( ESLJP</w:t>
            </w:r>
            <w:proofErr w:type="gramEnd"/>
            <w:r w:rsidR="00924133" w:rsidRPr="00924133">
              <w:rPr>
                <w:rFonts w:ascii="Calibri" w:hAnsi="Calibri" w:cs="Calibri"/>
                <w:sz w:val="24"/>
                <w:szCs w:val="24"/>
              </w:rPr>
              <w:t>);</w:t>
            </w:r>
          </w:p>
          <w:p w14:paraId="641246C6" w14:textId="77777777" w:rsidR="00924133" w:rsidRPr="00924133" w:rsidRDefault="00924133" w:rsidP="00924133">
            <w:pPr>
              <w:pStyle w:val="ListParagraph"/>
              <w:numPr>
                <w:ilvl w:val="0"/>
                <w:numId w:val="7"/>
              </w:numPr>
              <w:tabs>
                <w:tab w:val="left" w:pos="3366"/>
              </w:tabs>
              <w:jc w:val="both"/>
              <w:rPr>
                <w:rFonts w:ascii="Calibri" w:hAnsi="Calibri" w:cs="Calibri"/>
                <w:sz w:val="24"/>
                <w:szCs w:val="24"/>
                <w:lang w:val="fr-FR"/>
              </w:rPr>
            </w:pPr>
            <w:proofErr w:type="spellStart"/>
            <w:r w:rsidRPr="00924133">
              <w:rPr>
                <w:rFonts w:ascii="Calibri" w:hAnsi="Calibri" w:cs="Calibri"/>
                <w:sz w:val="24"/>
                <w:szCs w:val="24"/>
                <w:lang w:val="fr-FR"/>
              </w:rPr>
              <w:t>Ojačani</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odjeli</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za</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sudsku</w:t>
            </w:r>
            <w:proofErr w:type="spellEnd"/>
            <w:r w:rsidRPr="00924133">
              <w:rPr>
                <w:rFonts w:ascii="Calibri" w:hAnsi="Calibri" w:cs="Calibri"/>
                <w:sz w:val="24"/>
                <w:szCs w:val="24"/>
                <w:lang w:val="fr-FR"/>
              </w:rPr>
              <w:t xml:space="preserve"> </w:t>
            </w:r>
            <w:proofErr w:type="spellStart"/>
            <w:proofErr w:type="gramStart"/>
            <w:r w:rsidRPr="00924133">
              <w:rPr>
                <w:rFonts w:ascii="Calibri" w:hAnsi="Calibri" w:cs="Calibri"/>
                <w:sz w:val="24"/>
                <w:szCs w:val="24"/>
                <w:lang w:val="fr-FR"/>
              </w:rPr>
              <w:t>praksu</w:t>
            </w:r>
            <w:proofErr w:type="spellEnd"/>
            <w:r w:rsidRPr="00924133">
              <w:rPr>
                <w:rFonts w:ascii="Calibri" w:hAnsi="Calibri" w:cs="Calibri"/>
                <w:sz w:val="24"/>
                <w:szCs w:val="24"/>
                <w:lang w:val="fr-FR"/>
              </w:rPr>
              <w:t>;</w:t>
            </w:r>
            <w:proofErr w:type="gramEnd"/>
          </w:p>
          <w:p w14:paraId="2C32012F" w14:textId="641E8C3A" w:rsidR="00924133" w:rsidRPr="00924133" w:rsidRDefault="00924133" w:rsidP="00924133">
            <w:pPr>
              <w:pStyle w:val="ListParagraph"/>
              <w:numPr>
                <w:ilvl w:val="0"/>
                <w:numId w:val="7"/>
              </w:numPr>
              <w:tabs>
                <w:tab w:val="left" w:pos="3366"/>
              </w:tabs>
              <w:jc w:val="both"/>
              <w:rPr>
                <w:rFonts w:ascii="Calibri" w:hAnsi="Calibri" w:cs="Calibri"/>
                <w:sz w:val="24"/>
                <w:szCs w:val="24"/>
                <w:lang w:val="fr-FR"/>
              </w:rPr>
            </w:pPr>
            <w:proofErr w:type="spellStart"/>
            <w:r w:rsidRPr="00924133">
              <w:rPr>
                <w:rFonts w:ascii="Calibri" w:hAnsi="Calibri" w:cs="Calibri"/>
                <w:sz w:val="24"/>
                <w:szCs w:val="24"/>
                <w:lang w:val="fr-FR"/>
              </w:rPr>
              <w:t>Podrška</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radu</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panela</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za</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usklađivanje</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sudske</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prakse</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koji</w:t>
            </w:r>
            <w:proofErr w:type="spellEnd"/>
            <w:r w:rsidRPr="00924133">
              <w:rPr>
                <w:rFonts w:ascii="Calibri" w:hAnsi="Calibri" w:cs="Calibri"/>
                <w:sz w:val="24"/>
                <w:szCs w:val="24"/>
                <w:lang w:val="fr-FR"/>
              </w:rPr>
              <w:t xml:space="preserve"> su </w:t>
            </w:r>
            <w:proofErr w:type="spellStart"/>
            <w:r w:rsidRPr="00924133">
              <w:rPr>
                <w:rFonts w:ascii="Calibri" w:hAnsi="Calibri" w:cs="Calibri"/>
                <w:sz w:val="24"/>
                <w:szCs w:val="24"/>
                <w:lang w:val="fr-FR"/>
              </w:rPr>
              <w:t>uspostavljeni</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uz</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podršku</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Vijeća</w:t>
            </w:r>
            <w:proofErr w:type="spellEnd"/>
            <w:r w:rsidRPr="00924133">
              <w:rPr>
                <w:rFonts w:ascii="Calibri" w:hAnsi="Calibri" w:cs="Calibri"/>
                <w:sz w:val="24"/>
                <w:szCs w:val="24"/>
                <w:lang w:val="fr-FR"/>
              </w:rPr>
              <w:t xml:space="preserve"> Europe 2014. </w:t>
            </w:r>
            <w:proofErr w:type="spellStart"/>
            <w:proofErr w:type="gramStart"/>
            <w:r w:rsidRPr="00924133">
              <w:rPr>
                <w:rFonts w:ascii="Calibri" w:hAnsi="Calibri" w:cs="Calibri"/>
                <w:sz w:val="24"/>
                <w:szCs w:val="24"/>
                <w:lang w:val="fr-FR"/>
              </w:rPr>
              <w:t>godine</w:t>
            </w:r>
            <w:proofErr w:type="spellEnd"/>
            <w:proofErr w:type="gramEnd"/>
            <w:r w:rsidRPr="00924133">
              <w:rPr>
                <w:rFonts w:ascii="Calibri" w:hAnsi="Calibri" w:cs="Calibri"/>
                <w:sz w:val="24"/>
                <w:szCs w:val="24"/>
                <w:lang w:val="fr-FR"/>
              </w:rPr>
              <w:t>);</w:t>
            </w:r>
          </w:p>
          <w:p w14:paraId="61DEEE36" w14:textId="20637C41" w:rsidR="00736007" w:rsidRPr="00924133" w:rsidRDefault="00924133" w:rsidP="00924133">
            <w:pPr>
              <w:pStyle w:val="ListParagraph"/>
              <w:numPr>
                <w:ilvl w:val="0"/>
                <w:numId w:val="7"/>
              </w:numPr>
              <w:tabs>
                <w:tab w:val="left" w:pos="3366"/>
              </w:tabs>
              <w:jc w:val="both"/>
              <w:rPr>
                <w:rFonts w:ascii="Calibri" w:hAnsi="Calibri" w:cs="Calibri"/>
                <w:sz w:val="24"/>
                <w:szCs w:val="24"/>
                <w:lang w:val="fr-FR"/>
              </w:rPr>
            </w:pPr>
            <w:proofErr w:type="spellStart"/>
            <w:r w:rsidRPr="00924133">
              <w:rPr>
                <w:rFonts w:ascii="Calibri" w:hAnsi="Calibri" w:cs="Calibri"/>
                <w:sz w:val="24"/>
                <w:szCs w:val="24"/>
                <w:lang w:val="fr-FR"/>
              </w:rPr>
              <w:t>Podsticanje</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dijaloga</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unutar</w:t>
            </w:r>
            <w:proofErr w:type="spellEnd"/>
            <w:r w:rsidRPr="00924133">
              <w:rPr>
                <w:rFonts w:ascii="Calibri" w:hAnsi="Calibri" w:cs="Calibri"/>
                <w:sz w:val="24"/>
                <w:szCs w:val="24"/>
                <w:lang w:val="fr-FR"/>
              </w:rPr>
              <w:t xml:space="preserve"> </w:t>
            </w:r>
            <w:proofErr w:type="spellStart"/>
            <w:r w:rsidRPr="00924133">
              <w:rPr>
                <w:rFonts w:ascii="Calibri" w:hAnsi="Calibri" w:cs="Calibri"/>
                <w:sz w:val="24"/>
                <w:szCs w:val="24"/>
                <w:lang w:val="fr-FR"/>
              </w:rPr>
              <w:t>pravosuđa</w:t>
            </w:r>
            <w:proofErr w:type="spellEnd"/>
            <w:r w:rsidRPr="00924133">
              <w:rPr>
                <w:rFonts w:ascii="Calibri" w:hAnsi="Calibri" w:cs="Calibri"/>
                <w:sz w:val="24"/>
                <w:szCs w:val="24"/>
                <w:lang w:val="fr-FR"/>
              </w:rPr>
              <w:t xml:space="preserve"> u </w:t>
            </w:r>
            <w:proofErr w:type="spellStart"/>
            <w:r w:rsidRPr="00924133">
              <w:rPr>
                <w:rFonts w:ascii="Calibri" w:hAnsi="Calibri" w:cs="Calibri"/>
                <w:sz w:val="24"/>
                <w:szCs w:val="24"/>
                <w:lang w:val="fr-FR"/>
              </w:rPr>
              <w:t>Bosni</w:t>
            </w:r>
            <w:proofErr w:type="spellEnd"/>
            <w:r w:rsidRPr="00924133">
              <w:rPr>
                <w:rFonts w:ascii="Calibri" w:hAnsi="Calibri" w:cs="Calibri"/>
                <w:sz w:val="24"/>
                <w:szCs w:val="24"/>
                <w:lang w:val="fr-FR"/>
              </w:rPr>
              <w:t xml:space="preserve"> i </w:t>
            </w:r>
            <w:proofErr w:type="spellStart"/>
            <w:r w:rsidRPr="00924133">
              <w:rPr>
                <w:rFonts w:ascii="Calibri" w:hAnsi="Calibri" w:cs="Calibri"/>
                <w:sz w:val="24"/>
                <w:szCs w:val="24"/>
                <w:lang w:val="fr-FR"/>
              </w:rPr>
              <w:t>Hercegovini</w:t>
            </w:r>
            <w:proofErr w:type="spellEnd"/>
            <w:r w:rsidRPr="00924133">
              <w:rPr>
                <w:rFonts w:ascii="Calibri" w:hAnsi="Calibri" w:cs="Calibri"/>
                <w:sz w:val="24"/>
                <w:szCs w:val="24"/>
                <w:lang w:val="fr-FR"/>
              </w:rPr>
              <w:t>.</w:t>
            </w:r>
          </w:p>
        </w:tc>
      </w:tr>
    </w:tbl>
    <w:p w14:paraId="0D8981D1" w14:textId="77777777" w:rsidR="000B6E4C" w:rsidRPr="00924133" w:rsidRDefault="000B6E4C">
      <w:pPr>
        <w:tabs>
          <w:tab w:val="left" w:pos="3366"/>
        </w:tabs>
        <w:jc w:val="both"/>
        <w:rPr>
          <w:rFonts w:ascii="Calibri" w:hAnsi="Calibri" w:cs="Calibri"/>
          <w:sz w:val="24"/>
          <w:szCs w:val="24"/>
          <w:lang w:val="fr-FR"/>
        </w:rPr>
      </w:pPr>
    </w:p>
    <w:sectPr w:rsidR="000B6E4C" w:rsidRPr="00924133" w:rsidSect="00E6539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C58B9" w14:textId="77777777" w:rsidR="002205E3" w:rsidRDefault="002205E3" w:rsidP="000B6E4C">
      <w:pPr>
        <w:spacing w:after="0" w:line="240" w:lineRule="auto"/>
      </w:pPr>
      <w:r>
        <w:separator/>
      </w:r>
    </w:p>
  </w:endnote>
  <w:endnote w:type="continuationSeparator" w:id="0">
    <w:p w14:paraId="077DA5C6" w14:textId="77777777" w:rsidR="002205E3" w:rsidRDefault="002205E3" w:rsidP="000B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5F987" w14:textId="77777777" w:rsidR="002205E3" w:rsidRDefault="002205E3" w:rsidP="000B6E4C">
      <w:pPr>
        <w:spacing w:after="0" w:line="240" w:lineRule="auto"/>
      </w:pPr>
      <w:r>
        <w:separator/>
      </w:r>
    </w:p>
  </w:footnote>
  <w:footnote w:type="continuationSeparator" w:id="0">
    <w:p w14:paraId="1ADCFBAC" w14:textId="77777777" w:rsidR="002205E3" w:rsidRDefault="002205E3" w:rsidP="000B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534C" w14:textId="77777777" w:rsidR="00073D6E" w:rsidRDefault="00073D6E" w:rsidP="00073D6E">
    <w:pPr>
      <w:pStyle w:val="Header"/>
      <w:jc w:val="center"/>
    </w:pPr>
  </w:p>
  <w:p w14:paraId="1053425C" w14:textId="77777777" w:rsidR="00073D6E" w:rsidRPr="00073D6E" w:rsidRDefault="00073D6E" w:rsidP="00073D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EE10C53"/>
    <w:multiLevelType w:val="hybridMultilevel"/>
    <w:tmpl w:val="1E28292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7F612B"/>
    <w:multiLevelType w:val="multilevel"/>
    <w:tmpl w:val="35B605B4"/>
    <w:lvl w:ilvl="0">
      <w:start w:val="1"/>
      <w:numFmt w:val="decimal"/>
      <w:lvlText w:val="%1."/>
      <w:lvlJc w:val="left"/>
      <w:pPr>
        <w:tabs>
          <w:tab w:val="num" w:pos="720"/>
        </w:tabs>
        <w:ind w:left="720" w:hanging="360"/>
      </w:pPr>
      <w:rPr>
        <w:rFonts w:asciiTheme="minorHAnsi" w:eastAsia="Times New Roman" w:hAnsiTheme="minorHAnsi" w:cstheme="minorHAnsi"/>
        <w:sz w:val="24"/>
        <w:szCs w:val="24"/>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7D5431"/>
    <w:multiLevelType w:val="hybridMultilevel"/>
    <w:tmpl w:val="683E8940"/>
    <w:lvl w:ilvl="0" w:tplc="101A0001">
      <w:start w:val="1"/>
      <w:numFmt w:val="bullet"/>
      <w:lvlText w:val=""/>
      <w:lvlJc w:val="left"/>
      <w:pPr>
        <w:ind w:left="360" w:hanging="360"/>
      </w:pPr>
      <w:rPr>
        <w:rFonts w:ascii="Symbol" w:hAnsi="Symbol" w:hint="default"/>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3" w15:restartNumberingAfterBreak="0">
    <w:nsid w:val="40460C2E"/>
    <w:multiLevelType w:val="hybridMultilevel"/>
    <w:tmpl w:val="0A96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208CA"/>
    <w:multiLevelType w:val="hybridMultilevel"/>
    <w:tmpl w:val="D1960C50"/>
    <w:lvl w:ilvl="0" w:tplc="44BE9D5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25FAE"/>
    <w:multiLevelType w:val="hybridMultilevel"/>
    <w:tmpl w:val="F44A5B4E"/>
    <w:lvl w:ilvl="0" w:tplc="4CB056A2">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F64B2"/>
    <w:multiLevelType w:val="hybridMultilevel"/>
    <w:tmpl w:val="14E85A6E"/>
    <w:lvl w:ilvl="0" w:tplc="44BE9D5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D7"/>
    <w:rsid w:val="00006226"/>
    <w:rsid w:val="00047DD7"/>
    <w:rsid w:val="00056A0F"/>
    <w:rsid w:val="00073D6E"/>
    <w:rsid w:val="000B6E4C"/>
    <w:rsid w:val="000D0802"/>
    <w:rsid w:val="000F0E85"/>
    <w:rsid w:val="00102B0A"/>
    <w:rsid w:val="00123092"/>
    <w:rsid w:val="00132D80"/>
    <w:rsid w:val="0015305C"/>
    <w:rsid w:val="001617A4"/>
    <w:rsid w:val="0017778B"/>
    <w:rsid w:val="0018157B"/>
    <w:rsid w:val="00192D7E"/>
    <w:rsid w:val="001A3C2D"/>
    <w:rsid w:val="001A741B"/>
    <w:rsid w:val="001F1D4C"/>
    <w:rsid w:val="002073D9"/>
    <w:rsid w:val="002205E3"/>
    <w:rsid w:val="00245C04"/>
    <w:rsid w:val="00281F56"/>
    <w:rsid w:val="002B50E4"/>
    <w:rsid w:val="002C55CC"/>
    <w:rsid w:val="002F701C"/>
    <w:rsid w:val="00305F3E"/>
    <w:rsid w:val="003149C4"/>
    <w:rsid w:val="003166F8"/>
    <w:rsid w:val="00316D8B"/>
    <w:rsid w:val="003A2168"/>
    <w:rsid w:val="003D3CF8"/>
    <w:rsid w:val="003D64A8"/>
    <w:rsid w:val="003D6A9A"/>
    <w:rsid w:val="00405A89"/>
    <w:rsid w:val="00431233"/>
    <w:rsid w:val="00431E05"/>
    <w:rsid w:val="004450E7"/>
    <w:rsid w:val="00466D24"/>
    <w:rsid w:val="004A7E52"/>
    <w:rsid w:val="004B4750"/>
    <w:rsid w:val="00505AEF"/>
    <w:rsid w:val="00545D18"/>
    <w:rsid w:val="00560EF8"/>
    <w:rsid w:val="005A7647"/>
    <w:rsid w:val="005F1B6E"/>
    <w:rsid w:val="005F7039"/>
    <w:rsid w:val="005F7E77"/>
    <w:rsid w:val="00605B9B"/>
    <w:rsid w:val="00622B4A"/>
    <w:rsid w:val="00630DF3"/>
    <w:rsid w:val="006B117A"/>
    <w:rsid w:val="006B251B"/>
    <w:rsid w:val="006B7297"/>
    <w:rsid w:val="006E1D8E"/>
    <w:rsid w:val="007118A8"/>
    <w:rsid w:val="00736007"/>
    <w:rsid w:val="00790A03"/>
    <w:rsid w:val="007D7ED4"/>
    <w:rsid w:val="007E730F"/>
    <w:rsid w:val="007F0B96"/>
    <w:rsid w:val="00806426"/>
    <w:rsid w:val="00821AED"/>
    <w:rsid w:val="00844C50"/>
    <w:rsid w:val="00874CA1"/>
    <w:rsid w:val="00890D15"/>
    <w:rsid w:val="008D461F"/>
    <w:rsid w:val="008E1370"/>
    <w:rsid w:val="008F343F"/>
    <w:rsid w:val="00924133"/>
    <w:rsid w:val="00942FF7"/>
    <w:rsid w:val="00945425"/>
    <w:rsid w:val="0098151F"/>
    <w:rsid w:val="009A53F6"/>
    <w:rsid w:val="009B2973"/>
    <w:rsid w:val="00A16709"/>
    <w:rsid w:val="00A237D4"/>
    <w:rsid w:val="00AB2A1C"/>
    <w:rsid w:val="00B13D27"/>
    <w:rsid w:val="00B2633F"/>
    <w:rsid w:val="00B446FB"/>
    <w:rsid w:val="00C10666"/>
    <w:rsid w:val="00C66F6E"/>
    <w:rsid w:val="00CA42FE"/>
    <w:rsid w:val="00CB3E43"/>
    <w:rsid w:val="00D35B76"/>
    <w:rsid w:val="00D71235"/>
    <w:rsid w:val="00D815DB"/>
    <w:rsid w:val="00DA6E21"/>
    <w:rsid w:val="00DC36CB"/>
    <w:rsid w:val="00E3561A"/>
    <w:rsid w:val="00E6539B"/>
    <w:rsid w:val="00ED28E6"/>
    <w:rsid w:val="00F432C8"/>
    <w:rsid w:val="00F54C6C"/>
    <w:rsid w:val="00FD41C9"/>
    <w:rsid w:val="00FE672C"/>
    <w:rsid w:val="00FE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4CCB1"/>
  <w15:docId w15:val="{8756AEF5-E9D6-4F5F-888B-38A20154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Знак Знак12, BVI fnr,BVI fnr, BVI fnr Car Car,BVI fnr Car, BVI fnr Car Car Car Car, BVI fnr Car Car Car Car Char,Footnotes refss,callout,callout Char Char,Footnotes refss Char Char,ftref Char Char Char,ftref Char Char Char Char"/>
    <w:link w:val="Char2"/>
    <w:qFormat/>
    <w:rsid w:val="000B6E4C"/>
    <w:rPr>
      <w:rFonts w:ascii="Times New Roman" w:hAnsi="Times New Roman"/>
      <w:sz w:val="27"/>
      <w:vertAlign w:val="superscript"/>
    </w:rPr>
  </w:style>
  <w:style w:type="paragraph" w:styleId="FootnoteText">
    <w:name w:val="footnote text"/>
    <w:aliases w:val=" Char Char Char, Char Char Char Char Char Char, Char Char Char Char Char Char Char Char Char Char, Char Char Char Char Char Char Char Char Char, Char Char Char Char Char Char Char Char,Footnote Text Char Char Char,Ch,Footnote Text Char Cha"/>
    <w:basedOn w:val="Normal"/>
    <w:link w:val="FootnoteTextChar1"/>
    <w:qFormat/>
    <w:rsid w:val="000B6E4C"/>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en-GB"/>
    </w:rPr>
  </w:style>
  <w:style w:type="character" w:customStyle="1" w:styleId="FootnoteTextChar">
    <w:name w:val="Footnote Text Char"/>
    <w:basedOn w:val="DefaultParagraphFont"/>
    <w:uiPriority w:val="99"/>
    <w:semiHidden/>
    <w:rsid w:val="000B6E4C"/>
    <w:rPr>
      <w:sz w:val="20"/>
      <w:szCs w:val="20"/>
    </w:rPr>
  </w:style>
  <w:style w:type="character" w:styleId="Hyperlink">
    <w:name w:val="Hyperlink"/>
    <w:uiPriority w:val="99"/>
    <w:rsid w:val="000B6E4C"/>
    <w:rPr>
      <w:color w:val="0000FF"/>
      <w:u w:val="single"/>
    </w:rPr>
  </w:style>
  <w:style w:type="character" w:customStyle="1" w:styleId="objective">
    <w:name w:val="objective"/>
    <w:basedOn w:val="DefaultParagraphFont"/>
    <w:rsid w:val="000B6E4C"/>
  </w:style>
  <w:style w:type="character" w:customStyle="1" w:styleId="FootnoteTextChar1">
    <w:name w:val="Footnote Text Char1"/>
    <w:aliases w:val=" Char Char Char Char, Char Char Char Char Char Char Char, Char Char Char Char Char Char Char Char Char Char Char, Char Char Char Char Char Char Char Char Char Char1, Char Char Char Char Char Char Char Char Char1,Ch Char"/>
    <w:link w:val="FootnoteText"/>
    <w:locked/>
    <w:rsid w:val="000B6E4C"/>
    <w:rPr>
      <w:rFonts w:ascii="Times New Roman" w:eastAsia="Times New Roman" w:hAnsi="Times New Roman" w:cs="Times New Roman"/>
      <w:snapToGrid w:val="0"/>
      <w:spacing w:val="-2"/>
      <w:sz w:val="20"/>
      <w:szCs w:val="20"/>
      <w:lang w:val="en-GB"/>
    </w:rPr>
  </w:style>
  <w:style w:type="paragraph" w:customStyle="1" w:styleId="Char2">
    <w:name w:val="Char2"/>
    <w:basedOn w:val="Normal"/>
    <w:link w:val="FootnoteReference"/>
    <w:rsid w:val="000B6E4C"/>
    <w:pPr>
      <w:spacing w:after="160" w:line="240" w:lineRule="exact"/>
    </w:pPr>
    <w:rPr>
      <w:rFonts w:ascii="Times New Roman" w:hAnsi="Times New Roman"/>
      <w:sz w:val="27"/>
      <w:vertAlign w:val="superscript"/>
    </w:rPr>
  </w:style>
  <w:style w:type="paragraph" w:styleId="ListParagraph">
    <w:name w:val="List Paragraph"/>
    <w:basedOn w:val="Normal"/>
    <w:uiPriority w:val="34"/>
    <w:qFormat/>
    <w:rsid w:val="00890D15"/>
    <w:pPr>
      <w:ind w:left="720"/>
      <w:contextualSpacing/>
    </w:pPr>
  </w:style>
  <w:style w:type="table" w:styleId="TableGrid">
    <w:name w:val="Table Grid"/>
    <w:basedOn w:val="TableNormal"/>
    <w:uiPriority w:val="59"/>
    <w:rsid w:val="0031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3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D6E"/>
  </w:style>
  <w:style w:type="paragraph" w:styleId="Footer">
    <w:name w:val="footer"/>
    <w:basedOn w:val="Normal"/>
    <w:link w:val="FooterChar"/>
    <w:uiPriority w:val="99"/>
    <w:unhideWhenUsed/>
    <w:rsid w:val="00073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D6E"/>
  </w:style>
  <w:style w:type="paragraph" w:styleId="BalloonText">
    <w:name w:val="Balloon Text"/>
    <w:basedOn w:val="Normal"/>
    <w:link w:val="BalloonTextChar"/>
    <w:uiPriority w:val="99"/>
    <w:semiHidden/>
    <w:unhideWhenUsed/>
    <w:rsid w:val="0007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D6E"/>
    <w:rPr>
      <w:rFonts w:ascii="Tahoma" w:hAnsi="Tahoma" w:cs="Tahoma"/>
      <w:sz w:val="16"/>
      <w:szCs w:val="16"/>
    </w:rPr>
  </w:style>
  <w:style w:type="paragraph" w:styleId="NormalWeb">
    <w:name w:val="Normal (Web)"/>
    <w:basedOn w:val="Normal"/>
    <w:uiPriority w:val="99"/>
    <w:semiHidden/>
    <w:unhideWhenUsed/>
    <w:rsid w:val="00CA42F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93390">
      <w:bodyDiv w:val="1"/>
      <w:marLeft w:val="0"/>
      <w:marRight w:val="0"/>
      <w:marTop w:val="0"/>
      <w:marBottom w:val="0"/>
      <w:divBdr>
        <w:top w:val="none" w:sz="0" w:space="0" w:color="auto"/>
        <w:left w:val="none" w:sz="0" w:space="0" w:color="auto"/>
        <w:bottom w:val="none" w:sz="0" w:space="0" w:color="auto"/>
        <w:right w:val="none" w:sz="0" w:space="0" w:color="auto"/>
      </w:divBdr>
    </w:div>
    <w:div w:id="1053040446">
      <w:bodyDiv w:val="1"/>
      <w:marLeft w:val="0"/>
      <w:marRight w:val="0"/>
      <w:marTop w:val="0"/>
      <w:marBottom w:val="0"/>
      <w:divBdr>
        <w:top w:val="none" w:sz="0" w:space="0" w:color="auto"/>
        <w:left w:val="none" w:sz="0" w:space="0" w:color="auto"/>
        <w:bottom w:val="none" w:sz="0" w:space="0" w:color="auto"/>
        <w:right w:val="none" w:sz="0" w:space="0" w:color="auto"/>
      </w:divBdr>
      <w:divsChild>
        <w:div w:id="1372726835">
          <w:marLeft w:val="0"/>
          <w:marRight w:val="0"/>
          <w:marTop w:val="0"/>
          <w:marBottom w:val="0"/>
          <w:divBdr>
            <w:top w:val="none" w:sz="0" w:space="0" w:color="auto"/>
            <w:left w:val="none" w:sz="0" w:space="0" w:color="auto"/>
            <w:bottom w:val="none" w:sz="0" w:space="0" w:color="auto"/>
            <w:right w:val="none" w:sz="0" w:space="0" w:color="auto"/>
          </w:divBdr>
          <w:divsChild>
            <w:div w:id="1910340742">
              <w:marLeft w:val="0"/>
              <w:marRight w:val="0"/>
              <w:marTop w:val="0"/>
              <w:marBottom w:val="0"/>
              <w:divBdr>
                <w:top w:val="none" w:sz="0" w:space="0" w:color="auto"/>
                <w:left w:val="none" w:sz="0" w:space="0" w:color="auto"/>
                <w:bottom w:val="none" w:sz="0" w:space="0" w:color="auto"/>
                <w:right w:val="none" w:sz="0" w:space="0" w:color="auto"/>
              </w:divBdr>
              <w:divsChild>
                <w:div w:id="822240309">
                  <w:marLeft w:val="0"/>
                  <w:marRight w:val="0"/>
                  <w:marTop w:val="0"/>
                  <w:marBottom w:val="0"/>
                  <w:divBdr>
                    <w:top w:val="none" w:sz="0" w:space="0" w:color="auto"/>
                    <w:left w:val="none" w:sz="0" w:space="0" w:color="auto"/>
                    <w:bottom w:val="none" w:sz="0" w:space="0" w:color="auto"/>
                    <w:right w:val="none" w:sz="0" w:space="0" w:color="auto"/>
                  </w:divBdr>
                  <w:divsChild>
                    <w:div w:id="67804239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294557530">
      <w:bodyDiv w:val="1"/>
      <w:marLeft w:val="0"/>
      <w:marRight w:val="0"/>
      <w:marTop w:val="0"/>
      <w:marBottom w:val="0"/>
      <w:divBdr>
        <w:top w:val="none" w:sz="0" w:space="0" w:color="auto"/>
        <w:left w:val="none" w:sz="0" w:space="0" w:color="auto"/>
        <w:bottom w:val="none" w:sz="0" w:space="0" w:color="auto"/>
        <w:right w:val="none" w:sz="0" w:space="0" w:color="auto"/>
      </w:divBdr>
      <w:divsChild>
        <w:div w:id="2124153311">
          <w:marLeft w:val="0"/>
          <w:marRight w:val="0"/>
          <w:marTop w:val="0"/>
          <w:marBottom w:val="0"/>
          <w:divBdr>
            <w:top w:val="none" w:sz="0" w:space="0" w:color="auto"/>
            <w:left w:val="none" w:sz="0" w:space="0" w:color="auto"/>
            <w:bottom w:val="none" w:sz="0" w:space="0" w:color="auto"/>
            <w:right w:val="none" w:sz="0" w:space="0" w:color="auto"/>
          </w:divBdr>
          <w:divsChild>
            <w:div w:id="189690618">
              <w:marLeft w:val="0"/>
              <w:marRight w:val="0"/>
              <w:marTop w:val="0"/>
              <w:marBottom w:val="0"/>
              <w:divBdr>
                <w:top w:val="none" w:sz="0" w:space="0" w:color="auto"/>
                <w:left w:val="none" w:sz="0" w:space="0" w:color="auto"/>
                <w:bottom w:val="none" w:sz="0" w:space="0" w:color="auto"/>
                <w:right w:val="none" w:sz="0" w:space="0" w:color="auto"/>
              </w:divBdr>
              <w:divsChild>
                <w:div w:id="796609905">
                  <w:marLeft w:val="0"/>
                  <w:marRight w:val="0"/>
                  <w:marTop w:val="0"/>
                  <w:marBottom w:val="0"/>
                  <w:divBdr>
                    <w:top w:val="none" w:sz="0" w:space="0" w:color="auto"/>
                    <w:left w:val="none" w:sz="0" w:space="0" w:color="auto"/>
                    <w:bottom w:val="none" w:sz="0" w:space="0" w:color="auto"/>
                    <w:right w:val="none" w:sz="0" w:space="0" w:color="auto"/>
                  </w:divBdr>
                  <w:divsChild>
                    <w:div w:id="1615016144">
                      <w:marLeft w:val="0"/>
                      <w:marRight w:val="0"/>
                      <w:marTop w:val="0"/>
                      <w:marBottom w:val="0"/>
                      <w:divBdr>
                        <w:top w:val="none" w:sz="0" w:space="0" w:color="auto"/>
                        <w:left w:val="none" w:sz="0" w:space="0" w:color="auto"/>
                        <w:bottom w:val="none" w:sz="0" w:space="0" w:color="auto"/>
                        <w:right w:val="none" w:sz="0" w:space="0" w:color="auto"/>
                      </w:divBdr>
                      <w:divsChild>
                        <w:div w:id="1008483328">
                          <w:marLeft w:val="0"/>
                          <w:marRight w:val="0"/>
                          <w:marTop w:val="0"/>
                          <w:marBottom w:val="0"/>
                          <w:divBdr>
                            <w:top w:val="none" w:sz="0" w:space="0" w:color="auto"/>
                            <w:left w:val="none" w:sz="0" w:space="0" w:color="auto"/>
                            <w:bottom w:val="none" w:sz="0" w:space="0" w:color="auto"/>
                            <w:right w:val="none" w:sz="0" w:space="0" w:color="auto"/>
                          </w:divBdr>
                          <w:divsChild>
                            <w:div w:id="1085109144">
                              <w:marLeft w:val="0"/>
                              <w:marRight w:val="0"/>
                              <w:marTop w:val="0"/>
                              <w:marBottom w:val="0"/>
                              <w:divBdr>
                                <w:top w:val="none" w:sz="0" w:space="0" w:color="auto"/>
                                <w:left w:val="none" w:sz="0" w:space="0" w:color="auto"/>
                                <w:bottom w:val="none" w:sz="0" w:space="0" w:color="auto"/>
                                <w:right w:val="none" w:sz="0" w:space="0" w:color="auto"/>
                              </w:divBdr>
                              <w:divsChild>
                                <w:div w:id="509294060">
                                  <w:marLeft w:val="0"/>
                                  <w:marRight w:val="0"/>
                                  <w:marTop w:val="0"/>
                                  <w:marBottom w:val="0"/>
                                  <w:divBdr>
                                    <w:top w:val="none" w:sz="0" w:space="0" w:color="auto"/>
                                    <w:left w:val="none" w:sz="0" w:space="0" w:color="auto"/>
                                    <w:bottom w:val="none" w:sz="0" w:space="0" w:color="auto"/>
                                    <w:right w:val="none" w:sz="0" w:space="0" w:color="auto"/>
                                  </w:divBdr>
                                  <w:divsChild>
                                    <w:div w:id="446239769">
                                      <w:marLeft w:val="0"/>
                                      <w:marRight w:val="0"/>
                                      <w:marTop w:val="0"/>
                                      <w:marBottom w:val="0"/>
                                      <w:divBdr>
                                        <w:top w:val="none" w:sz="0" w:space="0" w:color="auto"/>
                                        <w:left w:val="none" w:sz="0" w:space="0" w:color="auto"/>
                                        <w:bottom w:val="none" w:sz="0" w:space="0" w:color="auto"/>
                                        <w:right w:val="none" w:sz="0" w:space="0" w:color="auto"/>
                                      </w:divBdr>
                                      <w:divsChild>
                                        <w:div w:id="390156644">
                                          <w:marLeft w:val="0"/>
                                          <w:marRight w:val="0"/>
                                          <w:marTop w:val="0"/>
                                          <w:marBottom w:val="0"/>
                                          <w:divBdr>
                                            <w:top w:val="none" w:sz="0" w:space="0" w:color="auto"/>
                                            <w:left w:val="none" w:sz="0" w:space="0" w:color="auto"/>
                                            <w:bottom w:val="none" w:sz="0" w:space="0" w:color="auto"/>
                                            <w:right w:val="none" w:sz="0" w:space="0" w:color="auto"/>
                                          </w:divBdr>
                                          <w:divsChild>
                                            <w:div w:id="1960141044">
                                              <w:marLeft w:val="0"/>
                                              <w:marRight w:val="0"/>
                                              <w:marTop w:val="0"/>
                                              <w:marBottom w:val="0"/>
                                              <w:divBdr>
                                                <w:top w:val="none" w:sz="0" w:space="0" w:color="auto"/>
                                                <w:left w:val="none" w:sz="0" w:space="0" w:color="auto"/>
                                                <w:bottom w:val="none" w:sz="0" w:space="0" w:color="auto"/>
                                                <w:right w:val="none" w:sz="0" w:space="0" w:color="auto"/>
                                              </w:divBdr>
                                              <w:divsChild>
                                                <w:div w:id="310334076">
                                                  <w:marLeft w:val="0"/>
                                                  <w:marRight w:val="0"/>
                                                  <w:marTop w:val="0"/>
                                                  <w:marBottom w:val="0"/>
                                                  <w:divBdr>
                                                    <w:top w:val="none" w:sz="0" w:space="0" w:color="auto"/>
                                                    <w:left w:val="none" w:sz="0" w:space="0" w:color="auto"/>
                                                    <w:bottom w:val="none" w:sz="0" w:space="0" w:color="auto"/>
                                                    <w:right w:val="none" w:sz="0" w:space="0" w:color="auto"/>
                                                  </w:divBdr>
                                                  <w:divsChild>
                                                    <w:div w:id="20526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GANGLOFF Camille</dc:creator>
  <cp:lastModifiedBy>SIMANIC Nada</cp:lastModifiedBy>
  <cp:revision>2</cp:revision>
  <cp:lastPrinted>2019-08-08T09:25:00Z</cp:lastPrinted>
  <dcterms:created xsi:type="dcterms:W3CDTF">2020-07-10T13:06:00Z</dcterms:created>
  <dcterms:modified xsi:type="dcterms:W3CDTF">2020-07-10T13:06:00Z</dcterms:modified>
</cp:coreProperties>
</file>