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1F4150" w14:textId="77777777" w:rsidR="00A7426A" w:rsidRDefault="00A7426A" w:rsidP="00A7426A">
      <w:pPr>
        <w:ind w:left="-284" w:right="-188"/>
        <w:jc w:val="center"/>
        <w:rPr>
          <w:rFonts w:ascii="Arial" w:eastAsia="Calibri" w:hAnsi="Arial" w:cs="Arial"/>
          <w:b/>
          <w:color w:val="44546A" w:themeColor="text2"/>
          <w:sz w:val="24"/>
        </w:rPr>
      </w:pPr>
      <w:bookmarkStart w:id="0" w:name="_Hlk31634928"/>
      <w:bookmarkStart w:id="1" w:name="_Hlk56780902"/>
      <w:r w:rsidRPr="007B7195">
        <w:rPr>
          <w:rFonts w:ascii="Arial" w:eastAsia="Calibri" w:hAnsi="Arial" w:cs="Arial"/>
          <w:b/>
          <w:color w:val="44546A" w:themeColor="text2"/>
          <w:sz w:val="24"/>
        </w:rPr>
        <w:t xml:space="preserve">Formation sur le contrôle interne dans les municipalités  </w:t>
      </w:r>
    </w:p>
    <w:p w14:paraId="5BA1E281" w14:textId="4483B14B" w:rsidR="00A7426A" w:rsidRDefault="00A7426A" w:rsidP="00A7426A">
      <w:pPr>
        <w:ind w:left="-284" w:right="-188"/>
        <w:jc w:val="center"/>
        <w:rPr>
          <w:rFonts w:ascii="Arial" w:eastAsia="Calibri" w:hAnsi="Arial" w:cs="Arial"/>
          <w:b/>
          <w:color w:val="44546A" w:themeColor="text2"/>
          <w:sz w:val="24"/>
        </w:rPr>
      </w:pPr>
      <w:r w:rsidRPr="007B7195">
        <w:rPr>
          <w:rFonts w:ascii="Arial" w:eastAsia="Calibri" w:hAnsi="Arial" w:cs="Arial"/>
          <w:b/>
          <w:color w:val="44546A" w:themeColor="text2"/>
          <w:sz w:val="24"/>
        </w:rPr>
        <w:t>Contexte et Programme</w:t>
      </w:r>
    </w:p>
    <w:p w14:paraId="0B3553AE" w14:textId="77777777" w:rsidR="00554D11" w:rsidRPr="007B7195" w:rsidRDefault="00554D11" w:rsidP="00A7426A">
      <w:pPr>
        <w:ind w:left="-284" w:right="-188"/>
        <w:jc w:val="center"/>
        <w:rPr>
          <w:rFonts w:ascii="Arial" w:eastAsia="Calibri" w:hAnsi="Arial" w:cs="Arial"/>
          <w:b/>
          <w:color w:val="44546A" w:themeColor="text2"/>
          <w:sz w:val="24"/>
        </w:rPr>
      </w:pPr>
    </w:p>
    <w:p w14:paraId="6C7B6446" w14:textId="3B06FFD8" w:rsidR="00A7426A" w:rsidRPr="00A7426A" w:rsidRDefault="00554D11" w:rsidP="00A7426A">
      <w:pPr>
        <w:jc w:val="center"/>
        <w:rPr>
          <w:rFonts w:ascii="Arial" w:eastAsia="Calibri" w:hAnsi="Arial" w:cs="Arial"/>
          <w:bCs/>
          <w:i/>
          <w:iCs/>
          <w:sz w:val="24"/>
        </w:rPr>
      </w:pPr>
      <w:r>
        <w:rPr>
          <w:rFonts w:ascii="Arial" w:eastAsia="Calibri" w:hAnsi="Arial" w:cs="Arial"/>
          <w:bCs/>
          <w:i/>
          <w:iCs/>
          <w:szCs w:val="20"/>
        </w:rPr>
        <w:t>5,6 et 7 juillet 2021</w:t>
      </w:r>
      <w:r w:rsidR="00A7426A" w:rsidRPr="00A7426A">
        <w:rPr>
          <w:rFonts w:ascii="Arial" w:eastAsia="Calibri" w:hAnsi="Arial" w:cs="Arial"/>
          <w:bCs/>
          <w:i/>
          <w:iCs/>
          <w:szCs w:val="20"/>
        </w:rPr>
        <w:t xml:space="preserve"> - sur la plateforme </w:t>
      </w:r>
      <w:proofErr w:type="spellStart"/>
      <w:r w:rsidR="00A7426A" w:rsidRPr="00A7426A">
        <w:rPr>
          <w:rFonts w:ascii="Arial" w:eastAsia="Calibri" w:hAnsi="Arial" w:cs="Arial"/>
          <w:bCs/>
          <w:i/>
          <w:iCs/>
          <w:szCs w:val="20"/>
        </w:rPr>
        <w:t>BlueJeans</w:t>
      </w:r>
      <w:proofErr w:type="spellEnd"/>
      <w:r>
        <w:rPr>
          <w:rFonts w:ascii="Arial" w:eastAsia="Calibri" w:hAnsi="Arial" w:cs="Arial"/>
          <w:bCs/>
          <w:i/>
          <w:iCs/>
          <w:szCs w:val="20"/>
        </w:rPr>
        <w:t xml:space="preserve"> (</w:t>
      </w:r>
      <w:hyperlink r:id="rId8" w:history="1">
        <w:r>
          <w:rPr>
            <w:rStyle w:val="Hyperlink"/>
          </w:rPr>
          <w:t>https://bluejeans.com/382829614/0236</w:t>
        </w:r>
      </w:hyperlink>
      <w:r>
        <w:t>)</w:t>
      </w:r>
    </w:p>
    <w:p w14:paraId="4ED1BE1E" w14:textId="193A5D4C" w:rsidR="00A7426A" w:rsidRPr="00554D11" w:rsidRDefault="00A7426A" w:rsidP="00A7426A">
      <w:pPr>
        <w:jc w:val="center"/>
        <w:rPr>
          <w:rFonts w:ascii="Arial" w:eastAsia="Calibri" w:hAnsi="Arial" w:cs="Arial"/>
          <w:bCs/>
          <w:sz w:val="12"/>
          <w:szCs w:val="10"/>
        </w:rPr>
      </w:pPr>
    </w:p>
    <w:p w14:paraId="7F7D8138" w14:textId="77777777" w:rsidR="00A7426A" w:rsidRPr="007B7195" w:rsidRDefault="00A7426A" w:rsidP="00A7426A">
      <w:pPr>
        <w:rPr>
          <w:rFonts w:ascii="Arial" w:eastAsia="Calibri" w:hAnsi="Arial" w:cs="Arial"/>
          <w:b/>
          <w:color w:val="44546A" w:themeColor="text2"/>
          <w:szCs w:val="20"/>
        </w:rPr>
      </w:pPr>
      <w:r w:rsidRPr="007B7195">
        <w:rPr>
          <w:rFonts w:ascii="Arial" w:eastAsia="Calibri" w:hAnsi="Arial" w:cs="Arial"/>
          <w:b/>
          <w:color w:val="44546A" w:themeColor="text2"/>
          <w:szCs w:val="20"/>
        </w:rPr>
        <w:t>Contexte</w:t>
      </w:r>
    </w:p>
    <w:p w14:paraId="0CD341A0" w14:textId="79485B0E" w:rsidR="00A7426A" w:rsidRDefault="00A7426A" w:rsidP="00A7426A">
      <w:pPr>
        <w:jc w:val="both"/>
        <w:rPr>
          <w:rFonts w:ascii="Arial" w:eastAsia="Calibri" w:hAnsi="Arial" w:cs="Arial"/>
        </w:rPr>
      </w:pPr>
      <w:r w:rsidRPr="009A1FBE">
        <w:rPr>
          <w:rFonts w:ascii="Arial" w:eastAsia="Calibri" w:hAnsi="Arial" w:cs="Arial"/>
        </w:rPr>
        <w:t>D’après l’article 182 de la section 7 de l’exécution et du règlement du budget du Code des collectivités locales, « la collectivité locale se charge de créer une unité d’audit et de contrôle interne ». La mise en œuvre de ce contrôle permettrait de contribuer à la bonne gouvernance en prévenant les risques, un meilleur suivi et donc une plus grande maitrise de l’action publique locale, et permettrait finalement d’assurer un meilleur rendement des services publics locaux.</w:t>
      </w:r>
    </w:p>
    <w:p w14:paraId="67DA3207" w14:textId="77777777" w:rsidR="00554D11" w:rsidRPr="00554D11" w:rsidRDefault="00554D11" w:rsidP="00A7426A">
      <w:pPr>
        <w:jc w:val="both"/>
        <w:rPr>
          <w:rFonts w:ascii="Arial" w:eastAsia="Calibri" w:hAnsi="Arial" w:cs="Arial"/>
          <w:sz w:val="12"/>
          <w:szCs w:val="12"/>
        </w:rPr>
      </w:pPr>
    </w:p>
    <w:p w14:paraId="1F894967" w14:textId="77777777" w:rsidR="00A7426A" w:rsidRPr="00721B88" w:rsidRDefault="00A7426A" w:rsidP="00A7426A">
      <w:pPr>
        <w:jc w:val="both"/>
        <w:rPr>
          <w:rFonts w:ascii="Arial" w:eastAsia="Calibri" w:hAnsi="Arial" w:cs="Arial"/>
          <w:b/>
          <w:bCs/>
          <w:color w:val="44546A" w:themeColor="text2"/>
        </w:rPr>
      </w:pPr>
      <w:r w:rsidRPr="00721B88">
        <w:rPr>
          <w:rFonts w:ascii="Arial" w:eastAsia="Calibri" w:hAnsi="Arial" w:cs="Arial"/>
          <w:b/>
          <w:bCs/>
          <w:color w:val="44546A" w:themeColor="text2"/>
        </w:rPr>
        <w:t>Objectifs</w:t>
      </w:r>
    </w:p>
    <w:p w14:paraId="70D1C9AF" w14:textId="77777777" w:rsidR="00A7426A" w:rsidRDefault="00A7426A" w:rsidP="00A7426A">
      <w:pPr>
        <w:jc w:val="both"/>
        <w:rPr>
          <w:rFonts w:ascii="Arial" w:eastAsia="Calibri" w:hAnsi="Arial" w:cs="Arial"/>
        </w:rPr>
      </w:pPr>
      <w:r w:rsidRPr="009A1FBE">
        <w:rPr>
          <w:rFonts w:ascii="Arial" w:eastAsia="Calibri" w:hAnsi="Arial" w:cs="Arial"/>
        </w:rPr>
        <w:t xml:space="preserve">La présente formation aura pour objectif de renforcer les compétences des </w:t>
      </w:r>
      <w:proofErr w:type="spellStart"/>
      <w:r w:rsidRPr="009A1FBE">
        <w:rPr>
          <w:rFonts w:ascii="Arial" w:eastAsia="Calibri" w:hAnsi="Arial" w:cs="Arial"/>
        </w:rPr>
        <w:t>élu·e·s</w:t>
      </w:r>
      <w:proofErr w:type="spellEnd"/>
      <w:r w:rsidRPr="009A1FBE">
        <w:rPr>
          <w:rFonts w:ascii="Arial" w:eastAsia="Calibri" w:hAnsi="Arial" w:cs="Arial"/>
        </w:rPr>
        <w:t xml:space="preserve"> et des </w:t>
      </w:r>
      <w:proofErr w:type="spellStart"/>
      <w:r w:rsidRPr="009A1FBE">
        <w:rPr>
          <w:rFonts w:ascii="Arial" w:eastAsia="Calibri" w:hAnsi="Arial" w:cs="Arial"/>
        </w:rPr>
        <w:t>agent·e·s</w:t>
      </w:r>
      <w:proofErr w:type="spellEnd"/>
      <w:r w:rsidRPr="009A1FBE">
        <w:rPr>
          <w:rFonts w:ascii="Arial" w:eastAsia="Calibri" w:hAnsi="Arial" w:cs="Arial"/>
        </w:rPr>
        <w:t xml:space="preserve"> des municipalités tunisiennes en les sensibilisant à l’importance de la conduite du contrôle interne et </w:t>
      </w:r>
      <w:r>
        <w:rPr>
          <w:rFonts w:ascii="Arial" w:eastAsia="Calibri" w:hAnsi="Arial" w:cs="Arial"/>
        </w:rPr>
        <w:t xml:space="preserve">plus particulièrement : </w:t>
      </w:r>
    </w:p>
    <w:p w14:paraId="3B33338A" w14:textId="77777777" w:rsidR="00A7426A" w:rsidRPr="007B7195" w:rsidRDefault="00A7426A" w:rsidP="00A7426A">
      <w:pPr>
        <w:pStyle w:val="ListParagraph"/>
        <w:numPr>
          <w:ilvl w:val="0"/>
          <w:numId w:val="1"/>
        </w:numPr>
        <w:jc w:val="both"/>
        <w:rPr>
          <w:rFonts w:ascii="Arial" w:eastAsia="Calibri" w:hAnsi="Arial" w:cs="Arial"/>
        </w:rPr>
      </w:pPr>
      <w:proofErr w:type="gramStart"/>
      <w:r w:rsidRPr="007B7195">
        <w:rPr>
          <w:rFonts w:ascii="Arial" w:eastAsia="Calibri" w:hAnsi="Arial" w:cs="Arial"/>
        </w:rPr>
        <w:t>de</w:t>
      </w:r>
      <w:proofErr w:type="gramEnd"/>
      <w:r w:rsidRPr="007B7195">
        <w:rPr>
          <w:rFonts w:ascii="Arial" w:eastAsia="Calibri" w:hAnsi="Arial" w:cs="Arial"/>
        </w:rPr>
        <w:t xml:space="preserve"> définir les notions de base du contrôle interne</w:t>
      </w:r>
      <w:r w:rsidRPr="00E64BEB">
        <w:rPr>
          <w:rFonts w:ascii="Arial" w:eastAsia="Calibri" w:hAnsi="Arial" w:cs="Arial"/>
        </w:rPr>
        <w:t> </w:t>
      </w:r>
      <w:r w:rsidRPr="007B7195">
        <w:rPr>
          <w:rFonts w:ascii="Arial" w:eastAsia="Calibri" w:hAnsi="Arial" w:cs="Arial"/>
        </w:rPr>
        <w:t xml:space="preserve">; </w:t>
      </w:r>
    </w:p>
    <w:p w14:paraId="364CFD71" w14:textId="77777777" w:rsidR="00A7426A" w:rsidRPr="007B7195" w:rsidRDefault="00A7426A" w:rsidP="00A7426A">
      <w:pPr>
        <w:pStyle w:val="ListParagraph"/>
        <w:numPr>
          <w:ilvl w:val="0"/>
          <w:numId w:val="1"/>
        </w:numPr>
        <w:jc w:val="both"/>
        <w:rPr>
          <w:rFonts w:ascii="Arial" w:eastAsia="Calibri" w:hAnsi="Arial" w:cs="Arial"/>
        </w:rPr>
      </w:pPr>
      <w:proofErr w:type="gramStart"/>
      <w:r w:rsidRPr="007B7195">
        <w:rPr>
          <w:rFonts w:ascii="Arial" w:eastAsia="Calibri" w:hAnsi="Arial" w:cs="Arial"/>
        </w:rPr>
        <w:t>d’identifier</w:t>
      </w:r>
      <w:proofErr w:type="gramEnd"/>
      <w:r w:rsidRPr="007B7195">
        <w:rPr>
          <w:rFonts w:ascii="Arial" w:eastAsia="Calibri" w:hAnsi="Arial" w:cs="Arial"/>
        </w:rPr>
        <w:t xml:space="preserve"> les </w:t>
      </w:r>
      <w:r>
        <w:rPr>
          <w:rFonts w:ascii="Arial" w:eastAsia="Calibri" w:hAnsi="Arial" w:cs="Arial"/>
        </w:rPr>
        <w:t xml:space="preserve">enjeux, les </w:t>
      </w:r>
      <w:r w:rsidRPr="007B7195">
        <w:rPr>
          <w:rFonts w:ascii="Arial" w:eastAsia="Calibri" w:hAnsi="Arial" w:cs="Arial"/>
        </w:rPr>
        <w:t>objectifs, les composantes et les principes d’un dispositif de contrôle interne efficace</w:t>
      </w:r>
      <w:r w:rsidRPr="00E64BEB">
        <w:rPr>
          <w:rFonts w:ascii="Arial" w:eastAsia="Calibri" w:hAnsi="Arial" w:cs="Arial"/>
        </w:rPr>
        <w:t> </w:t>
      </w:r>
      <w:r w:rsidRPr="007B7195">
        <w:rPr>
          <w:rFonts w:ascii="Arial" w:eastAsia="Calibri" w:hAnsi="Arial" w:cs="Arial"/>
        </w:rPr>
        <w:t xml:space="preserve">; </w:t>
      </w:r>
    </w:p>
    <w:p w14:paraId="42A39664" w14:textId="77777777" w:rsidR="00A7426A" w:rsidRPr="007B7195" w:rsidRDefault="00A7426A" w:rsidP="00A7426A">
      <w:pPr>
        <w:pStyle w:val="ListParagraph"/>
        <w:numPr>
          <w:ilvl w:val="0"/>
          <w:numId w:val="1"/>
        </w:numPr>
        <w:jc w:val="both"/>
        <w:rPr>
          <w:rFonts w:ascii="Arial" w:eastAsia="Calibri" w:hAnsi="Arial" w:cs="Arial"/>
        </w:rPr>
      </w:pPr>
      <w:proofErr w:type="gramStart"/>
      <w:r w:rsidRPr="007B7195">
        <w:rPr>
          <w:rFonts w:ascii="Arial" w:eastAsia="Calibri" w:hAnsi="Arial" w:cs="Arial"/>
        </w:rPr>
        <w:t>de</w:t>
      </w:r>
      <w:proofErr w:type="gramEnd"/>
      <w:r w:rsidRPr="007B7195">
        <w:rPr>
          <w:rFonts w:ascii="Arial" w:eastAsia="Calibri" w:hAnsi="Arial" w:cs="Arial"/>
        </w:rPr>
        <w:t xml:space="preserve"> connaître les rôles et responsabilités des différents acteurs d’une municipalité en matière de contrôle interne</w:t>
      </w:r>
      <w:r w:rsidRPr="00E64BEB">
        <w:rPr>
          <w:rFonts w:ascii="Arial" w:eastAsia="Calibri" w:hAnsi="Arial" w:cs="Arial"/>
        </w:rPr>
        <w:t> </w:t>
      </w:r>
      <w:r w:rsidRPr="007B7195">
        <w:rPr>
          <w:rFonts w:ascii="Arial" w:eastAsia="Calibri" w:hAnsi="Arial" w:cs="Arial"/>
        </w:rPr>
        <w:t xml:space="preserve">; </w:t>
      </w:r>
      <w:r>
        <w:rPr>
          <w:rFonts w:ascii="Arial" w:eastAsia="Calibri" w:hAnsi="Arial" w:cs="Arial"/>
        </w:rPr>
        <w:t>et</w:t>
      </w:r>
    </w:p>
    <w:p w14:paraId="18CD58F7" w14:textId="77777777" w:rsidR="00A7426A" w:rsidRPr="007B7195" w:rsidRDefault="00A7426A" w:rsidP="00A7426A">
      <w:pPr>
        <w:pStyle w:val="ListParagraph"/>
        <w:numPr>
          <w:ilvl w:val="0"/>
          <w:numId w:val="1"/>
        </w:numPr>
        <w:jc w:val="both"/>
        <w:rPr>
          <w:rFonts w:ascii="Arial" w:eastAsia="Calibri" w:hAnsi="Arial" w:cs="Arial"/>
        </w:rPr>
      </w:pPr>
      <w:proofErr w:type="gramStart"/>
      <w:r w:rsidRPr="007B7195">
        <w:rPr>
          <w:rFonts w:ascii="Arial" w:eastAsia="Calibri" w:hAnsi="Arial" w:cs="Arial"/>
        </w:rPr>
        <w:t>d’accompagner</w:t>
      </w:r>
      <w:proofErr w:type="gramEnd"/>
      <w:r w:rsidRPr="007B7195">
        <w:rPr>
          <w:rFonts w:ascii="Arial" w:eastAsia="Calibri" w:hAnsi="Arial" w:cs="Arial"/>
        </w:rPr>
        <w:t xml:space="preserve"> les </w:t>
      </w:r>
      <w:proofErr w:type="spellStart"/>
      <w:r w:rsidRPr="00E839CB">
        <w:rPr>
          <w:rFonts w:ascii="Arial" w:eastAsia="Calibri" w:hAnsi="Arial" w:cs="Arial"/>
        </w:rPr>
        <w:t>élu·e·s</w:t>
      </w:r>
      <w:proofErr w:type="spellEnd"/>
      <w:r w:rsidRPr="00E839CB">
        <w:rPr>
          <w:rFonts w:ascii="Arial" w:eastAsia="Calibri" w:hAnsi="Arial" w:cs="Arial"/>
        </w:rPr>
        <w:t xml:space="preserve"> locaux ·ales et l’administration municipale </w:t>
      </w:r>
      <w:r w:rsidRPr="007B7195">
        <w:rPr>
          <w:rFonts w:ascii="Arial" w:eastAsia="Calibri" w:hAnsi="Arial" w:cs="Arial"/>
        </w:rPr>
        <w:t xml:space="preserve">dans l’évaluation de l’efficacité des systèmes de contrôle interne de leurs municipalités. </w:t>
      </w:r>
    </w:p>
    <w:p w14:paraId="18DABF05" w14:textId="17D7EDFD" w:rsidR="00A7426A" w:rsidRDefault="00A7426A" w:rsidP="00A7426A">
      <w:pPr>
        <w:jc w:val="both"/>
        <w:rPr>
          <w:rFonts w:ascii="Arial" w:eastAsia="Calibri" w:hAnsi="Arial" w:cs="Arial"/>
        </w:rPr>
      </w:pPr>
      <w:r w:rsidRPr="009A1FBE">
        <w:rPr>
          <w:rFonts w:ascii="Arial" w:eastAsia="Calibri" w:hAnsi="Arial" w:cs="Arial"/>
        </w:rPr>
        <w:t>Cette activité contribuera à des comportements et pratiques plus conformes aux normes at aux principes de bonne gouvernance (responsabilité, transparence, intégrité, respect et non-discrimination, mérite et impartialité).</w:t>
      </w:r>
    </w:p>
    <w:p w14:paraId="51D1CA17" w14:textId="77777777" w:rsidR="00554D11" w:rsidRPr="00554D11" w:rsidRDefault="00554D11" w:rsidP="00A7426A">
      <w:pPr>
        <w:jc w:val="both"/>
        <w:rPr>
          <w:rFonts w:ascii="Arial" w:eastAsia="Calibri" w:hAnsi="Arial" w:cs="Arial"/>
          <w:sz w:val="12"/>
          <w:szCs w:val="12"/>
        </w:rPr>
      </w:pPr>
    </w:p>
    <w:p w14:paraId="17EB2B02" w14:textId="77777777" w:rsidR="00A7426A" w:rsidRDefault="00A7426A" w:rsidP="00A7426A">
      <w:pPr>
        <w:rPr>
          <w:rFonts w:ascii="Arial" w:eastAsia="Calibri" w:hAnsi="Arial" w:cs="Arial"/>
        </w:rPr>
      </w:pPr>
    </w:p>
    <w:p w14:paraId="54FE15D7" w14:textId="77777777" w:rsidR="00A7426A" w:rsidRPr="00A659C5" w:rsidRDefault="00A7426A" w:rsidP="00A7426A">
      <w:pPr>
        <w:pBdr>
          <w:top w:val="dashed" w:sz="4" w:space="1" w:color="44546A" w:themeColor="text2"/>
          <w:left w:val="dashed" w:sz="4" w:space="4" w:color="44546A" w:themeColor="text2"/>
          <w:bottom w:val="dashed" w:sz="4" w:space="1" w:color="44546A" w:themeColor="text2"/>
          <w:right w:val="dashed" w:sz="4" w:space="4" w:color="44546A" w:themeColor="text2"/>
        </w:pBdr>
        <w:jc w:val="both"/>
        <w:rPr>
          <w:rFonts w:ascii="Arial" w:hAnsi="Arial" w:cs="Arial"/>
          <w:color w:val="44546A" w:themeColor="text2"/>
          <w:sz w:val="20"/>
          <w:szCs w:val="20"/>
        </w:rPr>
      </w:pPr>
      <w:r w:rsidRPr="00A659C5">
        <w:rPr>
          <w:rFonts w:ascii="Arial" w:eastAsia="Calibri" w:hAnsi="Arial" w:cs="Arial"/>
          <w:color w:val="44546A" w:themeColor="text2"/>
          <w:sz w:val="20"/>
          <w:szCs w:val="20"/>
        </w:rPr>
        <w:t xml:space="preserve">Cette formation s’inscrit dans le cadre de coopération du Congrès des pouvoirs locaux et régionaux du Conseil de l’Europe avec l’INLUCC dont l’objectif est de promouvoir l’application des principes d’éthique et de la bonne gouvernance au niveau local. </w:t>
      </w:r>
      <w:r w:rsidRPr="00A659C5">
        <w:rPr>
          <w:rFonts w:ascii="Arial" w:hAnsi="Arial" w:cs="Arial"/>
          <w:color w:val="44546A" w:themeColor="text2"/>
          <w:sz w:val="20"/>
          <w:szCs w:val="20"/>
        </w:rPr>
        <w:t>Cette activité est mise en œuvre dans le cadre du Partenariat de voisinage avec la Tunisie (2018-2021) et bénéficie du soutien financier du Liechtenstein, de la Norvège et de l’Espagne.</w:t>
      </w:r>
      <w:bookmarkEnd w:id="0"/>
      <w:bookmarkEnd w:id="1"/>
    </w:p>
    <w:p w14:paraId="666042D1" w14:textId="68706A9A" w:rsidR="00A7426A" w:rsidRDefault="00A7426A" w:rsidP="00A7426A">
      <w:pPr>
        <w:jc w:val="center"/>
        <w:rPr>
          <w:rFonts w:ascii="Arial" w:hAnsi="Arial" w:cs="Arial"/>
          <w:b/>
          <w:bCs/>
          <w:color w:val="44546A" w:themeColor="text2"/>
        </w:rPr>
      </w:pPr>
      <w:r>
        <w:rPr>
          <w:rFonts w:ascii="Arial" w:hAnsi="Arial" w:cs="Arial"/>
          <w:b/>
          <w:bCs/>
          <w:color w:val="44546A" w:themeColor="text2"/>
        </w:rPr>
        <w:br w:type="page"/>
      </w:r>
      <w:r w:rsidRPr="007B7195">
        <w:rPr>
          <w:rFonts w:ascii="Arial" w:hAnsi="Arial" w:cs="Arial"/>
          <w:b/>
          <w:bCs/>
          <w:color w:val="44546A" w:themeColor="text2"/>
        </w:rPr>
        <w:lastRenderedPageBreak/>
        <w:t>PROGRAMME</w:t>
      </w:r>
      <w:r>
        <w:rPr>
          <w:rFonts w:ascii="Arial" w:hAnsi="Arial" w:cs="Arial"/>
          <w:b/>
          <w:bCs/>
          <w:color w:val="44546A" w:themeColor="text2"/>
        </w:rPr>
        <w:t xml:space="preserve"> DE LA FORMATION</w:t>
      </w:r>
    </w:p>
    <w:p w14:paraId="15F02E4F" w14:textId="77777777" w:rsidR="00A7426A" w:rsidRPr="007B7195" w:rsidRDefault="00A7426A" w:rsidP="00A7426A">
      <w:pPr>
        <w:jc w:val="center"/>
        <w:rPr>
          <w:rFonts w:ascii="Arial" w:hAnsi="Arial" w:cs="Arial"/>
          <w:b/>
          <w:bCs/>
          <w:color w:val="000000" w:themeColor="text1"/>
        </w:rPr>
      </w:pPr>
    </w:p>
    <w:p w14:paraId="3A2D5322" w14:textId="77777777" w:rsidR="00A7426A" w:rsidRPr="007B7195" w:rsidRDefault="00A7426A" w:rsidP="00A7426A">
      <w:pPr>
        <w:jc w:val="both"/>
        <w:rPr>
          <w:rFonts w:ascii="Arial" w:hAnsi="Arial" w:cs="Arial"/>
          <w:color w:val="000000" w:themeColor="text1"/>
        </w:rPr>
      </w:pPr>
      <w:r w:rsidRPr="007B7195">
        <w:rPr>
          <w:rFonts w:ascii="Arial" w:hAnsi="Arial" w:cs="Arial"/>
          <w:color w:val="000000" w:themeColor="text1"/>
        </w:rPr>
        <w:t xml:space="preserve">Les trois matinées de formation alterneront apports pédagogiques et mises en situation sous la forme de cas pratiques concrets qui feront l’objet de réflexion. </w:t>
      </w:r>
    </w:p>
    <w:p w14:paraId="77DB0F4C" w14:textId="77777777" w:rsidR="00A7426A" w:rsidRPr="007B7195" w:rsidRDefault="00A7426A" w:rsidP="00A7426A">
      <w:pPr>
        <w:pStyle w:val="NoSpacing"/>
        <w:rPr>
          <w:rFonts w:ascii="Arial" w:hAnsi="Arial" w:cs="Arial"/>
          <w:b/>
          <w:bCs/>
        </w:rPr>
      </w:pPr>
    </w:p>
    <w:p w14:paraId="29E6CF8C" w14:textId="19824C67" w:rsidR="00A7426A" w:rsidRDefault="00A7426A" w:rsidP="00A7426A">
      <w:pPr>
        <w:pStyle w:val="NoSpacing"/>
        <w:shd w:val="clear" w:color="auto" w:fill="D5DCE4" w:themeFill="text2" w:themeFillTint="33"/>
        <w:rPr>
          <w:rFonts w:ascii="Arial" w:hAnsi="Arial" w:cs="Arial"/>
          <w:b/>
          <w:bCs/>
          <w:color w:val="44546A" w:themeColor="text2"/>
        </w:rPr>
      </w:pPr>
      <w:r w:rsidRPr="007B7195">
        <w:rPr>
          <w:rFonts w:ascii="Arial" w:hAnsi="Arial" w:cs="Arial"/>
          <w:b/>
          <w:bCs/>
          <w:color w:val="44546A" w:themeColor="text2"/>
        </w:rPr>
        <w:t xml:space="preserve">JOUR 1 </w:t>
      </w:r>
    </w:p>
    <w:p w14:paraId="16B4E7EF" w14:textId="77777777" w:rsidR="00A7426A" w:rsidRPr="007B7195" w:rsidRDefault="00A7426A" w:rsidP="00A7426A">
      <w:pPr>
        <w:pStyle w:val="NoSpacing"/>
        <w:rPr>
          <w:rFonts w:ascii="Arial" w:hAnsi="Arial" w:cs="Arial"/>
          <w:b/>
          <w:bCs/>
          <w:color w:val="44546A" w:themeColor="text2"/>
        </w:rPr>
      </w:pPr>
    </w:p>
    <w:p w14:paraId="35326689" w14:textId="77777777" w:rsidR="00A7426A" w:rsidRPr="007B7195" w:rsidRDefault="00A7426A" w:rsidP="00A7426A">
      <w:pPr>
        <w:pStyle w:val="NoSpacing"/>
        <w:rPr>
          <w:rFonts w:ascii="Arial" w:hAnsi="Arial" w:cs="Arial"/>
          <w:b/>
          <w:bCs/>
        </w:rPr>
      </w:pPr>
    </w:p>
    <w:p w14:paraId="69945DC6" w14:textId="77777777" w:rsidR="00A7426A" w:rsidRDefault="00A7426A" w:rsidP="00A7426A">
      <w:pPr>
        <w:pStyle w:val="NoSpacing"/>
        <w:rPr>
          <w:rFonts w:ascii="Arial" w:hAnsi="Arial" w:cs="Arial"/>
          <w:b/>
          <w:bCs/>
        </w:rPr>
      </w:pPr>
      <w:proofErr w:type="gramStart"/>
      <w:r w:rsidRPr="006A6260">
        <w:rPr>
          <w:rFonts w:ascii="Arial" w:hAnsi="Arial" w:cs="Arial"/>
        </w:rPr>
        <w:t>8:</w:t>
      </w:r>
      <w:proofErr w:type="gramEnd"/>
      <w:r>
        <w:rPr>
          <w:rFonts w:ascii="Arial" w:hAnsi="Arial" w:cs="Arial"/>
        </w:rPr>
        <w:t>0</w:t>
      </w:r>
      <w:r w:rsidRPr="006A6260">
        <w:rPr>
          <w:rFonts w:ascii="Arial" w:hAnsi="Arial" w:cs="Arial"/>
        </w:rPr>
        <w:t>0 – 8:</w:t>
      </w:r>
      <w:r>
        <w:rPr>
          <w:rFonts w:ascii="Arial" w:hAnsi="Arial" w:cs="Arial"/>
        </w:rPr>
        <w:t>15</w:t>
      </w:r>
      <w:r w:rsidRPr="006A6260">
        <w:rPr>
          <w:rFonts w:ascii="Arial" w:hAnsi="Arial" w:cs="Arial"/>
          <w:b/>
          <w:bCs/>
        </w:rPr>
        <w:tab/>
        <w:t>Mot</w:t>
      </w:r>
      <w:r>
        <w:rPr>
          <w:rFonts w:ascii="Arial" w:hAnsi="Arial" w:cs="Arial"/>
          <w:b/>
          <w:bCs/>
        </w:rPr>
        <w:t>s</w:t>
      </w:r>
      <w:r w:rsidRPr="006A6260">
        <w:rPr>
          <w:rFonts w:ascii="Arial" w:hAnsi="Arial" w:cs="Arial"/>
          <w:b/>
          <w:bCs/>
        </w:rPr>
        <w:t xml:space="preserve"> de bienvenue </w:t>
      </w:r>
    </w:p>
    <w:p w14:paraId="7BDE641F" w14:textId="77777777" w:rsidR="00A7426A" w:rsidRPr="006A6260" w:rsidRDefault="00A7426A" w:rsidP="00A7426A">
      <w:pPr>
        <w:pStyle w:val="NoSpacing"/>
        <w:rPr>
          <w:rFonts w:ascii="Arial" w:hAnsi="Arial" w:cs="Arial"/>
          <w:b/>
          <w:bCs/>
        </w:rPr>
      </w:pPr>
    </w:p>
    <w:p w14:paraId="1DB3E862" w14:textId="61685C39" w:rsidR="00A7426A" w:rsidRPr="00AA140D" w:rsidRDefault="00A7426A" w:rsidP="00A7426A">
      <w:pPr>
        <w:pStyle w:val="NoSpacing"/>
        <w:rPr>
          <w:rFonts w:ascii="Arial" w:hAnsi="Arial" w:cs="Arial"/>
          <w:b/>
          <w:bCs/>
        </w:rPr>
      </w:pPr>
      <w:r>
        <w:rPr>
          <w:rFonts w:ascii="Arial" w:hAnsi="Arial" w:cs="Arial"/>
          <w:b/>
          <w:bCs/>
        </w:rPr>
        <w:tab/>
      </w:r>
      <w:r>
        <w:rPr>
          <w:rFonts w:ascii="Arial" w:hAnsi="Arial" w:cs="Arial"/>
          <w:b/>
          <w:bCs/>
        </w:rPr>
        <w:tab/>
      </w:r>
      <w:r w:rsidR="00554D11" w:rsidRPr="00554D11">
        <w:rPr>
          <w:rFonts w:ascii="Arial" w:hAnsi="Arial" w:cs="Arial"/>
          <w:b/>
          <w:bCs/>
        </w:rPr>
        <w:t>Anouar BEN HASSEN</w:t>
      </w:r>
      <w:r w:rsidR="00554D11">
        <w:rPr>
          <w:rFonts w:ascii="Arial" w:hAnsi="Arial" w:cs="Arial"/>
          <w:b/>
          <w:bCs/>
        </w:rPr>
        <w:t xml:space="preserve">, Secrétaire Général </w:t>
      </w:r>
      <w:r w:rsidRPr="00AA140D">
        <w:rPr>
          <w:rFonts w:ascii="Arial" w:hAnsi="Arial" w:cs="Arial"/>
          <w:b/>
          <w:bCs/>
        </w:rPr>
        <w:t>de l’INLUCC</w:t>
      </w:r>
    </w:p>
    <w:p w14:paraId="4365D71B" w14:textId="0D557D05" w:rsidR="00A7426A" w:rsidRDefault="00A7426A" w:rsidP="00A7426A">
      <w:pPr>
        <w:pStyle w:val="NoSpacing"/>
        <w:rPr>
          <w:rFonts w:ascii="Arial" w:hAnsi="Arial" w:cs="Arial"/>
          <w:b/>
          <w:bCs/>
        </w:rPr>
      </w:pPr>
      <w:r>
        <w:rPr>
          <w:rFonts w:ascii="Arial" w:hAnsi="Arial" w:cs="Arial"/>
        </w:rPr>
        <w:tab/>
      </w:r>
      <w:r>
        <w:rPr>
          <w:rFonts w:ascii="Arial" w:hAnsi="Arial" w:cs="Arial"/>
        </w:rPr>
        <w:tab/>
      </w:r>
      <w:r w:rsidR="00554D11" w:rsidRPr="00554D11">
        <w:rPr>
          <w:rFonts w:ascii="Arial" w:hAnsi="Arial" w:cs="Arial"/>
          <w:b/>
          <w:bCs/>
        </w:rPr>
        <w:t>Andreas KIEFER</w:t>
      </w:r>
      <w:r w:rsidR="00554D11">
        <w:rPr>
          <w:rFonts w:ascii="Arial" w:hAnsi="Arial" w:cs="Arial"/>
        </w:rPr>
        <w:t xml:space="preserve">, </w:t>
      </w:r>
      <w:r w:rsidR="00554D11">
        <w:rPr>
          <w:rFonts w:ascii="Arial" w:hAnsi="Arial" w:cs="Arial"/>
          <w:b/>
          <w:bCs/>
        </w:rPr>
        <w:t>Secrétaire Général</w:t>
      </w:r>
      <w:r w:rsidR="00051F68">
        <w:rPr>
          <w:rFonts w:ascii="Arial" w:hAnsi="Arial" w:cs="Arial"/>
          <w:b/>
          <w:bCs/>
        </w:rPr>
        <w:t xml:space="preserve"> du Congrès du Conseil de l’Europe </w:t>
      </w:r>
    </w:p>
    <w:p w14:paraId="23A9CF55" w14:textId="77777777" w:rsidR="00554D11" w:rsidRDefault="00554D11" w:rsidP="00A7426A">
      <w:pPr>
        <w:pStyle w:val="NoSpacing"/>
        <w:rPr>
          <w:rFonts w:ascii="Arial" w:hAnsi="Arial" w:cs="Arial"/>
        </w:rPr>
      </w:pPr>
    </w:p>
    <w:p w14:paraId="34FA0E96" w14:textId="77777777" w:rsidR="00A7426A" w:rsidRDefault="00A7426A" w:rsidP="00A7426A">
      <w:pPr>
        <w:pStyle w:val="NoSpacing"/>
        <w:rPr>
          <w:rFonts w:ascii="Arial" w:hAnsi="Arial" w:cs="Arial"/>
        </w:rPr>
      </w:pPr>
    </w:p>
    <w:p w14:paraId="780E59EB" w14:textId="77777777" w:rsidR="00A7426A" w:rsidRDefault="00A7426A" w:rsidP="00A7426A">
      <w:pPr>
        <w:pStyle w:val="NoSpacing"/>
        <w:ind w:left="1416" w:hanging="1416"/>
        <w:rPr>
          <w:rFonts w:ascii="Arial" w:hAnsi="Arial" w:cs="Arial"/>
          <w:b/>
          <w:bCs/>
        </w:rPr>
      </w:pPr>
      <w:proofErr w:type="gramStart"/>
      <w:r w:rsidRPr="007B7195">
        <w:rPr>
          <w:rFonts w:ascii="Arial" w:hAnsi="Arial" w:cs="Arial"/>
        </w:rPr>
        <w:t>8:</w:t>
      </w:r>
      <w:proofErr w:type="gramEnd"/>
      <w:r>
        <w:rPr>
          <w:rFonts w:ascii="Arial" w:hAnsi="Arial" w:cs="Arial"/>
        </w:rPr>
        <w:t>15</w:t>
      </w:r>
      <w:r w:rsidRPr="007B7195">
        <w:rPr>
          <w:rFonts w:ascii="Arial" w:hAnsi="Arial" w:cs="Arial"/>
        </w:rPr>
        <w:t xml:space="preserve"> – 8:</w:t>
      </w:r>
      <w:r>
        <w:rPr>
          <w:rFonts w:ascii="Arial" w:hAnsi="Arial" w:cs="Arial"/>
        </w:rPr>
        <w:t>30</w:t>
      </w:r>
      <w:r w:rsidRPr="007B7195">
        <w:t xml:space="preserve">   </w:t>
      </w:r>
      <w:r w:rsidRPr="007B7195">
        <w:tab/>
      </w:r>
      <w:r w:rsidRPr="007B7195">
        <w:rPr>
          <w:rFonts w:ascii="Arial" w:hAnsi="Arial" w:cs="Arial"/>
          <w:b/>
          <w:bCs/>
        </w:rPr>
        <w:t>Introduction</w:t>
      </w:r>
      <w:r>
        <w:rPr>
          <w:rFonts w:ascii="Arial" w:hAnsi="Arial" w:cs="Arial"/>
          <w:b/>
          <w:bCs/>
        </w:rPr>
        <w:t xml:space="preserve"> </w:t>
      </w:r>
      <w:r w:rsidRPr="007B7195">
        <w:rPr>
          <w:rFonts w:ascii="Arial" w:hAnsi="Arial" w:cs="Arial"/>
          <w:b/>
          <w:bCs/>
        </w:rPr>
        <w:t xml:space="preserve">– accueil </w:t>
      </w:r>
      <w:r w:rsidRPr="005A6DAF">
        <w:rPr>
          <w:rFonts w:ascii="Arial" w:hAnsi="Arial" w:cs="Arial"/>
          <w:b/>
          <w:bCs/>
        </w:rPr>
        <w:t>et synthèse des attentes des participants</w:t>
      </w:r>
      <w:r w:rsidRPr="007B7195">
        <w:rPr>
          <w:rFonts w:ascii="Arial" w:hAnsi="Arial" w:cs="Arial"/>
          <w:b/>
          <w:bCs/>
        </w:rPr>
        <w:t xml:space="preserve"> </w:t>
      </w:r>
    </w:p>
    <w:p w14:paraId="599C8CDF" w14:textId="77777777" w:rsidR="00A7426A" w:rsidRPr="007B7195" w:rsidRDefault="00A7426A" w:rsidP="00A7426A">
      <w:pPr>
        <w:pStyle w:val="NoSpacing"/>
        <w:ind w:left="1416" w:hanging="1416"/>
        <w:rPr>
          <w:rFonts w:ascii="Arial" w:hAnsi="Arial" w:cs="Arial"/>
          <w:b/>
          <w:bCs/>
        </w:rPr>
      </w:pPr>
    </w:p>
    <w:p w14:paraId="65D534A1" w14:textId="2E154920" w:rsidR="00A7426A" w:rsidRPr="007B7195" w:rsidRDefault="00A7426A" w:rsidP="00A7426A">
      <w:pPr>
        <w:pStyle w:val="NoSpacing"/>
        <w:rPr>
          <w:rFonts w:ascii="Arial" w:hAnsi="Arial" w:cs="Arial"/>
          <w:b/>
          <w:bCs/>
        </w:rPr>
      </w:pPr>
      <w:r w:rsidRPr="007B7195">
        <w:rPr>
          <w:rFonts w:ascii="Arial" w:hAnsi="Arial" w:cs="Arial"/>
          <w:b/>
          <w:bCs/>
        </w:rPr>
        <w:tab/>
      </w:r>
      <w:r w:rsidRPr="007B7195">
        <w:rPr>
          <w:rFonts w:ascii="Arial" w:hAnsi="Arial" w:cs="Arial"/>
          <w:b/>
          <w:bCs/>
        </w:rPr>
        <w:tab/>
        <w:t xml:space="preserve">Faten </w:t>
      </w:r>
      <w:r w:rsidR="00F15B0B" w:rsidRPr="00F15B0B">
        <w:rPr>
          <w:rFonts w:ascii="Arial" w:hAnsi="Arial" w:cs="Arial"/>
          <w:b/>
          <w:bCs/>
        </w:rPr>
        <w:t>KHACHROUM</w:t>
      </w:r>
      <w:r w:rsidRPr="007B7195">
        <w:rPr>
          <w:rFonts w:ascii="Arial" w:hAnsi="Arial" w:cs="Arial"/>
          <w:b/>
          <w:bCs/>
        </w:rPr>
        <w:t xml:space="preserve">, </w:t>
      </w:r>
      <w:r w:rsidRPr="007B7195">
        <w:rPr>
          <w:rFonts w:ascii="Arial" w:hAnsi="Arial" w:cs="Arial"/>
        </w:rPr>
        <w:t>experte et formatrice</w:t>
      </w:r>
    </w:p>
    <w:p w14:paraId="3F50FABA" w14:textId="77777777" w:rsidR="00A7426A" w:rsidRPr="007B7195" w:rsidRDefault="00A7426A" w:rsidP="00A7426A">
      <w:pPr>
        <w:pStyle w:val="NoSpacing"/>
        <w:rPr>
          <w:rFonts w:ascii="Arial" w:hAnsi="Arial" w:cs="Arial"/>
          <w:b/>
          <w:bCs/>
        </w:rPr>
      </w:pPr>
    </w:p>
    <w:p w14:paraId="20AF7D2D" w14:textId="77777777" w:rsidR="00A7426A" w:rsidRPr="007B7195" w:rsidRDefault="00A7426A" w:rsidP="00A7426A">
      <w:pPr>
        <w:pStyle w:val="NoSpacing"/>
        <w:rPr>
          <w:rFonts w:ascii="Arial" w:hAnsi="Arial" w:cs="Arial"/>
          <w:b/>
          <w:bCs/>
        </w:rPr>
      </w:pPr>
    </w:p>
    <w:p w14:paraId="0761E564" w14:textId="77777777" w:rsidR="00A7426A" w:rsidRDefault="00A7426A" w:rsidP="00A7426A">
      <w:pPr>
        <w:pStyle w:val="NoSpacing"/>
        <w:rPr>
          <w:rFonts w:ascii="Arial" w:hAnsi="Arial" w:cs="Arial"/>
          <w:b/>
          <w:bCs/>
        </w:rPr>
      </w:pPr>
      <w:proofErr w:type="gramStart"/>
      <w:r w:rsidRPr="007B7195">
        <w:rPr>
          <w:rFonts w:ascii="Arial" w:hAnsi="Arial" w:cs="Arial"/>
        </w:rPr>
        <w:t>8:</w:t>
      </w:r>
      <w:proofErr w:type="gramEnd"/>
      <w:r w:rsidRPr="007B7195">
        <w:rPr>
          <w:rFonts w:ascii="Arial" w:hAnsi="Arial" w:cs="Arial"/>
        </w:rPr>
        <w:t>30 – 1</w:t>
      </w:r>
      <w:r>
        <w:rPr>
          <w:rFonts w:ascii="Arial" w:hAnsi="Arial" w:cs="Arial"/>
        </w:rPr>
        <w:t>2</w:t>
      </w:r>
      <w:r w:rsidRPr="007B7195">
        <w:rPr>
          <w:rFonts w:ascii="Arial" w:hAnsi="Arial" w:cs="Arial"/>
        </w:rPr>
        <w:t>:00</w:t>
      </w:r>
      <w:r w:rsidRPr="007B7195">
        <w:rPr>
          <w:rFonts w:ascii="Arial" w:hAnsi="Arial" w:cs="Arial"/>
          <w:b/>
          <w:bCs/>
        </w:rPr>
        <w:tab/>
      </w:r>
      <w:r>
        <w:rPr>
          <w:rFonts w:ascii="Arial" w:hAnsi="Arial" w:cs="Arial"/>
          <w:b/>
          <w:bCs/>
        </w:rPr>
        <w:t>Première partie de la formation</w:t>
      </w:r>
    </w:p>
    <w:p w14:paraId="51A9F017" w14:textId="77777777" w:rsidR="00A7426A" w:rsidRDefault="00A7426A" w:rsidP="00A7426A">
      <w:pPr>
        <w:pStyle w:val="NoSpacing"/>
        <w:rPr>
          <w:rFonts w:ascii="Arial" w:hAnsi="Arial" w:cs="Arial"/>
          <w:b/>
          <w:bCs/>
        </w:rPr>
      </w:pPr>
    </w:p>
    <w:p w14:paraId="7F6C761F" w14:textId="77777777" w:rsidR="00A7426A" w:rsidRPr="007B7195" w:rsidRDefault="00A7426A" w:rsidP="00A7426A">
      <w:pPr>
        <w:pStyle w:val="NoSpacing"/>
        <w:ind w:left="708" w:firstLine="708"/>
        <w:rPr>
          <w:rFonts w:ascii="Arial" w:hAnsi="Arial" w:cs="Arial"/>
        </w:rPr>
      </w:pPr>
      <w:r w:rsidRPr="007B7195">
        <w:rPr>
          <w:rFonts w:ascii="Arial" w:hAnsi="Arial" w:cs="Arial"/>
        </w:rPr>
        <w:t>I. Cadre normatif &amp; Enjeux du Contrôle Interne </w:t>
      </w:r>
    </w:p>
    <w:p w14:paraId="7EFC864F" w14:textId="77777777" w:rsidR="00A7426A" w:rsidRPr="007B7195" w:rsidRDefault="00A7426A" w:rsidP="00A7426A">
      <w:pPr>
        <w:pStyle w:val="NoSpacing"/>
        <w:rPr>
          <w:rFonts w:ascii="Arial" w:hAnsi="Arial" w:cs="Arial"/>
        </w:rPr>
      </w:pPr>
      <w:r w:rsidRPr="007B7195">
        <w:rPr>
          <w:rFonts w:ascii="Arial" w:hAnsi="Arial" w:cs="Arial"/>
        </w:rPr>
        <w:tab/>
      </w:r>
      <w:r w:rsidRPr="007B7195">
        <w:rPr>
          <w:rFonts w:ascii="Arial" w:hAnsi="Arial" w:cs="Arial"/>
        </w:rPr>
        <w:tab/>
        <w:t>II. Définitions du Contrôle Interne et notions voisines </w:t>
      </w:r>
    </w:p>
    <w:p w14:paraId="38B97910" w14:textId="77777777" w:rsidR="00A7426A" w:rsidRPr="007B7195" w:rsidRDefault="00A7426A" w:rsidP="00A7426A">
      <w:pPr>
        <w:pStyle w:val="NoSpacing"/>
        <w:spacing w:line="276" w:lineRule="auto"/>
        <w:ind w:left="708" w:firstLine="708"/>
        <w:rPr>
          <w:rFonts w:ascii="Arial" w:hAnsi="Arial" w:cs="Arial"/>
          <w:color w:val="000000"/>
        </w:rPr>
      </w:pPr>
      <w:r w:rsidRPr="007B7195">
        <w:rPr>
          <w:rFonts w:ascii="Arial" w:hAnsi="Arial" w:cs="Arial"/>
        </w:rPr>
        <w:t xml:space="preserve">III. </w:t>
      </w:r>
      <w:r w:rsidRPr="007B7195">
        <w:rPr>
          <w:rFonts w:ascii="Arial" w:hAnsi="Arial" w:cs="Arial"/>
          <w:color w:val="000000"/>
        </w:rPr>
        <w:t xml:space="preserve">Périmètre du Contrôle Interne </w:t>
      </w:r>
    </w:p>
    <w:p w14:paraId="3E663819" w14:textId="77777777" w:rsidR="00A7426A" w:rsidRPr="007B7195" w:rsidRDefault="00A7426A" w:rsidP="00A7426A">
      <w:pPr>
        <w:pStyle w:val="NoSpacing"/>
        <w:spacing w:line="276" w:lineRule="auto"/>
        <w:ind w:left="708" w:firstLine="708"/>
        <w:rPr>
          <w:rFonts w:ascii="Arial" w:hAnsi="Arial" w:cs="Arial"/>
          <w:color w:val="000000"/>
        </w:rPr>
      </w:pPr>
      <w:r w:rsidRPr="007B7195">
        <w:rPr>
          <w:rFonts w:ascii="Arial" w:hAnsi="Arial" w:cs="Arial"/>
          <w:color w:val="000000"/>
        </w:rPr>
        <w:t>IV. Objectifs, composantes et principes du Contrôle </w:t>
      </w:r>
    </w:p>
    <w:p w14:paraId="7282F663" w14:textId="77777777" w:rsidR="00A7426A" w:rsidRPr="007B7195" w:rsidRDefault="00A7426A" w:rsidP="00A7426A">
      <w:pPr>
        <w:pStyle w:val="NoSpacing"/>
        <w:rPr>
          <w:rFonts w:ascii="Arial" w:hAnsi="Arial" w:cs="Arial"/>
          <w:b/>
          <w:bCs/>
        </w:rPr>
      </w:pPr>
    </w:p>
    <w:p w14:paraId="253335F8" w14:textId="77777777" w:rsidR="00A7426A" w:rsidRPr="007B7195" w:rsidRDefault="00A7426A" w:rsidP="00A7426A">
      <w:pPr>
        <w:pStyle w:val="NoSpacing"/>
        <w:rPr>
          <w:rFonts w:ascii="Arial" w:hAnsi="Arial" w:cs="Arial"/>
          <w:b/>
          <w:bCs/>
        </w:rPr>
      </w:pPr>
    </w:p>
    <w:p w14:paraId="38AA2444" w14:textId="36B9CCAE" w:rsidR="00A7426A" w:rsidRDefault="00A7426A" w:rsidP="00A7426A">
      <w:pPr>
        <w:pStyle w:val="NoSpacing"/>
        <w:shd w:val="clear" w:color="auto" w:fill="D5DCE4" w:themeFill="text2" w:themeFillTint="33"/>
        <w:rPr>
          <w:rFonts w:ascii="Arial" w:hAnsi="Arial" w:cs="Arial"/>
          <w:b/>
          <w:bCs/>
          <w:color w:val="44546A" w:themeColor="text2"/>
        </w:rPr>
      </w:pPr>
      <w:r w:rsidRPr="007B7195">
        <w:rPr>
          <w:rFonts w:ascii="Arial" w:hAnsi="Arial" w:cs="Arial"/>
          <w:b/>
          <w:bCs/>
          <w:color w:val="44546A" w:themeColor="text2"/>
        </w:rPr>
        <w:t xml:space="preserve">JOUR 2 </w:t>
      </w:r>
    </w:p>
    <w:p w14:paraId="723E0EE1" w14:textId="77777777" w:rsidR="00A7426A" w:rsidRPr="007B7195" w:rsidRDefault="00A7426A" w:rsidP="00A7426A">
      <w:pPr>
        <w:pStyle w:val="NoSpacing"/>
        <w:rPr>
          <w:rFonts w:ascii="Arial" w:hAnsi="Arial" w:cs="Arial"/>
          <w:b/>
          <w:bCs/>
          <w:color w:val="44546A" w:themeColor="text2"/>
        </w:rPr>
      </w:pPr>
    </w:p>
    <w:p w14:paraId="51CDC732" w14:textId="77777777" w:rsidR="00A7426A" w:rsidRPr="007B7195" w:rsidRDefault="00A7426A" w:rsidP="00A7426A">
      <w:pPr>
        <w:pStyle w:val="NoSpacing"/>
        <w:rPr>
          <w:rFonts w:ascii="Arial" w:hAnsi="Arial" w:cs="Arial"/>
          <w:b/>
          <w:bCs/>
        </w:rPr>
      </w:pPr>
    </w:p>
    <w:p w14:paraId="5E5FB3EF" w14:textId="77777777" w:rsidR="00A7426A" w:rsidRDefault="00A7426A" w:rsidP="00A7426A">
      <w:pPr>
        <w:pStyle w:val="NoSpacing"/>
        <w:spacing w:line="276" w:lineRule="auto"/>
      </w:pPr>
      <w:proofErr w:type="gramStart"/>
      <w:r w:rsidRPr="007B7195">
        <w:rPr>
          <w:rFonts w:ascii="Arial" w:hAnsi="Arial" w:cs="Arial"/>
        </w:rPr>
        <w:t>8:</w:t>
      </w:r>
      <w:proofErr w:type="gramEnd"/>
      <w:r w:rsidRPr="007B7195">
        <w:rPr>
          <w:rFonts w:ascii="Arial" w:hAnsi="Arial" w:cs="Arial"/>
        </w:rPr>
        <w:t>00</w:t>
      </w:r>
      <w:r>
        <w:rPr>
          <w:rFonts w:ascii="Arial" w:hAnsi="Arial" w:cs="Arial"/>
        </w:rPr>
        <w:t xml:space="preserve"> </w:t>
      </w:r>
      <w:r w:rsidRPr="007B7195">
        <w:rPr>
          <w:rFonts w:ascii="Arial" w:hAnsi="Arial" w:cs="Arial"/>
        </w:rPr>
        <w:t>- 1</w:t>
      </w:r>
      <w:r>
        <w:rPr>
          <w:rFonts w:ascii="Arial" w:hAnsi="Arial" w:cs="Arial"/>
        </w:rPr>
        <w:t>2</w:t>
      </w:r>
      <w:r w:rsidRPr="007B7195">
        <w:rPr>
          <w:rFonts w:ascii="Arial" w:hAnsi="Arial" w:cs="Arial"/>
        </w:rPr>
        <w:t>:00</w:t>
      </w:r>
      <w:r>
        <w:rPr>
          <w:rFonts w:ascii="Arial" w:hAnsi="Arial" w:cs="Arial"/>
        </w:rPr>
        <w:t xml:space="preserve"> </w:t>
      </w:r>
      <w:r>
        <w:tab/>
      </w:r>
      <w:r w:rsidRPr="007B7195">
        <w:rPr>
          <w:rFonts w:ascii="Arial" w:hAnsi="Arial" w:cs="Arial"/>
          <w:b/>
          <w:bCs/>
        </w:rPr>
        <w:t>Seconde partie de la formation</w:t>
      </w:r>
    </w:p>
    <w:p w14:paraId="1886D1CF" w14:textId="77777777" w:rsidR="00A7426A" w:rsidRPr="007B7195" w:rsidRDefault="00A7426A" w:rsidP="00A7426A">
      <w:pPr>
        <w:pStyle w:val="NoSpacing"/>
        <w:spacing w:line="276" w:lineRule="auto"/>
        <w:rPr>
          <w:rFonts w:ascii="Arial" w:hAnsi="Arial" w:cs="Arial"/>
          <w:b/>
          <w:bCs/>
          <w:color w:val="000000"/>
        </w:rPr>
      </w:pPr>
    </w:p>
    <w:p w14:paraId="072BC0F4" w14:textId="77777777" w:rsidR="00A7426A" w:rsidRPr="007B7195" w:rsidRDefault="00A7426A" w:rsidP="00A7426A">
      <w:pPr>
        <w:pStyle w:val="NoSpacing"/>
        <w:spacing w:line="276" w:lineRule="auto"/>
        <w:rPr>
          <w:rFonts w:ascii="Arial" w:hAnsi="Arial" w:cs="Arial"/>
          <w:color w:val="000000"/>
        </w:rPr>
      </w:pPr>
      <w:r>
        <w:rPr>
          <w:rFonts w:ascii="Arial" w:hAnsi="Arial" w:cs="Arial"/>
          <w:b/>
          <w:bCs/>
          <w:color w:val="000000"/>
        </w:rPr>
        <w:tab/>
      </w:r>
      <w:r>
        <w:rPr>
          <w:rFonts w:ascii="Arial" w:hAnsi="Arial" w:cs="Arial"/>
          <w:b/>
          <w:bCs/>
          <w:color w:val="000000"/>
        </w:rPr>
        <w:tab/>
      </w:r>
      <w:r w:rsidRPr="007B7195">
        <w:rPr>
          <w:rFonts w:ascii="Arial" w:hAnsi="Arial" w:cs="Arial"/>
          <w:color w:val="000000"/>
        </w:rPr>
        <w:t>IV. Objectifs, composantes et principes du contrôle (suite)</w:t>
      </w:r>
    </w:p>
    <w:p w14:paraId="34960072" w14:textId="77777777" w:rsidR="00A7426A" w:rsidRPr="007B7195" w:rsidRDefault="00A7426A" w:rsidP="00A7426A">
      <w:pPr>
        <w:pStyle w:val="NoSpacing"/>
        <w:spacing w:line="276" w:lineRule="auto"/>
        <w:rPr>
          <w:rFonts w:ascii="Arial" w:hAnsi="Arial" w:cs="Arial"/>
          <w:color w:val="000000"/>
        </w:rPr>
      </w:pPr>
      <w:r w:rsidRPr="007B7195">
        <w:rPr>
          <w:rFonts w:ascii="Arial" w:hAnsi="Arial" w:cs="Arial"/>
          <w:color w:val="000000"/>
        </w:rPr>
        <w:tab/>
      </w:r>
      <w:r w:rsidRPr="007B7195">
        <w:rPr>
          <w:rFonts w:ascii="Arial" w:hAnsi="Arial" w:cs="Arial"/>
          <w:color w:val="000000"/>
        </w:rPr>
        <w:tab/>
        <w:t>V. Acteurs du contrôle interne : rôles et responsabilités</w:t>
      </w:r>
    </w:p>
    <w:p w14:paraId="799BEAE7" w14:textId="77777777" w:rsidR="00A7426A" w:rsidRPr="007B7195" w:rsidRDefault="00A7426A" w:rsidP="00A7426A">
      <w:pPr>
        <w:pStyle w:val="NoSpacing"/>
        <w:spacing w:line="276" w:lineRule="auto"/>
        <w:rPr>
          <w:rFonts w:ascii="Arial" w:hAnsi="Arial" w:cs="Arial"/>
          <w:color w:val="000000"/>
        </w:rPr>
      </w:pPr>
      <w:r w:rsidRPr="007B7195">
        <w:rPr>
          <w:rFonts w:ascii="Arial" w:hAnsi="Arial" w:cs="Arial"/>
          <w:color w:val="000000"/>
        </w:rPr>
        <w:tab/>
      </w:r>
      <w:r w:rsidRPr="007B7195">
        <w:rPr>
          <w:rFonts w:ascii="Arial" w:hAnsi="Arial" w:cs="Arial"/>
          <w:color w:val="000000"/>
        </w:rPr>
        <w:tab/>
        <w:t>VI. Typologie des contrôles</w:t>
      </w:r>
    </w:p>
    <w:p w14:paraId="6D8FA9C9" w14:textId="77777777" w:rsidR="00A7426A" w:rsidRPr="007B7195" w:rsidRDefault="00A7426A" w:rsidP="00A7426A">
      <w:pPr>
        <w:pStyle w:val="NoSpacing"/>
        <w:rPr>
          <w:rFonts w:ascii="Arial" w:hAnsi="Arial" w:cs="Arial"/>
          <w:b/>
          <w:bCs/>
        </w:rPr>
      </w:pPr>
    </w:p>
    <w:p w14:paraId="3B716640" w14:textId="77777777" w:rsidR="00A7426A" w:rsidRPr="007B7195" w:rsidRDefault="00A7426A" w:rsidP="00A7426A">
      <w:pPr>
        <w:pStyle w:val="NoSpacing"/>
        <w:rPr>
          <w:rFonts w:ascii="Arial" w:hAnsi="Arial" w:cs="Arial"/>
          <w:b/>
          <w:bCs/>
        </w:rPr>
      </w:pPr>
    </w:p>
    <w:p w14:paraId="086C8430" w14:textId="10EE1112" w:rsidR="00A7426A" w:rsidRPr="007B7195" w:rsidRDefault="00A7426A" w:rsidP="00A7426A">
      <w:pPr>
        <w:pStyle w:val="NoSpacing"/>
        <w:shd w:val="clear" w:color="auto" w:fill="D5DCE4" w:themeFill="text2" w:themeFillTint="33"/>
        <w:rPr>
          <w:rFonts w:ascii="Arial" w:hAnsi="Arial" w:cs="Arial"/>
          <w:b/>
          <w:bCs/>
          <w:color w:val="44546A" w:themeColor="text2"/>
        </w:rPr>
      </w:pPr>
      <w:r w:rsidRPr="007B7195">
        <w:rPr>
          <w:rFonts w:ascii="Arial" w:hAnsi="Arial" w:cs="Arial"/>
          <w:b/>
          <w:bCs/>
          <w:color w:val="44546A" w:themeColor="text2"/>
        </w:rPr>
        <w:t xml:space="preserve">JOUR 3 </w:t>
      </w:r>
    </w:p>
    <w:p w14:paraId="4617DE3C" w14:textId="77777777" w:rsidR="00A7426A" w:rsidRDefault="00A7426A" w:rsidP="00A7426A">
      <w:pPr>
        <w:pStyle w:val="NoSpacing"/>
      </w:pPr>
    </w:p>
    <w:p w14:paraId="1CB57180" w14:textId="77777777" w:rsidR="00A7426A" w:rsidRDefault="00A7426A" w:rsidP="00A7426A">
      <w:pPr>
        <w:pStyle w:val="NoSpacing"/>
      </w:pPr>
    </w:p>
    <w:p w14:paraId="77CFFCD6" w14:textId="77777777" w:rsidR="00A7426A" w:rsidRDefault="00A7426A" w:rsidP="00A7426A">
      <w:pPr>
        <w:pStyle w:val="NoSpacing"/>
        <w:rPr>
          <w:rFonts w:ascii="Arial" w:hAnsi="Arial" w:cs="Arial"/>
          <w:b/>
          <w:bCs/>
        </w:rPr>
      </w:pPr>
      <w:proofErr w:type="gramStart"/>
      <w:r w:rsidRPr="007B7195">
        <w:rPr>
          <w:rFonts w:ascii="Arial" w:hAnsi="Arial" w:cs="Arial"/>
        </w:rPr>
        <w:t>8:</w:t>
      </w:r>
      <w:proofErr w:type="gramEnd"/>
      <w:r w:rsidRPr="007B7195">
        <w:rPr>
          <w:rFonts w:ascii="Arial" w:hAnsi="Arial" w:cs="Arial"/>
        </w:rPr>
        <w:t>00- 1</w:t>
      </w:r>
      <w:r>
        <w:rPr>
          <w:rFonts w:ascii="Arial" w:hAnsi="Arial" w:cs="Arial"/>
        </w:rPr>
        <w:t>2</w:t>
      </w:r>
      <w:r w:rsidRPr="007B7195">
        <w:rPr>
          <w:rFonts w:ascii="Arial" w:hAnsi="Arial" w:cs="Arial"/>
        </w:rPr>
        <w:t>:00</w:t>
      </w:r>
      <w:r w:rsidRPr="007B7195">
        <w:rPr>
          <w:rFonts w:ascii="Arial" w:hAnsi="Arial" w:cs="Arial"/>
          <w:b/>
          <w:bCs/>
        </w:rPr>
        <w:tab/>
      </w:r>
      <w:r>
        <w:rPr>
          <w:rFonts w:ascii="Arial" w:hAnsi="Arial" w:cs="Arial"/>
          <w:b/>
          <w:bCs/>
        </w:rPr>
        <w:t>Troisième partie de la formation</w:t>
      </w:r>
    </w:p>
    <w:p w14:paraId="01238692" w14:textId="77777777" w:rsidR="00A7426A" w:rsidRDefault="00A7426A" w:rsidP="00A7426A">
      <w:pPr>
        <w:pStyle w:val="NoSpacing"/>
        <w:rPr>
          <w:rFonts w:ascii="Arial" w:hAnsi="Arial" w:cs="Arial"/>
          <w:b/>
          <w:bCs/>
        </w:rPr>
      </w:pPr>
    </w:p>
    <w:p w14:paraId="4AEE4703" w14:textId="77777777" w:rsidR="00A7426A" w:rsidRDefault="00A7426A" w:rsidP="00A7426A">
      <w:pPr>
        <w:pStyle w:val="NoSpacing"/>
        <w:ind w:left="708" w:firstLine="708"/>
        <w:rPr>
          <w:rFonts w:ascii="Arial" w:hAnsi="Arial" w:cs="Arial"/>
        </w:rPr>
      </w:pPr>
      <w:r w:rsidRPr="007B7195">
        <w:rPr>
          <w:rFonts w:ascii="Arial" w:hAnsi="Arial" w:cs="Arial"/>
        </w:rPr>
        <w:t xml:space="preserve">VII. Présentation d’un outil d’évaluation de la situation actuelle des </w:t>
      </w:r>
      <w:r w:rsidRPr="007B7195">
        <w:rPr>
          <w:rFonts w:ascii="Arial" w:hAnsi="Arial" w:cs="Arial"/>
        </w:rPr>
        <w:tab/>
      </w:r>
      <w:r w:rsidRPr="007B7195">
        <w:rPr>
          <w:rFonts w:ascii="Arial" w:hAnsi="Arial" w:cs="Arial"/>
        </w:rPr>
        <w:tab/>
        <w:t xml:space="preserve">municipalités en matière de contrôle interne </w:t>
      </w:r>
    </w:p>
    <w:p w14:paraId="32270BDE" w14:textId="77777777" w:rsidR="00A7426A" w:rsidRPr="007B7195" w:rsidRDefault="00A7426A" w:rsidP="00A7426A">
      <w:pPr>
        <w:pStyle w:val="NoSpacing"/>
        <w:ind w:left="1416"/>
        <w:rPr>
          <w:rFonts w:ascii="Arial" w:hAnsi="Arial" w:cs="Arial"/>
        </w:rPr>
      </w:pPr>
      <w:r>
        <w:rPr>
          <w:rFonts w:ascii="Arial" w:hAnsi="Arial" w:cs="Arial"/>
        </w:rPr>
        <w:t xml:space="preserve">VIII. </w:t>
      </w:r>
      <w:r w:rsidRPr="007B7195">
        <w:rPr>
          <w:rFonts w:ascii="Arial" w:hAnsi="Arial" w:cs="Arial"/>
        </w:rPr>
        <w:t xml:space="preserve">Synthèse et conclusion :  comment mettre en œuvre un dispositif de contrôle interne : modalités, préalables, limites  </w:t>
      </w:r>
    </w:p>
    <w:p w14:paraId="1EFF176C" w14:textId="77777777" w:rsidR="00A7426A" w:rsidRDefault="00A7426A" w:rsidP="00A7426A">
      <w:pPr>
        <w:pStyle w:val="NoSpacing"/>
        <w:rPr>
          <w:rFonts w:ascii="Arial" w:hAnsi="Arial" w:cs="Arial"/>
          <w:b/>
          <w:bCs/>
        </w:rPr>
      </w:pPr>
    </w:p>
    <w:p w14:paraId="3B32408F" w14:textId="77777777" w:rsidR="00A7426A" w:rsidRPr="007B7195" w:rsidRDefault="00A7426A" w:rsidP="00A7426A">
      <w:pPr>
        <w:pStyle w:val="NoSpacing"/>
        <w:rPr>
          <w:rFonts w:ascii="Arial" w:hAnsi="Arial" w:cs="Arial"/>
          <w:b/>
          <w:bCs/>
        </w:rPr>
      </w:pPr>
    </w:p>
    <w:p w14:paraId="11E37BE1" w14:textId="77777777" w:rsidR="00A7426A" w:rsidRPr="007B7195" w:rsidRDefault="00A7426A" w:rsidP="00A7426A">
      <w:pPr>
        <w:tabs>
          <w:tab w:val="right" w:pos="993"/>
        </w:tabs>
        <w:autoSpaceDE w:val="0"/>
        <w:autoSpaceDN w:val="0"/>
        <w:adjustRightInd w:val="0"/>
        <w:spacing w:after="200" w:line="276" w:lineRule="auto"/>
        <w:rPr>
          <w:rFonts w:ascii="Arial" w:hAnsi="Arial" w:cs="Arial"/>
          <w:b/>
          <w:bCs/>
          <w:color w:val="000000"/>
        </w:rPr>
      </w:pPr>
      <w:r>
        <w:rPr>
          <w:rFonts w:ascii="Arial" w:hAnsi="Arial" w:cs="Arial"/>
          <w:color w:val="000000"/>
        </w:rPr>
        <w:tab/>
      </w:r>
      <w:r>
        <w:rPr>
          <w:rFonts w:ascii="Arial" w:hAnsi="Arial" w:cs="Arial"/>
          <w:b/>
          <w:bCs/>
          <w:color w:val="000000"/>
        </w:rPr>
        <w:tab/>
      </w:r>
      <w:r w:rsidRPr="007B7195">
        <w:rPr>
          <w:rFonts w:ascii="Arial" w:hAnsi="Arial" w:cs="Arial"/>
          <w:b/>
          <w:bCs/>
          <w:color w:val="000000"/>
        </w:rPr>
        <w:t xml:space="preserve">Quiz d’évaluation                             </w:t>
      </w:r>
    </w:p>
    <w:p w14:paraId="5F14169E" w14:textId="77777777" w:rsidR="00A7426A" w:rsidRPr="00E64BEB" w:rsidRDefault="00A7426A" w:rsidP="00A7426A">
      <w:pPr>
        <w:pStyle w:val="NoSpacing"/>
        <w:rPr>
          <w:rFonts w:ascii="Arial" w:hAnsi="Arial" w:cs="Arial"/>
          <w:b/>
          <w:bCs/>
        </w:rPr>
      </w:pPr>
    </w:p>
    <w:p w14:paraId="20B487DD" w14:textId="77777777" w:rsidR="00A7426A" w:rsidRPr="007B7195" w:rsidRDefault="00A7426A" w:rsidP="00A7426A">
      <w:pPr>
        <w:pStyle w:val="NoSpacing"/>
        <w:rPr>
          <w:rFonts w:ascii="Arial" w:hAnsi="Arial" w:cs="Arial"/>
          <w:b/>
          <w:bCs/>
        </w:rPr>
      </w:pPr>
    </w:p>
    <w:p w14:paraId="064D5614" w14:textId="27757760" w:rsidR="00BE6392" w:rsidRDefault="00BE6392" w:rsidP="00A7426A"/>
    <w:sectPr w:rsidR="00BE6392" w:rsidSect="00A7426A">
      <w:headerReference w:type="default" r:id="rId9"/>
      <w:headerReference w:type="first" r:id="rId10"/>
      <w:pgSz w:w="11906" w:h="16838"/>
      <w:pgMar w:top="1071" w:right="1440" w:bottom="567" w:left="1440"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B2B31A" w14:textId="77777777" w:rsidR="00F62A1F" w:rsidRDefault="00F62A1F" w:rsidP="00A7426A">
      <w:pPr>
        <w:spacing w:after="0" w:line="240" w:lineRule="auto"/>
      </w:pPr>
      <w:r>
        <w:separator/>
      </w:r>
    </w:p>
  </w:endnote>
  <w:endnote w:type="continuationSeparator" w:id="0">
    <w:p w14:paraId="4247C3D9" w14:textId="77777777" w:rsidR="00F62A1F" w:rsidRDefault="00F62A1F" w:rsidP="00A74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9B8573" w14:textId="77777777" w:rsidR="00F62A1F" w:rsidRDefault="00F62A1F" w:rsidP="00A7426A">
      <w:pPr>
        <w:spacing w:after="0" w:line="240" w:lineRule="auto"/>
      </w:pPr>
      <w:r>
        <w:separator/>
      </w:r>
    </w:p>
  </w:footnote>
  <w:footnote w:type="continuationSeparator" w:id="0">
    <w:p w14:paraId="1F4C31CD" w14:textId="77777777" w:rsidR="00F62A1F" w:rsidRDefault="00F62A1F" w:rsidP="00A742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1E42EF" w14:textId="38284B95" w:rsidR="00A7426A" w:rsidRDefault="00A7426A" w:rsidP="00A7426A">
    <w:pPr>
      <w:pStyle w:val="Header"/>
      <w:jc w:val="center"/>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EB3891" w14:textId="6465BBEE" w:rsidR="00A7426A" w:rsidRDefault="00B95882">
    <w:pPr>
      <w:pStyle w:val="Header"/>
    </w:pPr>
    <w:r>
      <w:rPr>
        <w:noProof/>
      </w:rPr>
      <w:drawing>
        <wp:anchor distT="0" distB="0" distL="114300" distR="114300" simplePos="0" relativeHeight="251659264" behindDoc="0" locked="0" layoutInCell="1" allowOverlap="1" wp14:anchorId="152FD13A" wp14:editId="3805B1F8">
          <wp:simplePos x="0" y="0"/>
          <wp:positionH relativeFrom="margin">
            <wp:posOffset>3600450</wp:posOffset>
          </wp:positionH>
          <wp:positionV relativeFrom="margin">
            <wp:posOffset>-1188085</wp:posOffset>
          </wp:positionV>
          <wp:extent cx="1657350" cy="97345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1657350" cy="973455"/>
                  </a:xfrm>
                  <a:prstGeom prst="rect">
                    <a:avLst/>
                  </a:prstGeom>
                </pic:spPr>
              </pic:pic>
            </a:graphicData>
          </a:graphic>
          <wp14:sizeRelH relativeFrom="margin">
            <wp14:pctWidth>0</wp14:pctWidth>
          </wp14:sizeRelH>
          <wp14:sizeRelV relativeFrom="margin">
            <wp14:pctHeight>0</wp14:pctHeight>
          </wp14:sizeRelV>
        </wp:anchor>
      </w:drawing>
    </w:r>
    <w:r w:rsidR="00A7426A">
      <w:rPr>
        <w:noProof/>
      </w:rPr>
      <w:drawing>
        <wp:inline distT="0" distB="0" distL="0" distR="0" wp14:anchorId="7E1B44A6" wp14:editId="5828F77B">
          <wp:extent cx="2616347" cy="1426716"/>
          <wp:effectExtent l="0" t="0" r="0" b="0"/>
          <wp:docPr id="19" name="Picture 19" descr="Graphical user interface, applicatio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687897" cy="1465733"/>
                  </a:xfrm>
                  <a:prstGeom prst="rect">
                    <a:avLst/>
                  </a:prstGeom>
                </pic:spPr>
              </pic:pic>
            </a:graphicData>
          </a:graphic>
        </wp:inline>
      </w:drawing>
    </w:r>
    <w:r w:rsidR="00A7426A">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1219CB"/>
    <w:multiLevelType w:val="hybridMultilevel"/>
    <w:tmpl w:val="73A64A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26A"/>
    <w:rsid w:val="00051F68"/>
    <w:rsid w:val="00554D11"/>
    <w:rsid w:val="00563EAD"/>
    <w:rsid w:val="00625ACA"/>
    <w:rsid w:val="0079494F"/>
    <w:rsid w:val="00A659C5"/>
    <w:rsid w:val="00A7426A"/>
    <w:rsid w:val="00AA140D"/>
    <w:rsid w:val="00B95882"/>
    <w:rsid w:val="00BE6392"/>
    <w:rsid w:val="00F15B0B"/>
    <w:rsid w:val="00F62A1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09973A2"/>
  <w15:chartTrackingRefBased/>
  <w15:docId w15:val="{519E6B34-8836-4189-BFA5-FFD30CF68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2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426A"/>
    <w:pPr>
      <w:ind w:left="720"/>
      <w:contextualSpacing/>
    </w:pPr>
  </w:style>
  <w:style w:type="table" w:styleId="TableGrid">
    <w:name w:val="Table Grid"/>
    <w:basedOn w:val="TableNormal"/>
    <w:uiPriority w:val="39"/>
    <w:rsid w:val="00A742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7426A"/>
    <w:rPr>
      <w:color w:val="0563C1" w:themeColor="hyperlink"/>
      <w:u w:val="single"/>
    </w:rPr>
  </w:style>
  <w:style w:type="paragraph" w:customStyle="1" w:styleId="Style1">
    <w:name w:val="Style1"/>
    <w:basedOn w:val="NoSpacing"/>
    <w:link w:val="Style1Char"/>
    <w:qFormat/>
    <w:rsid w:val="00A7426A"/>
    <w:pPr>
      <w:spacing w:after="60"/>
      <w:jc w:val="both"/>
    </w:pPr>
    <w:rPr>
      <w:rFonts w:ascii="Arial Narrow" w:eastAsia="Times New Roman" w:hAnsi="Arial Narrow"/>
      <w:lang w:val="en-GB" w:eastAsia="fr-FR"/>
    </w:rPr>
  </w:style>
  <w:style w:type="character" w:customStyle="1" w:styleId="Style1Char">
    <w:name w:val="Style1 Char"/>
    <w:basedOn w:val="DefaultParagraphFont"/>
    <w:link w:val="Style1"/>
    <w:rsid w:val="00A7426A"/>
    <w:rPr>
      <w:rFonts w:ascii="Arial Narrow" w:eastAsia="Times New Roman" w:hAnsi="Arial Narrow"/>
      <w:lang w:val="en-GB" w:eastAsia="fr-FR"/>
    </w:rPr>
  </w:style>
  <w:style w:type="paragraph" w:styleId="NoSpacing">
    <w:name w:val="No Spacing"/>
    <w:uiPriority w:val="1"/>
    <w:qFormat/>
    <w:rsid w:val="00A7426A"/>
    <w:pPr>
      <w:spacing w:after="0" w:line="240" w:lineRule="auto"/>
    </w:pPr>
  </w:style>
  <w:style w:type="paragraph" w:styleId="Header">
    <w:name w:val="header"/>
    <w:basedOn w:val="Normal"/>
    <w:link w:val="HeaderChar"/>
    <w:uiPriority w:val="99"/>
    <w:unhideWhenUsed/>
    <w:rsid w:val="00A742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426A"/>
  </w:style>
  <w:style w:type="paragraph" w:styleId="Footer">
    <w:name w:val="footer"/>
    <w:basedOn w:val="Normal"/>
    <w:link w:val="FooterChar"/>
    <w:uiPriority w:val="99"/>
    <w:unhideWhenUsed/>
    <w:rsid w:val="00A742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426A"/>
  </w:style>
  <w:style w:type="character" w:styleId="UnresolvedMention">
    <w:name w:val="Unresolved Mention"/>
    <w:basedOn w:val="DefaultParagraphFont"/>
    <w:uiPriority w:val="99"/>
    <w:semiHidden/>
    <w:unhideWhenUsed/>
    <w:rsid w:val="00554D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uejeans.com/382829614/023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FA2459-AB04-436A-A7BD-DBCFDB684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517</Words>
  <Characters>2844</Characters>
  <Application>Microsoft Office Word</Application>
  <DocSecurity>4</DocSecurity>
  <Lines>23</Lines>
  <Paragraphs>6</Paragraphs>
  <ScaleCrop>false</ScaleCrop>
  <Company/>
  <LinksUpToDate>false</LinksUpToDate>
  <CharactersWithSpaces>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ESSELIN Laura</dc:creator>
  <cp:keywords/>
  <dc:description/>
  <cp:lastModifiedBy>ESSELIN Laura</cp:lastModifiedBy>
  <cp:revision>2</cp:revision>
  <dcterms:created xsi:type="dcterms:W3CDTF">2021-07-08T11:23:00Z</dcterms:created>
  <dcterms:modified xsi:type="dcterms:W3CDTF">2021-07-08T11:23:00Z</dcterms:modified>
</cp:coreProperties>
</file>