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58BE3" w14:textId="77777777" w:rsidR="00472385" w:rsidRPr="00893972" w:rsidRDefault="00406722" w:rsidP="00AC29BB">
      <w:pPr>
        <w:pStyle w:val="TKMAINTITLE"/>
        <w:rPr>
          <w:lang w:val="es-ES"/>
        </w:rPr>
      </w:pPr>
      <w:r w:rsidRPr="00893972">
        <w:rPr>
          <w:lang w:val="es-ES"/>
        </w:rPr>
        <w:t>4</w:t>
      </w:r>
      <w:r w:rsidR="00AC29BB" w:rsidRPr="00893972">
        <w:rPr>
          <w:lang w:val="es-ES"/>
        </w:rPr>
        <w:t xml:space="preserve"> - </w:t>
      </w:r>
      <w:r w:rsidR="00072944" w:rsidRPr="00893972">
        <w:rPr>
          <w:lang w:val="es-ES"/>
        </w:rPr>
        <w:t>Respuesta adecuada a las diferencias culturales y gestión de la comunicación intercultural</w:t>
      </w:r>
    </w:p>
    <w:p w14:paraId="18145D4E" w14:textId="77777777" w:rsidR="00472385" w:rsidRPr="00893972" w:rsidRDefault="00893972" w:rsidP="004637CC">
      <w:pPr>
        <w:pStyle w:val="TKAIM"/>
      </w:pPr>
      <w:r w:rsidRPr="00893972">
        <w:t>Finalidad</w:t>
      </w:r>
      <w:r w:rsidR="00472385" w:rsidRPr="00893972">
        <w:t>:</w:t>
      </w:r>
      <w:r w:rsidR="00AC29BB" w:rsidRPr="00893972">
        <w:tab/>
      </w:r>
      <w:r w:rsidRPr="00893972">
        <w:t xml:space="preserve">Abordar algunas cuestiones básicas </w:t>
      </w:r>
      <w:r>
        <w:t>derivadas de las</w:t>
      </w:r>
      <w:r w:rsidRPr="00893972">
        <w:t xml:space="preserve"> diferencias culturales y formular algunas sugerencias para gestionar la comunicación intercultural</w:t>
      </w:r>
      <w:r w:rsidR="00392E44" w:rsidRPr="00893972">
        <w:t>.</w:t>
      </w:r>
    </w:p>
    <w:p w14:paraId="604C4B02" w14:textId="77777777" w:rsidR="00472385" w:rsidRPr="00893972" w:rsidRDefault="00893972" w:rsidP="003A0A5D">
      <w:pPr>
        <w:pStyle w:val="TKTITRE1"/>
        <w:rPr>
          <w:lang w:val="es-ES"/>
        </w:rPr>
      </w:pPr>
      <w:r>
        <w:rPr>
          <w:lang w:val="es-ES"/>
        </w:rPr>
        <w:t>¿Qué se entiende por cultura?</w:t>
      </w:r>
    </w:p>
    <w:p w14:paraId="69E6651D" w14:textId="77777777" w:rsidR="00472385" w:rsidRPr="00893972" w:rsidRDefault="00893972" w:rsidP="00947391">
      <w:pPr>
        <w:pStyle w:val="TKTEXTE"/>
        <w:jc w:val="both"/>
        <w:rPr>
          <w:lang w:val="es-ES"/>
        </w:rPr>
      </w:pPr>
      <w:r>
        <w:rPr>
          <w:lang w:val="es-ES"/>
        </w:rPr>
        <w:t xml:space="preserve">Por “cultura” se entiende un </w:t>
      </w:r>
      <w:r w:rsidRPr="00893972">
        <w:rPr>
          <w:lang w:val="es-ES"/>
        </w:rPr>
        <w:t xml:space="preserve">conjunto de actitudes, creencias, </w:t>
      </w:r>
      <w:r w:rsidR="0005500A">
        <w:rPr>
          <w:lang w:val="es-ES"/>
        </w:rPr>
        <w:t>suposi</w:t>
      </w:r>
      <w:r>
        <w:rPr>
          <w:lang w:val="es-ES"/>
        </w:rPr>
        <w:t xml:space="preserve">ciones </w:t>
      </w:r>
      <w:r w:rsidRPr="00893972">
        <w:rPr>
          <w:lang w:val="es-ES"/>
        </w:rPr>
        <w:t>y valores co</w:t>
      </w:r>
      <w:r>
        <w:rPr>
          <w:lang w:val="es-ES"/>
        </w:rPr>
        <w:t xml:space="preserve">mpartidos que ayudan a moldear la conducta </w:t>
      </w:r>
      <w:r w:rsidRPr="00893972">
        <w:rPr>
          <w:lang w:val="es-ES"/>
        </w:rPr>
        <w:t xml:space="preserve">y </w:t>
      </w:r>
      <w:r w:rsidR="0005500A">
        <w:rPr>
          <w:lang w:val="es-ES"/>
        </w:rPr>
        <w:t>que se plasman en</w:t>
      </w:r>
      <w:r w:rsidRPr="00893972">
        <w:rPr>
          <w:lang w:val="es-ES"/>
        </w:rPr>
        <w:t xml:space="preserve"> artefactos distintivos. Según esta definición, algunos aspectos de la cultura son visibles (c</w:t>
      </w:r>
      <w:r>
        <w:rPr>
          <w:lang w:val="es-ES"/>
        </w:rPr>
        <w:t>onductas</w:t>
      </w:r>
      <w:r w:rsidRPr="00893972">
        <w:rPr>
          <w:lang w:val="es-ES"/>
        </w:rPr>
        <w:t>, artefactos) y otros no (actitudes, creencias, valores). Cuando nos centramos en los signos externos de l</w:t>
      </w:r>
      <w:r w:rsidR="00947391">
        <w:rPr>
          <w:lang w:val="es-ES"/>
        </w:rPr>
        <w:t>a cultura, especialmente en la “alta cultura” (</w:t>
      </w:r>
      <w:r w:rsidRPr="00893972">
        <w:rPr>
          <w:lang w:val="es-ES"/>
        </w:rPr>
        <w:t>literatu</w:t>
      </w:r>
      <w:r w:rsidR="00947391">
        <w:rPr>
          <w:lang w:val="es-ES"/>
        </w:rPr>
        <w:t>ra, pintura, escultura, músi</w:t>
      </w:r>
      <w:r w:rsidR="00B237CE">
        <w:rPr>
          <w:lang w:val="es-ES"/>
        </w:rPr>
        <w:t>ca), tendemos a asociar cultura</w:t>
      </w:r>
      <w:r w:rsidR="00947391">
        <w:rPr>
          <w:lang w:val="es-ES"/>
        </w:rPr>
        <w:t xml:space="preserve"> con país y</w:t>
      </w:r>
      <w:r w:rsidR="00B237CE">
        <w:rPr>
          <w:lang w:val="es-ES"/>
        </w:rPr>
        <w:t xml:space="preserve"> nación</w:t>
      </w:r>
      <w:r w:rsidRPr="00893972">
        <w:rPr>
          <w:lang w:val="es-ES"/>
        </w:rPr>
        <w:t>. Sin embargo, la realidad es mucho más compleja: exist</w:t>
      </w:r>
      <w:r w:rsidR="00947391">
        <w:rPr>
          <w:lang w:val="es-ES"/>
        </w:rPr>
        <w:t>en diferencias culturales no sol</w:t>
      </w:r>
      <w:r w:rsidRPr="00893972">
        <w:rPr>
          <w:lang w:val="es-ES"/>
        </w:rPr>
        <w:t xml:space="preserve">o entre las </w:t>
      </w:r>
      <w:r w:rsidR="00B237CE">
        <w:rPr>
          <w:lang w:val="es-ES"/>
        </w:rPr>
        <w:t xml:space="preserve">distintas </w:t>
      </w:r>
      <w:r w:rsidRPr="00893972">
        <w:rPr>
          <w:lang w:val="es-ES"/>
        </w:rPr>
        <w:t>regiones del mundo, l</w:t>
      </w:r>
      <w:r w:rsidR="00947391">
        <w:rPr>
          <w:lang w:val="es-ES"/>
        </w:rPr>
        <w:t xml:space="preserve">as principales religiones y los </w:t>
      </w:r>
      <w:r w:rsidRPr="00893972">
        <w:rPr>
          <w:lang w:val="es-ES"/>
        </w:rPr>
        <w:t xml:space="preserve">países, sino también entre subgrupos étnicos, religiosos, lingüísticos o regionales </w:t>
      </w:r>
      <w:r w:rsidR="00947391">
        <w:rPr>
          <w:lang w:val="es-ES"/>
        </w:rPr>
        <w:t>concretos dentro de un mismo país. Au</w:t>
      </w:r>
      <w:r w:rsidRPr="00893972">
        <w:rPr>
          <w:lang w:val="es-ES"/>
        </w:rPr>
        <w:t xml:space="preserve">nque conozcamos el país, la región y el grupo étnico o religioso </w:t>
      </w:r>
      <w:r w:rsidR="00947391">
        <w:rPr>
          <w:lang w:val="es-ES"/>
        </w:rPr>
        <w:t>concreto al</w:t>
      </w:r>
      <w:r w:rsidRPr="00893972">
        <w:rPr>
          <w:lang w:val="es-ES"/>
        </w:rPr>
        <w:t xml:space="preserve"> que pertenece una persona, </w:t>
      </w:r>
      <w:r w:rsidR="00947391">
        <w:rPr>
          <w:lang w:val="es-ES"/>
        </w:rPr>
        <w:t>es imposible</w:t>
      </w:r>
      <w:r w:rsidRPr="00893972">
        <w:rPr>
          <w:lang w:val="es-ES"/>
        </w:rPr>
        <w:t xml:space="preserve"> predecir su comportamiento en una </w:t>
      </w:r>
      <w:r w:rsidR="00947391">
        <w:rPr>
          <w:lang w:val="es-ES"/>
        </w:rPr>
        <w:t xml:space="preserve">determinada </w:t>
      </w:r>
      <w:r w:rsidRPr="00893972">
        <w:rPr>
          <w:lang w:val="es-ES"/>
        </w:rPr>
        <w:t>situación</w:t>
      </w:r>
      <w:r w:rsidR="00947391">
        <w:rPr>
          <w:lang w:val="es-ES"/>
        </w:rPr>
        <w:t xml:space="preserve">. Por este motivo, </w:t>
      </w:r>
      <w:r w:rsidRPr="00893972">
        <w:rPr>
          <w:lang w:val="es-ES"/>
        </w:rPr>
        <w:t xml:space="preserve">suele ser mejor evitar hablar de culturas y de intercambios o conflictos entre culturas, y hablar </w:t>
      </w:r>
      <w:r w:rsidR="00947391">
        <w:rPr>
          <w:lang w:val="es-ES"/>
        </w:rPr>
        <w:t>mejor de “</w:t>
      </w:r>
      <w:r w:rsidR="000D1453">
        <w:rPr>
          <w:lang w:val="es-ES"/>
        </w:rPr>
        <w:t xml:space="preserve">bagaje </w:t>
      </w:r>
      <w:r w:rsidR="003C596F">
        <w:rPr>
          <w:lang w:val="es-ES"/>
        </w:rPr>
        <w:t>cultural</w:t>
      </w:r>
      <w:r w:rsidR="00947391">
        <w:rPr>
          <w:lang w:val="es-ES"/>
        </w:rPr>
        <w:t>” de las personas, de afiliaci</w:t>
      </w:r>
      <w:r w:rsidR="003C596F">
        <w:rPr>
          <w:lang w:val="es-ES"/>
        </w:rPr>
        <w:t>o</w:t>
      </w:r>
      <w:r w:rsidR="00947391">
        <w:rPr>
          <w:lang w:val="es-ES"/>
        </w:rPr>
        <w:t>n</w:t>
      </w:r>
      <w:r w:rsidR="003C596F">
        <w:rPr>
          <w:lang w:val="es-ES"/>
        </w:rPr>
        <w:t>es</w:t>
      </w:r>
      <w:r w:rsidR="00947391">
        <w:rPr>
          <w:lang w:val="es-ES"/>
        </w:rPr>
        <w:t xml:space="preserve"> cultural</w:t>
      </w:r>
      <w:r w:rsidR="00F36CF1">
        <w:rPr>
          <w:lang w:val="es-ES"/>
        </w:rPr>
        <w:t>e</w:t>
      </w:r>
      <w:r w:rsidR="003C596F">
        <w:rPr>
          <w:lang w:val="es-ES"/>
        </w:rPr>
        <w:t>s</w:t>
      </w:r>
      <w:r w:rsidR="00947391">
        <w:rPr>
          <w:lang w:val="es-ES"/>
        </w:rPr>
        <w:t xml:space="preserve"> y de</w:t>
      </w:r>
      <w:r w:rsidRPr="00893972">
        <w:rPr>
          <w:lang w:val="es-ES"/>
        </w:rPr>
        <w:t xml:space="preserve"> encuentros interculturales entre personas que se perciben a sí mismas o que son percibidas por otr</w:t>
      </w:r>
      <w:r w:rsidR="00947391">
        <w:rPr>
          <w:lang w:val="es-ES"/>
        </w:rPr>
        <w:t xml:space="preserve">os como culturalmente distintas. </w:t>
      </w:r>
    </w:p>
    <w:p w14:paraId="46C1FE20" w14:textId="77777777" w:rsidR="00472385" w:rsidRPr="00893972" w:rsidRDefault="00947391" w:rsidP="003A0A5D">
      <w:pPr>
        <w:pStyle w:val="TKTITRE1"/>
        <w:rPr>
          <w:lang w:val="es-ES"/>
        </w:rPr>
      </w:pPr>
      <w:r>
        <w:rPr>
          <w:lang w:val="es-ES"/>
        </w:rPr>
        <w:t xml:space="preserve">La comunicación en un entorno intercultural </w:t>
      </w:r>
    </w:p>
    <w:p w14:paraId="1B3EDD61" w14:textId="77777777" w:rsidR="00947391" w:rsidRPr="00947391" w:rsidRDefault="00947391" w:rsidP="00B237CE">
      <w:pPr>
        <w:pStyle w:val="TKTEXTE"/>
        <w:jc w:val="both"/>
        <w:rPr>
          <w:lang w:val="es-ES"/>
        </w:rPr>
      </w:pPr>
      <w:r w:rsidRPr="00947391">
        <w:rPr>
          <w:lang w:val="es-ES"/>
        </w:rPr>
        <w:t>La comunicación</w:t>
      </w:r>
      <w:r>
        <w:rPr>
          <w:lang w:val="es-ES"/>
        </w:rPr>
        <w:t xml:space="preserve"> resulta</w:t>
      </w:r>
      <w:r w:rsidRPr="00947391">
        <w:rPr>
          <w:lang w:val="es-ES"/>
        </w:rPr>
        <w:t xml:space="preserve"> eficaz en la medida en que los participantes </w:t>
      </w:r>
      <w:r>
        <w:rPr>
          <w:lang w:val="es-ES"/>
        </w:rPr>
        <w:t xml:space="preserve">logran entenderse entre sí. Tendemos de manera natural a </w:t>
      </w:r>
      <w:r w:rsidRPr="00947391">
        <w:rPr>
          <w:lang w:val="es-ES"/>
        </w:rPr>
        <w:t xml:space="preserve">interpretar los mensajes que recibimos en </w:t>
      </w:r>
      <w:r w:rsidR="00B237CE">
        <w:rPr>
          <w:lang w:val="es-ES"/>
        </w:rPr>
        <w:t>función de</w:t>
      </w:r>
      <w:r w:rsidR="003C596F">
        <w:rPr>
          <w:lang w:val="es-ES"/>
        </w:rPr>
        <w:t xml:space="preserve"> </w:t>
      </w:r>
      <w:r w:rsidRPr="00947391">
        <w:rPr>
          <w:lang w:val="es-ES"/>
        </w:rPr>
        <w:t>nuestras propias creencias y suposiciones. Pero cuando no</w:t>
      </w:r>
      <w:r w:rsidR="003C596F">
        <w:rPr>
          <w:lang w:val="es-ES"/>
        </w:rPr>
        <w:t>s comunicamos con personas cuyo</w:t>
      </w:r>
      <w:r w:rsidR="000D1453">
        <w:rPr>
          <w:lang w:val="es-ES"/>
        </w:rPr>
        <w:t xml:space="preserve"> bagaje</w:t>
      </w:r>
      <w:r w:rsidRPr="00947391">
        <w:rPr>
          <w:lang w:val="es-ES"/>
        </w:rPr>
        <w:t xml:space="preserve"> cultural </w:t>
      </w:r>
      <w:r w:rsidR="000D1453">
        <w:rPr>
          <w:lang w:val="es-ES"/>
        </w:rPr>
        <w:t>e</w:t>
      </w:r>
      <w:r w:rsidRPr="00947391">
        <w:rPr>
          <w:lang w:val="es-ES"/>
        </w:rPr>
        <w:t xml:space="preserve">s </w:t>
      </w:r>
      <w:r w:rsidR="003C596F">
        <w:rPr>
          <w:lang w:val="es-ES"/>
        </w:rPr>
        <w:t>distinto</w:t>
      </w:r>
      <w:r w:rsidRPr="00947391">
        <w:rPr>
          <w:lang w:val="es-ES"/>
        </w:rPr>
        <w:t xml:space="preserve"> a</w:t>
      </w:r>
      <w:r w:rsidR="000D1453">
        <w:rPr>
          <w:lang w:val="es-ES"/>
        </w:rPr>
        <w:t>l</w:t>
      </w:r>
      <w:r w:rsidRPr="00947391">
        <w:rPr>
          <w:lang w:val="es-ES"/>
        </w:rPr>
        <w:t xml:space="preserve"> nuestro, debemos estar </w:t>
      </w:r>
      <w:r w:rsidR="003C596F">
        <w:rPr>
          <w:lang w:val="es-ES"/>
        </w:rPr>
        <w:t>atentos a</w:t>
      </w:r>
      <w:r w:rsidRPr="00947391">
        <w:rPr>
          <w:lang w:val="es-ES"/>
        </w:rPr>
        <w:t xml:space="preserve"> la posibilidad d</w:t>
      </w:r>
      <w:r w:rsidR="003C596F">
        <w:rPr>
          <w:lang w:val="es-ES"/>
        </w:rPr>
        <w:t>e que podamos malinterpretar lo que pretenden comunicarnos, y a la inversa. Esto no siempre es</w:t>
      </w:r>
      <w:r w:rsidRPr="00947391">
        <w:rPr>
          <w:lang w:val="es-ES"/>
        </w:rPr>
        <w:t xml:space="preserve"> fácil, porque </w:t>
      </w:r>
      <w:r w:rsidR="003C596F">
        <w:rPr>
          <w:lang w:val="es-ES"/>
        </w:rPr>
        <w:t xml:space="preserve">en ocasiones no es </w:t>
      </w:r>
      <w:r w:rsidRPr="00947391">
        <w:rPr>
          <w:lang w:val="es-ES"/>
        </w:rPr>
        <w:t>obvio que haya diferencias entre el mensaje que recibimos y nuestra interpretación del mismo. La capacidad de identificar y corregir las interpretaciones erróneas o engañosas en un entorno intercultural es una importante competencia</w:t>
      </w:r>
      <w:r w:rsidR="000D1453">
        <w:rPr>
          <w:lang w:val="es-ES"/>
        </w:rPr>
        <w:t xml:space="preserve"> en este ámbito</w:t>
      </w:r>
      <w:r w:rsidRPr="00947391">
        <w:rPr>
          <w:lang w:val="es-ES"/>
        </w:rPr>
        <w:t>.</w:t>
      </w:r>
    </w:p>
    <w:p w14:paraId="55BF9E37" w14:textId="77777777" w:rsidR="00472385" w:rsidRPr="00893972" w:rsidRDefault="00B97DD1" w:rsidP="003A0A5D">
      <w:pPr>
        <w:pStyle w:val="TKTITRE1"/>
        <w:rPr>
          <w:lang w:val="es-ES"/>
        </w:rPr>
      </w:pPr>
      <w:r>
        <w:rPr>
          <w:lang w:val="es-ES"/>
        </w:rPr>
        <w:t>Gestión de la comunicación intercultural</w:t>
      </w:r>
    </w:p>
    <w:p w14:paraId="332584DD" w14:textId="77777777" w:rsidR="00F36CF1" w:rsidRPr="00F36CF1" w:rsidRDefault="00F36CF1" w:rsidP="00F36CF1">
      <w:pPr>
        <w:pStyle w:val="TKTEXTE"/>
        <w:jc w:val="both"/>
        <w:rPr>
          <w:lang w:val="es-ES"/>
        </w:rPr>
      </w:pPr>
      <w:r w:rsidRPr="00F36CF1">
        <w:rPr>
          <w:lang w:val="es-ES"/>
        </w:rPr>
        <w:t>Una for</w:t>
      </w:r>
      <w:r>
        <w:rPr>
          <w:lang w:val="es-ES"/>
        </w:rPr>
        <w:t xml:space="preserve">ma de evitar los malentendidos derivados de </w:t>
      </w:r>
      <w:r w:rsidR="000D1453">
        <w:rPr>
          <w:lang w:val="es-ES"/>
        </w:rPr>
        <w:t xml:space="preserve">las </w:t>
      </w:r>
      <w:r>
        <w:rPr>
          <w:lang w:val="es-ES"/>
        </w:rPr>
        <w:t xml:space="preserve">diferencias culturales </w:t>
      </w:r>
      <w:r w:rsidRPr="00F36CF1">
        <w:rPr>
          <w:lang w:val="es-ES"/>
        </w:rPr>
        <w:t>es hacer la comunicación lo más explícita posible, explicando y proporcionando deta</w:t>
      </w:r>
      <w:r>
        <w:rPr>
          <w:lang w:val="es-ES"/>
        </w:rPr>
        <w:t>lles sobre cuestiones que pueden</w:t>
      </w:r>
      <w:r w:rsidRPr="00F36CF1">
        <w:rPr>
          <w:lang w:val="es-ES"/>
        </w:rPr>
        <w:t xml:space="preserve"> parecer obvias en un entorno monocultural, y comprobando repetidamente que las personas con las que nos comunicamos han entendido lo que queremos decir. La experiencia </w:t>
      </w:r>
      <w:r w:rsidR="000D1453">
        <w:rPr>
          <w:lang w:val="es-ES"/>
        </w:rPr>
        <w:t xml:space="preserve">indica </w:t>
      </w:r>
      <w:r w:rsidRPr="00F36CF1">
        <w:rPr>
          <w:lang w:val="es-ES"/>
        </w:rPr>
        <w:t>que</w:t>
      </w:r>
      <w:r>
        <w:rPr>
          <w:lang w:val="es-ES"/>
        </w:rPr>
        <w:t>, si hacemos esto, no sol</w:t>
      </w:r>
      <w:r w:rsidRPr="00F36CF1">
        <w:rPr>
          <w:lang w:val="es-ES"/>
        </w:rPr>
        <w:t xml:space="preserve">o mejoraremos la calidad y la eficacia de la comunicación, sino que fomentaremos el desarrollo de relaciones positivas, aprendiendo cosas nuevas </w:t>
      </w:r>
      <w:r>
        <w:rPr>
          <w:lang w:val="es-ES"/>
        </w:rPr>
        <w:t xml:space="preserve">sobre nosotros mismos y sobre las personas con </w:t>
      </w:r>
      <w:r w:rsidR="000D1453">
        <w:rPr>
          <w:lang w:val="es-ES"/>
        </w:rPr>
        <w:t xml:space="preserve">un bagaje </w:t>
      </w:r>
      <w:r>
        <w:rPr>
          <w:lang w:val="es-ES"/>
        </w:rPr>
        <w:t>cultural</w:t>
      </w:r>
      <w:r w:rsidR="00B237CE">
        <w:rPr>
          <w:lang w:val="es-ES"/>
        </w:rPr>
        <w:t xml:space="preserve"> distinto al nuestro</w:t>
      </w:r>
      <w:r>
        <w:rPr>
          <w:lang w:val="es-ES"/>
        </w:rPr>
        <w:t xml:space="preserve">. </w:t>
      </w:r>
    </w:p>
    <w:p w14:paraId="4166E6CE" w14:textId="77777777" w:rsidR="00F36CF1" w:rsidRPr="00F36CF1" w:rsidRDefault="00F36CF1" w:rsidP="00F36CF1">
      <w:pPr>
        <w:pStyle w:val="TKTEXTE"/>
        <w:rPr>
          <w:lang w:val="es-ES"/>
        </w:rPr>
      </w:pPr>
    </w:p>
    <w:p w14:paraId="23B1427B" w14:textId="77777777" w:rsidR="00F36CF1" w:rsidRPr="00F36CF1" w:rsidRDefault="000D1453" w:rsidP="00F36CF1">
      <w:pPr>
        <w:pStyle w:val="TKTEXTE"/>
        <w:jc w:val="both"/>
        <w:rPr>
          <w:lang w:val="es-ES"/>
        </w:rPr>
      </w:pPr>
      <w:r>
        <w:rPr>
          <w:lang w:val="es-ES"/>
        </w:rPr>
        <w:lastRenderedPageBreak/>
        <w:t>Si a</w:t>
      </w:r>
      <w:r w:rsidR="00F36CF1">
        <w:rPr>
          <w:lang w:val="es-ES"/>
        </w:rPr>
        <w:t>dopta</w:t>
      </w:r>
      <w:r>
        <w:rPr>
          <w:lang w:val="es-ES"/>
        </w:rPr>
        <w:t>mos</w:t>
      </w:r>
      <w:r w:rsidR="00F36CF1">
        <w:rPr>
          <w:lang w:val="es-ES"/>
        </w:rPr>
        <w:t xml:space="preserve"> este </w:t>
      </w:r>
      <w:r w:rsidR="00F36CF1" w:rsidRPr="00F36CF1">
        <w:rPr>
          <w:lang w:val="es-ES"/>
        </w:rPr>
        <w:t>enfoque de comunicación intercultur</w:t>
      </w:r>
      <w:r w:rsidR="00F36CF1">
        <w:rPr>
          <w:lang w:val="es-ES"/>
        </w:rPr>
        <w:t>al al prestar apoyo lingüístico</w:t>
      </w:r>
      <w:r>
        <w:rPr>
          <w:lang w:val="es-ES"/>
        </w:rPr>
        <w:t>,</w:t>
      </w:r>
      <w:r w:rsidR="00F36CF1">
        <w:rPr>
          <w:lang w:val="es-ES"/>
        </w:rPr>
        <w:t xml:space="preserve"> </w:t>
      </w:r>
      <w:r w:rsidR="00F36CF1" w:rsidRPr="00F36CF1">
        <w:rPr>
          <w:lang w:val="es-ES"/>
        </w:rPr>
        <w:t>reducir</w:t>
      </w:r>
      <w:r>
        <w:rPr>
          <w:lang w:val="es-ES"/>
        </w:rPr>
        <w:t>emos</w:t>
      </w:r>
      <w:r w:rsidR="00F36CF1" w:rsidRPr="00F36CF1">
        <w:rPr>
          <w:lang w:val="es-ES"/>
        </w:rPr>
        <w:t xml:space="preserve"> el riesgo de malentendidos con los refugiados de</w:t>
      </w:r>
      <w:r w:rsidR="00F36CF1">
        <w:rPr>
          <w:lang w:val="es-ES"/>
        </w:rPr>
        <w:t>l</w:t>
      </w:r>
      <w:r w:rsidR="00F36CF1" w:rsidRPr="00F36CF1">
        <w:rPr>
          <w:lang w:val="es-ES"/>
        </w:rPr>
        <w:t xml:space="preserve"> grupo y entre ellos, y aumentará la probabilidad de que </w:t>
      </w:r>
      <w:r w:rsidR="00F36CF1">
        <w:rPr>
          <w:lang w:val="es-ES"/>
        </w:rPr>
        <w:t xml:space="preserve">estos </w:t>
      </w:r>
      <w:r w:rsidR="00F36CF1" w:rsidRPr="00F36CF1">
        <w:rPr>
          <w:lang w:val="es-ES"/>
        </w:rPr>
        <w:t>lleguen a</w:t>
      </w:r>
      <w:r w:rsidR="00B237CE">
        <w:rPr>
          <w:lang w:val="es-ES"/>
        </w:rPr>
        <w:t xml:space="preserve"> ver</w:t>
      </w:r>
      <w:r w:rsidR="00F36CF1">
        <w:rPr>
          <w:lang w:val="es-ES"/>
        </w:rPr>
        <w:t xml:space="preserve"> la diversidad cultural</w:t>
      </w:r>
      <w:r w:rsidR="00B237CE">
        <w:rPr>
          <w:lang w:val="es-ES"/>
        </w:rPr>
        <w:t xml:space="preserve"> como </w:t>
      </w:r>
      <w:r w:rsidR="00B237CE" w:rsidRPr="00F36CF1">
        <w:rPr>
          <w:lang w:val="es-ES"/>
        </w:rPr>
        <w:t>una ventaja</w:t>
      </w:r>
      <w:r w:rsidR="00F36CF1" w:rsidRPr="00F36CF1">
        <w:rPr>
          <w:lang w:val="es-ES"/>
        </w:rPr>
        <w:t>.</w:t>
      </w:r>
    </w:p>
    <w:p w14:paraId="625033C3" w14:textId="77777777" w:rsidR="00395220" w:rsidRDefault="00F36CF1" w:rsidP="00395220">
      <w:pPr>
        <w:pStyle w:val="TKTEXTE"/>
        <w:rPr>
          <w:lang w:val="es-ES"/>
        </w:rPr>
      </w:pPr>
      <w:r w:rsidRPr="00F36CF1">
        <w:rPr>
          <w:lang w:val="es-ES"/>
        </w:rPr>
        <w:t> </w:t>
      </w:r>
    </w:p>
    <w:p w14:paraId="39DE99D4" w14:textId="77777777" w:rsidR="00472385" w:rsidRPr="00893972" w:rsidRDefault="00395220" w:rsidP="003A0A5D">
      <w:pPr>
        <w:pStyle w:val="TKTITRE1"/>
        <w:rPr>
          <w:lang w:val="es-ES"/>
        </w:rPr>
      </w:pPr>
      <w:r>
        <w:rPr>
          <w:lang w:val="es-ES"/>
        </w:rPr>
        <w:t>No todas las diferencias son culturales</w:t>
      </w:r>
    </w:p>
    <w:p w14:paraId="2BC039A0" w14:textId="77777777" w:rsidR="00991FEC" w:rsidRDefault="00B237CE" w:rsidP="00991FEC">
      <w:pPr>
        <w:pStyle w:val="TKTEXTE"/>
        <w:jc w:val="both"/>
        <w:rPr>
          <w:lang w:val="es-ES"/>
        </w:rPr>
      </w:pPr>
      <w:r>
        <w:rPr>
          <w:lang w:val="es-ES"/>
        </w:rPr>
        <w:t>Dicho</w:t>
      </w:r>
      <w:r w:rsidR="00991FEC">
        <w:rPr>
          <w:lang w:val="es-ES"/>
        </w:rPr>
        <w:t xml:space="preserve"> lo anterior</w:t>
      </w:r>
      <w:r w:rsidR="00395220" w:rsidRPr="00395220">
        <w:rPr>
          <w:lang w:val="es-ES"/>
        </w:rPr>
        <w:t xml:space="preserve">, </w:t>
      </w:r>
      <w:r w:rsidR="00991FEC">
        <w:rPr>
          <w:lang w:val="es-ES"/>
        </w:rPr>
        <w:t>hay que ser conscientes</w:t>
      </w:r>
      <w:r w:rsidR="00395220" w:rsidRPr="00395220">
        <w:rPr>
          <w:lang w:val="es-ES"/>
        </w:rPr>
        <w:t xml:space="preserve"> </w:t>
      </w:r>
      <w:r w:rsidR="002D0127">
        <w:rPr>
          <w:lang w:val="es-ES"/>
        </w:rPr>
        <w:t xml:space="preserve">de </w:t>
      </w:r>
      <w:r w:rsidR="00395220" w:rsidRPr="00395220">
        <w:rPr>
          <w:lang w:val="es-ES"/>
        </w:rPr>
        <w:t xml:space="preserve">que no </w:t>
      </w:r>
      <w:r w:rsidR="00991FEC">
        <w:rPr>
          <w:lang w:val="es-ES"/>
        </w:rPr>
        <w:t xml:space="preserve">todas las diferencias entre </w:t>
      </w:r>
      <w:r w:rsidR="00395220" w:rsidRPr="00395220">
        <w:rPr>
          <w:lang w:val="es-ES"/>
        </w:rPr>
        <w:t xml:space="preserve">personas </w:t>
      </w:r>
      <w:r>
        <w:rPr>
          <w:lang w:val="es-ES"/>
        </w:rPr>
        <w:t>atienden</w:t>
      </w:r>
      <w:r w:rsidR="00991FEC">
        <w:rPr>
          <w:lang w:val="es-ES"/>
        </w:rPr>
        <w:t xml:space="preserve"> a cuestiones </w:t>
      </w:r>
      <w:r w:rsidR="00395220" w:rsidRPr="00395220">
        <w:rPr>
          <w:lang w:val="es-ES"/>
        </w:rPr>
        <w:t xml:space="preserve">culturales. Aunque un grupo de refugiados pueda compartir </w:t>
      </w:r>
      <w:r w:rsidR="004D42D6">
        <w:rPr>
          <w:lang w:val="es-ES"/>
        </w:rPr>
        <w:t xml:space="preserve">el </w:t>
      </w:r>
      <w:r w:rsidR="00395220" w:rsidRPr="00395220">
        <w:rPr>
          <w:lang w:val="es-ES"/>
        </w:rPr>
        <w:t>mismo</w:t>
      </w:r>
      <w:r w:rsidR="004D42D6">
        <w:rPr>
          <w:lang w:val="es-ES"/>
        </w:rPr>
        <w:t xml:space="preserve"> bagaje</w:t>
      </w:r>
      <w:r w:rsidR="00395220" w:rsidRPr="00395220">
        <w:rPr>
          <w:lang w:val="es-ES"/>
        </w:rPr>
        <w:t xml:space="preserve"> cultural, </w:t>
      </w:r>
      <w:r w:rsidR="00991FEC">
        <w:rPr>
          <w:lang w:val="es-ES"/>
        </w:rPr>
        <w:t xml:space="preserve">es posible que sus miembros </w:t>
      </w:r>
      <w:r w:rsidR="004D42D6">
        <w:rPr>
          <w:lang w:val="es-ES"/>
        </w:rPr>
        <w:t xml:space="preserve">tengan </w:t>
      </w:r>
      <w:r w:rsidR="00547AFF">
        <w:rPr>
          <w:lang w:val="es-ES"/>
        </w:rPr>
        <w:t xml:space="preserve">distintas </w:t>
      </w:r>
      <w:r w:rsidR="00395220" w:rsidRPr="00395220">
        <w:rPr>
          <w:lang w:val="es-ES"/>
        </w:rPr>
        <w:t>opiniones</w:t>
      </w:r>
      <w:r w:rsidR="004D42D6">
        <w:rPr>
          <w:lang w:val="es-ES"/>
        </w:rPr>
        <w:t xml:space="preserve">, prioridades, </w:t>
      </w:r>
      <w:r w:rsidR="00395220" w:rsidRPr="00395220">
        <w:rPr>
          <w:lang w:val="es-ES"/>
        </w:rPr>
        <w:t>expectativas</w:t>
      </w:r>
      <w:r w:rsidR="004D42D6">
        <w:rPr>
          <w:lang w:val="es-ES"/>
        </w:rPr>
        <w:t xml:space="preserve"> y</w:t>
      </w:r>
      <w:r>
        <w:rPr>
          <w:lang w:val="es-ES"/>
        </w:rPr>
        <w:t xml:space="preserve"> </w:t>
      </w:r>
      <w:r w:rsidRPr="009632A3">
        <w:rPr>
          <w:lang w:val="es-ES"/>
        </w:rPr>
        <w:t>preferencias</w:t>
      </w:r>
      <w:r w:rsidR="004D42D6" w:rsidRPr="009632A3">
        <w:rPr>
          <w:lang w:val="es-ES"/>
        </w:rPr>
        <w:t xml:space="preserve">, que muestren </w:t>
      </w:r>
      <w:r w:rsidR="00991FEC" w:rsidRPr="009632A3">
        <w:rPr>
          <w:lang w:val="es-ES"/>
        </w:rPr>
        <w:t>actitudes distintas h</w:t>
      </w:r>
      <w:r w:rsidR="00395220" w:rsidRPr="009632A3">
        <w:rPr>
          <w:lang w:val="es-ES"/>
        </w:rPr>
        <w:t xml:space="preserve">acia los demás y </w:t>
      </w:r>
      <w:r w:rsidR="00547AFF" w:rsidRPr="009632A3">
        <w:rPr>
          <w:lang w:val="es-ES"/>
        </w:rPr>
        <w:t>tengan también distintos</w:t>
      </w:r>
      <w:r w:rsidR="00547AFF" w:rsidRPr="009632A3" w:rsidDel="004D42D6">
        <w:rPr>
          <w:lang w:val="es-ES"/>
        </w:rPr>
        <w:t xml:space="preserve"> </w:t>
      </w:r>
      <w:r w:rsidR="00991FEC" w:rsidRPr="009632A3">
        <w:rPr>
          <w:lang w:val="es-ES"/>
        </w:rPr>
        <w:t xml:space="preserve">patrones de conducta. </w:t>
      </w:r>
      <w:r w:rsidR="00395220" w:rsidRPr="009632A3">
        <w:rPr>
          <w:lang w:val="es-ES"/>
        </w:rPr>
        <w:t xml:space="preserve">Estas diferencias se deben al hecho de que cada refugiado </w:t>
      </w:r>
      <w:r w:rsidR="004D42D6" w:rsidRPr="009632A3">
        <w:rPr>
          <w:lang w:val="es-ES"/>
        </w:rPr>
        <w:t xml:space="preserve">posee </w:t>
      </w:r>
      <w:r w:rsidR="00991FEC" w:rsidRPr="009632A3">
        <w:rPr>
          <w:lang w:val="es-ES"/>
        </w:rPr>
        <w:t xml:space="preserve">rasgos </w:t>
      </w:r>
      <w:r w:rsidR="004D42D6" w:rsidRPr="009632A3">
        <w:rPr>
          <w:lang w:val="es-ES"/>
        </w:rPr>
        <w:t xml:space="preserve">propios </w:t>
      </w:r>
      <w:r w:rsidRPr="009632A3">
        <w:rPr>
          <w:lang w:val="es-ES"/>
        </w:rPr>
        <w:t xml:space="preserve">y una </w:t>
      </w:r>
      <w:r w:rsidR="004D42D6" w:rsidRPr="009632A3">
        <w:rPr>
          <w:lang w:val="es-ES"/>
        </w:rPr>
        <w:t xml:space="preserve">trayectoria </w:t>
      </w:r>
      <w:r w:rsidR="00C63FC6" w:rsidRPr="009632A3">
        <w:rPr>
          <w:lang w:val="es-ES"/>
        </w:rPr>
        <w:t>personal</w:t>
      </w:r>
      <w:r w:rsidR="00A961F5" w:rsidRPr="009632A3">
        <w:rPr>
          <w:lang w:val="es-ES"/>
        </w:rPr>
        <w:t xml:space="preserve"> distinta</w:t>
      </w:r>
      <w:r w:rsidR="00C63FC6" w:rsidRPr="009632A3">
        <w:rPr>
          <w:lang w:val="es-ES"/>
        </w:rPr>
        <w:t>.</w:t>
      </w:r>
      <w:r w:rsidR="00547AFF">
        <w:rPr>
          <w:lang w:val="es-ES"/>
        </w:rPr>
        <w:t xml:space="preserve"> </w:t>
      </w:r>
      <w:r w:rsidR="00EA0FC2">
        <w:rPr>
          <w:lang w:val="es-ES"/>
        </w:rPr>
        <w:t xml:space="preserve"> </w:t>
      </w:r>
    </w:p>
    <w:p w14:paraId="086F8047" w14:textId="77777777" w:rsidR="00991FEC" w:rsidRPr="00893972" w:rsidRDefault="00991FEC" w:rsidP="00991FEC">
      <w:pPr>
        <w:pStyle w:val="TKTEXTE"/>
        <w:jc w:val="both"/>
        <w:rPr>
          <w:lang w:val="es-ES"/>
        </w:rPr>
      </w:pPr>
    </w:p>
    <w:p w14:paraId="3898CC68" w14:textId="77777777" w:rsidR="00206E51" w:rsidRPr="00206E51" w:rsidRDefault="00287A62" w:rsidP="00206E51">
      <w:pPr>
        <w:pStyle w:val="TKTITRE2"/>
        <w:rPr>
          <w:lang w:val="es-ES"/>
        </w:rPr>
      </w:pPr>
      <w:r>
        <w:rPr>
          <w:lang w:val="es-ES"/>
        </w:rPr>
        <w:t>Consideremos las dos siguientes d</w:t>
      </w:r>
      <w:r w:rsidR="00206E51">
        <w:rPr>
          <w:lang w:val="es-ES"/>
        </w:rPr>
        <w:t>escripciones de</w:t>
      </w:r>
      <w:r w:rsidR="00206E51" w:rsidRPr="00206E51">
        <w:rPr>
          <w:lang w:val="es-ES"/>
        </w:rPr>
        <w:t xml:space="preserve"> </w:t>
      </w:r>
      <w:r w:rsidR="004D42D6">
        <w:rPr>
          <w:lang w:val="es-ES"/>
        </w:rPr>
        <w:t xml:space="preserve">un </w:t>
      </w:r>
      <w:r w:rsidR="00206E51" w:rsidRPr="00206E51">
        <w:rPr>
          <w:lang w:val="es-ES"/>
        </w:rPr>
        <w:t>grupo de apoyo lingüístico</w:t>
      </w:r>
    </w:p>
    <w:p w14:paraId="58E6767D" w14:textId="77777777" w:rsidR="00206E51" w:rsidRPr="00206E51" w:rsidRDefault="00206E51" w:rsidP="00287A62">
      <w:pPr>
        <w:pStyle w:val="TKTITRE2"/>
        <w:jc w:val="both"/>
        <w:rPr>
          <w:rFonts w:eastAsia="Calibri" w:cs="Times New Roman"/>
          <w:b w:val="0"/>
          <w:sz w:val="24"/>
          <w:szCs w:val="24"/>
          <w:lang w:val="es-ES"/>
        </w:rPr>
      </w:pPr>
      <w:r w:rsidRPr="00206E51">
        <w:rPr>
          <w:rFonts w:eastAsia="Calibri" w:cs="Times New Roman"/>
          <w:b w:val="0"/>
          <w:sz w:val="24"/>
          <w:szCs w:val="24"/>
          <w:lang w:val="es-ES"/>
        </w:rPr>
        <w:t>1.</w:t>
      </w:r>
      <w:r w:rsidRPr="00206E51">
        <w:rPr>
          <w:rFonts w:eastAsia="Calibri" w:cs="Times New Roman"/>
          <w:b w:val="0"/>
          <w:sz w:val="24"/>
          <w:szCs w:val="24"/>
          <w:lang w:val="es-ES"/>
        </w:rPr>
        <w:tab/>
        <w:t xml:space="preserve">El grupo se divide por </w:t>
      </w:r>
      <w:r w:rsidR="00287A62">
        <w:rPr>
          <w:rFonts w:eastAsia="Calibri" w:cs="Times New Roman"/>
          <w:b w:val="0"/>
          <w:sz w:val="24"/>
          <w:szCs w:val="24"/>
          <w:lang w:val="es-ES"/>
        </w:rPr>
        <w:t>sexos y los</w:t>
      </w:r>
      <w:r w:rsidRPr="00206E51">
        <w:rPr>
          <w:rFonts w:eastAsia="Calibri" w:cs="Times New Roman"/>
          <w:b w:val="0"/>
          <w:sz w:val="24"/>
          <w:szCs w:val="24"/>
          <w:lang w:val="es-ES"/>
        </w:rPr>
        <w:t xml:space="preserve"> miembros no responden a </w:t>
      </w:r>
      <w:r w:rsidR="00287A62">
        <w:rPr>
          <w:rFonts w:eastAsia="Calibri" w:cs="Times New Roman"/>
          <w:b w:val="0"/>
          <w:sz w:val="24"/>
          <w:szCs w:val="24"/>
          <w:lang w:val="es-ES"/>
        </w:rPr>
        <w:t>nuestras</w:t>
      </w:r>
      <w:r w:rsidRPr="00206E51">
        <w:rPr>
          <w:rFonts w:eastAsia="Calibri" w:cs="Times New Roman"/>
          <w:b w:val="0"/>
          <w:sz w:val="24"/>
          <w:szCs w:val="24"/>
          <w:lang w:val="es-ES"/>
        </w:rPr>
        <w:t xml:space="preserve"> preguntas hasta qu</w:t>
      </w:r>
      <w:r w:rsidR="00287A62">
        <w:rPr>
          <w:rFonts w:eastAsia="Calibri" w:cs="Times New Roman"/>
          <w:b w:val="0"/>
          <w:sz w:val="24"/>
          <w:szCs w:val="24"/>
          <w:lang w:val="es-ES"/>
        </w:rPr>
        <w:t>e la persona de mayor rango ha</w:t>
      </w:r>
      <w:r w:rsidRPr="00206E51">
        <w:rPr>
          <w:rFonts w:eastAsia="Calibri" w:cs="Times New Roman"/>
          <w:b w:val="0"/>
          <w:sz w:val="24"/>
          <w:szCs w:val="24"/>
          <w:lang w:val="es-ES"/>
        </w:rPr>
        <w:t xml:space="preserve"> hablado o</w:t>
      </w:r>
      <w:r w:rsidR="00287A62">
        <w:rPr>
          <w:rFonts w:eastAsia="Calibri" w:cs="Times New Roman"/>
          <w:b w:val="0"/>
          <w:sz w:val="24"/>
          <w:szCs w:val="24"/>
          <w:lang w:val="es-ES"/>
        </w:rPr>
        <w:t xml:space="preserve"> cede la palabra </w:t>
      </w:r>
      <w:r w:rsidRPr="00206E51">
        <w:rPr>
          <w:rFonts w:eastAsia="Calibri" w:cs="Times New Roman"/>
          <w:b w:val="0"/>
          <w:sz w:val="24"/>
          <w:szCs w:val="24"/>
          <w:lang w:val="es-ES"/>
        </w:rPr>
        <w:t>a otr</w:t>
      </w:r>
      <w:r w:rsidR="004D42D6">
        <w:rPr>
          <w:rFonts w:eastAsia="Calibri" w:cs="Times New Roman"/>
          <w:b w:val="0"/>
          <w:sz w:val="24"/>
          <w:szCs w:val="24"/>
          <w:lang w:val="es-ES"/>
        </w:rPr>
        <w:t>o</w:t>
      </w:r>
      <w:r w:rsidRPr="00206E51">
        <w:rPr>
          <w:rFonts w:eastAsia="Calibri" w:cs="Times New Roman"/>
          <w:b w:val="0"/>
          <w:sz w:val="24"/>
          <w:szCs w:val="24"/>
          <w:lang w:val="es-ES"/>
        </w:rPr>
        <w:t xml:space="preserve">. </w:t>
      </w:r>
      <w:r w:rsidR="00287A62">
        <w:rPr>
          <w:rFonts w:eastAsia="Calibri" w:cs="Times New Roman"/>
          <w:b w:val="0"/>
          <w:sz w:val="24"/>
          <w:szCs w:val="24"/>
          <w:lang w:val="es-ES"/>
        </w:rPr>
        <w:t>Los miembros del grupo e</w:t>
      </w:r>
      <w:r w:rsidRPr="00206E51">
        <w:rPr>
          <w:rFonts w:eastAsia="Calibri" w:cs="Times New Roman"/>
          <w:b w:val="0"/>
          <w:sz w:val="24"/>
          <w:szCs w:val="24"/>
          <w:lang w:val="es-ES"/>
        </w:rPr>
        <w:t xml:space="preserve">speran pacientemente </w:t>
      </w:r>
      <w:r w:rsidR="00287A62">
        <w:rPr>
          <w:rFonts w:eastAsia="Calibri" w:cs="Times New Roman"/>
          <w:b w:val="0"/>
          <w:sz w:val="24"/>
          <w:szCs w:val="24"/>
          <w:lang w:val="es-ES"/>
        </w:rPr>
        <w:t>a</w:t>
      </w:r>
      <w:r w:rsidRPr="00206E51">
        <w:rPr>
          <w:rFonts w:eastAsia="Calibri" w:cs="Times New Roman"/>
          <w:b w:val="0"/>
          <w:sz w:val="24"/>
          <w:szCs w:val="24"/>
          <w:lang w:val="es-ES"/>
        </w:rPr>
        <w:t xml:space="preserve"> recibir información e instrucciones sobre qué hacer</w:t>
      </w:r>
      <w:r w:rsidR="00287A62">
        <w:rPr>
          <w:rFonts w:eastAsia="Calibri" w:cs="Times New Roman"/>
          <w:b w:val="0"/>
          <w:sz w:val="24"/>
          <w:szCs w:val="24"/>
          <w:lang w:val="es-ES"/>
        </w:rPr>
        <w:t>, y no hacen preguntas. So</w:t>
      </w:r>
      <w:r w:rsidRPr="00206E51">
        <w:rPr>
          <w:rFonts w:eastAsia="Calibri" w:cs="Times New Roman"/>
          <w:b w:val="0"/>
          <w:sz w:val="24"/>
          <w:szCs w:val="24"/>
          <w:lang w:val="es-ES"/>
        </w:rPr>
        <w:t xml:space="preserve">lo hay dos hombres jóvenes que parecen dispuestos a participar más activamente en el proceso de aprendizaje, pero se abstienen </w:t>
      </w:r>
      <w:r w:rsidR="00B237CE">
        <w:rPr>
          <w:rFonts w:eastAsia="Calibri" w:cs="Times New Roman"/>
          <w:b w:val="0"/>
          <w:sz w:val="24"/>
          <w:szCs w:val="24"/>
          <w:lang w:val="es-ES"/>
        </w:rPr>
        <w:t>de hacerlo tras</w:t>
      </w:r>
      <w:r w:rsidRPr="00206E51">
        <w:rPr>
          <w:rFonts w:eastAsia="Calibri" w:cs="Times New Roman"/>
          <w:b w:val="0"/>
          <w:sz w:val="24"/>
          <w:szCs w:val="24"/>
          <w:lang w:val="es-ES"/>
        </w:rPr>
        <w:t xml:space="preserve"> ver cómo se comporta el resto del grupo.</w:t>
      </w:r>
    </w:p>
    <w:p w14:paraId="1C5C88E8" w14:textId="77777777" w:rsidR="00206E51" w:rsidRPr="00206E51" w:rsidRDefault="00206E51" w:rsidP="00287A62">
      <w:pPr>
        <w:pStyle w:val="TKTITRE2"/>
        <w:jc w:val="both"/>
        <w:rPr>
          <w:rFonts w:eastAsia="Calibri" w:cs="Times New Roman"/>
          <w:b w:val="0"/>
          <w:sz w:val="24"/>
          <w:szCs w:val="24"/>
          <w:lang w:val="es-ES"/>
        </w:rPr>
      </w:pPr>
      <w:r w:rsidRPr="00206E51">
        <w:rPr>
          <w:rFonts w:eastAsia="Calibri" w:cs="Times New Roman"/>
          <w:b w:val="0"/>
          <w:sz w:val="24"/>
          <w:szCs w:val="24"/>
          <w:lang w:val="es-ES"/>
        </w:rPr>
        <w:t>2.</w:t>
      </w:r>
      <w:r w:rsidRPr="00206E51">
        <w:rPr>
          <w:rFonts w:eastAsia="Calibri" w:cs="Times New Roman"/>
          <w:b w:val="0"/>
          <w:sz w:val="24"/>
          <w:szCs w:val="24"/>
          <w:lang w:val="es-ES"/>
        </w:rPr>
        <w:tab/>
        <w:t>Las mujeres y los hombres interactúan libremente entre sí. La mayoría de l</w:t>
      </w:r>
      <w:r w:rsidR="00287A62">
        <w:rPr>
          <w:rFonts w:eastAsia="Calibri" w:cs="Times New Roman"/>
          <w:b w:val="0"/>
          <w:sz w:val="24"/>
          <w:szCs w:val="24"/>
          <w:lang w:val="es-ES"/>
        </w:rPr>
        <w:t>os miembros del grupo participan activamente y hacen</w:t>
      </w:r>
      <w:r w:rsidRPr="00206E51">
        <w:rPr>
          <w:rFonts w:eastAsia="Calibri" w:cs="Times New Roman"/>
          <w:b w:val="0"/>
          <w:sz w:val="24"/>
          <w:szCs w:val="24"/>
          <w:lang w:val="es-ES"/>
        </w:rPr>
        <w:t xml:space="preserve"> preguntas cuando </w:t>
      </w:r>
      <w:r w:rsidR="00B237CE">
        <w:rPr>
          <w:rFonts w:eastAsia="Calibri" w:cs="Times New Roman"/>
          <w:b w:val="0"/>
          <w:sz w:val="24"/>
          <w:szCs w:val="24"/>
          <w:lang w:val="es-ES"/>
        </w:rPr>
        <w:t>necesitan</w:t>
      </w:r>
      <w:r w:rsidR="00287A62">
        <w:rPr>
          <w:rFonts w:eastAsia="Calibri" w:cs="Times New Roman"/>
          <w:b w:val="0"/>
          <w:sz w:val="24"/>
          <w:szCs w:val="24"/>
          <w:lang w:val="es-ES"/>
        </w:rPr>
        <w:t xml:space="preserve"> aclarar </w:t>
      </w:r>
      <w:r w:rsidR="00B237CE">
        <w:rPr>
          <w:rFonts w:eastAsia="Calibri" w:cs="Times New Roman"/>
          <w:b w:val="0"/>
          <w:sz w:val="24"/>
          <w:szCs w:val="24"/>
          <w:lang w:val="es-ES"/>
        </w:rPr>
        <w:t>o</w:t>
      </w:r>
      <w:r w:rsidRPr="00206E51">
        <w:rPr>
          <w:rFonts w:eastAsia="Calibri" w:cs="Times New Roman"/>
          <w:b w:val="0"/>
          <w:sz w:val="24"/>
          <w:szCs w:val="24"/>
          <w:lang w:val="es-ES"/>
        </w:rPr>
        <w:t xml:space="preserve"> saber algo. Sin embargo, algunos permanecen pasivos, evitan el contacto visual, no responden a las preguntas y </w:t>
      </w:r>
      <w:r w:rsidR="00B237CE">
        <w:rPr>
          <w:rFonts w:eastAsia="Calibri" w:cs="Times New Roman"/>
          <w:b w:val="0"/>
          <w:sz w:val="24"/>
          <w:szCs w:val="24"/>
          <w:lang w:val="es-ES"/>
        </w:rPr>
        <w:t xml:space="preserve">por lo </w:t>
      </w:r>
      <w:r w:rsidRPr="00206E51">
        <w:rPr>
          <w:rFonts w:eastAsia="Calibri" w:cs="Times New Roman"/>
          <w:b w:val="0"/>
          <w:sz w:val="24"/>
          <w:szCs w:val="24"/>
          <w:lang w:val="es-ES"/>
        </w:rPr>
        <w:t>general mantienen un perfil bajo.</w:t>
      </w:r>
    </w:p>
    <w:p w14:paraId="24FCEA8C" w14:textId="77777777" w:rsidR="00287A62" w:rsidRPr="00287A62" w:rsidRDefault="00287A62" w:rsidP="00287A62">
      <w:pPr>
        <w:pStyle w:val="TKTEXTE"/>
        <w:jc w:val="both"/>
        <w:rPr>
          <w:lang w:val="es-ES"/>
        </w:rPr>
      </w:pPr>
      <w:r w:rsidRPr="00287A62">
        <w:rPr>
          <w:lang w:val="es-ES"/>
        </w:rPr>
        <w:t xml:space="preserve">En </w:t>
      </w:r>
      <w:r>
        <w:rPr>
          <w:lang w:val="es-ES"/>
        </w:rPr>
        <w:t>ambos</w:t>
      </w:r>
      <w:r w:rsidRPr="00287A62">
        <w:rPr>
          <w:lang w:val="es-ES"/>
        </w:rPr>
        <w:t xml:space="preserve"> grupos, algunos miembros pueden encontrar la situación normal y sentirse cómodos con ella, mientras que otros pueden</w:t>
      </w:r>
      <w:r>
        <w:rPr>
          <w:lang w:val="es-ES"/>
        </w:rPr>
        <w:t xml:space="preserve"> sentirse sorprendidos o incluso frustrados. </w:t>
      </w:r>
      <w:r w:rsidRPr="00287A62">
        <w:rPr>
          <w:lang w:val="es-ES"/>
        </w:rPr>
        <w:t xml:space="preserve">Sin embargo, los comportamientos descritos pueden </w:t>
      </w:r>
      <w:r>
        <w:rPr>
          <w:lang w:val="es-ES"/>
        </w:rPr>
        <w:t xml:space="preserve">deberse a distintos </w:t>
      </w:r>
      <w:r w:rsidRPr="00287A62">
        <w:rPr>
          <w:lang w:val="es-ES"/>
        </w:rPr>
        <w:t>factores:</w:t>
      </w:r>
    </w:p>
    <w:p w14:paraId="15BED487" w14:textId="77777777" w:rsidR="00287A62" w:rsidRPr="00287A62" w:rsidRDefault="00287A62" w:rsidP="00287A62">
      <w:pPr>
        <w:pStyle w:val="TKTEXTE"/>
        <w:numPr>
          <w:ilvl w:val="0"/>
          <w:numId w:val="12"/>
        </w:numPr>
        <w:jc w:val="both"/>
        <w:rPr>
          <w:lang w:val="es-ES"/>
        </w:rPr>
      </w:pPr>
      <w:r w:rsidRPr="00287A62">
        <w:rPr>
          <w:lang w:val="es-ES"/>
        </w:rPr>
        <w:t>algunos miembros del grupo pueden</w:t>
      </w:r>
      <w:r>
        <w:rPr>
          <w:lang w:val="es-ES"/>
        </w:rPr>
        <w:t xml:space="preserve"> estar comportándose como lo harían en su país de origen;</w:t>
      </w:r>
    </w:p>
    <w:p w14:paraId="54EC0673" w14:textId="77777777" w:rsidR="00287A62" w:rsidRPr="00287A62" w:rsidRDefault="00287A62" w:rsidP="00287A62">
      <w:pPr>
        <w:pStyle w:val="TKTEXTE"/>
        <w:numPr>
          <w:ilvl w:val="0"/>
          <w:numId w:val="12"/>
        </w:numPr>
        <w:jc w:val="both"/>
        <w:rPr>
          <w:lang w:val="es-ES"/>
        </w:rPr>
      </w:pPr>
      <w:r>
        <w:rPr>
          <w:lang w:val="es-ES"/>
        </w:rPr>
        <w:t xml:space="preserve">algunos, habiendo </w:t>
      </w:r>
      <w:r w:rsidRPr="00287A62">
        <w:rPr>
          <w:lang w:val="es-ES"/>
        </w:rPr>
        <w:t xml:space="preserve">reconocido </w:t>
      </w:r>
      <w:r>
        <w:rPr>
          <w:lang w:val="es-ES"/>
        </w:rPr>
        <w:t>la importancia de la solidaridad de</w:t>
      </w:r>
      <w:r w:rsidRPr="00287A62">
        <w:rPr>
          <w:lang w:val="es-ES"/>
        </w:rPr>
        <w:t xml:space="preserve"> grupo, pueden </w:t>
      </w:r>
      <w:r>
        <w:rPr>
          <w:lang w:val="es-ES"/>
        </w:rPr>
        <w:t>estar comportándose como el g</w:t>
      </w:r>
      <w:r w:rsidRPr="00287A62">
        <w:rPr>
          <w:lang w:val="es-ES"/>
        </w:rPr>
        <w:t>rupo espera</w:t>
      </w:r>
      <w:r>
        <w:rPr>
          <w:lang w:val="es-ES"/>
        </w:rPr>
        <w:t xml:space="preserve"> que lo hagan (que no coincide con el modo en que se comportarían en su país);</w:t>
      </w:r>
    </w:p>
    <w:p w14:paraId="7DC04796" w14:textId="77777777" w:rsidR="00287A62" w:rsidRPr="00287A62" w:rsidRDefault="00287A62" w:rsidP="00287A62">
      <w:pPr>
        <w:pStyle w:val="TKTEXTE"/>
        <w:numPr>
          <w:ilvl w:val="0"/>
          <w:numId w:val="12"/>
        </w:numPr>
        <w:jc w:val="both"/>
        <w:rPr>
          <w:lang w:val="es-ES"/>
        </w:rPr>
      </w:pPr>
      <w:r w:rsidRPr="00287A62">
        <w:rPr>
          <w:lang w:val="es-ES"/>
        </w:rPr>
        <w:t xml:space="preserve">algunos pueden estar comportándose </w:t>
      </w:r>
      <w:r>
        <w:rPr>
          <w:lang w:val="es-ES"/>
        </w:rPr>
        <w:t>con arreglo a las</w:t>
      </w:r>
      <w:r w:rsidRPr="00287A62">
        <w:rPr>
          <w:lang w:val="es-ES"/>
        </w:rPr>
        <w:t xml:space="preserve"> opiniones personales que han desarrollado desde que </w:t>
      </w:r>
      <w:r>
        <w:rPr>
          <w:lang w:val="es-ES"/>
        </w:rPr>
        <w:t>abandonaron su</w:t>
      </w:r>
      <w:r w:rsidRPr="00287A62">
        <w:rPr>
          <w:lang w:val="es-ES"/>
        </w:rPr>
        <w:t xml:space="preserve"> país de origen.</w:t>
      </w:r>
    </w:p>
    <w:p w14:paraId="54872F37" w14:textId="77777777" w:rsidR="00472385" w:rsidRPr="00287A62" w:rsidRDefault="00287A62" w:rsidP="00287A62">
      <w:pPr>
        <w:pStyle w:val="TKTEXTE"/>
        <w:jc w:val="both"/>
        <w:rPr>
          <w:lang w:val="es-ES"/>
        </w:rPr>
      </w:pPr>
      <w:r w:rsidRPr="00287A62">
        <w:rPr>
          <w:lang w:val="es-ES"/>
        </w:rPr>
        <w:t xml:space="preserve">Esta variedad </w:t>
      </w:r>
      <w:r>
        <w:rPr>
          <w:lang w:val="es-ES"/>
        </w:rPr>
        <w:t xml:space="preserve">de opciones </w:t>
      </w:r>
      <w:r w:rsidRPr="00287A62">
        <w:rPr>
          <w:lang w:val="es-ES"/>
        </w:rPr>
        <w:t>confirma que, si bien las prácticas culturales desempeñan un papel importante, no debemos tratar de explicarlo todo a través de la cul</w:t>
      </w:r>
      <w:r>
        <w:rPr>
          <w:lang w:val="es-ES"/>
        </w:rPr>
        <w:t xml:space="preserve">tura. También debemos evitar las etiquetas y los estereotipos. </w:t>
      </w:r>
    </w:p>
    <w:p w14:paraId="612B3635" w14:textId="77777777" w:rsidR="00472385" w:rsidRPr="00893972" w:rsidRDefault="00472385" w:rsidP="003A0A5D">
      <w:pPr>
        <w:pStyle w:val="TKTITRE1"/>
        <w:rPr>
          <w:lang w:val="es-ES"/>
        </w:rPr>
      </w:pPr>
      <w:r w:rsidRPr="00893972">
        <w:rPr>
          <w:lang w:val="es-ES"/>
        </w:rPr>
        <w:t>Crea</w:t>
      </w:r>
      <w:r w:rsidR="00206E51">
        <w:rPr>
          <w:lang w:val="es-ES"/>
        </w:rPr>
        <w:t xml:space="preserve">ción de un espacio intercultural para el apoyo lingüístico </w:t>
      </w:r>
    </w:p>
    <w:p w14:paraId="51CB784D" w14:textId="77777777" w:rsidR="00287A62" w:rsidRDefault="00287A62" w:rsidP="00287A62">
      <w:pPr>
        <w:pStyle w:val="TKTEXTE"/>
        <w:jc w:val="both"/>
        <w:rPr>
          <w:lang w:val="es-ES"/>
        </w:rPr>
      </w:pPr>
      <w:r w:rsidRPr="00287A62">
        <w:rPr>
          <w:lang w:val="es-ES"/>
        </w:rPr>
        <w:t xml:space="preserve">Una buena forma de </w:t>
      </w:r>
      <w:r>
        <w:rPr>
          <w:lang w:val="es-ES"/>
        </w:rPr>
        <w:t>minimizar los</w:t>
      </w:r>
      <w:r w:rsidRPr="00287A62">
        <w:rPr>
          <w:lang w:val="es-ES"/>
        </w:rPr>
        <w:t xml:space="preserve"> riesgos de conflicto y malentendidos interculturales durante el apoyo lingüístico es alentar al grupo a crear su propia cultura, con </w:t>
      </w:r>
      <w:r>
        <w:rPr>
          <w:lang w:val="es-ES"/>
        </w:rPr>
        <w:t xml:space="preserve">normas </w:t>
      </w:r>
      <w:r w:rsidRPr="00287A62">
        <w:rPr>
          <w:lang w:val="es-ES"/>
        </w:rPr>
        <w:t xml:space="preserve">acordadas y significados compartidos. Esto </w:t>
      </w:r>
      <w:r>
        <w:rPr>
          <w:lang w:val="es-ES"/>
        </w:rPr>
        <w:t>implica</w:t>
      </w:r>
      <w:r w:rsidRPr="00287A62">
        <w:rPr>
          <w:lang w:val="es-ES"/>
        </w:rPr>
        <w:t xml:space="preserve"> dejar claro que el g</w:t>
      </w:r>
      <w:r>
        <w:rPr>
          <w:lang w:val="es-ES"/>
        </w:rPr>
        <w:t xml:space="preserve">rupo es un espacio seguro en </w:t>
      </w:r>
      <w:r w:rsidR="00B237CE">
        <w:rPr>
          <w:lang w:val="es-ES"/>
        </w:rPr>
        <w:t xml:space="preserve">el que </w:t>
      </w:r>
      <w:r>
        <w:rPr>
          <w:lang w:val="es-ES"/>
        </w:rPr>
        <w:t xml:space="preserve">las personas pueden expresarse y manifestar </w:t>
      </w:r>
      <w:r w:rsidRPr="00287A62">
        <w:rPr>
          <w:lang w:val="es-ES"/>
        </w:rPr>
        <w:t xml:space="preserve">sus necesidades y opiniones, y que todos los miembros del grupo están de acuerdo en </w:t>
      </w:r>
      <w:r w:rsidRPr="00287A62">
        <w:rPr>
          <w:lang w:val="es-ES"/>
        </w:rPr>
        <w:lastRenderedPageBreak/>
        <w:t>mostrar</w:t>
      </w:r>
      <w:r w:rsidR="005440C6">
        <w:rPr>
          <w:lang w:val="es-ES"/>
        </w:rPr>
        <w:t>se</w:t>
      </w:r>
      <w:r w:rsidRPr="00287A62">
        <w:rPr>
          <w:lang w:val="es-ES"/>
        </w:rPr>
        <w:t xml:space="preserve"> a</w:t>
      </w:r>
      <w:r w:rsidR="005440C6">
        <w:rPr>
          <w:lang w:val="es-ES"/>
        </w:rPr>
        <w:t>biertos</w:t>
      </w:r>
      <w:r w:rsidRPr="00287A62">
        <w:rPr>
          <w:lang w:val="es-ES"/>
        </w:rPr>
        <w:t>, respet</w:t>
      </w:r>
      <w:r w:rsidR="005440C6">
        <w:rPr>
          <w:lang w:val="es-ES"/>
        </w:rPr>
        <w:t>uosos</w:t>
      </w:r>
      <w:r w:rsidRPr="00287A62">
        <w:rPr>
          <w:lang w:val="es-ES"/>
        </w:rPr>
        <w:t xml:space="preserve"> y solidari</w:t>
      </w:r>
      <w:r w:rsidR="005440C6">
        <w:rPr>
          <w:lang w:val="es-ES"/>
        </w:rPr>
        <w:t>os con</w:t>
      </w:r>
      <w:r>
        <w:rPr>
          <w:lang w:val="es-ES"/>
        </w:rPr>
        <w:t xml:space="preserve"> los demás. En algunos casos</w:t>
      </w:r>
      <w:r w:rsidRPr="00287A62">
        <w:rPr>
          <w:lang w:val="es-ES"/>
        </w:rPr>
        <w:t xml:space="preserve"> será necesario a</w:t>
      </w:r>
      <w:r>
        <w:rPr>
          <w:lang w:val="es-ES"/>
        </w:rPr>
        <w:t xml:space="preserve">nimar </w:t>
      </w:r>
      <w:r w:rsidR="00084380">
        <w:rPr>
          <w:lang w:val="es-ES"/>
        </w:rPr>
        <w:t xml:space="preserve">con </w:t>
      </w:r>
      <w:r w:rsidRPr="00287A62">
        <w:rPr>
          <w:lang w:val="es-ES"/>
        </w:rPr>
        <w:t>suav</w:t>
      </w:r>
      <w:r w:rsidR="00084380">
        <w:rPr>
          <w:lang w:val="es-ES"/>
        </w:rPr>
        <w:t>idad</w:t>
      </w:r>
      <w:r w:rsidRPr="00287A62">
        <w:rPr>
          <w:lang w:val="es-ES"/>
        </w:rPr>
        <w:t xml:space="preserve"> a los miembros del grupo </w:t>
      </w:r>
      <w:r w:rsidR="00084380">
        <w:rPr>
          <w:lang w:val="es-ES"/>
        </w:rPr>
        <w:t xml:space="preserve">para que se </w:t>
      </w:r>
      <w:r w:rsidRPr="00287A62">
        <w:rPr>
          <w:lang w:val="es-ES"/>
        </w:rPr>
        <w:t>comport</w:t>
      </w:r>
      <w:r w:rsidR="00084380">
        <w:rPr>
          <w:lang w:val="es-ES"/>
        </w:rPr>
        <w:t>en</w:t>
      </w:r>
      <w:r w:rsidRPr="00287A62">
        <w:rPr>
          <w:lang w:val="es-ES"/>
        </w:rPr>
        <w:t xml:space="preserve"> de una </w:t>
      </w:r>
      <w:r w:rsidR="00D60237">
        <w:rPr>
          <w:lang w:val="es-ES"/>
        </w:rPr>
        <w:t xml:space="preserve">forma </w:t>
      </w:r>
      <w:r w:rsidRPr="00287A62">
        <w:rPr>
          <w:lang w:val="es-ES"/>
        </w:rPr>
        <w:t xml:space="preserve">que podría </w:t>
      </w:r>
      <w:r w:rsidR="00D60237">
        <w:rPr>
          <w:lang w:val="es-ES"/>
        </w:rPr>
        <w:t>diferir sustancialmente de lo que se esperaría de ellos</w:t>
      </w:r>
      <w:r w:rsidRPr="00287A62">
        <w:rPr>
          <w:lang w:val="es-ES"/>
        </w:rPr>
        <w:t xml:space="preserve"> en su país de origen.</w:t>
      </w:r>
    </w:p>
    <w:p w14:paraId="05D31524" w14:textId="77777777" w:rsidR="00472385" w:rsidRPr="00893972" w:rsidRDefault="002D6860" w:rsidP="003A0A5D">
      <w:pPr>
        <w:pStyle w:val="TKTITRE2"/>
        <w:rPr>
          <w:lang w:val="es-ES"/>
        </w:rPr>
      </w:pPr>
      <w:r>
        <w:rPr>
          <w:lang w:val="es-ES"/>
        </w:rPr>
        <w:t>Buenos modales</w:t>
      </w:r>
    </w:p>
    <w:p w14:paraId="0DDEC087" w14:textId="77777777" w:rsidR="002D6860" w:rsidRDefault="002D6860" w:rsidP="002D6860">
      <w:pPr>
        <w:pStyle w:val="TKTEXTE"/>
        <w:jc w:val="both"/>
        <w:rPr>
          <w:lang w:val="es-ES"/>
        </w:rPr>
      </w:pPr>
      <w:r>
        <w:rPr>
          <w:lang w:val="es-ES"/>
        </w:rPr>
        <w:t xml:space="preserve">Lo que se entiende por buenos modales y la forma en que estos se expresan </w:t>
      </w:r>
      <w:r w:rsidRPr="002D6860">
        <w:rPr>
          <w:lang w:val="es-ES"/>
        </w:rPr>
        <w:t>puede</w:t>
      </w:r>
      <w:r>
        <w:rPr>
          <w:lang w:val="es-ES"/>
        </w:rPr>
        <w:t>n</w:t>
      </w:r>
      <w:r w:rsidRPr="002D6860">
        <w:rPr>
          <w:lang w:val="es-ES"/>
        </w:rPr>
        <w:t xml:space="preserve"> variar </w:t>
      </w:r>
      <w:r>
        <w:rPr>
          <w:lang w:val="es-ES"/>
        </w:rPr>
        <w:t xml:space="preserve">enormemente </w:t>
      </w:r>
      <w:r w:rsidRPr="002D6860">
        <w:rPr>
          <w:lang w:val="es-ES"/>
        </w:rPr>
        <w:t xml:space="preserve">de un contexto cultural a otro. </w:t>
      </w:r>
      <w:r>
        <w:rPr>
          <w:lang w:val="es-ES"/>
        </w:rPr>
        <w:t>Puede que algunos miembros de nuestro grupo consideren i</w:t>
      </w:r>
      <w:r w:rsidRPr="002D6860">
        <w:rPr>
          <w:lang w:val="es-ES"/>
        </w:rPr>
        <w:t xml:space="preserve">mportante que </w:t>
      </w:r>
      <w:r>
        <w:rPr>
          <w:lang w:val="es-ES"/>
        </w:rPr>
        <w:t>nos dirijamos a ellos, o que ellos se dirijan a los demás, utilizando su apellido o nombre completo, incluidos títulos como profesor o d</w:t>
      </w:r>
      <w:r w:rsidRPr="002D6860">
        <w:rPr>
          <w:lang w:val="es-ES"/>
        </w:rPr>
        <w:t xml:space="preserve">octor. </w:t>
      </w:r>
      <w:r>
        <w:rPr>
          <w:lang w:val="es-ES"/>
        </w:rPr>
        <w:t>Puede que o</w:t>
      </w:r>
      <w:r w:rsidR="00B237CE">
        <w:rPr>
          <w:lang w:val="es-ES"/>
        </w:rPr>
        <w:t>tros consideren</w:t>
      </w:r>
      <w:r w:rsidRPr="002D6860">
        <w:rPr>
          <w:lang w:val="es-ES"/>
        </w:rPr>
        <w:t xml:space="preserve"> qu</w:t>
      </w:r>
      <w:r w:rsidR="00B237CE">
        <w:rPr>
          <w:lang w:val="es-ES"/>
        </w:rPr>
        <w:t>e este aspecto</w:t>
      </w:r>
      <w:r>
        <w:rPr>
          <w:lang w:val="es-ES"/>
        </w:rPr>
        <w:t xml:space="preserve"> no es importante y que los buenos modales se reflejan </w:t>
      </w:r>
      <w:r w:rsidRPr="002D6860">
        <w:rPr>
          <w:lang w:val="es-ES"/>
        </w:rPr>
        <w:t>en</w:t>
      </w:r>
      <w:r>
        <w:rPr>
          <w:lang w:val="es-ES"/>
        </w:rPr>
        <w:t xml:space="preserve"> la actitud y el comportamiento (</w:t>
      </w:r>
      <w:r w:rsidRPr="002D6860">
        <w:rPr>
          <w:lang w:val="es-ES"/>
        </w:rPr>
        <w:t xml:space="preserve">no interrumpir </w:t>
      </w:r>
      <w:r w:rsidR="00B237CE">
        <w:rPr>
          <w:lang w:val="es-ES"/>
        </w:rPr>
        <w:t>a los demás cuando hablan</w:t>
      </w:r>
      <w:r>
        <w:rPr>
          <w:lang w:val="es-ES"/>
        </w:rPr>
        <w:t xml:space="preserve">, </w:t>
      </w:r>
      <w:r w:rsidRPr="002D6860">
        <w:rPr>
          <w:lang w:val="es-ES"/>
        </w:rPr>
        <w:t xml:space="preserve">no hablar durante demasiado tiempo, expresar las ideas como opiniones personales </w:t>
      </w:r>
      <w:r w:rsidR="00B237CE">
        <w:rPr>
          <w:lang w:val="es-ES"/>
        </w:rPr>
        <w:t>y no como verdades absolutas (“c</w:t>
      </w:r>
      <w:r>
        <w:rPr>
          <w:lang w:val="es-ES"/>
        </w:rPr>
        <w:t xml:space="preserve">reo que...” en lugar de “lo cierto es que”, etc.) </w:t>
      </w:r>
      <w:r w:rsidRPr="002D6860">
        <w:rPr>
          <w:lang w:val="es-ES"/>
        </w:rPr>
        <w:t xml:space="preserve">o simplemente ser puntuales. </w:t>
      </w:r>
      <w:r>
        <w:rPr>
          <w:lang w:val="es-ES"/>
        </w:rPr>
        <w:t xml:space="preserve">Y puede que </w:t>
      </w:r>
      <w:r w:rsidRPr="002D6860">
        <w:rPr>
          <w:lang w:val="es-ES"/>
        </w:rPr>
        <w:t xml:space="preserve">algunas personas </w:t>
      </w:r>
      <w:r>
        <w:rPr>
          <w:lang w:val="es-ES"/>
        </w:rPr>
        <w:t>consideren</w:t>
      </w:r>
      <w:r w:rsidRPr="002D6860">
        <w:rPr>
          <w:lang w:val="es-ES"/>
        </w:rPr>
        <w:t xml:space="preserve"> normal tratar </w:t>
      </w:r>
      <w:r w:rsidR="00B237CE" w:rsidRPr="002D6860">
        <w:rPr>
          <w:lang w:val="es-ES"/>
        </w:rPr>
        <w:t xml:space="preserve">con deferencia </w:t>
      </w:r>
      <w:r w:rsidRPr="002D6860">
        <w:rPr>
          <w:lang w:val="es-ES"/>
        </w:rPr>
        <w:t xml:space="preserve">a los miembros </w:t>
      </w:r>
      <w:r>
        <w:rPr>
          <w:lang w:val="es-ES"/>
        </w:rPr>
        <w:t xml:space="preserve">de mayor edad </w:t>
      </w:r>
      <w:r w:rsidRPr="002D6860">
        <w:rPr>
          <w:lang w:val="es-ES"/>
        </w:rPr>
        <w:t xml:space="preserve">del grupo, mientras que a otras </w:t>
      </w:r>
      <w:r>
        <w:rPr>
          <w:lang w:val="es-ES"/>
        </w:rPr>
        <w:t>quizás es</w:t>
      </w:r>
      <w:r w:rsidR="00B237CE">
        <w:rPr>
          <w:lang w:val="es-ES"/>
        </w:rPr>
        <w:t>t</w:t>
      </w:r>
      <w:r>
        <w:rPr>
          <w:lang w:val="es-ES"/>
        </w:rPr>
        <w:t xml:space="preserve">o les parezca inaceptable por considerar que todos </w:t>
      </w:r>
      <w:r w:rsidRPr="002D6860">
        <w:rPr>
          <w:lang w:val="es-ES"/>
        </w:rPr>
        <w:t>los miembros del grupo deben ser tratados de la misma manera.</w:t>
      </w:r>
      <w:r w:rsidR="00566E88">
        <w:rPr>
          <w:lang w:val="es-ES"/>
        </w:rPr>
        <w:t xml:space="preserve"> Para crear una cultura de grupo efectiva es importante l</w:t>
      </w:r>
      <w:r>
        <w:rPr>
          <w:lang w:val="es-ES"/>
        </w:rPr>
        <w:t xml:space="preserve">legar a un </w:t>
      </w:r>
      <w:r w:rsidR="00085036">
        <w:rPr>
          <w:lang w:val="es-ES"/>
        </w:rPr>
        <w:t>acuerdo</w:t>
      </w:r>
      <w:r w:rsidRPr="002D6860">
        <w:rPr>
          <w:lang w:val="es-ES"/>
        </w:rPr>
        <w:t xml:space="preserve"> </w:t>
      </w:r>
      <w:r w:rsidR="00B237CE">
        <w:rPr>
          <w:lang w:val="es-ES"/>
        </w:rPr>
        <w:t>sobre</w:t>
      </w:r>
      <w:r w:rsidR="00566E88">
        <w:rPr>
          <w:lang w:val="es-ES"/>
        </w:rPr>
        <w:t xml:space="preserve"> lo que se entiende por buenos modales</w:t>
      </w:r>
      <w:r w:rsidR="00085036">
        <w:rPr>
          <w:lang w:val="es-ES"/>
        </w:rPr>
        <w:t>.</w:t>
      </w:r>
    </w:p>
    <w:p w14:paraId="358CA23B" w14:textId="77777777" w:rsidR="00472385" w:rsidRPr="00893972" w:rsidRDefault="00472385" w:rsidP="003A0A5D">
      <w:pPr>
        <w:pStyle w:val="TKTITRE2"/>
        <w:rPr>
          <w:lang w:val="es-ES"/>
        </w:rPr>
      </w:pPr>
      <w:r w:rsidRPr="00893972">
        <w:rPr>
          <w:lang w:val="es-ES"/>
        </w:rPr>
        <w:t>N</w:t>
      </w:r>
      <w:r w:rsidR="002D6860">
        <w:rPr>
          <w:lang w:val="es-ES"/>
        </w:rPr>
        <w:t>ombres</w:t>
      </w:r>
    </w:p>
    <w:p w14:paraId="6F388B32" w14:textId="77777777" w:rsidR="00E1238B" w:rsidRDefault="00B237CE" w:rsidP="00E1238B">
      <w:pPr>
        <w:pStyle w:val="TKTEXTE"/>
        <w:jc w:val="both"/>
        <w:rPr>
          <w:lang w:val="es-ES"/>
        </w:rPr>
      </w:pPr>
      <w:r>
        <w:rPr>
          <w:lang w:val="es-ES"/>
        </w:rPr>
        <w:t>Los nombres pueden ser origen</w:t>
      </w:r>
      <w:r w:rsidR="00E1238B" w:rsidRPr="00E1238B">
        <w:rPr>
          <w:lang w:val="es-ES"/>
        </w:rPr>
        <w:t xml:space="preserve"> de malentendidos y frustración si no </w:t>
      </w:r>
      <w:r w:rsidR="00E1238B">
        <w:rPr>
          <w:lang w:val="es-ES"/>
        </w:rPr>
        <w:t xml:space="preserve">está clara </w:t>
      </w:r>
      <w:r w:rsidR="00E1238B" w:rsidRPr="00E1238B">
        <w:rPr>
          <w:lang w:val="es-ES"/>
        </w:rPr>
        <w:t xml:space="preserve">la diversidad de tradiciones </w:t>
      </w:r>
      <w:r w:rsidR="00E1238B">
        <w:rPr>
          <w:lang w:val="es-ES"/>
        </w:rPr>
        <w:t>que conforman</w:t>
      </w:r>
      <w:r w:rsidR="00E1238B" w:rsidRPr="00E1238B">
        <w:rPr>
          <w:lang w:val="es-ES"/>
        </w:rPr>
        <w:t xml:space="preserve"> el grupo. Por ejemplo, en muchos casos un nombre escrito en un idioma no europeo puede transcribirse de diversas </w:t>
      </w:r>
      <w:r w:rsidR="00E1238B">
        <w:rPr>
          <w:lang w:val="es-ES"/>
        </w:rPr>
        <w:t xml:space="preserve">formas en el </w:t>
      </w:r>
      <w:r w:rsidR="00E1238B" w:rsidRPr="00E1238B">
        <w:rPr>
          <w:lang w:val="es-ES"/>
        </w:rPr>
        <w:t xml:space="preserve">alfabeto </w:t>
      </w:r>
      <w:r w:rsidR="00E1238B">
        <w:rPr>
          <w:lang w:val="es-ES"/>
        </w:rPr>
        <w:t>latino</w:t>
      </w:r>
      <w:r>
        <w:rPr>
          <w:lang w:val="es-ES"/>
        </w:rPr>
        <w:t>. Algunas personas</w:t>
      </w:r>
      <w:r w:rsidR="00E1238B" w:rsidRPr="00E1238B">
        <w:rPr>
          <w:lang w:val="es-ES"/>
        </w:rPr>
        <w:t xml:space="preserve"> pueden preferir una ortografía que </w:t>
      </w:r>
      <w:r w:rsidR="00E1238B">
        <w:rPr>
          <w:lang w:val="es-ES"/>
        </w:rPr>
        <w:t xml:space="preserve">suponga </w:t>
      </w:r>
      <w:r w:rsidR="00E1238B" w:rsidRPr="00E1238B">
        <w:rPr>
          <w:lang w:val="es-ES"/>
        </w:rPr>
        <w:t xml:space="preserve">una pronunciación similar a la del idioma de origen, mientras que otros </w:t>
      </w:r>
      <w:r>
        <w:rPr>
          <w:lang w:val="es-ES"/>
        </w:rPr>
        <w:t>no tiene</w:t>
      </w:r>
      <w:r w:rsidR="00084380">
        <w:rPr>
          <w:lang w:val="es-ES"/>
        </w:rPr>
        <w:t>n</w:t>
      </w:r>
      <w:r>
        <w:rPr>
          <w:lang w:val="es-ES"/>
        </w:rPr>
        <w:t xml:space="preserve"> </w:t>
      </w:r>
      <w:r w:rsidR="00E1238B">
        <w:rPr>
          <w:lang w:val="es-ES"/>
        </w:rPr>
        <w:t xml:space="preserve">problema en </w:t>
      </w:r>
      <w:r w:rsidR="00E1238B" w:rsidRPr="00E1238B">
        <w:rPr>
          <w:lang w:val="es-ES"/>
        </w:rPr>
        <w:t xml:space="preserve">aceptar variaciones. En Europa estamos acostumbrados a tener uno o dos nombres de pila y uno o </w:t>
      </w:r>
      <w:r w:rsidR="00E1238B">
        <w:rPr>
          <w:lang w:val="es-ES"/>
        </w:rPr>
        <w:t xml:space="preserve">dos apellidos, precedidos por Sr., Sra., </w:t>
      </w:r>
      <w:r w:rsidR="00E1238B" w:rsidRPr="00E1238B">
        <w:rPr>
          <w:lang w:val="es-ES"/>
        </w:rPr>
        <w:t>Sr</w:t>
      </w:r>
      <w:r w:rsidR="00E1238B">
        <w:rPr>
          <w:lang w:val="es-ES"/>
        </w:rPr>
        <w:t>t</w:t>
      </w:r>
      <w:r w:rsidR="00E1238B" w:rsidRPr="00E1238B">
        <w:rPr>
          <w:lang w:val="es-ES"/>
        </w:rPr>
        <w:t>a.</w:t>
      </w:r>
      <w:r w:rsidR="00E1238B">
        <w:rPr>
          <w:lang w:val="es-ES"/>
        </w:rPr>
        <w:t xml:space="preserve"> o similar en el lenguaje formal. </w:t>
      </w:r>
      <w:r w:rsidR="00E1238B" w:rsidRPr="00E1238B">
        <w:rPr>
          <w:lang w:val="es-ES"/>
        </w:rPr>
        <w:t>En el contexto cultural d</w:t>
      </w:r>
      <w:r w:rsidR="00E1238B">
        <w:rPr>
          <w:lang w:val="es-ES"/>
        </w:rPr>
        <w:t>e los miembros del</w:t>
      </w:r>
      <w:r w:rsidR="00E1238B" w:rsidRPr="00E1238B">
        <w:rPr>
          <w:lang w:val="es-ES"/>
        </w:rPr>
        <w:t xml:space="preserve"> grupo </w:t>
      </w:r>
      <w:r w:rsidR="00E1238B">
        <w:rPr>
          <w:lang w:val="es-ES"/>
        </w:rPr>
        <w:t xml:space="preserve">podría no ser así. Puede que los nombres se estructuren de la </w:t>
      </w:r>
      <w:r w:rsidR="00E1238B" w:rsidRPr="00E1238B">
        <w:rPr>
          <w:lang w:val="es-ES"/>
        </w:rPr>
        <w:t xml:space="preserve">misma </w:t>
      </w:r>
      <w:r w:rsidR="00E1238B">
        <w:rPr>
          <w:lang w:val="es-ES"/>
        </w:rPr>
        <w:t xml:space="preserve">forma </w:t>
      </w:r>
      <w:r w:rsidR="00E1238B" w:rsidRPr="00E1238B">
        <w:rPr>
          <w:lang w:val="es-ES"/>
        </w:rPr>
        <w:t xml:space="preserve">que en Europa, </w:t>
      </w:r>
      <w:r w:rsidR="00E1238B">
        <w:rPr>
          <w:lang w:val="es-ES"/>
        </w:rPr>
        <w:t xml:space="preserve">pero que al emplear el registro formal </w:t>
      </w:r>
      <w:r w:rsidR="003C745E">
        <w:rPr>
          <w:lang w:val="es-ES"/>
        </w:rPr>
        <w:t xml:space="preserve">se </w:t>
      </w:r>
      <w:r w:rsidR="00E1238B">
        <w:rPr>
          <w:lang w:val="es-ES"/>
        </w:rPr>
        <w:t>utilicen el Sr.</w:t>
      </w:r>
      <w:r>
        <w:rPr>
          <w:lang w:val="es-ES"/>
        </w:rPr>
        <w:t>,</w:t>
      </w:r>
      <w:r w:rsidR="00E1238B">
        <w:rPr>
          <w:lang w:val="es-ES"/>
        </w:rPr>
        <w:t xml:space="preserve"> Sra. o Srta. seguido</w:t>
      </w:r>
      <w:r w:rsidR="003C745E">
        <w:rPr>
          <w:lang w:val="es-ES"/>
        </w:rPr>
        <w:t>s</w:t>
      </w:r>
      <w:r w:rsidR="00E1238B">
        <w:rPr>
          <w:lang w:val="es-ES"/>
        </w:rPr>
        <w:t xml:space="preserve"> del nombre de la persona</w:t>
      </w:r>
      <w:r w:rsidR="003C745E">
        <w:rPr>
          <w:lang w:val="es-ES"/>
        </w:rPr>
        <w:t>,</w:t>
      </w:r>
      <w:r w:rsidR="00E1238B">
        <w:rPr>
          <w:lang w:val="es-ES"/>
        </w:rPr>
        <w:t xml:space="preserve"> y no del apellido. </w:t>
      </w:r>
      <w:r w:rsidR="003C745E">
        <w:rPr>
          <w:lang w:val="es-ES"/>
        </w:rPr>
        <w:t>También existe la posibilidad de que los</w:t>
      </w:r>
      <w:r w:rsidR="00E1238B" w:rsidRPr="00E1238B">
        <w:rPr>
          <w:lang w:val="es-ES"/>
        </w:rPr>
        <w:t xml:space="preserve"> nombres </w:t>
      </w:r>
      <w:r w:rsidR="003C745E">
        <w:rPr>
          <w:lang w:val="es-ES"/>
        </w:rPr>
        <w:t>incluyan elementos que no sean</w:t>
      </w:r>
      <w:r w:rsidR="00E1238B" w:rsidRPr="00E1238B">
        <w:rPr>
          <w:lang w:val="es-ES"/>
        </w:rPr>
        <w:t xml:space="preserve"> nombres</w:t>
      </w:r>
      <w:r w:rsidR="003C745E">
        <w:rPr>
          <w:lang w:val="es-ES"/>
        </w:rPr>
        <w:t xml:space="preserve"> propiamente dichos, sino adjetivos o palabras </w:t>
      </w:r>
      <w:r>
        <w:rPr>
          <w:lang w:val="es-ES"/>
        </w:rPr>
        <w:t xml:space="preserve">que </w:t>
      </w:r>
      <w:r w:rsidR="003C745E">
        <w:rPr>
          <w:lang w:val="es-ES"/>
        </w:rPr>
        <w:t>reflejen relaciones. En algunas culturas es posible dirigirse a otra persona de distintas formas, no solo por el nombre que figura en su documento</w:t>
      </w:r>
      <w:r w:rsidR="00E1238B" w:rsidRPr="00E1238B">
        <w:rPr>
          <w:lang w:val="es-ES"/>
        </w:rPr>
        <w:t xml:space="preserve"> de identidad; y algunos refugiados pueden proceder de zonas en las que no se </w:t>
      </w:r>
      <w:r w:rsidR="003C745E">
        <w:rPr>
          <w:lang w:val="es-ES"/>
        </w:rPr>
        <w:t>establezca distinción alguna entre nombre y apellido.</w:t>
      </w:r>
    </w:p>
    <w:p w14:paraId="6740EE3B" w14:textId="11CC1518" w:rsidR="00473D0C" w:rsidRPr="00893972" w:rsidRDefault="002D6860" w:rsidP="002D6860">
      <w:pPr>
        <w:pStyle w:val="TKTEXTE"/>
        <w:jc w:val="both"/>
        <w:rPr>
          <w:i/>
          <w:lang w:val="es-ES"/>
        </w:rPr>
      </w:pPr>
      <w:r>
        <w:rPr>
          <w:lang w:val="es-ES"/>
        </w:rPr>
        <w:t xml:space="preserve">Véanse también las </w:t>
      </w:r>
      <w:r w:rsidR="00084380">
        <w:rPr>
          <w:lang w:val="es-ES"/>
        </w:rPr>
        <w:t>h</w:t>
      </w:r>
      <w:r>
        <w:rPr>
          <w:lang w:val="es-ES"/>
        </w:rPr>
        <w:t>erramientas</w:t>
      </w:r>
      <w:r w:rsidR="00472385" w:rsidRPr="00893972">
        <w:rPr>
          <w:lang w:val="es-ES"/>
        </w:rPr>
        <w:t xml:space="preserve"> </w:t>
      </w:r>
      <w:r w:rsidR="00F9328A" w:rsidRPr="00893972">
        <w:rPr>
          <w:lang w:val="es-ES"/>
        </w:rPr>
        <w:t>3</w:t>
      </w:r>
      <w:r w:rsidR="004637CC">
        <w:rPr>
          <w:lang w:val="es-ES"/>
        </w:rPr>
        <w:t xml:space="preserve"> -</w:t>
      </w:r>
      <w:r w:rsidR="00472385" w:rsidRPr="00893972">
        <w:rPr>
          <w:lang w:val="es-ES"/>
        </w:rPr>
        <w:t xml:space="preserve"> </w:t>
      </w:r>
      <w:hyperlink r:id="rId8" w:history="1">
        <w:r w:rsidRPr="002D6860">
          <w:rPr>
            <w:rStyle w:val="Lienhypertexte"/>
            <w:rFonts w:cs="Calibri"/>
            <w:i/>
            <w:u w:val="none"/>
            <w:lang w:val="es-ES"/>
          </w:rPr>
          <w:t>Cuestio</w:t>
        </w:r>
        <w:r w:rsidRPr="002D6860">
          <w:rPr>
            <w:rStyle w:val="Lienhypertexte"/>
            <w:rFonts w:cs="Calibri"/>
            <w:i/>
            <w:u w:val="none"/>
            <w:lang w:val="es-ES"/>
          </w:rPr>
          <w:t>nes éticas e interculturales que tener en cuenta al trabajar con</w:t>
        </w:r>
        <w:r w:rsidR="00B237CE">
          <w:rPr>
            <w:rStyle w:val="Lienhypertexte"/>
            <w:rFonts w:cs="Calibri"/>
            <w:i/>
            <w:u w:val="none"/>
            <w:lang w:val="es-ES"/>
          </w:rPr>
          <w:t xml:space="preserve"> refugiado</w:t>
        </w:r>
        <w:r w:rsidR="00472385" w:rsidRPr="00893972">
          <w:rPr>
            <w:rStyle w:val="Lienhypertexte"/>
            <w:rFonts w:cs="Calibri"/>
            <w:i/>
            <w:u w:val="none"/>
            <w:lang w:val="es-ES"/>
          </w:rPr>
          <w:t>s</w:t>
        </w:r>
      </w:hyperlink>
      <w:r>
        <w:rPr>
          <w:lang w:val="es-ES"/>
        </w:rPr>
        <w:t xml:space="preserve"> y </w:t>
      </w:r>
      <w:r w:rsidR="00472385" w:rsidRPr="00893972">
        <w:rPr>
          <w:lang w:val="es-ES"/>
        </w:rPr>
        <w:t>1</w:t>
      </w:r>
      <w:r w:rsidR="00F9328A" w:rsidRPr="00893972">
        <w:rPr>
          <w:lang w:val="es-ES"/>
        </w:rPr>
        <w:t>4</w:t>
      </w:r>
      <w:r w:rsidR="004637CC">
        <w:rPr>
          <w:i/>
          <w:lang w:val="es-ES"/>
        </w:rPr>
        <w:t xml:space="preserve"> -</w:t>
      </w:r>
      <w:r w:rsidR="00472385" w:rsidRPr="00893972">
        <w:rPr>
          <w:i/>
          <w:lang w:val="es-ES"/>
        </w:rPr>
        <w:t xml:space="preserve"> </w:t>
      </w:r>
      <w:hyperlink r:id="rId9" w:history="1">
        <w:r w:rsidR="00472385" w:rsidRPr="00893972">
          <w:rPr>
            <w:rStyle w:val="Lienhypertexte"/>
            <w:rFonts w:cs="Calibri"/>
            <w:i/>
            <w:u w:val="none"/>
            <w:lang w:val="es-ES"/>
          </w:rPr>
          <w:t>D</w:t>
        </w:r>
        <w:r>
          <w:rPr>
            <w:rStyle w:val="Lienhypertexte"/>
            <w:rFonts w:cs="Calibri"/>
            <w:i/>
            <w:u w:val="none"/>
            <w:lang w:val="es-ES"/>
          </w:rPr>
          <w:t>iversidad de los grupos de trabajo</w:t>
        </w:r>
        <w:r w:rsidR="00392E44" w:rsidRPr="00893972">
          <w:rPr>
            <w:rStyle w:val="Lienhypertexte"/>
            <w:rFonts w:cs="Calibri"/>
            <w:i/>
            <w:u w:val="none"/>
            <w:lang w:val="es-ES"/>
          </w:rPr>
          <w:t>.</w:t>
        </w:r>
      </w:hyperlink>
    </w:p>
    <w:sectPr w:rsidR="00473D0C" w:rsidRPr="00893972" w:rsidSect="001E1ACB">
      <w:headerReference w:type="default" r:id="rId10"/>
      <w:footerReference w:type="defaul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E645A" w14:textId="77777777" w:rsidR="003E4AB3" w:rsidRDefault="003E4AB3" w:rsidP="00C523EA">
      <w:r>
        <w:separator/>
      </w:r>
    </w:p>
  </w:endnote>
  <w:endnote w:type="continuationSeparator" w:id="0">
    <w:p w14:paraId="23AEF836" w14:textId="77777777" w:rsidR="003E4AB3" w:rsidRDefault="003E4AB3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2860CD" w14:paraId="4773EBAC" w14:textId="77777777" w:rsidTr="001E1ACB">
      <w:tc>
        <w:tcPr>
          <w:tcW w:w="1667" w:type="pct"/>
          <w:vAlign w:val="bottom"/>
        </w:tcPr>
        <w:p w14:paraId="1535B9F5" w14:textId="77777777" w:rsidR="00F36CF1" w:rsidRPr="0005500A" w:rsidRDefault="00F36CF1" w:rsidP="00F36CF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 w:rsidRPr="0005500A">
            <w:rPr>
              <w:rFonts w:eastAsia="Calibri" w:cs="Cambria"/>
              <w:sz w:val="18"/>
              <w:szCs w:val="18"/>
            </w:rPr>
            <w:t>Programa de política lingüística</w:t>
          </w:r>
        </w:p>
        <w:p w14:paraId="492BB9EE" w14:textId="77777777" w:rsidR="00F36CF1" w:rsidRPr="0005500A" w:rsidRDefault="00F36CF1" w:rsidP="00F36CF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 w:rsidRPr="0005500A">
            <w:rPr>
              <w:rFonts w:eastAsia="Calibri" w:cs="Cambria"/>
              <w:sz w:val="18"/>
              <w:szCs w:val="18"/>
            </w:rPr>
            <w:t>Estrasburgo</w:t>
          </w:r>
        </w:p>
        <w:p w14:paraId="2D88B5B4" w14:textId="77777777" w:rsidR="00F36CF1" w:rsidRPr="0005500A" w:rsidRDefault="00F36CF1" w:rsidP="00F36CF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 w:rsidRPr="0005500A">
            <w:rPr>
              <w:rFonts w:eastAsia="Calibri" w:cs="Cambria"/>
              <w:sz w:val="18"/>
              <w:szCs w:val="18"/>
            </w:rPr>
            <w:t xml:space="preserve"> </w:t>
          </w:r>
        </w:p>
        <w:p w14:paraId="70AF96D9" w14:textId="77777777" w:rsidR="00F36CF1" w:rsidRPr="0005500A" w:rsidRDefault="00F36CF1" w:rsidP="00F36CF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 w:rsidRPr="0005500A">
            <w:rPr>
              <w:rFonts w:eastAsia="Calibri" w:cs="Cambria"/>
              <w:b/>
              <w:sz w:val="18"/>
              <w:szCs w:val="18"/>
            </w:rPr>
            <w:t>Herramienta 4</w:t>
          </w:r>
        </w:p>
        <w:p w14:paraId="1B3B0895" w14:textId="77777777" w:rsidR="002860CD" w:rsidRPr="0005500A" w:rsidRDefault="002860CD" w:rsidP="001E1ACB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</w:p>
      </w:tc>
      <w:tc>
        <w:tcPr>
          <w:tcW w:w="1667" w:type="pct"/>
          <w:vAlign w:val="bottom"/>
        </w:tcPr>
        <w:p w14:paraId="42C4F872" w14:textId="77777777" w:rsidR="002860CD" w:rsidRDefault="00F36CF1" w:rsidP="00F36CF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>
            <w:rPr>
              <w:rFonts w:eastAsia="Calibri" w:cs="Cambria"/>
              <w:sz w:val="18"/>
              <w:szCs w:val="18"/>
              <w:lang w:val="en-US"/>
            </w:rPr>
            <w:t>Página</w:t>
          </w:r>
          <w:r w:rsidR="002860CD" w:rsidRPr="00FB70A6">
            <w:rPr>
              <w:rFonts w:eastAsia="Calibri" w:cs="Cambria"/>
              <w:sz w:val="18"/>
              <w:szCs w:val="18"/>
              <w:lang w:val="en-US"/>
            </w:rPr>
            <w:t xml:space="preserve"> </w:t>
          </w:r>
          <w:r w:rsidR="00872C3B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2860CD"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="00872C3B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6C2B89">
            <w:rPr>
              <w:rFonts w:eastAsia="Calibri" w:cs="Cambria"/>
              <w:noProof/>
              <w:sz w:val="18"/>
              <w:szCs w:val="18"/>
              <w:lang w:val="en-US"/>
            </w:rPr>
            <w:t>1</w:t>
          </w:r>
          <w:r w:rsidR="00872C3B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="002860CD"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="00872C3B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2860CD"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="00872C3B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6C2B89">
            <w:rPr>
              <w:rFonts w:eastAsia="Calibri" w:cs="Cambria"/>
              <w:noProof/>
              <w:sz w:val="18"/>
              <w:szCs w:val="18"/>
              <w:lang w:val="en-US"/>
            </w:rPr>
            <w:t>3</w:t>
          </w:r>
          <w:r w:rsidR="00872C3B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  <w:vAlign w:val="bottom"/>
        </w:tcPr>
        <w:p w14:paraId="197C0FB9" w14:textId="77777777" w:rsidR="002860CD" w:rsidRDefault="002860CD" w:rsidP="001E1ACB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noProof/>
              <w:sz w:val="18"/>
              <w:szCs w:val="18"/>
              <w:lang w:eastAsia="es-ES"/>
            </w:rPr>
            <w:drawing>
              <wp:inline distT="0" distB="0" distL="0" distR="0" wp14:anchorId="62C52932" wp14:editId="40CA5B33">
                <wp:extent cx="835200" cy="666000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66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524F98E" w14:textId="77777777" w:rsidR="002860CD" w:rsidRPr="002860CD" w:rsidRDefault="002860CD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EE159" w14:textId="77777777" w:rsidR="003E4AB3" w:rsidRDefault="003E4AB3" w:rsidP="00C523EA">
      <w:r>
        <w:separator/>
      </w:r>
    </w:p>
  </w:footnote>
  <w:footnote w:type="continuationSeparator" w:id="0">
    <w:p w14:paraId="23BA973D" w14:textId="77777777" w:rsidR="003E4AB3" w:rsidRDefault="003E4AB3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2" w:space="0" w:color="auto"/>
      </w:tblBorders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893972" w:rsidRPr="00984E0D" w14:paraId="079F9485" w14:textId="77777777" w:rsidTr="00893972">
      <w:trPr>
        <w:trHeight w:val="1304"/>
      </w:trPr>
      <w:tc>
        <w:tcPr>
          <w:tcW w:w="2228" w:type="dxa"/>
        </w:tcPr>
        <w:p w14:paraId="3AE8B455" w14:textId="77777777" w:rsidR="00893972" w:rsidRPr="00CB5C65" w:rsidRDefault="00893972" w:rsidP="00A2404D">
          <w:r w:rsidRPr="00CB5C65">
            <w:rPr>
              <w:noProof/>
              <w:lang w:eastAsia="es-ES"/>
            </w:rPr>
            <w:drawing>
              <wp:inline distT="0" distB="0" distL="0" distR="0" wp14:anchorId="6ED3F09B" wp14:editId="53C25F0C">
                <wp:extent cx="982345" cy="711200"/>
                <wp:effectExtent l="19050" t="0" r="825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2" w:type="dxa"/>
        </w:tcPr>
        <w:p w14:paraId="0C5AF361" w14:textId="77777777" w:rsidR="00893972" w:rsidRDefault="00893972">
          <w:pPr>
            <w:spacing w:line="252" w:lineRule="auto"/>
            <w:jc w:val="center"/>
            <w:rPr>
              <w:rFonts w:eastAsiaTheme="minorHAnsi"/>
              <w:b/>
              <w:lang w:val="es-ES_tradnl"/>
            </w:rPr>
          </w:pPr>
          <w:r>
            <w:rPr>
              <w:rFonts w:eastAsiaTheme="minorHAnsi"/>
              <w:b/>
            </w:rPr>
            <w:t xml:space="preserve">Apoyo lingüístico a refugiados adultos </w:t>
          </w:r>
        </w:p>
        <w:p w14:paraId="18378331" w14:textId="77777777" w:rsidR="00893972" w:rsidRDefault="00893972">
          <w:pPr>
            <w:spacing w:line="252" w:lineRule="auto"/>
            <w:jc w:val="center"/>
            <w:rPr>
              <w:rFonts w:eastAsiaTheme="minorHAnsi"/>
              <w:b/>
              <w:i/>
            </w:rPr>
          </w:pPr>
          <w:r>
            <w:rPr>
              <w:rFonts w:eastAsiaTheme="minorHAnsi"/>
              <w:b/>
              <w:i/>
            </w:rPr>
            <w:t>Kit de herramientas del Consejo de Europa</w:t>
          </w:r>
        </w:p>
        <w:p w14:paraId="24B0B60F" w14:textId="77777777" w:rsidR="00893972" w:rsidRDefault="00000000">
          <w:pPr>
            <w:spacing w:line="252" w:lineRule="auto"/>
            <w:jc w:val="center"/>
            <w:rPr>
              <w:rFonts w:eastAsiaTheme="minorHAnsi"/>
              <w:color w:val="0000FF"/>
              <w:u w:val="single"/>
              <w:lang w:val="es-ES_tradnl"/>
            </w:rPr>
          </w:pPr>
          <w:hyperlink r:id="rId2" w:history="1">
            <w:r w:rsidR="00893972">
              <w:rPr>
                <w:rStyle w:val="Lienhypertexte"/>
                <w:rFonts w:eastAsiaTheme="minorHAnsi"/>
              </w:rPr>
              <w:t>www.coe.int/lang-refugees</w:t>
            </w:r>
          </w:hyperlink>
        </w:p>
      </w:tc>
      <w:tc>
        <w:tcPr>
          <w:tcW w:w="2732" w:type="dxa"/>
        </w:tcPr>
        <w:p w14:paraId="2A452D53" w14:textId="77777777" w:rsidR="00893972" w:rsidRDefault="00893972">
          <w:pPr>
            <w:tabs>
              <w:tab w:val="center" w:pos="4607"/>
              <w:tab w:val="right" w:pos="9214"/>
            </w:tabs>
            <w:spacing w:line="252" w:lineRule="auto"/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s-ES_tradnl"/>
            </w:rPr>
          </w:pPr>
          <w:r>
            <w:rPr>
              <w:rFonts w:asciiTheme="minorHAnsi" w:eastAsiaTheme="minorHAnsi" w:hAnsiTheme="minorHAnsi" w:cstheme="minorHAnsi"/>
              <w:sz w:val="20"/>
              <w:szCs w:val="20"/>
            </w:rPr>
            <w:t>Integración lingüística de los migrantes adultos (LIAM)</w:t>
          </w:r>
        </w:p>
        <w:p w14:paraId="3AE894C1" w14:textId="77777777" w:rsidR="00893972" w:rsidRDefault="00000000">
          <w:pPr>
            <w:tabs>
              <w:tab w:val="center" w:pos="4607"/>
              <w:tab w:val="right" w:pos="9214"/>
            </w:tabs>
            <w:spacing w:line="252" w:lineRule="auto"/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es-ES_tradnl"/>
            </w:rPr>
          </w:pPr>
          <w:hyperlink r:id="rId3" w:history="1">
            <w:r w:rsidR="00893972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</w:rPr>
              <w:t>www.coe.int/lang-migrants</w:t>
            </w:r>
          </w:hyperlink>
        </w:p>
      </w:tc>
    </w:tr>
  </w:tbl>
  <w:p w14:paraId="10117515" w14:textId="77777777" w:rsidR="002860CD" w:rsidRPr="0005500A" w:rsidRDefault="002860CD" w:rsidP="001E1ACB">
    <w:pPr>
      <w:pStyle w:val="En-tte"/>
      <w:tabs>
        <w:tab w:val="clear" w:pos="4536"/>
        <w:tab w:val="clear" w:pos="9072"/>
        <w:tab w:val="left" w:pos="3410"/>
      </w:tabs>
      <w:rPr>
        <w:sz w:val="10"/>
        <w:szCs w:val="10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873BA"/>
    <w:multiLevelType w:val="hybridMultilevel"/>
    <w:tmpl w:val="CB4014A4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DD1424E"/>
    <w:multiLevelType w:val="hybridMultilevel"/>
    <w:tmpl w:val="F88A7F06"/>
    <w:lvl w:ilvl="0" w:tplc="C3F8835A">
      <w:start w:val="1"/>
      <w:numFmt w:val="decimal"/>
      <w:pStyle w:val="TKNbrsLevel2"/>
      <w:lvlText w:val="%1."/>
      <w:lvlJc w:val="left"/>
      <w:pPr>
        <w:ind w:left="1212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196203EE"/>
    <w:multiLevelType w:val="hybridMultilevel"/>
    <w:tmpl w:val="DD7ED9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A529C"/>
    <w:multiLevelType w:val="hybridMultilevel"/>
    <w:tmpl w:val="AB963554"/>
    <w:lvl w:ilvl="0" w:tplc="66D097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B0134"/>
    <w:multiLevelType w:val="hybridMultilevel"/>
    <w:tmpl w:val="D204963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585B7C"/>
    <w:multiLevelType w:val="hybridMultilevel"/>
    <w:tmpl w:val="63589E1A"/>
    <w:lvl w:ilvl="0" w:tplc="DE26FB18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7" w15:restartNumberingAfterBreak="0">
    <w:nsid w:val="55364D09"/>
    <w:multiLevelType w:val="hybridMultilevel"/>
    <w:tmpl w:val="C330AE36"/>
    <w:lvl w:ilvl="0" w:tplc="D5A478C4">
      <w:start w:val="1"/>
      <w:numFmt w:val="decimal"/>
      <w:pStyle w:val="TKNbrsLevel1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C1774BC"/>
    <w:multiLevelType w:val="hybridMultilevel"/>
    <w:tmpl w:val="53DA6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281303">
    <w:abstractNumId w:val="3"/>
  </w:num>
  <w:num w:numId="2" w16cid:durableId="1666321617">
    <w:abstractNumId w:val="6"/>
  </w:num>
  <w:num w:numId="3" w16cid:durableId="376859938">
    <w:abstractNumId w:val="9"/>
  </w:num>
  <w:num w:numId="4" w16cid:durableId="832068445">
    <w:abstractNumId w:val="8"/>
  </w:num>
  <w:num w:numId="5" w16cid:durableId="959848198">
    <w:abstractNumId w:val="5"/>
  </w:num>
  <w:num w:numId="6" w16cid:durableId="1243878089">
    <w:abstractNumId w:val="1"/>
  </w:num>
  <w:num w:numId="7" w16cid:durableId="1899130241">
    <w:abstractNumId w:val="6"/>
  </w:num>
  <w:num w:numId="8" w16cid:durableId="1682273659">
    <w:abstractNumId w:val="6"/>
  </w:num>
  <w:num w:numId="9" w16cid:durableId="1635210916">
    <w:abstractNumId w:val="1"/>
  </w:num>
  <w:num w:numId="10" w16cid:durableId="2145927627">
    <w:abstractNumId w:val="0"/>
  </w:num>
  <w:num w:numId="11" w16cid:durableId="2118326157">
    <w:abstractNumId w:val="7"/>
  </w:num>
  <w:num w:numId="12" w16cid:durableId="1627199379">
    <w:abstractNumId w:val="2"/>
  </w:num>
  <w:num w:numId="13" w16cid:durableId="150543361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82D"/>
    <w:rsid w:val="00013516"/>
    <w:rsid w:val="000338F0"/>
    <w:rsid w:val="00042664"/>
    <w:rsid w:val="0005500A"/>
    <w:rsid w:val="000618A7"/>
    <w:rsid w:val="00072944"/>
    <w:rsid w:val="00084380"/>
    <w:rsid w:val="00085036"/>
    <w:rsid w:val="000937FA"/>
    <w:rsid w:val="000A080D"/>
    <w:rsid w:val="000C5F40"/>
    <w:rsid w:val="000D1453"/>
    <w:rsid w:val="000E3807"/>
    <w:rsid w:val="000E706C"/>
    <w:rsid w:val="000F42D6"/>
    <w:rsid w:val="00110B4B"/>
    <w:rsid w:val="00126218"/>
    <w:rsid w:val="00126A5E"/>
    <w:rsid w:val="00137650"/>
    <w:rsid w:val="001410D4"/>
    <w:rsid w:val="0014684A"/>
    <w:rsid w:val="00154B1F"/>
    <w:rsid w:val="00172C07"/>
    <w:rsid w:val="001741D1"/>
    <w:rsid w:val="0017676C"/>
    <w:rsid w:val="001965B4"/>
    <w:rsid w:val="001A1B4C"/>
    <w:rsid w:val="001B0010"/>
    <w:rsid w:val="001B02A1"/>
    <w:rsid w:val="001B602D"/>
    <w:rsid w:val="001B71AD"/>
    <w:rsid w:val="001E1ACB"/>
    <w:rsid w:val="001E3865"/>
    <w:rsid w:val="0020300A"/>
    <w:rsid w:val="00206E51"/>
    <w:rsid w:val="00214CD0"/>
    <w:rsid w:val="00233192"/>
    <w:rsid w:val="0026293F"/>
    <w:rsid w:val="002860CD"/>
    <w:rsid w:val="00287A62"/>
    <w:rsid w:val="002A0CEF"/>
    <w:rsid w:val="002A3476"/>
    <w:rsid w:val="002D0127"/>
    <w:rsid w:val="002D6860"/>
    <w:rsid w:val="002F2562"/>
    <w:rsid w:val="00303A5A"/>
    <w:rsid w:val="00316B38"/>
    <w:rsid w:val="003575BD"/>
    <w:rsid w:val="0038409C"/>
    <w:rsid w:val="00392E44"/>
    <w:rsid w:val="00394F6C"/>
    <w:rsid w:val="00395220"/>
    <w:rsid w:val="003A0A5D"/>
    <w:rsid w:val="003C050D"/>
    <w:rsid w:val="003C32F5"/>
    <w:rsid w:val="003C596F"/>
    <w:rsid w:val="003C6D98"/>
    <w:rsid w:val="003C745E"/>
    <w:rsid w:val="003D2FED"/>
    <w:rsid w:val="003E358D"/>
    <w:rsid w:val="003E4AB3"/>
    <w:rsid w:val="003F121D"/>
    <w:rsid w:val="00406722"/>
    <w:rsid w:val="00415F3A"/>
    <w:rsid w:val="00450956"/>
    <w:rsid w:val="00460BCC"/>
    <w:rsid w:val="004637CC"/>
    <w:rsid w:val="00470AA9"/>
    <w:rsid w:val="00472385"/>
    <w:rsid w:val="00473D0C"/>
    <w:rsid w:val="0049006B"/>
    <w:rsid w:val="004B5DD8"/>
    <w:rsid w:val="004C1652"/>
    <w:rsid w:val="004D42D6"/>
    <w:rsid w:val="004E32A8"/>
    <w:rsid w:val="004F2E30"/>
    <w:rsid w:val="0050253D"/>
    <w:rsid w:val="00503E91"/>
    <w:rsid w:val="00526886"/>
    <w:rsid w:val="005412B6"/>
    <w:rsid w:val="005440C6"/>
    <w:rsid w:val="00547AFF"/>
    <w:rsid w:val="00566E88"/>
    <w:rsid w:val="005713EB"/>
    <w:rsid w:val="005C2E50"/>
    <w:rsid w:val="005E4CA5"/>
    <w:rsid w:val="00617D74"/>
    <w:rsid w:val="006455D0"/>
    <w:rsid w:val="00651E90"/>
    <w:rsid w:val="00655B1E"/>
    <w:rsid w:val="00655CCE"/>
    <w:rsid w:val="00683603"/>
    <w:rsid w:val="00685BED"/>
    <w:rsid w:val="006A1A21"/>
    <w:rsid w:val="006C0689"/>
    <w:rsid w:val="006C08C3"/>
    <w:rsid w:val="006C2B89"/>
    <w:rsid w:val="006C7764"/>
    <w:rsid w:val="006D1E5E"/>
    <w:rsid w:val="006D234F"/>
    <w:rsid w:val="00734E55"/>
    <w:rsid w:val="0074542C"/>
    <w:rsid w:val="007B4D14"/>
    <w:rsid w:val="007D336C"/>
    <w:rsid w:val="007E6DA7"/>
    <w:rsid w:val="008067EC"/>
    <w:rsid w:val="0083366C"/>
    <w:rsid w:val="008469DE"/>
    <w:rsid w:val="008506D5"/>
    <w:rsid w:val="00861581"/>
    <w:rsid w:val="00872C3B"/>
    <w:rsid w:val="00892B00"/>
    <w:rsid w:val="00893972"/>
    <w:rsid w:val="008B45A3"/>
    <w:rsid w:val="008C53DF"/>
    <w:rsid w:val="008E6FB9"/>
    <w:rsid w:val="008F0189"/>
    <w:rsid w:val="008F24DC"/>
    <w:rsid w:val="009025F0"/>
    <w:rsid w:val="009204AB"/>
    <w:rsid w:val="0094372E"/>
    <w:rsid w:val="0094551C"/>
    <w:rsid w:val="00947391"/>
    <w:rsid w:val="00953DC1"/>
    <w:rsid w:val="00962FFD"/>
    <w:rsid w:val="009632A3"/>
    <w:rsid w:val="00970A92"/>
    <w:rsid w:val="00984E0D"/>
    <w:rsid w:val="00991FEC"/>
    <w:rsid w:val="009A5131"/>
    <w:rsid w:val="00A03292"/>
    <w:rsid w:val="00A1258A"/>
    <w:rsid w:val="00A2404D"/>
    <w:rsid w:val="00A3036C"/>
    <w:rsid w:val="00A37A1B"/>
    <w:rsid w:val="00A67362"/>
    <w:rsid w:val="00A802F2"/>
    <w:rsid w:val="00A8087F"/>
    <w:rsid w:val="00A961F5"/>
    <w:rsid w:val="00AB255A"/>
    <w:rsid w:val="00AC29BB"/>
    <w:rsid w:val="00AE1227"/>
    <w:rsid w:val="00AE657E"/>
    <w:rsid w:val="00AF4A1E"/>
    <w:rsid w:val="00AF56A8"/>
    <w:rsid w:val="00AF61E3"/>
    <w:rsid w:val="00B237CE"/>
    <w:rsid w:val="00B35EFB"/>
    <w:rsid w:val="00B73A35"/>
    <w:rsid w:val="00B87D33"/>
    <w:rsid w:val="00B94E15"/>
    <w:rsid w:val="00B97DD1"/>
    <w:rsid w:val="00BA3C32"/>
    <w:rsid w:val="00BB182D"/>
    <w:rsid w:val="00BD1480"/>
    <w:rsid w:val="00BD2F15"/>
    <w:rsid w:val="00BD3A40"/>
    <w:rsid w:val="00BE6E05"/>
    <w:rsid w:val="00BF2B09"/>
    <w:rsid w:val="00BF71C7"/>
    <w:rsid w:val="00C20050"/>
    <w:rsid w:val="00C24B3F"/>
    <w:rsid w:val="00C523EA"/>
    <w:rsid w:val="00C622D7"/>
    <w:rsid w:val="00C63FC6"/>
    <w:rsid w:val="00C7477C"/>
    <w:rsid w:val="00C8086F"/>
    <w:rsid w:val="00C917A0"/>
    <w:rsid w:val="00CC0991"/>
    <w:rsid w:val="00CE03EE"/>
    <w:rsid w:val="00CF0B90"/>
    <w:rsid w:val="00CF36D3"/>
    <w:rsid w:val="00D00DA4"/>
    <w:rsid w:val="00D07616"/>
    <w:rsid w:val="00D2211A"/>
    <w:rsid w:val="00D57D70"/>
    <w:rsid w:val="00D60237"/>
    <w:rsid w:val="00D8328F"/>
    <w:rsid w:val="00DA5A92"/>
    <w:rsid w:val="00DD35DF"/>
    <w:rsid w:val="00DE5B7D"/>
    <w:rsid w:val="00DF60EB"/>
    <w:rsid w:val="00E076C3"/>
    <w:rsid w:val="00E11774"/>
    <w:rsid w:val="00E1238B"/>
    <w:rsid w:val="00E134DF"/>
    <w:rsid w:val="00E14D4C"/>
    <w:rsid w:val="00E47749"/>
    <w:rsid w:val="00E6177A"/>
    <w:rsid w:val="00EA0FC2"/>
    <w:rsid w:val="00EB2B9A"/>
    <w:rsid w:val="00EC6EA8"/>
    <w:rsid w:val="00ED3345"/>
    <w:rsid w:val="00ED4CB7"/>
    <w:rsid w:val="00ED730C"/>
    <w:rsid w:val="00F260E9"/>
    <w:rsid w:val="00F36CF1"/>
    <w:rsid w:val="00F41572"/>
    <w:rsid w:val="00F5126A"/>
    <w:rsid w:val="00F76E01"/>
    <w:rsid w:val="00F9328A"/>
    <w:rsid w:val="00F9668F"/>
    <w:rsid w:val="00FB70A6"/>
    <w:rsid w:val="00FC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FE199"/>
  <w15:docId w15:val="{8E4E8652-DAC7-4529-AFAB-39E7B09C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A5D"/>
    <w:pPr>
      <w:spacing w:after="0" w:line="240" w:lineRule="auto"/>
    </w:pPr>
    <w:rPr>
      <w:rFonts w:ascii="Calibri" w:eastAsia="Times New Roman" w:hAnsi="Calibri" w:cs="Times New Roman"/>
      <w:sz w:val="24"/>
      <w:lang w:val="es-ES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OOLKITTable">
    <w:name w:val="TOOLKIT_Table"/>
    <w:basedOn w:val="TableauNormal"/>
    <w:uiPriority w:val="99"/>
    <w:rsid w:val="00BB182D"/>
    <w:pPr>
      <w:spacing w:after="0" w:line="240" w:lineRule="auto"/>
    </w:pPr>
    <w:rPr>
      <w:sz w:val="24"/>
    </w:rPr>
    <w:tblPr>
      <w:tblStyleRowBandSize w:val="1"/>
      <w:tblBorders>
        <w:top w:val="single" w:sz="4" w:space="0" w:color="44546A" w:themeColor="text2"/>
        <w:left w:val="single" w:sz="4" w:space="0" w:color="44546A" w:themeColor="text2"/>
        <w:bottom w:val="single" w:sz="4" w:space="0" w:color="44546A" w:themeColor="text2"/>
        <w:right w:val="single" w:sz="4" w:space="0" w:color="44546A" w:themeColor="text2"/>
        <w:insideH w:val="single" w:sz="4" w:space="0" w:color="44546A" w:themeColor="text2"/>
        <w:insideV w:val="single" w:sz="4" w:space="0" w:color="44546A" w:themeColor="text2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</w:style>
  <w:style w:type="table" w:customStyle="1" w:styleId="TableToolkit">
    <w:name w:val="Table_Toolkit"/>
    <w:basedOn w:val="TOOLKITTable"/>
    <w:uiPriority w:val="99"/>
    <w:rsid w:val="00F260E9"/>
    <w:tblPr/>
    <w:tcPr>
      <w:shd w:val="clear" w:color="auto" w:fill="auto"/>
    </w:tcPr>
  </w:style>
  <w:style w:type="paragraph" w:customStyle="1" w:styleId="TKTextetableau">
    <w:name w:val="TK Texte tableau"/>
    <w:qFormat/>
    <w:rsid w:val="00D00DA4"/>
    <w:pPr>
      <w:framePr w:hSpace="141" w:wrap="around" w:vAnchor="text" w:hAnchor="text" w:y="1"/>
      <w:spacing w:after="0" w:line="240" w:lineRule="auto"/>
    </w:pPr>
    <w:rPr>
      <w:rFonts w:ascii="Calibri" w:eastAsia="Times New Roman" w:hAnsi="Calibri" w:cs="Times New Roman"/>
      <w:szCs w:val="24"/>
      <w:lang w:val="en-GB"/>
    </w:rPr>
  </w:style>
  <w:style w:type="paragraph" w:customStyle="1" w:styleId="TKAIM">
    <w:name w:val="TK AIM"/>
    <w:autoRedefine/>
    <w:qFormat/>
    <w:rsid w:val="004637CC"/>
    <w:pPr>
      <w:shd w:val="clear" w:color="auto" w:fill="DDDDDD"/>
      <w:tabs>
        <w:tab w:val="left" w:pos="1276"/>
      </w:tabs>
      <w:spacing w:before="480" w:after="480" w:line="240" w:lineRule="auto"/>
      <w:ind w:left="1276" w:hanging="1276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3A0A5D"/>
    <w:pPr>
      <w:spacing w:before="120" w:after="120"/>
      <w:jc w:val="center"/>
    </w:pPr>
    <w:rPr>
      <w:rFonts w:eastAsia="Calibri"/>
      <w:b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autoRedefine/>
    <w:qFormat/>
    <w:rsid w:val="00460BCC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1">
    <w:name w:val="TK Bullet Level1"/>
    <w:next w:val="Normal"/>
    <w:qFormat/>
    <w:rsid w:val="003A0A5D"/>
    <w:pPr>
      <w:numPr>
        <w:numId w:val="8"/>
      </w:numPr>
      <w:tabs>
        <w:tab w:val="left" w:pos="567"/>
      </w:tabs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BulletLevel2">
    <w:name w:val="TK Bullet Level2"/>
    <w:basedOn w:val="TKBulletLevel1"/>
    <w:qFormat/>
    <w:rsid w:val="003A0A5D"/>
  </w:style>
  <w:style w:type="paragraph" w:customStyle="1" w:styleId="TKNbrsLevel2">
    <w:name w:val="TK Nbrs Level2"/>
    <w:autoRedefine/>
    <w:qFormat/>
    <w:rsid w:val="003A0A5D"/>
    <w:pPr>
      <w:numPr>
        <w:numId w:val="9"/>
      </w:numPr>
      <w:spacing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TITRE2">
    <w:name w:val="TK TITRE 2"/>
    <w:next w:val="Normal"/>
    <w:autoRedefine/>
    <w:qFormat/>
    <w:rsid w:val="003A0A5D"/>
    <w:pPr>
      <w:spacing w:before="120" w:after="120" w:line="240" w:lineRule="auto"/>
    </w:pPr>
    <w:rPr>
      <w:rFonts w:ascii="Calibri" w:eastAsia="Times New Roman" w:hAnsi="Calibri" w:cs="Calibri"/>
      <w:b/>
      <w:sz w:val="28"/>
      <w:szCs w:val="26"/>
      <w:lang w:val="en-US"/>
    </w:rPr>
  </w:style>
  <w:style w:type="paragraph" w:customStyle="1" w:styleId="TKTITRE3">
    <w:name w:val="TK TITRE 3"/>
    <w:autoRedefine/>
    <w:qFormat/>
    <w:rsid w:val="003A0A5D"/>
    <w:pPr>
      <w:spacing w:before="120" w:after="120" w:line="240" w:lineRule="auto"/>
    </w:pPr>
    <w:rPr>
      <w:rFonts w:ascii="Calibri" w:eastAsia="Calibri" w:hAnsi="Calibri" w:cs="Times New Roman"/>
      <w:i/>
      <w:noProof/>
      <w:sz w:val="24"/>
      <w:szCs w:val="24"/>
      <w:u w:val="single"/>
      <w:lang w:val="en-US"/>
    </w:rPr>
  </w:style>
  <w:style w:type="paragraph" w:customStyle="1" w:styleId="TKTITRE1">
    <w:name w:val="TK TITRE1"/>
    <w:autoRedefine/>
    <w:qFormat/>
    <w:rsid w:val="003A0A5D"/>
    <w:pPr>
      <w:spacing w:before="120" w:after="120" w:line="240" w:lineRule="auto"/>
    </w:pPr>
    <w:rPr>
      <w:rFonts w:ascii="Calibri" w:eastAsia="Times New Roman" w:hAnsi="Calibri" w:cs="Calibri"/>
      <w:b/>
      <w:sz w:val="32"/>
      <w:szCs w:val="28"/>
      <w:lang w:val="en-US"/>
    </w:rPr>
  </w:style>
  <w:style w:type="paragraph" w:customStyle="1" w:styleId="TKNbrsLevel1">
    <w:name w:val="TK_Nbrs Level1"/>
    <w:autoRedefine/>
    <w:qFormat/>
    <w:rsid w:val="0050253D"/>
    <w:pPr>
      <w:numPr>
        <w:numId w:val="11"/>
      </w:numPr>
      <w:spacing w:line="240" w:lineRule="auto"/>
      <w:ind w:left="851" w:hanging="284"/>
    </w:pPr>
    <w:rPr>
      <w:rFonts w:ascii="Calibri" w:eastAsia="Calibri" w:hAnsi="Calibri" w:cs="Times New Roman"/>
      <w:sz w:val="24"/>
      <w:szCs w:val="24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2D68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D686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D6860"/>
    <w:rPr>
      <w:rFonts w:ascii="Calibri" w:eastAsia="Times New Roman" w:hAnsi="Calibri" w:cs="Times New Roman"/>
      <w:sz w:val="20"/>
      <w:szCs w:val="20"/>
      <w:lang w:val="es-E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D68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D6860"/>
    <w:rPr>
      <w:rFonts w:ascii="Calibri" w:eastAsia="Times New Roman" w:hAnsi="Calibri"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.coe.int/herramienta-3-cuestiones-eticas-e-interculturales-que-tener-en-cuenta-/1680a966a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m.coe.int/herramienta-14-diversidad-de-los-grupos-de-trabajo/1680a9669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12989-45F6-4C47-9E85-27668F93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1394</Words>
  <Characters>7673</Characters>
  <Application>Microsoft Office Word</Application>
  <DocSecurity>0</DocSecurity>
  <Lines>63</Lines>
  <Paragraphs>18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Carole</dc:creator>
  <cp:lastModifiedBy>Carole</cp:lastModifiedBy>
  <cp:revision>8</cp:revision>
  <cp:lastPrinted>2020-11-10T07:34:00Z</cp:lastPrinted>
  <dcterms:created xsi:type="dcterms:W3CDTF">2020-11-19T13:00:00Z</dcterms:created>
  <dcterms:modified xsi:type="dcterms:W3CDTF">2022-12-15T17:35:00Z</dcterms:modified>
</cp:coreProperties>
</file>