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C81" w:rsidRPr="00DE2C28" w:rsidRDefault="0035512B" w:rsidP="004026EB">
      <w:pPr>
        <w:pStyle w:val="TKMAINTITLE"/>
      </w:pPr>
      <w:r>
        <w:t>8 - Somalisch: een woordje uitleg</w:t>
      </w:r>
    </w:p>
    <w:p w:rsidR="00914C81" w:rsidRPr="00DE2C28" w:rsidRDefault="00914C81" w:rsidP="002C56B3">
      <w:pPr>
        <w:pStyle w:val="TKAIM"/>
        <w:tabs>
          <w:tab w:val="clear" w:pos="709"/>
          <w:tab w:val="left" w:pos="851"/>
        </w:tabs>
        <w:ind w:left="1701" w:hanging="1701"/>
      </w:pPr>
      <w:r>
        <w:t>Doelstelling:</w:t>
      </w:r>
      <w:r>
        <w:tab/>
        <w:t xml:space="preserve">Een korte toelichting </w:t>
      </w:r>
      <w:r w:rsidR="0020689A">
        <w:t xml:space="preserve">geven </w:t>
      </w:r>
      <w:r>
        <w:t>bij een van de talen gesproken door een groot aantal vluchtelingen.</w:t>
      </w:r>
    </w:p>
    <w:p w:rsidR="00914C81" w:rsidRPr="00DE2C28" w:rsidRDefault="001D08B2" w:rsidP="005C6517">
      <w:pPr>
        <w:pStyle w:val="TKTEXTE"/>
      </w:pPr>
      <w:r w:rsidRPr="001D08B2">
        <w:t xml:space="preserve">Begrijpen hoe </w:t>
      </w:r>
      <w:r w:rsidR="00914C81">
        <w:t xml:space="preserve">het Somalisch is opgebouwd, kan </w:t>
      </w:r>
      <w:r w:rsidR="00C84B4B">
        <w:t>een stevige</w:t>
      </w:r>
      <w:r>
        <w:t xml:space="preserve"> </w:t>
      </w:r>
      <w:r w:rsidR="00914C81">
        <w:t xml:space="preserve">hulp zijn om de moeilijkheden te begrijpen die </w:t>
      </w:r>
      <w:proofErr w:type="spellStart"/>
      <w:r w:rsidR="00914C81">
        <w:t>Somalischspreken</w:t>
      </w:r>
      <w:r>
        <w:t>den</w:t>
      </w:r>
      <w:proofErr w:type="spellEnd"/>
      <w:r w:rsidR="00914C81">
        <w:t xml:space="preserve"> ondervinden wanneer ze een nieuwe taal leren. </w:t>
      </w:r>
      <w:r>
        <w:t xml:space="preserve">Zo </w:t>
      </w:r>
      <w:r w:rsidR="00914C81">
        <w:t xml:space="preserve">kom je </w:t>
      </w:r>
      <w:r>
        <w:t xml:space="preserve">ook </w:t>
      </w:r>
      <w:r w:rsidR="00914C81">
        <w:t xml:space="preserve">te weten welke aspecten relatief makkelijk zijn voor hen. Vluchtelingen zullen het ook waarderen als je hen vraagt je te helpen bij de juiste uitspraak van persoonsnamen of plaatsen en als je op zijn minst een paar woorden of zinnetjes in hun taal tracht te </w:t>
      </w:r>
      <w:r>
        <w:t>zeggen</w:t>
      </w:r>
      <w:r w:rsidR="00234E6C">
        <w:t xml:space="preserve"> (zie ‘</w:t>
      </w:r>
      <w:hyperlink r:id="rId8">
        <w:r w:rsidR="00914C81" w:rsidRPr="00AF19E3">
          <w:rPr>
            <w:rStyle w:val="Lienhypertexte"/>
            <w:u w:val="none"/>
          </w:rPr>
          <w:t xml:space="preserve">Oorspronkelijke taal </w:t>
        </w:r>
      </w:hyperlink>
      <w:r w:rsidR="00234E6C" w:rsidRPr="00AF19E3">
        <w:t>‘</w:t>
      </w:r>
      <w:r w:rsidR="00914C81" w:rsidRPr="00AF19E3">
        <w:t>).</w:t>
      </w:r>
    </w:p>
    <w:p w:rsidR="00914C81" w:rsidRPr="00DE2C28" w:rsidRDefault="00914C81" w:rsidP="003E64BB">
      <w:pPr>
        <w:pStyle w:val="TKTITRE1"/>
      </w:pPr>
      <w:r>
        <w:t>Waar wordt de taal gesproken?</w:t>
      </w:r>
    </w:p>
    <w:p w:rsidR="00914C81" w:rsidRPr="00DE2C28" w:rsidRDefault="00914C81" w:rsidP="005C6517">
      <w:pPr>
        <w:pStyle w:val="TKTEXTE"/>
      </w:pPr>
      <w:r>
        <w:t xml:space="preserve">Somalisch wordt gesproken in de Hoorn van Afrika. Het taalgebied spreidt zich uit over Somalië, </w:t>
      </w:r>
      <w:r w:rsidR="001D08B2">
        <w:t xml:space="preserve">in </w:t>
      </w:r>
      <w:r>
        <w:t xml:space="preserve">de sinds 1991 de facto onafhankelijke (doch niet internationaal erkende) Republiek Somaliland, </w:t>
      </w:r>
      <w:r w:rsidR="001D08B2">
        <w:t xml:space="preserve">in </w:t>
      </w:r>
      <w:r>
        <w:t>Djibouti, Kenia en Ethiopië. De verspreiding van de Somalisch</w:t>
      </w:r>
      <w:r w:rsidR="001D08B2">
        <w:t xml:space="preserve"> </w:t>
      </w:r>
      <w:r>
        <w:t xml:space="preserve">sprekende bevolking over </w:t>
      </w:r>
      <w:r w:rsidR="001D08B2">
        <w:t xml:space="preserve">deze </w:t>
      </w:r>
      <w:r>
        <w:t>vijf landen en de huidige grenssituatie zijn een erfenis uit het koloniale verleden. Tijdens de Congo Conferentie van 1884/1885 werden de gebieden met een Somalisch sprekende bevolking in vijf opgedeeld: Brits Oost-Afrika (Kenia), Brits Somaliland (Somaliland), Italiaans Somaliland (Somali</w:t>
      </w:r>
      <w:r w:rsidR="001D08B2">
        <w:t>ë</w:t>
      </w:r>
      <w:r>
        <w:t xml:space="preserve">), Frans Somaliland (Djibouti) en </w:t>
      </w:r>
      <w:proofErr w:type="spellStart"/>
      <w:r>
        <w:t>Abessinië</w:t>
      </w:r>
      <w:proofErr w:type="spellEnd"/>
      <w:r>
        <w:t xml:space="preserve"> (Ethiopië).</w:t>
      </w:r>
    </w:p>
    <w:p w:rsidR="00914C81" w:rsidRPr="00DE2C28" w:rsidRDefault="00914C81" w:rsidP="005C6517">
      <w:pPr>
        <w:pStyle w:val="TKTEXTE"/>
      </w:pPr>
      <w:r>
        <w:t xml:space="preserve">Naast deze Afrikaanse landen wordt de taal ook in andere landen gesproken door Somalische minderheden. Deze minderheden verhuisden voornamelijk naar de Verenigde Staten en Europa na de val van president </w:t>
      </w:r>
      <w:proofErr w:type="spellStart"/>
      <w:r>
        <w:t>Siad</w:t>
      </w:r>
      <w:proofErr w:type="spellEnd"/>
      <w:r>
        <w:t xml:space="preserve"> Barre in 1991 en de daar</w:t>
      </w:r>
      <w:r w:rsidR="00C84B4B">
        <w:t>op</w:t>
      </w:r>
      <w:r w:rsidR="001D08B2">
        <w:t xml:space="preserve">volgende </w:t>
      </w:r>
      <w:r>
        <w:t>burgeroorlog. Wereldwijd spreken zowat 12 miljoen mensen Somalisch. Door de instabiele situatie in Somalië en de grootschalige diaspora is dit aantal evenwel moeilijk in te schatten.</w:t>
      </w:r>
    </w:p>
    <w:p w:rsidR="00914C81" w:rsidRPr="00DE2C28" w:rsidRDefault="00914C81" w:rsidP="005C6517">
      <w:pPr>
        <w:pStyle w:val="TKTEXTE"/>
      </w:pPr>
      <w:r>
        <w:t xml:space="preserve">Het Somalisch bevat een groot aantal leenwoorden uit de voormalige koloniale talen (voornamelijk Italiaans en Engels), uit het Arabisch en andere </w:t>
      </w:r>
      <w:r w:rsidR="0020689A">
        <w:t>“</w:t>
      </w:r>
      <w:r>
        <w:t>oosterse</w:t>
      </w:r>
      <w:r w:rsidR="0020689A">
        <w:t xml:space="preserve">” </w:t>
      </w:r>
      <w:r>
        <w:t xml:space="preserve">talen. Tijdens het koninkrijk van </w:t>
      </w:r>
      <w:proofErr w:type="spellStart"/>
      <w:r>
        <w:t>Aksum</w:t>
      </w:r>
      <w:proofErr w:type="spellEnd"/>
      <w:r>
        <w:t xml:space="preserve"> (1</w:t>
      </w:r>
      <w:r w:rsidR="001D08B2">
        <w:t>st</w:t>
      </w:r>
      <w:r>
        <w:t>e tot 7</w:t>
      </w:r>
      <w:r w:rsidR="001D08B2">
        <w:t>d</w:t>
      </w:r>
      <w:r>
        <w:t>e eeuw voor Chr.) dat zich uitstrekte tot het noordwesten van het huidige Somalië, kwam de Somalische taal</w:t>
      </w:r>
      <w:r w:rsidR="001D08B2">
        <w:t xml:space="preserve"> onder invloed van het </w:t>
      </w:r>
      <w:r>
        <w:t xml:space="preserve">Arabisch en </w:t>
      </w:r>
      <w:r w:rsidR="001D08B2">
        <w:t xml:space="preserve">het </w:t>
      </w:r>
      <w:r>
        <w:t>Perzisch</w:t>
      </w:r>
      <w:r w:rsidR="001D08B2">
        <w:t xml:space="preserve"> </w:t>
      </w:r>
      <w:r>
        <w:t>via de overzeese handel.</w:t>
      </w:r>
    </w:p>
    <w:p w:rsidR="00914C81" w:rsidRPr="00DE2C28" w:rsidRDefault="00914C81" w:rsidP="003E64BB">
      <w:pPr>
        <w:pStyle w:val="TKTITRE1"/>
      </w:pPr>
      <w:r>
        <w:t>Enkele kenmerken van het Somalisch schrift</w:t>
      </w:r>
    </w:p>
    <w:p w:rsidR="00914C81" w:rsidRPr="00DE2C28" w:rsidRDefault="00914C81" w:rsidP="005C6517">
      <w:pPr>
        <w:pStyle w:val="TKTEXTE"/>
      </w:pPr>
      <w:r>
        <w:t xml:space="preserve">Hoofdzakelijk om praktische redenen besliste een comité van internationale taalkundigen in 1972 om het Latijnse schrift te gebruiken voor het geschreven Somalisch. Behalve het weglatingsteken zijn er geen speciale </w:t>
      </w:r>
      <w:r w:rsidRPr="001D08B2">
        <w:t>karakters. De volgorde van de</w:t>
      </w:r>
      <w:r>
        <w:t xml:space="preserve"> letters is gebaseerd op het Arabisch alfabet.</w:t>
      </w:r>
    </w:p>
    <w:p w:rsidR="00914C81" w:rsidRPr="00DE2C28" w:rsidRDefault="00914C81" w:rsidP="003E64BB">
      <w:pPr>
        <w:pStyle w:val="TKTITRE1"/>
      </w:pPr>
      <w:r>
        <w:t>Enkele uitdrukkingen in het Somalisch</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6"/>
        <w:gridCol w:w="4846"/>
      </w:tblGrid>
      <w:tr w:rsidR="00914C81" w:rsidRPr="00DE2C28" w:rsidTr="00DE2C28">
        <w:trPr>
          <w:trHeight w:val="284"/>
        </w:trPr>
        <w:tc>
          <w:tcPr>
            <w:tcW w:w="5836" w:type="dxa"/>
            <w:shd w:val="clear" w:color="auto" w:fill="auto"/>
          </w:tcPr>
          <w:p w:rsidR="00914C81" w:rsidRPr="00DE2C28" w:rsidRDefault="00914C81" w:rsidP="00DE2C28">
            <w:pPr>
              <w:pStyle w:val="TKTextetableau"/>
              <w:framePr w:hSpace="0" w:wrap="auto" w:vAnchor="margin" w:yAlign="inline"/>
            </w:pPr>
            <w:r>
              <w:t>Goeiemorgen!</w:t>
            </w:r>
          </w:p>
        </w:tc>
        <w:tc>
          <w:tcPr>
            <w:tcW w:w="4846" w:type="dxa"/>
          </w:tcPr>
          <w:p w:rsidR="00914C81" w:rsidRPr="00DE2C28" w:rsidRDefault="00914C81" w:rsidP="00DE2C28">
            <w:pPr>
              <w:pStyle w:val="TKTextetableau"/>
              <w:framePr w:hSpace="0" w:wrap="auto" w:vAnchor="margin" w:yAlign="inline"/>
            </w:pPr>
            <w:proofErr w:type="spellStart"/>
            <w:r>
              <w:t>Subax</w:t>
            </w:r>
            <w:proofErr w:type="spellEnd"/>
            <w:r>
              <w:t xml:space="preserve"> </w:t>
            </w:r>
            <w:proofErr w:type="spellStart"/>
            <w:r>
              <w:t>wanaagsan</w:t>
            </w:r>
            <w:proofErr w:type="spellEnd"/>
            <w:r>
              <w:t>!</w:t>
            </w:r>
          </w:p>
        </w:tc>
      </w:tr>
      <w:tr w:rsidR="00914C81" w:rsidRPr="00DE2C28" w:rsidTr="00DE2C28">
        <w:trPr>
          <w:trHeight w:val="284"/>
        </w:trPr>
        <w:tc>
          <w:tcPr>
            <w:tcW w:w="5836" w:type="dxa"/>
            <w:shd w:val="clear" w:color="auto" w:fill="D9D9D9" w:themeFill="background1" w:themeFillShade="D9"/>
          </w:tcPr>
          <w:p w:rsidR="00914C81" w:rsidRPr="00DE2C28" w:rsidRDefault="00914C81" w:rsidP="00DE2C28">
            <w:pPr>
              <w:pStyle w:val="TKTextetableau"/>
              <w:framePr w:hSpace="0" w:wrap="auto" w:vAnchor="margin" w:yAlign="inline"/>
            </w:pPr>
            <w:r>
              <w:t>Goeiedag! (</w:t>
            </w:r>
            <w:proofErr w:type="gramStart"/>
            <w:r>
              <w:t>letterlijk</w:t>
            </w:r>
            <w:proofErr w:type="gramEnd"/>
            <w:r>
              <w:t>: Is het vrede?)</w:t>
            </w:r>
          </w:p>
        </w:tc>
        <w:tc>
          <w:tcPr>
            <w:tcW w:w="4846" w:type="dxa"/>
            <w:shd w:val="clear" w:color="auto" w:fill="D9D9D9" w:themeFill="background1" w:themeFillShade="D9"/>
          </w:tcPr>
          <w:p w:rsidR="00914C81" w:rsidRPr="00DE2C28" w:rsidRDefault="00914C81" w:rsidP="00DE2C28">
            <w:pPr>
              <w:pStyle w:val="TKTextetableau"/>
              <w:framePr w:hSpace="0" w:wrap="auto" w:vAnchor="margin" w:yAlign="inline"/>
            </w:pPr>
            <w:r>
              <w:t xml:space="preserve">Ma </w:t>
            </w:r>
            <w:proofErr w:type="spellStart"/>
            <w:r>
              <w:t>nabad</w:t>
            </w:r>
            <w:proofErr w:type="spellEnd"/>
            <w:r>
              <w:t xml:space="preserve"> </w:t>
            </w:r>
            <w:proofErr w:type="spellStart"/>
            <w:r>
              <w:t>baa</w:t>
            </w:r>
            <w:proofErr w:type="spellEnd"/>
            <w:r>
              <w:t>?</w:t>
            </w:r>
          </w:p>
        </w:tc>
      </w:tr>
      <w:tr w:rsidR="00914C81" w:rsidRPr="00DE2C28" w:rsidTr="00DE2C28">
        <w:trPr>
          <w:trHeight w:val="284"/>
        </w:trPr>
        <w:tc>
          <w:tcPr>
            <w:tcW w:w="5836" w:type="dxa"/>
            <w:shd w:val="clear" w:color="auto" w:fill="auto"/>
          </w:tcPr>
          <w:p w:rsidR="00914C81" w:rsidRPr="00DE2C28" w:rsidRDefault="00914C81" w:rsidP="00DE2C28">
            <w:pPr>
              <w:pStyle w:val="TKTextetableau"/>
              <w:framePr w:hSpace="0" w:wrap="auto" w:vAnchor="margin" w:yAlign="inline"/>
            </w:pPr>
            <w:r>
              <w:t>Goeiedag! (letterlijk: Het is vrede. Als antwoord daarop)</w:t>
            </w:r>
          </w:p>
        </w:tc>
        <w:tc>
          <w:tcPr>
            <w:tcW w:w="4846" w:type="dxa"/>
          </w:tcPr>
          <w:p w:rsidR="00914C81" w:rsidRPr="00DE2C28" w:rsidRDefault="00914C81" w:rsidP="00DE2C28">
            <w:pPr>
              <w:pStyle w:val="TKTextetableau"/>
              <w:framePr w:hSpace="0" w:wrap="auto" w:vAnchor="margin" w:yAlign="inline"/>
            </w:pPr>
            <w:proofErr w:type="spellStart"/>
            <w:r>
              <w:t>Waa</w:t>
            </w:r>
            <w:proofErr w:type="spellEnd"/>
            <w:r>
              <w:t xml:space="preserve"> </w:t>
            </w:r>
            <w:proofErr w:type="spellStart"/>
            <w:r>
              <w:t>nabad</w:t>
            </w:r>
            <w:proofErr w:type="spellEnd"/>
          </w:p>
        </w:tc>
      </w:tr>
      <w:tr w:rsidR="00914C81" w:rsidRPr="00DE2C28" w:rsidTr="00DE2C28">
        <w:trPr>
          <w:trHeight w:val="284"/>
        </w:trPr>
        <w:tc>
          <w:tcPr>
            <w:tcW w:w="5836" w:type="dxa"/>
            <w:shd w:val="clear" w:color="auto" w:fill="D9D9D9" w:themeFill="background1" w:themeFillShade="D9"/>
          </w:tcPr>
          <w:p w:rsidR="00914C81" w:rsidRPr="00DE2C28" w:rsidRDefault="00914C81" w:rsidP="00DE2C28">
            <w:pPr>
              <w:pStyle w:val="TKTextetableau"/>
              <w:framePr w:hSpace="0" w:wrap="auto" w:vAnchor="margin" w:yAlign="inline"/>
            </w:pPr>
            <w:r>
              <w:t>Ja</w:t>
            </w:r>
          </w:p>
        </w:tc>
        <w:tc>
          <w:tcPr>
            <w:tcW w:w="4846" w:type="dxa"/>
            <w:shd w:val="clear" w:color="auto" w:fill="D9D9D9" w:themeFill="background1" w:themeFillShade="D9"/>
          </w:tcPr>
          <w:p w:rsidR="00914C81" w:rsidRPr="00DE2C28" w:rsidRDefault="00914C81" w:rsidP="00DE2C28">
            <w:pPr>
              <w:pStyle w:val="TKTextetableau"/>
              <w:framePr w:hSpace="0" w:wrap="auto" w:vAnchor="margin" w:yAlign="inline"/>
            </w:pPr>
            <w:proofErr w:type="spellStart"/>
            <w:r>
              <w:t>Haa</w:t>
            </w:r>
            <w:proofErr w:type="spellEnd"/>
          </w:p>
        </w:tc>
      </w:tr>
      <w:tr w:rsidR="00914C81" w:rsidRPr="00DE2C28" w:rsidTr="00DE2C28">
        <w:trPr>
          <w:trHeight w:val="284"/>
        </w:trPr>
        <w:tc>
          <w:tcPr>
            <w:tcW w:w="5836" w:type="dxa"/>
            <w:shd w:val="clear" w:color="auto" w:fill="auto"/>
          </w:tcPr>
          <w:p w:rsidR="00914C81" w:rsidRPr="00DE2C28" w:rsidRDefault="00914C81" w:rsidP="00DE2C28">
            <w:pPr>
              <w:pStyle w:val="TKTextetableau"/>
              <w:framePr w:hSpace="0" w:wrap="auto" w:vAnchor="margin" w:yAlign="inline"/>
            </w:pPr>
            <w:r>
              <w:t>Nee</w:t>
            </w:r>
          </w:p>
        </w:tc>
        <w:tc>
          <w:tcPr>
            <w:tcW w:w="4846" w:type="dxa"/>
          </w:tcPr>
          <w:p w:rsidR="00914C81" w:rsidRPr="00DE2C28" w:rsidRDefault="00914C81" w:rsidP="00DE2C28">
            <w:pPr>
              <w:pStyle w:val="TKTextetableau"/>
              <w:framePr w:hSpace="0" w:wrap="auto" w:vAnchor="margin" w:yAlign="inline"/>
            </w:pPr>
            <w:r>
              <w:t>Maya</w:t>
            </w:r>
          </w:p>
        </w:tc>
      </w:tr>
    </w:tbl>
    <w:p w:rsidR="009E7994" w:rsidRDefault="009E7994" w:rsidP="003E64BB">
      <w:pPr>
        <w:pStyle w:val="TKTITRE1"/>
        <w:sectPr w:rsidR="009E7994" w:rsidSect="00DE2F6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83" w:footer="283" w:gutter="0"/>
          <w:cols w:space="708"/>
          <w:docGrid w:linePitch="360"/>
        </w:sectPr>
      </w:pPr>
    </w:p>
    <w:p w:rsidR="00861573" w:rsidRDefault="00861573">
      <w:pPr>
        <w:spacing w:after="160" w:line="259" w:lineRule="auto"/>
        <w:rPr>
          <w:rFonts w:cs="Calibri"/>
          <w:b/>
          <w:bCs/>
          <w:sz w:val="4"/>
          <w:szCs w:val="4"/>
        </w:rPr>
      </w:pPr>
      <w:r>
        <w:rPr>
          <w:rFonts w:cs="Calibri"/>
          <w:b/>
          <w:bCs/>
          <w:sz w:val="4"/>
          <w:szCs w:val="4"/>
        </w:rPr>
        <w:br w:type="page"/>
      </w:r>
    </w:p>
    <w:p w:rsidR="00AF19E3" w:rsidRPr="00861573" w:rsidRDefault="00AF19E3">
      <w:pPr>
        <w:spacing w:after="160" w:line="259" w:lineRule="auto"/>
        <w:rPr>
          <w:rFonts w:cs="Calibri"/>
          <w:b/>
          <w:bCs/>
          <w:sz w:val="4"/>
          <w:szCs w:val="4"/>
        </w:rPr>
      </w:pPr>
      <w:bookmarkStart w:id="0" w:name="_GoBack"/>
      <w:bookmarkEnd w:id="0"/>
    </w:p>
    <w:p w:rsidR="00914C81" w:rsidRPr="00DE2C28" w:rsidRDefault="00914C81" w:rsidP="003E64BB">
      <w:pPr>
        <w:pStyle w:val="TKTITRE1"/>
      </w:pPr>
      <w:r>
        <w:t>Alfabet en uitspraak</w:t>
      </w:r>
    </w:p>
    <w:p w:rsidR="00914C81" w:rsidRPr="00DE2C28" w:rsidRDefault="00914C81" w:rsidP="003E64BB">
      <w:pPr>
        <w:pStyle w:val="TKTITRE2"/>
      </w:pPr>
      <w:r>
        <w:t>De 26 letters van het Somalisch alfabet zijn:</w:t>
      </w:r>
    </w:p>
    <w:p w:rsidR="00914C81" w:rsidRPr="002C56B3" w:rsidRDefault="00914C81" w:rsidP="005C6517">
      <w:pPr>
        <w:pStyle w:val="TKTEXTE"/>
        <w:rPr>
          <w:lang w:val="en-US"/>
        </w:rPr>
      </w:pPr>
      <w:r w:rsidRPr="002C56B3">
        <w:rPr>
          <w:lang w:val="en-US"/>
        </w:rPr>
        <w:t>B, T, J, X, KH, D, R, S, SH, DH, C, G, F, Q, K, H, L, M, N, W, H, Y, A, E, I, O, U</w:t>
      </w:r>
    </w:p>
    <w:p w:rsidR="00914C81" w:rsidRPr="00DE2C28" w:rsidRDefault="00914C81" w:rsidP="003E64BB">
      <w:pPr>
        <w:pStyle w:val="TKTITRE2"/>
      </w:pPr>
      <w:r>
        <w:t>Enkele uitspraakkenmerken:</w:t>
      </w:r>
    </w:p>
    <w:p w:rsidR="00914C81" w:rsidRPr="00DE2C28" w:rsidRDefault="00914C81" w:rsidP="005C6517">
      <w:pPr>
        <w:pStyle w:val="TKTEXTE"/>
      </w:pPr>
      <w:r>
        <w:t>X – /h</w:t>
      </w:r>
    </w:p>
    <w:p w:rsidR="00914C81" w:rsidRPr="00DE2C28" w:rsidRDefault="00914C81" w:rsidP="005C6517">
      <w:pPr>
        <w:pStyle w:val="TKTEXTE"/>
      </w:pPr>
      <w:r>
        <w:t>C – /a</w:t>
      </w:r>
    </w:p>
    <w:p w:rsidR="00914C81" w:rsidRPr="00DE2C28" w:rsidRDefault="00914C81" w:rsidP="005C6517">
      <w:pPr>
        <w:pStyle w:val="TKTEXTE"/>
      </w:pPr>
      <w:r>
        <w:t>Q – /k (diepe keelklank)</w:t>
      </w:r>
    </w:p>
    <w:p w:rsidR="00914C81" w:rsidRPr="00DE2C28" w:rsidRDefault="00914C81" w:rsidP="005C6517">
      <w:pPr>
        <w:pStyle w:val="TKTEXTE"/>
      </w:pPr>
      <w:r>
        <w:t xml:space="preserve">Voor Nederlandstaligen kunnen de letters X (uitgesproken als ‘h’) en C (korte ‘a’ ) verwarrend overkomen. Bv.: in het Somalisch schrijft men de naam Mohamed als </w:t>
      </w:r>
      <w:proofErr w:type="spellStart"/>
      <w:r>
        <w:rPr>
          <w:i/>
        </w:rPr>
        <w:t>Maxamed</w:t>
      </w:r>
      <w:proofErr w:type="spellEnd"/>
      <w:r>
        <w:t xml:space="preserve"> en Ali als </w:t>
      </w:r>
      <w:r>
        <w:rPr>
          <w:i/>
        </w:rPr>
        <w:t>Cali</w:t>
      </w:r>
      <w:r>
        <w:t>.</w:t>
      </w:r>
    </w:p>
    <w:p w:rsidR="00914C81" w:rsidRPr="00DE2C28" w:rsidRDefault="00914C81" w:rsidP="003E64BB">
      <w:pPr>
        <w:pStyle w:val="TKTITRE1"/>
      </w:pPr>
      <w:r>
        <w:t>Cijfers</w:t>
      </w: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70"/>
        <w:gridCol w:w="2671"/>
      </w:tblGrid>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t>1</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t>kow</w:t>
            </w:r>
            <w:proofErr w:type="spellEnd"/>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t>2</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proofErr w:type="spellStart"/>
            <w:r>
              <w:t>laba</w:t>
            </w:r>
            <w:proofErr w:type="spellEnd"/>
          </w:p>
        </w:tc>
      </w:tr>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t>3</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t>saddex</w:t>
            </w:r>
            <w:proofErr w:type="spellEnd"/>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t>4</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t>afar</w:t>
            </w:r>
          </w:p>
        </w:tc>
      </w:tr>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t xml:space="preserve">5 </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t>shan</w:t>
            </w:r>
            <w:proofErr w:type="spellEnd"/>
            <w:r>
              <w:t xml:space="preserve"> </w:t>
            </w:r>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t xml:space="preserve">6 </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t xml:space="preserve">lix </w:t>
            </w:r>
          </w:p>
        </w:tc>
      </w:tr>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t xml:space="preserve">7 </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t>todoba</w:t>
            </w:r>
            <w:proofErr w:type="spellEnd"/>
            <w:r>
              <w:t xml:space="preserve"> </w:t>
            </w:r>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t xml:space="preserve">8 </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proofErr w:type="spellStart"/>
            <w:r>
              <w:t>sideed</w:t>
            </w:r>
            <w:proofErr w:type="spellEnd"/>
            <w:r>
              <w:t xml:space="preserve"> </w:t>
            </w:r>
          </w:p>
        </w:tc>
      </w:tr>
      <w:tr w:rsidR="00914C81" w:rsidRPr="00DE2C28" w:rsidTr="005361E1">
        <w:trPr>
          <w:trHeight w:val="284"/>
        </w:trPr>
        <w:tc>
          <w:tcPr>
            <w:tcW w:w="2301" w:type="dxa"/>
          </w:tcPr>
          <w:p w:rsidR="00914C81" w:rsidRPr="00DE2C28" w:rsidRDefault="00914C81" w:rsidP="005361E1">
            <w:pPr>
              <w:pStyle w:val="TKTextetableau"/>
              <w:framePr w:hSpace="0" w:wrap="auto" w:vAnchor="margin" w:yAlign="inline"/>
              <w:rPr>
                <w:rFonts w:eastAsia="MS MinNew Roman"/>
              </w:rPr>
            </w:pPr>
            <w:r>
              <w:t xml:space="preserve">9 </w:t>
            </w:r>
          </w:p>
        </w:tc>
        <w:tc>
          <w:tcPr>
            <w:tcW w:w="2301" w:type="dxa"/>
          </w:tcPr>
          <w:p w:rsidR="00914C81" w:rsidRPr="00DE2C28" w:rsidRDefault="00914C81" w:rsidP="005361E1">
            <w:pPr>
              <w:pStyle w:val="TKTextetableau"/>
              <w:framePr w:hSpace="0" w:wrap="auto" w:vAnchor="margin" w:yAlign="inline"/>
              <w:rPr>
                <w:rFonts w:eastAsia="MS MinNew Roman"/>
              </w:rPr>
            </w:pPr>
            <w:proofErr w:type="spellStart"/>
            <w:r>
              <w:t>sagal</w:t>
            </w:r>
            <w:proofErr w:type="spellEnd"/>
            <w:r>
              <w:t xml:space="preserve"> </w:t>
            </w:r>
          </w:p>
        </w:tc>
      </w:tr>
      <w:tr w:rsidR="00914C81" w:rsidRPr="00DE2C28" w:rsidTr="005361E1">
        <w:trPr>
          <w:trHeight w:val="284"/>
        </w:trPr>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r>
              <w:t xml:space="preserve">10 </w:t>
            </w:r>
          </w:p>
        </w:tc>
        <w:tc>
          <w:tcPr>
            <w:tcW w:w="2301" w:type="dxa"/>
            <w:shd w:val="clear" w:color="auto" w:fill="D9D9D9" w:themeFill="background1" w:themeFillShade="D9"/>
          </w:tcPr>
          <w:p w:rsidR="00914C81" w:rsidRPr="00DE2C28" w:rsidRDefault="00914C81" w:rsidP="005361E1">
            <w:pPr>
              <w:pStyle w:val="TKTextetableau"/>
              <w:framePr w:hSpace="0" w:wrap="auto" w:vAnchor="margin" w:yAlign="inline"/>
              <w:rPr>
                <w:rFonts w:eastAsia="MS MinNew Roman"/>
              </w:rPr>
            </w:pPr>
            <w:proofErr w:type="spellStart"/>
            <w:r>
              <w:t>toban</w:t>
            </w:r>
            <w:proofErr w:type="spellEnd"/>
            <w:r>
              <w:t xml:space="preserve"> </w:t>
            </w:r>
          </w:p>
        </w:tc>
      </w:tr>
    </w:tbl>
    <w:p w:rsidR="00914C81" w:rsidRPr="00C530F7" w:rsidRDefault="00914C81" w:rsidP="005C6517">
      <w:pPr>
        <w:pStyle w:val="TKnotes"/>
      </w:pPr>
      <w:r>
        <w:t xml:space="preserve">Bron: </w:t>
      </w:r>
      <w:r w:rsidR="0020689A">
        <w:t>“</w:t>
      </w:r>
      <w:proofErr w:type="spellStart"/>
      <w:r>
        <w:t>Sprachensteckbrief</w:t>
      </w:r>
      <w:proofErr w:type="spellEnd"/>
      <w:r>
        <w:t xml:space="preserve"> </w:t>
      </w:r>
      <w:proofErr w:type="spellStart"/>
      <w:r>
        <w:t>Somali</w:t>
      </w:r>
      <w:proofErr w:type="spellEnd"/>
      <w:r w:rsidR="0020689A">
        <w:t>”</w:t>
      </w:r>
      <w:r>
        <w:t xml:space="preserve">, </w:t>
      </w:r>
      <w:proofErr w:type="spellStart"/>
      <w:r>
        <w:t>Schule</w:t>
      </w:r>
      <w:proofErr w:type="spellEnd"/>
      <w:r>
        <w:t xml:space="preserve"> </w:t>
      </w:r>
      <w:proofErr w:type="spellStart"/>
      <w:r>
        <w:t>Mehrsprachig</w:t>
      </w:r>
      <w:proofErr w:type="spellEnd"/>
      <w:r>
        <w:t xml:space="preserve">, </w:t>
      </w:r>
      <w:proofErr w:type="spellStart"/>
      <w:r>
        <w:t>Eine</w:t>
      </w:r>
      <w:proofErr w:type="spellEnd"/>
      <w:r>
        <w:t xml:space="preserve"> Information des </w:t>
      </w:r>
      <w:proofErr w:type="spellStart"/>
      <w:r>
        <w:t>Bundesministeriums</w:t>
      </w:r>
      <w:proofErr w:type="spellEnd"/>
      <w:r>
        <w:t xml:space="preserve"> </w:t>
      </w:r>
      <w:proofErr w:type="spellStart"/>
      <w:r>
        <w:t>für</w:t>
      </w:r>
      <w:proofErr w:type="spellEnd"/>
      <w:r>
        <w:t xml:space="preserve"> </w:t>
      </w:r>
      <w:proofErr w:type="spellStart"/>
      <w:r>
        <w:t>Unterricht</w:t>
      </w:r>
      <w:proofErr w:type="spellEnd"/>
      <w:r>
        <w:t xml:space="preserve">, Kunst </w:t>
      </w:r>
      <w:proofErr w:type="spellStart"/>
      <w:r>
        <w:t>und</w:t>
      </w:r>
      <w:proofErr w:type="spellEnd"/>
      <w:r>
        <w:t xml:space="preserve"> </w:t>
      </w:r>
      <w:proofErr w:type="spellStart"/>
      <w:r>
        <w:t>Kultur</w:t>
      </w:r>
      <w:proofErr w:type="spellEnd"/>
      <w:r>
        <w:t xml:space="preserve"> – © </w:t>
      </w:r>
      <w:proofErr w:type="spellStart"/>
      <w:r>
        <w:t>Fuad</w:t>
      </w:r>
      <w:proofErr w:type="spellEnd"/>
      <w:r>
        <w:t xml:space="preserve"> Ali Mohamed (vertaald en aangepast naar het Engels).</w:t>
      </w:r>
    </w:p>
    <w:sectPr w:rsidR="00914C81" w:rsidRPr="00C530F7" w:rsidSect="009E7994">
      <w:type w:val="continuous"/>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9DC" w:rsidRDefault="00D549DC" w:rsidP="00C523EA">
      <w:r>
        <w:separator/>
      </w:r>
    </w:p>
  </w:endnote>
  <w:endnote w:type="continuationSeparator" w:id="0">
    <w:p w:rsidR="00D549DC" w:rsidRDefault="00D549D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ew Roman">
    <w:altName w:val="Roman"/>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CF8" w:rsidRDefault="00DD1C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90"/>
      <w:gridCol w:w="3489"/>
      <w:gridCol w:w="3487"/>
    </w:tblGrid>
    <w:tr w:rsidR="002860CD" w:rsidTr="002860CD">
      <w:tc>
        <w:tcPr>
          <w:tcW w:w="1667" w:type="pct"/>
          <w:vAlign w:val="bottom"/>
        </w:tcPr>
        <w:p w:rsidR="002860CD" w:rsidRDefault="002860CD" w:rsidP="002860CD">
          <w:pPr>
            <w:tabs>
              <w:tab w:val="center" w:pos="4820"/>
            </w:tabs>
            <w:spacing w:before="60"/>
            <w:rPr>
              <w:rFonts w:eastAsia="Calibri" w:cs="Cambria"/>
              <w:sz w:val="18"/>
              <w:szCs w:val="18"/>
            </w:rPr>
          </w:pPr>
          <w:r>
            <w:rPr>
              <w:sz w:val="18"/>
            </w:rPr>
            <w:t>Taalbeleidsprogramma</w:t>
          </w:r>
        </w:p>
        <w:p w:rsidR="002860CD" w:rsidRDefault="002860CD" w:rsidP="002860CD">
          <w:pPr>
            <w:tabs>
              <w:tab w:val="center" w:pos="4820"/>
            </w:tabs>
            <w:spacing w:before="60"/>
            <w:rPr>
              <w:rFonts w:eastAsia="Calibri" w:cs="Cambria"/>
              <w:sz w:val="18"/>
              <w:szCs w:val="18"/>
            </w:rPr>
          </w:pPr>
          <w:r>
            <w:rPr>
              <w:sz w:val="18"/>
            </w:rPr>
            <w:t>Straatsburg</w:t>
          </w:r>
        </w:p>
        <w:p w:rsidR="002860CD" w:rsidRPr="00FB70A6" w:rsidRDefault="002860CD" w:rsidP="002860CD">
          <w:pPr>
            <w:tabs>
              <w:tab w:val="center" w:pos="4820"/>
            </w:tabs>
            <w:spacing w:before="60"/>
            <w:rPr>
              <w:rFonts w:eastAsia="Calibri" w:cs="Cambria"/>
              <w:sz w:val="18"/>
              <w:szCs w:val="18"/>
            </w:rPr>
          </w:pPr>
        </w:p>
        <w:p w:rsidR="002860CD" w:rsidRDefault="0035512B" w:rsidP="002860CD">
          <w:pPr>
            <w:tabs>
              <w:tab w:val="center" w:pos="4820"/>
            </w:tabs>
            <w:spacing w:before="60"/>
            <w:rPr>
              <w:rFonts w:eastAsia="Calibri" w:cs="Cambria"/>
              <w:sz w:val="18"/>
              <w:szCs w:val="18"/>
            </w:rPr>
          </w:pPr>
          <w:r>
            <w:rPr>
              <w:b/>
              <w:sz w:val="18"/>
            </w:rPr>
            <w:t>Tool 8</w:t>
          </w:r>
        </w:p>
      </w:tc>
      <w:tc>
        <w:tcPr>
          <w:tcW w:w="1667" w:type="pct"/>
          <w:vAlign w:val="bottom"/>
        </w:tcPr>
        <w:p w:rsidR="002860CD" w:rsidRDefault="00867E4A" w:rsidP="002860CD">
          <w:pPr>
            <w:tabs>
              <w:tab w:val="center" w:pos="4820"/>
            </w:tabs>
            <w:spacing w:before="60"/>
            <w:jc w:val="center"/>
            <w:rPr>
              <w:rFonts w:eastAsia="Calibri" w:cs="Cambria"/>
              <w:sz w:val="18"/>
              <w:szCs w:val="18"/>
            </w:rPr>
          </w:pPr>
          <w:r w:rsidRPr="00FB70A6">
            <w:rPr>
              <w:rFonts w:eastAsia="Calibri" w:cs="Cambria"/>
              <w:sz w:val="18"/>
              <w:szCs w:val="18"/>
            </w:rPr>
            <w:fldChar w:fldCharType="begin"/>
          </w:r>
          <w:r w:rsidR="002860CD" w:rsidRPr="00FB70A6">
            <w:rPr>
              <w:rFonts w:eastAsia="Calibri" w:cs="Cambria"/>
              <w:sz w:val="18"/>
              <w:szCs w:val="18"/>
            </w:rPr>
            <w:instrText>PAGE</w:instrText>
          </w:r>
          <w:r w:rsidRPr="00FB70A6">
            <w:rPr>
              <w:rFonts w:eastAsia="Calibri" w:cs="Cambria"/>
              <w:sz w:val="18"/>
              <w:szCs w:val="18"/>
            </w:rPr>
            <w:fldChar w:fldCharType="separate"/>
          </w:r>
          <w:r w:rsidR="00861573">
            <w:rPr>
              <w:rFonts w:eastAsia="Calibri" w:cs="Cambria"/>
              <w:noProof/>
              <w:sz w:val="18"/>
              <w:szCs w:val="18"/>
            </w:rPr>
            <w:t>2</w:t>
          </w:r>
          <w:r w:rsidRPr="00FB70A6">
            <w:rPr>
              <w:rFonts w:eastAsia="Calibri" w:cs="Cambria"/>
              <w:sz w:val="18"/>
              <w:szCs w:val="18"/>
            </w:rPr>
            <w:fldChar w:fldCharType="end"/>
          </w:r>
          <w:r w:rsidR="002860CD">
            <w:rPr>
              <w:sz w:val="18"/>
            </w:rPr>
            <w:t>/</w:t>
          </w:r>
          <w:r w:rsidRPr="00FB70A6">
            <w:rPr>
              <w:rFonts w:eastAsia="Calibri" w:cs="Cambria"/>
              <w:sz w:val="18"/>
              <w:szCs w:val="18"/>
            </w:rPr>
            <w:fldChar w:fldCharType="begin"/>
          </w:r>
          <w:r w:rsidR="002860CD" w:rsidRPr="00FB70A6">
            <w:rPr>
              <w:rFonts w:eastAsia="Calibri" w:cs="Cambria"/>
              <w:sz w:val="18"/>
              <w:szCs w:val="18"/>
            </w:rPr>
            <w:instrText>NUMPAGES</w:instrText>
          </w:r>
          <w:r w:rsidRPr="00FB70A6">
            <w:rPr>
              <w:rFonts w:eastAsia="Calibri" w:cs="Cambria"/>
              <w:sz w:val="18"/>
              <w:szCs w:val="18"/>
            </w:rPr>
            <w:fldChar w:fldCharType="separate"/>
          </w:r>
          <w:r w:rsidR="00861573">
            <w:rPr>
              <w:rFonts w:eastAsia="Calibri" w:cs="Cambria"/>
              <w:noProof/>
              <w:sz w:val="18"/>
              <w:szCs w:val="18"/>
            </w:rPr>
            <w:t>2</w:t>
          </w:r>
          <w:r w:rsidRPr="00FB70A6">
            <w:rPr>
              <w:rFonts w:eastAsia="Calibri" w:cs="Cambria"/>
              <w:sz w:val="18"/>
              <w:szCs w:val="18"/>
            </w:rPr>
            <w:fldChar w:fldCharType="end"/>
          </w:r>
        </w:p>
      </w:tc>
      <w:tc>
        <w:tcPr>
          <w:tcW w:w="1667" w:type="pct"/>
          <w:vAlign w:val="bottom"/>
        </w:tcPr>
        <w:p w:rsidR="002860CD" w:rsidRDefault="002860CD" w:rsidP="002860CD">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35200" cy="666000"/>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35200" cy="666000"/>
                        </a:xfrm>
                        <a:prstGeom prst="rect">
                          <a:avLst/>
                        </a:prstGeom>
                        <a:noFill/>
                        <a:ln w="9525">
                          <a:noFill/>
                          <a:miter lim="800000"/>
                          <a:headEnd/>
                          <a:tailEnd/>
                        </a:ln>
                      </pic:spPr>
                    </pic:pic>
                  </a:graphicData>
                </a:graphic>
              </wp:inline>
            </w:drawing>
          </w:r>
        </w:p>
      </w:tc>
    </w:tr>
  </w:tbl>
  <w:p w:rsidR="002860CD" w:rsidRPr="002860CD" w:rsidRDefault="002860CD" w:rsidP="002860CD">
    <w:pPr>
      <w:pStyle w:val="Pieddepage"/>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CF8" w:rsidRDefault="00DD1C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9DC" w:rsidRDefault="00D549DC" w:rsidP="00C523EA">
      <w:r>
        <w:separator/>
      </w:r>
    </w:p>
  </w:footnote>
  <w:footnote w:type="continuationSeparator" w:id="0">
    <w:p w:rsidR="00D549DC" w:rsidRDefault="00D549DC" w:rsidP="00C5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CF8" w:rsidRDefault="00DD1C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2" w:space="0" w:color="auto"/>
      </w:tblBorders>
      <w:tblLook w:val="04A0" w:firstRow="1" w:lastRow="0" w:firstColumn="1" w:lastColumn="0" w:noHBand="0" w:noVBand="1"/>
    </w:tblPr>
    <w:tblGrid>
      <w:gridCol w:w="2228"/>
      <w:gridCol w:w="5722"/>
      <w:gridCol w:w="2732"/>
    </w:tblGrid>
    <w:tr w:rsidR="002860CD" w:rsidRPr="00105AFA" w:rsidTr="00DE2F6C">
      <w:trPr>
        <w:trHeight w:val="1304"/>
      </w:trPr>
      <w:tc>
        <w:tcPr>
          <w:tcW w:w="2210" w:type="dxa"/>
        </w:tcPr>
        <w:p w:rsidR="002860CD" w:rsidRPr="00CB5C65" w:rsidRDefault="002860CD" w:rsidP="000C5F40">
          <w:r>
            <w:rPr>
              <w:noProof/>
              <w:lang w:val="fr-FR" w:eastAsia="fr-FR" w:bidi="ar-SA"/>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2860CD" w:rsidRPr="00914C81" w:rsidRDefault="002860CD" w:rsidP="002860CD">
          <w:pPr>
            <w:jc w:val="center"/>
            <w:rPr>
              <w:rFonts w:eastAsiaTheme="minorHAnsi"/>
              <w:b/>
            </w:rPr>
          </w:pPr>
          <w:r>
            <w:rPr>
              <w:rFonts w:eastAsiaTheme="minorHAnsi"/>
              <w:b/>
            </w:rPr>
            <w:t>Taalondersteuning voor volwassen vluchtelingen</w:t>
          </w:r>
        </w:p>
        <w:p w:rsidR="002860CD" w:rsidRPr="00914C81" w:rsidRDefault="002860CD" w:rsidP="002860CD">
          <w:pPr>
            <w:jc w:val="center"/>
            <w:rPr>
              <w:rFonts w:eastAsiaTheme="minorHAnsi"/>
              <w:b/>
              <w:i/>
            </w:rPr>
          </w:pPr>
          <w:r>
            <w:rPr>
              <w:rFonts w:eastAsiaTheme="minorHAnsi"/>
              <w:b/>
              <w:i/>
            </w:rPr>
            <w:t>Toolkit van de Raad van Europa</w:t>
          </w:r>
        </w:p>
        <w:p w:rsidR="002860CD" w:rsidRPr="00010EAF" w:rsidRDefault="00D549DC" w:rsidP="002860CD">
          <w:pPr>
            <w:jc w:val="center"/>
            <w:rPr>
              <w:rFonts w:eastAsiaTheme="minorHAnsi"/>
              <w:color w:val="0000FF"/>
              <w:u w:val="single"/>
            </w:rPr>
          </w:pPr>
          <w:hyperlink r:id="rId2">
            <w:r w:rsidR="00B43C75">
              <w:rPr>
                <w:rStyle w:val="Lienhypertexte"/>
                <w:rFonts w:eastAsiaTheme="minorHAnsi"/>
              </w:rPr>
              <w:t>www.coe.int/lang-refugees</w:t>
            </w:r>
          </w:hyperlink>
        </w:p>
      </w:tc>
      <w:tc>
        <w:tcPr>
          <w:tcW w:w="2711" w:type="dxa"/>
        </w:tcPr>
        <w:p w:rsidR="00DD1CF8" w:rsidRDefault="00DD1CF8" w:rsidP="002860CD">
          <w:pPr>
            <w:tabs>
              <w:tab w:val="center" w:pos="4607"/>
              <w:tab w:val="right" w:pos="9214"/>
            </w:tabs>
            <w:jc w:val="right"/>
            <w:rPr>
              <w:rFonts w:asciiTheme="minorHAnsi" w:eastAsiaTheme="minorHAnsi" w:hAnsiTheme="minorHAnsi" w:cstheme="minorHAnsi"/>
              <w:sz w:val="20"/>
            </w:rPr>
          </w:pPr>
          <w:r w:rsidRPr="00DD1CF8">
            <w:rPr>
              <w:rFonts w:asciiTheme="minorHAnsi" w:eastAsiaTheme="minorHAnsi" w:hAnsiTheme="minorHAnsi" w:cstheme="minorHAnsi"/>
              <w:sz w:val="20"/>
            </w:rPr>
            <w:t>Taalintegratie van volwassen migranten(LIAM)</w:t>
          </w:r>
        </w:p>
        <w:p w:rsidR="002860CD" w:rsidRPr="00010EAF" w:rsidRDefault="00D549DC" w:rsidP="002860CD">
          <w:pPr>
            <w:tabs>
              <w:tab w:val="center" w:pos="4607"/>
              <w:tab w:val="right" w:pos="9214"/>
            </w:tabs>
            <w:jc w:val="right"/>
            <w:rPr>
              <w:rFonts w:asciiTheme="majorHAnsi" w:eastAsiaTheme="minorHAnsi" w:hAnsiTheme="majorHAnsi" w:cstheme="majorHAnsi"/>
              <w:color w:val="0000FF"/>
              <w:u w:val="single"/>
            </w:rPr>
          </w:pPr>
          <w:hyperlink r:id="rId3">
            <w:r w:rsidR="00B43C75">
              <w:rPr>
                <w:rStyle w:val="Lienhypertexte"/>
                <w:rFonts w:asciiTheme="minorHAnsi" w:eastAsiaTheme="minorHAnsi" w:hAnsiTheme="minorHAnsi" w:cstheme="minorHAnsi"/>
                <w:sz w:val="20"/>
              </w:rPr>
              <w:t>www.coe.int/lang-migrants</w:t>
            </w:r>
          </w:hyperlink>
        </w:p>
      </w:tc>
    </w:tr>
  </w:tbl>
  <w:p w:rsidR="002860CD" w:rsidRPr="00DE2F6C" w:rsidRDefault="002860CD" w:rsidP="00DE2F6C">
    <w:pPr>
      <w:pStyle w:val="En-tte"/>
      <w:tabs>
        <w:tab w:val="clear" w:pos="4536"/>
        <w:tab w:val="clear" w:pos="9072"/>
        <w:tab w:val="left" w:pos="975"/>
      </w:tabs>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CF8" w:rsidRDefault="00DD1C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2"/>
  </w:num>
  <w:num w:numId="3">
    <w:abstractNumId w:val="4"/>
  </w:num>
  <w:num w:numId="4">
    <w:abstractNumId w:val="2"/>
  </w:num>
  <w:num w:numId="5">
    <w:abstractNumId w:val="2"/>
  </w:num>
  <w:num w:numId="6">
    <w:abstractNumId w:val="0"/>
  </w:num>
  <w:num w:numId="7">
    <w:abstractNumId w:val="2"/>
  </w:num>
  <w:num w:numId="8">
    <w:abstractNumId w:val="2"/>
  </w:num>
  <w:num w:numId="9">
    <w:abstractNumId w:val="5"/>
  </w:num>
  <w:num w:numId="10">
    <w:abstractNumId w:val="3"/>
  </w:num>
  <w:num w:numId="11">
    <w:abstractNumId w:val="2"/>
  </w:num>
  <w:num w:numId="12">
    <w:abstractNumId w:val="2"/>
  </w:num>
  <w:num w:numId="13">
    <w:abstractNumId w:val="5"/>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182D"/>
    <w:rsid w:val="0001144C"/>
    <w:rsid w:val="00013516"/>
    <w:rsid w:val="000338F0"/>
    <w:rsid w:val="000618A7"/>
    <w:rsid w:val="000937FA"/>
    <w:rsid w:val="000A080D"/>
    <w:rsid w:val="000C5F40"/>
    <w:rsid w:val="000E706C"/>
    <w:rsid w:val="000F42D6"/>
    <w:rsid w:val="00105AFA"/>
    <w:rsid w:val="00110B4B"/>
    <w:rsid w:val="00126A5E"/>
    <w:rsid w:val="00127FDC"/>
    <w:rsid w:val="00154B1F"/>
    <w:rsid w:val="00172C07"/>
    <w:rsid w:val="001741D1"/>
    <w:rsid w:val="0017665B"/>
    <w:rsid w:val="0017676C"/>
    <w:rsid w:val="001965B4"/>
    <w:rsid w:val="001A1B4C"/>
    <w:rsid w:val="001B0010"/>
    <w:rsid w:val="001B602D"/>
    <w:rsid w:val="001B71AD"/>
    <w:rsid w:val="001D08B2"/>
    <w:rsid w:val="001F0942"/>
    <w:rsid w:val="0020300A"/>
    <w:rsid w:val="0020689A"/>
    <w:rsid w:val="00214CD0"/>
    <w:rsid w:val="00233192"/>
    <w:rsid w:val="00234E6C"/>
    <w:rsid w:val="0023709F"/>
    <w:rsid w:val="0026293F"/>
    <w:rsid w:val="002860CD"/>
    <w:rsid w:val="002A0CEF"/>
    <w:rsid w:val="002A3476"/>
    <w:rsid w:val="002A678E"/>
    <w:rsid w:val="002C56B3"/>
    <w:rsid w:val="002C6177"/>
    <w:rsid w:val="002F2562"/>
    <w:rsid w:val="00303A5A"/>
    <w:rsid w:val="00321CFC"/>
    <w:rsid w:val="00325DF6"/>
    <w:rsid w:val="0035512B"/>
    <w:rsid w:val="003575BD"/>
    <w:rsid w:val="00363CC2"/>
    <w:rsid w:val="0038409C"/>
    <w:rsid w:val="00387BE0"/>
    <w:rsid w:val="003C050D"/>
    <w:rsid w:val="003C32F5"/>
    <w:rsid w:val="003E358D"/>
    <w:rsid w:val="003E64BB"/>
    <w:rsid w:val="003F121D"/>
    <w:rsid w:val="003F7B04"/>
    <w:rsid w:val="0040209F"/>
    <w:rsid w:val="004026EB"/>
    <w:rsid w:val="00460BCC"/>
    <w:rsid w:val="00470AA9"/>
    <w:rsid w:val="0049006B"/>
    <w:rsid w:val="004B5DD8"/>
    <w:rsid w:val="004C1652"/>
    <w:rsid w:val="004C47DD"/>
    <w:rsid w:val="004E32A8"/>
    <w:rsid w:val="004F2E30"/>
    <w:rsid w:val="00503E91"/>
    <w:rsid w:val="00526886"/>
    <w:rsid w:val="005361E1"/>
    <w:rsid w:val="00557D18"/>
    <w:rsid w:val="005713EB"/>
    <w:rsid w:val="005A0628"/>
    <w:rsid w:val="005C2E50"/>
    <w:rsid w:val="005C6517"/>
    <w:rsid w:val="005E38D0"/>
    <w:rsid w:val="005E4CA5"/>
    <w:rsid w:val="00617D74"/>
    <w:rsid w:val="00625E6A"/>
    <w:rsid w:val="006455D0"/>
    <w:rsid w:val="00651E90"/>
    <w:rsid w:val="00655B1E"/>
    <w:rsid w:val="00655CCE"/>
    <w:rsid w:val="00683603"/>
    <w:rsid w:val="006A1A21"/>
    <w:rsid w:val="006C0689"/>
    <w:rsid w:val="006C08C3"/>
    <w:rsid w:val="006C7764"/>
    <w:rsid w:val="006D234F"/>
    <w:rsid w:val="00707F27"/>
    <w:rsid w:val="00724C92"/>
    <w:rsid w:val="00734E55"/>
    <w:rsid w:val="0074542C"/>
    <w:rsid w:val="007546E5"/>
    <w:rsid w:val="00757FA6"/>
    <w:rsid w:val="00766E60"/>
    <w:rsid w:val="007B4D14"/>
    <w:rsid w:val="007C3B77"/>
    <w:rsid w:val="007D336C"/>
    <w:rsid w:val="008023A0"/>
    <w:rsid w:val="008067EC"/>
    <w:rsid w:val="0083366C"/>
    <w:rsid w:val="008469DE"/>
    <w:rsid w:val="008506D5"/>
    <w:rsid w:val="00861573"/>
    <w:rsid w:val="00867E4A"/>
    <w:rsid w:val="0087339D"/>
    <w:rsid w:val="00892B00"/>
    <w:rsid w:val="008B2672"/>
    <w:rsid w:val="008B45A3"/>
    <w:rsid w:val="008C53DF"/>
    <w:rsid w:val="008E6FB9"/>
    <w:rsid w:val="008F0189"/>
    <w:rsid w:val="008F24DC"/>
    <w:rsid w:val="009025F0"/>
    <w:rsid w:val="00914C81"/>
    <w:rsid w:val="0094551C"/>
    <w:rsid w:val="00953DC1"/>
    <w:rsid w:val="00964E6C"/>
    <w:rsid w:val="009A06AA"/>
    <w:rsid w:val="009A5131"/>
    <w:rsid w:val="009E4F9C"/>
    <w:rsid w:val="009E7994"/>
    <w:rsid w:val="00A03292"/>
    <w:rsid w:val="00A1258A"/>
    <w:rsid w:val="00A57DB1"/>
    <w:rsid w:val="00A636AB"/>
    <w:rsid w:val="00A669C3"/>
    <w:rsid w:val="00A67362"/>
    <w:rsid w:val="00A802F2"/>
    <w:rsid w:val="00AB255A"/>
    <w:rsid w:val="00AE657E"/>
    <w:rsid w:val="00AF19E3"/>
    <w:rsid w:val="00AF4A1E"/>
    <w:rsid w:val="00AF56A8"/>
    <w:rsid w:val="00B35EFB"/>
    <w:rsid w:val="00B43C75"/>
    <w:rsid w:val="00B53E12"/>
    <w:rsid w:val="00B674EB"/>
    <w:rsid w:val="00B73A35"/>
    <w:rsid w:val="00B87D33"/>
    <w:rsid w:val="00B94592"/>
    <w:rsid w:val="00B94E15"/>
    <w:rsid w:val="00BA3C32"/>
    <w:rsid w:val="00BB182D"/>
    <w:rsid w:val="00BD2F15"/>
    <w:rsid w:val="00BD72E0"/>
    <w:rsid w:val="00BE6E05"/>
    <w:rsid w:val="00BF2B09"/>
    <w:rsid w:val="00BF66BF"/>
    <w:rsid w:val="00BF71C7"/>
    <w:rsid w:val="00C24B3F"/>
    <w:rsid w:val="00C523EA"/>
    <w:rsid w:val="00C530F7"/>
    <w:rsid w:val="00C622D7"/>
    <w:rsid w:val="00C7477C"/>
    <w:rsid w:val="00C8086F"/>
    <w:rsid w:val="00C83532"/>
    <w:rsid w:val="00C84B4B"/>
    <w:rsid w:val="00CC0991"/>
    <w:rsid w:val="00CF0B90"/>
    <w:rsid w:val="00CF36D3"/>
    <w:rsid w:val="00D00DA4"/>
    <w:rsid w:val="00D00E73"/>
    <w:rsid w:val="00D02228"/>
    <w:rsid w:val="00D07616"/>
    <w:rsid w:val="00D2211A"/>
    <w:rsid w:val="00D52F03"/>
    <w:rsid w:val="00D549DC"/>
    <w:rsid w:val="00D57D70"/>
    <w:rsid w:val="00D8328F"/>
    <w:rsid w:val="00DA5A92"/>
    <w:rsid w:val="00DD1CF8"/>
    <w:rsid w:val="00DD35DF"/>
    <w:rsid w:val="00DE2C28"/>
    <w:rsid w:val="00DE2F6C"/>
    <w:rsid w:val="00DE5B7D"/>
    <w:rsid w:val="00DF60EB"/>
    <w:rsid w:val="00E076C3"/>
    <w:rsid w:val="00ED4CB7"/>
    <w:rsid w:val="00F260E9"/>
    <w:rsid w:val="00F36542"/>
    <w:rsid w:val="00F5126A"/>
    <w:rsid w:val="00F602BD"/>
    <w:rsid w:val="00FB70A6"/>
    <w:rsid w:val="00FC4F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2A0A3"/>
  <w15:docId w15:val="{02F0003E-4C07-4BE8-8000-18C88B1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nl-BE" w:bidi="nl-B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nl-BE"/>
    </w:rPr>
  </w:style>
  <w:style w:type="paragraph" w:customStyle="1" w:styleId="TKSS-TITRE2">
    <w:name w:val="TK SS-TITRE 2"/>
    <w:autoRedefine/>
    <w:qFormat/>
    <w:rsid w:val="00BE6E05"/>
    <w:pPr>
      <w:spacing w:before="360" w:after="120" w:line="240" w:lineRule="auto"/>
    </w:pPr>
    <w:rPr>
      <w:rFonts w:ascii="Calibri" w:eastAsia="Times New Roman" w:hAnsi="Calibri" w:cs="Calibri"/>
      <w:b/>
      <w:sz w:val="28"/>
      <w:szCs w:val="28"/>
    </w:rPr>
  </w:style>
  <w:style w:type="paragraph" w:customStyle="1" w:styleId="TK-SS-TITRE22">
    <w:name w:val="TK-SS-TITRE 2.2"/>
    <w:autoRedefine/>
    <w:qFormat/>
    <w:rsid w:val="002860CD"/>
    <w:pPr>
      <w:spacing w:before="180" w:after="60" w:line="240" w:lineRule="auto"/>
    </w:pPr>
    <w:rPr>
      <w:rFonts w:ascii="Calibri" w:eastAsia="Calibri" w:hAnsi="Calibri" w:cs="Times New Roman"/>
      <w:i/>
      <w:noProof/>
      <w:sz w:val="24"/>
      <w:szCs w:val="24"/>
      <w:u w:val="single"/>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nl-B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nl-B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nl-B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nl-BE"/>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nl-B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nl-BE"/>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nl-BE"/>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nl-BE"/>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OLKITTable">
    <w:name w:val="TOOLKIT_Table"/>
    <w:basedOn w:val="TableauNormal"/>
    <w:uiPriority w:val="99"/>
    <w:rsid w:val="00BB182D"/>
    <w:pPr>
      <w:spacing w:after="0" w:line="240" w:lineRule="auto"/>
    </w:pPr>
    <w:rPr>
      <w:sz w:val="24"/>
    </w:rPr>
    <w:tblPr>
      <w:tblStyleRowBandSize w:val="1"/>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cPr>
      <w:shd w:val="clear" w:color="auto" w:fill="auto"/>
    </w:tcPr>
  </w:style>
  <w:style w:type="paragraph" w:customStyle="1" w:styleId="TKTextetableau">
    <w:name w:val="TK Texte tableau"/>
    <w:qFormat/>
    <w:rsid w:val="00D00DA4"/>
    <w:pPr>
      <w:framePr w:hSpace="141" w:wrap="around" w:vAnchor="text" w:hAnchor="text" w:y="1"/>
      <w:spacing w:after="0" w:line="240" w:lineRule="auto"/>
    </w:pPr>
    <w:rPr>
      <w:rFonts w:ascii="Calibri" w:eastAsia="Times New Roman" w:hAnsi="Calibri" w:cs="Times New Roman"/>
      <w:szCs w:val="24"/>
    </w:rPr>
  </w:style>
  <w:style w:type="paragraph" w:customStyle="1" w:styleId="TKAIM">
    <w:name w:val="TK AIM"/>
    <w:qFormat/>
    <w:rsid w:val="00BF66BF"/>
    <w:pPr>
      <w:shd w:val="clear" w:color="auto" w:fill="DDDDDD"/>
      <w:tabs>
        <w:tab w:val="left" w:pos="709"/>
      </w:tabs>
      <w:spacing w:before="480" w:after="480" w:line="240" w:lineRule="auto"/>
      <w:ind w:left="709" w:hanging="709"/>
    </w:pPr>
    <w:rPr>
      <w:rFonts w:ascii="Calibri" w:eastAsia="Calibri" w:hAnsi="Calibri"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BF66BF"/>
    <w:pPr>
      <w:spacing w:before="120" w:after="120"/>
      <w:jc w:val="center"/>
    </w:pPr>
    <w:rPr>
      <w:rFonts w:eastAsia="Calibri" w:cs="Calibri"/>
      <w:b/>
      <w:bCs/>
      <w:color w:val="2F5496" w:themeColor="accent1" w:themeShade="BF"/>
      <w:sz w:val="40"/>
      <w:szCs w:val="40"/>
    </w:rPr>
  </w:style>
  <w:style w:type="paragraph" w:customStyle="1" w:styleId="TKSS-TITRE21">
    <w:name w:val="TK SS-TITRE 2.1"/>
    <w:basedOn w:val="TKSS-TITRE210"/>
    <w:autoRedefine/>
    <w:qFormat/>
    <w:rsid w:val="00BD2F15"/>
  </w:style>
  <w:style w:type="paragraph" w:customStyle="1" w:styleId="TKTEXTE">
    <w:name w:val="TK TEXTE"/>
    <w:autoRedefine/>
    <w:qFormat/>
    <w:rsid w:val="005C6517"/>
    <w:pPr>
      <w:spacing w:before="120" w:after="120" w:line="240" w:lineRule="auto"/>
    </w:pPr>
    <w:rPr>
      <w:rFonts w:ascii="Calibri" w:eastAsia="Times New Roman" w:hAnsi="Calibri" w:cs="Calibri"/>
      <w:sz w:val="24"/>
    </w:rPr>
  </w:style>
  <w:style w:type="paragraph" w:customStyle="1" w:styleId="TKbulletpoints">
    <w:name w:val="TK_bullet_points"/>
    <w:next w:val="Normal"/>
    <w:qFormat/>
    <w:rsid w:val="00460BCC"/>
    <w:pPr>
      <w:tabs>
        <w:tab w:val="left" w:pos="567"/>
      </w:tabs>
      <w:spacing w:after="0" w:line="240" w:lineRule="auto"/>
    </w:pPr>
    <w:rPr>
      <w:rFonts w:ascii="Calibri" w:eastAsia="Calibri" w:hAnsi="Calibri" w:cs="Times New Roman"/>
      <w:sz w:val="24"/>
      <w:szCs w:val="24"/>
    </w:rPr>
  </w:style>
  <w:style w:type="paragraph" w:customStyle="1" w:styleId="TK-SS-TITRE2">
    <w:name w:val="TK-SS-TITRE2"/>
    <w:qFormat/>
    <w:rsid w:val="00460BCC"/>
    <w:pPr>
      <w:spacing w:before="240" w:after="240" w:line="240" w:lineRule="auto"/>
    </w:pPr>
    <w:rPr>
      <w:rFonts w:ascii="Calibri" w:eastAsia="Times New Roman" w:hAnsi="Calibri" w:cs="Calibri"/>
      <w:b/>
      <w:i/>
      <w:sz w:val="28"/>
      <w:szCs w:val="28"/>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SS-TITRE210">
    <w:name w:val="TK SS-TITRE 2.1"/>
    <w:basedOn w:val="TKTITRE2"/>
    <w:autoRedefine/>
    <w:qFormat/>
    <w:rsid w:val="003E64BB"/>
  </w:style>
  <w:style w:type="character" w:styleId="Lienhypertextesuivivisit">
    <w:name w:val="FollowedHyperlink"/>
    <w:basedOn w:val="Policepardfaut"/>
    <w:uiPriority w:val="99"/>
    <w:semiHidden/>
    <w:unhideWhenUsed/>
    <w:rsid w:val="009025F0"/>
    <w:rPr>
      <w:color w:val="954F72" w:themeColor="followedHyperlink"/>
      <w:u w:val="single"/>
    </w:rPr>
  </w:style>
  <w:style w:type="character" w:styleId="lev">
    <w:name w:val="Strong"/>
    <w:uiPriority w:val="99"/>
    <w:qFormat/>
    <w:rsid w:val="00914C81"/>
    <w:rPr>
      <w:rFonts w:cs="Times New Roman"/>
      <w:b/>
      <w:bCs/>
    </w:rPr>
  </w:style>
  <w:style w:type="character" w:customStyle="1" w:styleId="A5">
    <w:name w:val="A5"/>
    <w:uiPriority w:val="99"/>
    <w:rsid w:val="00914C81"/>
    <w:rPr>
      <w:color w:val="000000"/>
      <w:sz w:val="22"/>
    </w:rPr>
  </w:style>
  <w:style w:type="paragraph" w:customStyle="1" w:styleId="TKnotes">
    <w:name w:val="TK_notes"/>
    <w:qFormat/>
    <w:rsid w:val="00BF66BF"/>
    <w:pPr>
      <w:spacing w:before="120" w:after="120" w:line="240" w:lineRule="auto"/>
    </w:pPr>
    <w:rPr>
      <w:rFonts w:ascii="Calibri" w:eastAsia="Times New Roman" w:hAnsi="Calibri" w:cs="Calibri"/>
      <w:sz w:val="20"/>
    </w:rPr>
  </w:style>
  <w:style w:type="paragraph" w:customStyle="1" w:styleId="TKBulletLevel1">
    <w:name w:val="TK Bullet Level1"/>
    <w:next w:val="Normal"/>
    <w:qFormat/>
    <w:rsid w:val="00BF66BF"/>
    <w:pPr>
      <w:numPr>
        <w:numId w:val="12"/>
      </w:numPr>
      <w:tabs>
        <w:tab w:val="left" w:pos="567"/>
      </w:tabs>
      <w:spacing w:before="60" w:after="60" w:line="240" w:lineRule="auto"/>
    </w:pPr>
    <w:rPr>
      <w:rFonts w:ascii="Calibri" w:eastAsia="Calibri" w:hAnsi="Calibri" w:cs="Calibri"/>
      <w:sz w:val="24"/>
      <w:szCs w:val="24"/>
    </w:rPr>
  </w:style>
  <w:style w:type="paragraph" w:customStyle="1" w:styleId="TKBulletLevel2">
    <w:name w:val="TK Bullet Level2"/>
    <w:basedOn w:val="TKBulletLevel1"/>
    <w:qFormat/>
    <w:rsid w:val="00BF66BF"/>
    <w:pPr>
      <w:ind w:left="1135"/>
    </w:pPr>
  </w:style>
  <w:style w:type="paragraph" w:customStyle="1" w:styleId="TKNbrsLevel2">
    <w:name w:val="TK Nbrs Level2"/>
    <w:qFormat/>
    <w:rsid w:val="00BF66BF"/>
    <w:pPr>
      <w:numPr>
        <w:numId w:val="13"/>
      </w:numPr>
      <w:spacing w:before="60" w:after="60" w:line="240" w:lineRule="auto"/>
    </w:pPr>
    <w:rPr>
      <w:rFonts w:ascii="Calibri" w:eastAsia="Calibri" w:hAnsi="Calibri" w:cs="Times New Roman"/>
      <w:sz w:val="24"/>
      <w:szCs w:val="24"/>
    </w:rPr>
  </w:style>
  <w:style w:type="paragraph" w:customStyle="1" w:styleId="TKTITRE2">
    <w:name w:val="TK TITRE 2"/>
    <w:next w:val="Normal"/>
    <w:qFormat/>
    <w:rsid w:val="00BF66BF"/>
    <w:pPr>
      <w:spacing w:before="120" w:after="120" w:line="240" w:lineRule="auto"/>
    </w:pPr>
    <w:rPr>
      <w:rFonts w:ascii="Calibri" w:eastAsia="Times New Roman" w:hAnsi="Calibri" w:cs="Calibri"/>
      <w:b/>
      <w:bCs/>
      <w:sz w:val="28"/>
      <w:szCs w:val="28"/>
    </w:rPr>
  </w:style>
  <w:style w:type="paragraph" w:customStyle="1" w:styleId="TKTITRE3">
    <w:name w:val="TK TITRE 3"/>
    <w:qFormat/>
    <w:rsid w:val="00BF66BF"/>
    <w:pPr>
      <w:spacing w:before="120" w:after="120" w:line="240" w:lineRule="auto"/>
    </w:pPr>
    <w:rPr>
      <w:rFonts w:ascii="Calibri" w:eastAsia="Calibri" w:hAnsi="Calibri" w:cs="Calibri"/>
      <w:i/>
      <w:iCs/>
      <w:noProof/>
      <w:sz w:val="24"/>
      <w:szCs w:val="24"/>
      <w:u w:val="single"/>
    </w:rPr>
  </w:style>
  <w:style w:type="paragraph" w:customStyle="1" w:styleId="TKTITRE1">
    <w:name w:val="TK TITRE1"/>
    <w:qFormat/>
    <w:rsid w:val="00BF66BF"/>
    <w:pPr>
      <w:spacing w:before="120" w:after="120" w:line="240" w:lineRule="auto"/>
    </w:pPr>
    <w:rPr>
      <w:rFonts w:ascii="Calibri" w:eastAsia="Times New Roman" w:hAnsi="Calibri" w:cs="Calibri"/>
      <w:b/>
      <w:bCs/>
      <w:sz w:val="32"/>
      <w:szCs w:val="32"/>
    </w:rPr>
  </w:style>
  <w:style w:type="paragraph" w:customStyle="1" w:styleId="TKNbrsLevel1">
    <w:name w:val="TK_Nbrs Level1"/>
    <w:qFormat/>
    <w:rsid w:val="00BF66BF"/>
    <w:pPr>
      <w:numPr>
        <w:numId w:val="14"/>
      </w:numPr>
      <w:spacing w:before="60" w:after="60" w:line="240" w:lineRule="auto"/>
    </w:pPr>
    <w:rPr>
      <w:rFonts w:ascii="Calibri" w:eastAsia="Times New Roman" w:hAnsi="Calibri" w:cs="Calibri"/>
      <w:sz w:val="24"/>
      <w:szCs w:val="24"/>
    </w:rPr>
  </w:style>
  <w:style w:type="paragraph" w:styleId="Commentaire">
    <w:name w:val="annotation text"/>
    <w:basedOn w:val="Normal"/>
    <w:link w:val="CommentaireCar"/>
    <w:uiPriority w:val="99"/>
    <w:semiHidden/>
    <w:unhideWhenUsed/>
    <w:rsid w:val="007546E5"/>
    <w:rPr>
      <w:sz w:val="20"/>
      <w:szCs w:val="20"/>
    </w:rPr>
  </w:style>
  <w:style w:type="character" w:styleId="Marquedecommentaire">
    <w:name w:val="annotation reference"/>
    <w:uiPriority w:val="99"/>
    <w:semiHidden/>
    <w:unhideWhenUsed/>
    <w:rsid w:val="007546E5"/>
    <w:rPr>
      <w:sz w:val="16"/>
      <w:szCs w:val="16"/>
    </w:rPr>
  </w:style>
  <w:style w:type="paragraph" w:styleId="Objetducommentaire">
    <w:name w:val="annotation subject"/>
    <w:basedOn w:val="Commentaire"/>
    <w:next w:val="Commentaire"/>
    <w:link w:val="ObjetducommentaireCar"/>
    <w:uiPriority w:val="99"/>
    <w:semiHidden/>
    <w:unhideWhenUsed/>
    <w:rsid w:val="001D08B2"/>
    <w:rPr>
      <w:b/>
      <w:bCs/>
    </w:rPr>
  </w:style>
  <w:style w:type="character" w:customStyle="1" w:styleId="CommentaireCar">
    <w:name w:val="Commentaire Car"/>
    <w:basedOn w:val="Policepardfaut"/>
    <w:link w:val="Commentaire"/>
    <w:uiPriority w:val="99"/>
    <w:semiHidden/>
    <w:rsid w:val="001D08B2"/>
    <w:rPr>
      <w:rFonts w:ascii="Calibri" w:eastAsia="Times New Roman" w:hAnsi="Calibri" w:cs="Times New Roman"/>
      <w:sz w:val="20"/>
      <w:szCs w:val="20"/>
    </w:rPr>
  </w:style>
  <w:style w:type="character" w:customStyle="1" w:styleId="ObjetducommentaireCar">
    <w:name w:val="Objet du commentaire Car"/>
    <w:basedOn w:val="CommentaireCar"/>
    <w:link w:val="Objetducommentaire"/>
    <w:uiPriority w:val="99"/>
    <w:semiHidden/>
    <w:rsid w:val="001D08B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en/web/lang-migrants/language-of-origin-/-backgroun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6BCBD-BBB1-4EAA-A883-3C5F2B82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2852</Characters>
  <Application>Microsoft Office Word</Application>
  <DocSecurity>0</DocSecurity>
  <Lines>44</Lines>
  <Paragraphs>21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4</cp:revision>
  <cp:lastPrinted>2017-03-14T17:41:00Z</cp:lastPrinted>
  <dcterms:created xsi:type="dcterms:W3CDTF">2017-10-27T06:52:00Z</dcterms:created>
  <dcterms:modified xsi:type="dcterms:W3CDTF">2017-11-09T16:48:00Z</dcterms:modified>
</cp:coreProperties>
</file>