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FF1" w:rsidRPr="00AB4010" w:rsidRDefault="00581FF1" w:rsidP="009D58A1">
      <w:pPr>
        <w:pStyle w:val="TKMAINTITLE"/>
        <w:rPr>
          <w:lang w:val="fr-FR"/>
        </w:rPr>
      </w:pPr>
      <w:r w:rsidRPr="00AB4010">
        <w:rPr>
          <w:lang w:val="fr-FR"/>
        </w:rPr>
        <w:t xml:space="preserve">9 - Réflexion sur </w:t>
      </w:r>
      <w:r>
        <w:rPr>
          <w:lang w:val="fr-FR"/>
        </w:rPr>
        <w:t xml:space="preserve">l’apprentissage des langues et </w:t>
      </w:r>
      <w:r w:rsidRPr="00AB4010">
        <w:rPr>
          <w:lang w:val="fr-FR"/>
        </w:rPr>
        <w:t>l’accompagnement linguistique</w:t>
      </w:r>
    </w:p>
    <w:p w:rsidR="00581FF1" w:rsidRPr="00AB4010" w:rsidRDefault="00581FF1" w:rsidP="00084F0B">
      <w:pPr>
        <w:pStyle w:val="TKAIM"/>
        <w:ind w:left="1134" w:hanging="1134"/>
        <w:rPr>
          <w:lang w:val="fr-FR"/>
        </w:rPr>
      </w:pPr>
      <w:r w:rsidRPr="00AB4010">
        <w:rPr>
          <w:lang w:val="fr-FR"/>
        </w:rPr>
        <w:t>O</w:t>
      </w:r>
      <w:r w:rsidR="00084F0B">
        <w:rPr>
          <w:lang w:val="fr-FR"/>
        </w:rPr>
        <w:t>bjectif</w:t>
      </w:r>
      <w:r w:rsidRPr="00AB4010">
        <w:rPr>
          <w:lang w:val="fr-FR"/>
        </w:rPr>
        <w:t xml:space="preserve"> :</w:t>
      </w:r>
      <w:r w:rsidRPr="00AB4010">
        <w:rPr>
          <w:lang w:val="fr-FR"/>
        </w:rPr>
        <w:tab/>
      </w:r>
      <w:r>
        <w:rPr>
          <w:lang w:val="fr-FR"/>
        </w:rPr>
        <w:t>Sensibiliser les volontaires aux différents types d’apprentissage et à la</w:t>
      </w:r>
      <w:r w:rsidRPr="00AB4010">
        <w:rPr>
          <w:lang w:val="fr-FR"/>
        </w:rPr>
        <w:t xml:space="preserve"> </w:t>
      </w:r>
      <w:r>
        <w:rPr>
          <w:lang w:val="fr-FR"/>
        </w:rPr>
        <w:t>manière de les mettre en œuvre</w:t>
      </w:r>
      <w:r w:rsidRPr="00AB4010">
        <w:rPr>
          <w:lang w:val="fr-FR"/>
        </w:rPr>
        <w:t xml:space="preserve"> </w:t>
      </w:r>
      <w:r>
        <w:rPr>
          <w:lang w:val="fr-FR"/>
        </w:rPr>
        <w:t>dans le cadre de l’accompagnement linguistique</w:t>
      </w:r>
      <w:r w:rsidRPr="00AB4010">
        <w:rPr>
          <w:lang w:val="fr-FR"/>
        </w:rPr>
        <w:t>.</w:t>
      </w:r>
    </w:p>
    <w:p w:rsidR="00581FF1" w:rsidRPr="00AB4010" w:rsidRDefault="00581FF1" w:rsidP="000B5C1D">
      <w:pPr>
        <w:pStyle w:val="TKTEXTE"/>
        <w:rPr>
          <w:lang w:val="fr-FR"/>
        </w:rPr>
      </w:pPr>
      <w:r>
        <w:rPr>
          <w:lang w:val="fr-FR"/>
        </w:rPr>
        <w:t xml:space="preserve">Lorsqu’on évoque l’enseignement ou l’apprentissage, on pense naturellement aux cours dispensés dans le cadre du système éducatif, c’est-à-dire à </w:t>
      </w:r>
      <w:r>
        <w:rPr>
          <w:i/>
          <w:iCs/>
          <w:lang w:val="fr-FR"/>
        </w:rPr>
        <w:t>l’apprentissage formel</w:t>
      </w:r>
      <w:r>
        <w:rPr>
          <w:lang w:val="fr-FR"/>
        </w:rPr>
        <w:t>, qui respecte un programme scolaire officiel conçu pour atteindre des objectifs précis, mesurables à l’aide d’examens ou autres formes d’évaluation</w:t>
      </w:r>
      <w:r w:rsidRPr="00AB4010">
        <w:rPr>
          <w:lang w:val="fr-FR"/>
        </w:rPr>
        <w:t xml:space="preserve">. </w:t>
      </w:r>
      <w:r>
        <w:rPr>
          <w:lang w:val="fr-FR"/>
        </w:rPr>
        <w:t>Mais on peut également apprendre toutes sortes de choses en dehors des contextes éducatifs, sans fournir d’effort particulier : on parle alors d</w:t>
      </w:r>
      <w:r w:rsidRPr="000F2967">
        <w:rPr>
          <w:i/>
          <w:iCs/>
          <w:lang w:val="fr-FR"/>
        </w:rPr>
        <w:t xml:space="preserve">’apprentissage </w:t>
      </w:r>
      <w:r w:rsidRPr="00B9770C">
        <w:rPr>
          <w:i/>
          <w:iCs/>
          <w:lang w:val="fr-FR"/>
        </w:rPr>
        <w:t>informel</w:t>
      </w:r>
      <w:r>
        <w:rPr>
          <w:lang w:val="fr-FR"/>
        </w:rPr>
        <w:t xml:space="preserve">. Il existe enfin un troisième type d’apprentissage, appelé </w:t>
      </w:r>
      <w:r w:rsidRPr="000F2967">
        <w:rPr>
          <w:i/>
          <w:iCs/>
          <w:lang w:val="fr-FR"/>
        </w:rPr>
        <w:t>non formel</w:t>
      </w:r>
      <w:r>
        <w:rPr>
          <w:lang w:val="fr-FR"/>
        </w:rPr>
        <w:t xml:space="preserve">, qui se situe entre </w:t>
      </w:r>
      <w:r w:rsidRPr="000F2967">
        <w:rPr>
          <w:i/>
          <w:iCs/>
          <w:lang w:val="fr-FR"/>
        </w:rPr>
        <w:t>l’apprentissage formel</w:t>
      </w:r>
      <w:r>
        <w:rPr>
          <w:lang w:val="fr-FR"/>
        </w:rPr>
        <w:t xml:space="preserve"> et </w:t>
      </w:r>
      <w:r>
        <w:rPr>
          <w:i/>
          <w:iCs/>
          <w:lang w:val="fr-FR"/>
        </w:rPr>
        <w:t>l’apprentissage in</w:t>
      </w:r>
      <w:r w:rsidRPr="000F2967">
        <w:rPr>
          <w:i/>
          <w:iCs/>
          <w:lang w:val="fr-FR"/>
        </w:rPr>
        <w:t>formel</w:t>
      </w:r>
      <w:r>
        <w:rPr>
          <w:lang w:val="fr-FR"/>
        </w:rPr>
        <w:t xml:space="preserve"> dans la mesure où il résulte d’activités organisées qui ne s’inscrivent pas dans un programme officiel et ne donnent pas lieu à évaluation. C’est dans ce type d’apprentissage qu’interviennent les volontaires</w:t>
      </w:r>
      <w:r w:rsidRPr="00AB4010">
        <w:rPr>
          <w:lang w:val="fr-FR"/>
        </w:rPr>
        <w:t>.</w:t>
      </w:r>
    </w:p>
    <w:p w:rsidR="00581FF1" w:rsidRPr="00AB4010" w:rsidRDefault="00581FF1" w:rsidP="004E7D51">
      <w:pPr>
        <w:pStyle w:val="TKTITRE1"/>
        <w:rPr>
          <w:rFonts w:cs="Arial"/>
          <w:lang w:val="fr-FR"/>
        </w:rPr>
      </w:pPr>
      <w:r>
        <w:rPr>
          <w:lang w:val="fr-FR"/>
        </w:rPr>
        <w:t>Apprentissage formel (ou intentionnel) et apprentissage informel (ou « accidentel</w:t>
      </w:r>
      <w:r>
        <w:rPr>
          <w:rFonts w:cs="Arial"/>
          <w:lang w:val="fr-FR"/>
        </w:rPr>
        <w:t> </w:t>
      </w:r>
      <w:r>
        <w:rPr>
          <w:lang w:val="fr-FR"/>
        </w:rPr>
        <w:t>»)</w:t>
      </w:r>
    </w:p>
    <w:p w:rsidR="00581FF1" w:rsidRPr="00AB4010" w:rsidRDefault="00581FF1" w:rsidP="000B5C1D">
      <w:pPr>
        <w:pStyle w:val="TKTEXTE"/>
        <w:rPr>
          <w:lang w:val="fr-FR"/>
        </w:rPr>
      </w:pPr>
      <w:r>
        <w:rPr>
          <w:lang w:val="fr-FR"/>
        </w:rPr>
        <w:t>L’apprentissage qui se déroule dans des contextes formels et non formels est</w:t>
      </w:r>
      <w:r w:rsidRPr="00AB4010">
        <w:rPr>
          <w:lang w:val="fr-FR"/>
        </w:rPr>
        <w:t xml:space="preserve"> </w:t>
      </w:r>
      <w:r>
        <w:rPr>
          <w:i/>
          <w:iCs/>
          <w:lang w:val="fr-FR"/>
        </w:rPr>
        <w:t>intentionne</w:t>
      </w:r>
      <w:r w:rsidRPr="00AB4010">
        <w:rPr>
          <w:i/>
          <w:iCs/>
          <w:lang w:val="fr-FR"/>
        </w:rPr>
        <w:t>l</w:t>
      </w:r>
      <w:r>
        <w:rPr>
          <w:rFonts w:cs="Arial"/>
          <w:i/>
          <w:iCs/>
          <w:lang w:val="fr-FR"/>
        </w:rPr>
        <w:t> </w:t>
      </w:r>
      <w:r>
        <w:rPr>
          <w:lang w:val="fr-FR"/>
        </w:rPr>
        <w:t>: les activités menées par les apprenants sont conçues dans un but pédagogique</w:t>
      </w:r>
      <w:r w:rsidRPr="00AB4010">
        <w:rPr>
          <w:lang w:val="fr-FR"/>
        </w:rPr>
        <w:t xml:space="preserve">. </w:t>
      </w:r>
      <w:r>
        <w:rPr>
          <w:lang w:val="fr-FR"/>
        </w:rPr>
        <w:t xml:space="preserve">En revanche, l’apprentissage informel prend généralement un caractère accidentel, en ce sens qu’il est le résultat inattendu de notre participation à une activité qui n’a pas </w:t>
      </w:r>
      <w:r>
        <w:rPr>
          <w:i/>
          <w:iCs/>
          <w:lang w:val="fr-FR"/>
        </w:rPr>
        <w:t xml:space="preserve">a priori </w:t>
      </w:r>
      <w:r>
        <w:rPr>
          <w:lang w:val="fr-FR"/>
        </w:rPr>
        <w:t>de fonction pédagogique</w:t>
      </w:r>
      <w:r w:rsidRPr="00AB4010">
        <w:rPr>
          <w:lang w:val="fr-FR"/>
        </w:rPr>
        <w:t xml:space="preserve">. </w:t>
      </w:r>
      <w:r>
        <w:rPr>
          <w:lang w:val="fr-FR"/>
        </w:rPr>
        <w:t>Naturellement, l’apprentissage accidentel se produit aussi dans des contextes d’apprentissage formel et non formel, qui peuvent éveiller un intérêt pour une question précise et susciter une intention « consciente » d’en apprendre davantage. En d’autres termes, la frontière entre les différents modes d’apprentissage est poreuse</w:t>
      </w:r>
      <w:r w:rsidRPr="00AB4010">
        <w:rPr>
          <w:lang w:val="fr-FR"/>
        </w:rPr>
        <w:t>.</w:t>
      </w:r>
    </w:p>
    <w:p w:rsidR="00581FF1" w:rsidRPr="00AB4010" w:rsidRDefault="00581FF1" w:rsidP="004E7D51">
      <w:pPr>
        <w:pStyle w:val="TKTITRE1"/>
        <w:rPr>
          <w:rFonts w:cs="Arial"/>
          <w:lang w:val="fr-FR"/>
        </w:rPr>
      </w:pPr>
      <w:r>
        <w:rPr>
          <w:lang w:val="fr-FR"/>
        </w:rPr>
        <w:t>Motivation et intérêt des apprenants</w:t>
      </w:r>
    </w:p>
    <w:p w:rsidR="00581FF1" w:rsidRDefault="00581FF1" w:rsidP="000B5C1D">
      <w:pPr>
        <w:pStyle w:val="TKTEXTE"/>
        <w:rPr>
          <w:rFonts w:cs="Arial"/>
          <w:i/>
          <w:iCs/>
          <w:u w:val="single"/>
          <w:lang w:val="fr-FR"/>
        </w:rPr>
      </w:pPr>
      <w:r>
        <w:rPr>
          <w:lang w:val="fr-FR"/>
        </w:rPr>
        <w:t>Les apprenants se montrent motivés, prêts à s’investir, c’est-à-dire à consacrer du temps et des efforts à leur apprentissage, dès lors qu’ils y trouvent un intérêt.</w:t>
      </w:r>
      <w:r w:rsidRPr="00AB4010">
        <w:rPr>
          <w:lang w:val="fr-FR"/>
        </w:rPr>
        <w:t xml:space="preserve"> </w:t>
      </w:r>
      <w:r>
        <w:rPr>
          <w:lang w:val="fr-FR"/>
        </w:rPr>
        <w:t>C’est pourquoi il est bon que les programmes scolaires officiels soient axés sur des compétences qui permettent de satisfaire les besoins immédiats de communication</w:t>
      </w:r>
      <w:r w:rsidRPr="00AB4010">
        <w:rPr>
          <w:lang w:val="fr-FR"/>
        </w:rPr>
        <w:t xml:space="preserve">. </w:t>
      </w:r>
      <w:r>
        <w:rPr>
          <w:lang w:val="fr-FR"/>
        </w:rPr>
        <w:t>La motivation des apprenants est un facteur tout aussi déterminant dans l’apprentissage non formel. C’est d’ailleurs pourquoi l’apprentissage formel et l’apprentissage non formel reposent souvent sur les mêmes types d’« exercices »</w:t>
      </w:r>
      <w:r>
        <w:rPr>
          <w:rFonts w:cs="Arial"/>
          <w:lang w:val="fr-FR"/>
        </w:rPr>
        <w:t> </w:t>
      </w:r>
      <w:r>
        <w:rPr>
          <w:lang w:val="fr-FR"/>
        </w:rPr>
        <w:t>: activités « de prise de contact » (qui visent à trouver un centre d’intérêt commun à tous les participants et à favoriser une dynamique de groupe positive), jeux de tous types fondés sur l’utilisation de la langue, et projets axés sur les arts manuels, le sport, la musique ou le théâtre.</w:t>
      </w:r>
      <w:r w:rsidRPr="00AB4010">
        <w:rPr>
          <w:lang w:val="fr-FR"/>
        </w:rPr>
        <w:t xml:space="preserve"> </w:t>
      </w:r>
      <w:r>
        <w:rPr>
          <w:lang w:val="fr-FR"/>
        </w:rPr>
        <w:t xml:space="preserve">Vous trouverez dans cette boîte </w:t>
      </w:r>
      <w:r w:rsidRPr="00202F4E">
        <w:rPr>
          <w:lang w:val="fr-FR"/>
        </w:rPr>
        <w:t>à outils un</w:t>
      </w:r>
      <w:r>
        <w:rPr>
          <w:lang w:val="fr-FR"/>
        </w:rPr>
        <w:t xml:space="preserve"> certain nombre d’activités « de prise de contact » et autres exercices qui pourront vous être utiles dans le cadre d’un apprentissage non formel.</w:t>
      </w:r>
      <w:r w:rsidRPr="00AB4010">
        <w:rPr>
          <w:lang w:val="fr-FR"/>
        </w:rPr>
        <w:t xml:space="preserve"> (</w:t>
      </w:r>
      <w:r>
        <w:rPr>
          <w:lang w:val="fr-FR"/>
        </w:rPr>
        <w:t>Voir, par exe</w:t>
      </w:r>
      <w:r w:rsidRPr="00AB4010">
        <w:rPr>
          <w:lang w:val="fr-FR"/>
        </w:rPr>
        <w:t xml:space="preserve">mple, </w:t>
      </w:r>
      <w:r>
        <w:rPr>
          <w:lang w:val="fr-FR"/>
        </w:rPr>
        <w:t>l’Outil</w:t>
      </w:r>
      <w:r w:rsidRPr="00AB4010">
        <w:rPr>
          <w:lang w:val="fr-FR"/>
        </w:rPr>
        <w:t xml:space="preserve"> </w:t>
      </w:r>
      <w:r>
        <w:rPr>
          <w:lang w:val="fr-FR"/>
        </w:rPr>
        <w:t>n°</w:t>
      </w:r>
      <w:r w:rsidRPr="00AB4010">
        <w:rPr>
          <w:lang w:val="fr-FR"/>
        </w:rPr>
        <w:t>19</w:t>
      </w:r>
      <w:r>
        <w:rPr>
          <w:lang w:val="fr-FR"/>
        </w:rPr>
        <w:t>, intitulé</w:t>
      </w:r>
      <w:r w:rsidRPr="00AB4010">
        <w:rPr>
          <w:lang w:val="fr-FR"/>
        </w:rPr>
        <w:t xml:space="preserve"> </w:t>
      </w:r>
      <w:r w:rsidRPr="00B126FA">
        <w:rPr>
          <w:i/>
          <w:iCs/>
          <w:lang w:val="fr-FR"/>
        </w:rPr>
        <w:t>«</w:t>
      </w:r>
      <w:r>
        <w:rPr>
          <w:rFonts w:cs="Arial"/>
          <w:i/>
          <w:iCs/>
          <w:lang w:val="fr-FR"/>
        </w:rPr>
        <w:t> </w:t>
      </w:r>
      <w:hyperlink r:id="rId7" w:history="1">
        <w:r w:rsidRPr="00752F95">
          <w:rPr>
            <w:rStyle w:val="Lienhypertexte"/>
            <w:i/>
            <w:iCs/>
            <w:u w:val="none"/>
            <w:lang w:val="fr-FR"/>
          </w:rPr>
          <w:t>Apprendre à se connaître et bâtir des relations de confiance dans le groupe</w:t>
        </w:r>
      </w:hyperlink>
      <w:r w:rsidRPr="00202F4E">
        <w:rPr>
          <w:rFonts w:cs="Arial"/>
          <w:lang w:val="fr-FR"/>
        </w:rPr>
        <w:t> </w:t>
      </w:r>
      <w:r w:rsidRPr="00202F4E">
        <w:rPr>
          <w:lang w:val="fr-FR"/>
        </w:rPr>
        <w:t>»</w:t>
      </w:r>
      <w:r w:rsidRPr="00AB4010">
        <w:rPr>
          <w:b/>
          <w:bCs/>
          <w:i/>
          <w:iCs/>
          <w:lang w:val="fr-FR"/>
        </w:rPr>
        <w:t>,</w:t>
      </w:r>
      <w:r>
        <w:rPr>
          <w:lang w:val="fr-FR"/>
        </w:rPr>
        <w:t xml:space="preserve"> et l’Outil n°</w:t>
      </w:r>
      <w:r w:rsidRPr="00AB4010">
        <w:rPr>
          <w:lang w:val="fr-FR"/>
        </w:rPr>
        <w:t>57</w:t>
      </w:r>
      <w:r>
        <w:rPr>
          <w:rFonts w:cs="Arial"/>
          <w:lang w:val="fr-FR"/>
        </w:rPr>
        <w:t> </w:t>
      </w:r>
      <w:r>
        <w:rPr>
          <w:lang w:val="fr-FR"/>
        </w:rPr>
        <w:t>: « </w:t>
      </w:r>
      <w:hyperlink r:id="rId8" w:history="1">
        <w:r w:rsidRPr="00752F95">
          <w:rPr>
            <w:rStyle w:val="Lienhypertexte"/>
            <w:i/>
            <w:iCs/>
            <w:u w:val="none"/>
            <w:lang w:val="fr-FR"/>
          </w:rPr>
          <w:t>Pratiquer la langue dans le monde réel</w:t>
        </w:r>
      </w:hyperlink>
      <w:r w:rsidRPr="00202F4E">
        <w:rPr>
          <w:rFonts w:cs="Arial"/>
          <w:lang w:val="fr-FR"/>
        </w:rPr>
        <w:t> </w:t>
      </w:r>
      <w:r w:rsidRPr="00202F4E">
        <w:rPr>
          <w:lang w:val="fr-FR"/>
        </w:rPr>
        <w:t>»)</w:t>
      </w:r>
      <w:r w:rsidRPr="00AB4010">
        <w:rPr>
          <w:i/>
          <w:iCs/>
          <w:u w:val="single"/>
          <w:lang w:val="fr-FR"/>
        </w:rPr>
        <w:t>.</w:t>
      </w:r>
    </w:p>
    <w:p w:rsidR="00581FF1" w:rsidRDefault="00581FF1">
      <w:pPr>
        <w:rPr>
          <w:rFonts w:cs="Arial"/>
          <w:i/>
          <w:iCs/>
          <w:u w:val="single"/>
        </w:rPr>
      </w:pPr>
    </w:p>
    <w:p w:rsidR="00581FF1" w:rsidRPr="00AB4010" w:rsidRDefault="00581FF1" w:rsidP="004E7D51">
      <w:pPr>
        <w:pStyle w:val="TKTITRE1"/>
        <w:rPr>
          <w:rFonts w:cs="Arial"/>
          <w:lang w:val="fr-FR"/>
        </w:rPr>
      </w:pPr>
      <w:r>
        <w:rPr>
          <w:lang w:val="fr-FR"/>
        </w:rPr>
        <w:lastRenderedPageBreak/>
        <w:t>Le rôle des volontaires dans l’accompagnement linguistique</w:t>
      </w:r>
    </w:p>
    <w:p w:rsidR="00581FF1" w:rsidRPr="00AB4010" w:rsidRDefault="00581FF1" w:rsidP="000B5C1D">
      <w:pPr>
        <w:pStyle w:val="TKTEXTE"/>
        <w:rPr>
          <w:lang w:val="fr-FR"/>
        </w:rPr>
      </w:pPr>
      <w:r w:rsidRPr="00AB4010">
        <w:rPr>
          <w:lang w:val="fr-FR"/>
        </w:rPr>
        <w:t>L</w:t>
      </w:r>
      <w:r>
        <w:rPr>
          <w:lang w:val="fr-FR"/>
        </w:rPr>
        <w:t>’apprentissage des langues n’est probablement pas une priorité pour les réfugiés, notamment lorsqu’ils sont en transit et qu’ils ignorent quelle va être leur destination finale. Cependant, tôt ou tard, ils devront apprendre la langue de leur pays hôte</w:t>
      </w:r>
      <w:r w:rsidRPr="00AB4010">
        <w:rPr>
          <w:lang w:val="fr-FR"/>
        </w:rPr>
        <w:t xml:space="preserve">. </w:t>
      </w:r>
      <w:r>
        <w:rPr>
          <w:lang w:val="fr-FR"/>
        </w:rPr>
        <w:t>Certains pays organisent des formations linguistiques formelles dans les centres de transit et de réception ; d’autres ne proposent de telles formations que lorsque les réfugiés ont obtenu le statut de résident. En fonction du contexte dans lequel vous vous trouvez en tant que volontaire, il se peut que vous soyez amené(e) à organiser des activités d’apprentissage non formel de la langue ou à assurer un accompagnement linguistique formel reposant sur un programme structuré et pouvant déboucher sur un test</w:t>
      </w:r>
      <w:r w:rsidRPr="00AB4010">
        <w:rPr>
          <w:lang w:val="fr-FR"/>
        </w:rPr>
        <w:t xml:space="preserve">. </w:t>
      </w:r>
      <w:r>
        <w:rPr>
          <w:lang w:val="fr-FR"/>
        </w:rPr>
        <w:t>Dans les deux cas, il est conseillé de mener des activités avec les apprenants en évitant d’aborder systématiquement les aspects grammaticaux ou autres aspects « techniques » de la langue</w:t>
      </w:r>
      <w:r>
        <w:rPr>
          <w:rFonts w:cs="Arial"/>
          <w:lang w:val="fr-FR"/>
        </w:rPr>
        <w:t> </w:t>
      </w:r>
      <w:r>
        <w:rPr>
          <w:lang w:val="fr-FR"/>
        </w:rPr>
        <w:t>: cette stratégie s’avèrera plus efficace</w:t>
      </w:r>
      <w:r w:rsidRPr="00AB4010">
        <w:rPr>
          <w:lang w:val="fr-FR"/>
        </w:rPr>
        <w:t>.</w:t>
      </w:r>
    </w:p>
    <w:p w:rsidR="00581FF1" w:rsidRPr="00AB4010" w:rsidRDefault="00581FF1" w:rsidP="004E7D51">
      <w:pPr>
        <w:pStyle w:val="TKTITRE1"/>
        <w:rPr>
          <w:lang w:val="fr-FR"/>
        </w:rPr>
      </w:pPr>
      <w:r>
        <w:rPr>
          <w:lang w:val="fr-FR"/>
        </w:rPr>
        <w:t xml:space="preserve">Comment répondre aux questions sur la grammaire </w:t>
      </w:r>
      <w:r w:rsidRPr="00AB4010">
        <w:rPr>
          <w:lang w:val="fr-FR"/>
        </w:rPr>
        <w:t>?</w:t>
      </w:r>
    </w:p>
    <w:p w:rsidR="00581FF1" w:rsidRPr="00AB4010" w:rsidRDefault="00581FF1" w:rsidP="004E7D51">
      <w:pPr>
        <w:pStyle w:val="TKTITRE1"/>
        <w:rPr>
          <w:b w:val="0"/>
          <w:bCs w:val="0"/>
          <w:sz w:val="24"/>
          <w:szCs w:val="24"/>
          <w:lang w:val="fr-FR"/>
        </w:rPr>
      </w:pPr>
      <w:r>
        <w:rPr>
          <w:b w:val="0"/>
          <w:bCs w:val="0"/>
          <w:sz w:val="24"/>
          <w:szCs w:val="24"/>
          <w:lang w:val="fr-FR"/>
        </w:rPr>
        <w:t>Il est probable, cependant, que certains membres de votre groupe vous posent des questions de grammaire. C’est tout à fait naturel. Après tout, la connaissance de certaines règles régissant la manière d’associer les mots pour former des segments de phrase ou des énoncés linguistiques plus longs peut être utile à tous les apprenants, y compris aux débutants. Pour répondre à de telles questions, appuyez-vous sur votre propre utilisation de la langue : essayez de donner des explications fondées sur des exemples aussi simples et clairs que possible. Évitez les règles abstraites</w:t>
      </w:r>
      <w:r w:rsidRPr="00AB4010">
        <w:rPr>
          <w:b w:val="0"/>
          <w:bCs w:val="0"/>
          <w:sz w:val="24"/>
          <w:szCs w:val="24"/>
          <w:lang w:val="fr-FR"/>
        </w:rPr>
        <w:t>.</w:t>
      </w:r>
      <w:r>
        <w:rPr>
          <w:b w:val="0"/>
          <w:bCs w:val="0"/>
          <w:sz w:val="24"/>
          <w:szCs w:val="24"/>
          <w:lang w:val="fr-FR"/>
        </w:rPr>
        <w:t xml:space="preserve"> </w:t>
      </w:r>
      <w:r w:rsidRPr="00AB4010">
        <w:rPr>
          <w:b w:val="0"/>
          <w:bCs w:val="0"/>
          <w:sz w:val="24"/>
          <w:szCs w:val="24"/>
          <w:lang w:val="fr-FR"/>
        </w:rPr>
        <w:t xml:space="preserve"> </w:t>
      </w:r>
      <w:bookmarkStart w:id="0" w:name="_GoBack"/>
      <w:bookmarkEnd w:id="0"/>
    </w:p>
    <w:p w:rsidR="00581FF1" w:rsidRPr="00AB4010" w:rsidRDefault="00581FF1" w:rsidP="004E7D51">
      <w:pPr>
        <w:pStyle w:val="TKTITRE1"/>
        <w:rPr>
          <w:b w:val="0"/>
          <w:bCs w:val="0"/>
          <w:sz w:val="24"/>
          <w:szCs w:val="24"/>
          <w:lang w:val="fr-FR"/>
        </w:rPr>
      </w:pPr>
      <w:r>
        <w:rPr>
          <w:b w:val="0"/>
          <w:bCs w:val="0"/>
          <w:sz w:val="24"/>
          <w:szCs w:val="24"/>
          <w:lang w:val="fr-FR"/>
        </w:rPr>
        <w:t>Vous trouverez des ressources utiles dans les</w:t>
      </w:r>
      <w:r w:rsidRPr="008C55F1">
        <w:rPr>
          <w:b w:val="0"/>
          <w:bCs w:val="0"/>
          <w:sz w:val="24"/>
          <w:szCs w:val="24"/>
          <w:lang w:val="fr-FR"/>
        </w:rPr>
        <w:t xml:space="preserve"> </w:t>
      </w:r>
      <w:hyperlink r:id="rId9" w:history="1">
        <w:r w:rsidRPr="008C55F1">
          <w:rPr>
            <w:rStyle w:val="Lienhypertexte"/>
            <w:b w:val="0"/>
            <w:bCs w:val="0"/>
            <w:sz w:val="24"/>
            <w:szCs w:val="24"/>
            <w:u w:val="none"/>
            <w:lang w:val="fr-FR"/>
          </w:rPr>
          <w:t>répertoires de sites internet</w:t>
        </w:r>
      </w:hyperlink>
      <w:r w:rsidRPr="00AB4010">
        <w:rPr>
          <w:b w:val="0"/>
          <w:bCs w:val="0"/>
          <w:sz w:val="24"/>
          <w:szCs w:val="24"/>
          <w:lang w:val="fr-FR"/>
        </w:rPr>
        <w:t>.</w:t>
      </w:r>
    </w:p>
    <w:p w:rsidR="00581FF1" w:rsidRPr="00AB4010" w:rsidRDefault="00581FF1" w:rsidP="004E7D51">
      <w:pPr>
        <w:pStyle w:val="TKTITRE1"/>
        <w:rPr>
          <w:rFonts w:cs="Arial"/>
          <w:lang w:val="fr-FR"/>
        </w:rPr>
      </w:pPr>
      <w:r>
        <w:rPr>
          <w:lang w:val="fr-FR"/>
        </w:rPr>
        <w:t>Quelques points de réflexion</w:t>
      </w:r>
    </w:p>
    <w:p w:rsidR="00581FF1" w:rsidRPr="00AB4010" w:rsidRDefault="00581FF1" w:rsidP="000B5C1D">
      <w:pPr>
        <w:pStyle w:val="TKTEXTE"/>
        <w:rPr>
          <w:lang w:val="fr-FR"/>
        </w:rPr>
      </w:pPr>
      <w:r>
        <w:rPr>
          <w:lang w:val="fr-FR"/>
        </w:rPr>
        <w:t xml:space="preserve">Voici quelques points auxquels il est bon de réfléchir avant de préparer ou de mener des activités d’apprentissage non formel des langues </w:t>
      </w:r>
      <w:r w:rsidRPr="00AB4010">
        <w:rPr>
          <w:lang w:val="fr-FR"/>
        </w:rPr>
        <w:t>:</w:t>
      </w:r>
    </w:p>
    <w:p w:rsidR="00581FF1" w:rsidRPr="00AB4010" w:rsidRDefault="00581FF1" w:rsidP="00E43AE6">
      <w:pPr>
        <w:pStyle w:val="TKBulletLevel1"/>
        <w:numPr>
          <w:ilvl w:val="0"/>
          <w:numId w:val="13"/>
        </w:numPr>
        <w:tabs>
          <w:tab w:val="clear" w:pos="567"/>
        </w:tabs>
        <w:ind w:left="709" w:hanging="283"/>
        <w:rPr>
          <w:lang w:val="fr-FR"/>
        </w:rPr>
      </w:pPr>
      <w:r>
        <w:rPr>
          <w:lang w:val="fr-FR"/>
        </w:rPr>
        <w:t>Dans quelle mesure votre groupe est-il linguistiquement diversifié </w:t>
      </w:r>
      <w:r w:rsidRPr="00AB4010">
        <w:rPr>
          <w:lang w:val="fr-FR"/>
        </w:rPr>
        <w:t xml:space="preserve">? </w:t>
      </w:r>
      <w:r>
        <w:rPr>
          <w:lang w:val="fr-FR"/>
        </w:rPr>
        <w:t>Compte-t-il des locuteurs d’une seule langue ou de plusieurs langues </w:t>
      </w:r>
      <w:r w:rsidRPr="00AB4010">
        <w:rPr>
          <w:lang w:val="fr-FR"/>
        </w:rPr>
        <w:t xml:space="preserve">? </w:t>
      </w:r>
      <w:r>
        <w:rPr>
          <w:lang w:val="fr-FR"/>
        </w:rPr>
        <w:t xml:space="preserve">Dans le deuxième cas, y a-t-il une </w:t>
      </w:r>
      <w:r w:rsidRPr="001E21F9">
        <w:rPr>
          <w:i/>
          <w:iCs/>
          <w:lang w:val="fr-FR"/>
        </w:rPr>
        <w:t>lingua franca</w:t>
      </w:r>
      <w:r>
        <w:rPr>
          <w:lang w:val="fr-FR"/>
        </w:rPr>
        <w:t xml:space="preserve"> évidente ?</w:t>
      </w:r>
      <w:r w:rsidRPr="00AB4010">
        <w:rPr>
          <w:lang w:val="fr-FR"/>
        </w:rPr>
        <w:t xml:space="preserve"> </w:t>
      </w:r>
      <w:r>
        <w:rPr>
          <w:lang w:val="fr-FR"/>
        </w:rPr>
        <w:t>Les participants ont-ils tous le même type de bagage éducatif ? Dans la négative, les plus instruits peuvent-ils aider les moins instruits, en particulier ceux qui ne savent ni lire, ni écrire </w:t>
      </w:r>
      <w:r w:rsidRPr="00AB4010">
        <w:rPr>
          <w:lang w:val="fr-FR"/>
        </w:rPr>
        <w:t>?</w:t>
      </w:r>
    </w:p>
    <w:p w:rsidR="00581FF1" w:rsidRPr="00AB4010" w:rsidRDefault="00581FF1" w:rsidP="00E43AE6">
      <w:pPr>
        <w:pStyle w:val="TKBulletLevel1"/>
        <w:numPr>
          <w:ilvl w:val="0"/>
          <w:numId w:val="13"/>
        </w:numPr>
        <w:tabs>
          <w:tab w:val="clear" w:pos="567"/>
        </w:tabs>
        <w:ind w:left="709" w:hanging="283"/>
        <w:rPr>
          <w:lang w:val="fr-FR"/>
        </w:rPr>
      </w:pPr>
      <w:r w:rsidRPr="001E21F9">
        <w:rPr>
          <w:lang w:val="fr-FR"/>
        </w:rPr>
        <w:t>À</w:t>
      </w:r>
      <w:r>
        <w:rPr>
          <w:lang w:val="fr-FR"/>
        </w:rPr>
        <w:t xml:space="preserve"> quelle tranche d’âge les membres du groupe appartiennent-ils </w:t>
      </w:r>
      <w:r w:rsidRPr="00AB4010">
        <w:rPr>
          <w:lang w:val="fr-FR"/>
        </w:rPr>
        <w:t xml:space="preserve">? </w:t>
      </w:r>
      <w:r>
        <w:rPr>
          <w:lang w:val="fr-FR"/>
        </w:rPr>
        <w:t>Combien y a-t-il d’enfants et d’adolescents parmi eux </w:t>
      </w:r>
      <w:r w:rsidRPr="00AB4010">
        <w:rPr>
          <w:lang w:val="fr-FR"/>
        </w:rPr>
        <w:t xml:space="preserve">? </w:t>
      </w:r>
      <w:r>
        <w:rPr>
          <w:lang w:val="fr-FR"/>
        </w:rPr>
        <w:t>Les membres sont-ils suffisamment nombreux pour être répartis en sous-groupes en fonction de leur âge ? Ou préfèrent-ils faire des activités qui ne soient pas axées sur l’âge, de sorte à ce que les familles puissent travailler ensemble ?</w:t>
      </w:r>
    </w:p>
    <w:p w:rsidR="00581FF1" w:rsidRPr="00AB4010" w:rsidRDefault="00581FF1" w:rsidP="00E43AE6">
      <w:pPr>
        <w:pStyle w:val="TKBulletLevel1"/>
        <w:numPr>
          <w:ilvl w:val="0"/>
          <w:numId w:val="13"/>
        </w:numPr>
        <w:tabs>
          <w:tab w:val="clear" w:pos="567"/>
        </w:tabs>
        <w:ind w:left="709" w:hanging="283"/>
        <w:rPr>
          <w:lang w:val="fr-FR"/>
        </w:rPr>
      </w:pPr>
      <w:r>
        <w:rPr>
          <w:lang w:val="fr-FR"/>
        </w:rPr>
        <w:t>Certains réfugiés sont capables de communiquer dans plusieurs langues, grâce à des compétences acquises dans un cadre scolaire ou à leur expérience de la vie en général. Ils peuvent se servir de ce plurilinguisme pour aider les autres membres du groupe, notamment s’ils ont déjà quelques connaissances dans la langue du pays hôte</w:t>
      </w:r>
      <w:r w:rsidRPr="00AB4010">
        <w:rPr>
          <w:lang w:val="fr-FR"/>
        </w:rPr>
        <w:t xml:space="preserve"> </w:t>
      </w:r>
      <w:r>
        <w:rPr>
          <w:lang w:val="fr-FR"/>
        </w:rPr>
        <w:t>(voir également l’Outil</w:t>
      </w:r>
      <w:r w:rsidRPr="00AB4010">
        <w:rPr>
          <w:lang w:val="fr-FR"/>
        </w:rPr>
        <w:t xml:space="preserve"> </w:t>
      </w:r>
      <w:r>
        <w:rPr>
          <w:lang w:val="fr-FR"/>
        </w:rPr>
        <w:t>n°</w:t>
      </w:r>
      <w:r w:rsidRPr="00AB4010">
        <w:rPr>
          <w:lang w:val="fr-FR"/>
        </w:rPr>
        <w:t>11</w:t>
      </w:r>
      <w:r>
        <w:rPr>
          <w:lang w:val="fr-FR"/>
        </w:rPr>
        <w:t>, intitulé</w:t>
      </w:r>
      <w:r w:rsidRPr="00AB4010">
        <w:rPr>
          <w:lang w:val="fr-FR"/>
        </w:rPr>
        <w:t xml:space="preserve"> </w:t>
      </w:r>
      <w:r>
        <w:rPr>
          <w:lang w:val="fr-FR"/>
        </w:rPr>
        <w:t>« </w:t>
      </w:r>
      <w:hyperlink r:id="rId10" w:history="1">
        <w:r w:rsidRPr="00752F95">
          <w:rPr>
            <w:rStyle w:val="Lienhypertexte"/>
            <w:i/>
            <w:iCs/>
            <w:u w:val="none"/>
            <w:lang w:val="fr-FR"/>
          </w:rPr>
          <w:t>Les réfugiés comme utilisateurs de langues et comme apprenants</w:t>
        </w:r>
      </w:hyperlink>
      <w:r w:rsidRPr="00752F95">
        <w:rPr>
          <w:i/>
          <w:iCs/>
          <w:lang w:val="fr-FR"/>
        </w:rPr>
        <w:t xml:space="preserve"> »</w:t>
      </w:r>
      <w:r w:rsidRPr="00752F95">
        <w:rPr>
          <w:lang w:val="fr-FR"/>
        </w:rPr>
        <w:t>).</w:t>
      </w:r>
    </w:p>
    <w:p w:rsidR="00581FF1" w:rsidRPr="00AB4010" w:rsidRDefault="00581FF1" w:rsidP="00E43AE6">
      <w:pPr>
        <w:pStyle w:val="TKBulletLevel1"/>
        <w:numPr>
          <w:ilvl w:val="0"/>
          <w:numId w:val="13"/>
        </w:numPr>
        <w:tabs>
          <w:tab w:val="clear" w:pos="567"/>
        </w:tabs>
        <w:ind w:left="709" w:hanging="283"/>
        <w:rPr>
          <w:lang w:val="fr-FR"/>
        </w:rPr>
      </w:pPr>
      <w:r>
        <w:rPr>
          <w:lang w:val="fr-FR"/>
        </w:rPr>
        <w:t>Quelle que soit l’activité que vous mettez en œuvre, n’oubliez pas l’importance de l’apprentissage accidentel dans tous les domaines de la vie</w:t>
      </w:r>
      <w:r w:rsidRPr="00AB4010">
        <w:rPr>
          <w:lang w:val="fr-FR"/>
        </w:rPr>
        <w:t xml:space="preserve">. </w:t>
      </w:r>
      <w:r>
        <w:rPr>
          <w:lang w:val="fr-FR"/>
        </w:rPr>
        <w:t>Si vos apprenants réfugiés sont intéressés par le contenu de leur apprentissage et qu’ils s’y investissent, ils acquerront forcément des connaissances. C’est pourquoi, en tant que coordinateur d’enseignement non formel, il vous faut en tout premier lieu vous assurer que vos apprenants prennent du plaisir aux activités que vous leur proposez.</w:t>
      </w:r>
    </w:p>
    <w:p w:rsidR="00581FF1" w:rsidRPr="00AB4010" w:rsidRDefault="00581FF1" w:rsidP="00E43AE6">
      <w:pPr>
        <w:pStyle w:val="TKBulletLevel1"/>
        <w:numPr>
          <w:ilvl w:val="0"/>
          <w:numId w:val="13"/>
        </w:numPr>
        <w:tabs>
          <w:tab w:val="clear" w:pos="567"/>
        </w:tabs>
        <w:ind w:left="709" w:hanging="283"/>
        <w:rPr>
          <w:lang w:val="fr-FR"/>
        </w:rPr>
      </w:pPr>
      <w:r>
        <w:rPr>
          <w:lang w:val="fr-FR"/>
        </w:rPr>
        <w:lastRenderedPageBreak/>
        <w:t>C’est à vous qu’il revient de lancer les activités, mais n’hésitez pas à laisser les apprenants prendre la tête des opérations s’ils en manifestent la volonté. Leur implication n’en sera que renforcée, car les apprenants actifs sont des apprenants motivés. Une fois instaurée une bonne dynamique de groupe</w:t>
      </w:r>
      <w:r w:rsidRPr="00AB4010">
        <w:rPr>
          <w:lang w:val="fr-FR"/>
        </w:rPr>
        <w:t>, encourage</w:t>
      </w:r>
      <w:r>
        <w:rPr>
          <w:lang w:val="fr-FR"/>
        </w:rPr>
        <w:t>z les apprenants à exprimer leurs préférences sur ce qu’ils veulent faire et apprendre</w:t>
      </w:r>
      <w:r w:rsidRPr="00AB4010">
        <w:rPr>
          <w:lang w:val="fr-FR"/>
        </w:rPr>
        <w:t>.</w:t>
      </w:r>
    </w:p>
    <w:p w:rsidR="00581FF1" w:rsidRPr="00AB4010" w:rsidRDefault="00581FF1" w:rsidP="000B5C1D">
      <w:pPr>
        <w:pStyle w:val="TKTEXTE"/>
        <w:rPr>
          <w:rFonts w:cs="Arial"/>
          <w:lang w:val="fr-FR"/>
        </w:rPr>
      </w:pPr>
      <w:r>
        <w:rPr>
          <w:lang w:val="fr-FR"/>
        </w:rPr>
        <w:t>Voir également la section « Notions clés</w:t>
      </w:r>
      <w:r>
        <w:rPr>
          <w:rFonts w:cs="Arial"/>
          <w:lang w:val="fr-FR"/>
        </w:rPr>
        <w:t> </w:t>
      </w:r>
      <w:r>
        <w:rPr>
          <w:lang w:val="fr-FR"/>
        </w:rPr>
        <w:t xml:space="preserve">» sur le site internet de l’ILMA </w:t>
      </w:r>
      <w:r w:rsidRPr="00AB4010">
        <w:rPr>
          <w:lang w:val="fr-FR"/>
        </w:rPr>
        <w:t xml:space="preserve">: </w:t>
      </w:r>
      <w:hyperlink r:id="rId11" w:history="1">
        <w:r w:rsidRPr="00752F95">
          <w:rPr>
            <w:rStyle w:val="Lienhypertexte"/>
            <w:u w:val="none"/>
            <w:lang w:val="fr-FR"/>
          </w:rPr>
          <w:t>www.coe.int/lang-migrants</w:t>
        </w:r>
      </w:hyperlink>
      <w:r w:rsidR="00084F0B" w:rsidRPr="00752F95">
        <w:rPr>
          <w:rStyle w:val="Lienhypertexte"/>
          <w:u w:val="none"/>
          <w:lang w:val="fr-FR"/>
        </w:rPr>
        <w:t>/fr.</w:t>
      </w:r>
    </w:p>
    <w:sectPr w:rsidR="00581FF1" w:rsidRPr="00AB4010" w:rsidSect="00B126F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FBD" w:rsidRDefault="00F34FBD" w:rsidP="00C523EA">
      <w:pPr>
        <w:rPr>
          <w:rFonts w:cs="Arial"/>
        </w:rPr>
      </w:pPr>
      <w:r>
        <w:rPr>
          <w:rFonts w:cs="Arial"/>
        </w:rPr>
        <w:separator/>
      </w:r>
    </w:p>
  </w:endnote>
  <w:endnote w:type="continuationSeparator" w:id="0">
    <w:p w:rsidR="00F34FBD" w:rsidRDefault="00F34FBD"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381" w:rsidRDefault="00C6638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CellMar>
        <w:left w:w="0" w:type="dxa"/>
        <w:right w:w="0" w:type="dxa"/>
      </w:tblCellMar>
      <w:tblLook w:val="00A0" w:firstRow="1" w:lastRow="0" w:firstColumn="1" w:lastColumn="0" w:noHBand="0" w:noVBand="0"/>
    </w:tblPr>
    <w:tblGrid>
      <w:gridCol w:w="3490"/>
      <w:gridCol w:w="3489"/>
      <w:gridCol w:w="3487"/>
    </w:tblGrid>
    <w:tr w:rsidR="00581FF1">
      <w:tc>
        <w:tcPr>
          <w:tcW w:w="1667" w:type="pct"/>
          <w:tcBorders>
            <w:top w:val="single" w:sz="4" w:space="0" w:color="auto"/>
          </w:tcBorders>
          <w:vAlign w:val="bottom"/>
        </w:tcPr>
        <w:p w:rsidR="00084F0B" w:rsidRPr="00971310" w:rsidRDefault="00084F0B" w:rsidP="00084F0B">
          <w:pPr>
            <w:tabs>
              <w:tab w:val="center" w:pos="4820"/>
            </w:tabs>
            <w:spacing w:before="60"/>
            <w:rPr>
              <w:sz w:val="18"/>
              <w:szCs w:val="18"/>
              <w:lang w:eastAsia="fr-FR"/>
            </w:rPr>
          </w:pPr>
          <w:r w:rsidRPr="00971310">
            <w:rPr>
              <w:sz w:val="18"/>
              <w:szCs w:val="18"/>
              <w:lang w:eastAsia="fr-FR"/>
            </w:rPr>
            <w:t>Programme des Politiques linguistiques</w:t>
          </w:r>
        </w:p>
        <w:p w:rsidR="00581FF1" w:rsidRPr="00084F0B" w:rsidRDefault="00581FF1" w:rsidP="000A164B">
          <w:pPr>
            <w:tabs>
              <w:tab w:val="center" w:pos="4820"/>
            </w:tabs>
            <w:spacing w:before="60"/>
            <w:rPr>
              <w:sz w:val="18"/>
              <w:szCs w:val="18"/>
              <w:lang w:eastAsia="fr-FR"/>
            </w:rPr>
          </w:pPr>
          <w:r w:rsidRPr="00084F0B">
            <w:rPr>
              <w:sz w:val="18"/>
              <w:szCs w:val="18"/>
              <w:lang w:eastAsia="fr-FR"/>
            </w:rPr>
            <w:t>Strasbourg</w:t>
          </w:r>
        </w:p>
        <w:p w:rsidR="00581FF1" w:rsidRPr="00084F0B" w:rsidRDefault="00581FF1" w:rsidP="000A164B">
          <w:pPr>
            <w:tabs>
              <w:tab w:val="center" w:pos="4820"/>
            </w:tabs>
            <w:spacing w:before="60"/>
            <w:rPr>
              <w:sz w:val="18"/>
              <w:szCs w:val="18"/>
              <w:lang w:eastAsia="fr-FR"/>
            </w:rPr>
          </w:pPr>
        </w:p>
        <w:p w:rsidR="00581FF1" w:rsidRPr="00084F0B" w:rsidRDefault="00084F0B" w:rsidP="000A164B">
          <w:pPr>
            <w:tabs>
              <w:tab w:val="center" w:pos="4820"/>
            </w:tabs>
            <w:spacing w:before="60"/>
            <w:rPr>
              <w:rFonts w:cs="Arial"/>
              <w:sz w:val="18"/>
              <w:szCs w:val="18"/>
              <w:lang w:eastAsia="fr-FR"/>
            </w:rPr>
          </w:pPr>
          <w:r w:rsidRPr="00084F0B">
            <w:rPr>
              <w:b/>
              <w:bCs/>
              <w:sz w:val="18"/>
              <w:szCs w:val="18"/>
              <w:lang w:eastAsia="fr-FR"/>
            </w:rPr>
            <w:t>Outil</w:t>
          </w:r>
          <w:r w:rsidR="00581FF1" w:rsidRPr="00084F0B">
            <w:rPr>
              <w:b/>
              <w:bCs/>
              <w:sz w:val="18"/>
              <w:szCs w:val="18"/>
              <w:lang w:eastAsia="fr-FR"/>
            </w:rPr>
            <w:t xml:space="preserve"> 9</w:t>
          </w:r>
        </w:p>
      </w:tc>
      <w:tc>
        <w:tcPr>
          <w:tcW w:w="1667" w:type="pct"/>
          <w:tcBorders>
            <w:top w:val="single" w:sz="4" w:space="0" w:color="auto"/>
          </w:tcBorders>
          <w:vAlign w:val="bottom"/>
        </w:tcPr>
        <w:p w:rsidR="00581FF1" w:rsidRPr="000A164B" w:rsidRDefault="00581FF1" w:rsidP="000A164B">
          <w:pPr>
            <w:tabs>
              <w:tab w:val="center" w:pos="4820"/>
            </w:tabs>
            <w:spacing w:before="60"/>
            <w:jc w:val="center"/>
            <w:rPr>
              <w:rFonts w:cs="Arial"/>
              <w:sz w:val="18"/>
              <w:szCs w:val="18"/>
              <w:lang w:val="en-US" w:eastAsia="fr-FR"/>
            </w:rPr>
          </w:pPr>
          <w:r w:rsidRPr="000A164B">
            <w:rPr>
              <w:sz w:val="18"/>
              <w:szCs w:val="18"/>
              <w:lang w:val="en-US" w:eastAsia="fr-FR"/>
            </w:rPr>
            <w:t xml:space="preserve">Page </w:t>
          </w:r>
          <w:r w:rsidRPr="000A164B">
            <w:rPr>
              <w:sz w:val="18"/>
              <w:szCs w:val="18"/>
              <w:lang w:val="en-US" w:eastAsia="fr-FR"/>
            </w:rPr>
            <w:fldChar w:fldCharType="begin"/>
          </w:r>
          <w:r w:rsidRPr="000A164B">
            <w:rPr>
              <w:sz w:val="18"/>
              <w:szCs w:val="18"/>
              <w:lang w:val="en-US" w:eastAsia="fr-FR"/>
            </w:rPr>
            <w:instrText>PAGE</w:instrText>
          </w:r>
          <w:r w:rsidRPr="000A164B">
            <w:rPr>
              <w:sz w:val="18"/>
              <w:szCs w:val="18"/>
              <w:lang w:val="en-US" w:eastAsia="fr-FR"/>
            </w:rPr>
            <w:fldChar w:fldCharType="separate"/>
          </w:r>
          <w:r w:rsidR="008C55F1">
            <w:rPr>
              <w:noProof/>
              <w:sz w:val="18"/>
              <w:szCs w:val="18"/>
              <w:lang w:val="en-US" w:eastAsia="fr-FR"/>
            </w:rPr>
            <w:t>3</w:t>
          </w:r>
          <w:r w:rsidRPr="000A164B">
            <w:rPr>
              <w:sz w:val="18"/>
              <w:szCs w:val="18"/>
              <w:lang w:val="en-US" w:eastAsia="fr-FR"/>
            </w:rPr>
            <w:fldChar w:fldCharType="end"/>
          </w:r>
          <w:r w:rsidRPr="000A164B">
            <w:rPr>
              <w:sz w:val="18"/>
              <w:szCs w:val="18"/>
              <w:lang w:val="en-US" w:eastAsia="fr-FR"/>
            </w:rPr>
            <w:t>/</w:t>
          </w:r>
          <w:r w:rsidRPr="000A164B">
            <w:rPr>
              <w:sz w:val="18"/>
              <w:szCs w:val="18"/>
              <w:lang w:val="en-US" w:eastAsia="fr-FR"/>
            </w:rPr>
            <w:fldChar w:fldCharType="begin"/>
          </w:r>
          <w:r w:rsidRPr="000A164B">
            <w:rPr>
              <w:sz w:val="18"/>
              <w:szCs w:val="18"/>
              <w:lang w:val="en-US" w:eastAsia="fr-FR"/>
            </w:rPr>
            <w:instrText>NUMPAGES</w:instrText>
          </w:r>
          <w:r w:rsidRPr="000A164B">
            <w:rPr>
              <w:sz w:val="18"/>
              <w:szCs w:val="18"/>
              <w:lang w:val="en-US" w:eastAsia="fr-FR"/>
            </w:rPr>
            <w:fldChar w:fldCharType="separate"/>
          </w:r>
          <w:r w:rsidR="008C55F1">
            <w:rPr>
              <w:noProof/>
              <w:sz w:val="18"/>
              <w:szCs w:val="18"/>
              <w:lang w:val="en-US" w:eastAsia="fr-FR"/>
            </w:rPr>
            <w:t>3</w:t>
          </w:r>
          <w:r w:rsidRPr="000A164B">
            <w:rPr>
              <w:sz w:val="18"/>
              <w:szCs w:val="18"/>
              <w:lang w:val="en-US" w:eastAsia="fr-FR"/>
            </w:rPr>
            <w:fldChar w:fldCharType="end"/>
          </w:r>
        </w:p>
      </w:tc>
      <w:tc>
        <w:tcPr>
          <w:tcW w:w="1667" w:type="pct"/>
          <w:tcBorders>
            <w:top w:val="single" w:sz="4" w:space="0" w:color="auto"/>
          </w:tcBorders>
          <w:vAlign w:val="bottom"/>
        </w:tcPr>
        <w:p w:rsidR="00581FF1" w:rsidRPr="000A164B" w:rsidRDefault="008C55F1" w:rsidP="000A164B">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6" type="#_x0000_t75" style="width:1in;height:55.5pt;visibility:visible">
                <v:imagedata r:id="rId1" o:title=""/>
              </v:shape>
            </w:pict>
          </w:r>
        </w:p>
      </w:tc>
    </w:tr>
  </w:tbl>
  <w:p w:rsidR="00581FF1" w:rsidRPr="002860CD" w:rsidRDefault="00581FF1" w:rsidP="002860CD">
    <w:pPr>
      <w:pStyle w:val="Pieddepage"/>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381" w:rsidRDefault="00C663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FBD" w:rsidRDefault="00F34FBD" w:rsidP="00C523EA">
      <w:pPr>
        <w:rPr>
          <w:rFonts w:cs="Arial"/>
        </w:rPr>
      </w:pPr>
      <w:r>
        <w:rPr>
          <w:rFonts w:cs="Arial"/>
        </w:rPr>
        <w:separator/>
      </w:r>
    </w:p>
  </w:footnote>
  <w:footnote w:type="continuationSeparator" w:id="0">
    <w:p w:rsidR="00F34FBD" w:rsidRDefault="00F34FBD" w:rsidP="00C523EA">
      <w:pPr>
        <w:rPr>
          <w:rFonts w:cs="Arial"/>
        </w:rPr>
      </w:pPr>
      <w:r>
        <w:rPr>
          <w:rFonts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381" w:rsidRDefault="00C663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ook w:val="00A0" w:firstRow="1" w:lastRow="0" w:firstColumn="1" w:lastColumn="0" w:noHBand="0" w:noVBand="0"/>
    </w:tblPr>
    <w:tblGrid>
      <w:gridCol w:w="2228"/>
      <w:gridCol w:w="5722"/>
      <w:gridCol w:w="2732"/>
    </w:tblGrid>
    <w:tr w:rsidR="00C66381" w:rsidRPr="00C66381" w:rsidTr="00C66381">
      <w:trPr>
        <w:trHeight w:val="1304"/>
      </w:trPr>
      <w:tc>
        <w:tcPr>
          <w:tcW w:w="2228" w:type="dxa"/>
          <w:tcBorders>
            <w:bottom w:val="single" w:sz="12" w:space="0" w:color="auto"/>
          </w:tcBorders>
        </w:tcPr>
        <w:p w:rsidR="00C66381" w:rsidRPr="00CB5C65" w:rsidRDefault="008C55F1" w:rsidP="000C5F40">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4.75pt">
                <v:imagedata r:id="rId1" o:title="ILMA"/>
              </v:shape>
            </w:pict>
          </w:r>
        </w:p>
      </w:tc>
      <w:tc>
        <w:tcPr>
          <w:tcW w:w="5722" w:type="dxa"/>
          <w:tcBorders>
            <w:bottom w:val="single" w:sz="12" w:space="0" w:color="auto"/>
          </w:tcBorders>
        </w:tcPr>
        <w:p w:rsidR="00C66381" w:rsidRPr="00971310" w:rsidRDefault="00C66381" w:rsidP="00B86A5E">
          <w:pPr>
            <w:jc w:val="center"/>
            <w:rPr>
              <w:b/>
              <w:bCs/>
            </w:rPr>
          </w:pPr>
          <w:r w:rsidRPr="00971310">
            <w:rPr>
              <w:b/>
              <w:bCs/>
            </w:rPr>
            <w:t>Accompagnement linguistique des réfugiés adultes</w:t>
          </w:r>
          <w:r>
            <w:rPr>
              <w:b/>
              <w:bCs/>
            </w:rPr>
            <w:t> :</w:t>
          </w:r>
        </w:p>
        <w:p w:rsidR="00C66381" w:rsidRPr="00971310" w:rsidRDefault="00C66381" w:rsidP="00B86A5E">
          <w:pPr>
            <w:jc w:val="center"/>
            <w:rPr>
              <w:b/>
              <w:bCs/>
              <w:i/>
              <w:iCs/>
            </w:rPr>
          </w:pPr>
          <w:r w:rsidRPr="00971310">
            <w:rPr>
              <w:b/>
              <w:bCs/>
              <w:i/>
              <w:iCs/>
            </w:rPr>
            <w:t>La boîte à outils du Conseil de l’Europe</w:t>
          </w:r>
        </w:p>
        <w:p w:rsidR="00C66381" w:rsidRPr="00C16F21" w:rsidRDefault="00F34FBD" w:rsidP="00B86A5E">
          <w:pPr>
            <w:jc w:val="center"/>
            <w:rPr>
              <w:rFonts w:cs="Arial"/>
              <w:color w:val="0000FF"/>
              <w:u w:val="single"/>
            </w:rPr>
          </w:pPr>
          <w:hyperlink r:id="rId2" w:history="1">
            <w:r w:rsidR="00C66381" w:rsidRPr="00C16F21">
              <w:rPr>
                <w:rStyle w:val="Lienhypertexte"/>
              </w:rPr>
              <w:t>www.coe.int/lang-refugees</w:t>
            </w:r>
          </w:hyperlink>
        </w:p>
      </w:tc>
      <w:tc>
        <w:tcPr>
          <w:tcW w:w="2732" w:type="dxa"/>
          <w:tcBorders>
            <w:bottom w:val="single" w:sz="12" w:space="0" w:color="auto"/>
          </w:tcBorders>
        </w:tcPr>
        <w:p w:rsidR="00C66381" w:rsidRPr="00971310" w:rsidRDefault="00C66381" w:rsidP="00B86A5E">
          <w:pPr>
            <w:tabs>
              <w:tab w:val="center" w:pos="4607"/>
              <w:tab w:val="right" w:pos="9214"/>
            </w:tabs>
            <w:jc w:val="right"/>
            <w:rPr>
              <w:sz w:val="20"/>
              <w:szCs w:val="20"/>
            </w:rPr>
          </w:pPr>
          <w:r w:rsidRPr="00971310">
            <w:rPr>
              <w:sz w:val="20"/>
              <w:szCs w:val="20"/>
            </w:rPr>
            <w:t>Intégration linguistique</w:t>
          </w:r>
        </w:p>
        <w:p w:rsidR="00C66381" w:rsidRPr="00971310" w:rsidRDefault="00C66381" w:rsidP="00B86A5E">
          <w:pPr>
            <w:tabs>
              <w:tab w:val="center" w:pos="4607"/>
              <w:tab w:val="right" w:pos="9214"/>
            </w:tabs>
            <w:jc w:val="right"/>
            <w:rPr>
              <w:sz w:val="20"/>
              <w:szCs w:val="20"/>
            </w:rPr>
          </w:pPr>
          <w:r w:rsidRPr="00971310">
            <w:rPr>
              <w:sz w:val="20"/>
              <w:szCs w:val="20"/>
            </w:rPr>
            <w:t>des migrants adultes</w:t>
          </w:r>
        </w:p>
        <w:p w:rsidR="00C66381" w:rsidRPr="00971310" w:rsidRDefault="00F34FBD" w:rsidP="00B86A5E">
          <w:pPr>
            <w:tabs>
              <w:tab w:val="center" w:pos="4607"/>
              <w:tab w:val="right" w:pos="9214"/>
            </w:tabs>
            <w:jc w:val="right"/>
            <w:rPr>
              <w:rFonts w:ascii="Calibri Light" w:hAnsi="Calibri Light" w:cs="Calibri Light"/>
              <w:color w:val="0000FF"/>
              <w:u w:val="single"/>
            </w:rPr>
          </w:pPr>
          <w:hyperlink r:id="rId3" w:history="1">
            <w:r w:rsidR="00C66381" w:rsidRPr="00971310">
              <w:rPr>
                <w:rStyle w:val="Lienhypertexte"/>
                <w:sz w:val="20"/>
                <w:szCs w:val="20"/>
              </w:rPr>
              <w:t>www.coe.int/lang-migrants</w:t>
            </w:r>
          </w:hyperlink>
          <w:r w:rsidR="00C66381" w:rsidRPr="00971310">
            <w:rPr>
              <w:rStyle w:val="Lienhypertexte"/>
              <w:sz w:val="20"/>
              <w:szCs w:val="20"/>
            </w:rPr>
            <w:t>/fr</w:t>
          </w:r>
        </w:p>
      </w:tc>
    </w:tr>
  </w:tbl>
  <w:p w:rsidR="00581FF1" w:rsidRPr="00C66381" w:rsidRDefault="00581FF1" w:rsidP="00FB70A6">
    <w:pPr>
      <w:pStyle w:val="En-tte"/>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381" w:rsidRDefault="00C663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14FD7137"/>
    <w:multiLevelType w:val="hybridMultilevel"/>
    <w:tmpl w:val="4726CCC6"/>
    <w:lvl w:ilvl="0" w:tplc="08090001">
      <w:start w:val="1"/>
      <w:numFmt w:val="bullet"/>
      <w:lvlText w:val=""/>
      <w:lvlJc w:val="left"/>
      <w:pPr>
        <w:ind w:left="780" w:hanging="360"/>
      </w:pPr>
      <w:rPr>
        <w:rFonts w:ascii="Symbol" w:hAnsi="Symbol" w:cs="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2083274"/>
    <w:multiLevelType w:val="hybridMultilevel"/>
    <w:tmpl w:val="86144226"/>
    <w:lvl w:ilvl="0" w:tplc="04090001">
      <w:start w:val="1"/>
      <w:numFmt w:val="bullet"/>
      <w:lvlText w:val=""/>
      <w:lvlJc w:val="lef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cs="Wingdings" w:hint="default"/>
      </w:rPr>
    </w:lvl>
    <w:lvl w:ilvl="3" w:tplc="040C0001" w:tentative="1">
      <w:start w:val="1"/>
      <w:numFmt w:val="bullet"/>
      <w:lvlText w:val=""/>
      <w:lvlJc w:val="left"/>
      <w:pPr>
        <w:ind w:left="3447" w:hanging="360"/>
      </w:pPr>
      <w:rPr>
        <w:rFonts w:ascii="Symbol" w:hAnsi="Symbol" w:cs="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cs="Wingdings" w:hint="default"/>
      </w:rPr>
    </w:lvl>
    <w:lvl w:ilvl="6" w:tplc="040C0001" w:tentative="1">
      <w:start w:val="1"/>
      <w:numFmt w:val="bullet"/>
      <w:lvlText w:val=""/>
      <w:lvlJc w:val="left"/>
      <w:pPr>
        <w:ind w:left="5607" w:hanging="360"/>
      </w:pPr>
      <w:rPr>
        <w:rFonts w:ascii="Symbol" w:hAnsi="Symbol" w:cs="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cs="Wingdings" w:hint="default"/>
      </w:rPr>
    </w:lvl>
  </w:abstractNum>
  <w:abstractNum w:abstractNumId="4" w15:restartNumberingAfterBreak="0">
    <w:nsid w:val="3D8137E9"/>
    <w:multiLevelType w:val="hybridMultilevel"/>
    <w:tmpl w:val="2990BDB4"/>
    <w:lvl w:ilvl="0" w:tplc="C3F64206">
      <w:start w:val="1"/>
      <w:numFmt w:val="bullet"/>
      <w:lvlText w:val=""/>
      <w:lvlJc w:val="left"/>
      <w:pPr>
        <w:ind w:left="1287" w:hanging="360"/>
      </w:pPr>
      <w:rPr>
        <w:rFonts w:ascii="Symbol" w:hAnsi="Symbol" w:cs="Symbol"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cs="Wingdings" w:hint="default"/>
      </w:rPr>
    </w:lvl>
    <w:lvl w:ilvl="3" w:tplc="040C0001" w:tentative="1">
      <w:start w:val="1"/>
      <w:numFmt w:val="bullet"/>
      <w:lvlText w:val=""/>
      <w:lvlJc w:val="left"/>
      <w:pPr>
        <w:ind w:left="3447" w:hanging="360"/>
      </w:pPr>
      <w:rPr>
        <w:rFonts w:ascii="Symbol" w:hAnsi="Symbol" w:cs="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cs="Wingdings" w:hint="default"/>
      </w:rPr>
    </w:lvl>
    <w:lvl w:ilvl="6" w:tplc="040C0001" w:tentative="1">
      <w:start w:val="1"/>
      <w:numFmt w:val="bullet"/>
      <w:lvlText w:val=""/>
      <w:lvlJc w:val="left"/>
      <w:pPr>
        <w:ind w:left="5607" w:hanging="360"/>
      </w:pPr>
      <w:rPr>
        <w:rFonts w:ascii="Symbol" w:hAnsi="Symbol" w:cs="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cs="Wingdings" w:hint="default"/>
      </w:rPr>
    </w:lvl>
  </w:abstractNum>
  <w:abstractNum w:abstractNumId="5" w15:restartNumberingAfterBreak="0">
    <w:nsid w:val="51585B7C"/>
    <w:multiLevelType w:val="hybridMultilevel"/>
    <w:tmpl w:val="63589E1A"/>
    <w:lvl w:ilvl="0" w:tplc="DE26FB18">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6"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740258C"/>
    <w:multiLevelType w:val="hybridMultilevel"/>
    <w:tmpl w:val="431C06DA"/>
    <w:lvl w:ilvl="0" w:tplc="5DD07FDE">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2"/>
  </w:num>
  <w:num w:numId="2">
    <w:abstractNumId w:val="5"/>
  </w:num>
  <w:num w:numId="3">
    <w:abstractNumId w:val="7"/>
  </w:num>
  <w:num w:numId="4">
    <w:abstractNumId w:val="1"/>
  </w:num>
  <w:num w:numId="5">
    <w:abstractNumId w:val="5"/>
  </w:num>
  <w:num w:numId="6">
    <w:abstractNumId w:val="5"/>
  </w:num>
  <w:num w:numId="7">
    <w:abstractNumId w:val="0"/>
  </w:num>
  <w:num w:numId="8">
    <w:abstractNumId w:val="5"/>
  </w:num>
  <w:num w:numId="9">
    <w:abstractNumId w:val="5"/>
  </w:num>
  <w:num w:numId="10">
    <w:abstractNumId w:val="8"/>
  </w:num>
  <w:num w:numId="11">
    <w:abstractNumId w:val="6"/>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182D"/>
    <w:rsid w:val="000017AE"/>
    <w:rsid w:val="00010EAF"/>
    <w:rsid w:val="00013516"/>
    <w:rsid w:val="00020130"/>
    <w:rsid w:val="000262EB"/>
    <w:rsid w:val="000330A2"/>
    <w:rsid w:val="000338F0"/>
    <w:rsid w:val="000347C9"/>
    <w:rsid w:val="0004245F"/>
    <w:rsid w:val="00046FBE"/>
    <w:rsid w:val="000534B8"/>
    <w:rsid w:val="00053BCC"/>
    <w:rsid w:val="000618A7"/>
    <w:rsid w:val="00084F0B"/>
    <w:rsid w:val="00085C94"/>
    <w:rsid w:val="000937FA"/>
    <w:rsid w:val="000A080D"/>
    <w:rsid w:val="000A164B"/>
    <w:rsid w:val="000B5C1D"/>
    <w:rsid w:val="000B6AD2"/>
    <w:rsid w:val="000C5F40"/>
    <w:rsid w:val="000D2DCB"/>
    <w:rsid w:val="000E706C"/>
    <w:rsid w:val="000F2967"/>
    <w:rsid w:val="000F42D6"/>
    <w:rsid w:val="000F6965"/>
    <w:rsid w:val="00110B4B"/>
    <w:rsid w:val="00112F24"/>
    <w:rsid w:val="00126A5E"/>
    <w:rsid w:val="00144732"/>
    <w:rsid w:val="00154B1F"/>
    <w:rsid w:val="00162241"/>
    <w:rsid w:val="00172C07"/>
    <w:rsid w:val="001741D1"/>
    <w:rsid w:val="0017676C"/>
    <w:rsid w:val="00190CB7"/>
    <w:rsid w:val="001955D9"/>
    <w:rsid w:val="001965B4"/>
    <w:rsid w:val="001A1099"/>
    <w:rsid w:val="001A1B4C"/>
    <w:rsid w:val="001B0010"/>
    <w:rsid w:val="001B51B8"/>
    <w:rsid w:val="001B602D"/>
    <w:rsid w:val="001B71AD"/>
    <w:rsid w:val="001E21F9"/>
    <w:rsid w:val="001F2D5A"/>
    <w:rsid w:val="00202F4E"/>
    <w:rsid w:val="0020300A"/>
    <w:rsid w:val="00214CD0"/>
    <w:rsid w:val="002216AF"/>
    <w:rsid w:val="00227CF7"/>
    <w:rsid w:val="00233192"/>
    <w:rsid w:val="0023727F"/>
    <w:rsid w:val="0024028E"/>
    <w:rsid w:val="00245A84"/>
    <w:rsid w:val="00247C07"/>
    <w:rsid w:val="00255A49"/>
    <w:rsid w:val="0026293F"/>
    <w:rsid w:val="00283514"/>
    <w:rsid w:val="002860CD"/>
    <w:rsid w:val="00296EAD"/>
    <w:rsid w:val="002A0CEF"/>
    <w:rsid w:val="002A3476"/>
    <w:rsid w:val="002B69E7"/>
    <w:rsid w:val="002D31FB"/>
    <w:rsid w:val="002F2562"/>
    <w:rsid w:val="00303A5A"/>
    <w:rsid w:val="0031698C"/>
    <w:rsid w:val="0032549F"/>
    <w:rsid w:val="00333FD8"/>
    <w:rsid w:val="00352184"/>
    <w:rsid w:val="00354C24"/>
    <w:rsid w:val="003575BD"/>
    <w:rsid w:val="00362EAE"/>
    <w:rsid w:val="00377130"/>
    <w:rsid w:val="0038409C"/>
    <w:rsid w:val="00396C40"/>
    <w:rsid w:val="003A37F7"/>
    <w:rsid w:val="003C050D"/>
    <w:rsid w:val="003C32F5"/>
    <w:rsid w:val="003E3149"/>
    <w:rsid w:val="003E358D"/>
    <w:rsid w:val="003F121D"/>
    <w:rsid w:val="004010E5"/>
    <w:rsid w:val="00415AE5"/>
    <w:rsid w:val="00424E7F"/>
    <w:rsid w:val="00460BCC"/>
    <w:rsid w:val="00470AA9"/>
    <w:rsid w:val="00475F68"/>
    <w:rsid w:val="0049006B"/>
    <w:rsid w:val="004A4696"/>
    <w:rsid w:val="004B5DD8"/>
    <w:rsid w:val="004B7A20"/>
    <w:rsid w:val="004C1652"/>
    <w:rsid w:val="004C2D93"/>
    <w:rsid w:val="004C4547"/>
    <w:rsid w:val="004C4F0B"/>
    <w:rsid w:val="004C5573"/>
    <w:rsid w:val="004E2F46"/>
    <w:rsid w:val="004E32A8"/>
    <w:rsid w:val="004E687E"/>
    <w:rsid w:val="004E7D51"/>
    <w:rsid w:val="004F2E30"/>
    <w:rsid w:val="00503E91"/>
    <w:rsid w:val="00526886"/>
    <w:rsid w:val="00537BDB"/>
    <w:rsid w:val="00541533"/>
    <w:rsid w:val="00550D56"/>
    <w:rsid w:val="00560E74"/>
    <w:rsid w:val="005713EB"/>
    <w:rsid w:val="005716C1"/>
    <w:rsid w:val="00581FF1"/>
    <w:rsid w:val="0058296D"/>
    <w:rsid w:val="00592D51"/>
    <w:rsid w:val="00594615"/>
    <w:rsid w:val="005A1A1C"/>
    <w:rsid w:val="005C2E50"/>
    <w:rsid w:val="005C3889"/>
    <w:rsid w:val="005E4671"/>
    <w:rsid w:val="005E4CA5"/>
    <w:rsid w:val="00614661"/>
    <w:rsid w:val="0061483E"/>
    <w:rsid w:val="00617D74"/>
    <w:rsid w:val="00622471"/>
    <w:rsid w:val="00627A49"/>
    <w:rsid w:val="00627E70"/>
    <w:rsid w:val="006455D0"/>
    <w:rsid w:val="00646296"/>
    <w:rsid w:val="00651E90"/>
    <w:rsid w:val="00655B1E"/>
    <w:rsid w:val="00655CCE"/>
    <w:rsid w:val="00662142"/>
    <w:rsid w:val="0066642A"/>
    <w:rsid w:val="00681CCB"/>
    <w:rsid w:val="00683603"/>
    <w:rsid w:val="00684A8F"/>
    <w:rsid w:val="00685E85"/>
    <w:rsid w:val="006901BD"/>
    <w:rsid w:val="0069334C"/>
    <w:rsid w:val="006A1A21"/>
    <w:rsid w:val="006C0689"/>
    <w:rsid w:val="006C08C3"/>
    <w:rsid w:val="006C3A42"/>
    <w:rsid w:val="006C774F"/>
    <w:rsid w:val="006C7764"/>
    <w:rsid w:val="006D234F"/>
    <w:rsid w:val="00714ECB"/>
    <w:rsid w:val="007204E3"/>
    <w:rsid w:val="00734E55"/>
    <w:rsid w:val="00743289"/>
    <w:rsid w:val="0074542C"/>
    <w:rsid w:val="00752F95"/>
    <w:rsid w:val="00761749"/>
    <w:rsid w:val="00775EDE"/>
    <w:rsid w:val="007800BF"/>
    <w:rsid w:val="00781CF5"/>
    <w:rsid w:val="00783042"/>
    <w:rsid w:val="00784CDD"/>
    <w:rsid w:val="007B4D14"/>
    <w:rsid w:val="007B52DD"/>
    <w:rsid w:val="007D2D5D"/>
    <w:rsid w:val="007D336C"/>
    <w:rsid w:val="007F68FC"/>
    <w:rsid w:val="008005FE"/>
    <w:rsid w:val="008067EC"/>
    <w:rsid w:val="00816460"/>
    <w:rsid w:val="0083037B"/>
    <w:rsid w:val="0083366C"/>
    <w:rsid w:val="00837931"/>
    <w:rsid w:val="008469DE"/>
    <w:rsid w:val="008506D5"/>
    <w:rsid w:val="00855131"/>
    <w:rsid w:val="00892554"/>
    <w:rsid w:val="00892B00"/>
    <w:rsid w:val="008B45A3"/>
    <w:rsid w:val="008B699B"/>
    <w:rsid w:val="008C53DF"/>
    <w:rsid w:val="008C55F1"/>
    <w:rsid w:val="008E22D4"/>
    <w:rsid w:val="008E6FB9"/>
    <w:rsid w:val="008F0189"/>
    <w:rsid w:val="008F24DC"/>
    <w:rsid w:val="009025F0"/>
    <w:rsid w:val="0091529A"/>
    <w:rsid w:val="00930EC1"/>
    <w:rsid w:val="009361F4"/>
    <w:rsid w:val="00941D9F"/>
    <w:rsid w:val="009427B4"/>
    <w:rsid w:val="0094551C"/>
    <w:rsid w:val="00953DC1"/>
    <w:rsid w:val="00962F90"/>
    <w:rsid w:val="00964965"/>
    <w:rsid w:val="00981E38"/>
    <w:rsid w:val="00986286"/>
    <w:rsid w:val="009A5131"/>
    <w:rsid w:val="009D2899"/>
    <w:rsid w:val="009D58A1"/>
    <w:rsid w:val="009F0E35"/>
    <w:rsid w:val="00A03292"/>
    <w:rsid w:val="00A1258A"/>
    <w:rsid w:val="00A35513"/>
    <w:rsid w:val="00A52723"/>
    <w:rsid w:val="00A62925"/>
    <w:rsid w:val="00A67362"/>
    <w:rsid w:val="00A77549"/>
    <w:rsid w:val="00A802F2"/>
    <w:rsid w:val="00A84F1E"/>
    <w:rsid w:val="00A87B64"/>
    <w:rsid w:val="00A87CC4"/>
    <w:rsid w:val="00A9220E"/>
    <w:rsid w:val="00AA5CBF"/>
    <w:rsid w:val="00AB255A"/>
    <w:rsid w:val="00AB4010"/>
    <w:rsid w:val="00AB4B81"/>
    <w:rsid w:val="00AB57E9"/>
    <w:rsid w:val="00AE657E"/>
    <w:rsid w:val="00AF18A2"/>
    <w:rsid w:val="00AF2C79"/>
    <w:rsid w:val="00AF4A1E"/>
    <w:rsid w:val="00AF56A8"/>
    <w:rsid w:val="00B126FA"/>
    <w:rsid w:val="00B21D1C"/>
    <w:rsid w:val="00B35EFB"/>
    <w:rsid w:val="00B57815"/>
    <w:rsid w:val="00B73A35"/>
    <w:rsid w:val="00B742E6"/>
    <w:rsid w:val="00B87D33"/>
    <w:rsid w:val="00B94E15"/>
    <w:rsid w:val="00B9770C"/>
    <w:rsid w:val="00BA3C32"/>
    <w:rsid w:val="00BB0781"/>
    <w:rsid w:val="00BB182D"/>
    <w:rsid w:val="00BD2F15"/>
    <w:rsid w:val="00BE6E05"/>
    <w:rsid w:val="00BF2B09"/>
    <w:rsid w:val="00BF71C7"/>
    <w:rsid w:val="00C1076A"/>
    <w:rsid w:val="00C24B3F"/>
    <w:rsid w:val="00C4742F"/>
    <w:rsid w:val="00C523EA"/>
    <w:rsid w:val="00C622D7"/>
    <w:rsid w:val="00C66381"/>
    <w:rsid w:val="00C728E0"/>
    <w:rsid w:val="00C7477C"/>
    <w:rsid w:val="00C8086F"/>
    <w:rsid w:val="00CA6931"/>
    <w:rsid w:val="00CB5C65"/>
    <w:rsid w:val="00CB5D24"/>
    <w:rsid w:val="00CC0991"/>
    <w:rsid w:val="00CC3F40"/>
    <w:rsid w:val="00CE277D"/>
    <w:rsid w:val="00CE5ADD"/>
    <w:rsid w:val="00CF0B90"/>
    <w:rsid w:val="00CF36D3"/>
    <w:rsid w:val="00D00DA4"/>
    <w:rsid w:val="00D07616"/>
    <w:rsid w:val="00D2211A"/>
    <w:rsid w:val="00D57D70"/>
    <w:rsid w:val="00D8328F"/>
    <w:rsid w:val="00D96261"/>
    <w:rsid w:val="00DA5A92"/>
    <w:rsid w:val="00DC622A"/>
    <w:rsid w:val="00DD35DF"/>
    <w:rsid w:val="00DE0CB2"/>
    <w:rsid w:val="00DE5B7D"/>
    <w:rsid w:val="00DF60EB"/>
    <w:rsid w:val="00E00AB2"/>
    <w:rsid w:val="00E057A4"/>
    <w:rsid w:val="00E076C3"/>
    <w:rsid w:val="00E3196B"/>
    <w:rsid w:val="00E43AE6"/>
    <w:rsid w:val="00E4638D"/>
    <w:rsid w:val="00E97421"/>
    <w:rsid w:val="00EB0E24"/>
    <w:rsid w:val="00EC1164"/>
    <w:rsid w:val="00ED27D6"/>
    <w:rsid w:val="00ED4CB7"/>
    <w:rsid w:val="00ED76A0"/>
    <w:rsid w:val="00F16E81"/>
    <w:rsid w:val="00F23284"/>
    <w:rsid w:val="00F260E9"/>
    <w:rsid w:val="00F34FBD"/>
    <w:rsid w:val="00F423A1"/>
    <w:rsid w:val="00F5126A"/>
    <w:rsid w:val="00F54ECC"/>
    <w:rsid w:val="00F6649C"/>
    <w:rsid w:val="00F67223"/>
    <w:rsid w:val="00FA3135"/>
    <w:rsid w:val="00FB70A6"/>
    <w:rsid w:val="00FC3525"/>
    <w:rsid w:val="00FC4F80"/>
    <w:rsid w:val="00FF44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Calibri"/>
      <w:sz w:val="24"/>
      <w:szCs w:val="24"/>
      <w:lang w:eastAsia="en-US"/>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eastAsia="Calibri" w:hAnsi="Calibri Light" w:cs="Calibri Light"/>
      <w:b/>
      <w:bCs/>
      <w:color w:val="0070C0"/>
      <w:sz w:val="32"/>
      <w:szCs w:val="32"/>
      <w:lang w:val="en-US"/>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eastAsia="Calibri" w:hAnsi="Arial Black" w:cs="Arial Black"/>
      <w:b/>
      <w:bCs/>
      <w:sz w:val="32"/>
      <w:szCs w:val="32"/>
      <w:lang w:eastAsia="de-DE"/>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eastAsia="Calibri" w:hAnsi="Arial" w:cs="Arial"/>
      <w:b/>
      <w:bCs/>
      <w:sz w:val="28"/>
      <w:szCs w:val="28"/>
      <w:lang w:eastAsia="de-DE"/>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eastAsia="Calibri" w:hAnsi="Arial" w:cs="Arial"/>
      <w:b/>
      <w:bCs/>
      <w:lang w:eastAsia="de-DE"/>
    </w:rPr>
  </w:style>
  <w:style w:type="paragraph" w:styleId="Titre5">
    <w:name w:val="heading 5"/>
    <w:basedOn w:val="Normal"/>
    <w:next w:val="Normal"/>
    <w:link w:val="Titre5Car"/>
    <w:uiPriority w:val="99"/>
    <w:qFormat/>
    <w:rsid w:val="00BB182D"/>
    <w:pPr>
      <w:keepNext/>
      <w:outlineLvl w:val="4"/>
    </w:pPr>
    <w:rPr>
      <w:rFonts w:eastAsia="Calibri"/>
      <w:i/>
      <w:iCs/>
      <w:lang w:eastAsia="fr-FR"/>
    </w:rPr>
  </w:style>
  <w:style w:type="paragraph" w:styleId="Titre6">
    <w:name w:val="heading 6"/>
    <w:basedOn w:val="Normal"/>
    <w:next w:val="Normal"/>
    <w:link w:val="Titre6Car"/>
    <w:uiPriority w:val="99"/>
    <w:qFormat/>
    <w:rsid w:val="00BB182D"/>
    <w:pPr>
      <w:spacing w:before="240" w:after="240"/>
      <w:ind w:left="284"/>
      <w:outlineLvl w:val="5"/>
    </w:pPr>
    <w:rPr>
      <w:rFonts w:ascii="Arial" w:eastAsia="Calibri" w:hAnsi="Arial" w:cs="Arial"/>
      <w:i/>
      <w:iCs/>
      <w:sz w:val="20"/>
      <w:szCs w:val="20"/>
      <w:lang w:eastAsia="de-DE"/>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eastAsia="Calibri"/>
      <w:i/>
      <w:iCs/>
      <w:lang w:eastAsia="fr-FR"/>
    </w:rPr>
  </w:style>
  <w:style w:type="paragraph" w:styleId="Titre8">
    <w:name w:val="heading 8"/>
    <w:basedOn w:val="Normal"/>
    <w:next w:val="Normal"/>
    <w:link w:val="Titre8Car"/>
    <w:uiPriority w:val="99"/>
    <w:qFormat/>
    <w:rsid w:val="00BB182D"/>
    <w:pPr>
      <w:keepNext/>
      <w:spacing w:line="360" w:lineRule="auto"/>
      <w:outlineLvl w:val="7"/>
    </w:pPr>
    <w:rPr>
      <w:rFonts w:eastAsia="Calibri"/>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hAnsi="Calibri Light" w:cs="Calibri Light"/>
      <w:b/>
      <w:bCs/>
      <w:color w:val="0070C0"/>
      <w:sz w:val="32"/>
      <w:szCs w:val="32"/>
      <w:lang w:val="en-US" w:eastAsia="en-US"/>
    </w:rPr>
  </w:style>
  <w:style w:type="character" w:customStyle="1" w:styleId="Titre2Car">
    <w:name w:val="Titre 2 Car"/>
    <w:link w:val="Titre2"/>
    <w:uiPriority w:val="99"/>
    <w:rsid w:val="00BB182D"/>
    <w:rPr>
      <w:rFonts w:ascii="Arial Black" w:hAnsi="Arial Black" w:cs="Arial Black"/>
      <w:b/>
      <w:bCs/>
      <w:sz w:val="32"/>
      <w:szCs w:val="32"/>
      <w:lang w:eastAsia="de-DE"/>
    </w:rPr>
  </w:style>
  <w:style w:type="character" w:customStyle="1" w:styleId="Titre3Car">
    <w:name w:val="Titre 3 Car"/>
    <w:link w:val="Titre3"/>
    <w:uiPriority w:val="99"/>
    <w:rsid w:val="00BB182D"/>
    <w:rPr>
      <w:rFonts w:ascii="Arial" w:hAnsi="Arial" w:cs="Arial"/>
      <w:b/>
      <w:bCs/>
      <w:sz w:val="28"/>
      <w:szCs w:val="28"/>
      <w:lang w:eastAsia="de-DE"/>
    </w:rPr>
  </w:style>
  <w:style w:type="character" w:customStyle="1" w:styleId="Titre4Car">
    <w:name w:val="Titre 4 Car"/>
    <w:link w:val="Titre4"/>
    <w:uiPriority w:val="99"/>
    <w:rsid w:val="00BB182D"/>
    <w:rPr>
      <w:rFonts w:ascii="Arial" w:hAnsi="Arial" w:cs="Arial"/>
      <w:b/>
      <w:bCs/>
      <w:sz w:val="24"/>
      <w:szCs w:val="24"/>
      <w:lang w:eastAsia="de-DE"/>
    </w:rPr>
  </w:style>
  <w:style w:type="character" w:customStyle="1" w:styleId="Titre5Car">
    <w:name w:val="Titre 5 Car"/>
    <w:link w:val="Titre5"/>
    <w:uiPriority w:val="99"/>
    <w:rsid w:val="00BB182D"/>
    <w:rPr>
      <w:rFonts w:ascii="Times New Roman" w:hAnsi="Times New Roman" w:cs="Times New Roman"/>
      <w:i/>
      <w:iCs/>
      <w:sz w:val="24"/>
      <w:szCs w:val="24"/>
      <w:lang w:eastAsia="fr-FR"/>
    </w:rPr>
  </w:style>
  <w:style w:type="character" w:customStyle="1" w:styleId="Titre6Car">
    <w:name w:val="Titre 6 Car"/>
    <w:link w:val="Titre6"/>
    <w:uiPriority w:val="99"/>
    <w:rsid w:val="00BB182D"/>
    <w:rPr>
      <w:rFonts w:ascii="Arial" w:hAnsi="Arial" w:cs="Arial"/>
      <w:i/>
      <w:iCs/>
      <w:sz w:val="20"/>
      <w:szCs w:val="20"/>
      <w:lang w:eastAsia="de-DE"/>
    </w:rPr>
  </w:style>
  <w:style w:type="character" w:customStyle="1" w:styleId="Titre7Car">
    <w:name w:val="Titre 7 Car"/>
    <w:link w:val="Titre7"/>
    <w:uiPriority w:val="99"/>
    <w:rsid w:val="00BB182D"/>
    <w:rPr>
      <w:rFonts w:ascii="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hAnsi="Times New Roman" w:cs="Times New Roman"/>
      <w:b/>
      <w:bCs/>
      <w:sz w:val="24"/>
      <w:szCs w:val="24"/>
      <w:lang w:eastAsia="fr-FR"/>
    </w:rPr>
  </w:style>
  <w:style w:type="paragraph" w:styleId="Pieddepage">
    <w:name w:val="footer"/>
    <w:basedOn w:val="Normal"/>
    <w:link w:val="PieddepageCar"/>
    <w:uiPriority w:val="99"/>
    <w:rsid w:val="00BB182D"/>
    <w:pPr>
      <w:tabs>
        <w:tab w:val="center" w:pos="4536"/>
        <w:tab w:val="right" w:pos="9072"/>
      </w:tabs>
    </w:pPr>
    <w:rPr>
      <w:rFonts w:eastAsia="Calibri"/>
      <w:lang w:eastAsia="fr-FR"/>
    </w:rPr>
  </w:style>
  <w:style w:type="character" w:customStyle="1" w:styleId="PieddepageCar">
    <w:name w:val="Pied de page Car"/>
    <w:link w:val="Pieddepage"/>
    <w:uiPriority w:val="99"/>
    <w:rsid w:val="00BB182D"/>
    <w:rPr>
      <w:rFonts w:ascii="Calibri" w:hAnsi="Calibri" w:cs="Calibri"/>
      <w:sz w:val="24"/>
      <w:szCs w:val="24"/>
    </w:rPr>
  </w:style>
  <w:style w:type="character" w:styleId="Lienhypertexte">
    <w:name w:val="Hyperlink"/>
    <w:uiPriority w:val="99"/>
    <w:rsid w:val="00BB182D"/>
    <w:rPr>
      <w:color w:val="0000FF"/>
      <w:u w:val="single"/>
    </w:rPr>
  </w:style>
  <w:style w:type="paragraph" w:styleId="Explorateurdedocuments">
    <w:name w:val="Document Map"/>
    <w:basedOn w:val="Normal"/>
    <w:link w:val="ExplorateurdedocumentsCar"/>
    <w:uiPriority w:val="99"/>
    <w:semiHidden/>
    <w:rsid w:val="00BB182D"/>
    <w:pPr>
      <w:shd w:val="clear" w:color="auto" w:fill="000080"/>
    </w:pPr>
    <w:rPr>
      <w:rFonts w:ascii="Tahoma" w:eastAsia="Calibri" w:hAnsi="Tahoma" w:cs="Tahoma"/>
      <w:lang w:eastAsia="fr-FR"/>
    </w:rPr>
  </w:style>
  <w:style w:type="character" w:customStyle="1" w:styleId="ExplorateurdedocumentsCar">
    <w:name w:val="Explorateur de documents Car"/>
    <w:link w:val="Explorateurdedocuments"/>
    <w:uiPriority w:val="99"/>
    <w:rsid w:val="00BB182D"/>
    <w:rPr>
      <w:rFonts w:ascii="Tahoma"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OLKITTable">
    <w:name w:val="TOOLKIT_Table"/>
    <w:uiPriority w:val="99"/>
    <w:rsid w:val="00BB182D"/>
    <w:rPr>
      <w:rFonts w:cs="Calibri"/>
      <w:sz w:val="24"/>
      <w:szCs w:val="24"/>
    </w:rPr>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table" w:customStyle="1" w:styleId="TableToolkit">
    <w:name w:val="Table_Toolkit"/>
    <w:basedOn w:val="TOOLKITTable"/>
    <w:uiPriority w:val="99"/>
    <w:rsid w:val="00F260E9"/>
    <w:tblPr/>
  </w:style>
  <w:style w:type="paragraph" w:customStyle="1" w:styleId="TKTextetableau">
    <w:name w:val="TK Texte tableau"/>
    <w:uiPriority w:val="99"/>
    <w:rsid w:val="00D00DA4"/>
    <w:pPr>
      <w:framePr w:hSpace="141" w:wrap="around" w:vAnchor="text" w:hAnchor="text" w:y="1"/>
    </w:pPr>
    <w:rPr>
      <w:rFonts w:eastAsia="Times New Roman" w:cs="Calibri"/>
      <w:sz w:val="22"/>
      <w:szCs w:val="22"/>
      <w:lang w:val="en-GB" w:eastAsia="en-US"/>
    </w:rPr>
  </w:style>
  <w:style w:type="paragraph" w:customStyle="1" w:styleId="TKAIM">
    <w:name w:val="TK AIM"/>
    <w:uiPriority w:val="99"/>
    <w:rsid w:val="00AB57E9"/>
    <w:pPr>
      <w:shd w:val="clear" w:color="auto" w:fill="DDDDDD"/>
      <w:tabs>
        <w:tab w:val="left" w:pos="709"/>
      </w:tabs>
      <w:spacing w:before="480" w:after="480"/>
      <w:ind w:left="709" w:hanging="709"/>
    </w:pPr>
    <w:rPr>
      <w:rFonts w:cs="Calibri"/>
      <w:b/>
      <w:bCs/>
      <w:sz w:val="28"/>
      <w:szCs w:val="28"/>
      <w:lang w:val="en-GB" w:eastAsia="en-US"/>
    </w:rPr>
  </w:style>
  <w:style w:type="paragraph" w:styleId="Textebrut">
    <w:name w:val="Plain Text"/>
    <w:basedOn w:val="Normal"/>
    <w:link w:val="TextebrutCar"/>
    <w:uiPriority w:val="99"/>
    <w:semiHidden/>
    <w:rsid w:val="00526886"/>
    <w:rPr>
      <w:rFonts w:ascii="Consolas" w:eastAsia="Calibri" w:hAnsi="Consolas" w:cs="Consolas"/>
      <w:sz w:val="21"/>
      <w:szCs w:val="21"/>
      <w:lang w:eastAsia="fr-FR"/>
    </w:rPr>
  </w:style>
  <w:style w:type="character" w:customStyle="1" w:styleId="TextebrutCar">
    <w:name w:val="Texte brut Car"/>
    <w:link w:val="Textebrut"/>
    <w:uiPriority w:val="99"/>
    <w:semiHidden/>
    <w:rsid w:val="00526886"/>
    <w:rPr>
      <w:rFonts w:ascii="Consolas" w:hAnsi="Consolas" w:cs="Consolas"/>
      <w:sz w:val="21"/>
      <w:szCs w:val="21"/>
    </w:rPr>
  </w:style>
  <w:style w:type="paragraph" w:customStyle="1" w:styleId="TKMAINTITLE">
    <w:name w:val="TK MAIN TITLE"/>
    <w:basedOn w:val="Normal"/>
    <w:uiPriority w:val="99"/>
    <w:rsid w:val="00AB57E9"/>
    <w:pPr>
      <w:spacing w:before="120" w:after="120"/>
      <w:jc w:val="center"/>
    </w:pPr>
    <w:rPr>
      <w:rFonts w:eastAsia="Calibri"/>
      <w:b/>
      <w:bCs/>
      <w:color w:val="2F5496"/>
      <w:sz w:val="40"/>
      <w:szCs w:val="40"/>
      <w:lang w:val="en-GB"/>
    </w:rPr>
  </w:style>
  <w:style w:type="paragraph" w:customStyle="1" w:styleId="TKSS-TITRE21">
    <w:name w:val="TK SS-TITRE 2.1"/>
    <w:basedOn w:val="Normal"/>
    <w:autoRedefine/>
    <w:uiPriority w:val="99"/>
    <w:rsid w:val="00AB57E9"/>
    <w:pPr>
      <w:spacing w:before="160" w:after="160"/>
    </w:pPr>
    <w:rPr>
      <w:b/>
      <w:bCs/>
      <w:sz w:val="26"/>
      <w:szCs w:val="26"/>
      <w:lang w:val="en-US"/>
    </w:rPr>
  </w:style>
  <w:style w:type="paragraph" w:customStyle="1" w:styleId="TKTEXTE">
    <w:name w:val="TK TEXTE"/>
    <w:autoRedefine/>
    <w:uiPriority w:val="99"/>
    <w:rsid w:val="000B5C1D"/>
    <w:pPr>
      <w:spacing w:before="120" w:after="120"/>
    </w:pPr>
    <w:rPr>
      <w:rFonts w:eastAsia="Times New Roman" w:cs="Calibri"/>
      <w:sz w:val="24"/>
      <w:szCs w:val="24"/>
      <w:lang w:val="en-GB" w:eastAsia="en-US"/>
    </w:rPr>
  </w:style>
  <w:style w:type="paragraph" w:styleId="Textedebulles">
    <w:name w:val="Balloon Text"/>
    <w:basedOn w:val="Normal"/>
    <w:link w:val="TextedebullesCar"/>
    <w:uiPriority w:val="99"/>
    <w:semiHidden/>
    <w:rsid w:val="003E358D"/>
    <w:rPr>
      <w:rFonts w:ascii="Tahoma" w:eastAsia="Calibri" w:hAnsi="Tahoma" w:cs="Tahoma"/>
      <w:sz w:val="16"/>
      <w:szCs w:val="16"/>
      <w:lang w:eastAsia="fr-FR"/>
    </w:rPr>
  </w:style>
  <w:style w:type="character" w:customStyle="1" w:styleId="TextedebullesCar">
    <w:name w:val="Texte de bulles Car"/>
    <w:link w:val="Textedebulles"/>
    <w:uiPriority w:val="99"/>
    <w:semiHidden/>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rFonts w:eastAsia="Calibri"/>
      <w:sz w:val="20"/>
      <w:szCs w:val="20"/>
      <w:lang w:eastAsia="fr-FR"/>
    </w:rPr>
  </w:style>
  <w:style w:type="character" w:customStyle="1" w:styleId="En-tteCar">
    <w:name w:val="En-tête Car"/>
    <w:link w:val="En-tte"/>
    <w:uiPriority w:val="99"/>
    <w:rsid w:val="00FB70A6"/>
    <w:rPr>
      <w:rFonts w:ascii="Calibri" w:hAnsi="Calibri" w:cs="Calibri"/>
    </w:rPr>
  </w:style>
  <w:style w:type="character" w:styleId="Lienhypertextesuivivisit">
    <w:name w:val="FollowedHyperlink"/>
    <w:uiPriority w:val="99"/>
    <w:semiHidden/>
    <w:rsid w:val="009025F0"/>
    <w:rPr>
      <w:color w:val="954F72"/>
      <w:u w:val="single"/>
    </w:rPr>
  </w:style>
  <w:style w:type="paragraph" w:styleId="Paragraphedeliste">
    <w:name w:val="List Paragraph"/>
    <w:basedOn w:val="Normal"/>
    <w:uiPriority w:val="99"/>
    <w:qFormat/>
    <w:rsid w:val="000330A2"/>
    <w:pPr>
      <w:spacing w:after="200" w:line="288" w:lineRule="auto"/>
      <w:ind w:left="720"/>
      <w:contextualSpacing/>
    </w:pPr>
    <w:rPr>
      <w:rFonts w:eastAsia="Calibri"/>
      <w:lang w:val="en-GB"/>
    </w:rPr>
  </w:style>
  <w:style w:type="paragraph" w:customStyle="1" w:styleId="TKBulletLevel1">
    <w:name w:val="TK Bullet Level1"/>
    <w:next w:val="Normal"/>
    <w:uiPriority w:val="99"/>
    <w:rsid w:val="00AB57E9"/>
    <w:pPr>
      <w:numPr>
        <w:numId w:val="9"/>
      </w:numPr>
      <w:tabs>
        <w:tab w:val="left" w:pos="567"/>
      </w:tabs>
      <w:spacing w:before="60" w:after="60"/>
    </w:pPr>
    <w:rPr>
      <w:rFonts w:cs="Calibri"/>
      <w:sz w:val="24"/>
      <w:szCs w:val="24"/>
      <w:lang w:val="en-US" w:eastAsia="en-US"/>
    </w:rPr>
  </w:style>
  <w:style w:type="paragraph" w:customStyle="1" w:styleId="TKBulletLevel2">
    <w:name w:val="TK Bullet Level2"/>
    <w:basedOn w:val="TKBulletLevel1"/>
    <w:uiPriority w:val="99"/>
    <w:rsid w:val="00AB57E9"/>
    <w:pPr>
      <w:ind w:left="1135"/>
    </w:pPr>
  </w:style>
  <w:style w:type="paragraph" w:customStyle="1" w:styleId="TKNbrsLevel2">
    <w:name w:val="TK Nbrs Level2"/>
    <w:uiPriority w:val="99"/>
    <w:rsid w:val="00AB57E9"/>
    <w:pPr>
      <w:spacing w:before="60" w:after="60"/>
      <w:ind w:left="1208" w:hanging="357"/>
    </w:pPr>
    <w:rPr>
      <w:rFonts w:cs="Calibri"/>
      <w:sz w:val="24"/>
      <w:szCs w:val="24"/>
      <w:lang w:val="en-US" w:eastAsia="en-US"/>
    </w:rPr>
  </w:style>
  <w:style w:type="paragraph" w:customStyle="1" w:styleId="TKTITRE2">
    <w:name w:val="TK TITRE 2"/>
    <w:next w:val="Normal"/>
    <w:uiPriority w:val="99"/>
    <w:rsid w:val="00AB57E9"/>
    <w:pPr>
      <w:spacing w:before="120" w:after="120"/>
    </w:pPr>
    <w:rPr>
      <w:rFonts w:eastAsia="Times New Roman" w:cs="Calibri"/>
      <w:b/>
      <w:bCs/>
      <w:sz w:val="28"/>
      <w:szCs w:val="28"/>
      <w:lang w:val="en-US" w:eastAsia="en-US"/>
    </w:rPr>
  </w:style>
  <w:style w:type="paragraph" w:customStyle="1" w:styleId="TKTITRE3">
    <w:name w:val="TK TITRE 3"/>
    <w:uiPriority w:val="99"/>
    <w:rsid w:val="00AB57E9"/>
    <w:pPr>
      <w:spacing w:before="120" w:after="120"/>
    </w:pPr>
    <w:rPr>
      <w:rFonts w:cs="Calibri"/>
      <w:i/>
      <w:iCs/>
      <w:noProof/>
      <w:sz w:val="24"/>
      <w:szCs w:val="24"/>
      <w:u w:val="single"/>
      <w:lang w:val="en-US" w:eastAsia="en-US"/>
    </w:rPr>
  </w:style>
  <w:style w:type="paragraph" w:customStyle="1" w:styleId="TKTITRE1">
    <w:name w:val="TK TITRE1"/>
    <w:uiPriority w:val="99"/>
    <w:rsid w:val="00AB57E9"/>
    <w:pPr>
      <w:spacing w:before="120" w:after="120"/>
    </w:pPr>
    <w:rPr>
      <w:rFonts w:eastAsia="Times New Roman" w:cs="Calibri"/>
      <w:b/>
      <w:bCs/>
      <w:sz w:val="32"/>
      <w:szCs w:val="32"/>
      <w:lang w:val="en-US" w:eastAsia="en-US"/>
    </w:rPr>
  </w:style>
  <w:style w:type="paragraph" w:customStyle="1" w:styleId="TKNbrsLevel1">
    <w:name w:val="TK_Nbrs Level1"/>
    <w:uiPriority w:val="99"/>
    <w:rsid w:val="00AB57E9"/>
    <w:pPr>
      <w:numPr>
        <w:numId w:val="11"/>
      </w:numPr>
      <w:spacing w:before="60" w:after="60"/>
    </w:pPr>
    <w:rPr>
      <w:rFonts w:eastAsia="Times New Roman" w:cs="Calibri"/>
      <w:sz w:val="24"/>
      <w:szCs w:val="24"/>
      <w:lang w:eastAsia="en-US"/>
    </w:rPr>
  </w:style>
  <w:style w:type="paragraph" w:customStyle="1" w:styleId="TKnotes">
    <w:name w:val="TK_notes"/>
    <w:uiPriority w:val="99"/>
    <w:rsid w:val="00AB57E9"/>
    <w:pPr>
      <w:spacing w:before="120" w:after="120"/>
    </w:pPr>
    <w:rPr>
      <w:rFonts w:eastAsia="Times New Roman" w:cs="Calibri"/>
      <w:lang w:val="en-GB" w:eastAsia="en-US"/>
    </w:rPr>
  </w:style>
  <w:style w:type="character" w:styleId="Marquedecommentaire">
    <w:name w:val="annotation reference"/>
    <w:uiPriority w:val="99"/>
    <w:semiHidden/>
    <w:rsid w:val="00C728E0"/>
    <w:rPr>
      <w:sz w:val="18"/>
      <w:szCs w:val="18"/>
    </w:rPr>
  </w:style>
  <w:style w:type="paragraph" w:styleId="Commentaire">
    <w:name w:val="annotation text"/>
    <w:basedOn w:val="Normal"/>
    <w:link w:val="CommentaireCar"/>
    <w:uiPriority w:val="99"/>
    <w:semiHidden/>
    <w:rsid w:val="00C728E0"/>
    <w:rPr>
      <w:rFonts w:eastAsia="Calibri"/>
      <w:lang w:eastAsia="fr-FR"/>
    </w:rPr>
  </w:style>
  <w:style w:type="character" w:customStyle="1" w:styleId="CommentaireCar">
    <w:name w:val="Commentaire Car"/>
    <w:link w:val="Commentaire"/>
    <w:uiPriority w:val="99"/>
    <w:semiHidden/>
    <w:rsid w:val="00C728E0"/>
    <w:rPr>
      <w:rFonts w:ascii="Calibri" w:hAnsi="Calibri" w:cs="Calibri"/>
      <w:sz w:val="24"/>
      <w:szCs w:val="24"/>
    </w:rPr>
  </w:style>
  <w:style w:type="paragraph" w:styleId="Objetducommentaire">
    <w:name w:val="annotation subject"/>
    <w:basedOn w:val="Commentaire"/>
    <w:next w:val="Commentaire"/>
    <w:link w:val="ObjetducommentaireCar"/>
    <w:uiPriority w:val="99"/>
    <w:semiHidden/>
    <w:rsid w:val="00C728E0"/>
    <w:rPr>
      <w:b/>
      <w:bCs/>
      <w:sz w:val="20"/>
      <w:szCs w:val="20"/>
    </w:rPr>
  </w:style>
  <w:style w:type="character" w:customStyle="1" w:styleId="ObjetducommentaireCar">
    <w:name w:val="Objet du commentaire Car"/>
    <w:link w:val="Objetducommentaire"/>
    <w:uiPriority w:val="99"/>
    <w:semiHidden/>
    <w:rsid w:val="00C728E0"/>
    <w:rPr>
      <w:rFonts w:ascii="Calibri" w:hAnsi="Calibri" w:cs="Calibri"/>
      <w:b/>
      <w:bCs/>
      <w:sz w:val="20"/>
      <w:szCs w:val="20"/>
    </w:rPr>
  </w:style>
  <w:style w:type="character" w:customStyle="1" w:styleId="Mentionnonrsolue1">
    <w:name w:val="Mention non résolue1"/>
    <w:uiPriority w:val="99"/>
    <w:semiHidden/>
    <w:unhideWhenUsed/>
    <w:rsid w:val="00752F95"/>
    <w:rPr>
      <w:color w:val="808080"/>
      <w:shd w:val="clear" w:color="auto" w:fill="E6E6E6"/>
    </w:rPr>
  </w:style>
  <w:style w:type="character" w:styleId="Mentionnonrsolue">
    <w:name w:val="Unresolved Mention"/>
    <w:uiPriority w:val="99"/>
    <w:semiHidden/>
    <w:unhideWhenUsed/>
    <w:rsid w:val="008C55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doc-57-pratiquer-la-langue-dans-le-monde-reel-accompagnement-linguisti/168075aae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m.coe.int/doc-19-apprendre-a-se-connaitre-et-batir-des-relations-de-confiance-da/168075aab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e.int/fr/web/lang-migran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rm.coe.int/doc-11-les-refugies-comme-utilisateurs-et-apprenants-de-langues-accomp/168075aaa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e.int/fr/web/language-support-for-adult-refugees/web-directori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1194</Words>
  <Characters>6571</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9 - Thinking about language learning and providing language support</vt:lpstr>
      <vt:lpstr>9 - Thinking about language learning and providing language support</vt:lpstr>
    </vt:vector>
  </TitlesOfParts>
  <Company>Council of Europe</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 Thinking about language learning and providing language support</dc:title>
  <dc:subject/>
  <dc:creator>Carole</dc:creator>
  <cp:keywords/>
  <dc:description/>
  <cp:lastModifiedBy>Carole</cp:lastModifiedBy>
  <cp:revision>8</cp:revision>
  <cp:lastPrinted>2017-06-23T05:55:00Z</cp:lastPrinted>
  <dcterms:created xsi:type="dcterms:W3CDTF">2017-07-03T17:17:00Z</dcterms:created>
  <dcterms:modified xsi:type="dcterms:W3CDTF">2017-11-07T08:49:00Z</dcterms:modified>
</cp:coreProperties>
</file>