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24B" w:rsidRPr="00C560E0" w:rsidRDefault="009A024B" w:rsidP="00B86735">
      <w:pPr>
        <w:pStyle w:val="TKMAINTITLE"/>
        <w:rPr>
          <w:lang w:val="fr-FR"/>
        </w:rPr>
      </w:pPr>
      <w:r w:rsidRPr="00C3022D">
        <w:rPr>
          <w:lang w:val="fr-FR"/>
        </w:rPr>
        <w:t xml:space="preserve">2 - </w:t>
      </w:r>
      <w:r w:rsidRPr="00C560E0">
        <w:rPr>
          <w:lang w:val="fr-FR"/>
        </w:rPr>
        <w:t xml:space="preserve">Les droits et le statut juridique des réfugiés </w:t>
      </w:r>
      <w:r w:rsidRPr="00C560E0">
        <w:rPr>
          <w:lang w:val="fr-FR"/>
        </w:rPr>
        <w:br/>
        <w:t>Généralités et définitions</w:t>
      </w:r>
    </w:p>
    <w:p w:rsidR="009A024B" w:rsidRPr="00C560E0" w:rsidRDefault="009A024B" w:rsidP="008264FC">
      <w:pPr>
        <w:pStyle w:val="TKAIM"/>
        <w:tabs>
          <w:tab w:val="clear" w:pos="709"/>
          <w:tab w:val="left" w:pos="1276"/>
        </w:tabs>
        <w:ind w:left="1276" w:hanging="1276"/>
        <w:rPr>
          <w:lang w:val="fr-FR"/>
        </w:rPr>
      </w:pPr>
      <w:r w:rsidRPr="00C560E0">
        <w:rPr>
          <w:lang w:val="fr-FR"/>
        </w:rPr>
        <w:t xml:space="preserve">Objectif : </w:t>
      </w:r>
      <w:r w:rsidR="008264FC">
        <w:rPr>
          <w:lang w:val="fr-FR"/>
        </w:rPr>
        <w:tab/>
      </w:r>
      <w:r w:rsidRPr="00C560E0">
        <w:rPr>
          <w:lang w:val="fr-FR"/>
        </w:rPr>
        <w:t xml:space="preserve">Donner des informations générales sur les droits et </w:t>
      </w:r>
      <w:r>
        <w:rPr>
          <w:lang w:val="fr-FR"/>
        </w:rPr>
        <w:t xml:space="preserve">sur </w:t>
      </w:r>
      <w:r w:rsidRPr="00C560E0">
        <w:rPr>
          <w:lang w:val="fr-FR"/>
        </w:rPr>
        <w:t>le statut juridique de différent</w:t>
      </w:r>
      <w:r>
        <w:rPr>
          <w:lang w:val="fr-FR"/>
        </w:rPr>
        <w:t>es catégories de migrants, notamment les réfugiés, et</w:t>
      </w:r>
      <w:r w:rsidRPr="00C560E0">
        <w:rPr>
          <w:lang w:val="fr-FR"/>
        </w:rPr>
        <w:t xml:space="preserve"> </w:t>
      </w:r>
      <w:r>
        <w:rPr>
          <w:lang w:val="fr-FR"/>
        </w:rPr>
        <w:t>attirer l’attention sur les questions qu’il est important de se poser</w:t>
      </w:r>
      <w:r w:rsidRPr="00C560E0">
        <w:rPr>
          <w:lang w:val="fr-FR"/>
        </w:rPr>
        <w:t>.</w:t>
      </w:r>
    </w:p>
    <w:p w:rsidR="009A024B" w:rsidRPr="00C560E0" w:rsidRDefault="009A024B" w:rsidP="00B86735">
      <w:pPr>
        <w:pStyle w:val="TKTITRE1"/>
        <w:rPr>
          <w:lang w:val="fr-FR"/>
        </w:rPr>
      </w:pPr>
      <w:r w:rsidRPr="00C560E0">
        <w:rPr>
          <w:lang w:val="fr-FR"/>
        </w:rPr>
        <w:t>Introduction</w:t>
      </w:r>
    </w:p>
    <w:p w:rsidR="009A024B" w:rsidRPr="00C560E0" w:rsidRDefault="009A024B" w:rsidP="00B86735">
      <w:pPr>
        <w:pStyle w:val="TKTEXTE"/>
        <w:rPr>
          <w:lang w:val="fr-FR"/>
        </w:rPr>
      </w:pPr>
      <w:r w:rsidRPr="00C560E0">
        <w:rPr>
          <w:lang w:val="fr-FR"/>
        </w:rPr>
        <w:t xml:space="preserve">En général, les réfugiés connaissent mal </w:t>
      </w:r>
      <w:r>
        <w:rPr>
          <w:lang w:val="fr-FR"/>
        </w:rPr>
        <w:t xml:space="preserve">les « procédures d’asile » ; elles </w:t>
      </w:r>
      <w:r w:rsidRPr="00C560E0">
        <w:rPr>
          <w:lang w:val="fr-FR"/>
        </w:rPr>
        <w:t>leur semblent compliquées</w:t>
      </w:r>
      <w:r>
        <w:rPr>
          <w:lang w:val="fr-FR"/>
        </w:rPr>
        <w:t xml:space="preserve">. Certains vous demanderont peut-être conseil dans ce domaine. Cependant, si vous n’avez pas les connaissances juridiques nécessaires pour les aider, </w:t>
      </w:r>
      <w:r>
        <w:rPr>
          <w:b/>
          <w:bCs/>
          <w:lang w:val="fr-FR"/>
        </w:rPr>
        <w:t>n’essayez</w:t>
      </w:r>
      <w:r w:rsidRPr="00C560E0">
        <w:rPr>
          <w:b/>
          <w:bCs/>
          <w:lang w:val="fr-FR"/>
        </w:rPr>
        <w:t xml:space="preserve"> pas</w:t>
      </w:r>
      <w:r>
        <w:rPr>
          <w:lang w:val="fr-FR"/>
        </w:rPr>
        <w:t xml:space="preserve"> de répondre à leurs questions. Orientez-les plutôt vers des institutions</w:t>
      </w:r>
      <w:r w:rsidRPr="00C560E0">
        <w:rPr>
          <w:lang w:val="fr-FR"/>
        </w:rPr>
        <w:t xml:space="preserve"> </w:t>
      </w:r>
      <w:r>
        <w:rPr>
          <w:lang w:val="fr-FR"/>
        </w:rPr>
        <w:t>compétentes</w:t>
      </w:r>
      <w:r w:rsidRPr="00C560E0">
        <w:rPr>
          <w:lang w:val="fr-FR"/>
        </w:rPr>
        <w:t xml:space="preserve"> (</w:t>
      </w:r>
      <w:r>
        <w:rPr>
          <w:lang w:val="fr-FR"/>
        </w:rPr>
        <w:t>des ONG</w:t>
      </w:r>
      <w:r w:rsidRPr="00C560E0">
        <w:rPr>
          <w:lang w:val="fr-FR"/>
        </w:rPr>
        <w:t xml:space="preserve">, </w:t>
      </w:r>
      <w:r>
        <w:rPr>
          <w:lang w:val="fr-FR"/>
        </w:rPr>
        <w:t>des instances officie</w:t>
      </w:r>
      <w:r w:rsidRPr="00C560E0">
        <w:rPr>
          <w:lang w:val="fr-FR"/>
        </w:rPr>
        <w:t>l</w:t>
      </w:r>
      <w:r>
        <w:rPr>
          <w:lang w:val="fr-FR"/>
        </w:rPr>
        <w:t>les</w:t>
      </w:r>
      <w:r w:rsidRPr="00C560E0">
        <w:rPr>
          <w:lang w:val="fr-FR"/>
        </w:rPr>
        <w:t xml:space="preserve">, </w:t>
      </w:r>
      <w:r>
        <w:rPr>
          <w:lang w:val="fr-FR"/>
        </w:rPr>
        <w:t>des spé</w:t>
      </w:r>
      <w:r w:rsidRPr="00C560E0">
        <w:rPr>
          <w:lang w:val="fr-FR"/>
        </w:rPr>
        <w:t>cialist</w:t>
      </w:r>
      <w:r>
        <w:rPr>
          <w:lang w:val="fr-FR"/>
        </w:rPr>
        <w:t>e</w:t>
      </w:r>
      <w:r w:rsidRPr="00C560E0">
        <w:rPr>
          <w:lang w:val="fr-FR"/>
        </w:rPr>
        <w:t>s</w:t>
      </w:r>
      <w:r>
        <w:rPr>
          <w:lang w:val="fr-FR"/>
        </w:rPr>
        <w:t>, etc.), qui pourront leur donner des informations fiables.</w:t>
      </w:r>
      <w:r w:rsidRPr="00C560E0">
        <w:rPr>
          <w:lang w:val="fr-FR"/>
        </w:rPr>
        <w:t xml:space="preserve"> </w:t>
      </w:r>
      <w:r>
        <w:rPr>
          <w:lang w:val="fr-FR"/>
        </w:rPr>
        <w:t xml:space="preserve">Si ces ressources n’existent pas au niveau local, vous pouvez consulter les répertoires de sites internet proposés </w:t>
      </w:r>
      <w:hyperlink r:id="rId7" w:history="1">
        <w:r w:rsidRPr="009563CF">
          <w:rPr>
            <w:rStyle w:val="Lienhypertexte"/>
            <w:u w:val="none"/>
            <w:lang w:val="fr-FR"/>
          </w:rPr>
          <w:t>ici</w:t>
        </w:r>
      </w:hyperlink>
      <w:r>
        <w:rPr>
          <w:lang w:val="fr-FR"/>
        </w:rPr>
        <w:t xml:space="preserve"> (disponibles pour quatre langues)</w:t>
      </w:r>
      <w:r w:rsidRPr="00C560E0">
        <w:rPr>
          <w:lang w:val="fr-FR"/>
        </w:rPr>
        <w:t>.</w:t>
      </w:r>
    </w:p>
    <w:p w:rsidR="009A024B" w:rsidRPr="00C560E0" w:rsidRDefault="009A024B" w:rsidP="006355E0">
      <w:pPr>
        <w:pStyle w:val="TKTITRE2"/>
        <w:rPr>
          <w:rFonts w:cs="Arial"/>
          <w:lang w:val="fr-FR"/>
        </w:rPr>
      </w:pPr>
      <w:r w:rsidRPr="00C560E0">
        <w:rPr>
          <w:lang w:val="fr-FR"/>
        </w:rPr>
        <w:t xml:space="preserve">Autorités et institutions </w:t>
      </w:r>
      <w:r>
        <w:rPr>
          <w:lang w:val="fr-FR"/>
        </w:rPr>
        <w:t xml:space="preserve">compétentes </w:t>
      </w:r>
    </w:p>
    <w:p w:rsidR="009A024B" w:rsidRPr="0068630F" w:rsidRDefault="009A024B" w:rsidP="00B66C15">
      <w:pPr>
        <w:pStyle w:val="TKTEXTE"/>
        <w:rPr>
          <w:lang w:val="fr-FR"/>
        </w:rPr>
      </w:pPr>
      <w:r>
        <w:rPr>
          <w:lang w:val="fr-FR"/>
        </w:rPr>
        <w:t xml:space="preserve">Institutions compétentes à contacter pour obtenir des informations </w:t>
      </w:r>
      <w:r w:rsidRPr="0068630F">
        <w:rPr>
          <w:lang w:val="fr-FR"/>
        </w:rPr>
        <w:t>:</w:t>
      </w:r>
    </w:p>
    <w:p w:rsidR="009A024B" w:rsidRPr="0068630F" w:rsidRDefault="009A024B" w:rsidP="000D0A36">
      <w:pPr>
        <w:pStyle w:val="TKLettersLevel1"/>
        <w:rPr>
          <w:lang w:val="fr-FR"/>
        </w:rPr>
      </w:pPr>
      <w:proofErr w:type="gramStart"/>
      <w:r>
        <w:rPr>
          <w:lang w:val="fr-FR"/>
        </w:rPr>
        <w:t>les</w:t>
      </w:r>
      <w:proofErr w:type="gramEnd"/>
      <w:r>
        <w:rPr>
          <w:lang w:val="fr-FR"/>
        </w:rPr>
        <w:t xml:space="preserve"> </w:t>
      </w:r>
      <w:r w:rsidRPr="00C15E5A">
        <w:rPr>
          <w:lang w:val="fr-FR"/>
        </w:rPr>
        <w:t>antennes</w:t>
      </w:r>
      <w:r>
        <w:rPr>
          <w:lang w:val="fr-FR"/>
        </w:rPr>
        <w:t xml:space="preserve"> l</w:t>
      </w:r>
      <w:r w:rsidRPr="0068630F">
        <w:rPr>
          <w:lang w:val="fr-FR"/>
        </w:rPr>
        <w:t>ocal</w:t>
      </w:r>
      <w:r>
        <w:rPr>
          <w:lang w:val="fr-FR"/>
        </w:rPr>
        <w:t>es ou ré</w:t>
      </w:r>
      <w:r w:rsidRPr="0068630F">
        <w:rPr>
          <w:lang w:val="fr-FR"/>
        </w:rPr>
        <w:t>gional</w:t>
      </w:r>
      <w:r>
        <w:rPr>
          <w:lang w:val="fr-FR"/>
        </w:rPr>
        <w:t>es des autorités chargées des questions</w:t>
      </w:r>
      <w:r w:rsidRPr="0068630F">
        <w:rPr>
          <w:lang w:val="fr-FR"/>
        </w:rPr>
        <w:t xml:space="preserve"> </w:t>
      </w:r>
      <w:r>
        <w:rPr>
          <w:lang w:val="fr-FR"/>
        </w:rPr>
        <w:t>d’immigration ;</w:t>
      </w:r>
    </w:p>
    <w:p w:rsidR="009A024B" w:rsidRPr="0068630F" w:rsidRDefault="009A024B" w:rsidP="000D0A36">
      <w:pPr>
        <w:pStyle w:val="TKLettersLevel1"/>
        <w:rPr>
          <w:lang w:val="fr-FR"/>
        </w:rPr>
      </w:pPr>
      <w:proofErr w:type="gramStart"/>
      <w:r>
        <w:rPr>
          <w:lang w:val="fr-FR"/>
        </w:rPr>
        <w:t>les</w:t>
      </w:r>
      <w:proofErr w:type="gramEnd"/>
      <w:r>
        <w:rPr>
          <w:lang w:val="fr-FR"/>
        </w:rPr>
        <w:t xml:space="preserve"> institutions publiques</w:t>
      </w:r>
      <w:r w:rsidRPr="0068630F">
        <w:rPr>
          <w:lang w:val="fr-FR"/>
        </w:rPr>
        <w:t xml:space="preserve"> </w:t>
      </w:r>
      <w:r>
        <w:rPr>
          <w:lang w:val="fr-FR"/>
        </w:rPr>
        <w:t>responsables de la gestion du centre/de l’installation où vous travaillez ;</w:t>
      </w:r>
    </w:p>
    <w:p w:rsidR="009A024B" w:rsidRPr="0068630F" w:rsidRDefault="009A024B" w:rsidP="000D0A36">
      <w:pPr>
        <w:pStyle w:val="TKLettersLevel1"/>
        <w:rPr>
          <w:lang w:val="fr-FR"/>
        </w:rPr>
      </w:pPr>
      <w:proofErr w:type="gramStart"/>
      <w:r>
        <w:rPr>
          <w:lang w:val="fr-FR"/>
        </w:rPr>
        <w:t>les</w:t>
      </w:r>
      <w:proofErr w:type="gramEnd"/>
      <w:r>
        <w:rPr>
          <w:lang w:val="fr-FR"/>
        </w:rPr>
        <w:t xml:space="preserve"> organisations i</w:t>
      </w:r>
      <w:r w:rsidRPr="0068630F">
        <w:rPr>
          <w:lang w:val="fr-FR"/>
        </w:rPr>
        <w:t>nternational</w:t>
      </w:r>
      <w:r>
        <w:rPr>
          <w:lang w:val="fr-FR"/>
        </w:rPr>
        <w:t>es participant à la gestion de camps de réfugiés, à savoir </w:t>
      </w:r>
      <w:r w:rsidRPr="0068630F">
        <w:rPr>
          <w:lang w:val="fr-FR"/>
        </w:rPr>
        <w:t>:</w:t>
      </w:r>
    </w:p>
    <w:p w:rsidR="009A024B" w:rsidRPr="00B01299" w:rsidRDefault="00C10309" w:rsidP="00CC6B8F">
      <w:pPr>
        <w:pStyle w:val="TKBulletLevel2"/>
        <w:rPr>
          <w:lang w:val="fr-FR"/>
        </w:rPr>
      </w:pPr>
      <w:hyperlink r:id="rId8" w:history="1">
        <w:proofErr w:type="gramStart"/>
        <w:r w:rsidR="009A024B" w:rsidRPr="00B01299">
          <w:rPr>
            <w:rStyle w:val="Lienhypertexte"/>
            <w:u w:val="none"/>
            <w:lang w:val="fr-FR"/>
          </w:rPr>
          <w:t>le</w:t>
        </w:r>
        <w:proofErr w:type="gramEnd"/>
        <w:r w:rsidR="009A024B" w:rsidRPr="00B01299">
          <w:rPr>
            <w:rStyle w:val="Lienhypertexte"/>
            <w:u w:val="none"/>
            <w:lang w:val="fr-FR"/>
          </w:rPr>
          <w:t xml:space="preserve"> HCR</w:t>
        </w:r>
      </w:hyperlink>
      <w:r w:rsidR="009A024B" w:rsidRPr="00B01299">
        <w:rPr>
          <w:lang w:val="fr-FR"/>
        </w:rPr>
        <w:t xml:space="preserve"> – l’Agence des Nations Unies pour les réfugiés (voir le site internet du HCR pour trouver des contacts dans le pays dans lequel vous travaillez) ;</w:t>
      </w:r>
    </w:p>
    <w:p w:rsidR="009A024B" w:rsidRPr="00B01299" w:rsidRDefault="00C10309" w:rsidP="000D0A36">
      <w:pPr>
        <w:pStyle w:val="TKBulletLevel2"/>
        <w:rPr>
          <w:lang w:val="fr-FR"/>
        </w:rPr>
      </w:pPr>
      <w:hyperlink r:id="rId9" w:history="1">
        <w:proofErr w:type="gramStart"/>
        <w:r w:rsidR="009A024B" w:rsidRPr="00B01299">
          <w:rPr>
            <w:rStyle w:val="Lienhypertexte"/>
            <w:u w:val="none"/>
            <w:lang w:val="fr-FR"/>
          </w:rPr>
          <w:t>l'OIM</w:t>
        </w:r>
        <w:proofErr w:type="gramEnd"/>
      </w:hyperlink>
      <w:r w:rsidR="009A024B" w:rsidRPr="00B01299">
        <w:rPr>
          <w:lang w:val="fr-FR"/>
        </w:rPr>
        <w:t xml:space="preserve"> - l’Organisation internationale pour les migrations (voir le site internet de l’OIM pour trouver les coordonnées du bureau du pays dans lequel vous travaillez) ;</w:t>
      </w:r>
    </w:p>
    <w:p w:rsidR="009A024B" w:rsidRPr="00B01299" w:rsidRDefault="009A024B" w:rsidP="000D0A36">
      <w:pPr>
        <w:pStyle w:val="TKBulletLevel2"/>
        <w:rPr>
          <w:lang w:val="fr-FR"/>
        </w:rPr>
      </w:pPr>
      <w:proofErr w:type="gramStart"/>
      <w:r w:rsidRPr="00B01299">
        <w:rPr>
          <w:lang w:val="fr-FR"/>
        </w:rPr>
        <w:t>les</w:t>
      </w:r>
      <w:proofErr w:type="gramEnd"/>
      <w:r w:rsidRPr="00B01299">
        <w:rPr>
          <w:lang w:val="fr-FR"/>
        </w:rPr>
        <w:t xml:space="preserve"> ONG internationales actives dans ce domaine, telles que </w:t>
      </w:r>
      <w:hyperlink r:id="rId10" w:history="1">
        <w:r w:rsidRPr="00B01299">
          <w:rPr>
            <w:rStyle w:val="Lienhypertexte"/>
            <w:u w:val="none"/>
            <w:lang w:val="fr-FR"/>
          </w:rPr>
          <w:t>Médecins sans Frontières</w:t>
        </w:r>
      </w:hyperlink>
      <w:r w:rsidRPr="00B01299">
        <w:rPr>
          <w:lang w:val="fr-FR"/>
        </w:rPr>
        <w:t> ;</w:t>
      </w:r>
    </w:p>
    <w:p w:rsidR="009A024B" w:rsidRPr="00B01299" w:rsidRDefault="009A024B" w:rsidP="000D0A36">
      <w:pPr>
        <w:pStyle w:val="TKBulletLevel2"/>
        <w:rPr>
          <w:lang w:val="fr-FR"/>
        </w:rPr>
      </w:pPr>
      <w:proofErr w:type="gramStart"/>
      <w:r w:rsidRPr="00B01299">
        <w:rPr>
          <w:lang w:val="fr-FR"/>
        </w:rPr>
        <w:t>le</w:t>
      </w:r>
      <w:proofErr w:type="gramEnd"/>
      <w:r w:rsidRPr="00B01299">
        <w:rPr>
          <w:lang w:val="fr-FR"/>
        </w:rPr>
        <w:t xml:space="preserve"> Conseil européen pour les réfugiés et les exilés (</w:t>
      </w:r>
      <w:proofErr w:type="spellStart"/>
      <w:r w:rsidRPr="00B01299">
        <w:rPr>
          <w:i/>
          <w:iCs/>
          <w:lang w:val="fr-FR"/>
        </w:rPr>
        <w:t>European</w:t>
      </w:r>
      <w:proofErr w:type="spellEnd"/>
      <w:r w:rsidRPr="00B01299">
        <w:rPr>
          <w:i/>
          <w:iCs/>
          <w:lang w:val="fr-FR"/>
        </w:rPr>
        <w:t xml:space="preserve"> Council on </w:t>
      </w:r>
      <w:proofErr w:type="spellStart"/>
      <w:r w:rsidRPr="00B01299">
        <w:rPr>
          <w:i/>
          <w:iCs/>
          <w:lang w:val="fr-FR"/>
        </w:rPr>
        <w:t>Refugees</w:t>
      </w:r>
      <w:proofErr w:type="spellEnd"/>
      <w:r w:rsidRPr="00B01299">
        <w:rPr>
          <w:i/>
          <w:iCs/>
          <w:lang w:val="fr-FR"/>
        </w:rPr>
        <w:t xml:space="preserve"> and Exiles,</w:t>
      </w:r>
      <w:r w:rsidRPr="00B01299">
        <w:rPr>
          <w:lang w:val="fr-FR"/>
        </w:rPr>
        <w:t xml:space="preserve"> ou ECRE), un réseau de 90 ONG venant en aide aux réfugiés dans 38 pays d’Europe. Une liste (par pays) de ces organisations est proposée sur le </w:t>
      </w:r>
      <w:hyperlink r:id="rId11" w:history="1">
        <w:r w:rsidRPr="00B01299">
          <w:rPr>
            <w:rStyle w:val="Lienhypertexte"/>
            <w:u w:val="none"/>
            <w:lang w:val="fr-FR"/>
          </w:rPr>
          <w:t>site de l'ECRE</w:t>
        </w:r>
      </w:hyperlink>
      <w:r w:rsidRPr="00B01299">
        <w:rPr>
          <w:lang w:val="fr-FR"/>
        </w:rPr>
        <w:t> ;</w:t>
      </w:r>
    </w:p>
    <w:p w:rsidR="009A024B" w:rsidRPr="00B01299" w:rsidRDefault="009A024B" w:rsidP="000D0A36">
      <w:pPr>
        <w:pStyle w:val="TKBulletLevel2"/>
        <w:rPr>
          <w:lang w:val="fr-FR"/>
        </w:rPr>
      </w:pPr>
      <w:proofErr w:type="gramStart"/>
      <w:r w:rsidRPr="00B01299">
        <w:rPr>
          <w:lang w:val="fr-FR"/>
        </w:rPr>
        <w:t>le</w:t>
      </w:r>
      <w:proofErr w:type="gramEnd"/>
      <w:r w:rsidRPr="00B01299">
        <w:rPr>
          <w:lang w:val="fr-FR"/>
        </w:rPr>
        <w:t xml:space="preserve"> Réseau juridique européen sur l’asile (</w:t>
      </w:r>
      <w:proofErr w:type="spellStart"/>
      <w:r w:rsidRPr="00B01299">
        <w:rPr>
          <w:i/>
          <w:iCs/>
          <w:lang w:val="fr-FR"/>
        </w:rPr>
        <w:t>European</w:t>
      </w:r>
      <w:proofErr w:type="spellEnd"/>
      <w:r w:rsidRPr="00B01299">
        <w:rPr>
          <w:i/>
          <w:iCs/>
          <w:lang w:val="fr-FR"/>
        </w:rPr>
        <w:t xml:space="preserve"> Legal Network on </w:t>
      </w:r>
      <w:proofErr w:type="spellStart"/>
      <w:r w:rsidRPr="00B01299">
        <w:rPr>
          <w:i/>
          <w:iCs/>
          <w:lang w:val="fr-FR"/>
        </w:rPr>
        <w:t>Asylum</w:t>
      </w:r>
      <w:proofErr w:type="spellEnd"/>
      <w:r w:rsidRPr="00B01299">
        <w:rPr>
          <w:lang w:val="fr-FR"/>
        </w:rPr>
        <w:t>, ou ELENA), qui fait partie du réseau ECRE et propose, sur son site internet, les coordonnées d’</w:t>
      </w:r>
      <w:hyperlink r:id="rId12" w:history="1">
        <w:r w:rsidRPr="00B01299">
          <w:rPr>
            <w:rStyle w:val="Lienhypertexte"/>
            <w:u w:val="none"/>
            <w:lang w:val="fr-FR"/>
          </w:rPr>
          <w:t>avocats exerçant dans de nombreux pays</w:t>
        </w:r>
      </w:hyperlink>
      <w:r w:rsidRPr="00B01299">
        <w:rPr>
          <w:lang w:val="fr-FR"/>
        </w:rPr>
        <w:t> ;</w:t>
      </w:r>
    </w:p>
    <w:p w:rsidR="009A024B" w:rsidRPr="00B01299" w:rsidRDefault="009A024B" w:rsidP="000D0A36">
      <w:pPr>
        <w:pStyle w:val="TKBulletLevel2"/>
        <w:rPr>
          <w:lang w:val="fr-FR"/>
        </w:rPr>
      </w:pPr>
      <w:proofErr w:type="gramStart"/>
      <w:r w:rsidRPr="00B01299">
        <w:rPr>
          <w:lang w:val="fr-FR"/>
        </w:rPr>
        <w:t>les</w:t>
      </w:r>
      <w:proofErr w:type="gramEnd"/>
      <w:r w:rsidRPr="00B01299">
        <w:rPr>
          <w:lang w:val="fr-FR"/>
        </w:rPr>
        <w:t xml:space="preserve"> organisations humanitaires nationales, telles que la </w:t>
      </w:r>
      <w:hyperlink r:id="rId13" w:history="1">
        <w:r w:rsidRPr="00B01299">
          <w:rPr>
            <w:rStyle w:val="Lienhypertexte"/>
            <w:u w:val="none"/>
            <w:lang w:val="fr-FR"/>
          </w:rPr>
          <w:t>Croix-Rouge</w:t>
        </w:r>
      </w:hyperlink>
      <w:r w:rsidRPr="00B01299">
        <w:rPr>
          <w:lang w:val="fr-FR"/>
        </w:rPr>
        <w:t> ;</w:t>
      </w:r>
    </w:p>
    <w:p w:rsidR="009A024B" w:rsidRPr="00B01299" w:rsidRDefault="009A024B" w:rsidP="000D0A36">
      <w:pPr>
        <w:pStyle w:val="TKBulletLevel2"/>
        <w:rPr>
          <w:lang w:val="fr-FR"/>
        </w:rPr>
      </w:pPr>
      <w:proofErr w:type="gramStart"/>
      <w:r w:rsidRPr="00B01299">
        <w:rPr>
          <w:lang w:val="fr-FR"/>
        </w:rPr>
        <w:t>les</w:t>
      </w:r>
      <w:proofErr w:type="gramEnd"/>
      <w:r w:rsidRPr="00B01299">
        <w:rPr>
          <w:lang w:val="fr-FR"/>
        </w:rPr>
        <w:t xml:space="preserve"> ONG locales dotées de juristes.</w:t>
      </w:r>
    </w:p>
    <w:p w:rsidR="009A024B" w:rsidRPr="0068630F" w:rsidRDefault="009A024B" w:rsidP="00510AE8">
      <w:pPr>
        <w:pStyle w:val="TKTEXTE"/>
        <w:rPr>
          <w:lang w:val="fr-FR"/>
        </w:rPr>
      </w:pPr>
      <w:r>
        <w:rPr>
          <w:lang w:val="fr-FR"/>
        </w:rPr>
        <w:t>Le Conseil de l’Europe, quant à lui, est une organisation internationale qui compte 47 États membres. Il élabore des conventions qui, une fois ratifiées par un certain nombre d’États membres, deviennent contraignantes</w:t>
      </w:r>
      <w:r w:rsidRPr="0068630F">
        <w:rPr>
          <w:lang w:val="fr-FR"/>
        </w:rPr>
        <w:t xml:space="preserve">. </w:t>
      </w:r>
      <w:r>
        <w:rPr>
          <w:lang w:val="fr-FR"/>
        </w:rPr>
        <w:t>S’agissant des migrants et des réfugiés, son action est essentiellement d’ordre politique</w:t>
      </w:r>
      <w:r>
        <w:rPr>
          <w:rFonts w:cs="Arial"/>
          <w:lang w:val="fr-FR"/>
        </w:rPr>
        <w:t> </w:t>
      </w:r>
      <w:r>
        <w:rPr>
          <w:lang w:val="fr-FR"/>
        </w:rPr>
        <w:t>; elle se traduit par des conventions, des recommandations du Comité des Ministres aux États membres et des résolutions, ainsi que par la tenue de débats et l’établissement de rapports réguliers par son Assemblée parlementaire</w:t>
      </w:r>
      <w:r w:rsidRPr="0068630F">
        <w:rPr>
          <w:lang w:val="fr-FR"/>
        </w:rPr>
        <w:t>.</w:t>
      </w:r>
    </w:p>
    <w:p w:rsidR="009A024B" w:rsidRPr="0068630F" w:rsidRDefault="009A024B" w:rsidP="006355E0">
      <w:pPr>
        <w:pStyle w:val="TKTITRE2"/>
        <w:rPr>
          <w:rFonts w:cs="Arial"/>
          <w:lang w:val="fr-FR"/>
        </w:rPr>
      </w:pPr>
      <w:r>
        <w:rPr>
          <w:lang w:val="fr-FR"/>
        </w:rPr>
        <w:lastRenderedPageBreak/>
        <w:t>Brèves définitions et explications des procédures relatives aux réfugiés adoptées au niveau des Nations Unies et de l’Union européenne</w:t>
      </w:r>
    </w:p>
    <w:p w:rsidR="009A024B" w:rsidRPr="0068630F" w:rsidRDefault="009A024B" w:rsidP="006355E0">
      <w:pPr>
        <w:pStyle w:val="TKTITRE3"/>
        <w:rPr>
          <w:lang w:val="fr-FR"/>
        </w:rPr>
      </w:pPr>
      <w:r>
        <w:rPr>
          <w:lang w:val="fr-FR"/>
        </w:rPr>
        <w:t>Réfugié</w:t>
      </w:r>
    </w:p>
    <w:p w:rsidR="009A024B" w:rsidRPr="0068630F" w:rsidRDefault="009A024B" w:rsidP="00943A76">
      <w:pPr>
        <w:pStyle w:val="TKTEXTE"/>
        <w:rPr>
          <w:rFonts w:cs="Arial"/>
          <w:lang w:val="fr-FR"/>
        </w:rPr>
      </w:pPr>
      <w:r>
        <w:rPr>
          <w:lang w:val="fr-FR"/>
        </w:rPr>
        <w:t>Selon la Convention des Nations Unies relative aux réfugiés de 1951</w:t>
      </w:r>
      <w:r w:rsidRPr="0068630F">
        <w:rPr>
          <w:lang w:val="fr-FR"/>
        </w:rPr>
        <w:t xml:space="preserve">, </w:t>
      </w:r>
      <w:r>
        <w:rPr>
          <w:lang w:val="fr-FR"/>
        </w:rPr>
        <w:t>également connue sous le nom de « Convention de Genève », l</w:t>
      </w:r>
      <w:r w:rsidRPr="0068630F">
        <w:rPr>
          <w:lang w:val="fr-FR"/>
        </w:rPr>
        <w:t>e term</w:t>
      </w:r>
      <w:r>
        <w:rPr>
          <w:lang w:val="fr-FR"/>
        </w:rPr>
        <w:t xml:space="preserve">e « réfugié » désigne « </w:t>
      </w:r>
      <w:r w:rsidRPr="00C0212A">
        <w:rPr>
          <w:lang w:val="fr-FR"/>
        </w:rPr>
        <w:t xml:space="preserve">toute personne </w:t>
      </w:r>
      <w:r w:rsidRPr="0068630F">
        <w:rPr>
          <w:lang w:val="fr-FR"/>
        </w:rPr>
        <w:t xml:space="preserve">: </w:t>
      </w:r>
      <w:r>
        <w:rPr>
          <w:lang w:val="fr-FR"/>
        </w:rPr>
        <w:t xml:space="preserve">[…] qui […] </w:t>
      </w:r>
      <w:r w:rsidRPr="00C0212A">
        <w:rPr>
          <w:lang w:val="fr-FR"/>
        </w:rPr>
        <w:t>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w:t>
      </w:r>
      <w:r>
        <w:rPr>
          <w:lang w:val="fr-FR"/>
        </w:rPr>
        <w:t xml:space="preserve"> […]</w:t>
      </w:r>
      <w:r>
        <w:rPr>
          <w:rFonts w:cs="Arial"/>
          <w:lang w:val="fr-FR"/>
        </w:rPr>
        <w:t> </w:t>
      </w:r>
      <w:r>
        <w:rPr>
          <w:lang w:val="fr-FR"/>
        </w:rPr>
        <w:t>»</w:t>
      </w:r>
    </w:p>
    <w:p w:rsidR="009A024B" w:rsidRPr="0068630F" w:rsidRDefault="009A024B" w:rsidP="00943A76">
      <w:pPr>
        <w:pStyle w:val="TKTEXTE"/>
        <w:rPr>
          <w:lang w:val="fr-FR"/>
        </w:rPr>
      </w:pPr>
      <w:r>
        <w:rPr>
          <w:lang w:val="fr-FR"/>
        </w:rPr>
        <w:t>Le HCR considère que dans la mesure où ils ont quitté leur pays parce que leur vie et leur liberté y étaient gravement menacées, les réfugiés et les demandeurs d’asile constituent un groupe de personnes à part</w:t>
      </w:r>
      <w:r w:rsidRPr="0068630F">
        <w:rPr>
          <w:lang w:val="fr-FR"/>
        </w:rPr>
        <w:t xml:space="preserve">. </w:t>
      </w:r>
      <w:r>
        <w:rPr>
          <w:lang w:val="fr-FR"/>
        </w:rPr>
        <w:t>Il attire l’attention sur le fait qu’il ne faut pas les confondre avec les migrants économiques ou sociaux. Les réfugiés, eux, sont obligés de fuir s’ils veulent préserver leur vie ou leur liberté</w:t>
      </w:r>
      <w:r w:rsidRPr="0068630F">
        <w:rPr>
          <w:lang w:val="fr-FR"/>
        </w:rPr>
        <w:t>.</w:t>
      </w:r>
    </w:p>
    <w:p w:rsidR="009A024B" w:rsidRPr="00B01299" w:rsidRDefault="009A024B" w:rsidP="00943A76">
      <w:pPr>
        <w:pStyle w:val="TKnotes"/>
        <w:rPr>
          <w:lang w:val="fr-FR"/>
        </w:rPr>
      </w:pPr>
      <w:r w:rsidRPr="00B01299">
        <w:rPr>
          <w:lang w:val="fr-FR"/>
        </w:rPr>
        <w:t xml:space="preserve">(Source : </w:t>
      </w:r>
      <w:hyperlink r:id="rId14" w:history="1">
        <w:r w:rsidRPr="00B01299">
          <w:rPr>
            <w:rStyle w:val="Lienhypertexte"/>
            <w:i/>
            <w:iCs/>
            <w:u w:val="none"/>
            <w:lang w:val="fr-FR"/>
          </w:rPr>
          <w:t>Contribution du HCR au Forum mondial sur les migrations et le développement (en anglais)</w:t>
        </w:r>
      </w:hyperlink>
      <w:r w:rsidRPr="00B01299">
        <w:rPr>
          <w:lang w:val="fr-FR"/>
        </w:rPr>
        <w:t xml:space="preserve">, Bruxelles, 9-11 juillet 2007) </w:t>
      </w:r>
    </w:p>
    <w:p w:rsidR="009A024B" w:rsidRPr="0068630F" w:rsidRDefault="009A024B" w:rsidP="006355E0">
      <w:pPr>
        <w:pStyle w:val="TKTITRE3"/>
        <w:rPr>
          <w:lang w:val="fr-FR"/>
        </w:rPr>
      </w:pPr>
      <w:r>
        <w:rPr>
          <w:lang w:val="fr-FR"/>
        </w:rPr>
        <w:t>Demandeur d’asile</w:t>
      </w:r>
    </w:p>
    <w:p w:rsidR="009A024B" w:rsidRPr="0068630F" w:rsidRDefault="009A024B" w:rsidP="0050334F">
      <w:pPr>
        <w:pStyle w:val="TKTEXTE"/>
        <w:rPr>
          <w:lang w:val="fr-FR"/>
        </w:rPr>
      </w:pPr>
      <w:r>
        <w:rPr>
          <w:lang w:val="fr-FR"/>
        </w:rPr>
        <w:t>Un demandeur d’asile est un individu qui demande à bénéficier de la protection d’un pays (autre que son pays d’origine) afin d’échapper à la persécution, en déposant une demande devant ce pays. Le droit à l’asile est régi par des accords internationaux, tels que la Convention de Genève ou le Règlement Dublin III, ainsi que par le droit national</w:t>
      </w:r>
      <w:r w:rsidRPr="0068630F">
        <w:rPr>
          <w:lang w:val="fr-FR"/>
        </w:rPr>
        <w:t>.</w:t>
      </w:r>
    </w:p>
    <w:p w:rsidR="009A024B" w:rsidRPr="0068630F" w:rsidRDefault="009A024B" w:rsidP="006355E0">
      <w:pPr>
        <w:pStyle w:val="TKTITRE3"/>
        <w:rPr>
          <w:lang w:val="fr-FR"/>
        </w:rPr>
      </w:pPr>
      <w:r>
        <w:rPr>
          <w:lang w:val="fr-FR"/>
        </w:rPr>
        <w:t>P</w:t>
      </w:r>
      <w:r w:rsidRPr="0068630F">
        <w:rPr>
          <w:lang w:val="fr-FR"/>
        </w:rPr>
        <w:t>rotection</w:t>
      </w:r>
      <w:r>
        <w:rPr>
          <w:lang w:val="fr-FR"/>
        </w:rPr>
        <w:t xml:space="preserve"> subsidiaire</w:t>
      </w:r>
      <w:r w:rsidRPr="0068630F">
        <w:rPr>
          <w:lang w:val="fr-FR"/>
        </w:rPr>
        <w:t xml:space="preserve"> </w:t>
      </w:r>
    </w:p>
    <w:p w:rsidR="009A024B" w:rsidRPr="0068630F" w:rsidRDefault="009A024B" w:rsidP="00BA028D">
      <w:pPr>
        <w:pStyle w:val="TKTEXTE"/>
        <w:rPr>
          <w:lang w:val="fr-FR"/>
        </w:rPr>
      </w:pPr>
      <w:r>
        <w:rPr>
          <w:lang w:val="fr-FR"/>
        </w:rPr>
        <w:t>Conformément à la Convention de 1951</w:t>
      </w:r>
      <w:r w:rsidRPr="0068630F">
        <w:rPr>
          <w:lang w:val="fr-FR"/>
        </w:rPr>
        <w:t xml:space="preserve">, </w:t>
      </w:r>
      <w:r>
        <w:rPr>
          <w:lang w:val="fr-FR"/>
        </w:rPr>
        <w:t xml:space="preserve">le HCR définit les réfugiés comme des personnes qui craignent à </w:t>
      </w:r>
      <w:r w:rsidRPr="00C032A7">
        <w:rPr>
          <w:lang w:val="fr-FR"/>
        </w:rPr>
        <w:t>raison</w:t>
      </w:r>
      <w:r>
        <w:rPr>
          <w:lang w:val="fr-FR"/>
        </w:rPr>
        <w:t xml:space="preserve"> d’être persécutée du fait de leur race, de leur religion, de leur nationalité, de leur</w:t>
      </w:r>
      <w:r w:rsidRPr="00C032A7">
        <w:rPr>
          <w:lang w:val="fr-FR"/>
        </w:rPr>
        <w:t xml:space="preserve"> appartenance à un certain groupe socia</w:t>
      </w:r>
      <w:r>
        <w:rPr>
          <w:lang w:val="fr-FR"/>
        </w:rPr>
        <w:t>l ou de leurs opinions politiques. Cette définition a évolué au fil du temps, et les menaces graves à la vie d’une personne, à son intégrité physique ou</w:t>
      </w:r>
      <w:r w:rsidRPr="00BA028D">
        <w:rPr>
          <w:lang w:val="fr-FR"/>
        </w:rPr>
        <w:t xml:space="preserve"> </w:t>
      </w:r>
      <w:r>
        <w:rPr>
          <w:lang w:val="fr-FR"/>
        </w:rPr>
        <w:t>à sa liberté résultant</w:t>
      </w:r>
      <w:r w:rsidRPr="00BA028D">
        <w:rPr>
          <w:lang w:val="fr-FR"/>
        </w:rPr>
        <w:t xml:space="preserve"> </w:t>
      </w:r>
      <w:r>
        <w:rPr>
          <w:lang w:val="fr-FR"/>
        </w:rPr>
        <w:t>d’une violence généralisée ou d’</w:t>
      </w:r>
      <w:r w:rsidRPr="00BA028D">
        <w:rPr>
          <w:lang w:val="fr-FR"/>
        </w:rPr>
        <w:t>événeme</w:t>
      </w:r>
      <w:r>
        <w:rPr>
          <w:lang w:val="fr-FR"/>
        </w:rPr>
        <w:t xml:space="preserve">nts troublant gravement l’ordre </w:t>
      </w:r>
      <w:r w:rsidRPr="00BA028D">
        <w:rPr>
          <w:lang w:val="fr-FR"/>
        </w:rPr>
        <w:t>public</w:t>
      </w:r>
      <w:r w:rsidRPr="0068630F">
        <w:rPr>
          <w:lang w:val="fr-FR"/>
        </w:rPr>
        <w:t xml:space="preserve"> </w:t>
      </w:r>
      <w:r>
        <w:rPr>
          <w:lang w:val="fr-FR"/>
        </w:rPr>
        <w:t>constituent à présent des raisons valables pour bénéficier de la protection internationale aux termes du mandat du HCR</w:t>
      </w:r>
      <w:r w:rsidRPr="0068630F">
        <w:rPr>
          <w:lang w:val="fr-FR"/>
        </w:rPr>
        <w:t>.</w:t>
      </w:r>
    </w:p>
    <w:p w:rsidR="009A024B" w:rsidRPr="0068630F" w:rsidRDefault="009A024B" w:rsidP="006B7367">
      <w:pPr>
        <w:pStyle w:val="TKnotes"/>
        <w:rPr>
          <w:rFonts w:cs="Arial"/>
          <w:lang w:val="fr-FR"/>
        </w:rPr>
      </w:pPr>
      <w:r w:rsidRPr="00B01299">
        <w:rPr>
          <w:lang w:val="fr-FR"/>
        </w:rPr>
        <w:t xml:space="preserve">(Source : i) </w:t>
      </w:r>
      <w:hyperlink r:id="rId15" w:history="1">
        <w:r w:rsidRPr="00B01299">
          <w:rPr>
            <w:rStyle w:val="Lienhypertexte"/>
            <w:u w:val="none"/>
            <w:lang w:val="fr-FR"/>
          </w:rPr>
          <w:t>Déclaration du HCR sur la protection subsidiaire (2008 ; en anglais)</w:t>
        </w:r>
      </w:hyperlink>
      <w:r w:rsidRPr="00B01299">
        <w:rPr>
          <w:lang w:val="fr-FR"/>
        </w:rPr>
        <w:t xml:space="preserve"> ; ii) </w:t>
      </w:r>
      <w:hyperlink r:id="rId16" w:history="1">
        <w:proofErr w:type="spellStart"/>
        <w:r w:rsidRPr="00B01299">
          <w:rPr>
            <w:rStyle w:val="Lienhypertexte"/>
            <w:u w:val="none"/>
            <w:lang w:val="fr-FR"/>
          </w:rPr>
          <w:t>Haut Commissariat</w:t>
        </w:r>
        <w:proofErr w:type="spellEnd"/>
        <w:r w:rsidRPr="00B01299">
          <w:rPr>
            <w:rStyle w:val="Lienhypertexte"/>
            <w:u w:val="none"/>
            <w:lang w:val="fr-FR"/>
          </w:rPr>
          <w:t xml:space="preserve"> des Nations Unies - Doc EC/55/SC/CRP, juin 2005</w:t>
        </w:r>
      </w:hyperlink>
      <w:r w:rsidRPr="0068630F">
        <w:rPr>
          <w:lang w:val="fr-FR"/>
        </w:rPr>
        <w:t>)</w:t>
      </w:r>
    </w:p>
    <w:p w:rsidR="009A024B" w:rsidRPr="0068630F" w:rsidRDefault="009A024B" w:rsidP="006355E0">
      <w:pPr>
        <w:pStyle w:val="TKTITRE3"/>
        <w:rPr>
          <w:lang w:val="fr-FR"/>
        </w:rPr>
      </w:pPr>
      <w:r>
        <w:rPr>
          <w:lang w:val="fr-FR"/>
        </w:rPr>
        <w:t xml:space="preserve">Règlement </w:t>
      </w:r>
      <w:r w:rsidRPr="0068630F">
        <w:rPr>
          <w:lang w:val="fr-FR"/>
        </w:rPr>
        <w:t xml:space="preserve">Dublin III – </w:t>
      </w:r>
      <w:r>
        <w:rPr>
          <w:lang w:val="fr-FR"/>
        </w:rPr>
        <w:t xml:space="preserve">protection </w:t>
      </w:r>
      <w:r w:rsidRPr="0068630F">
        <w:rPr>
          <w:lang w:val="fr-FR"/>
        </w:rPr>
        <w:t>international</w:t>
      </w:r>
      <w:r>
        <w:rPr>
          <w:lang w:val="fr-FR"/>
        </w:rPr>
        <w:t>e</w:t>
      </w:r>
    </w:p>
    <w:p w:rsidR="009A024B" w:rsidRPr="0068630F" w:rsidRDefault="009A024B" w:rsidP="0050334F">
      <w:pPr>
        <w:pStyle w:val="TKTEXTE"/>
        <w:rPr>
          <w:lang w:val="fr-FR"/>
        </w:rPr>
      </w:pPr>
      <w:r>
        <w:rPr>
          <w:lang w:val="fr-FR"/>
        </w:rPr>
        <w:t xml:space="preserve">Anciennement « Convention de Dublin », le Règlement de Dublin est un traité international adopté en 1997. Il a été remplacé par le Règlement Dublin II en 2003, puis par le Règlement Dublin III en 2013. Ce dernier s’applique dans tous les États membres de l’UE, ainsi qu’en Norvège, en Islande, en Suisse et au </w:t>
      </w:r>
      <w:r w:rsidRPr="0068630F">
        <w:rPr>
          <w:lang w:val="fr-FR"/>
        </w:rPr>
        <w:t xml:space="preserve">Liechtenstein. </w:t>
      </w:r>
      <w:r>
        <w:rPr>
          <w:lang w:val="fr-FR"/>
        </w:rPr>
        <w:t xml:space="preserve">Il établit des critères et des mécanismes permettant de déterminer quel est l’État membre compétent pour examiner une demande de protection internationale </w:t>
      </w:r>
      <w:r w:rsidRPr="0068630F">
        <w:rPr>
          <w:lang w:val="fr-FR"/>
        </w:rPr>
        <w:t>(</w:t>
      </w:r>
      <w:r>
        <w:rPr>
          <w:lang w:val="fr-FR"/>
        </w:rPr>
        <w:t>au sein de l’UE</w:t>
      </w:r>
      <w:r w:rsidRPr="0068630F">
        <w:rPr>
          <w:lang w:val="fr-FR"/>
        </w:rPr>
        <w:t>).</w:t>
      </w:r>
    </w:p>
    <w:p w:rsidR="009A024B" w:rsidRPr="00B01299" w:rsidRDefault="009A024B" w:rsidP="0050334F">
      <w:pPr>
        <w:pStyle w:val="TKnotes"/>
        <w:rPr>
          <w:rFonts w:cs="Arial"/>
          <w:lang w:val="fr-FR"/>
        </w:rPr>
      </w:pPr>
      <w:r w:rsidRPr="00B01299">
        <w:rPr>
          <w:lang w:val="fr-FR"/>
        </w:rPr>
        <w:t xml:space="preserve">Source : </w:t>
      </w:r>
      <w:hyperlink r:id="rId17" w:history="1">
        <w:r w:rsidRPr="00B01299">
          <w:rPr>
            <w:rStyle w:val="Lienhypertexte"/>
            <w:u w:val="none"/>
            <w:lang w:val="fr-FR"/>
          </w:rPr>
          <w:t xml:space="preserve">Règlement (UE) 604/2013 du Parlement européen et du Conseil, juin 2013 </w:t>
        </w:r>
      </w:hyperlink>
    </w:p>
    <w:p w:rsidR="009A024B" w:rsidRPr="0068630F" w:rsidRDefault="009A024B" w:rsidP="006355E0">
      <w:pPr>
        <w:pStyle w:val="TKTITRE3"/>
        <w:rPr>
          <w:lang w:val="fr-FR"/>
        </w:rPr>
      </w:pPr>
      <w:r>
        <w:rPr>
          <w:lang w:val="fr-FR"/>
        </w:rPr>
        <w:t>Procé</w:t>
      </w:r>
      <w:r w:rsidRPr="0068630F">
        <w:rPr>
          <w:lang w:val="fr-FR"/>
        </w:rPr>
        <w:t>dure</w:t>
      </w:r>
      <w:r>
        <w:rPr>
          <w:lang w:val="fr-FR"/>
        </w:rPr>
        <w:t xml:space="preserve"> d’asile</w:t>
      </w:r>
    </w:p>
    <w:p w:rsidR="009A024B" w:rsidRPr="00B01299" w:rsidRDefault="009A024B" w:rsidP="00776C3A">
      <w:pPr>
        <w:pStyle w:val="TKTEXTE"/>
        <w:rPr>
          <w:lang w:val="fr-FR"/>
        </w:rPr>
      </w:pPr>
      <w:r>
        <w:rPr>
          <w:lang w:val="fr-FR"/>
        </w:rPr>
        <w:t>Chaque pays interprète la législation internationale pertinente de façon à définir ses propres procédures d’asile, c’est-à-dire les procédures mises en œuvre pour évaluer les demandes d’asile, à l’issue desquelles il est décidé d’accorder ou de refuser le statut de réfugié ou une autre forme de protection</w:t>
      </w:r>
      <w:r w:rsidRPr="0068630F">
        <w:rPr>
          <w:lang w:val="fr-FR"/>
        </w:rPr>
        <w:t xml:space="preserve">. </w:t>
      </w:r>
      <w:r>
        <w:rPr>
          <w:lang w:val="fr-FR"/>
        </w:rPr>
        <w:t xml:space="preserve">Depuis plusieurs années, l’Union européenne s’efforce de définir des normes communes pour les </w:t>
      </w:r>
      <w:r w:rsidRPr="00776C3A">
        <w:rPr>
          <w:lang w:val="fr-FR"/>
        </w:rPr>
        <w:t>protections et garanties d’accès à une procédure d’asile équitable et efficace</w:t>
      </w:r>
      <w:r>
        <w:rPr>
          <w:lang w:val="fr-FR"/>
        </w:rPr>
        <w:t xml:space="preserve">, de sorte à ce que les décisions puissent effectivement être prises de façon équitable et efficace et que tous les États membres appliquent des normes de qualité </w:t>
      </w:r>
      <w:r>
        <w:rPr>
          <w:lang w:val="fr-FR"/>
        </w:rPr>
        <w:lastRenderedPageBreak/>
        <w:t>communes et cohérentes lors de l’examen des demandes</w:t>
      </w:r>
      <w:r w:rsidRPr="0068630F">
        <w:rPr>
          <w:lang w:val="fr-FR"/>
        </w:rPr>
        <w:t xml:space="preserve">. </w:t>
      </w:r>
      <w:r>
        <w:rPr>
          <w:lang w:val="fr-FR"/>
        </w:rPr>
        <w:t>Les procédures d’asile varient selon les pays, voire selon les régions au sein d’un même pays</w:t>
      </w:r>
      <w:r w:rsidRPr="0068630F">
        <w:rPr>
          <w:lang w:val="fr-FR"/>
        </w:rPr>
        <w:t xml:space="preserve">. </w:t>
      </w:r>
      <w:r>
        <w:rPr>
          <w:lang w:val="fr-FR"/>
        </w:rPr>
        <w:t xml:space="preserve">C’est pourquoi les réfugiés ne devraient être conseillés que </w:t>
      </w:r>
      <w:r w:rsidRPr="00B01299">
        <w:rPr>
          <w:lang w:val="fr-FR"/>
        </w:rPr>
        <w:t xml:space="preserve">par des juristes. Des informations plus détaillées à cet égard sont disponibles sur le </w:t>
      </w:r>
      <w:hyperlink r:id="rId18" w:history="1">
        <w:r w:rsidRPr="00B01299">
          <w:rPr>
            <w:rStyle w:val="Lienhypertexte"/>
            <w:u w:val="none"/>
            <w:lang w:val="fr-FR"/>
          </w:rPr>
          <w:t>site internet du Bureau européen d'appui en matière d'asile (EASO, en anglais)</w:t>
        </w:r>
      </w:hyperlink>
      <w:r w:rsidRPr="00B01299">
        <w:rPr>
          <w:lang w:val="fr-FR"/>
        </w:rPr>
        <w:t>, une agence créée par l’UE pour soutenir les États membres et faciliter la mise au point de procédures d’asile communes au sein de l’Union.</w:t>
      </w:r>
    </w:p>
    <w:p w:rsidR="009A024B" w:rsidRPr="00B01299" w:rsidRDefault="009A024B" w:rsidP="0050334F">
      <w:pPr>
        <w:pStyle w:val="TKTEXTE"/>
        <w:rPr>
          <w:lang w:val="fr-FR"/>
        </w:rPr>
      </w:pPr>
      <w:r w:rsidRPr="00B01299">
        <w:rPr>
          <w:lang w:val="fr-FR"/>
        </w:rPr>
        <w:t xml:space="preserve">Un descriptif des différentes procédures d’asile est disponible </w:t>
      </w:r>
      <w:hyperlink r:id="rId19" w:history="1">
        <w:r w:rsidRPr="00B01299">
          <w:rPr>
            <w:rStyle w:val="Lienhypertexte"/>
            <w:u w:val="none"/>
            <w:lang w:val="fr-FR"/>
          </w:rPr>
          <w:t>ici</w:t>
        </w:r>
      </w:hyperlink>
      <w:r w:rsidRPr="00B01299">
        <w:rPr>
          <w:lang w:val="fr-FR"/>
        </w:rPr>
        <w:t>.</w:t>
      </w:r>
    </w:p>
    <w:p w:rsidR="009A024B" w:rsidRPr="0068630F" w:rsidRDefault="009A024B" w:rsidP="006355E0">
      <w:pPr>
        <w:pStyle w:val="TKTITRE3"/>
        <w:rPr>
          <w:lang w:val="fr-FR"/>
        </w:rPr>
      </w:pPr>
      <w:r w:rsidRPr="0068630F">
        <w:rPr>
          <w:lang w:val="fr-FR"/>
        </w:rPr>
        <w:t>Migrant</w:t>
      </w:r>
    </w:p>
    <w:p w:rsidR="009A024B" w:rsidRPr="0068630F" w:rsidRDefault="009A024B" w:rsidP="003C60BD">
      <w:pPr>
        <w:pStyle w:val="TKTEXTE"/>
        <w:rPr>
          <w:lang w:val="fr-FR"/>
        </w:rPr>
      </w:pPr>
      <w:r>
        <w:rPr>
          <w:lang w:val="fr-FR"/>
        </w:rPr>
        <w:t xml:space="preserve">Selon l’Organisation internationale pour les migrations (OIM), est considéré comme « migrant » tout individu </w:t>
      </w:r>
      <w:r w:rsidRPr="00250628">
        <w:rPr>
          <w:lang w:val="fr-FR"/>
        </w:rPr>
        <w:t xml:space="preserve">qui, quittant son lieu de résidence habituelle, franchit ou a franchi une frontière internationale </w:t>
      </w:r>
      <w:r>
        <w:rPr>
          <w:lang w:val="fr-FR"/>
        </w:rPr>
        <w:t xml:space="preserve">ou se déplace ou s’est déplacé </w:t>
      </w:r>
      <w:r w:rsidRPr="00250628">
        <w:rPr>
          <w:lang w:val="fr-FR"/>
        </w:rPr>
        <w:t xml:space="preserve">à l’intérieur d’un </w:t>
      </w:r>
      <w:r>
        <w:rPr>
          <w:lang w:val="fr-FR"/>
        </w:rPr>
        <w:t>État, quels que soient le statut juridique de cet individu,</w:t>
      </w:r>
      <w:r w:rsidRPr="00250628">
        <w:rPr>
          <w:lang w:val="fr-FR"/>
        </w:rPr>
        <w:t xml:space="preserve"> le caractère, volontaire ou in</w:t>
      </w:r>
      <w:r>
        <w:rPr>
          <w:lang w:val="fr-FR"/>
        </w:rPr>
        <w:t>volontaire, du déplacement, les causes de ce déplacement ou</w:t>
      </w:r>
      <w:r w:rsidRPr="00250628">
        <w:rPr>
          <w:lang w:val="fr-FR"/>
        </w:rPr>
        <w:t xml:space="preserve"> la durée du séjour</w:t>
      </w:r>
      <w:r w:rsidRPr="0068630F">
        <w:rPr>
          <w:lang w:val="fr-FR"/>
        </w:rPr>
        <w:t>.</w:t>
      </w:r>
    </w:p>
    <w:p w:rsidR="009A024B" w:rsidRPr="0068630F" w:rsidRDefault="009A024B" w:rsidP="003C60BD">
      <w:pPr>
        <w:pStyle w:val="TKTEXTE"/>
        <w:rPr>
          <w:lang w:val="fr-FR"/>
        </w:rPr>
      </w:pPr>
      <w:r>
        <w:rPr>
          <w:lang w:val="fr-FR"/>
        </w:rPr>
        <w:t>Les migrants quittent leur pays d’origine pour des raisons diverses, au premier rang desquelles figurent l’extrême pauvreté et autres formes de misère</w:t>
      </w:r>
      <w:r w:rsidRPr="0068630F">
        <w:rPr>
          <w:lang w:val="fr-FR"/>
        </w:rPr>
        <w:t xml:space="preserve">. </w:t>
      </w:r>
      <w:r>
        <w:rPr>
          <w:lang w:val="fr-FR"/>
        </w:rPr>
        <w:t>Si l’accueil des demandeurs d’asile est régi par des traités internationaux, celui des autres catégories de migrants est régi par le droit national</w:t>
      </w:r>
      <w:r w:rsidRPr="0068630F">
        <w:rPr>
          <w:lang w:val="fr-FR"/>
        </w:rPr>
        <w:t>.</w:t>
      </w:r>
    </w:p>
    <w:p w:rsidR="009A024B" w:rsidRPr="0068630F" w:rsidRDefault="009A024B" w:rsidP="003C60BD">
      <w:pPr>
        <w:pStyle w:val="TKTEXTE"/>
        <w:rPr>
          <w:lang w:val="fr-FR"/>
        </w:rPr>
      </w:pPr>
      <w:r>
        <w:rPr>
          <w:lang w:val="fr-FR"/>
        </w:rPr>
        <w:t>De façon générale, et dans le cadre de ses activités visant à faciliter l’intégration linguistique des migrants adultes en particulier, le Conseil de</w:t>
      </w:r>
      <w:r w:rsidRPr="0068630F">
        <w:rPr>
          <w:lang w:val="fr-FR"/>
        </w:rPr>
        <w:t xml:space="preserve"> </w:t>
      </w:r>
      <w:r>
        <w:rPr>
          <w:lang w:val="fr-FR"/>
        </w:rPr>
        <w:t>l’</w:t>
      </w:r>
      <w:r w:rsidRPr="0068630F">
        <w:rPr>
          <w:lang w:val="fr-FR"/>
        </w:rPr>
        <w:t>Europe</w:t>
      </w:r>
      <w:r>
        <w:rPr>
          <w:lang w:val="fr-FR"/>
        </w:rPr>
        <w:t xml:space="preserve"> désigne par « migrants » toute personne ayant quitté son pays d’origine, y compris les demandeurs d’asile et les personnes qui bénéficient du statut de réfugié ou d’un type de protection similaire, ainsi que les migrants dits « économiques »</w:t>
      </w:r>
      <w:r w:rsidRPr="0068630F">
        <w:rPr>
          <w:lang w:val="fr-FR"/>
        </w:rPr>
        <w:t>.</w:t>
      </w:r>
    </w:p>
    <w:p w:rsidR="009A024B" w:rsidRPr="00B01299" w:rsidRDefault="009A024B" w:rsidP="0050334F">
      <w:pPr>
        <w:pStyle w:val="TKnotes"/>
        <w:rPr>
          <w:rFonts w:cs="Arial"/>
          <w:lang w:val="fr-FR"/>
        </w:rPr>
      </w:pPr>
      <w:bookmarkStart w:id="0" w:name="_GoBack"/>
      <w:r w:rsidRPr="00B01299">
        <w:rPr>
          <w:lang w:val="fr-FR"/>
        </w:rPr>
        <w:t xml:space="preserve">Source : </w:t>
      </w:r>
      <w:hyperlink r:id="rId20" w:history="1">
        <w:r w:rsidRPr="00B01299">
          <w:rPr>
            <w:rStyle w:val="Lienhypertexte"/>
            <w:u w:val="none"/>
            <w:lang w:val="fr-FR"/>
          </w:rPr>
          <w:t>Glossaire de l'OIM sur les migrations</w:t>
        </w:r>
      </w:hyperlink>
      <w:r w:rsidRPr="00B01299">
        <w:rPr>
          <w:color w:val="444444"/>
          <w:lang w:val="fr-FR"/>
        </w:rPr>
        <w:t>.</w:t>
      </w:r>
    </w:p>
    <w:bookmarkEnd w:id="0"/>
    <w:p w:rsidR="009A024B" w:rsidRPr="0068630F" w:rsidRDefault="009A024B" w:rsidP="006355E0">
      <w:pPr>
        <w:pStyle w:val="TKTITRE2"/>
        <w:rPr>
          <w:rFonts w:cs="Arial"/>
          <w:lang w:val="fr-FR"/>
        </w:rPr>
      </w:pPr>
      <w:r>
        <w:rPr>
          <w:lang w:val="fr-FR"/>
        </w:rPr>
        <w:t>Les droits des migrants et des réfugiés</w:t>
      </w:r>
    </w:p>
    <w:p w:rsidR="009A024B" w:rsidRPr="0068630F" w:rsidRDefault="009A024B" w:rsidP="0050334F">
      <w:pPr>
        <w:pStyle w:val="TKTEXTE"/>
        <w:rPr>
          <w:lang w:val="fr-FR"/>
        </w:rPr>
      </w:pPr>
      <w:r>
        <w:rPr>
          <w:lang w:val="fr-FR"/>
        </w:rPr>
        <w:t>Les droits de ces personnes varient considérablement selon leur statut juridique</w:t>
      </w:r>
      <w:r w:rsidRPr="0068630F">
        <w:rPr>
          <w:lang w:val="fr-FR"/>
        </w:rPr>
        <w:t xml:space="preserve">. </w:t>
      </w:r>
      <w:r>
        <w:rPr>
          <w:lang w:val="fr-FR"/>
        </w:rPr>
        <w:t>Le statut de réfugié s’obtient généralement au terme d’un processus individuel qui peut prendre des mois</w:t>
      </w:r>
      <w:r w:rsidRPr="0068630F">
        <w:rPr>
          <w:lang w:val="fr-FR"/>
        </w:rPr>
        <w:t xml:space="preserve"> </w:t>
      </w:r>
      <w:r>
        <w:rPr>
          <w:lang w:val="fr-FR"/>
        </w:rPr>
        <w:t>selon le pays et la situation spécifique du demandeur d’asile</w:t>
      </w:r>
      <w:r w:rsidRPr="0068630F">
        <w:rPr>
          <w:lang w:val="fr-FR"/>
        </w:rPr>
        <w:t xml:space="preserve">. </w:t>
      </w:r>
      <w:r>
        <w:rPr>
          <w:lang w:val="fr-FR"/>
        </w:rPr>
        <w:t xml:space="preserve">Si l’octroi de ce statut s’accompagne d’un grand éventail de droits et autres mesures de soutien (y compris des cours de langue), les demandeurs d’asile dont la demande a été enregistrée ou les personnes qui n’ont pas encore déposé leur demande peuvent faire l’objet de mesures de restriction, notamment </w:t>
      </w:r>
      <w:r w:rsidRPr="0068630F">
        <w:rPr>
          <w:lang w:val="fr-FR"/>
        </w:rPr>
        <w:t>:</w:t>
      </w:r>
    </w:p>
    <w:p w:rsidR="009A024B" w:rsidRPr="0068630F" w:rsidRDefault="009A024B" w:rsidP="000D0A36">
      <w:pPr>
        <w:pStyle w:val="TKBulletLevel1"/>
        <w:rPr>
          <w:lang w:val="fr-FR"/>
        </w:rPr>
      </w:pPr>
      <w:proofErr w:type="gramStart"/>
      <w:r>
        <w:rPr>
          <w:lang w:val="fr-FR"/>
        </w:rPr>
        <w:t>l’interdiction</w:t>
      </w:r>
      <w:proofErr w:type="gramEnd"/>
      <w:r>
        <w:rPr>
          <w:lang w:val="fr-FR"/>
        </w:rPr>
        <w:t xml:space="preserve"> de sortir de l’enceinte de leur centre d’accueil ;</w:t>
      </w:r>
    </w:p>
    <w:p w:rsidR="009A024B" w:rsidRPr="0068630F" w:rsidRDefault="009A024B" w:rsidP="000D0A36">
      <w:pPr>
        <w:pStyle w:val="TKBulletLevel1"/>
        <w:rPr>
          <w:lang w:val="fr-FR"/>
        </w:rPr>
      </w:pPr>
      <w:proofErr w:type="gramStart"/>
      <w:r>
        <w:rPr>
          <w:lang w:val="fr-FR"/>
        </w:rPr>
        <w:t>l’interdiction</w:t>
      </w:r>
      <w:proofErr w:type="gramEnd"/>
      <w:r>
        <w:rPr>
          <w:lang w:val="fr-FR"/>
        </w:rPr>
        <w:t xml:space="preserve"> de quitter la ville ou la région où ils/elles se trouvent ;</w:t>
      </w:r>
    </w:p>
    <w:p w:rsidR="009A024B" w:rsidRPr="0068630F" w:rsidRDefault="009A024B" w:rsidP="000D0A36">
      <w:pPr>
        <w:pStyle w:val="TKBulletLevel1"/>
        <w:rPr>
          <w:lang w:val="fr-FR"/>
        </w:rPr>
      </w:pPr>
      <w:proofErr w:type="gramStart"/>
      <w:r>
        <w:rPr>
          <w:lang w:val="fr-FR"/>
        </w:rPr>
        <w:t>l’interdiction</w:t>
      </w:r>
      <w:proofErr w:type="gramEnd"/>
      <w:r>
        <w:rPr>
          <w:lang w:val="fr-FR"/>
        </w:rPr>
        <w:t xml:space="preserve"> de travailler</w:t>
      </w:r>
      <w:r w:rsidRPr="0068630F">
        <w:rPr>
          <w:lang w:val="fr-FR"/>
        </w:rPr>
        <w:t>.</w:t>
      </w:r>
    </w:p>
    <w:p w:rsidR="009A024B" w:rsidRPr="0068630F" w:rsidRDefault="009A024B" w:rsidP="00542DB8">
      <w:pPr>
        <w:pStyle w:val="TKTEXTE"/>
        <w:rPr>
          <w:lang w:val="fr-FR"/>
        </w:rPr>
      </w:pPr>
      <w:r>
        <w:rPr>
          <w:lang w:val="fr-FR"/>
        </w:rPr>
        <w:t>Toutefois, indépendamment de son statut juridique, toute personne a des droits fondamentaux, tels que le droit au logement, à la nourriture, à des soins de santé, et, dans le cas des enfants, à l’éducation</w:t>
      </w:r>
      <w:r w:rsidRPr="0068630F">
        <w:rPr>
          <w:lang w:val="fr-FR"/>
        </w:rPr>
        <w:t>.</w:t>
      </w:r>
    </w:p>
    <w:p w:rsidR="009A024B" w:rsidRPr="005D71DF" w:rsidRDefault="009A024B" w:rsidP="006355E0">
      <w:pPr>
        <w:pStyle w:val="TKTITRE2"/>
        <w:rPr>
          <w:rFonts w:cs="Arial"/>
          <w:lang w:val="fr-FR"/>
        </w:rPr>
      </w:pPr>
      <w:r w:rsidRPr="005D71DF">
        <w:rPr>
          <w:lang w:val="fr-FR"/>
        </w:rPr>
        <w:t>Quelques questions auxquelles il faut réfléchir</w:t>
      </w:r>
    </w:p>
    <w:p w:rsidR="009A024B" w:rsidRPr="0068630F" w:rsidRDefault="009A024B" w:rsidP="00542DB8">
      <w:pPr>
        <w:pStyle w:val="TKTEXTE"/>
        <w:rPr>
          <w:rFonts w:cs="Arial"/>
          <w:lang w:val="fr-FR"/>
        </w:rPr>
      </w:pPr>
      <w:r w:rsidRPr="005D71DF">
        <w:rPr>
          <w:lang w:val="fr-FR"/>
        </w:rPr>
        <w:t xml:space="preserve">Vous trouverez ci-dessous une liste de points à prendre en considération et sur lesquels vous devez vous renseigner avant de travailler en tant que volontaire auprès d’un groupe de réfugiés. Il serait judicieux </w:t>
      </w:r>
      <w:r>
        <w:rPr>
          <w:lang w:val="fr-FR"/>
        </w:rPr>
        <w:t xml:space="preserve">que vous vous informiez </w:t>
      </w:r>
      <w:r w:rsidRPr="005D71DF">
        <w:rPr>
          <w:lang w:val="fr-FR"/>
        </w:rPr>
        <w:t xml:space="preserve">sur la législation, les normes et la réglementation en vigueur dans votre contexte local. </w:t>
      </w:r>
      <w:r>
        <w:rPr>
          <w:lang w:val="fr-FR"/>
        </w:rPr>
        <w:t>Toutes</w:t>
      </w:r>
      <w:r w:rsidRPr="005D71DF">
        <w:rPr>
          <w:lang w:val="fr-FR"/>
        </w:rPr>
        <w:t xml:space="preserve"> les infractions aux mesures de restriction ci-dessus ne sont pas forcément illégales, par exemple</w:t>
      </w:r>
      <w:r>
        <w:rPr>
          <w:lang w:val="fr-FR"/>
        </w:rPr>
        <w:t xml:space="preserve">, mais il </w:t>
      </w:r>
      <w:r w:rsidRPr="005D71DF">
        <w:rPr>
          <w:lang w:val="fr-FR"/>
        </w:rPr>
        <w:t>est important que vous sachiez ce que les réfugiés sont autorisés à faire ou non dans votre région.</w:t>
      </w:r>
    </w:p>
    <w:p w:rsidR="009A024B" w:rsidRDefault="009A024B">
      <w:pPr>
        <w:rPr>
          <w:rFonts w:cs="Arial"/>
          <w:b/>
          <w:bCs/>
          <w:sz w:val="28"/>
          <w:szCs w:val="28"/>
        </w:rPr>
      </w:pPr>
    </w:p>
    <w:p w:rsidR="009A024B" w:rsidRPr="0068630F" w:rsidRDefault="008264FC" w:rsidP="006355E0">
      <w:pPr>
        <w:pStyle w:val="TKTITRE2"/>
        <w:rPr>
          <w:rFonts w:cs="Arial"/>
          <w:lang w:val="fr-FR"/>
        </w:rPr>
      </w:pPr>
      <w:r>
        <w:rPr>
          <w:lang w:val="fr-FR"/>
        </w:rPr>
        <w:br w:type="page"/>
      </w:r>
      <w:r w:rsidR="009A024B">
        <w:rPr>
          <w:lang w:val="fr-FR"/>
        </w:rPr>
        <w:lastRenderedPageBreak/>
        <w:t>Activité de réflexion</w:t>
      </w:r>
    </w:p>
    <w:p w:rsidR="009A024B" w:rsidRPr="0068630F" w:rsidRDefault="009A024B" w:rsidP="003C60BD">
      <w:pPr>
        <w:pStyle w:val="TKNbrsLevel1"/>
      </w:pPr>
      <w:r>
        <w:t>D’après vous, quelles sont les questions à se poser avant de se lancer dans le volontariat ? N</w:t>
      </w:r>
      <w:r w:rsidRPr="0068630F">
        <w:t>ote</w:t>
      </w:r>
      <w:r>
        <w:t>z ces points</w:t>
      </w:r>
      <w:r w:rsidRPr="0068630F">
        <w:t>.</w:t>
      </w:r>
    </w:p>
    <w:p w:rsidR="009A024B" w:rsidRPr="0068630F" w:rsidRDefault="009A024B" w:rsidP="00597B0C">
      <w:pPr>
        <w:pStyle w:val="TKNbrsLevel1"/>
        <w:spacing w:after="120"/>
      </w:pPr>
      <w:r>
        <w:t>Examinez la</w:t>
      </w:r>
      <w:r w:rsidRPr="0068630F">
        <w:t xml:space="preserve"> list</w:t>
      </w:r>
      <w:r>
        <w:t>e</w:t>
      </w:r>
      <w:r w:rsidRPr="0068630F">
        <w:t xml:space="preserve"> </w:t>
      </w:r>
      <w:r>
        <w:t>ci-dessous et indiquez les points sur lesquels vous vous êtes déjà renseigné(e) et ceux qu’il vous faudra approfondir</w:t>
      </w:r>
      <w:r w:rsidRPr="0068630F">
        <w:t xml:space="preserve"> </w:t>
      </w:r>
      <w:r>
        <w:t>avant de vous lancer dans le volontariat (voir également l’Outil n°</w:t>
      </w:r>
      <w:r w:rsidRPr="0068630F">
        <w:t>10</w:t>
      </w:r>
      <w:r>
        <w:t>, intitulé</w:t>
      </w:r>
      <w:r w:rsidRPr="0068630F">
        <w:t xml:space="preserve"> </w:t>
      </w:r>
      <w:r>
        <w:t>« </w:t>
      </w:r>
      <w:hyperlink r:id="rId21" w:history="1">
        <w:r w:rsidRPr="009563CF">
          <w:rPr>
            <w:rStyle w:val="Lienhypertexte"/>
            <w:i/>
            <w:iCs/>
            <w:u w:val="none"/>
          </w:rPr>
          <w:t>Que suppose l’accompagnement linguistique des réfugiés?</w:t>
        </w:r>
      </w:hyperlink>
      <w:r w:rsidRPr="009563CF">
        <w:rPr>
          <w:rFonts w:cs="Arial"/>
          <w:i/>
          <w:iCs/>
        </w:rPr>
        <w:t> </w:t>
      </w:r>
      <w:r w:rsidRPr="009563CF">
        <w:rPr>
          <w:i/>
          <w:iCs/>
        </w:rPr>
        <w:t>»</w:t>
      </w:r>
      <w:r w:rsidRPr="0068630F">
        <w:t>).</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5"/>
        <w:gridCol w:w="1641"/>
        <w:gridCol w:w="1704"/>
        <w:gridCol w:w="1899"/>
      </w:tblGrid>
      <w:tr w:rsidR="009A024B" w:rsidRPr="0068630F" w:rsidTr="003F6359">
        <w:trPr>
          <w:trHeight w:val="811"/>
        </w:trPr>
        <w:tc>
          <w:tcPr>
            <w:tcW w:w="2526" w:type="pct"/>
          </w:tcPr>
          <w:p w:rsidR="009A024B" w:rsidRPr="0068630F" w:rsidRDefault="009A024B" w:rsidP="008C7394">
            <w:pPr>
              <w:pStyle w:val="TKTextetableau"/>
              <w:rPr>
                <w:rFonts w:cs="Arial"/>
                <w:b/>
                <w:bCs/>
                <w:lang w:val="fr-FR"/>
              </w:rPr>
            </w:pPr>
            <w:r w:rsidRPr="0068630F">
              <w:rPr>
                <w:rFonts w:cs="Arial"/>
                <w:b/>
                <w:bCs/>
                <w:lang w:val="fr-FR"/>
              </w:rPr>
              <w:br w:type="page"/>
            </w:r>
            <w:r w:rsidRPr="0068630F">
              <w:rPr>
                <w:rFonts w:cs="Arial"/>
                <w:b/>
                <w:bCs/>
                <w:lang w:val="fr-FR"/>
              </w:rPr>
              <w:br w:type="page"/>
            </w:r>
            <w:r w:rsidRPr="0068630F">
              <w:rPr>
                <w:rFonts w:cs="Arial"/>
                <w:b/>
                <w:bCs/>
                <w:lang w:val="fr-FR"/>
              </w:rPr>
              <w:br w:type="page"/>
            </w:r>
            <w:r w:rsidRPr="0068630F">
              <w:rPr>
                <w:rFonts w:cs="Arial"/>
                <w:b/>
                <w:bCs/>
                <w:lang w:val="fr-FR"/>
              </w:rPr>
              <w:br w:type="page"/>
            </w:r>
            <w:r w:rsidRPr="0068630F">
              <w:rPr>
                <w:rFonts w:cs="Arial"/>
                <w:b/>
                <w:bCs/>
                <w:lang w:val="fr-FR"/>
              </w:rPr>
              <w:br w:type="page"/>
            </w:r>
            <w:r>
              <w:rPr>
                <w:b/>
                <w:bCs/>
                <w:lang w:val="fr-FR"/>
              </w:rPr>
              <w:t>Réflexion sur certains points généraux</w:t>
            </w:r>
            <w:r w:rsidRPr="0068630F">
              <w:rPr>
                <w:b/>
                <w:bCs/>
                <w:lang w:val="fr-FR"/>
              </w:rPr>
              <w:t xml:space="preserve"> </w:t>
            </w:r>
            <w:r>
              <w:rPr>
                <w:b/>
                <w:bCs/>
                <w:lang w:val="fr-FR"/>
              </w:rPr>
              <w:t xml:space="preserve">pertinents pour les volontaires qui travaillent auprès de réfugiés </w:t>
            </w:r>
          </w:p>
        </w:tc>
        <w:tc>
          <w:tcPr>
            <w:tcW w:w="774" w:type="pct"/>
          </w:tcPr>
          <w:p w:rsidR="009A024B" w:rsidRPr="0068630F" w:rsidRDefault="009A024B" w:rsidP="008C7394">
            <w:pPr>
              <w:pStyle w:val="TKTextetableau"/>
              <w:jc w:val="center"/>
              <w:rPr>
                <w:b/>
                <w:bCs/>
                <w:lang w:val="fr-FR"/>
              </w:rPr>
            </w:pPr>
            <w:r>
              <w:rPr>
                <w:b/>
                <w:bCs/>
                <w:lang w:val="fr-FR"/>
              </w:rPr>
              <w:t>Ce point n’est pas pertinent pour moi</w:t>
            </w:r>
            <w:r w:rsidRPr="0068630F">
              <w:rPr>
                <w:b/>
                <w:bCs/>
                <w:lang w:val="fr-FR"/>
              </w:rPr>
              <w:t xml:space="preserve"> (√)</w:t>
            </w:r>
          </w:p>
        </w:tc>
        <w:tc>
          <w:tcPr>
            <w:tcW w:w="804" w:type="pct"/>
          </w:tcPr>
          <w:p w:rsidR="009A024B" w:rsidRDefault="009A024B" w:rsidP="008C7394">
            <w:pPr>
              <w:pStyle w:val="TKTextetableau"/>
              <w:jc w:val="center"/>
              <w:rPr>
                <w:b/>
                <w:bCs/>
                <w:lang w:val="fr-FR"/>
              </w:rPr>
            </w:pPr>
            <w:r>
              <w:rPr>
                <w:b/>
                <w:bCs/>
                <w:lang w:val="fr-FR"/>
              </w:rPr>
              <w:t>Je me suis déjà renseigné(e) sur ce point</w:t>
            </w:r>
          </w:p>
          <w:p w:rsidR="009A024B" w:rsidRPr="0068630F" w:rsidRDefault="009A024B" w:rsidP="008C7394">
            <w:pPr>
              <w:pStyle w:val="TKTextetableau"/>
              <w:jc w:val="center"/>
              <w:rPr>
                <w:b/>
                <w:bCs/>
                <w:lang w:val="fr-FR"/>
              </w:rPr>
            </w:pPr>
            <w:r w:rsidRPr="0068630F">
              <w:rPr>
                <w:b/>
                <w:bCs/>
                <w:lang w:val="fr-FR"/>
              </w:rPr>
              <w:t>(√)</w:t>
            </w:r>
          </w:p>
        </w:tc>
        <w:tc>
          <w:tcPr>
            <w:tcW w:w="896" w:type="pct"/>
          </w:tcPr>
          <w:p w:rsidR="009A024B" w:rsidRPr="0068630F" w:rsidRDefault="009A024B" w:rsidP="008C7394">
            <w:pPr>
              <w:pStyle w:val="TKTextetableau"/>
              <w:jc w:val="center"/>
              <w:rPr>
                <w:b/>
                <w:bCs/>
                <w:lang w:val="fr-FR"/>
              </w:rPr>
            </w:pPr>
            <w:r>
              <w:rPr>
                <w:b/>
                <w:bCs/>
                <w:lang w:val="fr-FR"/>
              </w:rPr>
              <w:t>Je dois me renseigner avant de faire quoi que ce soit</w:t>
            </w:r>
            <w:r w:rsidRPr="0068630F">
              <w:rPr>
                <w:b/>
                <w:bCs/>
                <w:lang w:val="fr-FR"/>
              </w:rPr>
              <w:t xml:space="preserve"> (X)</w:t>
            </w:r>
          </w:p>
        </w:tc>
      </w:tr>
      <w:tr w:rsidR="009A024B" w:rsidRPr="0068630F" w:rsidTr="003F6359">
        <w:trPr>
          <w:trHeight w:val="685"/>
        </w:trPr>
        <w:tc>
          <w:tcPr>
            <w:tcW w:w="2526" w:type="pct"/>
            <w:shd w:val="clear" w:color="auto" w:fill="D9D9D9"/>
          </w:tcPr>
          <w:p w:rsidR="009A024B" w:rsidRPr="0068630F" w:rsidRDefault="009A024B" w:rsidP="008C7394">
            <w:pPr>
              <w:pStyle w:val="TKTextetableau"/>
              <w:rPr>
                <w:rFonts w:cs="Arial"/>
                <w:lang w:val="fr-FR"/>
              </w:rPr>
            </w:pPr>
            <w:r>
              <w:rPr>
                <w:lang w:val="fr-FR"/>
              </w:rPr>
              <w:t xml:space="preserve">Puis-je proposer à des réfugiés de les déposer quelque part en voiture ? </w:t>
            </w:r>
          </w:p>
        </w:tc>
        <w:tc>
          <w:tcPr>
            <w:tcW w:w="774" w:type="pct"/>
            <w:shd w:val="clear" w:color="auto" w:fill="D9D9D9"/>
          </w:tcPr>
          <w:p w:rsidR="009A024B" w:rsidRPr="0068630F" w:rsidRDefault="009A024B" w:rsidP="008C7394">
            <w:pPr>
              <w:pStyle w:val="TKTextetableau"/>
              <w:rPr>
                <w:rFonts w:cs="Arial"/>
                <w:lang w:val="fr-FR"/>
              </w:rPr>
            </w:pPr>
          </w:p>
        </w:tc>
        <w:tc>
          <w:tcPr>
            <w:tcW w:w="804" w:type="pct"/>
            <w:shd w:val="clear" w:color="auto" w:fill="D9D9D9"/>
          </w:tcPr>
          <w:p w:rsidR="009A024B" w:rsidRPr="0068630F" w:rsidRDefault="009A024B" w:rsidP="008C7394">
            <w:pPr>
              <w:pStyle w:val="TKTextetableau"/>
              <w:rPr>
                <w:rFonts w:cs="Arial"/>
                <w:lang w:val="fr-FR"/>
              </w:rPr>
            </w:pPr>
          </w:p>
        </w:tc>
        <w:tc>
          <w:tcPr>
            <w:tcW w:w="896" w:type="pct"/>
            <w:shd w:val="clear" w:color="auto" w:fill="D9D9D9"/>
          </w:tcPr>
          <w:p w:rsidR="009A024B" w:rsidRPr="0068630F" w:rsidRDefault="009A024B" w:rsidP="008C7394">
            <w:pPr>
              <w:pStyle w:val="TKTextetableau"/>
              <w:rPr>
                <w:rFonts w:cs="Arial"/>
                <w:lang w:val="fr-FR"/>
              </w:rPr>
            </w:pPr>
          </w:p>
        </w:tc>
      </w:tr>
      <w:tr w:rsidR="009A024B" w:rsidRPr="0068630F" w:rsidTr="003F6359">
        <w:trPr>
          <w:trHeight w:val="709"/>
        </w:trPr>
        <w:tc>
          <w:tcPr>
            <w:tcW w:w="2526" w:type="pct"/>
          </w:tcPr>
          <w:p w:rsidR="009A024B" w:rsidRPr="0068630F" w:rsidRDefault="009A024B" w:rsidP="008C7394">
            <w:pPr>
              <w:pStyle w:val="TKTextetableau"/>
              <w:rPr>
                <w:lang w:val="fr-FR"/>
              </w:rPr>
            </w:pPr>
            <w:r>
              <w:rPr>
                <w:lang w:val="fr-FR"/>
              </w:rPr>
              <w:t>Puis-je autoriser des réfugiés</w:t>
            </w:r>
            <w:r w:rsidRPr="0068630F">
              <w:rPr>
                <w:lang w:val="fr-FR"/>
              </w:rPr>
              <w:t xml:space="preserve"> </w:t>
            </w:r>
            <w:r>
              <w:rPr>
                <w:lang w:val="fr-FR"/>
              </w:rPr>
              <w:t xml:space="preserve">à loger dans un appartement ou </w:t>
            </w:r>
            <w:proofErr w:type="gramStart"/>
            <w:r>
              <w:rPr>
                <w:lang w:val="fr-FR"/>
              </w:rPr>
              <w:t>une maison privé</w:t>
            </w:r>
            <w:proofErr w:type="gramEnd"/>
            <w:r>
              <w:rPr>
                <w:lang w:val="fr-FR"/>
              </w:rPr>
              <w:t xml:space="preserve">(e) </w:t>
            </w:r>
            <w:r w:rsidRPr="0068630F">
              <w:rPr>
                <w:lang w:val="fr-FR"/>
              </w:rPr>
              <w:t>?</w:t>
            </w:r>
          </w:p>
        </w:tc>
        <w:tc>
          <w:tcPr>
            <w:tcW w:w="774" w:type="pct"/>
          </w:tcPr>
          <w:p w:rsidR="009A024B" w:rsidRPr="0068630F" w:rsidRDefault="009A024B" w:rsidP="008C7394">
            <w:pPr>
              <w:pStyle w:val="TKTextetableau"/>
              <w:rPr>
                <w:rFonts w:cs="Arial"/>
                <w:lang w:val="fr-FR"/>
              </w:rPr>
            </w:pPr>
          </w:p>
        </w:tc>
        <w:tc>
          <w:tcPr>
            <w:tcW w:w="804" w:type="pct"/>
          </w:tcPr>
          <w:p w:rsidR="009A024B" w:rsidRPr="0068630F" w:rsidRDefault="009A024B" w:rsidP="008C7394">
            <w:pPr>
              <w:pStyle w:val="TKTextetableau"/>
              <w:rPr>
                <w:rFonts w:cs="Arial"/>
                <w:lang w:val="fr-FR"/>
              </w:rPr>
            </w:pPr>
          </w:p>
        </w:tc>
        <w:tc>
          <w:tcPr>
            <w:tcW w:w="896" w:type="pct"/>
          </w:tcPr>
          <w:p w:rsidR="009A024B" w:rsidRPr="0068630F" w:rsidRDefault="009A024B" w:rsidP="008C7394">
            <w:pPr>
              <w:pStyle w:val="TKTextetableau"/>
              <w:rPr>
                <w:rFonts w:cs="Arial"/>
                <w:lang w:val="fr-FR"/>
              </w:rPr>
            </w:pPr>
          </w:p>
        </w:tc>
      </w:tr>
      <w:tr w:rsidR="009A024B" w:rsidRPr="0068630F" w:rsidTr="003F6359">
        <w:trPr>
          <w:trHeight w:val="692"/>
        </w:trPr>
        <w:tc>
          <w:tcPr>
            <w:tcW w:w="2526" w:type="pct"/>
            <w:shd w:val="clear" w:color="auto" w:fill="D9D9D9"/>
          </w:tcPr>
          <w:p w:rsidR="009A024B" w:rsidRPr="0068630F" w:rsidRDefault="009A024B" w:rsidP="008C7394">
            <w:pPr>
              <w:pStyle w:val="TKTextetableau"/>
              <w:rPr>
                <w:lang w:val="fr-FR"/>
              </w:rPr>
            </w:pPr>
            <w:r>
              <w:rPr>
                <w:lang w:val="fr-FR"/>
              </w:rPr>
              <w:t xml:space="preserve">Est-il autorisé de proposer un emploi aux réfugiés, qu’il soit rémunéré ou non </w:t>
            </w:r>
            <w:r w:rsidRPr="0068630F">
              <w:rPr>
                <w:lang w:val="fr-FR"/>
              </w:rPr>
              <w:t>?</w:t>
            </w:r>
          </w:p>
        </w:tc>
        <w:tc>
          <w:tcPr>
            <w:tcW w:w="774" w:type="pct"/>
            <w:shd w:val="clear" w:color="auto" w:fill="D9D9D9"/>
          </w:tcPr>
          <w:p w:rsidR="009A024B" w:rsidRPr="0068630F" w:rsidRDefault="009A024B" w:rsidP="008C7394">
            <w:pPr>
              <w:pStyle w:val="TKTextetableau"/>
              <w:rPr>
                <w:rFonts w:cs="Arial"/>
                <w:lang w:val="fr-FR"/>
              </w:rPr>
            </w:pPr>
          </w:p>
        </w:tc>
        <w:tc>
          <w:tcPr>
            <w:tcW w:w="804" w:type="pct"/>
            <w:shd w:val="clear" w:color="auto" w:fill="D9D9D9"/>
          </w:tcPr>
          <w:p w:rsidR="009A024B" w:rsidRPr="0068630F" w:rsidRDefault="009A024B" w:rsidP="008C7394">
            <w:pPr>
              <w:pStyle w:val="TKTextetableau"/>
              <w:rPr>
                <w:rFonts w:cs="Arial"/>
                <w:lang w:val="fr-FR"/>
              </w:rPr>
            </w:pPr>
          </w:p>
        </w:tc>
        <w:tc>
          <w:tcPr>
            <w:tcW w:w="896" w:type="pct"/>
            <w:shd w:val="clear" w:color="auto" w:fill="D9D9D9"/>
          </w:tcPr>
          <w:p w:rsidR="009A024B" w:rsidRPr="0068630F" w:rsidRDefault="009A024B" w:rsidP="008C7394">
            <w:pPr>
              <w:pStyle w:val="TKTextetableau"/>
              <w:rPr>
                <w:rFonts w:cs="Arial"/>
                <w:lang w:val="fr-FR"/>
              </w:rPr>
            </w:pPr>
          </w:p>
        </w:tc>
      </w:tr>
      <w:tr w:rsidR="009A024B" w:rsidRPr="0068630F" w:rsidTr="003F6359">
        <w:trPr>
          <w:trHeight w:val="985"/>
        </w:trPr>
        <w:tc>
          <w:tcPr>
            <w:tcW w:w="2526" w:type="pct"/>
          </w:tcPr>
          <w:p w:rsidR="009A024B" w:rsidRPr="0068630F" w:rsidRDefault="009A024B" w:rsidP="008C7394">
            <w:pPr>
              <w:pStyle w:val="TKTextetableau"/>
              <w:rPr>
                <w:lang w:val="fr-FR"/>
              </w:rPr>
            </w:pPr>
            <w:r>
              <w:rPr>
                <w:lang w:val="fr-FR"/>
              </w:rPr>
              <w:t>Puis-je faire des sorties avec des réfugiés, et, si oui, que se passe-t-il en cas de problème (accident, circulation sans titre de transport valide, etc.) </w:t>
            </w:r>
            <w:r w:rsidRPr="0068630F">
              <w:rPr>
                <w:lang w:val="fr-FR"/>
              </w:rPr>
              <w:t>?</w:t>
            </w:r>
          </w:p>
        </w:tc>
        <w:tc>
          <w:tcPr>
            <w:tcW w:w="774" w:type="pct"/>
          </w:tcPr>
          <w:p w:rsidR="009A024B" w:rsidRPr="0068630F" w:rsidRDefault="009A024B" w:rsidP="008C7394">
            <w:pPr>
              <w:pStyle w:val="TKTextetableau"/>
              <w:rPr>
                <w:rFonts w:cs="Arial"/>
                <w:lang w:val="fr-FR"/>
              </w:rPr>
            </w:pPr>
          </w:p>
        </w:tc>
        <w:tc>
          <w:tcPr>
            <w:tcW w:w="804" w:type="pct"/>
          </w:tcPr>
          <w:p w:rsidR="009A024B" w:rsidRPr="0068630F" w:rsidRDefault="009A024B" w:rsidP="008C7394">
            <w:pPr>
              <w:pStyle w:val="TKTextetableau"/>
              <w:rPr>
                <w:rFonts w:cs="Arial"/>
                <w:lang w:val="fr-FR"/>
              </w:rPr>
            </w:pPr>
          </w:p>
        </w:tc>
        <w:tc>
          <w:tcPr>
            <w:tcW w:w="896" w:type="pct"/>
          </w:tcPr>
          <w:p w:rsidR="009A024B" w:rsidRPr="0068630F" w:rsidRDefault="009A024B" w:rsidP="008C7394">
            <w:pPr>
              <w:pStyle w:val="TKTextetableau"/>
              <w:rPr>
                <w:rFonts w:cs="Arial"/>
                <w:lang w:val="fr-FR"/>
              </w:rPr>
            </w:pPr>
          </w:p>
        </w:tc>
      </w:tr>
      <w:tr w:rsidR="009A024B" w:rsidRPr="0068630F" w:rsidTr="003F6359">
        <w:trPr>
          <w:trHeight w:val="702"/>
        </w:trPr>
        <w:tc>
          <w:tcPr>
            <w:tcW w:w="2526" w:type="pct"/>
            <w:shd w:val="clear" w:color="auto" w:fill="D9D9D9"/>
          </w:tcPr>
          <w:p w:rsidR="009A024B" w:rsidRPr="0068630F" w:rsidRDefault="009A024B" w:rsidP="008C7394">
            <w:pPr>
              <w:pStyle w:val="TKTextetableau"/>
              <w:rPr>
                <w:lang w:val="fr-FR"/>
              </w:rPr>
            </w:pPr>
            <w:r>
              <w:rPr>
                <w:lang w:val="fr-FR"/>
              </w:rPr>
              <w:t>Puis-je collecter de l’argent avec / en faveur des réfugiés, en organisant un événement caritatif, par exemple </w:t>
            </w:r>
            <w:r w:rsidRPr="0068630F">
              <w:rPr>
                <w:lang w:val="fr-FR"/>
              </w:rPr>
              <w:t>?</w:t>
            </w:r>
          </w:p>
        </w:tc>
        <w:tc>
          <w:tcPr>
            <w:tcW w:w="774" w:type="pct"/>
            <w:shd w:val="clear" w:color="auto" w:fill="D9D9D9"/>
          </w:tcPr>
          <w:p w:rsidR="009A024B" w:rsidRPr="0068630F" w:rsidRDefault="009A024B" w:rsidP="008C7394">
            <w:pPr>
              <w:pStyle w:val="TKTextetableau"/>
              <w:rPr>
                <w:rFonts w:cs="Arial"/>
                <w:lang w:val="fr-FR"/>
              </w:rPr>
            </w:pPr>
          </w:p>
        </w:tc>
        <w:tc>
          <w:tcPr>
            <w:tcW w:w="804" w:type="pct"/>
            <w:shd w:val="clear" w:color="auto" w:fill="D9D9D9"/>
          </w:tcPr>
          <w:p w:rsidR="009A024B" w:rsidRPr="0068630F" w:rsidRDefault="009A024B" w:rsidP="008C7394">
            <w:pPr>
              <w:pStyle w:val="TKTextetableau"/>
              <w:rPr>
                <w:rFonts w:cs="Arial"/>
                <w:lang w:val="fr-FR"/>
              </w:rPr>
            </w:pPr>
          </w:p>
        </w:tc>
        <w:tc>
          <w:tcPr>
            <w:tcW w:w="896" w:type="pct"/>
            <w:shd w:val="clear" w:color="auto" w:fill="D9D9D9"/>
          </w:tcPr>
          <w:p w:rsidR="009A024B" w:rsidRPr="0068630F" w:rsidRDefault="009A024B" w:rsidP="008C7394">
            <w:pPr>
              <w:pStyle w:val="TKTextetableau"/>
              <w:rPr>
                <w:rFonts w:cs="Arial"/>
                <w:lang w:val="fr-FR"/>
              </w:rPr>
            </w:pPr>
          </w:p>
        </w:tc>
      </w:tr>
      <w:tr w:rsidR="009A024B" w:rsidRPr="0068630F" w:rsidTr="003F6359">
        <w:trPr>
          <w:trHeight w:val="853"/>
        </w:trPr>
        <w:tc>
          <w:tcPr>
            <w:tcW w:w="2526" w:type="pct"/>
          </w:tcPr>
          <w:p w:rsidR="009A024B" w:rsidRPr="0068630F" w:rsidRDefault="009A024B" w:rsidP="008C7394">
            <w:pPr>
              <w:pStyle w:val="TKTextetableau"/>
              <w:rPr>
                <w:rFonts w:cs="Arial"/>
                <w:lang w:val="fr-FR"/>
              </w:rPr>
            </w:pPr>
            <w:r>
              <w:rPr>
                <w:lang w:val="fr-FR"/>
              </w:rPr>
              <w:t xml:space="preserve">Puis-je cuisiner avec des réfugiés ou </w:t>
            </w:r>
            <w:r w:rsidRPr="00187237">
              <w:rPr>
                <w:lang w:val="fr-FR"/>
              </w:rPr>
              <w:t>organiser une activité culinaire à plus grande échelle dans le cadre d’une</w:t>
            </w:r>
            <w:r>
              <w:rPr>
                <w:lang w:val="fr-FR"/>
              </w:rPr>
              <w:t xml:space="preserve"> manifestation publique ou d’une fête ?</w:t>
            </w:r>
          </w:p>
        </w:tc>
        <w:tc>
          <w:tcPr>
            <w:tcW w:w="774" w:type="pct"/>
          </w:tcPr>
          <w:p w:rsidR="009A024B" w:rsidRPr="0068630F" w:rsidRDefault="009A024B" w:rsidP="008C7394">
            <w:pPr>
              <w:pStyle w:val="TKTextetableau"/>
              <w:rPr>
                <w:rFonts w:cs="Arial"/>
                <w:lang w:val="fr-FR"/>
              </w:rPr>
            </w:pPr>
          </w:p>
        </w:tc>
        <w:tc>
          <w:tcPr>
            <w:tcW w:w="804" w:type="pct"/>
          </w:tcPr>
          <w:p w:rsidR="009A024B" w:rsidRPr="0068630F" w:rsidRDefault="009A024B" w:rsidP="008C7394">
            <w:pPr>
              <w:pStyle w:val="TKTextetableau"/>
              <w:rPr>
                <w:rFonts w:cs="Arial"/>
                <w:lang w:val="fr-FR"/>
              </w:rPr>
            </w:pPr>
          </w:p>
        </w:tc>
        <w:tc>
          <w:tcPr>
            <w:tcW w:w="896" w:type="pct"/>
          </w:tcPr>
          <w:p w:rsidR="009A024B" w:rsidRPr="0068630F" w:rsidRDefault="009A024B" w:rsidP="008C7394">
            <w:pPr>
              <w:pStyle w:val="TKTextetableau"/>
              <w:rPr>
                <w:rFonts w:cs="Arial"/>
                <w:lang w:val="fr-FR"/>
              </w:rPr>
            </w:pPr>
          </w:p>
        </w:tc>
      </w:tr>
      <w:tr w:rsidR="009A024B" w:rsidRPr="0068630F" w:rsidTr="003F6359">
        <w:trPr>
          <w:trHeight w:val="1162"/>
        </w:trPr>
        <w:tc>
          <w:tcPr>
            <w:tcW w:w="2526" w:type="pct"/>
            <w:shd w:val="clear" w:color="auto" w:fill="D9D9D9"/>
          </w:tcPr>
          <w:p w:rsidR="009A024B" w:rsidRPr="0068630F" w:rsidRDefault="009A024B" w:rsidP="008C7394">
            <w:pPr>
              <w:pStyle w:val="TKTextetableau"/>
              <w:rPr>
                <w:rFonts w:cs="Arial"/>
                <w:lang w:val="fr-FR"/>
              </w:rPr>
            </w:pPr>
            <w:r>
              <w:rPr>
                <w:lang w:val="fr-FR"/>
              </w:rPr>
              <w:t>Qu’est-ce que je risque si je donne des conseils aux réfugiés ? Dans quelle mesure ma responsabilité sera-t-elle engagée si les informations que je leur donne (juridiques, médicales ou autres) sont inexactes</w:t>
            </w:r>
            <w:r>
              <w:rPr>
                <w:rFonts w:cs="Arial"/>
                <w:lang w:val="fr-FR"/>
              </w:rPr>
              <w:t> </w:t>
            </w:r>
            <w:r>
              <w:rPr>
                <w:lang w:val="fr-FR"/>
              </w:rPr>
              <w:t xml:space="preserve">? </w:t>
            </w:r>
          </w:p>
        </w:tc>
        <w:tc>
          <w:tcPr>
            <w:tcW w:w="774" w:type="pct"/>
            <w:shd w:val="clear" w:color="auto" w:fill="D9D9D9"/>
          </w:tcPr>
          <w:p w:rsidR="009A024B" w:rsidRPr="0068630F" w:rsidRDefault="009A024B" w:rsidP="008C7394">
            <w:pPr>
              <w:pStyle w:val="TKTextetableau"/>
              <w:rPr>
                <w:rFonts w:cs="Arial"/>
                <w:lang w:val="fr-FR"/>
              </w:rPr>
            </w:pPr>
          </w:p>
        </w:tc>
        <w:tc>
          <w:tcPr>
            <w:tcW w:w="804" w:type="pct"/>
            <w:shd w:val="clear" w:color="auto" w:fill="D9D9D9"/>
          </w:tcPr>
          <w:p w:rsidR="009A024B" w:rsidRPr="0068630F" w:rsidRDefault="009A024B" w:rsidP="008C7394">
            <w:pPr>
              <w:pStyle w:val="TKTextetableau"/>
              <w:rPr>
                <w:rFonts w:cs="Arial"/>
                <w:lang w:val="fr-FR"/>
              </w:rPr>
            </w:pPr>
          </w:p>
        </w:tc>
        <w:tc>
          <w:tcPr>
            <w:tcW w:w="896" w:type="pct"/>
            <w:shd w:val="clear" w:color="auto" w:fill="D9D9D9"/>
          </w:tcPr>
          <w:p w:rsidR="009A024B" w:rsidRPr="0068630F" w:rsidRDefault="009A024B" w:rsidP="008C7394">
            <w:pPr>
              <w:pStyle w:val="TKTextetableau"/>
              <w:rPr>
                <w:rFonts w:cs="Arial"/>
                <w:lang w:val="fr-FR"/>
              </w:rPr>
            </w:pPr>
          </w:p>
        </w:tc>
      </w:tr>
      <w:tr w:rsidR="009A024B" w:rsidRPr="0068630F" w:rsidTr="003F6359">
        <w:trPr>
          <w:trHeight w:val="639"/>
        </w:trPr>
        <w:tc>
          <w:tcPr>
            <w:tcW w:w="2526" w:type="pct"/>
          </w:tcPr>
          <w:p w:rsidR="009A024B" w:rsidRPr="0068630F" w:rsidRDefault="009A024B" w:rsidP="008C7394">
            <w:pPr>
              <w:pStyle w:val="TKTextetableau"/>
              <w:rPr>
                <w:rFonts w:cs="Arial"/>
                <w:lang w:val="fr-FR"/>
              </w:rPr>
            </w:pPr>
            <w:r>
              <w:rPr>
                <w:lang w:val="fr-FR"/>
              </w:rPr>
              <w:t>Suis-je obligé(e) d’informer les autorités de certaines choses ? Si oui, lesquelles ?</w:t>
            </w:r>
          </w:p>
        </w:tc>
        <w:tc>
          <w:tcPr>
            <w:tcW w:w="774" w:type="pct"/>
          </w:tcPr>
          <w:p w:rsidR="009A024B" w:rsidRPr="0068630F" w:rsidRDefault="009A024B" w:rsidP="008C7394">
            <w:pPr>
              <w:pStyle w:val="TKTextetableau"/>
              <w:rPr>
                <w:rFonts w:cs="Arial"/>
                <w:lang w:val="fr-FR"/>
              </w:rPr>
            </w:pPr>
          </w:p>
        </w:tc>
        <w:tc>
          <w:tcPr>
            <w:tcW w:w="804" w:type="pct"/>
          </w:tcPr>
          <w:p w:rsidR="009A024B" w:rsidRPr="0068630F" w:rsidRDefault="009A024B" w:rsidP="008C7394">
            <w:pPr>
              <w:pStyle w:val="TKTextetableau"/>
              <w:rPr>
                <w:rFonts w:cs="Arial"/>
                <w:lang w:val="fr-FR"/>
              </w:rPr>
            </w:pPr>
          </w:p>
        </w:tc>
        <w:tc>
          <w:tcPr>
            <w:tcW w:w="896" w:type="pct"/>
          </w:tcPr>
          <w:p w:rsidR="009A024B" w:rsidRPr="0068630F" w:rsidRDefault="009A024B" w:rsidP="008C7394">
            <w:pPr>
              <w:pStyle w:val="TKTextetableau"/>
              <w:rPr>
                <w:rFonts w:cs="Arial"/>
                <w:lang w:val="fr-FR"/>
              </w:rPr>
            </w:pPr>
          </w:p>
        </w:tc>
      </w:tr>
      <w:tr w:rsidR="009A024B" w:rsidRPr="0068630F" w:rsidTr="003F6359">
        <w:trPr>
          <w:trHeight w:val="691"/>
        </w:trPr>
        <w:tc>
          <w:tcPr>
            <w:tcW w:w="2526" w:type="pct"/>
            <w:shd w:val="clear" w:color="auto" w:fill="D9D9D9"/>
          </w:tcPr>
          <w:p w:rsidR="009A024B" w:rsidRPr="0068630F" w:rsidRDefault="009A024B" w:rsidP="008C7394">
            <w:pPr>
              <w:pStyle w:val="TKTextetableau"/>
              <w:rPr>
                <w:rFonts w:cs="Arial"/>
                <w:lang w:val="fr-FR"/>
              </w:rPr>
            </w:pPr>
            <w:r>
              <w:rPr>
                <w:lang w:val="fr-FR"/>
              </w:rPr>
              <w:t>Si je ne suis pas sûr(e) de moi sur certains points, à qui puis-je demander des conseils ou de l’aide ?</w:t>
            </w:r>
          </w:p>
        </w:tc>
        <w:tc>
          <w:tcPr>
            <w:tcW w:w="774" w:type="pct"/>
            <w:shd w:val="clear" w:color="auto" w:fill="D9D9D9"/>
          </w:tcPr>
          <w:p w:rsidR="009A024B" w:rsidRPr="0068630F" w:rsidRDefault="009A024B" w:rsidP="008C7394">
            <w:pPr>
              <w:pStyle w:val="TKTextetableau"/>
              <w:rPr>
                <w:rFonts w:cs="Arial"/>
                <w:lang w:val="fr-FR"/>
              </w:rPr>
            </w:pPr>
          </w:p>
        </w:tc>
        <w:tc>
          <w:tcPr>
            <w:tcW w:w="804" w:type="pct"/>
            <w:shd w:val="clear" w:color="auto" w:fill="D9D9D9"/>
          </w:tcPr>
          <w:p w:rsidR="009A024B" w:rsidRPr="0068630F" w:rsidRDefault="009A024B" w:rsidP="008C7394">
            <w:pPr>
              <w:pStyle w:val="TKTextetableau"/>
              <w:rPr>
                <w:rFonts w:cs="Arial"/>
                <w:lang w:val="fr-FR"/>
              </w:rPr>
            </w:pPr>
          </w:p>
        </w:tc>
        <w:tc>
          <w:tcPr>
            <w:tcW w:w="896" w:type="pct"/>
            <w:shd w:val="clear" w:color="auto" w:fill="D9D9D9"/>
          </w:tcPr>
          <w:p w:rsidR="009A024B" w:rsidRPr="0068630F" w:rsidRDefault="009A024B" w:rsidP="008C7394">
            <w:pPr>
              <w:pStyle w:val="TKTextetableau"/>
              <w:rPr>
                <w:rFonts w:cs="Arial"/>
                <w:lang w:val="fr-FR"/>
              </w:rPr>
            </w:pPr>
          </w:p>
        </w:tc>
      </w:tr>
      <w:tr w:rsidR="009A024B" w:rsidRPr="0068630F" w:rsidTr="003F6359">
        <w:trPr>
          <w:trHeight w:val="574"/>
        </w:trPr>
        <w:tc>
          <w:tcPr>
            <w:tcW w:w="2526" w:type="pct"/>
          </w:tcPr>
          <w:p w:rsidR="009A024B" w:rsidRPr="00BD752A" w:rsidRDefault="009A024B" w:rsidP="008C7394">
            <w:pPr>
              <w:pStyle w:val="TKTextetableau"/>
              <w:rPr>
                <w:lang w:val="fr-FR"/>
              </w:rPr>
            </w:pPr>
            <w:r w:rsidRPr="00BD752A">
              <w:rPr>
                <w:lang w:val="fr-FR"/>
              </w:rPr>
              <w:t>Y a-t-il des heures précises auxquelles les réfugiés doivent regagner leur lieu d’hébergement ?</w:t>
            </w:r>
          </w:p>
        </w:tc>
        <w:tc>
          <w:tcPr>
            <w:tcW w:w="774" w:type="pct"/>
          </w:tcPr>
          <w:p w:rsidR="009A024B" w:rsidRPr="0068630F" w:rsidRDefault="009A024B" w:rsidP="008C7394">
            <w:pPr>
              <w:pStyle w:val="TKTextetableau"/>
              <w:rPr>
                <w:rFonts w:cs="Arial"/>
                <w:lang w:val="fr-FR"/>
              </w:rPr>
            </w:pPr>
          </w:p>
        </w:tc>
        <w:tc>
          <w:tcPr>
            <w:tcW w:w="804" w:type="pct"/>
          </w:tcPr>
          <w:p w:rsidR="009A024B" w:rsidRPr="0068630F" w:rsidRDefault="009A024B" w:rsidP="008C7394">
            <w:pPr>
              <w:pStyle w:val="TKTextetableau"/>
              <w:rPr>
                <w:rFonts w:cs="Arial"/>
                <w:lang w:val="fr-FR"/>
              </w:rPr>
            </w:pPr>
          </w:p>
        </w:tc>
        <w:tc>
          <w:tcPr>
            <w:tcW w:w="896" w:type="pct"/>
          </w:tcPr>
          <w:p w:rsidR="009A024B" w:rsidRPr="0068630F" w:rsidRDefault="009A024B" w:rsidP="008C7394">
            <w:pPr>
              <w:pStyle w:val="TKTextetableau"/>
              <w:rPr>
                <w:rFonts w:cs="Arial"/>
                <w:lang w:val="fr-FR"/>
              </w:rPr>
            </w:pPr>
          </w:p>
        </w:tc>
      </w:tr>
      <w:tr w:rsidR="009A024B" w:rsidRPr="0068630F" w:rsidTr="003F6359">
        <w:trPr>
          <w:trHeight w:val="599"/>
        </w:trPr>
        <w:tc>
          <w:tcPr>
            <w:tcW w:w="2526" w:type="pct"/>
            <w:shd w:val="clear" w:color="auto" w:fill="D9D9D9"/>
          </w:tcPr>
          <w:p w:rsidR="009A024B" w:rsidRPr="0068630F" w:rsidRDefault="009A024B" w:rsidP="008C7394">
            <w:pPr>
              <w:pStyle w:val="TKTextetableau"/>
              <w:rPr>
                <w:rFonts w:cs="Arial"/>
                <w:lang w:val="fr-FR"/>
              </w:rPr>
            </w:pPr>
            <w:r>
              <w:rPr>
                <w:lang w:val="fr-FR"/>
              </w:rPr>
              <w:t xml:space="preserve">Y a-t-il des horaires de repas précis dans leur lieu d’hébergement ? </w:t>
            </w:r>
          </w:p>
        </w:tc>
        <w:tc>
          <w:tcPr>
            <w:tcW w:w="774" w:type="pct"/>
            <w:shd w:val="clear" w:color="auto" w:fill="D9D9D9"/>
          </w:tcPr>
          <w:p w:rsidR="009A024B" w:rsidRPr="0068630F" w:rsidRDefault="009A024B" w:rsidP="008C7394">
            <w:pPr>
              <w:pStyle w:val="TKTextetableau"/>
              <w:rPr>
                <w:rFonts w:cs="Arial"/>
                <w:lang w:val="fr-FR"/>
              </w:rPr>
            </w:pPr>
          </w:p>
        </w:tc>
        <w:tc>
          <w:tcPr>
            <w:tcW w:w="804" w:type="pct"/>
            <w:shd w:val="clear" w:color="auto" w:fill="D9D9D9"/>
          </w:tcPr>
          <w:p w:rsidR="009A024B" w:rsidRPr="0068630F" w:rsidRDefault="009A024B" w:rsidP="008C7394">
            <w:pPr>
              <w:pStyle w:val="TKTextetableau"/>
              <w:rPr>
                <w:rFonts w:cs="Arial"/>
                <w:lang w:val="fr-FR"/>
              </w:rPr>
            </w:pPr>
          </w:p>
        </w:tc>
        <w:tc>
          <w:tcPr>
            <w:tcW w:w="896" w:type="pct"/>
            <w:shd w:val="clear" w:color="auto" w:fill="D9D9D9"/>
          </w:tcPr>
          <w:p w:rsidR="009A024B" w:rsidRPr="0068630F" w:rsidRDefault="009A024B" w:rsidP="008C7394">
            <w:pPr>
              <w:pStyle w:val="TKTextetableau"/>
              <w:rPr>
                <w:rFonts w:cs="Arial"/>
                <w:lang w:val="fr-FR"/>
              </w:rPr>
            </w:pPr>
          </w:p>
        </w:tc>
      </w:tr>
      <w:tr w:rsidR="009A024B" w:rsidRPr="0068630F" w:rsidTr="003F6359">
        <w:trPr>
          <w:trHeight w:val="835"/>
        </w:trPr>
        <w:tc>
          <w:tcPr>
            <w:tcW w:w="2526" w:type="pct"/>
          </w:tcPr>
          <w:p w:rsidR="003F6359" w:rsidRPr="0068630F" w:rsidRDefault="009A024B" w:rsidP="008C7394">
            <w:pPr>
              <w:pStyle w:val="TKTextetableau"/>
              <w:rPr>
                <w:lang w:val="fr-FR"/>
              </w:rPr>
            </w:pPr>
            <w:r>
              <w:rPr>
                <w:lang w:val="fr-FR"/>
              </w:rPr>
              <w:t xml:space="preserve">Y a-t-il des règles concernant les déplacements des réfugiés (lieux dans lesquels ils peuvent se rendre, éloignement du centre de réception autorisé…) </w:t>
            </w:r>
            <w:r w:rsidRPr="0068630F">
              <w:rPr>
                <w:lang w:val="fr-FR"/>
              </w:rPr>
              <w:t>?</w:t>
            </w:r>
          </w:p>
        </w:tc>
        <w:tc>
          <w:tcPr>
            <w:tcW w:w="774" w:type="pct"/>
          </w:tcPr>
          <w:p w:rsidR="009A024B" w:rsidRPr="0068630F" w:rsidRDefault="009A024B" w:rsidP="008C7394">
            <w:pPr>
              <w:pStyle w:val="TKTextetableau"/>
              <w:rPr>
                <w:rFonts w:cs="Arial"/>
                <w:lang w:val="fr-FR"/>
              </w:rPr>
            </w:pPr>
          </w:p>
        </w:tc>
        <w:tc>
          <w:tcPr>
            <w:tcW w:w="804" w:type="pct"/>
          </w:tcPr>
          <w:p w:rsidR="009A024B" w:rsidRPr="0068630F" w:rsidRDefault="009A024B" w:rsidP="008C7394">
            <w:pPr>
              <w:pStyle w:val="TKTextetableau"/>
              <w:rPr>
                <w:rFonts w:cs="Arial"/>
                <w:lang w:val="fr-FR"/>
              </w:rPr>
            </w:pPr>
          </w:p>
        </w:tc>
        <w:tc>
          <w:tcPr>
            <w:tcW w:w="896" w:type="pct"/>
          </w:tcPr>
          <w:p w:rsidR="009A024B" w:rsidRPr="0068630F" w:rsidRDefault="009A024B" w:rsidP="008C7394">
            <w:pPr>
              <w:pStyle w:val="TKTextetableau"/>
              <w:rPr>
                <w:rFonts w:cs="Arial"/>
                <w:lang w:val="fr-FR"/>
              </w:rPr>
            </w:pPr>
          </w:p>
        </w:tc>
      </w:tr>
      <w:tr w:rsidR="009A024B" w:rsidRPr="0068630F" w:rsidTr="003F6359">
        <w:trPr>
          <w:trHeight w:val="678"/>
        </w:trPr>
        <w:tc>
          <w:tcPr>
            <w:tcW w:w="2526" w:type="pct"/>
            <w:shd w:val="clear" w:color="auto" w:fill="D9D9D9"/>
          </w:tcPr>
          <w:p w:rsidR="009A024B" w:rsidRPr="0068630F" w:rsidRDefault="009A024B" w:rsidP="008C7394">
            <w:pPr>
              <w:pStyle w:val="TKTextetableau"/>
              <w:rPr>
                <w:rFonts w:cs="Arial"/>
                <w:lang w:val="fr-FR"/>
              </w:rPr>
            </w:pPr>
            <w:r>
              <w:rPr>
                <w:lang w:val="fr-FR"/>
              </w:rPr>
              <w:t>Les réfugiés sont-ils capables de prendre les transports en commun ?</w:t>
            </w:r>
          </w:p>
        </w:tc>
        <w:tc>
          <w:tcPr>
            <w:tcW w:w="774" w:type="pct"/>
            <w:shd w:val="clear" w:color="auto" w:fill="D9D9D9"/>
          </w:tcPr>
          <w:p w:rsidR="009A024B" w:rsidRPr="0068630F" w:rsidRDefault="009A024B" w:rsidP="008C7394">
            <w:pPr>
              <w:pStyle w:val="TKTextetableau"/>
              <w:rPr>
                <w:rFonts w:cs="Arial"/>
                <w:lang w:val="fr-FR"/>
              </w:rPr>
            </w:pPr>
          </w:p>
        </w:tc>
        <w:tc>
          <w:tcPr>
            <w:tcW w:w="804" w:type="pct"/>
            <w:shd w:val="clear" w:color="auto" w:fill="D9D9D9"/>
          </w:tcPr>
          <w:p w:rsidR="009A024B" w:rsidRPr="0068630F" w:rsidRDefault="009A024B" w:rsidP="008C7394">
            <w:pPr>
              <w:pStyle w:val="TKTextetableau"/>
              <w:rPr>
                <w:rFonts w:cs="Arial"/>
                <w:lang w:val="fr-FR"/>
              </w:rPr>
            </w:pPr>
          </w:p>
        </w:tc>
        <w:tc>
          <w:tcPr>
            <w:tcW w:w="896" w:type="pct"/>
            <w:shd w:val="clear" w:color="auto" w:fill="D9D9D9"/>
          </w:tcPr>
          <w:p w:rsidR="009A024B" w:rsidRPr="0068630F" w:rsidRDefault="009A024B" w:rsidP="008C7394">
            <w:pPr>
              <w:pStyle w:val="TKTextetableau"/>
              <w:rPr>
                <w:rFonts w:cs="Arial"/>
                <w:lang w:val="fr-FR"/>
              </w:rPr>
            </w:pPr>
          </w:p>
        </w:tc>
      </w:tr>
    </w:tbl>
    <w:p w:rsidR="009A024B" w:rsidRPr="0068630F" w:rsidRDefault="009A024B">
      <w:pPr>
        <w:rPr>
          <w:rFonts w:cs="Arial"/>
        </w:rPr>
      </w:pPr>
    </w:p>
    <w:sectPr w:rsidR="009A024B" w:rsidRPr="0068630F" w:rsidSect="007F5F10">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309" w:rsidRDefault="00C10309" w:rsidP="00C523EA">
      <w:pPr>
        <w:rPr>
          <w:rFonts w:cs="Arial"/>
        </w:rPr>
      </w:pPr>
      <w:r>
        <w:rPr>
          <w:rFonts w:cs="Arial"/>
        </w:rPr>
        <w:separator/>
      </w:r>
    </w:p>
  </w:endnote>
  <w:endnote w:type="continuationSeparator" w:id="0">
    <w:p w:rsidR="00C10309" w:rsidRDefault="00C10309" w:rsidP="00C523EA">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06" w:rsidRDefault="009F0A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9A024B">
      <w:trPr>
        <w:cantSplit/>
      </w:trPr>
      <w:tc>
        <w:tcPr>
          <w:tcW w:w="1667" w:type="pct"/>
          <w:tcBorders>
            <w:top w:val="single" w:sz="4" w:space="0" w:color="auto"/>
          </w:tcBorders>
        </w:tcPr>
        <w:p w:rsidR="008264FC" w:rsidRPr="00971310" w:rsidRDefault="008264FC" w:rsidP="008264FC">
          <w:pPr>
            <w:tabs>
              <w:tab w:val="center" w:pos="4820"/>
            </w:tabs>
            <w:spacing w:before="60"/>
            <w:rPr>
              <w:sz w:val="18"/>
              <w:szCs w:val="18"/>
              <w:lang w:eastAsia="fr-FR"/>
            </w:rPr>
          </w:pPr>
          <w:r w:rsidRPr="00971310">
            <w:rPr>
              <w:sz w:val="18"/>
              <w:szCs w:val="18"/>
              <w:lang w:eastAsia="fr-FR"/>
            </w:rPr>
            <w:t>Programme des Politiques linguistiques</w:t>
          </w:r>
        </w:p>
        <w:p w:rsidR="008264FC" w:rsidRPr="008264FC" w:rsidRDefault="008264FC" w:rsidP="008264FC">
          <w:pPr>
            <w:tabs>
              <w:tab w:val="center" w:pos="4820"/>
            </w:tabs>
            <w:spacing w:before="60"/>
            <w:rPr>
              <w:sz w:val="18"/>
              <w:szCs w:val="18"/>
              <w:lang w:eastAsia="fr-FR"/>
            </w:rPr>
          </w:pPr>
          <w:r w:rsidRPr="008264FC">
            <w:rPr>
              <w:sz w:val="18"/>
              <w:szCs w:val="18"/>
              <w:lang w:eastAsia="fr-FR"/>
            </w:rPr>
            <w:t>Strasbourg</w:t>
          </w:r>
        </w:p>
        <w:p w:rsidR="009A024B" w:rsidRPr="008264FC" w:rsidRDefault="009A024B" w:rsidP="005A600F">
          <w:pPr>
            <w:tabs>
              <w:tab w:val="center" w:pos="4820"/>
            </w:tabs>
            <w:spacing w:before="60"/>
            <w:rPr>
              <w:sz w:val="18"/>
              <w:szCs w:val="18"/>
              <w:lang w:eastAsia="fr-FR"/>
            </w:rPr>
          </w:pPr>
        </w:p>
        <w:p w:rsidR="009A024B" w:rsidRPr="008264FC" w:rsidRDefault="008264FC" w:rsidP="005A600F">
          <w:pPr>
            <w:tabs>
              <w:tab w:val="center" w:pos="4820"/>
            </w:tabs>
            <w:spacing w:before="60"/>
            <w:rPr>
              <w:rFonts w:cs="Arial"/>
              <w:b/>
              <w:bCs/>
              <w:sz w:val="18"/>
              <w:szCs w:val="18"/>
              <w:lang w:eastAsia="fr-FR"/>
            </w:rPr>
          </w:pPr>
          <w:r>
            <w:rPr>
              <w:b/>
              <w:bCs/>
              <w:sz w:val="18"/>
              <w:szCs w:val="18"/>
              <w:lang w:eastAsia="fr-FR"/>
            </w:rPr>
            <w:t>Outil</w:t>
          </w:r>
          <w:r w:rsidR="009A024B" w:rsidRPr="008264FC">
            <w:rPr>
              <w:b/>
              <w:bCs/>
              <w:sz w:val="18"/>
              <w:szCs w:val="18"/>
              <w:lang w:eastAsia="fr-FR"/>
            </w:rPr>
            <w:t xml:space="preserve"> 2</w:t>
          </w:r>
        </w:p>
      </w:tc>
      <w:tc>
        <w:tcPr>
          <w:tcW w:w="1667" w:type="pct"/>
          <w:tcBorders>
            <w:top w:val="single" w:sz="4" w:space="0" w:color="auto"/>
          </w:tcBorders>
          <w:vAlign w:val="bottom"/>
        </w:tcPr>
        <w:p w:rsidR="009A024B" w:rsidRPr="005A600F" w:rsidRDefault="009A024B" w:rsidP="005A600F">
          <w:pPr>
            <w:tabs>
              <w:tab w:val="center" w:pos="4820"/>
            </w:tabs>
            <w:spacing w:before="60"/>
            <w:jc w:val="center"/>
            <w:rPr>
              <w:rFonts w:cs="Arial"/>
              <w:sz w:val="18"/>
              <w:szCs w:val="18"/>
              <w:lang w:val="en-US" w:eastAsia="fr-FR"/>
            </w:rPr>
          </w:pPr>
          <w:r w:rsidRPr="005A600F">
            <w:rPr>
              <w:sz w:val="18"/>
              <w:szCs w:val="18"/>
              <w:lang w:val="en-US" w:eastAsia="fr-FR"/>
            </w:rPr>
            <w:t xml:space="preserve">Page </w:t>
          </w:r>
          <w:r w:rsidRPr="005A600F">
            <w:rPr>
              <w:sz w:val="18"/>
              <w:szCs w:val="18"/>
              <w:lang w:val="en-US" w:eastAsia="fr-FR"/>
            </w:rPr>
            <w:fldChar w:fldCharType="begin"/>
          </w:r>
          <w:r w:rsidRPr="005A600F">
            <w:rPr>
              <w:sz w:val="18"/>
              <w:szCs w:val="18"/>
              <w:lang w:val="en-US" w:eastAsia="fr-FR"/>
            </w:rPr>
            <w:instrText>PAGE</w:instrText>
          </w:r>
          <w:r w:rsidRPr="005A600F">
            <w:rPr>
              <w:sz w:val="18"/>
              <w:szCs w:val="18"/>
              <w:lang w:val="en-US" w:eastAsia="fr-FR"/>
            </w:rPr>
            <w:fldChar w:fldCharType="separate"/>
          </w:r>
          <w:r w:rsidR="00B01299">
            <w:rPr>
              <w:noProof/>
              <w:sz w:val="18"/>
              <w:szCs w:val="18"/>
              <w:lang w:val="en-US" w:eastAsia="fr-FR"/>
            </w:rPr>
            <w:t>4</w:t>
          </w:r>
          <w:r w:rsidRPr="005A600F">
            <w:rPr>
              <w:sz w:val="18"/>
              <w:szCs w:val="18"/>
              <w:lang w:val="en-US" w:eastAsia="fr-FR"/>
            </w:rPr>
            <w:fldChar w:fldCharType="end"/>
          </w:r>
          <w:r w:rsidRPr="005A600F">
            <w:rPr>
              <w:sz w:val="18"/>
              <w:szCs w:val="18"/>
              <w:lang w:val="en-US" w:eastAsia="fr-FR"/>
            </w:rPr>
            <w:t>/</w:t>
          </w:r>
          <w:r w:rsidRPr="005A600F">
            <w:rPr>
              <w:sz w:val="18"/>
              <w:szCs w:val="18"/>
              <w:lang w:val="en-US" w:eastAsia="fr-FR"/>
            </w:rPr>
            <w:fldChar w:fldCharType="begin"/>
          </w:r>
          <w:r w:rsidRPr="005A600F">
            <w:rPr>
              <w:sz w:val="18"/>
              <w:szCs w:val="18"/>
              <w:lang w:val="en-US" w:eastAsia="fr-FR"/>
            </w:rPr>
            <w:instrText>NUMPAGES</w:instrText>
          </w:r>
          <w:r w:rsidRPr="005A600F">
            <w:rPr>
              <w:sz w:val="18"/>
              <w:szCs w:val="18"/>
              <w:lang w:val="en-US" w:eastAsia="fr-FR"/>
            </w:rPr>
            <w:fldChar w:fldCharType="separate"/>
          </w:r>
          <w:r w:rsidR="00B01299">
            <w:rPr>
              <w:noProof/>
              <w:sz w:val="18"/>
              <w:szCs w:val="18"/>
              <w:lang w:val="en-US" w:eastAsia="fr-FR"/>
            </w:rPr>
            <w:t>4</w:t>
          </w:r>
          <w:r w:rsidRPr="005A600F">
            <w:rPr>
              <w:sz w:val="18"/>
              <w:szCs w:val="18"/>
              <w:lang w:val="en-US" w:eastAsia="fr-FR"/>
            </w:rPr>
            <w:fldChar w:fldCharType="end"/>
          </w:r>
        </w:p>
      </w:tc>
      <w:tc>
        <w:tcPr>
          <w:tcW w:w="1667" w:type="pct"/>
          <w:tcBorders>
            <w:top w:val="single" w:sz="4" w:space="0" w:color="auto"/>
          </w:tcBorders>
        </w:tcPr>
        <w:p w:rsidR="009A024B" w:rsidRPr="005A600F" w:rsidRDefault="00B01299" w:rsidP="005A600F">
          <w:pPr>
            <w:tabs>
              <w:tab w:val="center" w:pos="4820"/>
            </w:tabs>
            <w:spacing w:before="60"/>
            <w:jc w:val="right"/>
            <w:rPr>
              <w:rFonts w:cs="Arial"/>
              <w:sz w:val="18"/>
              <w:szCs w:val="18"/>
              <w:lang w:val="en-US" w:eastAsia="fr-FR"/>
            </w:rPr>
          </w:pPr>
          <w:r>
            <w:rPr>
              <w:rFonts w:cs="Arial"/>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6" type="#_x0000_t75" style="width:63.75pt;height:53.25pt;visibility:visible">
                <v:imagedata r:id="rId1" o:title=""/>
              </v:shape>
            </w:pict>
          </w:r>
        </w:p>
      </w:tc>
    </w:tr>
  </w:tbl>
  <w:p w:rsidR="009A024B" w:rsidRPr="002860CD" w:rsidRDefault="009A024B" w:rsidP="002860CD">
    <w:pPr>
      <w:pStyle w:val="Pieddepage"/>
      <w:rPr>
        <w:rFonts w:cs="Arial"/>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06" w:rsidRDefault="009F0A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309" w:rsidRDefault="00C10309" w:rsidP="00C523EA">
      <w:pPr>
        <w:rPr>
          <w:rFonts w:cs="Arial"/>
        </w:rPr>
      </w:pPr>
      <w:r>
        <w:rPr>
          <w:rFonts w:cs="Arial"/>
        </w:rPr>
        <w:separator/>
      </w:r>
    </w:p>
  </w:footnote>
  <w:footnote w:type="continuationSeparator" w:id="0">
    <w:p w:rsidR="00C10309" w:rsidRDefault="00C10309" w:rsidP="00C523EA">
      <w:pPr>
        <w:rPr>
          <w:rFonts w:cs="Arial"/>
        </w:rPr>
      </w:pPr>
      <w:r>
        <w:rPr>
          <w:rFonts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06" w:rsidRDefault="009F0A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8264FC" w:rsidRPr="008264FC" w:rsidTr="008264FC">
      <w:trPr>
        <w:trHeight w:val="1304"/>
      </w:trPr>
      <w:tc>
        <w:tcPr>
          <w:tcW w:w="2228" w:type="dxa"/>
          <w:tcBorders>
            <w:bottom w:val="single" w:sz="12" w:space="0" w:color="auto"/>
          </w:tcBorders>
        </w:tcPr>
        <w:p w:rsidR="008264FC" w:rsidRPr="00CB5C65" w:rsidRDefault="00B01299" w:rsidP="00186952">
          <w:pPr>
            <w:rPr>
              <w:rFonts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4.75pt">
                <v:imagedata r:id="rId1" o:title="ILMA"/>
              </v:shape>
            </w:pict>
          </w:r>
        </w:p>
      </w:tc>
      <w:tc>
        <w:tcPr>
          <w:tcW w:w="5722" w:type="dxa"/>
          <w:tcBorders>
            <w:bottom w:val="single" w:sz="12" w:space="0" w:color="auto"/>
          </w:tcBorders>
        </w:tcPr>
        <w:p w:rsidR="008264FC" w:rsidRPr="00971310" w:rsidRDefault="008264FC" w:rsidP="006C56DA">
          <w:pPr>
            <w:jc w:val="center"/>
            <w:rPr>
              <w:b/>
              <w:bCs/>
            </w:rPr>
          </w:pPr>
          <w:r w:rsidRPr="00971310">
            <w:rPr>
              <w:b/>
              <w:bCs/>
            </w:rPr>
            <w:t>Accompagnement linguistique des réfugiés adultes</w:t>
          </w:r>
          <w:r w:rsidR="009F0A06">
            <w:rPr>
              <w:b/>
              <w:bCs/>
            </w:rPr>
            <w:t> :</w:t>
          </w:r>
        </w:p>
        <w:p w:rsidR="008264FC" w:rsidRPr="00971310" w:rsidRDefault="008264FC" w:rsidP="006C56DA">
          <w:pPr>
            <w:jc w:val="center"/>
            <w:rPr>
              <w:b/>
              <w:bCs/>
              <w:i/>
              <w:iCs/>
            </w:rPr>
          </w:pPr>
          <w:r w:rsidRPr="00971310">
            <w:rPr>
              <w:b/>
              <w:bCs/>
              <w:i/>
              <w:iCs/>
            </w:rPr>
            <w:t>La boîte à outils du Conseil de l’Europe</w:t>
          </w:r>
        </w:p>
        <w:p w:rsidR="008264FC" w:rsidRPr="005B5C27" w:rsidRDefault="00C10309" w:rsidP="006C56DA">
          <w:pPr>
            <w:jc w:val="center"/>
            <w:rPr>
              <w:rFonts w:cs="Arial"/>
              <w:color w:val="0000FF"/>
              <w:u w:val="single"/>
            </w:rPr>
          </w:pPr>
          <w:hyperlink r:id="rId2" w:history="1">
            <w:r w:rsidR="008264FC" w:rsidRPr="005B5C27">
              <w:rPr>
                <w:rStyle w:val="Lienhypertexte"/>
              </w:rPr>
              <w:t>www.coe.int/lang-refugees</w:t>
            </w:r>
          </w:hyperlink>
        </w:p>
      </w:tc>
      <w:tc>
        <w:tcPr>
          <w:tcW w:w="2732" w:type="dxa"/>
          <w:tcBorders>
            <w:bottom w:val="single" w:sz="12" w:space="0" w:color="auto"/>
          </w:tcBorders>
        </w:tcPr>
        <w:p w:rsidR="008264FC" w:rsidRPr="00971310" w:rsidRDefault="008264FC" w:rsidP="006C56DA">
          <w:pPr>
            <w:tabs>
              <w:tab w:val="center" w:pos="4607"/>
              <w:tab w:val="right" w:pos="9214"/>
            </w:tabs>
            <w:jc w:val="right"/>
            <w:rPr>
              <w:sz w:val="20"/>
              <w:szCs w:val="20"/>
            </w:rPr>
          </w:pPr>
          <w:r w:rsidRPr="00971310">
            <w:rPr>
              <w:sz w:val="20"/>
              <w:szCs w:val="20"/>
            </w:rPr>
            <w:t>Intégration linguistique</w:t>
          </w:r>
        </w:p>
        <w:p w:rsidR="008264FC" w:rsidRPr="00971310" w:rsidRDefault="008264FC" w:rsidP="006C56DA">
          <w:pPr>
            <w:tabs>
              <w:tab w:val="center" w:pos="4607"/>
              <w:tab w:val="right" w:pos="9214"/>
            </w:tabs>
            <w:jc w:val="right"/>
            <w:rPr>
              <w:sz w:val="20"/>
              <w:szCs w:val="20"/>
            </w:rPr>
          </w:pPr>
          <w:proofErr w:type="gramStart"/>
          <w:r w:rsidRPr="00971310">
            <w:rPr>
              <w:sz w:val="20"/>
              <w:szCs w:val="20"/>
            </w:rPr>
            <w:t>des</w:t>
          </w:r>
          <w:proofErr w:type="gramEnd"/>
          <w:r w:rsidRPr="00971310">
            <w:rPr>
              <w:sz w:val="20"/>
              <w:szCs w:val="20"/>
            </w:rPr>
            <w:t xml:space="preserve"> migrants adultes</w:t>
          </w:r>
        </w:p>
        <w:p w:rsidR="008264FC" w:rsidRPr="00971310" w:rsidRDefault="00C10309" w:rsidP="006C56DA">
          <w:pPr>
            <w:tabs>
              <w:tab w:val="center" w:pos="4607"/>
              <w:tab w:val="right" w:pos="9214"/>
            </w:tabs>
            <w:jc w:val="right"/>
            <w:rPr>
              <w:rFonts w:ascii="Calibri Light" w:hAnsi="Calibri Light" w:cs="Calibri Light"/>
              <w:color w:val="0000FF"/>
              <w:u w:val="single"/>
            </w:rPr>
          </w:pPr>
          <w:hyperlink r:id="rId3" w:history="1">
            <w:r w:rsidR="008264FC" w:rsidRPr="00971310">
              <w:rPr>
                <w:rStyle w:val="Lienhypertexte"/>
                <w:sz w:val="20"/>
                <w:szCs w:val="20"/>
              </w:rPr>
              <w:t>www.coe.int/lang-migrants</w:t>
            </w:r>
          </w:hyperlink>
          <w:r w:rsidR="008264FC" w:rsidRPr="00971310">
            <w:rPr>
              <w:rStyle w:val="Lienhypertexte"/>
              <w:sz w:val="20"/>
              <w:szCs w:val="20"/>
            </w:rPr>
            <w:t>/fr</w:t>
          </w:r>
        </w:p>
      </w:tc>
    </w:tr>
  </w:tbl>
  <w:p w:rsidR="009A024B" w:rsidRPr="008264FC" w:rsidRDefault="009A024B" w:rsidP="00FB70A6">
    <w:pPr>
      <w:pStyle w:val="En-tte"/>
      <w:rPr>
        <w:rFonts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06" w:rsidRDefault="009F0A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cs="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cs="Wingdings" w:hint="default"/>
      </w:rPr>
    </w:lvl>
    <w:lvl w:ilvl="3" w:tplc="040C0001" w:tentative="1">
      <w:start w:val="1"/>
      <w:numFmt w:val="bullet"/>
      <w:lvlText w:val=""/>
      <w:lvlJc w:val="left"/>
      <w:pPr>
        <w:ind w:left="3447" w:hanging="360"/>
      </w:pPr>
      <w:rPr>
        <w:rFonts w:ascii="Symbol" w:hAnsi="Symbol" w:cs="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cs="Wingdings" w:hint="default"/>
      </w:rPr>
    </w:lvl>
    <w:lvl w:ilvl="6" w:tplc="040C0001" w:tentative="1">
      <w:start w:val="1"/>
      <w:numFmt w:val="bullet"/>
      <w:lvlText w:val=""/>
      <w:lvlJc w:val="left"/>
      <w:pPr>
        <w:ind w:left="5607" w:hanging="360"/>
      </w:pPr>
      <w:rPr>
        <w:rFonts w:ascii="Symbol" w:hAnsi="Symbol" w:cs="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cs="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BE059BC"/>
    <w:multiLevelType w:val="hybridMultilevel"/>
    <w:tmpl w:val="871A4F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1585B7C"/>
    <w:multiLevelType w:val="hybridMultilevel"/>
    <w:tmpl w:val="63589E1A"/>
    <w:lvl w:ilvl="0" w:tplc="CF0C7D24">
      <w:numFmt w:val="bullet"/>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cs="Wingdings" w:hint="default"/>
      </w:rPr>
    </w:lvl>
    <w:lvl w:ilvl="3" w:tplc="040C0001" w:tentative="1">
      <w:start w:val="1"/>
      <w:numFmt w:val="bullet"/>
      <w:lvlText w:val=""/>
      <w:lvlJc w:val="left"/>
      <w:pPr>
        <w:ind w:left="3523" w:hanging="360"/>
      </w:pPr>
      <w:rPr>
        <w:rFonts w:ascii="Symbol" w:hAnsi="Symbol" w:cs="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cs="Wingdings" w:hint="default"/>
      </w:rPr>
    </w:lvl>
    <w:lvl w:ilvl="6" w:tplc="040C0001" w:tentative="1">
      <w:start w:val="1"/>
      <w:numFmt w:val="bullet"/>
      <w:lvlText w:val=""/>
      <w:lvlJc w:val="left"/>
      <w:pPr>
        <w:ind w:left="5683" w:hanging="360"/>
      </w:pPr>
      <w:rPr>
        <w:rFonts w:ascii="Symbol" w:hAnsi="Symbol" w:cs="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cs="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735"/>
    <w:rsid w:val="00004C66"/>
    <w:rsid w:val="00010EAF"/>
    <w:rsid w:val="00013516"/>
    <w:rsid w:val="00015DA5"/>
    <w:rsid w:val="000338F0"/>
    <w:rsid w:val="00037B0E"/>
    <w:rsid w:val="00046825"/>
    <w:rsid w:val="0004696B"/>
    <w:rsid w:val="000618A7"/>
    <w:rsid w:val="0007741E"/>
    <w:rsid w:val="000937FA"/>
    <w:rsid w:val="000954B8"/>
    <w:rsid w:val="000A080D"/>
    <w:rsid w:val="000A0A6A"/>
    <w:rsid w:val="000C5F40"/>
    <w:rsid w:val="000D0A36"/>
    <w:rsid w:val="000E706C"/>
    <w:rsid w:val="000F42D6"/>
    <w:rsid w:val="00104E36"/>
    <w:rsid w:val="00110B4B"/>
    <w:rsid w:val="00113442"/>
    <w:rsid w:val="00123F4B"/>
    <w:rsid w:val="00126A5E"/>
    <w:rsid w:val="00133263"/>
    <w:rsid w:val="001363DA"/>
    <w:rsid w:val="00140B7E"/>
    <w:rsid w:val="001534CE"/>
    <w:rsid w:val="00154592"/>
    <w:rsid w:val="00154B1F"/>
    <w:rsid w:val="00172C07"/>
    <w:rsid w:val="001741D1"/>
    <w:rsid w:val="0017676C"/>
    <w:rsid w:val="00186952"/>
    <w:rsid w:val="00187237"/>
    <w:rsid w:val="001965B4"/>
    <w:rsid w:val="001A1B4C"/>
    <w:rsid w:val="001B0010"/>
    <w:rsid w:val="001B602D"/>
    <w:rsid w:val="001B71AD"/>
    <w:rsid w:val="001C7918"/>
    <w:rsid w:val="001D5F5D"/>
    <w:rsid w:val="001D7251"/>
    <w:rsid w:val="001E0056"/>
    <w:rsid w:val="001E481B"/>
    <w:rsid w:val="001E5464"/>
    <w:rsid w:val="0020300A"/>
    <w:rsid w:val="00214CD0"/>
    <w:rsid w:val="00233192"/>
    <w:rsid w:val="00246E8E"/>
    <w:rsid w:val="00250628"/>
    <w:rsid w:val="00254DC5"/>
    <w:rsid w:val="00261BA1"/>
    <w:rsid w:val="0026293F"/>
    <w:rsid w:val="002860CD"/>
    <w:rsid w:val="002A0CEF"/>
    <w:rsid w:val="002A3476"/>
    <w:rsid w:val="002A5874"/>
    <w:rsid w:val="002C05F1"/>
    <w:rsid w:val="002D7BD0"/>
    <w:rsid w:val="002E578D"/>
    <w:rsid w:val="002F2562"/>
    <w:rsid w:val="00303A5A"/>
    <w:rsid w:val="0032586D"/>
    <w:rsid w:val="00327BBC"/>
    <w:rsid w:val="003300B2"/>
    <w:rsid w:val="0033137E"/>
    <w:rsid w:val="0035492A"/>
    <w:rsid w:val="00355BB8"/>
    <w:rsid w:val="003575BD"/>
    <w:rsid w:val="00361F04"/>
    <w:rsid w:val="0037358A"/>
    <w:rsid w:val="00373B9F"/>
    <w:rsid w:val="0037570C"/>
    <w:rsid w:val="003832C0"/>
    <w:rsid w:val="0038409C"/>
    <w:rsid w:val="003847AD"/>
    <w:rsid w:val="003A1F6A"/>
    <w:rsid w:val="003C050D"/>
    <w:rsid w:val="003C32F5"/>
    <w:rsid w:val="003C60BD"/>
    <w:rsid w:val="003C799F"/>
    <w:rsid w:val="003D21A3"/>
    <w:rsid w:val="003D46BD"/>
    <w:rsid w:val="003E358D"/>
    <w:rsid w:val="003E7F4D"/>
    <w:rsid w:val="003F121D"/>
    <w:rsid w:val="003F1FA6"/>
    <w:rsid w:val="003F57C4"/>
    <w:rsid w:val="003F6359"/>
    <w:rsid w:val="004210A1"/>
    <w:rsid w:val="00425EB7"/>
    <w:rsid w:val="00446850"/>
    <w:rsid w:val="0045336D"/>
    <w:rsid w:val="004558AC"/>
    <w:rsid w:val="00457006"/>
    <w:rsid w:val="00460BCC"/>
    <w:rsid w:val="00463894"/>
    <w:rsid w:val="00470AA9"/>
    <w:rsid w:val="00472385"/>
    <w:rsid w:val="00485E04"/>
    <w:rsid w:val="0049006B"/>
    <w:rsid w:val="00496984"/>
    <w:rsid w:val="004B0DF5"/>
    <w:rsid w:val="004B5DD8"/>
    <w:rsid w:val="004C1652"/>
    <w:rsid w:val="004E32A8"/>
    <w:rsid w:val="004E687E"/>
    <w:rsid w:val="004F2E30"/>
    <w:rsid w:val="0050334F"/>
    <w:rsid w:val="00503E91"/>
    <w:rsid w:val="00505625"/>
    <w:rsid w:val="0050777F"/>
    <w:rsid w:val="00510AE8"/>
    <w:rsid w:val="00526886"/>
    <w:rsid w:val="00542DB8"/>
    <w:rsid w:val="00552401"/>
    <w:rsid w:val="00555D25"/>
    <w:rsid w:val="005713EB"/>
    <w:rsid w:val="00572493"/>
    <w:rsid w:val="00597B0C"/>
    <w:rsid w:val="005A600F"/>
    <w:rsid w:val="005C246D"/>
    <w:rsid w:val="005C2E50"/>
    <w:rsid w:val="005D3252"/>
    <w:rsid w:val="005D47FE"/>
    <w:rsid w:val="005D71DF"/>
    <w:rsid w:val="005E1E78"/>
    <w:rsid w:val="005E4CA5"/>
    <w:rsid w:val="005F6582"/>
    <w:rsid w:val="006065CC"/>
    <w:rsid w:val="00612F95"/>
    <w:rsid w:val="00617054"/>
    <w:rsid w:val="00617D74"/>
    <w:rsid w:val="00634900"/>
    <w:rsid w:val="006355E0"/>
    <w:rsid w:val="00636157"/>
    <w:rsid w:val="0064154F"/>
    <w:rsid w:val="006455D0"/>
    <w:rsid w:val="00651E90"/>
    <w:rsid w:val="00655B1E"/>
    <w:rsid w:val="00655CCE"/>
    <w:rsid w:val="0068630F"/>
    <w:rsid w:val="006A06F5"/>
    <w:rsid w:val="006A1A21"/>
    <w:rsid w:val="006A239B"/>
    <w:rsid w:val="006A7919"/>
    <w:rsid w:val="006B6385"/>
    <w:rsid w:val="006B7367"/>
    <w:rsid w:val="006C0689"/>
    <w:rsid w:val="006C08C3"/>
    <w:rsid w:val="006C19C6"/>
    <w:rsid w:val="006C7764"/>
    <w:rsid w:val="006D0029"/>
    <w:rsid w:val="006D234F"/>
    <w:rsid w:val="006F2E42"/>
    <w:rsid w:val="006F38F4"/>
    <w:rsid w:val="0070182E"/>
    <w:rsid w:val="00705175"/>
    <w:rsid w:val="00705BF1"/>
    <w:rsid w:val="007334D5"/>
    <w:rsid w:val="00734E55"/>
    <w:rsid w:val="00741458"/>
    <w:rsid w:val="0074542C"/>
    <w:rsid w:val="007458E1"/>
    <w:rsid w:val="00745FAE"/>
    <w:rsid w:val="00767D0E"/>
    <w:rsid w:val="00773ACD"/>
    <w:rsid w:val="00776C3A"/>
    <w:rsid w:val="0078146A"/>
    <w:rsid w:val="00790C50"/>
    <w:rsid w:val="00796FBB"/>
    <w:rsid w:val="007B4D14"/>
    <w:rsid w:val="007E04E9"/>
    <w:rsid w:val="007E46D5"/>
    <w:rsid w:val="007F086E"/>
    <w:rsid w:val="007F5F10"/>
    <w:rsid w:val="00800162"/>
    <w:rsid w:val="0080462C"/>
    <w:rsid w:val="00805257"/>
    <w:rsid w:val="008067EC"/>
    <w:rsid w:val="008264FC"/>
    <w:rsid w:val="0083366C"/>
    <w:rsid w:val="008442D9"/>
    <w:rsid w:val="00844534"/>
    <w:rsid w:val="008469DE"/>
    <w:rsid w:val="008506D5"/>
    <w:rsid w:val="008656F3"/>
    <w:rsid w:val="008902AA"/>
    <w:rsid w:val="00892B00"/>
    <w:rsid w:val="0089676D"/>
    <w:rsid w:val="008B25A9"/>
    <w:rsid w:val="008B45A3"/>
    <w:rsid w:val="008C260C"/>
    <w:rsid w:val="008C4F71"/>
    <w:rsid w:val="008C53DF"/>
    <w:rsid w:val="008C7394"/>
    <w:rsid w:val="008E1D79"/>
    <w:rsid w:val="008E6FB9"/>
    <w:rsid w:val="008F0189"/>
    <w:rsid w:val="008F1473"/>
    <w:rsid w:val="008F24DC"/>
    <w:rsid w:val="009025F0"/>
    <w:rsid w:val="009127F4"/>
    <w:rsid w:val="00931061"/>
    <w:rsid w:val="0093428B"/>
    <w:rsid w:val="00943A76"/>
    <w:rsid w:val="0094551C"/>
    <w:rsid w:val="00945E3F"/>
    <w:rsid w:val="009514C4"/>
    <w:rsid w:val="00953DC1"/>
    <w:rsid w:val="00955177"/>
    <w:rsid w:val="009563CF"/>
    <w:rsid w:val="009629DB"/>
    <w:rsid w:val="00964D0B"/>
    <w:rsid w:val="00970C63"/>
    <w:rsid w:val="0097497F"/>
    <w:rsid w:val="00976860"/>
    <w:rsid w:val="009774A5"/>
    <w:rsid w:val="009824EC"/>
    <w:rsid w:val="009A024B"/>
    <w:rsid w:val="009A431F"/>
    <w:rsid w:val="009A4759"/>
    <w:rsid w:val="009A5131"/>
    <w:rsid w:val="009B7F95"/>
    <w:rsid w:val="009C6F9F"/>
    <w:rsid w:val="009F0A06"/>
    <w:rsid w:val="009F1454"/>
    <w:rsid w:val="00A03292"/>
    <w:rsid w:val="00A1258A"/>
    <w:rsid w:val="00A20B55"/>
    <w:rsid w:val="00A27C34"/>
    <w:rsid w:val="00A36998"/>
    <w:rsid w:val="00A5196F"/>
    <w:rsid w:val="00A6112C"/>
    <w:rsid w:val="00A629CB"/>
    <w:rsid w:val="00A64883"/>
    <w:rsid w:val="00A6623D"/>
    <w:rsid w:val="00A67362"/>
    <w:rsid w:val="00A7554F"/>
    <w:rsid w:val="00A75B0A"/>
    <w:rsid w:val="00A802F2"/>
    <w:rsid w:val="00A81C9B"/>
    <w:rsid w:val="00A93915"/>
    <w:rsid w:val="00AA2240"/>
    <w:rsid w:val="00AA63C9"/>
    <w:rsid w:val="00AA7031"/>
    <w:rsid w:val="00AB255A"/>
    <w:rsid w:val="00AE657E"/>
    <w:rsid w:val="00AF4A1E"/>
    <w:rsid w:val="00AF56A8"/>
    <w:rsid w:val="00AF5E83"/>
    <w:rsid w:val="00B00A99"/>
    <w:rsid w:val="00B01299"/>
    <w:rsid w:val="00B33421"/>
    <w:rsid w:val="00B34928"/>
    <w:rsid w:val="00B35EFB"/>
    <w:rsid w:val="00B51D45"/>
    <w:rsid w:val="00B62B1D"/>
    <w:rsid w:val="00B66C15"/>
    <w:rsid w:val="00B73A35"/>
    <w:rsid w:val="00B85307"/>
    <w:rsid w:val="00B85B33"/>
    <w:rsid w:val="00B86735"/>
    <w:rsid w:val="00B87D33"/>
    <w:rsid w:val="00B92B61"/>
    <w:rsid w:val="00B94E15"/>
    <w:rsid w:val="00B9730E"/>
    <w:rsid w:val="00BA028D"/>
    <w:rsid w:val="00BA25B4"/>
    <w:rsid w:val="00BA3C32"/>
    <w:rsid w:val="00BB182D"/>
    <w:rsid w:val="00BD2F15"/>
    <w:rsid w:val="00BD5BF4"/>
    <w:rsid w:val="00BD752A"/>
    <w:rsid w:val="00BE5DF4"/>
    <w:rsid w:val="00BE6428"/>
    <w:rsid w:val="00BF2B09"/>
    <w:rsid w:val="00BF693D"/>
    <w:rsid w:val="00C0212A"/>
    <w:rsid w:val="00C02ABE"/>
    <w:rsid w:val="00C032A7"/>
    <w:rsid w:val="00C10309"/>
    <w:rsid w:val="00C15E5A"/>
    <w:rsid w:val="00C23FE3"/>
    <w:rsid w:val="00C24B3F"/>
    <w:rsid w:val="00C24C86"/>
    <w:rsid w:val="00C3022D"/>
    <w:rsid w:val="00C335BF"/>
    <w:rsid w:val="00C523EA"/>
    <w:rsid w:val="00C560E0"/>
    <w:rsid w:val="00C622D7"/>
    <w:rsid w:val="00C7477C"/>
    <w:rsid w:val="00C8086F"/>
    <w:rsid w:val="00C8320F"/>
    <w:rsid w:val="00C96762"/>
    <w:rsid w:val="00CA374C"/>
    <w:rsid w:val="00CB5C65"/>
    <w:rsid w:val="00CC0991"/>
    <w:rsid w:val="00CC127A"/>
    <w:rsid w:val="00CC5753"/>
    <w:rsid w:val="00CC6B8F"/>
    <w:rsid w:val="00CF0B90"/>
    <w:rsid w:val="00CF36D3"/>
    <w:rsid w:val="00CF5794"/>
    <w:rsid w:val="00D00DA4"/>
    <w:rsid w:val="00D07616"/>
    <w:rsid w:val="00D20550"/>
    <w:rsid w:val="00D2211A"/>
    <w:rsid w:val="00D2373D"/>
    <w:rsid w:val="00D3014C"/>
    <w:rsid w:val="00D31BB5"/>
    <w:rsid w:val="00D57D70"/>
    <w:rsid w:val="00D61794"/>
    <w:rsid w:val="00D63ED4"/>
    <w:rsid w:val="00D70BD7"/>
    <w:rsid w:val="00D8102A"/>
    <w:rsid w:val="00D81172"/>
    <w:rsid w:val="00D8328F"/>
    <w:rsid w:val="00D94C2F"/>
    <w:rsid w:val="00D97C71"/>
    <w:rsid w:val="00DA3122"/>
    <w:rsid w:val="00DA5A92"/>
    <w:rsid w:val="00DB0F9D"/>
    <w:rsid w:val="00DB104A"/>
    <w:rsid w:val="00DC4601"/>
    <w:rsid w:val="00DD0635"/>
    <w:rsid w:val="00DD35DF"/>
    <w:rsid w:val="00DD3EFD"/>
    <w:rsid w:val="00DD53DC"/>
    <w:rsid w:val="00DE112A"/>
    <w:rsid w:val="00DE5B7D"/>
    <w:rsid w:val="00DF37F1"/>
    <w:rsid w:val="00DF5B76"/>
    <w:rsid w:val="00DF60EB"/>
    <w:rsid w:val="00E076C3"/>
    <w:rsid w:val="00E124CC"/>
    <w:rsid w:val="00E14598"/>
    <w:rsid w:val="00E14F7B"/>
    <w:rsid w:val="00E30DC2"/>
    <w:rsid w:val="00E336C8"/>
    <w:rsid w:val="00E41A1E"/>
    <w:rsid w:val="00E4419E"/>
    <w:rsid w:val="00E53152"/>
    <w:rsid w:val="00E74E5B"/>
    <w:rsid w:val="00E826A8"/>
    <w:rsid w:val="00E90A39"/>
    <w:rsid w:val="00E938AB"/>
    <w:rsid w:val="00EC3C97"/>
    <w:rsid w:val="00ED4CB7"/>
    <w:rsid w:val="00EF4BC6"/>
    <w:rsid w:val="00F17568"/>
    <w:rsid w:val="00F260E9"/>
    <w:rsid w:val="00F35482"/>
    <w:rsid w:val="00F41208"/>
    <w:rsid w:val="00F5126A"/>
    <w:rsid w:val="00FB0515"/>
    <w:rsid w:val="00FB305B"/>
    <w:rsid w:val="00FB70A6"/>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rPr>
      <w:rFonts w:eastAsia="Times New Roman" w:cs="Calibri"/>
      <w:sz w:val="24"/>
      <w:szCs w:val="24"/>
      <w:lang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hAnsi="Arial" w:cs="Arial"/>
      <w:b/>
      <w:bCs/>
      <w:lang w:eastAsia="de-DE"/>
    </w:rPr>
  </w:style>
  <w:style w:type="paragraph" w:styleId="Titre5">
    <w:name w:val="heading 5"/>
    <w:basedOn w:val="Normal"/>
    <w:next w:val="Normal"/>
    <w:link w:val="Titre5Car"/>
    <w:uiPriority w:val="99"/>
    <w:qFormat/>
    <w:rsid w:val="00BB182D"/>
    <w:pPr>
      <w:keepNext/>
      <w:outlineLvl w:val="4"/>
    </w:pPr>
    <w:rPr>
      <w:rFonts w:ascii="Times New Roman" w:hAnsi="Times New Roman" w:cs="Times New Roman"/>
      <w:i/>
      <w:iCs/>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hAnsi="Calibri Light" w:cs="Calibri Light"/>
      <w:b/>
      <w:bCs/>
      <w:color w:val="0070C0"/>
      <w:sz w:val="32"/>
      <w:szCs w:val="32"/>
      <w:lang w:val="en-US" w:eastAsia="en-US"/>
    </w:rPr>
  </w:style>
  <w:style w:type="character" w:customStyle="1" w:styleId="Titre2Car">
    <w:name w:val="Titre 2 Car"/>
    <w:link w:val="Titre2"/>
    <w:uiPriority w:val="99"/>
    <w:rsid w:val="00BB182D"/>
    <w:rPr>
      <w:rFonts w:ascii="Arial Black" w:hAnsi="Arial Black" w:cs="Arial Black"/>
      <w:b/>
      <w:bCs/>
      <w:sz w:val="32"/>
      <w:szCs w:val="32"/>
      <w:lang w:eastAsia="de-DE"/>
    </w:rPr>
  </w:style>
  <w:style w:type="character" w:customStyle="1" w:styleId="Titre3Car">
    <w:name w:val="Titre 3 Car"/>
    <w:link w:val="Titre3"/>
    <w:uiPriority w:val="99"/>
    <w:rsid w:val="00BB182D"/>
    <w:rPr>
      <w:rFonts w:ascii="Arial" w:hAnsi="Arial" w:cs="Arial"/>
      <w:b/>
      <w:bCs/>
      <w:sz w:val="28"/>
      <w:szCs w:val="28"/>
      <w:lang w:eastAsia="de-DE"/>
    </w:rPr>
  </w:style>
  <w:style w:type="character" w:customStyle="1" w:styleId="Titre4Car">
    <w:name w:val="Titre 4 Car"/>
    <w:link w:val="Titre4"/>
    <w:uiPriority w:val="99"/>
    <w:rsid w:val="00BB182D"/>
    <w:rPr>
      <w:rFonts w:ascii="Arial" w:hAnsi="Arial" w:cs="Arial"/>
      <w:b/>
      <w:bCs/>
      <w:sz w:val="24"/>
      <w:szCs w:val="24"/>
      <w:lang w:eastAsia="de-DE"/>
    </w:rPr>
  </w:style>
  <w:style w:type="character" w:customStyle="1" w:styleId="Titre5Car">
    <w:name w:val="Titre 5 Car"/>
    <w:link w:val="Titre5"/>
    <w:uiPriority w:val="99"/>
    <w:rsid w:val="00BB182D"/>
    <w:rPr>
      <w:rFonts w:ascii="Times New Roman" w:hAnsi="Times New Roman" w:cs="Times New Roman"/>
      <w:i/>
      <w:iCs/>
      <w:sz w:val="24"/>
      <w:szCs w:val="24"/>
      <w:lang w:eastAsia="fr-FR"/>
    </w:rPr>
  </w:style>
  <w:style w:type="character" w:customStyle="1" w:styleId="Titre6Car">
    <w:name w:val="Titre 6 Car"/>
    <w:link w:val="Titre6"/>
    <w:uiPriority w:val="99"/>
    <w:rsid w:val="00BB182D"/>
    <w:rPr>
      <w:rFonts w:ascii="Arial" w:hAnsi="Arial" w:cs="Arial"/>
      <w:i/>
      <w:iCs/>
      <w:sz w:val="20"/>
      <w:szCs w:val="20"/>
      <w:lang w:eastAsia="de-DE"/>
    </w:rPr>
  </w:style>
  <w:style w:type="character" w:customStyle="1" w:styleId="Titre7Car">
    <w:name w:val="Titre 7 Car"/>
    <w:link w:val="Titre7"/>
    <w:uiPriority w:val="99"/>
    <w:rsid w:val="00BB182D"/>
    <w:rPr>
      <w:rFonts w:ascii="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Pieddepage">
    <w:name w:val="footer"/>
    <w:basedOn w:val="Normal"/>
    <w:link w:val="PieddepageCar"/>
    <w:uiPriority w:val="99"/>
    <w:rsid w:val="00BB182D"/>
    <w:pPr>
      <w:tabs>
        <w:tab w:val="center" w:pos="4536"/>
        <w:tab w:val="right" w:pos="9072"/>
      </w:tabs>
    </w:pPr>
    <w:rPr>
      <w:lang w:eastAsia="fr-FR"/>
    </w:rPr>
  </w:style>
  <w:style w:type="character" w:customStyle="1" w:styleId="PieddepageCar">
    <w:name w:val="Pied de page Car"/>
    <w:link w:val="Pieddepage"/>
    <w:uiPriority w:val="99"/>
    <w:rsid w:val="00BB182D"/>
    <w:rPr>
      <w:rFonts w:ascii="Calibri" w:hAnsi="Calibri" w:cs="Calibri"/>
      <w:sz w:val="24"/>
      <w:szCs w:val="24"/>
    </w:rPr>
  </w:style>
  <w:style w:type="character" w:styleId="Lienhypertexte">
    <w:name w:val="Hyperlink"/>
    <w:uiPriority w:val="99"/>
    <w:rsid w:val="00BB182D"/>
    <w:rPr>
      <w:color w:val="0000FF"/>
      <w:u w:val="single"/>
    </w:rPr>
  </w:style>
  <w:style w:type="paragraph" w:styleId="Explorateurdedocuments">
    <w:name w:val="Document Map"/>
    <w:basedOn w:val="Normal"/>
    <w:link w:val="ExplorateurdedocumentsCar"/>
    <w:uiPriority w:val="99"/>
    <w:semiHidden/>
    <w:rsid w:val="00BB182D"/>
    <w:pPr>
      <w:shd w:val="clear" w:color="auto" w:fill="000080"/>
    </w:pPr>
    <w:rPr>
      <w:rFonts w:ascii="Tahoma" w:hAnsi="Tahoma" w:cs="Tahoma"/>
      <w:lang w:eastAsia="fr-FR"/>
    </w:rPr>
  </w:style>
  <w:style w:type="character" w:customStyle="1" w:styleId="ExplorateurdedocumentsCar">
    <w:name w:val="Explorateur de documents Car"/>
    <w:link w:val="Explorateurdedocuments"/>
    <w:uiPriority w:val="99"/>
    <w:rsid w:val="00BB182D"/>
    <w:rPr>
      <w:rFonts w:ascii="Tahoma"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Textebrut">
    <w:name w:val="Plain Text"/>
    <w:basedOn w:val="Normal"/>
    <w:link w:val="TextebrutCar"/>
    <w:uiPriority w:val="99"/>
    <w:semiHidden/>
    <w:rsid w:val="00526886"/>
    <w:rPr>
      <w:rFonts w:ascii="Consolas" w:hAnsi="Consolas" w:cs="Consolas"/>
      <w:sz w:val="21"/>
      <w:szCs w:val="21"/>
      <w:lang w:eastAsia="fr-FR"/>
    </w:rPr>
  </w:style>
  <w:style w:type="character" w:customStyle="1" w:styleId="TextebrutCar">
    <w:name w:val="Texte brut Car"/>
    <w:link w:val="Textebru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rsid w:val="003E358D"/>
    <w:rPr>
      <w:rFonts w:ascii="Tahoma" w:hAnsi="Tahoma" w:cs="Tahoma"/>
      <w:sz w:val="16"/>
      <w:szCs w:val="16"/>
      <w:lang w:eastAsia="fr-FR"/>
    </w:rPr>
  </w:style>
  <w:style w:type="character" w:customStyle="1" w:styleId="TextedebullesCar">
    <w:name w:val="Texte de bulles Car"/>
    <w:link w:val="Textedebulles"/>
    <w:uiPriority w:val="99"/>
    <w:semiHidden/>
    <w:rsid w:val="003E358D"/>
    <w:rPr>
      <w:rFonts w:ascii="Tahoma" w:hAnsi="Tahoma" w:cs="Tahoma"/>
      <w:sz w:val="16"/>
      <w:szCs w:val="16"/>
    </w:rPr>
  </w:style>
  <w:style w:type="paragraph" w:styleId="En-tte">
    <w:name w:val="header"/>
    <w:basedOn w:val="Normal"/>
    <w:link w:val="En-tteCar"/>
    <w:uiPriority w:val="99"/>
    <w:rsid w:val="00FB70A6"/>
    <w:pPr>
      <w:tabs>
        <w:tab w:val="center" w:pos="4536"/>
        <w:tab w:val="right" w:pos="9072"/>
      </w:tabs>
    </w:pPr>
    <w:rPr>
      <w:sz w:val="20"/>
      <w:szCs w:val="20"/>
      <w:lang w:eastAsia="fr-FR"/>
    </w:rPr>
  </w:style>
  <w:style w:type="character" w:customStyle="1" w:styleId="En-tteCar">
    <w:name w:val="En-tête Car"/>
    <w:link w:val="En-tte"/>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lang w:val="en-GB" w:eastAsia="en-US"/>
    </w:rPr>
  </w:style>
  <w:style w:type="paragraph" w:customStyle="1" w:styleId="TKLettersLevel1">
    <w:name w:val="TK Letters Level 1"/>
    <w:basedOn w:val="TKBulletLevel1"/>
    <w:uiPriority w:val="99"/>
    <w:rsid w:val="00EC3C97"/>
    <w:pPr>
      <w:numPr>
        <w:numId w:val="12"/>
      </w:numPr>
      <w:tabs>
        <w:tab w:val="clear" w:pos="567"/>
      </w:tabs>
      <w:ind w:left="568" w:hanging="284"/>
    </w:pPr>
  </w:style>
  <w:style w:type="paragraph" w:customStyle="1" w:styleId="TKTITRE4">
    <w:name w:val="TK TITRE 4"/>
    <w:basedOn w:val="TKTITRE3"/>
    <w:uiPriority w:val="99"/>
    <w:rsid w:val="0050334F"/>
    <w:rPr>
      <w:u w:val="none"/>
    </w:rPr>
  </w:style>
  <w:style w:type="character" w:customStyle="1" w:styleId="Mentionnonrsolue1">
    <w:name w:val="Mention non résolue1"/>
    <w:uiPriority w:val="99"/>
    <w:semiHidden/>
    <w:unhideWhenUsed/>
    <w:rsid w:val="009563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hcr.org/fr/" TargetMode="External"/><Relationship Id="rId13" Type="http://schemas.openxmlformats.org/officeDocument/2006/relationships/hyperlink" Target="https://www.icrc.org/" TargetMode="External"/><Relationship Id="rId18" Type="http://schemas.openxmlformats.org/officeDocument/2006/relationships/hyperlink" Target="https://www.easo.europa.e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rm.coe.int/doc-10-que-suppose-l-accompagnement-linguistique-des-refugies-accompag/168075aa19" TargetMode="External"/><Relationship Id="rId7" Type="http://schemas.openxmlformats.org/officeDocument/2006/relationships/hyperlink" Target="https://www.coe.int/fr/web/language-support-for-adult-refugees/web-directories" TargetMode="External"/><Relationship Id="rId12" Type="http://schemas.openxmlformats.org/officeDocument/2006/relationships/hyperlink" Target="http://www.ecre.org/need-a-lawyer/" TargetMode="External"/><Relationship Id="rId17" Type="http://schemas.openxmlformats.org/officeDocument/2006/relationships/hyperlink" Target="http://eur-lex.europa.eu/legal-content/FR/TXT/PDF/?uri=CELEX:32013R0604&amp;from=F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nhcr.org/protection/operations/479df9532/unhcr-statement-subsidiary-protection-under-ec-qualification-directive.html" TargetMode="External"/><Relationship Id="rId20" Type="http://schemas.openxmlformats.org/officeDocument/2006/relationships/hyperlink" Target="http://www.iom.int/fr/termes-cles-de-la-migr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re.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nhcr.org/protection/operations/479df9532/unhcr-statement-subsidiary-protection-under-ec-qualification-directive.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sf.org" TargetMode="External"/><Relationship Id="rId19" Type="http://schemas.openxmlformats.org/officeDocument/2006/relationships/hyperlink" Target="http://www.asylumineurope.org/" TargetMode="External"/><Relationship Id="rId4" Type="http://schemas.openxmlformats.org/officeDocument/2006/relationships/webSettings" Target="webSettings.xml"/><Relationship Id="rId9" Type="http://schemas.openxmlformats.org/officeDocument/2006/relationships/hyperlink" Target="http://www.iom.int/fr" TargetMode="External"/><Relationship Id="rId14" Type="http://schemas.openxmlformats.org/officeDocument/2006/relationships/hyperlink" Target="http://www.unhcr.org/468504762.pdf"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23.03.17.dotx</Template>
  <TotalTime>19</TotalTime>
  <Pages>4</Pages>
  <Words>2239</Words>
  <Characters>10795</Characters>
  <Application>Microsoft Office Word</Application>
  <DocSecurity>0</DocSecurity>
  <Lines>168</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2 - Les droits et le statut juridique des réfugiés </vt:lpstr>
      <vt:lpstr>2 - Les droits et le statut juridique des réfugiés </vt:lpstr>
    </vt:vector>
  </TitlesOfParts>
  <Company>Council of Europe</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Les droits et le statut juridique des réfugiés </dc:title>
  <dc:subject/>
  <dc:creator>utilisateur</dc:creator>
  <cp:keywords/>
  <dc:description/>
  <cp:lastModifiedBy>Carole</cp:lastModifiedBy>
  <cp:revision>10</cp:revision>
  <cp:lastPrinted>2017-06-23T03:05:00Z</cp:lastPrinted>
  <dcterms:created xsi:type="dcterms:W3CDTF">2017-07-03T16:46:00Z</dcterms:created>
  <dcterms:modified xsi:type="dcterms:W3CDTF">2017-11-09T17:51:00Z</dcterms:modified>
</cp:coreProperties>
</file>