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6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3"/>
      </w:tblGrid>
      <w:tr w:rsidR="00D608D8" w14:paraId="101BC20C" w14:textId="77777777" w:rsidTr="00D608D8">
        <w:trPr>
          <w:trHeight w:val="294"/>
          <w:tblCellSpacing w:w="15" w:type="dxa"/>
        </w:trPr>
        <w:tc>
          <w:tcPr>
            <w:tcW w:w="4648" w:type="dxa"/>
            <w:vMerge w:val="restart"/>
            <w:shd w:val="clear" w:color="auto" w:fill="FFFFFF"/>
            <w:vAlign w:val="center"/>
          </w:tcPr>
          <w:p w14:paraId="127AB47F" w14:textId="77777777" w:rsidR="00D608D8" w:rsidRPr="00803931" w:rsidRDefault="0096699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pict w14:anchorId="24450F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95pt;height:82.05pt">
                  <v:imagedata r:id="rId7" o:title="75 ANS DE LA CONVENTION DES DH - BAT - Quadri"/>
                </v:shape>
              </w:pict>
            </w:r>
            <w:r w:rsidR="002B2FF9">
              <w:rPr>
                <w:rFonts w:ascii="Times" w:hAnsi="Times" w:cs="Times"/>
                <w:color w:val="000000"/>
              </w:rPr>
              <w:fldChar w:fldCharType="begin"/>
            </w:r>
            <w:r w:rsidR="002B2FF9">
              <w:rPr>
                <w:rFonts w:ascii="Times" w:hAnsi="Times" w:cs="Times"/>
                <w:color w:val="000000"/>
              </w:rPr>
              <w:instrText xml:space="preserve"> INCLUDEPICTURE "https://static.coe.int/pics/email/council-of-europe.png" \* MERGEFORMATINET </w:instrText>
            </w:r>
            <w:r w:rsidR="002B2FF9">
              <w:rPr>
                <w:rFonts w:ascii="Times" w:hAnsi="Times" w:cs="Times"/>
                <w:color w:val="000000"/>
              </w:rPr>
              <w:fldChar w:fldCharType="separate"/>
            </w:r>
            <w:r w:rsidR="00194EA0">
              <w:rPr>
                <w:rFonts w:ascii="Times" w:hAnsi="Times" w:cs="Times"/>
                <w:color w:val="000000"/>
              </w:rPr>
              <w:fldChar w:fldCharType="begin"/>
            </w:r>
            <w:r w:rsidR="00194EA0">
              <w:rPr>
                <w:rFonts w:ascii="Times" w:hAnsi="Times" w:cs="Times"/>
                <w:color w:val="000000"/>
              </w:rPr>
              <w:instrText xml:space="preserve"> INCLUDEPICTURE  "https://static.coe.int/pics/email/council-of-europe.png" \* MERGEFORMATINET </w:instrText>
            </w:r>
            <w:r w:rsidR="00194EA0">
              <w:rPr>
                <w:rFonts w:ascii="Times" w:hAnsi="Times" w:cs="Times"/>
                <w:color w:val="000000"/>
              </w:rPr>
              <w:fldChar w:fldCharType="separate"/>
            </w:r>
            <w:r w:rsidR="00A3113E">
              <w:rPr>
                <w:rFonts w:ascii="Times" w:hAnsi="Times" w:cs="Times"/>
                <w:color w:val="000000"/>
              </w:rPr>
              <w:fldChar w:fldCharType="begin"/>
            </w:r>
            <w:r w:rsidR="00A3113E">
              <w:rPr>
                <w:rFonts w:ascii="Times" w:hAnsi="Times" w:cs="Times"/>
                <w:color w:val="000000"/>
              </w:rPr>
              <w:instrText xml:space="preserve"> INCLUDEPICTURE  "https://static.coe.int/pics/email/council-of-europe.png" \* MERGEFORMATINET </w:instrText>
            </w:r>
            <w:r w:rsidR="00A3113E">
              <w:rPr>
                <w:rFonts w:ascii="Times" w:hAnsi="Times" w:cs="Times"/>
                <w:color w:val="000000"/>
              </w:rPr>
              <w:fldChar w:fldCharType="separate"/>
            </w:r>
            <w:r w:rsidR="00C67DC9">
              <w:rPr>
                <w:rFonts w:ascii="Times" w:hAnsi="Times" w:cs="Times"/>
                <w:color w:val="000000"/>
              </w:rPr>
              <w:fldChar w:fldCharType="begin"/>
            </w:r>
            <w:r w:rsidR="00C67DC9">
              <w:rPr>
                <w:rFonts w:ascii="Times" w:hAnsi="Times" w:cs="Times"/>
                <w:color w:val="000000"/>
              </w:rPr>
              <w:instrText xml:space="preserve"> INCLUDEPICTURE  "https://static.coe.int/pics/email/council-of-europe.png" \* MERGEFORMATINET </w:instrText>
            </w:r>
            <w:r w:rsidR="00C67DC9">
              <w:rPr>
                <w:rFonts w:ascii="Times" w:hAnsi="Times" w:cs="Times"/>
                <w:color w:val="000000"/>
              </w:rPr>
              <w:fldChar w:fldCharType="separate"/>
            </w:r>
            <w:r w:rsidR="00537285">
              <w:rPr>
                <w:rFonts w:ascii="Times" w:hAnsi="Times" w:cs="Times"/>
                <w:color w:val="000000"/>
              </w:rPr>
              <w:fldChar w:fldCharType="begin"/>
            </w:r>
            <w:r w:rsidR="00537285">
              <w:rPr>
                <w:rFonts w:ascii="Times" w:hAnsi="Times" w:cs="Times"/>
                <w:color w:val="000000"/>
              </w:rPr>
              <w:instrText xml:space="preserve"> INCLUDEPICTURE  "https://static.coe.int/pics/email/council-of-europe.png" \* MERGEFORMATINET </w:instrText>
            </w:r>
            <w:r w:rsidR="00537285">
              <w:rPr>
                <w:rFonts w:ascii="Times" w:hAnsi="Times" w:cs="Times"/>
                <w:color w:val="000000"/>
              </w:rPr>
              <w:fldChar w:fldCharType="separate"/>
            </w:r>
            <w:r w:rsidR="0027769C">
              <w:rPr>
                <w:rFonts w:ascii="Times" w:hAnsi="Times" w:cs="Times"/>
                <w:color w:val="000000"/>
              </w:rPr>
              <w:fldChar w:fldCharType="begin"/>
            </w:r>
            <w:r w:rsidR="0027769C">
              <w:rPr>
                <w:rFonts w:ascii="Times" w:hAnsi="Times" w:cs="Times"/>
                <w:color w:val="000000"/>
              </w:rPr>
              <w:instrText xml:space="preserve"> INCLUDEPICTURE  "https://static.coe.int/pics/email/council-of-europe.png" \* MERGEFORMATINET </w:instrText>
            </w:r>
            <w:r w:rsidR="0027769C">
              <w:rPr>
                <w:rFonts w:ascii="Times" w:hAnsi="Times" w:cs="Times"/>
                <w:color w:val="000000"/>
              </w:rPr>
              <w:fldChar w:fldCharType="separate"/>
            </w:r>
            <w:r w:rsidR="00A85E67">
              <w:rPr>
                <w:rFonts w:ascii="Times" w:hAnsi="Times" w:cs="Times"/>
                <w:color w:val="000000"/>
              </w:rPr>
              <w:fldChar w:fldCharType="begin"/>
            </w:r>
            <w:r w:rsidR="00A85E67">
              <w:rPr>
                <w:rFonts w:ascii="Times" w:hAnsi="Times" w:cs="Times"/>
                <w:color w:val="000000"/>
              </w:rPr>
              <w:instrText xml:space="preserve"> INCLUDEPICTURE  "https://static.coe.int/pics/email/council-of-europe.png" \* MERGEFORMATINET </w:instrText>
            </w:r>
            <w:r w:rsidR="00A85E67">
              <w:rPr>
                <w:rFonts w:ascii="Times" w:hAnsi="Times" w:cs="Times"/>
                <w:color w:val="000000"/>
              </w:rPr>
              <w:fldChar w:fldCharType="separate"/>
            </w:r>
            <w:r w:rsidR="001439D2">
              <w:rPr>
                <w:rFonts w:ascii="Times" w:hAnsi="Times" w:cs="Times"/>
                <w:color w:val="000000"/>
              </w:rPr>
              <w:fldChar w:fldCharType="begin"/>
            </w:r>
            <w:r w:rsidR="001439D2">
              <w:rPr>
                <w:rFonts w:ascii="Times" w:hAnsi="Times" w:cs="Times"/>
                <w:color w:val="000000"/>
              </w:rPr>
              <w:instrText xml:space="preserve"> </w:instrText>
            </w:r>
            <w:r w:rsidR="001439D2">
              <w:rPr>
                <w:rFonts w:ascii="Times" w:hAnsi="Times" w:cs="Times"/>
                <w:color w:val="000000"/>
              </w:rPr>
              <w:instrText>INCLUDEPICTURE  "https://static.coe.int/pics/email/council-of-europe.png" \* MERGEFORMATINET</w:instrText>
            </w:r>
            <w:r w:rsidR="001439D2">
              <w:rPr>
                <w:rFonts w:ascii="Times" w:hAnsi="Times" w:cs="Times"/>
                <w:color w:val="000000"/>
              </w:rPr>
              <w:instrText xml:space="preserve"> </w:instrText>
            </w:r>
            <w:r w:rsidR="001439D2">
              <w:rPr>
                <w:rFonts w:ascii="Times" w:hAnsi="Times" w:cs="Times"/>
                <w:color w:val="000000"/>
              </w:rPr>
              <w:fldChar w:fldCharType="separate"/>
            </w:r>
            <w:r w:rsidR="001439D2">
              <w:rPr>
                <w:rFonts w:ascii="Times" w:hAnsi="Times" w:cs="Times"/>
                <w:color w:val="000000"/>
              </w:rPr>
              <w:pict w14:anchorId="08611A50">
                <v:shape id="_x0000_i1026" type="#_x0000_t75" alt="Council of Europe - Conseil de l'Europe" style="width:87.5pt;height:75.1pt">
                  <v:imagedata r:id="rId8" r:href="rId9"/>
                </v:shape>
              </w:pict>
            </w:r>
            <w:r w:rsidR="001439D2">
              <w:rPr>
                <w:rFonts w:ascii="Times" w:hAnsi="Times" w:cs="Times"/>
                <w:color w:val="000000"/>
              </w:rPr>
              <w:fldChar w:fldCharType="end"/>
            </w:r>
            <w:r w:rsidR="00A85E67">
              <w:rPr>
                <w:rFonts w:ascii="Times" w:hAnsi="Times" w:cs="Times"/>
                <w:color w:val="000000"/>
              </w:rPr>
              <w:fldChar w:fldCharType="end"/>
            </w:r>
            <w:r w:rsidR="0027769C">
              <w:rPr>
                <w:rFonts w:ascii="Times" w:hAnsi="Times" w:cs="Times"/>
                <w:color w:val="000000"/>
              </w:rPr>
              <w:fldChar w:fldCharType="end"/>
            </w:r>
            <w:r w:rsidR="00537285">
              <w:rPr>
                <w:rFonts w:ascii="Times" w:hAnsi="Times" w:cs="Times"/>
                <w:color w:val="000000"/>
              </w:rPr>
              <w:fldChar w:fldCharType="end"/>
            </w:r>
            <w:r w:rsidR="00C67DC9">
              <w:rPr>
                <w:rFonts w:ascii="Times" w:hAnsi="Times" w:cs="Times"/>
                <w:color w:val="000000"/>
              </w:rPr>
              <w:fldChar w:fldCharType="end"/>
            </w:r>
            <w:r w:rsidR="00A3113E">
              <w:rPr>
                <w:rFonts w:ascii="Times" w:hAnsi="Times" w:cs="Times"/>
                <w:color w:val="000000"/>
              </w:rPr>
              <w:fldChar w:fldCharType="end"/>
            </w:r>
            <w:r w:rsidR="00194EA0">
              <w:rPr>
                <w:rFonts w:ascii="Times" w:hAnsi="Times" w:cs="Times"/>
                <w:color w:val="000000"/>
              </w:rPr>
              <w:fldChar w:fldCharType="end"/>
            </w:r>
            <w:r w:rsidR="002B2FF9">
              <w:rPr>
                <w:rFonts w:ascii="Times" w:hAnsi="Times" w:cs="Times"/>
                <w:color w:val="000000"/>
              </w:rPr>
              <w:fldChar w:fldCharType="end"/>
            </w:r>
          </w:p>
        </w:tc>
        <w:tc>
          <w:tcPr>
            <w:tcW w:w="4648" w:type="dxa"/>
            <w:shd w:val="clear" w:color="auto" w:fill="FFFFFF"/>
            <w:vAlign w:val="center"/>
          </w:tcPr>
          <w:p w14:paraId="086B1BF2" w14:textId="77777777" w:rsidR="00D608D8" w:rsidRPr="00803931" w:rsidRDefault="00D608D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608D8" w14:paraId="4ED80FCB" w14:textId="77777777" w:rsidTr="00D608D8">
        <w:trPr>
          <w:trHeight w:val="292"/>
          <w:tblCellSpacing w:w="15" w:type="dxa"/>
        </w:trPr>
        <w:tc>
          <w:tcPr>
            <w:tcW w:w="4648" w:type="dxa"/>
            <w:vMerge/>
            <w:shd w:val="clear" w:color="auto" w:fill="FFFFFF"/>
            <w:vAlign w:val="center"/>
          </w:tcPr>
          <w:p w14:paraId="13F00381" w14:textId="77777777" w:rsidR="00D608D8" w:rsidRPr="00803931" w:rsidRDefault="00D608D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14:paraId="79C327BA" w14:textId="77777777" w:rsidR="00D608D8" w:rsidRPr="00D608D8" w:rsidRDefault="00D608D8" w:rsidP="00D608D8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608D8">
              <w:rPr>
                <w:rFonts w:ascii="Arial" w:hAnsi="Arial" w:cs="Arial"/>
                <w:b/>
                <w:bCs/>
                <w:sz w:val="20"/>
                <w:szCs w:val="20"/>
              </w:rPr>
              <w:t>MEDIA RELEASE</w:t>
            </w:r>
          </w:p>
        </w:tc>
      </w:tr>
      <w:tr w:rsidR="00D608D8" w14:paraId="0B87F2D6" w14:textId="77777777" w:rsidTr="00D608D8">
        <w:trPr>
          <w:trHeight w:val="292"/>
          <w:tblCellSpacing w:w="15" w:type="dxa"/>
        </w:trPr>
        <w:tc>
          <w:tcPr>
            <w:tcW w:w="4648" w:type="dxa"/>
            <w:vMerge/>
            <w:shd w:val="clear" w:color="auto" w:fill="FFFFFF"/>
            <w:vAlign w:val="center"/>
          </w:tcPr>
          <w:p w14:paraId="51E2B716" w14:textId="77777777" w:rsidR="00D608D8" w:rsidRPr="00803931" w:rsidRDefault="00D608D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14:paraId="0196A6C1" w14:textId="77777777" w:rsidR="00D608D8" w:rsidRPr="00803931" w:rsidRDefault="00D608D8" w:rsidP="00D608D8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Communications</w:t>
            </w:r>
          </w:p>
        </w:tc>
      </w:tr>
      <w:tr w:rsidR="00D608D8" w14:paraId="117F0202" w14:textId="77777777" w:rsidTr="00D608D8">
        <w:trPr>
          <w:trHeight w:val="292"/>
          <w:tblCellSpacing w:w="15" w:type="dxa"/>
        </w:trPr>
        <w:tc>
          <w:tcPr>
            <w:tcW w:w="4648" w:type="dxa"/>
            <w:vMerge/>
            <w:shd w:val="clear" w:color="auto" w:fill="FFFFFF"/>
            <w:vAlign w:val="center"/>
          </w:tcPr>
          <w:p w14:paraId="797BC279" w14:textId="77777777" w:rsidR="00D608D8" w:rsidRPr="00803931" w:rsidRDefault="00D608D8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FFFFFF"/>
            <w:vAlign w:val="center"/>
          </w:tcPr>
          <w:p w14:paraId="1BE09348" w14:textId="77777777" w:rsidR="00D608D8" w:rsidRPr="00803931" w:rsidRDefault="00D608D8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8B04FE" w:rsidRPr="00C3527C" w14:paraId="5BF1CF35" w14:textId="77777777" w:rsidTr="00AD3BD1">
        <w:trPr>
          <w:tblCellSpacing w:w="15" w:type="dxa"/>
        </w:trPr>
        <w:tc>
          <w:tcPr>
            <w:tcW w:w="9326" w:type="dxa"/>
            <w:gridSpan w:val="2"/>
            <w:tcBorders>
              <w:bottom w:val="single" w:sz="8" w:space="0" w:color="0E3D8A"/>
            </w:tcBorders>
            <w:shd w:val="clear" w:color="auto" w:fill="FFFFFF"/>
            <w:vAlign w:val="center"/>
          </w:tcPr>
          <w:p w14:paraId="507CB9D4" w14:textId="77777777" w:rsidR="008B04FE" w:rsidRPr="001D094C" w:rsidRDefault="008B04FE" w:rsidP="001629E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AD0E76" w:rsidRPr="00C3527C" w14:paraId="3273ED9A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66A7123F" w14:textId="77777777" w:rsidR="00AD0E76" w:rsidRPr="001D094C" w:rsidRDefault="00AD0E76" w:rsidP="001629EC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EA4348" w:rsidRPr="001439D2" w14:paraId="24E7B68E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246F0A4F" w14:textId="16BD9321" w:rsidR="00AE1B7C" w:rsidRPr="006C7608" w:rsidRDefault="00AE1B7C" w:rsidP="00AE1B7C">
            <w:pPr>
              <w:spacing w:after="240"/>
              <w:jc w:val="right"/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6C7608">
              <w:rPr>
                <w:rFonts w:ascii="Verdana" w:hAnsi="Verdana"/>
                <w:sz w:val="18"/>
                <w:szCs w:val="18"/>
                <w:lang w:val="en-US"/>
              </w:rPr>
              <w:t xml:space="preserve">Ref. DC </w:t>
            </w:r>
            <w:r w:rsidR="0027769C">
              <w:rPr>
                <w:rFonts w:ascii="Verdana" w:hAnsi="Verdana"/>
                <w:sz w:val="18"/>
                <w:szCs w:val="18"/>
                <w:lang w:val="en-US"/>
              </w:rPr>
              <w:t>093</w:t>
            </w:r>
            <w:r w:rsidRPr="006C7608">
              <w:rPr>
                <w:rFonts w:ascii="Verdana" w:hAnsi="Verdana"/>
                <w:sz w:val="18"/>
                <w:szCs w:val="18"/>
                <w:lang w:val="en-US"/>
              </w:rPr>
              <w:t>(202</w:t>
            </w:r>
            <w:r w:rsidR="0061289E" w:rsidRPr="006C7608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  <w:r w:rsidRPr="006C7608">
              <w:rPr>
                <w:rFonts w:ascii="Verdana" w:hAnsi="Verdana"/>
                <w:sz w:val="18"/>
                <w:szCs w:val="18"/>
                <w:lang w:val="en-US"/>
              </w:rPr>
              <w:t>)</w:t>
            </w:r>
          </w:p>
          <w:p w14:paraId="0BA87D64" w14:textId="222E053C" w:rsidR="00827DC7" w:rsidRPr="00A16FDC" w:rsidRDefault="00827DC7" w:rsidP="00827DC7">
            <w:pPr>
              <w:spacing w:after="240"/>
              <w:jc w:val="both"/>
              <w:rPr>
                <w:rFonts w:ascii="Verdana" w:hAnsi="Verdana"/>
                <w:b/>
                <w:bCs/>
                <w:lang w:val="en-GB"/>
              </w:rPr>
            </w:pPr>
            <w:r w:rsidRPr="00A16FDC">
              <w:rPr>
                <w:rFonts w:ascii="Verdana" w:hAnsi="Verdana"/>
                <w:b/>
                <w:bCs/>
                <w:lang w:val="en-GB"/>
              </w:rPr>
              <w:t>Secretary General highlights next steps on Special Tribunal for Ukraine in moment of unity in Lviv</w:t>
            </w:r>
          </w:p>
          <w:p w14:paraId="6ADDDC2D" w14:textId="4679C10A" w:rsidR="006C7608" w:rsidRPr="006C7608" w:rsidRDefault="006C7608" w:rsidP="006C7608">
            <w:pPr>
              <w:spacing w:after="2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Strasbourg, 09.05.2025 – The </w:t>
            </w:r>
            <w:hyperlink r:id="rId10" w:history="1">
              <w:r w:rsidRPr="00C67DC9">
                <w:rPr>
                  <w:rStyle w:val="Hyperlink"/>
                  <w:rFonts w:ascii="Verdana" w:hAnsi="Verdana"/>
                  <w:sz w:val="18"/>
                  <w:szCs w:val="18"/>
                  <w:lang w:val="en-GB"/>
                </w:rPr>
                <w:t>Secretary General</w:t>
              </w:r>
            </w:hyperlink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 of the Council of Europe, Alain Berset, has made the following statement concerning the political backing expressed today for the Special Tribunal for the Crime of Aggression against Ukraine:</w:t>
            </w:r>
          </w:p>
          <w:p w14:paraId="5C54981E" w14:textId="77777777" w:rsidR="006C7608" w:rsidRPr="006C7608" w:rsidRDefault="006C7608" w:rsidP="006C7608">
            <w:pPr>
              <w:spacing w:after="2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“Today’s event in Lviv demonstrates our unity and resolve to ensure a just and lasting peace for Ukraine. </w:t>
            </w:r>
          </w:p>
          <w:p w14:paraId="345C94C9" w14:textId="0AA3CA19" w:rsidR="006C7608" w:rsidRPr="006C7608" w:rsidRDefault="006C7608" w:rsidP="006C7608">
            <w:pPr>
              <w:spacing w:after="2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>“Ukraine is part of our European family and remains the Council of Europe’s top priority. We have already developed an Action Plan on Resilience, Recovery and Reconstruction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. W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e have 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established a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 fully functioning Register of Damage for Ukraine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. The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 European Court of Human Rights is examining thousands of cases of alleged human rights violations resulting from Russia’s aggression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. A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>nd we have made the plight of Ukrainian children our own.</w:t>
            </w:r>
          </w:p>
          <w:p w14:paraId="5EC4AD59" w14:textId="1046E0E8" w:rsidR="006C7608" w:rsidRPr="006C7608" w:rsidRDefault="006C7608" w:rsidP="006C7608">
            <w:pPr>
              <w:spacing w:after="2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>“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W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e are providing the framework for the Special Tribunal for the Crime of Aggression against Ukraine. 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This is the moment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 for states to follow up on the political will they have 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shown t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>oday. Justice also needs resources. Funding must be secured</w:t>
            </w:r>
            <w:r w:rsidR="00A85E67">
              <w:rPr>
                <w:rFonts w:ascii="Verdana" w:hAnsi="Verdana"/>
                <w:sz w:val="18"/>
                <w:szCs w:val="18"/>
                <w:lang w:val="en-GB"/>
              </w:rPr>
              <w:t xml:space="preserve">, 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and the necessary support provided for the functioning of the future </w:t>
            </w:r>
            <w:r w:rsidR="00827DC7">
              <w:rPr>
                <w:rFonts w:ascii="Verdana" w:hAnsi="Verdana"/>
                <w:sz w:val="18"/>
                <w:szCs w:val="18"/>
                <w:lang w:val="en-GB"/>
              </w:rPr>
              <w:t>t</w:t>
            </w: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 xml:space="preserve">ribunal. </w:t>
            </w:r>
          </w:p>
          <w:p w14:paraId="3A3B105D" w14:textId="77777777" w:rsidR="006C7608" w:rsidRPr="006C7608" w:rsidRDefault="006C7608" w:rsidP="006C7608">
            <w:pPr>
              <w:spacing w:after="2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6C7608">
              <w:rPr>
                <w:rFonts w:ascii="Verdana" w:hAnsi="Verdana"/>
                <w:sz w:val="18"/>
                <w:szCs w:val="18"/>
                <w:lang w:val="en-GB"/>
              </w:rPr>
              <w:t>“This Special Tribunal can help shape Ukraine’s future for generations to come.”</w:t>
            </w:r>
          </w:p>
          <w:p w14:paraId="06EFA23F" w14:textId="4EB29B52" w:rsidR="006C7608" w:rsidRPr="006C7608" w:rsidRDefault="001439D2" w:rsidP="006C7608">
            <w:pPr>
              <w:spacing w:after="240"/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hyperlink r:id="rId11" w:history="1">
              <w:r w:rsidR="006C7608" w:rsidRPr="001439D2">
                <w:rPr>
                  <w:rStyle w:val="Hyperlink"/>
                  <w:rFonts w:ascii="Verdana" w:hAnsi="Verdana"/>
                  <w:i/>
                  <w:iCs/>
                  <w:sz w:val="18"/>
                  <w:szCs w:val="18"/>
                  <w:lang w:val="en-GB"/>
                </w:rPr>
                <w:t>Frequently Asked Questions - Special Tribunal for the Crime of Aggression against Ukraine</w:t>
              </w:r>
            </w:hyperlink>
          </w:p>
          <w:p w14:paraId="52EB389D" w14:textId="77777777" w:rsidR="00EA4348" w:rsidRPr="006C7608" w:rsidRDefault="00EA4348" w:rsidP="00A3113E">
            <w:pPr>
              <w:spacing w:after="2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EA4348" w:rsidRPr="00C3527C" w14:paraId="57DB4223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5B412152" w14:textId="5CE5D9E6" w:rsidR="00EA4348" w:rsidRDefault="006C7608" w:rsidP="00EA4348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Press Contacts</w:t>
            </w:r>
          </w:p>
          <w:p w14:paraId="4E9D8E0F" w14:textId="77777777" w:rsidR="00CB1F1C" w:rsidRPr="00B562B1" w:rsidRDefault="001439D2" w:rsidP="00CB1F1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12" w:history="1">
              <w:r w:rsidR="00CB1F1C" w:rsidRPr="00B562B1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Andrew Cutting</w:t>
              </w:r>
            </w:hyperlink>
            <w:r w:rsidR="00CB1F1C" w:rsidRPr="00B562B1">
              <w:rPr>
                <w:rFonts w:ascii="Verdana" w:hAnsi="Verdana"/>
                <w:sz w:val="18"/>
                <w:szCs w:val="18"/>
                <w:lang w:val="en-US"/>
              </w:rPr>
              <w:t xml:space="preserve">, Spokesperson/Media officer, Tel. +32 485 21 72 02 </w:t>
            </w:r>
          </w:p>
          <w:p w14:paraId="135E774B" w14:textId="77777777" w:rsidR="00CB1F1C" w:rsidRPr="00B562B1" w:rsidRDefault="001439D2" w:rsidP="00CB1F1C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hyperlink r:id="rId13" w:history="1">
              <w:r w:rsidR="00CB1F1C" w:rsidRPr="00B562B1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 xml:space="preserve">Tatiana </w:t>
              </w:r>
              <w:proofErr w:type="spellStart"/>
              <w:r w:rsidR="00CB1F1C" w:rsidRPr="00B562B1">
                <w:rPr>
                  <w:rStyle w:val="Hyperlink"/>
                  <w:rFonts w:ascii="Verdana" w:hAnsi="Verdana"/>
                  <w:sz w:val="18"/>
                  <w:szCs w:val="18"/>
                  <w:lang w:val="en-US"/>
                </w:rPr>
                <w:t>Baeva-Frachon</w:t>
              </w:r>
              <w:proofErr w:type="spellEnd"/>
            </w:hyperlink>
            <w:r w:rsidR="00CB1F1C" w:rsidRPr="00B562B1">
              <w:rPr>
                <w:rFonts w:ascii="Verdana" w:hAnsi="Verdana"/>
                <w:sz w:val="18"/>
                <w:szCs w:val="18"/>
                <w:lang w:val="en-US"/>
              </w:rPr>
              <w:t>, Media officer, Tel. +33 3 88 41 21 41 or Tel. +33 6 85 11 64 93</w:t>
            </w:r>
          </w:p>
          <w:p w14:paraId="68531F0E" w14:textId="5F057198" w:rsidR="006C7608" w:rsidRPr="008B04FE" w:rsidRDefault="006C7608" w:rsidP="00CB1F1C">
            <w:pP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</w:p>
        </w:tc>
      </w:tr>
      <w:tr w:rsidR="0002166E" w:rsidRPr="00194EA0" w14:paraId="265041A1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208B97EE" w14:textId="77777777" w:rsidR="0002166E" w:rsidRPr="00053BBF" w:rsidRDefault="0002166E" w:rsidP="0002166E">
            <w:pPr>
              <w:spacing w:before="100" w:beforeAutospacing="1" w:after="100" w:afterAutospacing="1"/>
              <w:outlineLvl w:val="0"/>
              <w:rPr>
                <w:rFonts w:ascii="Verdana" w:hAnsi="Verdana"/>
                <w:sz w:val="18"/>
                <w:szCs w:val="18"/>
                <w:lang w:val="it-IT"/>
              </w:rPr>
            </w:pPr>
            <w:bookmarkStart w:id="0" w:name="_Hlk59172979"/>
          </w:p>
        </w:tc>
      </w:tr>
      <w:tr w:rsidR="0002166E" w:rsidRPr="006922F3" w14:paraId="47D26CA1" w14:textId="77777777">
        <w:trPr>
          <w:tblCellSpacing w:w="15" w:type="dxa"/>
        </w:trPr>
        <w:tc>
          <w:tcPr>
            <w:tcW w:w="9326" w:type="dxa"/>
            <w:gridSpan w:val="2"/>
            <w:shd w:val="clear" w:color="auto" w:fill="FFFFFF"/>
            <w:vAlign w:val="center"/>
          </w:tcPr>
          <w:p w14:paraId="6FF291DB" w14:textId="77777777" w:rsidR="0002166E" w:rsidRPr="004B7A3F" w:rsidRDefault="0002166E" w:rsidP="0002166E">
            <w:pPr>
              <w:spacing w:before="100" w:beforeAutospacing="1" w:after="100" w:afterAutospacing="1"/>
              <w:outlineLvl w:val="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680590">
              <w:rPr>
                <w:rFonts w:ascii="Arial" w:hAnsi="Arial" w:cs="Arial"/>
                <w:sz w:val="16"/>
                <w:szCs w:val="16"/>
              </w:rPr>
              <w:t>Council of Europe, Media Assistance Unit / Conseil de l</w:t>
            </w:r>
            <w:r w:rsidR="004F3665">
              <w:rPr>
                <w:rFonts w:ascii="Arial" w:hAnsi="Arial" w:cs="Arial"/>
                <w:sz w:val="16"/>
                <w:szCs w:val="16"/>
              </w:rPr>
              <w:t>’</w:t>
            </w:r>
            <w:r w:rsidRPr="00680590">
              <w:rPr>
                <w:rFonts w:ascii="Arial" w:hAnsi="Arial" w:cs="Arial"/>
                <w:sz w:val="16"/>
                <w:szCs w:val="16"/>
              </w:rPr>
              <w:t>Europe, Unité d</w:t>
            </w:r>
            <w:r w:rsidR="004F3665">
              <w:rPr>
                <w:rFonts w:ascii="Arial" w:hAnsi="Arial" w:cs="Arial"/>
                <w:sz w:val="16"/>
                <w:szCs w:val="16"/>
              </w:rPr>
              <w:t>’</w:t>
            </w:r>
            <w:r w:rsidRPr="00680590">
              <w:rPr>
                <w:rFonts w:ascii="Arial" w:hAnsi="Arial" w:cs="Arial"/>
                <w:sz w:val="16"/>
                <w:szCs w:val="16"/>
              </w:rPr>
              <w:t>assistance aux médias</w:t>
            </w:r>
            <w:r w:rsidRPr="00680590">
              <w:rPr>
                <w:rFonts w:ascii="Arial" w:hAnsi="Arial" w:cs="Arial"/>
                <w:sz w:val="16"/>
                <w:szCs w:val="16"/>
              </w:rPr>
              <w:br/>
              <w:t xml:space="preserve">Tel. +33 (0)3 88 41 25 60 - </w:t>
            </w:r>
            <w:hyperlink r:id="rId14" w:history="1">
              <w:r w:rsidRPr="00680590">
                <w:rPr>
                  <w:rStyle w:val="Hyperlink"/>
                  <w:rFonts w:ascii="Arial" w:hAnsi="Arial" w:cs="Arial"/>
                  <w:color w:val="1B7EAC"/>
                  <w:sz w:val="16"/>
                  <w:szCs w:val="16"/>
                </w:rPr>
                <w:t>www.coe.int</w:t>
              </w:r>
            </w:hyperlink>
            <w:r w:rsidRPr="00680590">
              <w:rPr>
                <w:rFonts w:ascii="Arial" w:hAnsi="Arial" w:cs="Arial"/>
                <w:sz w:val="16"/>
                <w:szCs w:val="16"/>
              </w:rPr>
              <w:t xml:space="preserve"> - </w:t>
            </w:r>
            <w:hyperlink r:id="rId15" w:history="1">
              <w:r w:rsidRPr="00680590">
                <w:rPr>
                  <w:rStyle w:val="Hyperlink"/>
                  <w:rFonts w:ascii="Arial" w:hAnsi="Arial" w:cs="Arial"/>
                  <w:color w:val="1B7EAC"/>
                  <w:sz w:val="16"/>
                  <w:szCs w:val="16"/>
                </w:rPr>
                <w:t>pressunit@coe.int</w:t>
              </w:r>
            </w:hyperlink>
          </w:p>
        </w:tc>
      </w:tr>
      <w:bookmarkEnd w:id="0"/>
    </w:tbl>
    <w:p w14:paraId="6E9E2FE2" w14:textId="77777777" w:rsidR="00B5721B" w:rsidRPr="006922F3" w:rsidRDefault="00B5721B" w:rsidP="00A44DE1">
      <w:pPr>
        <w:spacing w:after="240"/>
        <w:rPr>
          <w:rFonts w:ascii="Verdana" w:hAnsi="Verdana"/>
          <w:sz w:val="18"/>
          <w:szCs w:val="18"/>
        </w:rPr>
      </w:pPr>
    </w:p>
    <w:sectPr w:rsidR="00B5721B" w:rsidRPr="006922F3">
      <w:pgSz w:w="11907" w:h="16840"/>
      <w:pgMar w:top="1474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092A" w14:textId="77777777" w:rsidR="00C30009" w:rsidRDefault="00C3000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5D609CA3" w14:textId="77777777" w:rsidR="00C30009" w:rsidRDefault="00C3000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DA63B" w14:textId="77777777" w:rsidR="00C30009" w:rsidRDefault="00C3000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31D21B8B" w14:textId="77777777" w:rsidR="00C30009" w:rsidRDefault="00C3000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962"/>
    <w:multiLevelType w:val="hybridMultilevel"/>
    <w:tmpl w:val="BBDA25E8"/>
    <w:lvl w:ilvl="0" w:tplc="ED94C914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10D"/>
    <w:multiLevelType w:val="hybridMultilevel"/>
    <w:tmpl w:val="B464CE8C"/>
    <w:lvl w:ilvl="0" w:tplc="46EE96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0F07"/>
    <w:multiLevelType w:val="hybridMultilevel"/>
    <w:tmpl w:val="A4FA9D5E"/>
    <w:lvl w:ilvl="0" w:tplc="36E414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7E17"/>
    <w:multiLevelType w:val="hybridMultilevel"/>
    <w:tmpl w:val="EE7CD3D8"/>
    <w:lvl w:ilvl="0" w:tplc="81842020">
      <w:start w:val="1"/>
      <w:numFmt w:val="decimal"/>
      <w:pStyle w:val="COEParagraph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  <w:lang w:val="en-U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0D15F2"/>
    <w:multiLevelType w:val="hybridMultilevel"/>
    <w:tmpl w:val="46522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750C3"/>
    <w:multiLevelType w:val="hybridMultilevel"/>
    <w:tmpl w:val="2F8E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6584C"/>
    <w:multiLevelType w:val="hybridMultilevel"/>
    <w:tmpl w:val="31B203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2679"/>
    <w:multiLevelType w:val="hybridMultilevel"/>
    <w:tmpl w:val="531CDC84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8238A"/>
    <w:multiLevelType w:val="hybridMultilevel"/>
    <w:tmpl w:val="26D638B6"/>
    <w:lvl w:ilvl="0" w:tplc="FD6CD1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97ED8"/>
    <w:multiLevelType w:val="hybridMultilevel"/>
    <w:tmpl w:val="E5CEBB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84666">
    <w:abstractNumId w:val="5"/>
  </w:num>
  <w:num w:numId="2" w16cid:durableId="1126462770">
    <w:abstractNumId w:val="3"/>
  </w:num>
  <w:num w:numId="3" w16cid:durableId="1403868890">
    <w:abstractNumId w:val="9"/>
  </w:num>
  <w:num w:numId="4" w16cid:durableId="746805283">
    <w:abstractNumId w:val="8"/>
  </w:num>
  <w:num w:numId="5" w16cid:durableId="1861511328">
    <w:abstractNumId w:val="1"/>
  </w:num>
  <w:num w:numId="6" w16cid:durableId="483662701">
    <w:abstractNumId w:val="4"/>
  </w:num>
  <w:num w:numId="7" w16cid:durableId="1278954048">
    <w:abstractNumId w:val="7"/>
  </w:num>
  <w:num w:numId="8" w16cid:durableId="818763220">
    <w:abstractNumId w:val="0"/>
  </w:num>
  <w:num w:numId="9" w16cid:durableId="1688410761">
    <w:abstractNumId w:val="6"/>
  </w:num>
  <w:num w:numId="10" w16cid:durableId="76626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oNotTrackMoves/>
  <w:defaultTabStop w:val="720"/>
  <w:hyphenationZone w:val="4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901"/>
    <w:rsid w:val="00020D87"/>
    <w:rsid w:val="0002166E"/>
    <w:rsid w:val="00040C15"/>
    <w:rsid w:val="00053BBF"/>
    <w:rsid w:val="000621B3"/>
    <w:rsid w:val="0006762A"/>
    <w:rsid w:val="00071911"/>
    <w:rsid w:val="000C241B"/>
    <w:rsid w:val="000C4B7A"/>
    <w:rsid w:val="000C6C41"/>
    <w:rsid w:val="000C72A4"/>
    <w:rsid w:val="00106563"/>
    <w:rsid w:val="00111FA8"/>
    <w:rsid w:val="00142738"/>
    <w:rsid w:val="00142965"/>
    <w:rsid w:val="001439D2"/>
    <w:rsid w:val="00156A2E"/>
    <w:rsid w:val="00160119"/>
    <w:rsid w:val="001629EC"/>
    <w:rsid w:val="00163473"/>
    <w:rsid w:val="001808E7"/>
    <w:rsid w:val="00194EA0"/>
    <w:rsid w:val="001B11D7"/>
    <w:rsid w:val="001B234F"/>
    <w:rsid w:val="001B56EB"/>
    <w:rsid w:val="001D094C"/>
    <w:rsid w:val="001D58E1"/>
    <w:rsid w:val="001E5DE1"/>
    <w:rsid w:val="001F1132"/>
    <w:rsid w:val="00204BDB"/>
    <w:rsid w:val="00205E45"/>
    <w:rsid w:val="00224920"/>
    <w:rsid w:val="002407FC"/>
    <w:rsid w:val="002527AD"/>
    <w:rsid w:val="0027769C"/>
    <w:rsid w:val="00291E1A"/>
    <w:rsid w:val="002A651F"/>
    <w:rsid w:val="002B03BC"/>
    <w:rsid w:val="002B13D5"/>
    <w:rsid w:val="002B2FF9"/>
    <w:rsid w:val="002D5375"/>
    <w:rsid w:val="002E408F"/>
    <w:rsid w:val="002E5985"/>
    <w:rsid w:val="002F2E75"/>
    <w:rsid w:val="00302CAA"/>
    <w:rsid w:val="003055C6"/>
    <w:rsid w:val="00317F59"/>
    <w:rsid w:val="00325976"/>
    <w:rsid w:val="00352F5F"/>
    <w:rsid w:val="00377180"/>
    <w:rsid w:val="00392823"/>
    <w:rsid w:val="0039413B"/>
    <w:rsid w:val="003A2EA0"/>
    <w:rsid w:val="003A3E33"/>
    <w:rsid w:val="003A5F08"/>
    <w:rsid w:val="003B08D2"/>
    <w:rsid w:val="003B4D46"/>
    <w:rsid w:val="003C03EA"/>
    <w:rsid w:val="003D031B"/>
    <w:rsid w:val="003D2FE5"/>
    <w:rsid w:val="003D3EC4"/>
    <w:rsid w:val="003E3557"/>
    <w:rsid w:val="004010F6"/>
    <w:rsid w:val="00402350"/>
    <w:rsid w:val="0040297C"/>
    <w:rsid w:val="00402A9B"/>
    <w:rsid w:val="00411F8A"/>
    <w:rsid w:val="004204DF"/>
    <w:rsid w:val="004214E3"/>
    <w:rsid w:val="00433762"/>
    <w:rsid w:val="0043469F"/>
    <w:rsid w:val="00450270"/>
    <w:rsid w:val="00457EBF"/>
    <w:rsid w:val="0046022A"/>
    <w:rsid w:val="004639EC"/>
    <w:rsid w:val="00485A81"/>
    <w:rsid w:val="00497C31"/>
    <w:rsid w:val="004D5696"/>
    <w:rsid w:val="004F3665"/>
    <w:rsid w:val="004F6040"/>
    <w:rsid w:val="0050231A"/>
    <w:rsid w:val="00512307"/>
    <w:rsid w:val="0051349C"/>
    <w:rsid w:val="00531BC0"/>
    <w:rsid w:val="00537285"/>
    <w:rsid w:val="00545771"/>
    <w:rsid w:val="005564E5"/>
    <w:rsid w:val="00563E09"/>
    <w:rsid w:val="00571F43"/>
    <w:rsid w:val="0058130D"/>
    <w:rsid w:val="005826DA"/>
    <w:rsid w:val="005A0184"/>
    <w:rsid w:val="005B46D9"/>
    <w:rsid w:val="005B4706"/>
    <w:rsid w:val="005B65BA"/>
    <w:rsid w:val="005B781D"/>
    <w:rsid w:val="005C68A9"/>
    <w:rsid w:val="005D25F1"/>
    <w:rsid w:val="005D3A67"/>
    <w:rsid w:val="005E6129"/>
    <w:rsid w:val="006049A6"/>
    <w:rsid w:val="00605D80"/>
    <w:rsid w:val="006120A1"/>
    <w:rsid w:val="0061289E"/>
    <w:rsid w:val="00620669"/>
    <w:rsid w:val="00623D90"/>
    <w:rsid w:val="0062543C"/>
    <w:rsid w:val="006352D4"/>
    <w:rsid w:val="00642C15"/>
    <w:rsid w:val="006626F2"/>
    <w:rsid w:val="00663E4F"/>
    <w:rsid w:val="00670C72"/>
    <w:rsid w:val="00680590"/>
    <w:rsid w:val="0069118F"/>
    <w:rsid w:val="006922F3"/>
    <w:rsid w:val="006C7608"/>
    <w:rsid w:val="006D643F"/>
    <w:rsid w:val="006F0B6B"/>
    <w:rsid w:val="006F27C6"/>
    <w:rsid w:val="0070529C"/>
    <w:rsid w:val="00714A8D"/>
    <w:rsid w:val="007239EF"/>
    <w:rsid w:val="00726877"/>
    <w:rsid w:val="0073349E"/>
    <w:rsid w:val="00770305"/>
    <w:rsid w:val="00775624"/>
    <w:rsid w:val="007900F2"/>
    <w:rsid w:val="00791343"/>
    <w:rsid w:val="007A227B"/>
    <w:rsid w:val="007A3925"/>
    <w:rsid w:val="007C0C32"/>
    <w:rsid w:val="007D0F98"/>
    <w:rsid w:val="007D182D"/>
    <w:rsid w:val="007D6935"/>
    <w:rsid w:val="007E5D6A"/>
    <w:rsid w:val="007E67DA"/>
    <w:rsid w:val="007F0859"/>
    <w:rsid w:val="007F6C07"/>
    <w:rsid w:val="00802C30"/>
    <w:rsid w:val="00803931"/>
    <w:rsid w:val="008114AC"/>
    <w:rsid w:val="008119E4"/>
    <w:rsid w:val="00812D1F"/>
    <w:rsid w:val="00827DC7"/>
    <w:rsid w:val="0085750B"/>
    <w:rsid w:val="0088710B"/>
    <w:rsid w:val="0089479C"/>
    <w:rsid w:val="008977DA"/>
    <w:rsid w:val="008A3CA4"/>
    <w:rsid w:val="008B04FE"/>
    <w:rsid w:val="008D537B"/>
    <w:rsid w:val="008D697F"/>
    <w:rsid w:val="0090633C"/>
    <w:rsid w:val="009140D5"/>
    <w:rsid w:val="0092777E"/>
    <w:rsid w:val="009313A8"/>
    <w:rsid w:val="00934E33"/>
    <w:rsid w:val="00944EB5"/>
    <w:rsid w:val="0096699B"/>
    <w:rsid w:val="0097630E"/>
    <w:rsid w:val="0099356E"/>
    <w:rsid w:val="009A10EB"/>
    <w:rsid w:val="009A110E"/>
    <w:rsid w:val="009B4DFA"/>
    <w:rsid w:val="009C7C0A"/>
    <w:rsid w:val="009E10F4"/>
    <w:rsid w:val="009E6CBF"/>
    <w:rsid w:val="00A03E41"/>
    <w:rsid w:val="00A20D52"/>
    <w:rsid w:val="00A3113E"/>
    <w:rsid w:val="00A40BEE"/>
    <w:rsid w:val="00A4124F"/>
    <w:rsid w:val="00A44DE1"/>
    <w:rsid w:val="00A52919"/>
    <w:rsid w:val="00A52ABF"/>
    <w:rsid w:val="00A52C81"/>
    <w:rsid w:val="00A53CAB"/>
    <w:rsid w:val="00A53F7B"/>
    <w:rsid w:val="00A7190F"/>
    <w:rsid w:val="00A7520B"/>
    <w:rsid w:val="00A85E67"/>
    <w:rsid w:val="00A86F3D"/>
    <w:rsid w:val="00A87306"/>
    <w:rsid w:val="00A91122"/>
    <w:rsid w:val="00AA1206"/>
    <w:rsid w:val="00AB040B"/>
    <w:rsid w:val="00AB1B24"/>
    <w:rsid w:val="00AC1C64"/>
    <w:rsid w:val="00AD0E76"/>
    <w:rsid w:val="00AD3BD1"/>
    <w:rsid w:val="00AE12DF"/>
    <w:rsid w:val="00AE1B7C"/>
    <w:rsid w:val="00B16F87"/>
    <w:rsid w:val="00B22A6D"/>
    <w:rsid w:val="00B54A3C"/>
    <w:rsid w:val="00B5721B"/>
    <w:rsid w:val="00B9453B"/>
    <w:rsid w:val="00B95404"/>
    <w:rsid w:val="00B95535"/>
    <w:rsid w:val="00BA1D96"/>
    <w:rsid w:val="00BB145A"/>
    <w:rsid w:val="00BB27C1"/>
    <w:rsid w:val="00BD2704"/>
    <w:rsid w:val="00BD5491"/>
    <w:rsid w:val="00BE296B"/>
    <w:rsid w:val="00BF6092"/>
    <w:rsid w:val="00C06F31"/>
    <w:rsid w:val="00C161B1"/>
    <w:rsid w:val="00C16AB2"/>
    <w:rsid w:val="00C212F4"/>
    <w:rsid w:val="00C30009"/>
    <w:rsid w:val="00C325F9"/>
    <w:rsid w:val="00C3527C"/>
    <w:rsid w:val="00C504CA"/>
    <w:rsid w:val="00C5389F"/>
    <w:rsid w:val="00C65242"/>
    <w:rsid w:val="00C67DC9"/>
    <w:rsid w:val="00C704BF"/>
    <w:rsid w:val="00C90D00"/>
    <w:rsid w:val="00C92700"/>
    <w:rsid w:val="00C9550C"/>
    <w:rsid w:val="00CB1F1C"/>
    <w:rsid w:val="00CE177B"/>
    <w:rsid w:val="00CE17B6"/>
    <w:rsid w:val="00CF2559"/>
    <w:rsid w:val="00CF506D"/>
    <w:rsid w:val="00D114E8"/>
    <w:rsid w:val="00D2041D"/>
    <w:rsid w:val="00D337AC"/>
    <w:rsid w:val="00D608D8"/>
    <w:rsid w:val="00D61CD4"/>
    <w:rsid w:val="00D90BAB"/>
    <w:rsid w:val="00D9311C"/>
    <w:rsid w:val="00DA632D"/>
    <w:rsid w:val="00DA63DE"/>
    <w:rsid w:val="00DA7DFB"/>
    <w:rsid w:val="00DB332A"/>
    <w:rsid w:val="00DC1156"/>
    <w:rsid w:val="00DC1BF6"/>
    <w:rsid w:val="00DC4793"/>
    <w:rsid w:val="00DC7C55"/>
    <w:rsid w:val="00DD181F"/>
    <w:rsid w:val="00DE21DF"/>
    <w:rsid w:val="00DF31BD"/>
    <w:rsid w:val="00E00C7D"/>
    <w:rsid w:val="00E05D46"/>
    <w:rsid w:val="00E45E4D"/>
    <w:rsid w:val="00E534D9"/>
    <w:rsid w:val="00E609F7"/>
    <w:rsid w:val="00E87515"/>
    <w:rsid w:val="00E96AAF"/>
    <w:rsid w:val="00EA4348"/>
    <w:rsid w:val="00EA700B"/>
    <w:rsid w:val="00EB1CAD"/>
    <w:rsid w:val="00EB57C7"/>
    <w:rsid w:val="00EC407E"/>
    <w:rsid w:val="00EC43C6"/>
    <w:rsid w:val="00EE2B02"/>
    <w:rsid w:val="00EF4D55"/>
    <w:rsid w:val="00F134FF"/>
    <w:rsid w:val="00F15220"/>
    <w:rsid w:val="00F15D52"/>
    <w:rsid w:val="00F44D5A"/>
    <w:rsid w:val="00F454C3"/>
    <w:rsid w:val="00F5439F"/>
    <w:rsid w:val="00F94360"/>
    <w:rsid w:val="00FA5051"/>
    <w:rsid w:val="00FA6C78"/>
    <w:rsid w:val="00FB7A2E"/>
    <w:rsid w:val="00FD0D46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6173B26"/>
  <w15:chartTrackingRefBased/>
  <w15:docId w15:val="{6219C329-3361-4ACC-AB5A-6721FC62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2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uiPriority w:val="99"/>
    <w:locked/>
  </w:style>
  <w:style w:type="paragraph" w:styleId="PlainText">
    <w:name w:val="Plain Text"/>
    <w:basedOn w:val="Normal"/>
    <w:link w:val="PlainTextChar"/>
    <w:uiPriority w:val="99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locked/>
    <w:rPr>
      <w:rFonts w:ascii="Calibri" w:hAnsi="Calibri" w:cs="Calibri" w:hint="default"/>
      <w:sz w:val="22"/>
      <w:szCs w:val="21"/>
      <w:lang w:val="en-GB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Pr>
      <w:rFonts w:ascii="Tahom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etitre">
    <w:name w:val="coetitre"/>
    <w:basedOn w:val="Normal"/>
    <w:pPr>
      <w:spacing w:before="100" w:beforeAutospacing="1" w:after="100" w:afterAutospacing="1"/>
    </w:pPr>
  </w:style>
  <w:style w:type="paragraph" w:customStyle="1" w:styleId="COETitre0">
    <w:name w:val="COE_Titre"/>
    <w:basedOn w:val="Normal"/>
    <w:rPr>
      <w:sz w:val="36"/>
    </w:r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StyleBoldRed">
    <w:name w:val="Style Bold Red"/>
    <w:rPr>
      <w:rFonts w:ascii="Arial" w:hAnsi="Arial" w:cs="Arial" w:hint="default"/>
      <w:b/>
      <w:bCs/>
      <w:color w:val="FF0000"/>
    </w:rPr>
  </w:style>
  <w:style w:type="character" w:customStyle="1" w:styleId="apple-converted-space">
    <w:name w:val="apple-converted-space"/>
    <w:basedOn w:val="DefaultParagraphFont"/>
  </w:style>
  <w:style w:type="character" w:customStyle="1" w:styleId="header3">
    <w:name w:val="header3"/>
    <w:rPr>
      <w:rFonts w:ascii="Verdana" w:hAnsi="Verdana" w:hint="default"/>
      <w:b/>
      <w:bCs/>
      <w:color w:val="330099"/>
      <w:sz w:val="22"/>
      <w:szCs w:val="22"/>
    </w:rPr>
  </w:style>
  <w:style w:type="paragraph" w:customStyle="1" w:styleId="COEParagraphn">
    <w:name w:val="COE_Paragraph_n"/>
    <w:basedOn w:val="Normal"/>
    <w:link w:val="COEParagraphnChar"/>
    <w:rsid w:val="00A44DE1"/>
    <w:pPr>
      <w:numPr>
        <w:numId w:val="2"/>
      </w:numPr>
      <w:spacing w:before="240" w:after="120"/>
      <w:jc w:val="both"/>
    </w:pPr>
    <w:rPr>
      <w:rFonts w:ascii="Arial" w:hAnsi="Arial"/>
      <w:sz w:val="22"/>
    </w:rPr>
  </w:style>
  <w:style w:type="character" w:customStyle="1" w:styleId="COEParagraphnChar">
    <w:name w:val="COE_Paragraph_n Char"/>
    <w:link w:val="COEParagraphn"/>
    <w:locked/>
    <w:rsid w:val="00A44DE1"/>
    <w:rPr>
      <w:rFonts w:ascii="Arial" w:hAnsi="Arial"/>
      <w:sz w:val="22"/>
      <w:szCs w:val="24"/>
    </w:rPr>
  </w:style>
  <w:style w:type="paragraph" w:customStyle="1" w:styleId="COEParagraph">
    <w:name w:val="COE_Paragraph"/>
    <w:basedOn w:val="Normal"/>
    <w:rsid w:val="00A44DE1"/>
    <w:pPr>
      <w:spacing w:before="100" w:beforeAutospacing="1" w:after="100" w:afterAutospacing="1"/>
      <w:jc w:val="both"/>
    </w:pPr>
    <w:rPr>
      <w:rFonts w:ascii="Arial" w:hAnsi="Arial"/>
      <w:sz w:val="22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4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A44DE1"/>
    <w:rPr>
      <w:rFonts w:ascii="Courier New" w:hAnsi="Courier New" w:cs="Courier New"/>
    </w:rPr>
  </w:style>
  <w:style w:type="character" w:customStyle="1" w:styleId="3oh-">
    <w:name w:val="_3oh-"/>
    <w:rsid w:val="00AE12DF"/>
  </w:style>
  <w:style w:type="character" w:styleId="UnresolvedMention">
    <w:name w:val="Unresolved Mention"/>
    <w:uiPriority w:val="99"/>
    <w:semiHidden/>
    <w:unhideWhenUsed/>
    <w:rsid w:val="003E35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1CD4"/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1Char">
    <w:name w:val="Heading 1 Char"/>
    <w:link w:val="Heading1"/>
    <w:uiPriority w:val="9"/>
    <w:rsid w:val="006922F3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EA4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atiana.baeva-frachon@coe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ndrew.cutting@coe.in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e.int/en/web/portal/frequently-asked-ques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unit@coe.int" TargetMode="External"/><Relationship Id="rId10" Type="http://schemas.openxmlformats.org/officeDocument/2006/relationships/hyperlink" Target="https://www.coe.int/en/web/secretary-general/home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static.coe.int/pics/email/council-of-europe.png" TargetMode="External"/><Relationship Id="rId14" Type="http://schemas.openxmlformats.org/officeDocument/2006/relationships/hyperlink" Target="http://www.coe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2861</CharactersWithSpaces>
  <SharedDoc>false</SharedDoc>
  <HLinks>
    <vt:vector size="12" baseType="variant">
      <vt:variant>
        <vt:i4>327736</vt:i4>
      </vt:variant>
      <vt:variant>
        <vt:i4>6</vt:i4>
      </vt:variant>
      <vt:variant>
        <vt:i4>0</vt:i4>
      </vt:variant>
      <vt:variant>
        <vt:i4>5</vt:i4>
      </vt:variant>
      <vt:variant>
        <vt:lpwstr>mailto:pressunit@coe.int</vt:lpwstr>
      </vt:variant>
      <vt:variant>
        <vt:lpwstr/>
      </vt:variant>
      <vt:variant>
        <vt:i4>3145855</vt:i4>
      </vt:variant>
      <vt:variant>
        <vt:i4>3</vt:i4>
      </vt:variant>
      <vt:variant>
        <vt:i4>0</vt:i4>
      </vt:variant>
      <vt:variant>
        <vt:i4>5</vt:i4>
      </vt:variant>
      <vt:variant>
        <vt:lpwstr>http://www.coe.int/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BOURAS Marie-Christine</dc:creator>
  <cp:keywords/>
  <cp:lastModifiedBy>BECARMIN Catherine</cp:lastModifiedBy>
  <cp:revision>14</cp:revision>
  <cp:lastPrinted>2025-05-09T08:46:00Z</cp:lastPrinted>
  <dcterms:created xsi:type="dcterms:W3CDTF">2025-05-09T08:22:00Z</dcterms:created>
  <dcterms:modified xsi:type="dcterms:W3CDTF">2025-05-09T10:48:00Z</dcterms:modified>
</cp:coreProperties>
</file>