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3524FC3" w14:textId="77777777" w:rsidTr="00E54322">
        <w:trPr>
          <w:trHeight w:val="737"/>
        </w:trPr>
        <w:tc>
          <w:tcPr>
            <w:tcW w:w="1250" w:type="pct"/>
            <w:shd w:val="clear" w:color="auto" w:fill="auto"/>
            <w:vAlign w:val="center"/>
          </w:tcPr>
          <w:p w14:paraId="0A43A56E"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602E2EC0"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66C458A6" w14:textId="168D1AE4" w:rsidR="002D11B8" w:rsidRPr="00100A40" w:rsidRDefault="003D6AC2" w:rsidP="00F92CB2">
            <w:pPr>
              <w:ind w:left="-40"/>
              <w:jc w:val="center"/>
              <w:rPr>
                <w:rFonts w:ascii="Arial Narrow" w:hAnsi="Arial Narrow" w:cs="Arial"/>
                <w:b/>
                <w:sz w:val="22"/>
              </w:rPr>
            </w:pPr>
            <w:r w:rsidRPr="00100A40">
              <w:rPr>
                <w:rFonts w:ascii="Arial Narrow" w:hAnsi="Arial Narrow" w:cs="Calibri"/>
                <w:b/>
                <w:sz w:val="22"/>
              </w:rPr>
              <w:t>CM</w:t>
            </w:r>
            <w:r w:rsidR="00556F19" w:rsidRPr="00100A40">
              <w:rPr>
                <w:rFonts w:ascii="Arial Narrow" w:hAnsi="Arial Narrow" w:cs="Calibri"/>
                <w:b/>
                <w:sz w:val="22"/>
              </w:rPr>
              <w:t>/Del/</w:t>
            </w:r>
            <w:proofErr w:type="gramStart"/>
            <w:r w:rsidR="00556F19" w:rsidRPr="00100A40">
              <w:rPr>
                <w:rFonts w:ascii="Arial Narrow" w:hAnsi="Arial Narrow" w:cs="Calibri"/>
                <w:b/>
                <w:sz w:val="22"/>
              </w:rPr>
              <w:t>Dec</w:t>
            </w:r>
            <w:r w:rsidR="00E475F9" w:rsidRPr="00100A40">
              <w:rPr>
                <w:rFonts w:ascii="Arial Narrow" w:hAnsi="Arial Narrow" w:cs="Calibri"/>
                <w:b/>
                <w:sz w:val="22"/>
              </w:rPr>
              <w:t>(</w:t>
            </w:r>
            <w:proofErr w:type="gramEnd"/>
            <w:r w:rsidR="008044A7">
              <w:rPr>
                <w:rFonts w:ascii="Arial Narrow" w:hAnsi="Arial Narrow" w:cs="Calibri"/>
                <w:b/>
                <w:sz w:val="22"/>
              </w:rPr>
              <w:t>2025</w:t>
            </w:r>
            <w:r w:rsidR="00E475F9" w:rsidRPr="00100A40">
              <w:rPr>
                <w:rFonts w:ascii="Arial Narrow" w:hAnsi="Arial Narrow" w:cs="Calibri"/>
                <w:b/>
                <w:sz w:val="22"/>
              </w:rPr>
              <w:t>)</w:t>
            </w:r>
            <w:r w:rsidR="00556F19" w:rsidRPr="00100A40">
              <w:rPr>
                <w:rFonts w:ascii="Arial Narrow" w:hAnsi="Arial Narrow" w:cs="Calibri"/>
                <w:b/>
                <w:sz w:val="22"/>
              </w:rPr>
              <w:t>1</w:t>
            </w:r>
            <w:r w:rsidR="008044A7">
              <w:rPr>
                <w:rFonts w:ascii="Arial Narrow" w:hAnsi="Arial Narrow" w:cs="Calibri"/>
                <w:b/>
                <w:sz w:val="22"/>
              </w:rPr>
              <w:t>5</w:t>
            </w:r>
            <w:r w:rsidR="00AE032D">
              <w:rPr>
                <w:rFonts w:ascii="Arial Narrow" w:hAnsi="Arial Narrow" w:cs="Calibri"/>
                <w:b/>
                <w:sz w:val="22"/>
              </w:rPr>
              <w:t>20</w:t>
            </w:r>
            <w:r w:rsidR="00556F19" w:rsidRPr="00100A40">
              <w:rPr>
                <w:rFonts w:ascii="Arial Narrow" w:hAnsi="Arial Narrow" w:cs="Calibri"/>
                <w:b/>
                <w:sz w:val="22"/>
              </w:rPr>
              <w:t>/</w:t>
            </w:r>
            <w:r w:rsidR="000C1295">
              <w:rPr>
                <w:rFonts w:ascii="Arial Narrow" w:hAnsi="Arial Narrow" w:cs="Calibri"/>
                <w:b/>
                <w:sz w:val="22"/>
              </w:rPr>
              <w:t>2</w:t>
            </w:r>
            <w:r w:rsidR="00AE032D">
              <w:rPr>
                <w:rFonts w:ascii="Arial Narrow" w:hAnsi="Arial Narrow" w:cs="Calibri"/>
                <w:b/>
                <w:sz w:val="22"/>
              </w:rPr>
              <w:t>.3</w:t>
            </w:r>
          </w:p>
        </w:tc>
        <w:tc>
          <w:tcPr>
            <w:tcW w:w="1250" w:type="pct"/>
            <w:shd w:val="clear" w:color="auto" w:fill="auto"/>
            <w:vAlign w:val="center"/>
          </w:tcPr>
          <w:p w14:paraId="1589D237" w14:textId="33E67938" w:rsidR="002D11B8" w:rsidRPr="00F96689" w:rsidRDefault="00C30BE9" w:rsidP="00F92CB2">
            <w:pPr>
              <w:jc w:val="right"/>
              <w:rPr>
                <w:rFonts w:ascii="Arial Narrow" w:hAnsi="Arial Narrow" w:cs="Arial"/>
                <w:sz w:val="16"/>
                <w:szCs w:val="16"/>
              </w:rPr>
            </w:pPr>
            <w:r>
              <w:rPr>
                <w:rFonts w:ascii="Arial Narrow" w:hAnsi="Arial Narrow" w:cs="Calibri"/>
                <w:sz w:val="16"/>
                <w:szCs w:val="16"/>
              </w:rPr>
              <w:t>24</w:t>
            </w:r>
            <w:r w:rsidR="00AE032D">
              <w:rPr>
                <w:rFonts w:ascii="Arial Narrow" w:hAnsi="Arial Narrow" w:cs="Calibri"/>
                <w:sz w:val="16"/>
                <w:szCs w:val="16"/>
              </w:rPr>
              <w:t xml:space="preserve"> February</w:t>
            </w:r>
            <w:r w:rsidR="002D11B8" w:rsidRPr="00F96689">
              <w:rPr>
                <w:rFonts w:ascii="Arial Narrow" w:hAnsi="Arial Narrow" w:cs="Calibri"/>
                <w:sz w:val="16"/>
                <w:szCs w:val="16"/>
              </w:rPr>
              <w:t xml:space="preserve"> </w:t>
            </w:r>
            <w:r w:rsidR="008044A7">
              <w:rPr>
                <w:rFonts w:ascii="Arial Narrow" w:hAnsi="Arial Narrow" w:cs="Calibri"/>
                <w:sz w:val="16"/>
                <w:szCs w:val="16"/>
              </w:rPr>
              <w:t>2025</w:t>
            </w:r>
          </w:p>
        </w:tc>
      </w:tr>
    </w:tbl>
    <w:p w14:paraId="67CAC620"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12DEC" w14:paraId="4EDDC331" w14:textId="77777777" w:rsidTr="00E54322">
        <w:tc>
          <w:tcPr>
            <w:tcW w:w="9399" w:type="dxa"/>
            <w:shd w:val="clear" w:color="auto" w:fill="auto"/>
            <w:tcMar>
              <w:top w:w="227" w:type="dxa"/>
              <w:bottom w:w="227" w:type="dxa"/>
            </w:tcMar>
            <w:vAlign w:val="center"/>
          </w:tcPr>
          <w:p w14:paraId="691FB51B" w14:textId="6E5A21A4" w:rsidR="00E24C57" w:rsidRPr="00F23CFF" w:rsidRDefault="003D6AC2" w:rsidP="00E54322">
            <w:pPr>
              <w:widowControl w:val="0"/>
              <w:autoSpaceDE w:val="0"/>
              <w:autoSpaceDN w:val="0"/>
              <w:adjustRightInd w:val="0"/>
              <w:rPr>
                <w:rFonts w:ascii="Arial Narrow" w:hAnsi="Arial Narrow" w:cs="Calibri"/>
                <w:b/>
                <w:bCs/>
                <w:sz w:val="32"/>
                <w:szCs w:val="32"/>
              </w:rPr>
            </w:pPr>
            <w:r w:rsidRPr="00F23CFF">
              <w:rPr>
                <w:rFonts w:ascii="Arial Narrow" w:hAnsi="Arial Narrow" w:cs="Calibri"/>
                <w:b/>
                <w:bCs/>
                <w:sz w:val="32"/>
                <w:szCs w:val="32"/>
              </w:rPr>
              <w:t>1</w:t>
            </w:r>
            <w:r w:rsidR="008044A7">
              <w:rPr>
                <w:rFonts w:ascii="Arial Narrow" w:hAnsi="Arial Narrow" w:cs="Calibri"/>
                <w:b/>
                <w:bCs/>
                <w:sz w:val="32"/>
                <w:szCs w:val="32"/>
              </w:rPr>
              <w:t>5</w:t>
            </w:r>
            <w:r w:rsidR="00AE032D">
              <w:rPr>
                <w:rFonts w:ascii="Arial Narrow" w:hAnsi="Arial Narrow" w:cs="Calibri"/>
                <w:b/>
                <w:bCs/>
                <w:sz w:val="32"/>
                <w:szCs w:val="32"/>
              </w:rPr>
              <w:t>20</w:t>
            </w:r>
            <w:r w:rsidR="009432D0" w:rsidRPr="00F23CFF">
              <w:rPr>
                <w:rFonts w:ascii="Arial Narrow" w:hAnsi="Arial Narrow" w:cs="Calibri"/>
                <w:b/>
                <w:bCs/>
                <w:sz w:val="32"/>
                <w:szCs w:val="32"/>
                <w:vertAlign w:val="superscript"/>
              </w:rPr>
              <w:t>th</w:t>
            </w:r>
            <w:r w:rsidRPr="00F23CFF">
              <w:rPr>
                <w:rFonts w:ascii="Arial Narrow" w:hAnsi="Arial Narrow" w:cs="Calibri"/>
                <w:b/>
                <w:bCs/>
                <w:sz w:val="32"/>
                <w:szCs w:val="32"/>
              </w:rPr>
              <w:t xml:space="preserve"> meeting, </w:t>
            </w:r>
            <w:r w:rsidR="00AE032D">
              <w:rPr>
                <w:rFonts w:ascii="Arial Narrow" w:hAnsi="Arial Narrow" w:cs="Calibri"/>
                <w:b/>
                <w:bCs/>
                <w:sz w:val="32"/>
                <w:szCs w:val="32"/>
              </w:rPr>
              <w:t>24 and 26 February</w:t>
            </w:r>
            <w:r w:rsidRPr="00F23CFF">
              <w:rPr>
                <w:rFonts w:ascii="Arial Narrow" w:hAnsi="Arial Narrow" w:cs="Calibri"/>
                <w:b/>
                <w:bCs/>
                <w:sz w:val="32"/>
                <w:szCs w:val="32"/>
              </w:rPr>
              <w:t xml:space="preserve"> </w:t>
            </w:r>
            <w:r w:rsidR="008044A7">
              <w:rPr>
                <w:rFonts w:ascii="Arial Narrow" w:hAnsi="Arial Narrow" w:cs="Calibri"/>
                <w:b/>
                <w:bCs/>
                <w:sz w:val="32"/>
                <w:szCs w:val="32"/>
              </w:rPr>
              <w:t>2025</w:t>
            </w:r>
          </w:p>
          <w:p w14:paraId="0073B3D7" w14:textId="77777777" w:rsidR="0037200F" w:rsidRPr="00F23CFF" w:rsidRDefault="00CE6FD2" w:rsidP="00E54322">
            <w:pPr>
              <w:rPr>
                <w:rFonts w:ascii="Arial Narrow" w:hAnsi="Arial Narrow" w:cs="Calibri"/>
                <w:i/>
                <w:szCs w:val="20"/>
              </w:rPr>
            </w:pPr>
            <w:r w:rsidRPr="00F23CFF">
              <w:rPr>
                <w:rFonts w:ascii="Arial Narrow" w:hAnsi="Arial Narrow" w:cs="Calibri"/>
                <w:i/>
                <w:szCs w:val="20"/>
              </w:rPr>
              <w:t xml:space="preserve"> </w:t>
            </w:r>
          </w:p>
          <w:p w14:paraId="71C6E936" w14:textId="694E92D4" w:rsidR="003D6AC2" w:rsidRPr="00F23CFF" w:rsidRDefault="000C1295" w:rsidP="00E54322">
            <w:pPr>
              <w:rPr>
                <w:rFonts w:ascii="Arial Narrow" w:hAnsi="Arial Narrow" w:cs="Calibri"/>
                <w:b/>
                <w:sz w:val="28"/>
                <w:szCs w:val="28"/>
              </w:rPr>
            </w:pPr>
            <w:r>
              <w:rPr>
                <w:rFonts w:ascii="Arial Narrow" w:hAnsi="Arial Narrow" w:cs="Calibri"/>
                <w:b/>
                <w:sz w:val="28"/>
                <w:szCs w:val="28"/>
              </w:rPr>
              <w:t>2</w:t>
            </w:r>
            <w:r w:rsidR="000723FA" w:rsidRPr="00F23CFF">
              <w:rPr>
                <w:rFonts w:ascii="Arial Narrow" w:hAnsi="Arial Narrow" w:cs="Calibri"/>
                <w:b/>
                <w:sz w:val="28"/>
                <w:szCs w:val="28"/>
              </w:rPr>
              <w:t xml:space="preserve">.3 </w:t>
            </w:r>
            <w:r w:rsidRPr="000C1295">
              <w:rPr>
                <w:rFonts w:ascii="Arial Narrow" w:hAnsi="Arial Narrow" w:cs="Calibri"/>
                <w:b/>
                <w:sz w:val="28"/>
                <w:szCs w:val="28"/>
              </w:rPr>
              <w:t>Consequences of the aggression of the Russian Federation against Ukraine</w:t>
            </w:r>
          </w:p>
          <w:p w14:paraId="76EDBFF7" w14:textId="77777777" w:rsidR="00B003CD" w:rsidRPr="00F23CFF" w:rsidRDefault="00B003CD" w:rsidP="00E54322">
            <w:pPr>
              <w:rPr>
                <w:rFonts w:ascii="Arial Narrow" w:hAnsi="Arial Narrow" w:cs="Calibri"/>
                <w:szCs w:val="20"/>
              </w:rPr>
            </w:pPr>
            <w:r w:rsidRPr="00F23CFF">
              <w:rPr>
                <w:rFonts w:ascii="Arial Narrow" w:hAnsi="Arial Narrow" w:cs="Calibri"/>
                <w:szCs w:val="20"/>
              </w:rPr>
              <w:t xml:space="preserve"> </w:t>
            </w:r>
          </w:p>
          <w:p w14:paraId="19EA5C25" w14:textId="6DD98724" w:rsidR="00E457C3" w:rsidRPr="00556F19" w:rsidRDefault="00556F19" w:rsidP="00F92CB2">
            <w:pPr>
              <w:rPr>
                <w:rFonts w:ascii="Arial Narrow" w:hAnsi="Arial Narrow" w:cs="Calibri"/>
                <w:sz w:val="18"/>
                <w:szCs w:val="18"/>
              </w:rPr>
            </w:pPr>
            <w:r w:rsidRPr="00F23CFF">
              <w:rPr>
                <w:rFonts w:ascii="Arial Narrow" w:hAnsi="Arial Narrow" w:cs="Calibri"/>
                <w:sz w:val="18"/>
                <w:szCs w:val="18"/>
              </w:rPr>
              <w:t>Reference document</w:t>
            </w:r>
            <w:r w:rsidR="000723FA" w:rsidRPr="00F23CFF">
              <w:rPr>
                <w:rFonts w:ascii="Arial Narrow" w:hAnsi="Arial Narrow" w:cs="Calibri"/>
                <w:sz w:val="18"/>
                <w:szCs w:val="18"/>
              </w:rPr>
              <w:br/>
            </w:r>
            <w:hyperlink r:id="rId8" w:history="1">
              <w:r w:rsidR="00AD63B8" w:rsidRPr="00AD63B8">
                <w:rPr>
                  <w:rStyle w:val="Hyperlink"/>
                  <w:rFonts w:ascii="Arial Narrow" w:hAnsi="Arial Narrow" w:cs="Calibri"/>
                  <w:sz w:val="18"/>
                  <w:szCs w:val="18"/>
                </w:rPr>
                <w:t>Secretary General’s r</w:t>
              </w:r>
              <w:r w:rsidR="007607CD" w:rsidRPr="00AD63B8">
                <w:rPr>
                  <w:rStyle w:val="Hyperlink"/>
                  <w:rFonts w:ascii="Arial Narrow" w:hAnsi="Arial Narrow" w:cs="Calibri"/>
                  <w:sz w:val="18"/>
                  <w:szCs w:val="18"/>
                </w:rPr>
                <w:t>eport</w:t>
              </w:r>
            </w:hyperlink>
            <w:r w:rsidR="007607CD">
              <w:rPr>
                <w:rFonts w:ascii="Arial Narrow" w:hAnsi="Arial Narrow" w:cs="Calibri"/>
                <w:sz w:val="18"/>
                <w:szCs w:val="18"/>
              </w:rPr>
              <w:t xml:space="preserve"> </w:t>
            </w:r>
          </w:p>
        </w:tc>
      </w:tr>
    </w:tbl>
    <w:p w14:paraId="2C962125" w14:textId="77777777" w:rsidR="00556F19" w:rsidRDefault="00556F19" w:rsidP="0037200F">
      <w:pPr>
        <w:rPr>
          <w:rFonts w:eastAsia="Times New Roman"/>
          <w:szCs w:val="24"/>
        </w:rPr>
      </w:pPr>
      <w:r>
        <w:rPr>
          <w:rFonts w:eastAsia="Times New Roman"/>
          <w:szCs w:val="24"/>
        </w:rPr>
        <w:t xml:space="preserve"> </w:t>
      </w:r>
    </w:p>
    <w:p w14:paraId="168242F7" w14:textId="6A998720" w:rsidR="00556F19" w:rsidRDefault="00556F19" w:rsidP="0037200F">
      <w:pPr>
        <w:rPr>
          <w:rFonts w:eastAsia="Times New Roman"/>
          <w:szCs w:val="24"/>
        </w:rPr>
      </w:pPr>
      <w:r>
        <w:rPr>
          <w:rFonts w:eastAsia="Times New Roman"/>
          <w:i/>
          <w:szCs w:val="24"/>
        </w:rPr>
        <w:t>Decision</w:t>
      </w:r>
      <w:r w:rsidR="005E2ABA">
        <w:rPr>
          <w:rFonts w:eastAsia="Times New Roman"/>
          <w:i/>
          <w:szCs w:val="24"/>
        </w:rPr>
        <w:t>s</w:t>
      </w:r>
    </w:p>
    <w:p w14:paraId="1E4FABE4" w14:textId="77777777" w:rsidR="000723FA" w:rsidRPr="000C1295" w:rsidRDefault="000723FA" w:rsidP="00E1507C"/>
    <w:p w14:paraId="543108D6" w14:textId="77777777" w:rsidR="000C1295" w:rsidRPr="000C1295" w:rsidRDefault="000C1295" w:rsidP="000C1295">
      <w:pPr>
        <w:rPr>
          <w:lang w:val="en-US"/>
        </w:rPr>
      </w:pPr>
      <w:r w:rsidRPr="000C1295">
        <w:rPr>
          <w:lang w:val="en-US"/>
        </w:rPr>
        <w:t>Having met on 24 February 2025 in the context of three years of the ongoing full-scale aggression of the Russian Federation against Ukraine,</w:t>
      </w:r>
    </w:p>
    <w:p w14:paraId="782CDA66" w14:textId="77777777" w:rsidR="000C1295" w:rsidRPr="000C1295" w:rsidRDefault="000C1295" w:rsidP="000C1295">
      <w:pPr>
        <w:rPr>
          <w:lang w:val="en-US"/>
        </w:rPr>
      </w:pPr>
    </w:p>
    <w:p w14:paraId="6BC36108" w14:textId="77777777" w:rsidR="000C1295" w:rsidRPr="000C1295" w:rsidRDefault="000C1295" w:rsidP="000C1295">
      <w:pPr>
        <w:rPr>
          <w:lang w:val="en-US"/>
        </w:rPr>
      </w:pPr>
      <w:r w:rsidRPr="000C1295">
        <w:rPr>
          <w:lang w:val="en-US"/>
        </w:rPr>
        <w:t>Recalling that at their 4</w:t>
      </w:r>
      <w:r w:rsidRPr="000C1295">
        <w:rPr>
          <w:vertAlign w:val="superscript"/>
          <w:lang w:val="en-US"/>
        </w:rPr>
        <w:t>th</w:t>
      </w:r>
      <w:r w:rsidRPr="000C1295">
        <w:rPr>
          <w:lang w:val="en-US"/>
        </w:rPr>
        <w:t xml:space="preserve"> Summit held in Reykjavík on 16 and 17 May 2023, the Heads of State and Government of the Council of Europe expressed their determination to remain united in the face of Russia's war of aggression against Ukraine and their unreserved support for Ukraine and its people, </w:t>
      </w:r>
    </w:p>
    <w:p w14:paraId="416E51FD" w14:textId="77777777" w:rsidR="000C1295" w:rsidRPr="000C1295" w:rsidRDefault="000C1295" w:rsidP="000C1295">
      <w:pPr>
        <w:rPr>
          <w:lang w:val="en-US"/>
        </w:rPr>
      </w:pPr>
    </w:p>
    <w:p w14:paraId="404C27E8" w14:textId="572C1416" w:rsidR="000C1295" w:rsidRPr="000C1295" w:rsidRDefault="000C1295" w:rsidP="000C1295">
      <w:pPr>
        <w:rPr>
          <w:lang w:val="en-US"/>
        </w:rPr>
      </w:pPr>
      <w:r w:rsidRPr="000C1295">
        <w:rPr>
          <w:lang w:val="en-US"/>
        </w:rPr>
        <w:t xml:space="preserve">Referring to their previous decisions concerning the aggression of the Russian Federation against Ukraine, </w:t>
      </w:r>
      <w:proofErr w:type="gramStart"/>
      <w:r w:rsidRPr="000C1295">
        <w:rPr>
          <w:lang w:val="en-US"/>
        </w:rPr>
        <w:t>i</w:t>
      </w:r>
      <w:r w:rsidR="00AD63B8">
        <w:rPr>
          <w:lang w:val="en-US"/>
        </w:rPr>
        <w:t xml:space="preserve">n </w:t>
      </w:r>
      <w:r w:rsidRPr="000C1295">
        <w:rPr>
          <w:lang w:val="en-US"/>
        </w:rPr>
        <w:t>particular</w:t>
      </w:r>
      <w:proofErr w:type="gramEnd"/>
      <w:r w:rsidRPr="000C1295">
        <w:rPr>
          <w:lang w:val="en-US"/>
        </w:rPr>
        <w:t xml:space="preserve"> those condemning in the strongest possible terms the full-scale war of aggression of the Russian Federation against Ukraine, as well as those affirming their unwavering commitment to the independence, sovereignty and territorial integrity of Ukraine within its internationally</w:t>
      </w:r>
      <w:r>
        <w:rPr>
          <w:lang w:val="en-US"/>
        </w:rPr>
        <w:t xml:space="preserve"> </w:t>
      </w:r>
      <w:proofErr w:type="spellStart"/>
      <w:r w:rsidRPr="000C1295">
        <w:rPr>
          <w:lang w:val="en-US"/>
        </w:rPr>
        <w:t>recognised</w:t>
      </w:r>
      <w:proofErr w:type="spellEnd"/>
      <w:r w:rsidRPr="000C1295">
        <w:rPr>
          <w:lang w:val="en-US"/>
        </w:rPr>
        <w:t xml:space="preserve"> borders,</w:t>
      </w:r>
    </w:p>
    <w:p w14:paraId="44A3D6AF" w14:textId="77777777" w:rsidR="000C1295" w:rsidRPr="000C1295" w:rsidRDefault="000C1295" w:rsidP="000C1295">
      <w:pPr>
        <w:rPr>
          <w:lang w:val="en-US"/>
        </w:rPr>
      </w:pPr>
    </w:p>
    <w:p w14:paraId="5C6FC486" w14:textId="77777777" w:rsidR="000C1295" w:rsidRPr="000C1295" w:rsidRDefault="000C1295" w:rsidP="000C1295">
      <w:pPr>
        <w:rPr>
          <w:lang w:val="en-US"/>
        </w:rPr>
      </w:pPr>
      <w:r w:rsidRPr="000C1295">
        <w:rPr>
          <w:lang w:val="en-US"/>
        </w:rPr>
        <w:t xml:space="preserve">Determined to continue their efforts to ensure that the Russian Federation is held fully accountable for its aggression against Ukraine, </w:t>
      </w:r>
    </w:p>
    <w:p w14:paraId="300215E8" w14:textId="77777777" w:rsidR="000C1295" w:rsidRPr="000C1295" w:rsidRDefault="000C1295" w:rsidP="000C1295">
      <w:pPr>
        <w:rPr>
          <w:lang w:val="en-US"/>
        </w:rPr>
      </w:pPr>
    </w:p>
    <w:p w14:paraId="5B0F3FCB" w14:textId="77777777" w:rsidR="000C1295" w:rsidRPr="000C1295" w:rsidRDefault="000C1295" w:rsidP="000C1295">
      <w:pPr>
        <w:rPr>
          <w:lang w:val="en-US"/>
        </w:rPr>
      </w:pPr>
      <w:r w:rsidRPr="000C1295">
        <w:rPr>
          <w:lang w:val="en-US"/>
        </w:rPr>
        <w:t>The Deputies</w:t>
      </w:r>
    </w:p>
    <w:p w14:paraId="730F38C4" w14:textId="77777777" w:rsidR="000C1295" w:rsidRPr="00684C77" w:rsidRDefault="000C1295" w:rsidP="005E2ABA">
      <w:pPr>
        <w:rPr>
          <w:rStyle w:val="Hyperlink"/>
        </w:rPr>
      </w:pPr>
    </w:p>
    <w:p w14:paraId="2A01B83B" w14:textId="64AA4796" w:rsidR="000C1295" w:rsidRPr="000C1295" w:rsidRDefault="005E2ABA" w:rsidP="005E2ABA">
      <w:pPr>
        <w:rPr>
          <w:lang w:val="en-US"/>
        </w:rPr>
      </w:pPr>
      <w:r w:rsidRPr="00684C77">
        <w:rPr>
          <w:rStyle w:val="Hyperlink"/>
        </w:rPr>
        <w:t>1.</w:t>
      </w:r>
      <w:r w:rsidRPr="00684C77">
        <w:rPr>
          <w:rStyle w:val="Hyperlink"/>
        </w:rPr>
        <w:tab/>
      </w:r>
      <w:r w:rsidR="000C1295" w:rsidRPr="00684C77">
        <w:rPr>
          <w:rStyle w:val="Hyperlink"/>
        </w:rPr>
        <w:t xml:space="preserve">welcomed the </w:t>
      </w:r>
      <w:hyperlink r:id="rId9" w:history="1">
        <w:r w:rsidR="000C1295" w:rsidRPr="0030236B">
          <w:rPr>
            <w:rStyle w:val="Hyperlink"/>
            <w:lang w:val="en-US"/>
          </w:rPr>
          <w:t>Secretary General's report</w:t>
        </w:r>
      </w:hyperlink>
      <w:r w:rsidR="000C1295" w:rsidRPr="00684C77">
        <w:rPr>
          <w:rStyle w:val="Hyperlink"/>
        </w:rPr>
        <w:t xml:space="preserve"> </w:t>
      </w:r>
      <w:r w:rsidR="00AD63B8">
        <w:rPr>
          <w:rStyle w:val="Hyperlink"/>
        </w:rPr>
        <w:t>“</w:t>
      </w:r>
      <w:hyperlink r:id="rId10" w:history="1">
        <w:r w:rsidR="00D513F7" w:rsidRPr="00684C77">
          <w:rPr>
            <w:rStyle w:val="Hyperlink"/>
            <w:lang w:val="en-US"/>
          </w:rPr>
          <w:t xml:space="preserve">Three years of Russia’s war of </w:t>
        </w:r>
        <w:r w:rsidR="00F32E9D" w:rsidRPr="00684C77">
          <w:rPr>
            <w:rStyle w:val="Hyperlink"/>
            <w:lang w:val="en-US"/>
          </w:rPr>
          <w:t>a</w:t>
        </w:r>
        <w:r w:rsidR="00D513F7" w:rsidRPr="00684C77">
          <w:rPr>
            <w:rStyle w:val="Hyperlink"/>
            <w:lang w:val="en-US"/>
          </w:rPr>
          <w:t>ggression</w:t>
        </w:r>
      </w:hyperlink>
      <w:r w:rsidR="00D513F7" w:rsidRPr="00684C77">
        <w:rPr>
          <w:rStyle w:val="Hyperlink"/>
        </w:rPr>
        <w:t xml:space="preserve"> – </w:t>
      </w:r>
      <w:r w:rsidR="000C1295" w:rsidRPr="00684C77">
        <w:rPr>
          <w:rStyle w:val="Hyperlink"/>
        </w:rPr>
        <w:t xml:space="preserve">Council of Europe Action in </w:t>
      </w:r>
      <w:r w:rsidR="00D513F7" w:rsidRPr="00684C77">
        <w:rPr>
          <w:rStyle w:val="Hyperlink"/>
        </w:rPr>
        <w:t xml:space="preserve">support </w:t>
      </w:r>
      <w:r w:rsidR="000C1295" w:rsidRPr="00684C77">
        <w:rPr>
          <w:rStyle w:val="Hyperlink"/>
        </w:rPr>
        <w:t>of Ukraine</w:t>
      </w:r>
      <w:r w:rsidR="00AD63B8">
        <w:rPr>
          <w:rStyle w:val="Hyperlink"/>
        </w:rPr>
        <w:t>”</w:t>
      </w:r>
      <w:r w:rsidR="000C1295" w:rsidRPr="00684C77">
        <w:rPr>
          <w:rStyle w:val="Hyperlink"/>
        </w:rPr>
        <w:t>, and looked forward</w:t>
      </w:r>
      <w:r w:rsidR="000C1295" w:rsidRPr="000C1295">
        <w:rPr>
          <w:lang w:val="en-US"/>
        </w:rPr>
        <w:t xml:space="preserve"> to the next annual report of the Secretary General on the human rights situation in the territories of Ukraine temporarily controlled or occupied by the Russian Federation;</w:t>
      </w:r>
    </w:p>
    <w:p w14:paraId="1F05812F" w14:textId="77777777" w:rsidR="000C1295" w:rsidRPr="000C1295" w:rsidRDefault="000C1295" w:rsidP="005E2ABA">
      <w:pPr>
        <w:rPr>
          <w:lang w:val="en-US"/>
        </w:rPr>
      </w:pPr>
    </w:p>
    <w:p w14:paraId="3139A212" w14:textId="2D820AE3" w:rsidR="000C1295" w:rsidRPr="000C1295" w:rsidRDefault="005E2ABA" w:rsidP="005E2ABA">
      <w:pPr>
        <w:rPr>
          <w:lang w:val="en-US"/>
        </w:rPr>
      </w:pPr>
      <w:r>
        <w:rPr>
          <w:lang w:val="en-US"/>
        </w:rPr>
        <w:t>2.</w:t>
      </w:r>
      <w:r>
        <w:rPr>
          <w:lang w:val="en-US"/>
        </w:rPr>
        <w:tab/>
      </w:r>
      <w:r w:rsidR="000C1295" w:rsidRPr="000C1295">
        <w:rPr>
          <w:lang w:val="en-US"/>
        </w:rPr>
        <w:t xml:space="preserve">welcomed the recent appointment of the Special Envoy of the Secretary General on the situation of children of </w:t>
      </w:r>
      <w:proofErr w:type="gramStart"/>
      <w:r w:rsidR="000C1295" w:rsidRPr="000C1295">
        <w:rPr>
          <w:lang w:val="en-US"/>
        </w:rPr>
        <w:t>Ukraine;</w:t>
      </w:r>
      <w:proofErr w:type="gramEnd"/>
    </w:p>
    <w:p w14:paraId="0B0B56A6" w14:textId="77777777" w:rsidR="000C1295" w:rsidRPr="000C1295" w:rsidRDefault="000C1295" w:rsidP="005E2ABA">
      <w:pPr>
        <w:rPr>
          <w:lang w:val="en-US"/>
        </w:rPr>
      </w:pPr>
    </w:p>
    <w:p w14:paraId="4D07C411" w14:textId="28C8C912" w:rsidR="000C1295" w:rsidRPr="000C1295" w:rsidRDefault="005E2ABA" w:rsidP="005E2ABA">
      <w:pPr>
        <w:rPr>
          <w:lang w:val="en-US"/>
        </w:rPr>
      </w:pPr>
      <w:r>
        <w:rPr>
          <w:lang w:val="en-US"/>
        </w:rPr>
        <w:t>3.</w:t>
      </w:r>
      <w:r>
        <w:rPr>
          <w:lang w:val="en-US"/>
        </w:rPr>
        <w:tab/>
      </w:r>
      <w:r w:rsidR="000C1295" w:rsidRPr="000C1295">
        <w:rPr>
          <w:lang w:val="en-US"/>
        </w:rPr>
        <w:t>condemned the ongoing practice of forced deportation, illegal adoption and changing the self-identity of Ukrainian children</w:t>
      </w:r>
      <w:r w:rsidR="000C1295" w:rsidRPr="000C1295">
        <w:rPr>
          <w:lang w:val="uk-UA"/>
        </w:rPr>
        <w:t xml:space="preserve"> </w:t>
      </w:r>
      <w:r w:rsidR="000C1295" w:rsidRPr="000C1295">
        <w:rPr>
          <w:lang w:val="en-US"/>
        </w:rPr>
        <w:t xml:space="preserve">exercised by Russian authorities, and called for the immediate and unconditional return of all deported or forcibly transferred Ukrainian children to </w:t>
      </w:r>
      <w:proofErr w:type="gramStart"/>
      <w:r w:rsidR="000C1295" w:rsidRPr="000C1295">
        <w:rPr>
          <w:lang w:val="en-US"/>
        </w:rPr>
        <w:t>Ukraine;</w:t>
      </w:r>
      <w:proofErr w:type="gramEnd"/>
    </w:p>
    <w:p w14:paraId="3DF9AEFF" w14:textId="77777777" w:rsidR="000C1295" w:rsidRPr="000C1295" w:rsidRDefault="000C1295" w:rsidP="005E2ABA">
      <w:pPr>
        <w:rPr>
          <w:lang w:val="en-US"/>
        </w:rPr>
      </w:pPr>
    </w:p>
    <w:p w14:paraId="2EBB38EA" w14:textId="549A3DB0" w:rsidR="000C1295" w:rsidRPr="000C1295" w:rsidRDefault="005E2ABA" w:rsidP="005E2ABA">
      <w:pPr>
        <w:rPr>
          <w:lang w:val="en-US"/>
        </w:rPr>
      </w:pPr>
      <w:r>
        <w:rPr>
          <w:lang w:val="en-US"/>
        </w:rPr>
        <w:t>4.</w:t>
      </w:r>
      <w:r>
        <w:rPr>
          <w:lang w:val="en-US"/>
        </w:rPr>
        <w:tab/>
      </w:r>
      <w:r w:rsidR="000C1295" w:rsidRPr="000C1295">
        <w:rPr>
          <w:lang w:val="en-US"/>
        </w:rPr>
        <w:t xml:space="preserve">expressed their grave concern regarding the situation of Ukrainian civilians held captive by the Russian </w:t>
      </w:r>
      <w:proofErr w:type="gramStart"/>
      <w:r w:rsidR="000C1295" w:rsidRPr="000C1295">
        <w:rPr>
          <w:lang w:val="en-US"/>
        </w:rPr>
        <w:t>Federation;</w:t>
      </w:r>
      <w:proofErr w:type="gramEnd"/>
    </w:p>
    <w:p w14:paraId="5F833F66" w14:textId="77777777" w:rsidR="000C1295" w:rsidRPr="000C1295" w:rsidRDefault="000C1295" w:rsidP="005E2ABA">
      <w:pPr>
        <w:rPr>
          <w:lang w:val="en-US"/>
        </w:rPr>
      </w:pPr>
    </w:p>
    <w:p w14:paraId="49241674" w14:textId="12EF7A71" w:rsidR="000C1295" w:rsidRPr="000C1295" w:rsidRDefault="005E2ABA" w:rsidP="005E2ABA">
      <w:pPr>
        <w:rPr>
          <w:lang w:val="en-US"/>
        </w:rPr>
      </w:pPr>
      <w:r>
        <w:rPr>
          <w:lang w:val="en-US"/>
        </w:rPr>
        <w:t>5.</w:t>
      </w:r>
      <w:r>
        <w:rPr>
          <w:lang w:val="en-US"/>
        </w:rPr>
        <w:tab/>
      </w:r>
      <w:r w:rsidR="000C1295" w:rsidRPr="000C1295">
        <w:rPr>
          <w:lang w:val="en-US"/>
        </w:rPr>
        <w:t xml:space="preserve">recalled that international humanitarian law prohibits the capture and holding of civilians as </w:t>
      </w:r>
      <w:proofErr w:type="gramStart"/>
      <w:r w:rsidR="000C1295" w:rsidRPr="000C1295">
        <w:rPr>
          <w:lang w:val="en-US"/>
        </w:rPr>
        <w:t>hostages;</w:t>
      </w:r>
      <w:proofErr w:type="gramEnd"/>
    </w:p>
    <w:p w14:paraId="087E3749" w14:textId="77777777" w:rsidR="000C1295" w:rsidRPr="000C1295" w:rsidRDefault="000C1295" w:rsidP="005E2ABA">
      <w:pPr>
        <w:rPr>
          <w:lang w:val="en-US"/>
        </w:rPr>
      </w:pPr>
    </w:p>
    <w:p w14:paraId="6D1BA882" w14:textId="77777777" w:rsidR="000C1295" w:rsidRPr="000C1295" w:rsidRDefault="000C1295" w:rsidP="005E2ABA">
      <w:pPr>
        <w:rPr>
          <w:lang w:val="en-US"/>
        </w:rPr>
      </w:pPr>
      <w:r w:rsidRPr="000C1295">
        <w:rPr>
          <w:lang w:val="en-US"/>
        </w:rPr>
        <w:t>6.</w:t>
      </w:r>
      <w:r w:rsidRPr="000C1295">
        <w:rPr>
          <w:lang w:val="en-US"/>
        </w:rPr>
        <w:tab/>
        <w:t xml:space="preserve">urged the authorities of the Russian Federation to treat Ukrainian civilians held captive in accordance with international human rights law and international humanitarian </w:t>
      </w:r>
      <w:proofErr w:type="gramStart"/>
      <w:r w:rsidRPr="000C1295">
        <w:rPr>
          <w:lang w:val="en-US"/>
        </w:rPr>
        <w:t>law;</w:t>
      </w:r>
      <w:proofErr w:type="gramEnd"/>
    </w:p>
    <w:p w14:paraId="591C7DE2" w14:textId="77777777" w:rsidR="000C1295" w:rsidRPr="000C1295" w:rsidRDefault="000C1295" w:rsidP="005E2ABA">
      <w:pPr>
        <w:rPr>
          <w:lang w:val="en-US"/>
        </w:rPr>
      </w:pPr>
    </w:p>
    <w:p w14:paraId="35162E47" w14:textId="77777777" w:rsidR="000C1295" w:rsidRPr="000C1295" w:rsidRDefault="000C1295" w:rsidP="005E2ABA">
      <w:pPr>
        <w:rPr>
          <w:lang w:val="en-US"/>
        </w:rPr>
      </w:pPr>
      <w:r w:rsidRPr="000C1295">
        <w:rPr>
          <w:lang w:val="en-US"/>
        </w:rPr>
        <w:t>7.</w:t>
      </w:r>
      <w:r w:rsidRPr="000C1295">
        <w:rPr>
          <w:lang w:val="en-US"/>
        </w:rPr>
        <w:tab/>
        <w:t xml:space="preserve">committed to continuing efforts to secure the release of Ukrainian civilians held captive by the Russian Federation and urged for their immediate and unconditional </w:t>
      </w:r>
      <w:proofErr w:type="gramStart"/>
      <w:r w:rsidRPr="000C1295">
        <w:rPr>
          <w:lang w:val="en-US"/>
        </w:rPr>
        <w:t>release;</w:t>
      </w:r>
      <w:proofErr w:type="gramEnd"/>
    </w:p>
    <w:p w14:paraId="2EFA3834" w14:textId="77777777" w:rsidR="000C1295" w:rsidRPr="000C1295" w:rsidRDefault="000C1295" w:rsidP="005E2ABA">
      <w:pPr>
        <w:rPr>
          <w:lang w:val="en-US"/>
        </w:rPr>
      </w:pPr>
    </w:p>
    <w:p w14:paraId="504AF7A2" w14:textId="77777777" w:rsidR="000C1295" w:rsidRPr="000C1295" w:rsidRDefault="000C1295" w:rsidP="005E2ABA">
      <w:pPr>
        <w:rPr>
          <w:lang w:val="en-US"/>
        </w:rPr>
      </w:pPr>
      <w:r w:rsidRPr="000C1295">
        <w:rPr>
          <w:lang w:val="en-US"/>
        </w:rPr>
        <w:t xml:space="preserve">8. </w:t>
      </w:r>
      <w:r w:rsidRPr="000C1295">
        <w:rPr>
          <w:lang w:val="en-US"/>
        </w:rPr>
        <w:tab/>
        <w:t xml:space="preserve">condemn the systematic targeting of vital civilian infrastructure and the deliberate destruction of Ukraine's cultural </w:t>
      </w:r>
      <w:proofErr w:type="gramStart"/>
      <w:r w:rsidRPr="000C1295">
        <w:rPr>
          <w:lang w:val="en-US"/>
        </w:rPr>
        <w:t>heritage;</w:t>
      </w:r>
      <w:proofErr w:type="gramEnd"/>
    </w:p>
    <w:p w14:paraId="670AEC66" w14:textId="77777777" w:rsidR="000C1295" w:rsidRPr="000C1295" w:rsidRDefault="000C1295" w:rsidP="005E2ABA">
      <w:pPr>
        <w:rPr>
          <w:lang w:val="en-US"/>
        </w:rPr>
      </w:pPr>
    </w:p>
    <w:p w14:paraId="291BEA22" w14:textId="77777777" w:rsidR="000C1295" w:rsidRPr="000C1295" w:rsidRDefault="000C1295" w:rsidP="000C1295">
      <w:pPr>
        <w:rPr>
          <w:lang w:val="en-US"/>
        </w:rPr>
      </w:pPr>
      <w:r w:rsidRPr="000C1295">
        <w:rPr>
          <w:lang w:val="en-US"/>
        </w:rPr>
        <w:lastRenderedPageBreak/>
        <w:t>9.</w:t>
      </w:r>
      <w:r w:rsidRPr="000C1295">
        <w:rPr>
          <w:lang w:val="en-US"/>
        </w:rPr>
        <w:tab/>
        <w:t xml:space="preserve">committed to hold those responsible for crimes and violations of international human rights law and international humanitarian law accountable for their </w:t>
      </w:r>
      <w:proofErr w:type="gramStart"/>
      <w:r w:rsidRPr="000C1295">
        <w:rPr>
          <w:lang w:val="en-US"/>
        </w:rPr>
        <w:t>acts;</w:t>
      </w:r>
      <w:proofErr w:type="gramEnd"/>
    </w:p>
    <w:p w14:paraId="2EF1F577" w14:textId="77777777" w:rsidR="000C1295" w:rsidRPr="000C1295" w:rsidRDefault="000C1295" w:rsidP="000C1295">
      <w:pPr>
        <w:rPr>
          <w:lang w:val="en-US"/>
        </w:rPr>
      </w:pPr>
    </w:p>
    <w:p w14:paraId="1362AB47" w14:textId="77777777" w:rsidR="000C1295" w:rsidRPr="000C1295" w:rsidRDefault="000C1295" w:rsidP="000C1295">
      <w:pPr>
        <w:rPr>
          <w:lang w:val="en-US"/>
        </w:rPr>
      </w:pPr>
      <w:r w:rsidRPr="000C1295">
        <w:rPr>
          <w:lang w:val="en-US"/>
        </w:rPr>
        <w:t>10.</w:t>
      </w:r>
      <w:r w:rsidRPr="000C1295">
        <w:rPr>
          <w:lang w:val="en-US"/>
        </w:rPr>
        <w:tab/>
        <w:t>agreed to revert to this issue and to the specific measures to be taken to help Ukraine counter the aggression of the Russian Federation in the context of the preparation of the 134</w:t>
      </w:r>
      <w:r w:rsidRPr="000C1295">
        <w:rPr>
          <w:vertAlign w:val="superscript"/>
          <w:lang w:val="en-US"/>
        </w:rPr>
        <w:t>th</w:t>
      </w:r>
      <w:r w:rsidRPr="000C1295">
        <w:rPr>
          <w:lang w:val="en-US"/>
        </w:rPr>
        <w:t xml:space="preserve"> Session of the Committee of Ministers (Luxembourg, 13-14 May 2025).</w:t>
      </w:r>
    </w:p>
    <w:sectPr w:rsidR="000C1295" w:rsidRPr="000C1295" w:rsidSect="00C6115F">
      <w:headerReference w:type="even" r:id="rId11"/>
      <w:headerReference w:type="default" r:id="rId12"/>
      <w:footerReference w:type="default" r:id="rId13"/>
      <w:headerReference w:type="first" r:id="rId14"/>
      <w:footerReference w:type="first" r:id="rId15"/>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28D0" w14:textId="77777777" w:rsidR="00AE032D" w:rsidRDefault="00AE032D" w:rsidP="00FD6043">
      <w:r>
        <w:separator/>
      </w:r>
    </w:p>
  </w:endnote>
  <w:endnote w:type="continuationSeparator" w:id="0">
    <w:p w14:paraId="323507F2" w14:textId="77777777" w:rsidR="00AE032D" w:rsidRDefault="00AE032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EC26"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BF3F"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B8ED" w14:textId="77777777" w:rsidR="00AE032D" w:rsidRDefault="00AE032D" w:rsidP="00FD6043">
      <w:r>
        <w:separator/>
      </w:r>
    </w:p>
  </w:footnote>
  <w:footnote w:type="continuationSeparator" w:id="0">
    <w:p w14:paraId="41E1F2FC" w14:textId="77777777" w:rsidR="00AE032D" w:rsidRDefault="00AE032D"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C8D" w14:textId="6765F160" w:rsidR="00E24C57" w:rsidRPr="00E54322" w:rsidRDefault="002660DB" w:rsidP="00E54322">
    <w:pPr>
      <w:pStyle w:val="Header"/>
    </w:pPr>
    <w:r w:rsidRPr="00E54322">
      <w:t>CM</w:t>
    </w:r>
    <w:r w:rsidR="00556F19">
      <w:t>/Del/</w:t>
    </w:r>
    <w:proofErr w:type="gramStart"/>
    <w:r w:rsidR="00556F19">
      <w:t>Dec</w:t>
    </w:r>
    <w:r w:rsidRPr="00E54322">
      <w:t>(</w:t>
    </w:r>
    <w:proofErr w:type="gramEnd"/>
    <w:r w:rsidRPr="00E54322">
      <w:t>20</w:t>
    </w:r>
    <w:r w:rsidR="000C1295">
      <w:t>25</w:t>
    </w:r>
    <w:r w:rsidRPr="00E54322">
      <w:t>)</w:t>
    </w:r>
    <w:r w:rsidR="00556F19">
      <w:t>1</w:t>
    </w:r>
    <w:r w:rsidR="000C1295">
      <w:t>520</w:t>
    </w:r>
    <w:r w:rsidR="00556F19">
      <w:t>/</w:t>
    </w:r>
    <w:r w:rsidR="000C1295">
      <w:t>2</w:t>
    </w:r>
    <w:r w:rsidR="000723FA">
      <w:t>.3</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0723FA">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2BAF"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0723FA">
      <w:rPr>
        <w:noProof/>
      </w:rPr>
      <w:t>3</w:t>
    </w:r>
    <w:r w:rsidRPr="00E54322">
      <w:fldChar w:fldCharType="end"/>
    </w:r>
    <w:r w:rsidR="00E475F9" w:rsidRPr="00E54322">
      <w:tab/>
    </w:r>
    <w:r w:rsidR="00556F19" w:rsidRPr="00E54322">
      <w:t>CM</w:t>
    </w:r>
    <w:r w:rsidR="00556F19">
      <w:t>/Del/</w:t>
    </w:r>
    <w:proofErr w:type="gramStart"/>
    <w:r w:rsidR="00556F19">
      <w:t>Dec</w:t>
    </w:r>
    <w:r w:rsidR="00556F19" w:rsidRPr="00E54322">
      <w:t>(</w:t>
    </w:r>
    <w:proofErr w:type="gramEnd"/>
    <w:r w:rsidR="00556F19" w:rsidRPr="00E54322">
      <w:t>201..)</w:t>
    </w:r>
    <w:r w:rsidR="00556F19">
      <w:t>12</w:t>
    </w:r>
    <w:r w:rsidR="00556F19" w:rsidRPr="00E54322">
      <w:t>..</w:t>
    </w:r>
    <w:r w:rsidR="00556F19">
      <w:t>/</w:t>
    </w:r>
    <w:r w:rsidR="000723FA">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B1C6" w14:textId="77777777" w:rsidR="00135BDB" w:rsidRDefault="001942BC" w:rsidP="00123CDD">
    <w:pPr>
      <w:pStyle w:val="Header"/>
      <w:spacing w:after="2280"/>
    </w:pPr>
    <w:r>
      <w:rPr>
        <w:noProof/>
      </w:rPr>
      <w:drawing>
        <wp:anchor distT="0" distB="0" distL="114300" distR="114300" simplePos="0" relativeHeight="251659264" behindDoc="1" locked="0" layoutInCell="0" allowOverlap="0" wp14:anchorId="02074AB5" wp14:editId="6CC9BF7E">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C0518"/>
    <w:multiLevelType w:val="hybridMultilevel"/>
    <w:tmpl w:val="787EF10A"/>
    <w:lvl w:ilvl="0" w:tplc="FB18737A">
      <w:start w:val="1"/>
      <w:numFmt w:val="decimal"/>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131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032D"/>
    <w:rsid w:val="0001238D"/>
    <w:rsid w:val="00035FDF"/>
    <w:rsid w:val="0004031C"/>
    <w:rsid w:val="00071EA7"/>
    <w:rsid w:val="000723FA"/>
    <w:rsid w:val="00072CBD"/>
    <w:rsid w:val="00082CEE"/>
    <w:rsid w:val="000A307B"/>
    <w:rsid w:val="000C1295"/>
    <w:rsid w:val="000C2CD3"/>
    <w:rsid w:val="000C52A6"/>
    <w:rsid w:val="000E50A4"/>
    <w:rsid w:val="000F4CF2"/>
    <w:rsid w:val="000F58C3"/>
    <w:rsid w:val="000F5ADA"/>
    <w:rsid w:val="00100A40"/>
    <w:rsid w:val="00106141"/>
    <w:rsid w:val="00110729"/>
    <w:rsid w:val="00113EB0"/>
    <w:rsid w:val="00123CDD"/>
    <w:rsid w:val="00124EAA"/>
    <w:rsid w:val="00134D9A"/>
    <w:rsid w:val="00135BDB"/>
    <w:rsid w:val="00140FC8"/>
    <w:rsid w:val="0014266D"/>
    <w:rsid w:val="00147EF4"/>
    <w:rsid w:val="00153BB3"/>
    <w:rsid w:val="00156DC1"/>
    <w:rsid w:val="00160B03"/>
    <w:rsid w:val="00171115"/>
    <w:rsid w:val="00181ED9"/>
    <w:rsid w:val="001942BC"/>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D7328"/>
    <w:rsid w:val="002E4089"/>
    <w:rsid w:val="002F3006"/>
    <w:rsid w:val="002F405C"/>
    <w:rsid w:val="002F6BB7"/>
    <w:rsid w:val="00301CEE"/>
    <w:rsid w:val="0030236B"/>
    <w:rsid w:val="00303712"/>
    <w:rsid w:val="003354C4"/>
    <w:rsid w:val="00335CAF"/>
    <w:rsid w:val="003364D1"/>
    <w:rsid w:val="0037200F"/>
    <w:rsid w:val="00373957"/>
    <w:rsid w:val="00381C50"/>
    <w:rsid w:val="00385587"/>
    <w:rsid w:val="00392D1D"/>
    <w:rsid w:val="003A5509"/>
    <w:rsid w:val="003B2C8C"/>
    <w:rsid w:val="003B345B"/>
    <w:rsid w:val="003C134B"/>
    <w:rsid w:val="003D3B17"/>
    <w:rsid w:val="003D48AE"/>
    <w:rsid w:val="003D6AC2"/>
    <w:rsid w:val="003F3D4B"/>
    <w:rsid w:val="0040027C"/>
    <w:rsid w:val="00400868"/>
    <w:rsid w:val="004256CB"/>
    <w:rsid w:val="004258C0"/>
    <w:rsid w:val="004329B7"/>
    <w:rsid w:val="00443709"/>
    <w:rsid w:val="00447D22"/>
    <w:rsid w:val="004553F6"/>
    <w:rsid w:val="00480D8B"/>
    <w:rsid w:val="004A37E1"/>
    <w:rsid w:val="004B080D"/>
    <w:rsid w:val="004C0C2F"/>
    <w:rsid w:val="004C11B3"/>
    <w:rsid w:val="004F071D"/>
    <w:rsid w:val="0050115D"/>
    <w:rsid w:val="0054041B"/>
    <w:rsid w:val="00550B6C"/>
    <w:rsid w:val="00556F19"/>
    <w:rsid w:val="00574663"/>
    <w:rsid w:val="005B1FA1"/>
    <w:rsid w:val="005B3604"/>
    <w:rsid w:val="005C12F4"/>
    <w:rsid w:val="005C73BB"/>
    <w:rsid w:val="005D7CDF"/>
    <w:rsid w:val="005E115E"/>
    <w:rsid w:val="005E2ABA"/>
    <w:rsid w:val="005F093B"/>
    <w:rsid w:val="005F3DC6"/>
    <w:rsid w:val="00614982"/>
    <w:rsid w:val="00631491"/>
    <w:rsid w:val="00643231"/>
    <w:rsid w:val="00643C3F"/>
    <w:rsid w:val="00644AD3"/>
    <w:rsid w:val="006455FA"/>
    <w:rsid w:val="00660638"/>
    <w:rsid w:val="00671684"/>
    <w:rsid w:val="00671EA2"/>
    <w:rsid w:val="006827E4"/>
    <w:rsid w:val="00684C77"/>
    <w:rsid w:val="006908C5"/>
    <w:rsid w:val="006A47D7"/>
    <w:rsid w:val="006E3F8B"/>
    <w:rsid w:val="006E7191"/>
    <w:rsid w:val="006F0318"/>
    <w:rsid w:val="006F6B48"/>
    <w:rsid w:val="00712E65"/>
    <w:rsid w:val="007150DE"/>
    <w:rsid w:val="00721866"/>
    <w:rsid w:val="00727ECE"/>
    <w:rsid w:val="00735569"/>
    <w:rsid w:val="007541C7"/>
    <w:rsid w:val="007607CD"/>
    <w:rsid w:val="00761627"/>
    <w:rsid w:val="00773CFE"/>
    <w:rsid w:val="007A543D"/>
    <w:rsid w:val="007B3DD0"/>
    <w:rsid w:val="007B4739"/>
    <w:rsid w:val="007C0AD1"/>
    <w:rsid w:val="007D7B20"/>
    <w:rsid w:val="007E168C"/>
    <w:rsid w:val="00800A19"/>
    <w:rsid w:val="008042E6"/>
    <w:rsid w:val="008044A7"/>
    <w:rsid w:val="00805F04"/>
    <w:rsid w:val="00810D5A"/>
    <w:rsid w:val="00814AA2"/>
    <w:rsid w:val="0082394F"/>
    <w:rsid w:val="008441CD"/>
    <w:rsid w:val="00853C90"/>
    <w:rsid w:val="008575F2"/>
    <w:rsid w:val="00857F73"/>
    <w:rsid w:val="0086381B"/>
    <w:rsid w:val="0087380A"/>
    <w:rsid w:val="00877E5C"/>
    <w:rsid w:val="008B07D4"/>
    <w:rsid w:val="008C12CC"/>
    <w:rsid w:val="00916BF5"/>
    <w:rsid w:val="009215B8"/>
    <w:rsid w:val="00923554"/>
    <w:rsid w:val="009270C4"/>
    <w:rsid w:val="00940F14"/>
    <w:rsid w:val="009432D0"/>
    <w:rsid w:val="00950D67"/>
    <w:rsid w:val="009527D7"/>
    <w:rsid w:val="00955512"/>
    <w:rsid w:val="00963962"/>
    <w:rsid w:val="009729F4"/>
    <w:rsid w:val="00974C41"/>
    <w:rsid w:val="009A4317"/>
    <w:rsid w:val="009B3AB7"/>
    <w:rsid w:val="009C5258"/>
    <w:rsid w:val="009D28F3"/>
    <w:rsid w:val="009F0C1E"/>
    <w:rsid w:val="00A12DEC"/>
    <w:rsid w:val="00A22D53"/>
    <w:rsid w:val="00A474E5"/>
    <w:rsid w:val="00A502C1"/>
    <w:rsid w:val="00A842D4"/>
    <w:rsid w:val="00A93CA3"/>
    <w:rsid w:val="00AB6552"/>
    <w:rsid w:val="00AB67F8"/>
    <w:rsid w:val="00AB7727"/>
    <w:rsid w:val="00AC73AA"/>
    <w:rsid w:val="00AD63B8"/>
    <w:rsid w:val="00AE032D"/>
    <w:rsid w:val="00AE76B8"/>
    <w:rsid w:val="00B003CD"/>
    <w:rsid w:val="00B06133"/>
    <w:rsid w:val="00B120CB"/>
    <w:rsid w:val="00B129D8"/>
    <w:rsid w:val="00B227AE"/>
    <w:rsid w:val="00B41B03"/>
    <w:rsid w:val="00B41EC3"/>
    <w:rsid w:val="00B63F08"/>
    <w:rsid w:val="00B81BAC"/>
    <w:rsid w:val="00B849E0"/>
    <w:rsid w:val="00B868A1"/>
    <w:rsid w:val="00B90246"/>
    <w:rsid w:val="00B920E4"/>
    <w:rsid w:val="00BA0AF0"/>
    <w:rsid w:val="00BA79A3"/>
    <w:rsid w:val="00BB7DCE"/>
    <w:rsid w:val="00BD25C0"/>
    <w:rsid w:val="00BE4BDD"/>
    <w:rsid w:val="00C049EE"/>
    <w:rsid w:val="00C109FD"/>
    <w:rsid w:val="00C14C2C"/>
    <w:rsid w:val="00C27452"/>
    <w:rsid w:val="00C30BE9"/>
    <w:rsid w:val="00C409C2"/>
    <w:rsid w:val="00C41FF1"/>
    <w:rsid w:val="00C6115F"/>
    <w:rsid w:val="00C74E6F"/>
    <w:rsid w:val="00C8348A"/>
    <w:rsid w:val="00C90556"/>
    <w:rsid w:val="00C92F89"/>
    <w:rsid w:val="00CC39DC"/>
    <w:rsid w:val="00CE1FF8"/>
    <w:rsid w:val="00CE4890"/>
    <w:rsid w:val="00CE6FD2"/>
    <w:rsid w:val="00D0182E"/>
    <w:rsid w:val="00D0265B"/>
    <w:rsid w:val="00D24A57"/>
    <w:rsid w:val="00D513F7"/>
    <w:rsid w:val="00D53526"/>
    <w:rsid w:val="00D554E6"/>
    <w:rsid w:val="00D70628"/>
    <w:rsid w:val="00DA7643"/>
    <w:rsid w:val="00DB029C"/>
    <w:rsid w:val="00DC162E"/>
    <w:rsid w:val="00DC4A39"/>
    <w:rsid w:val="00DE0A21"/>
    <w:rsid w:val="00DF6796"/>
    <w:rsid w:val="00E125C6"/>
    <w:rsid w:val="00E1507C"/>
    <w:rsid w:val="00E15639"/>
    <w:rsid w:val="00E173B5"/>
    <w:rsid w:val="00E24C57"/>
    <w:rsid w:val="00E37912"/>
    <w:rsid w:val="00E457C3"/>
    <w:rsid w:val="00E475F9"/>
    <w:rsid w:val="00E50974"/>
    <w:rsid w:val="00E54322"/>
    <w:rsid w:val="00E86611"/>
    <w:rsid w:val="00E940BF"/>
    <w:rsid w:val="00EA643A"/>
    <w:rsid w:val="00EE34E3"/>
    <w:rsid w:val="00F01885"/>
    <w:rsid w:val="00F168A4"/>
    <w:rsid w:val="00F2380B"/>
    <w:rsid w:val="00F23CFF"/>
    <w:rsid w:val="00F24713"/>
    <w:rsid w:val="00F32E9D"/>
    <w:rsid w:val="00F40699"/>
    <w:rsid w:val="00F433D6"/>
    <w:rsid w:val="00F61D34"/>
    <w:rsid w:val="00F76BBD"/>
    <w:rsid w:val="00F92CB2"/>
    <w:rsid w:val="00F96689"/>
    <w:rsid w:val="00FB3C78"/>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293A"/>
  <w15:docId w15:val="{920600A2-B689-442B-87DE-B4698C57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customStyle="1" w:styleId="CMNormal">
    <w:name w:val="CM_Normal"/>
    <w:basedOn w:val="Normal"/>
    <w:rsid w:val="000723FA"/>
    <w:rPr>
      <w:rFonts w:eastAsia="Times New Roman" w:cs="Arial"/>
      <w:color w:val="000000"/>
      <w:szCs w:val="20"/>
      <w:lang w:eastAsia="fr-FR"/>
    </w:rPr>
  </w:style>
  <w:style w:type="paragraph" w:styleId="ListParagraph">
    <w:name w:val="List Paragraph"/>
    <w:basedOn w:val="Normal"/>
    <w:uiPriority w:val="34"/>
    <w:qFormat/>
    <w:rsid w:val="000C1295"/>
    <w:pPr>
      <w:ind w:left="720"/>
      <w:contextualSpacing/>
    </w:pPr>
    <w:rPr>
      <w:rFonts w:eastAsia="Times New Roman"/>
      <w:szCs w:val="24"/>
      <w:lang w:val="fr-FR" w:eastAsia="fr-FR"/>
    </w:rPr>
  </w:style>
  <w:style w:type="character" w:styleId="UnresolvedMention">
    <w:name w:val="Unresolved Mention"/>
    <w:basedOn w:val="DefaultParagraphFont"/>
    <w:uiPriority w:val="99"/>
    <w:semiHidden/>
    <w:unhideWhenUsed/>
    <w:rsid w:val="00972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three-years-of-russia-s-war-of-agression-council-of-europe-action-in-s/1680b462f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m.coe.int/three-years-of-russia-s-war-of-agression-council-of-europe-action-in-s/1680b462f3" TargetMode="External"/><Relationship Id="rId4" Type="http://schemas.openxmlformats.org/officeDocument/2006/relationships/settings" Target="settings.xml"/><Relationship Id="rId9" Type="http://schemas.openxmlformats.org/officeDocument/2006/relationships/hyperlink" Target="https://rm.coe.int/three-years-of-russia-s-war-of-agression-council-of-europe-action-in-s/1680b462f3"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Dec1_3-Template%202784-2812-9801%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D463BAB-D234-4B2F-9823-D95654C3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E_Dec1_3-Template 2784-2812-9801 v.2</Template>
  <TotalTime>14</TotalTime>
  <Pages>2</Pages>
  <Words>538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3491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EVANS Elizabeth</cp:lastModifiedBy>
  <cp:revision>15</cp:revision>
  <cp:lastPrinted>2025-02-24T10:07:00Z</cp:lastPrinted>
  <dcterms:created xsi:type="dcterms:W3CDTF">2025-02-20T09:38:00Z</dcterms:created>
  <dcterms:modified xsi:type="dcterms:W3CDTF">2025-02-24T12:05:00Z</dcterms:modified>
</cp:coreProperties>
</file>