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margin" w:tblpY="2229"/>
        <w:tblOverlap w:val="never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E475F9" w:rsidRPr="00F96689" w14:paraId="190EAE15" w14:textId="77777777" w:rsidTr="00491E67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67F41BF3" w14:textId="77777777" w:rsidR="002D11B8" w:rsidRPr="00B920E4" w:rsidRDefault="004728F8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4728F8">
              <w:rPr>
                <w:rFonts w:ascii="Arial Narrow" w:hAnsi="Arial Narrow" w:cs="Calibri"/>
                <w:b/>
                <w:bCs/>
                <w:szCs w:val="20"/>
              </w:rPr>
              <w:t>DÉLÉGUÉS DES MINISTRES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E125ED" w14:textId="77777777" w:rsidR="002D11B8" w:rsidRPr="009C5258" w:rsidRDefault="00263C5D" w:rsidP="00491E67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 w:rsidRPr="00263C5D">
              <w:rPr>
                <w:rFonts w:ascii="Arial Narrow" w:hAnsi="Arial Narrow" w:cs="Calibri"/>
                <w:szCs w:val="20"/>
              </w:rPr>
              <w:t>Documents d’information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A78B71C" w14:textId="3D7D62AF" w:rsidR="002D11B8" w:rsidRPr="00341D75" w:rsidRDefault="00341D75" w:rsidP="00491E67">
            <w:pPr>
              <w:ind w:left="-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41D75">
              <w:rPr>
                <w:rFonts w:ascii="Arial Narrow" w:hAnsi="Arial Narrow" w:cs="Calibri"/>
                <w:b/>
                <w:sz w:val="24"/>
                <w:szCs w:val="24"/>
              </w:rPr>
              <w:t>CM/Inf(2024)9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1587FD" w14:textId="1B798213" w:rsidR="002D11B8" w:rsidRPr="00F96689" w:rsidRDefault="00300B9F" w:rsidP="00491E6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16</w:t>
            </w:r>
            <w:r w:rsidR="00341D75">
              <w:rPr>
                <w:rFonts w:ascii="Arial Narrow" w:hAnsi="Arial Narrow" w:cs="Calibri"/>
                <w:sz w:val="16"/>
                <w:szCs w:val="16"/>
              </w:rPr>
              <w:t xml:space="preserve"> mai</w:t>
            </w:r>
            <w:r w:rsidR="002D11B8" w:rsidRPr="00F96689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E81E8B">
              <w:rPr>
                <w:rFonts w:ascii="Arial Narrow" w:hAnsi="Arial Narrow" w:cs="Calibri"/>
                <w:sz w:val="16"/>
                <w:szCs w:val="16"/>
              </w:rPr>
              <w:t>2024</w:t>
            </w:r>
          </w:p>
        </w:tc>
      </w:tr>
    </w:tbl>
    <w:p w14:paraId="633925CE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6"/>
      </w:tblGrid>
      <w:tr w:rsidR="00E24C57" w:rsidRPr="00A12DEC" w14:paraId="78AB8C90" w14:textId="77777777" w:rsidTr="00491E67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08FC75ED" w14:textId="77777777" w:rsidR="00014195" w:rsidRPr="00014195" w:rsidRDefault="00014195" w:rsidP="00014195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</w:p>
          <w:p w14:paraId="2A4518F1" w14:textId="7A11F894" w:rsidR="00014195" w:rsidRPr="00014195" w:rsidRDefault="00014195" w:rsidP="00014195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</w:rPr>
              <w:t>Priorités</w:t>
            </w:r>
            <w:r w:rsidRPr="00014195">
              <w:rPr>
                <w:rFonts w:ascii="Arial Narrow" w:hAnsi="Arial Narrow" w:cs="Calibri"/>
                <w:b/>
                <w:sz w:val="28"/>
                <w:szCs w:val="28"/>
              </w:rPr>
              <w:t xml:space="preserve"> de la Présidence 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 xml:space="preserve">de la Lituanie </w:t>
            </w:r>
            <w:r w:rsidR="009D6969">
              <w:rPr>
                <w:rFonts w:ascii="Arial Narrow" w:hAnsi="Arial Narrow" w:cs="Calibri"/>
                <w:b/>
                <w:sz w:val="28"/>
                <w:szCs w:val="28"/>
              </w:rPr>
              <w:br/>
            </w:r>
            <w:r w:rsidRPr="00014195">
              <w:rPr>
                <w:rFonts w:ascii="Arial Narrow" w:hAnsi="Arial Narrow" w:cs="Calibri"/>
                <w:b/>
                <w:sz w:val="28"/>
                <w:szCs w:val="28"/>
              </w:rPr>
              <w:t>du Comité des Ministres du Conseil de l’Europe</w:t>
            </w:r>
          </w:p>
          <w:p w14:paraId="2F44ACF2" w14:textId="2ACD0C4B" w:rsidR="000A307B" w:rsidRPr="000A307B" w:rsidRDefault="00014195" w:rsidP="00014195">
            <w:pPr>
              <w:rPr>
                <w:rFonts w:ascii="Arial Narrow" w:hAnsi="Arial Narrow" w:cs="Calibri"/>
                <w:b/>
                <w:szCs w:val="20"/>
              </w:rPr>
            </w:pPr>
            <w:r w:rsidRPr="00014195">
              <w:rPr>
                <w:rFonts w:ascii="Arial Narrow" w:hAnsi="Arial Narrow" w:cs="Calibri"/>
                <w:b/>
                <w:sz w:val="28"/>
                <w:szCs w:val="28"/>
              </w:rPr>
              <w:t>(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 xml:space="preserve">17 mai </w:t>
            </w:r>
            <w:r w:rsidRPr="00014195">
              <w:rPr>
                <w:rFonts w:ascii="Arial Narrow" w:hAnsi="Arial Narrow" w:cs="Calibri"/>
                <w:b/>
                <w:sz w:val="28"/>
                <w:szCs w:val="28"/>
              </w:rPr>
              <w:t xml:space="preserve">– 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 xml:space="preserve">13 novembre </w:t>
            </w:r>
            <w:r w:rsidRPr="00014195">
              <w:rPr>
                <w:rFonts w:ascii="Arial Narrow" w:hAnsi="Arial Narrow" w:cs="Calibri"/>
                <w:b/>
                <w:sz w:val="28"/>
                <w:szCs w:val="28"/>
              </w:rPr>
              <w:t>202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4</w:t>
            </w:r>
            <w:r w:rsidRPr="00014195">
              <w:rPr>
                <w:rFonts w:ascii="Arial Narrow" w:hAnsi="Arial Narrow" w:cs="Calibri"/>
                <w:b/>
                <w:sz w:val="28"/>
                <w:szCs w:val="28"/>
              </w:rPr>
              <w:t>)</w:t>
            </w:r>
          </w:p>
        </w:tc>
      </w:tr>
    </w:tbl>
    <w:p w14:paraId="683C698B" w14:textId="77777777" w:rsidR="00491E67" w:rsidRPr="00263C5D" w:rsidRDefault="00491E67" w:rsidP="0037200F">
      <w:pPr>
        <w:rPr>
          <w:rFonts w:eastAsia="Times New Roman"/>
          <w:szCs w:val="24"/>
        </w:rPr>
      </w:pPr>
      <w:r w:rsidRPr="00263C5D">
        <w:rPr>
          <w:rFonts w:eastAsia="Times New Roman"/>
          <w:szCs w:val="24"/>
        </w:rPr>
        <w:t xml:space="preserve"> </w:t>
      </w:r>
    </w:p>
    <w:p w14:paraId="70A9F5CD" w14:textId="77777777" w:rsidR="00491E67" w:rsidRPr="00263C5D" w:rsidRDefault="00491E67" w:rsidP="0037200F">
      <w:pPr>
        <w:rPr>
          <w:rFonts w:eastAsia="Times New Roman"/>
          <w:szCs w:val="24"/>
        </w:rPr>
      </w:pPr>
      <w:r w:rsidRPr="00263C5D">
        <w:rPr>
          <w:rFonts w:eastAsia="Times New Roman"/>
          <w:szCs w:val="24"/>
        </w:rPr>
        <w:t xml:space="preserve"> </w:t>
      </w:r>
    </w:p>
    <w:p w14:paraId="7375D772" w14:textId="77777777" w:rsidR="008A5245" w:rsidRPr="00B74E3E" w:rsidRDefault="008A5245" w:rsidP="008A5245">
      <w:pPr>
        <w:rPr>
          <w:rFonts w:eastAsia="Times New Roman"/>
          <w:b/>
          <w:bCs/>
          <w:szCs w:val="24"/>
          <w:u w:val="single"/>
        </w:rPr>
      </w:pPr>
      <w:r w:rsidRPr="00B74E3E">
        <w:rPr>
          <w:rFonts w:eastAsia="Times New Roman"/>
          <w:b/>
          <w:bCs/>
          <w:szCs w:val="24"/>
          <w:u w:val="single"/>
        </w:rPr>
        <w:t xml:space="preserve">Soutien à l’Ukraine dans sa défense contre la guerre d’agression menée par la Russie : </w:t>
      </w:r>
    </w:p>
    <w:p w14:paraId="0AD72FA5" w14:textId="77777777" w:rsidR="008A5245" w:rsidRPr="008C01F5" w:rsidRDefault="008A5245" w:rsidP="008A5245">
      <w:pPr>
        <w:rPr>
          <w:rFonts w:eastAsia="Times New Roman"/>
          <w:szCs w:val="24"/>
          <w:u w:val="single"/>
        </w:rPr>
      </w:pPr>
    </w:p>
    <w:p w14:paraId="7C4B90E6" w14:textId="77777777" w:rsidR="008A5245" w:rsidRPr="00C63C08" w:rsidRDefault="008A5245" w:rsidP="008A5245">
      <w:pPr>
        <w:pStyle w:val="ListParagraph"/>
        <w:numPr>
          <w:ilvl w:val="0"/>
          <w:numId w:val="1"/>
        </w:numPr>
        <w:ind w:left="0" w:firstLine="0"/>
        <w:rPr>
          <w:rFonts w:eastAsia="Times New Roman"/>
          <w:szCs w:val="24"/>
          <w:lang w:val="fr-FR"/>
        </w:rPr>
      </w:pPr>
      <w:r w:rsidRPr="00C63C08">
        <w:rPr>
          <w:rFonts w:eastAsia="Times New Roman"/>
          <w:szCs w:val="24"/>
          <w:lang w:val="fr-FR"/>
        </w:rPr>
        <w:t>Renforcer les institutions démocratiques de l’Ukraine et soutenir les efforts de reconstruction, notamment par la mise en œuvre du Plan d’action « Résilience, relance et reconstruction » ;</w:t>
      </w:r>
    </w:p>
    <w:p w14:paraId="7A02BE17" w14:textId="3CD91684" w:rsidR="008A5245" w:rsidRPr="00C63C08" w:rsidRDefault="008A5245" w:rsidP="008A5245">
      <w:pPr>
        <w:pStyle w:val="ListParagraph"/>
        <w:numPr>
          <w:ilvl w:val="0"/>
          <w:numId w:val="1"/>
        </w:numPr>
        <w:ind w:left="0" w:firstLine="0"/>
        <w:rPr>
          <w:rFonts w:eastAsia="Times New Roman"/>
          <w:szCs w:val="24"/>
          <w:lang w:val="fr-FR"/>
        </w:rPr>
      </w:pPr>
      <w:r w:rsidRPr="00C63C08">
        <w:rPr>
          <w:rFonts w:eastAsia="Times New Roman"/>
          <w:szCs w:val="24"/>
          <w:lang w:val="fr-FR"/>
        </w:rPr>
        <w:t>Assurer la responsabilité pour les crimes internationaux : nouvelles mesures pour la mise en place d’un mécanisme complet d’indemnisation lié au Registre des dommages </w:t>
      </w:r>
      <w:r w:rsidR="0006076A" w:rsidRPr="00C63C08">
        <w:rPr>
          <w:rFonts w:eastAsia="Times New Roman"/>
          <w:szCs w:val="24"/>
          <w:lang w:val="fr-FR"/>
        </w:rPr>
        <w:t xml:space="preserve">et </w:t>
      </w:r>
      <w:r w:rsidR="00194A07" w:rsidRPr="00C63C08">
        <w:rPr>
          <w:rFonts w:eastAsia="Times New Roman"/>
          <w:szCs w:val="24"/>
          <w:lang w:val="fr-FR"/>
        </w:rPr>
        <w:t>l’</w:t>
      </w:r>
      <w:r w:rsidRPr="00C63C08">
        <w:rPr>
          <w:rFonts w:eastAsia="Times New Roman"/>
          <w:szCs w:val="24"/>
          <w:lang w:val="fr-FR"/>
        </w:rPr>
        <w:t>utilisation de l’expertise du Conseil de l’Europe pour la création d’un Tribunal international spécial pour le crime d’agression de la Fédération de Russie contre l’Ukraine ; examen de l’opportunité d’un débat sur les efforts consolidés pour harmoniser le partage d’informations concernant les cas de contournement des sanctions par la Russie et le Bélarus ;</w:t>
      </w:r>
    </w:p>
    <w:p w14:paraId="56435FFB" w14:textId="374E1560" w:rsidR="008A5245" w:rsidRPr="00C63C08" w:rsidRDefault="008A5245" w:rsidP="008A5245">
      <w:pPr>
        <w:pStyle w:val="ListParagraph"/>
        <w:numPr>
          <w:ilvl w:val="0"/>
          <w:numId w:val="1"/>
        </w:numPr>
        <w:ind w:left="0" w:firstLine="0"/>
        <w:rPr>
          <w:rFonts w:eastAsia="Times New Roman"/>
          <w:szCs w:val="24"/>
          <w:lang w:val="fr-FR"/>
        </w:rPr>
      </w:pPr>
      <w:r w:rsidRPr="00C63C08">
        <w:rPr>
          <w:rFonts w:eastAsia="Times New Roman"/>
          <w:szCs w:val="24"/>
          <w:lang w:val="fr-FR"/>
        </w:rPr>
        <w:t>Protéger les droits, la sécurité et le bien-être des enfants ukrainiens</w:t>
      </w:r>
      <w:r w:rsidR="0006076A" w:rsidRPr="00C63C08">
        <w:rPr>
          <w:rFonts w:eastAsia="Times New Roman"/>
          <w:szCs w:val="24"/>
          <w:lang w:val="fr-FR"/>
        </w:rPr>
        <w:t>,</w:t>
      </w:r>
      <w:r w:rsidRPr="00C63C08">
        <w:rPr>
          <w:rFonts w:eastAsia="Times New Roman"/>
          <w:szCs w:val="24"/>
          <w:lang w:val="fr-FR"/>
        </w:rPr>
        <w:t xml:space="preserve"> assurer le retour en toute sécurité des enfants ukrainiens illégalement déportés par la Russie.</w:t>
      </w:r>
    </w:p>
    <w:p w14:paraId="71C6021D" w14:textId="77777777" w:rsidR="008A5245" w:rsidRPr="00C63C08" w:rsidRDefault="008A5245" w:rsidP="008A5245">
      <w:pPr>
        <w:rPr>
          <w:rFonts w:eastAsia="Times New Roman"/>
          <w:szCs w:val="24"/>
        </w:rPr>
      </w:pPr>
    </w:p>
    <w:p w14:paraId="544BFBE2" w14:textId="77777777" w:rsidR="008A5245" w:rsidRPr="00C63C08" w:rsidRDefault="008A5245" w:rsidP="008A5245">
      <w:pPr>
        <w:rPr>
          <w:rFonts w:eastAsia="Times New Roman"/>
          <w:b/>
          <w:bCs/>
          <w:szCs w:val="24"/>
          <w:u w:val="single"/>
        </w:rPr>
      </w:pPr>
      <w:r w:rsidRPr="00C63C08">
        <w:rPr>
          <w:rFonts w:eastAsia="Times New Roman"/>
          <w:b/>
          <w:bCs/>
          <w:szCs w:val="24"/>
          <w:u w:val="single"/>
        </w:rPr>
        <w:t>75 ans du Conseil de l’Europe – Mise en œuvre cohérente des décisions du Sommet de Reykjavík et des perspectives post-sommet :</w:t>
      </w:r>
      <w:r w:rsidRPr="00C63C08">
        <w:rPr>
          <w:rFonts w:eastAsia="Times New Roman"/>
          <w:b/>
          <w:bCs/>
          <w:szCs w:val="24"/>
          <w:u w:val="single"/>
        </w:rPr>
        <w:br/>
      </w:r>
    </w:p>
    <w:p w14:paraId="020AF5EE" w14:textId="77777777" w:rsidR="008A5245" w:rsidRPr="00C63C08" w:rsidRDefault="008A5245" w:rsidP="008A5245">
      <w:pPr>
        <w:rPr>
          <w:rFonts w:eastAsia="Times New Roman"/>
          <w:b/>
          <w:bCs/>
          <w:szCs w:val="24"/>
        </w:rPr>
      </w:pPr>
      <w:r w:rsidRPr="00C63C08">
        <w:rPr>
          <w:rFonts w:eastAsia="Times New Roman"/>
          <w:b/>
          <w:bCs/>
          <w:szCs w:val="24"/>
        </w:rPr>
        <w:t>Protection de nos valeurs contre l’agression et l’autoritarisme</w:t>
      </w:r>
    </w:p>
    <w:p w14:paraId="7989635B" w14:textId="199E79F6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 xml:space="preserve">Protection des </w:t>
      </w:r>
      <w:r w:rsidR="00B830E3">
        <w:rPr>
          <w:rFonts w:eastAsia="Times New Roman"/>
          <w:szCs w:val="24"/>
        </w:rPr>
        <w:t>droits de l’Homme</w:t>
      </w:r>
      <w:r w:rsidRPr="00C63C08">
        <w:rPr>
          <w:rFonts w:eastAsia="Times New Roman"/>
          <w:szCs w:val="24"/>
        </w:rPr>
        <w:t xml:space="preserve"> dans les zones de conflit ;</w:t>
      </w:r>
    </w:p>
    <w:p w14:paraId="26B5873C" w14:textId="3D502A1F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 xml:space="preserve">Soutien à la société civile, aux médias indépendants et aux défenseurs des </w:t>
      </w:r>
      <w:r w:rsidR="00B830E3">
        <w:rPr>
          <w:rFonts w:eastAsia="Times New Roman"/>
          <w:szCs w:val="24"/>
        </w:rPr>
        <w:t>droits de l’Homme</w:t>
      </w:r>
      <w:r w:rsidRPr="00C63C08">
        <w:rPr>
          <w:rFonts w:eastAsia="Times New Roman"/>
          <w:szCs w:val="24"/>
        </w:rPr>
        <w:t xml:space="preserve"> du Bélarus et d’autres pays opprimés par des régimes autoritaires, qu’ils travaillent </w:t>
      </w:r>
      <w:r w:rsidR="0006076A" w:rsidRPr="00C63C08">
        <w:rPr>
          <w:rFonts w:eastAsia="Times New Roman"/>
          <w:szCs w:val="24"/>
        </w:rPr>
        <w:t>depuis</w:t>
      </w:r>
      <w:r w:rsidRPr="00C63C08">
        <w:rPr>
          <w:rFonts w:eastAsia="Times New Roman"/>
          <w:szCs w:val="24"/>
        </w:rPr>
        <w:t xml:space="preserve"> leur pays d’origine ou </w:t>
      </w:r>
      <w:r w:rsidR="0006076A" w:rsidRPr="00C63C08">
        <w:rPr>
          <w:rFonts w:eastAsia="Times New Roman"/>
          <w:szCs w:val="24"/>
        </w:rPr>
        <w:t xml:space="preserve">qu’ils soient </w:t>
      </w:r>
      <w:r w:rsidRPr="00C63C08">
        <w:rPr>
          <w:rFonts w:eastAsia="Times New Roman"/>
          <w:szCs w:val="24"/>
        </w:rPr>
        <w:t>en exil ;</w:t>
      </w:r>
    </w:p>
    <w:p w14:paraId="1D11C5DE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>Réforme et renforcement de l’Organisation afin de faire face aux défis à venir ;</w:t>
      </w:r>
    </w:p>
    <w:p w14:paraId="4DE08A8C" w14:textId="5DC0D705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 xml:space="preserve">Alignement de l’emploi au sein du Secrétariat sur </w:t>
      </w:r>
      <w:r w:rsidR="0006076A" w:rsidRPr="00C63C08">
        <w:rPr>
          <w:rFonts w:eastAsia="Times New Roman"/>
          <w:szCs w:val="24"/>
        </w:rPr>
        <w:t>l’adhésion au</w:t>
      </w:r>
      <w:r w:rsidRPr="00C63C08">
        <w:rPr>
          <w:rFonts w:eastAsia="Times New Roman"/>
          <w:szCs w:val="24"/>
        </w:rPr>
        <w:t xml:space="preserve"> Conseil de l’Europe.</w:t>
      </w:r>
    </w:p>
    <w:p w14:paraId="3A2FFFD7" w14:textId="77777777" w:rsidR="008A5245" w:rsidRPr="00C63C08" w:rsidRDefault="008A5245" w:rsidP="008A5245">
      <w:pPr>
        <w:rPr>
          <w:rFonts w:eastAsia="Times New Roman"/>
          <w:szCs w:val="24"/>
        </w:rPr>
      </w:pPr>
    </w:p>
    <w:p w14:paraId="5E76B2EB" w14:textId="31755CEA" w:rsidR="008A5245" w:rsidRPr="00C63C08" w:rsidRDefault="008A5245" w:rsidP="008A5245">
      <w:pPr>
        <w:rPr>
          <w:rFonts w:eastAsia="Times New Roman"/>
          <w:b/>
          <w:bCs/>
          <w:szCs w:val="24"/>
        </w:rPr>
      </w:pPr>
      <w:r w:rsidRPr="00C63C08">
        <w:rPr>
          <w:rFonts w:eastAsia="Times New Roman"/>
          <w:b/>
          <w:bCs/>
          <w:szCs w:val="24"/>
        </w:rPr>
        <w:t xml:space="preserve">Démocratie, </w:t>
      </w:r>
      <w:r w:rsidR="00B830E3">
        <w:rPr>
          <w:rFonts w:eastAsia="Times New Roman"/>
          <w:b/>
          <w:bCs/>
          <w:szCs w:val="24"/>
        </w:rPr>
        <w:t>droits de l’Homme</w:t>
      </w:r>
      <w:r w:rsidRPr="00C63C08">
        <w:rPr>
          <w:rFonts w:eastAsia="Times New Roman"/>
          <w:b/>
          <w:bCs/>
          <w:szCs w:val="24"/>
        </w:rPr>
        <w:t xml:space="preserve"> et État de droit dans les États membres et dans le monde entier </w:t>
      </w:r>
    </w:p>
    <w:p w14:paraId="0ABADD15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>Mise en œuvre des arrêts de la Cour européenne des droits de l’homme ;</w:t>
      </w:r>
    </w:p>
    <w:p w14:paraId="3DC01DD6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>Renforcement des droits sociaux ;</w:t>
      </w:r>
    </w:p>
    <w:p w14:paraId="0E455EDB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>Promotion de la lutte contre la corruption et de la bonne gouvernance ;</w:t>
      </w:r>
    </w:p>
    <w:p w14:paraId="1654AF4F" w14:textId="4CD8A9CF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>L’égalité de genre et les droits des femmes</w:t>
      </w:r>
      <w:r w:rsidR="00C66D85">
        <w:rPr>
          <w:rFonts w:eastAsia="Times New Roman"/>
          <w:szCs w:val="24"/>
        </w:rPr>
        <w:t> ;</w:t>
      </w:r>
      <w:r w:rsidRPr="00C63C08">
        <w:rPr>
          <w:rFonts w:eastAsia="Times New Roman"/>
          <w:szCs w:val="24"/>
        </w:rPr>
        <w:t xml:space="preserve"> </w:t>
      </w:r>
      <w:r w:rsidR="006878D2">
        <w:rPr>
          <w:rFonts w:eastAsia="Times New Roman"/>
          <w:szCs w:val="24"/>
        </w:rPr>
        <w:t>l</w:t>
      </w:r>
      <w:r w:rsidRPr="00C63C08">
        <w:rPr>
          <w:rFonts w:eastAsia="Times New Roman"/>
          <w:szCs w:val="24"/>
        </w:rPr>
        <w:t xml:space="preserve">es enfants et </w:t>
      </w:r>
      <w:r w:rsidR="0006076A" w:rsidRPr="00C63C08">
        <w:rPr>
          <w:rFonts w:eastAsia="Times New Roman"/>
          <w:szCs w:val="24"/>
        </w:rPr>
        <w:t>la jeunesse</w:t>
      </w:r>
      <w:r w:rsidRPr="00C63C08">
        <w:rPr>
          <w:rFonts w:eastAsia="Times New Roman"/>
          <w:szCs w:val="24"/>
        </w:rPr>
        <w:t xml:space="preserve"> ; </w:t>
      </w:r>
    </w:p>
    <w:p w14:paraId="49D62292" w14:textId="32520352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</w:r>
      <w:r w:rsidR="0006076A" w:rsidRPr="00C63C08">
        <w:rPr>
          <w:rFonts w:eastAsia="Times New Roman"/>
          <w:szCs w:val="24"/>
        </w:rPr>
        <w:t>Lutte contre</w:t>
      </w:r>
      <w:r w:rsidRPr="00C63C08">
        <w:rPr>
          <w:rFonts w:eastAsia="Times New Roman"/>
          <w:szCs w:val="24"/>
        </w:rPr>
        <w:t xml:space="preserve"> l’impact de la triple crise planétaire </w:t>
      </w:r>
      <w:r w:rsidR="0006076A" w:rsidRPr="00C63C08">
        <w:rPr>
          <w:rFonts w:eastAsia="Times New Roman"/>
          <w:szCs w:val="24"/>
        </w:rPr>
        <w:t>liée à</w:t>
      </w:r>
      <w:r w:rsidRPr="00C63C08">
        <w:rPr>
          <w:rFonts w:eastAsia="Times New Roman"/>
          <w:szCs w:val="24"/>
        </w:rPr>
        <w:t xml:space="preserve"> la pollution, </w:t>
      </w:r>
      <w:r w:rsidR="0006076A" w:rsidRPr="00C63C08">
        <w:rPr>
          <w:rFonts w:eastAsia="Times New Roman"/>
          <w:szCs w:val="24"/>
        </w:rPr>
        <w:t>au</w:t>
      </w:r>
      <w:r w:rsidRPr="00C63C08">
        <w:rPr>
          <w:rFonts w:eastAsia="Times New Roman"/>
          <w:szCs w:val="24"/>
        </w:rPr>
        <w:t xml:space="preserve"> changement climatique et</w:t>
      </w:r>
      <w:r w:rsidR="0006076A" w:rsidRPr="00C63C08">
        <w:rPr>
          <w:rFonts w:eastAsia="Times New Roman"/>
          <w:szCs w:val="24"/>
        </w:rPr>
        <w:t xml:space="preserve"> à</w:t>
      </w:r>
      <w:r w:rsidRPr="00C63C08">
        <w:rPr>
          <w:rFonts w:eastAsia="Times New Roman"/>
          <w:szCs w:val="24"/>
        </w:rPr>
        <w:t xml:space="preserve"> la perte de biodiversité sur les </w:t>
      </w:r>
      <w:r w:rsidR="00B830E3">
        <w:rPr>
          <w:rFonts w:eastAsia="Times New Roman"/>
          <w:szCs w:val="24"/>
        </w:rPr>
        <w:t>droits de l’Homme</w:t>
      </w:r>
      <w:r w:rsidRPr="00C63C08">
        <w:rPr>
          <w:rFonts w:eastAsia="Times New Roman"/>
          <w:szCs w:val="24"/>
        </w:rPr>
        <w:t>, la démocratie et l’État de droit ;</w:t>
      </w:r>
    </w:p>
    <w:p w14:paraId="36F90FB5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>Diversité culturelle et patrimoine.</w:t>
      </w:r>
    </w:p>
    <w:p w14:paraId="0BDC7656" w14:textId="77777777" w:rsidR="008A5245" w:rsidRPr="00C63C08" w:rsidRDefault="008A5245" w:rsidP="008A5245">
      <w:pPr>
        <w:rPr>
          <w:rFonts w:eastAsia="Times New Roman"/>
          <w:szCs w:val="24"/>
        </w:rPr>
      </w:pPr>
    </w:p>
    <w:p w14:paraId="23B48415" w14:textId="77777777" w:rsidR="008A5245" w:rsidRPr="00C63C08" w:rsidRDefault="008A5245" w:rsidP="008A5245">
      <w:pPr>
        <w:rPr>
          <w:rFonts w:eastAsia="Times New Roman"/>
          <w:b/>
          <w:bCs/>
          <w:szCs w:val="24"/>
        </w:rPr>
      </w:pPr>
      <w:r w:rsidRPr="00C63C08">
        <w:rPr>
          <w:rFonts w:eastAsia="Times New Roman"/>
          <w:b/>
          <w:bCs/>
          <w:szCs w:val="24"/>
        </w:rPr>
        <w:t>Dimension numérique de la liberté</w:t>
      </w:r>
    </w:p>
    <w:p w14:paraId="5F3BCE01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>Liberté d’expression et sécurité des journalistes, y compris en ligne ;</w:t>
      </w:r>
    </w:p>
    <w:p w14:paraId="145AD4EE" w14:textId="795C0C6F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 xml:space="preserve">Intelligence artificielle et </w:t>
      </w:r>
      <w:r w:rsidR="00B830E3">
        <w:rPr>
          <w:rFonts w:eastAsia="Times New Roman"/>
          <w:szCs w:val="24"/>
        </w:rPr>
        <w:t>droits de l’Homme</w:t>
      </w:r>
      <w:r w:rsidRPr="00C63C08">
        <w:rPr>
          <w:rFonts w:eastAsia="Times New Roman"/>
          <w:szCs w:val="24"/>
        </w:rPr>
        <w:t> ;</w:t>
      </w:r>
    </w:p>
    <w:p w14:paraId="7BA77CC2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>Lutte contre la désinformation, les discours de haine et la déformation de l’histoire, accès à l’information ;</w:t>
      </w:r>
    </w:p>
    <w:p w14:paraId="636A178F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t>-</w:t>
      </w:r>
      <w:r w:rsidRPr="00C63C08">
        <w:rPr>
          <w:rFonts w:eastAsia="Times New Roman"/>
          <w:szCs w:val="24"/>
        </w:rPr>
        <w:tab/>
        <w:t>Médias non traditionnels, progrès de la technologie numérique, éducation aux médias.</w:t>
      </w:r>
    </w:p>
    <w:p w14:paraId="7816B72A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szCs w:val="24"/>
        </w:rPr>
        <w:br w:type="page"/>
      </w:r>
    </w:p>
    <w:p w14:paraId="1A7DCDE1" w14:textId="77777777" w:rsidR="008A5245" w:rsidRPr="00C63C08" w:rsidRDefault="008A5245" w:rsidP="008A5245">
      <w:pPr>
        <w:jc w:val="center"/>
        <w:rPr>
          <w:rFonts w:eastAsia="Times New Roman"/>
          <w:b/>
          <w:bCs/>
          <w:szCs w:val="24"/>
          <w:u w:val="single"/>
        </w:rPr>
      </w:pPr>
      <w:r w:rsidRPr="00C63C08">
        <w:rPr>
          <w:rFonts w:eastAsia="Times New Roman"/>
          <w:b/>
          <w:bCs/>
          <w:szCs w:val="24"/>
          <w:u w:val="single"/>
        </w:rPr>
        <w:lastRenderedPageBreak/>
        <w:t>Programme des événements de la Présidence</w:t>
      </w:r>
    </w:p>
    <w:p w14:paraId="675001E2" w14:textId="77777777" w:rsidR="008A5245" w:rsidRPr="00C63C08" w:rsidRDefault="008A5245" w:rsidP="008A5245">
      <w:pPr>
        <w:rPr>
          <w:rFonts w:eastAsia="Times New Roman"/>
          <w:b/>
          <w:bCs/>
          <w:szCs w:val="24"/>
          <w:u w:val="single"/>
        </w:rPr>
      </w:pPr>
    </w:p>
    <w:p w14:paraId="03653071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24-25 mai,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Participation du Président du Comité des Ministres aux réunions du Comité présidentiel, du Bureau et de la Commission permanente de l’APCE</w:t>
      </w:r>
    </w:p>
    <w:p w14:paraId="5C0023C2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30 mai,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Participation de la Présidence à la Conférence de lancement de la nouvelle Stratégie pour l’égalité de genre 2024-2029 et à l’événement marquant le 10</w:t>
      </w:r>
      <w:r w:rsidRPr="00C63C08">
        <w:rPr>
          <w:rFonts w:eastAsia="Times New Roman"/>
          <w:bCs/>
          <w:iCs/>
          <w:szCs w:val="24"/>
          <w:vertAlign w:val="superscript"/>
        </w:rPr>
        <w:t>e</w:t>
      </w:r>
      <w:r w:rsidRPr="00C63C08">
        <w:rPr>
          <w:rFonts w:eastAsia="Times New Roman"/>
          <w:bCs/>
          <w:iCs/>
          <w:szCs w:val="24"/>
        </w:rPr>
        <w:t> anniversaire de l’entrée en vigueur de la Convention d’Istanbul</w:t>
      </w:r>
    </w:p>
    <w:p w14:paraId="0C68B8F9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30 mai,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Atelier à Vilnius pour les jeunes Bélarussiens</w:t>
      </w:r>
    </w:p>
    <w:p w14:paraId="288CE6B9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5 juin,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1500</w:t>
      </w:r>
      <w:r w:rsidRPr="00C63C08">
        <w:rPr>
          <w:rFonts w:eastAsia="Times New Roman"/>
          <w:bCs/>
          <w:iCs/>
          <w:szCs w:val="24"/>
          <w:vertAlign w:val="superscript"/>
        </w:rPr>
        <w:t>e</w:t>
      </w:r>
      <w:r w:rsidRPr="00C63C08">
        <w:rPr>
          <w:rFonts w:eastAsia="Times New Roman"/>
          <w:bCs/>
          <w:iCs/>
          <w:szCs w:val="24"/>
        </w:rPr>
        <w:t xml:space="preserve"> réunion des Délégués des Ministres</w:t>
      </w:r>
    </w:p>
    <w:p w14:paraId="407C1EE0" w14:textId="537EB533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11-12 juin,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Célébration des 60 ans de l’EDQM, Conseil de l’Europe « Aujourd’hui</w:t>
      </w:r>
      <w:r w:rsidR="0006076A" w:rsidRPr="00C63C08">
        <w:rPr>
          <w:rFonts w:eastAsia="Times New Roman"/>
          <w:bCs/>
          <w:iCs/>
          <w:szCs w:val="24"/>
        </w:rPr>
        <w:t xml:space="preserve"> comme </w:t>
      </w:r>
      <w:r w:rsidRPr="00C63C08">
        <w:rPr>
          <w:rFonts w:eastAsia="Times New Roman"/>
          <w:bCs/>
          <w:iCs/>
          <w:szCs w:val="24"/>
        </w:rPr>
        <w:t>demain, ensemble pour la santé publique »</w:t>
      </w:r>
    </w:p>
    <w:p w14:paraId="74B93EC7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11-12 juin,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Conférence « Surveillance LBC/FT des entreprises et professions non financières désignées – Application pratique des mesures sectorielles »</w:t>
      </w:r>
    </w:p>
    <w:p w14:paraId="01AA5C78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17-19 juin,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Réunion annuelle d’EuroDIG (Dialogue européen sur la gouvernance de l’internet)</w:t>
      </w:r>
    </w:p>
    <w:p w14:paraId="7FAA2AF3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17-20 juin,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Semaine contre le discours de haine</w:t>
      </w:r>
    </w:p>
    <w:p w14:paraId="3E3EB7CC" w14:textId="4E691643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18-21 juin,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Conférence internationale contre la corruption – </w:t>
      </w:r>
      <w:r w:rsidR="0006076A" w:rsidRPr="00C63C08">
        <w:rPr>
          <w:rFonts w:eastAsia="Times New Roman"/>
          <w:bCs/>
          <w:iCs/>
          <w:szCs w:val="24"/>
        </w:rPr>
        <w:t>IACC</w:t>
      </w:r>
    </w:p>
    <w:p w14:paraId="071DD45F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18-22 juin,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Atelier de plaidoyer sur l’abolition de la peine de mort</w:t>
      </w:r>
    </w:p>
    <w:p w14:paraId="1E68EA06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19-20 juin,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 xml:space="preserve">: </w:t>
      </w:r>
      <w:r w:rsidRPr="00C63C08">
        <w:rPr>
          <w:rFonts w:eastAsia="Times New Roman"/>
          <w:bCs/>
          <w:iCs/>
          <w:szCs w:val="24"/>
        </w:rPr>
        <w:t>Séminaire de formation pour les acteurs nationaux des Itinéraires culturels du Conseil de l’Europe en Lituanie</w:t>
      </w:r>
    </w:p>
    <w:p w14:paraId="39E6B3C8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20 juin,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Forum européen sur l’IA</w:t>
      </w:r>
    </w:p>
    <w:p w14:paraId="628BE40F" w14:textId="56F85A6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24 juin, Helsinki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Réunion pour un Réseau de coordinateurs nationaux pour l’exécution des arrêts de la Cour européenne des droits de l’homme dans le cadre du projet « </w:t>
      </w:r>
      <w:r w:rsidR="0006076A" w:rsidRPr="00C63C08">
        <w:rPr>
          <w:rFonts w:eastAsia="Times New Roman"/>
          <w:bCs/>
          <w:iCs/>
          <w:szCs w:val="24"/>
        </w:rPr>
        <w:t>Soutien à une capacité nationale efficace pour l’exécution des arrêts de la Cour européenne des droits de l’homme (Phase 1)</w:t>
      </w:r>
      <w:r w:rsidRPr="00C63C08">
        <w:rPr>
          <w:rFonts w:eastAsia="Times New Roman"/>
          <w:bCs/>
          <w:iCs/>
          <w:szCs w:val="24"/>
        </w:rPr>
        <w:t> »</w:t>
      </w:r>
    </w:p>
    <w:p w14:paraId="2BB8FC93" w14:textId="100C9099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24-28 juin,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</w:t>
      </w:r>
      <w:r w:rsidR="00194A07" w:rsidRPr="00C63C08">
        <w:rPr>
          <w:rFonts w:eastAsia="Times New Roman"/>
          <w:bCs/>
          <w:iCs/>
          <w:szCs w:val="24"/>
        </w:rPr>
        <w:t>Communication</w:t>
      </w:r>
      <w:r w:rsidRPr="00C63C08">
        <w:rPr>
          <w:rFonts w:eastAsia="Times New Roman"/>
          <w:bCs/>
          <w:iCs/>
          <w:szCs w:val="24"/>
        </w:rPr>
        <w:t xml:space="preserve"> du Président du Comité des Ministres lors de la session d’été de l’Assemblée parlementaire du Conseil de l’Europe (APCE)</w:t>
      </w:r>
    </w:p>
    <w:p w14:paraId="72BE672B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2-9 juillet,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Camp de jeunesse pour la paix</w:t>
      </w:r>
    </w:p>
    <w:p w14:paraId="0D88DFAD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3-4 juillet,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Conférence à haut niveau sur la Charte sociale européenne</w:t>
      </w:r>
    </w:p>
    <w:p w14:paraId="56F9977C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i/>
          <w:szCs w:val="24"/>
        </w:rPr>
        <w:t>Début juillet, Strasbourg</w:t>
      </w:r>
      <w:r w:rsidRPr="00C63C08">
        <w:rPr>
          <w:rFonts w:eastAsia="Times New Roman"/>
          <w:szCs w:val="24"/>
        </w:rPr>
        <w:t> : Participation de la Présidence à la Conférence 2024 du réseau HELP</w:t>
      </w:r>
    </w:p>
    <w:p w14:paraId="40354D42" w14:textId="0C491BD9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11 juillet, New-York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Événement parallèle au Forum politique </w:t>
      </w:r>
      <w:r w:rsidR="0006076A" w:rsidRPr="00C63C08">
        <w:rPr>
          <w:rFonts w:eastAsia="Times New Roman"/>
          <w:bCs/>
          <w:iCs/>
          <w:szCs w:val="24"/>
        </w:rPr>
        <w:t>de</w:t>
      </w:r>
      <w:r w:rsidRPr="00C63C08">
        <w:rPr>
          <w:rFonts w:eastAsia="Times New Roman"/>
          <w:bCs/>
          <w:iCs/>
          <w:szCs w:val="24"/>
        </w:rPr>
        <w:t xml:space="preserve"> haut niveau </w:t>
      </w:r>
      <w:r w:rsidR="0006076A" w:rsidRPr="00C63C08">
        <w:rPr>
          <w:rFonts w:eastAsia="Times New Roman"/>
          <w:bCs/>
          <w:iCs/>
          <w:szCs w:val="24"/>
        </w:rPr>
        <w:t>pour</w:t>
      </w:r>
      <w:r w:rsidRPr="00C63C08">
        <w:rPr>
          <w:rFonts w:eastAsia="Times New Roman"/>
          <w:bCs/>
          <w:iCs/>
          <w:szCs w:val="24"/>
        </w:rPr>
        <w:t xml:space="preserve"> le développement durable 2024 « Tracer la voie à suivre : combattre l’impact du changement climatique sur les </w:t>
      </w:r>
      <w:r w:rsidR="00B830E3">
        <w:rPr>
          <w:rFonts w:eastAsia="Times New Roman"/>
          <w:bCs/>
          <w:iCs/>
          <w:szCs w:val="24"/>
        </w:rPr>
        <w:t>droits de l’Homme</w:t>
      </w:r>
      <w:r w:rsidRPr="00C63C08">
        <w:rPr>
          <w:rFonts w:eastAsia="Times New Roman"/>
          <w:bCs/>
          <w:iCs/>
          <w:szCs w:val="24"/>
        </w:rPr>
        <w:t> »</w:t>
      </w:r>
    </w:p>
    <w:p w14:paraId="57E1B551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11 juillet, Ottrott (près de Strasbourg)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Retraite du CM(D) « Rôle du Conseil de l’Europe dans l’établissement des responsabilités pour l’agression contre l’Ukraine »</w:t>
      </w:r>
    </w:p>
    <w:p w14:paraId="08F5C430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4-5 septembre,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Conférence informelle des ministres de la Justice « Vers l’établissement des responsabilités pour les crimes internationaux commis en Ukraine »</w:t>
      </w:r>
    </w:p>
    <w:p w14:paraId="57741E28" w14:textId="726227EE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Septembre, Chisinau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Conférence internationale dans le cadre du projet « Renforcer la protection des </w:t>
      </w:r>
      <w:r w:rsidR="00B830E3">
        <w:rPr>
          <w:rFonts w:eastAsia="Times New Roman"/>
          <w:bCs/>
          <w:iCs/>
          <w:szCs w:val="24"/>
        </w:rPr>
        <w:t>droits de l’Homme</w:t>
      </w:r>
      <w:r w:rsidRPr="00C63C08">
        <w:rPr>
          <w:rFonts w:eastAsia="Times New Roman"/>
          <w:bCs/>
          <w:iCs/>
          <w:szCs w:val="24"/>
        </w:rPr>
        <w:t xml:space="preserve"> des réfugiés et des migrants en République de Moldova et en Arménie »</w:t>
      </w:r>
      <w:r w:rsidRPr="00C63C08">
        <w:rPr>
          <w:rFonts w:eastAsia="Times New Roman"/>
          <w:szCs w:val="24"/>
        </w:rPr>
        <w:t xml:space="preserve"> </w:t>
      </w:r>
    </w:p>
    <w:p w14:paraId="1CB5D1A1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12 septembre,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Échange de vues informel sur la liberté des médias et la sécurité des journalistes (Salle du CM)</w:t>
      </w:r>
    </w:p>
    <w:p w14:paraId="0637D2F3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12-13 septembre,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Participation de la Présidence aux Assises des associations nationales de pouvoirs locaux et régionaux</w:t>
      </w:r>
    </w:p>
    <w:p w14:paraId="26A4765E" w14:textId="221AC525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23 septembre,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Projection du film « Murer : Anatom</w:t>
      </w:r>
      <w:r w:rsidR="0006076A" w:rsidRPr="00C63C08">
        <w:rPr>
          <w:rFonts w:eastAsia="Times New Roman"/>
          <w:bCs/>
          <w:iCs/>
          <w:szCs w:val="24"/>
        </w:rPr>
        <w:t xml:space="preserve">y of a trial </w:t>
      </w:r>
      <w:r w:rsidRPr="00C63C08">
        <w:rPr>
          <w:rFonts w:eastAsia="Times New Roman"/>
          <w:bCs/>
          <w:iCs/>
          <w:szCs w:val="24"/>
        </w:rPr>
        <w:t>», en coopération avec la Mission permanente de l’Autriche</w:t>
      </w:r>
    </w:p>
    <w:p w14:paraId="0E5DAF92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25 septembre,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Conférence internationale « La gouvernance multiniveaux pour garantir la démocratie et renforcer la résilience à tous les niveaux de gouvernance »</w:t>
      </w:r>
    </w:p>
    <w:p w14:paraId="3B252917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26 septembre,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Conférence internationale « Concilier respect de la vie privée et libertés des médias : une perspective judiciaire »</w:t>
      </w:r>
    </w:p>
    <w:p w14:paraId="1BA621E9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Septembre,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« Journées ukrainiennes » – série d’événements</w:t>
      </w:r>
    </w:p>
    <w:p w14:paraId="4F6FB738" w14:textId="1EB6CF1D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30 septembre – 4 octobre,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</w:t>
      </w:r>
      <w:r w:rsidR="00194A07" w:rsidRPr="00C63C08">
        <w:rPr>
          <w:rFonts w:eastAsia="Times New Roman"/>
          <w:bCs/>
          <w:iCs/>
          <w:szCs w:val="24"/>
        </w:rPr>
        <w:t>Communication</w:t>
      </w:r>
      <w:r w:rsidRPr="00C63C08">
        <w:rPr>
          <w:rFonts w:eastAsia="Times New Roman"/>
          <w:bCs/>
          <w:iCs/>
          <w:szCs w:val="24"/>
        </w:rPr>
        <w:t xml:space="preserve"> du Président du Comité des Ministres lors de la session d’automne de l’Assemblée parlementaire du Conseil de l’Europe (APCE)</w:t>
      </w:r>
    </w:p>
    <w:p w14:paraId="0BD4B571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Septembre/octobre,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szCs w:val="24"/>
        </w:rPr>
        <w:t xml:space="preserve"> </w:t>
      </w:r>
      <w:r w:rsidRPr="00C63C08">
        <w:rPr>
          <w:rFonts w:eastAsia="Times New Roman"/>
          <w:bCs/>
          <w:iCs/>
          <w:szCs w:val="24"/>
        </w:rPr>
        <w:t>discussion du CM avec la société civile sur l’abolition de la peine de mort et projection d’un film sur la peine de mort au Bélarus</w:t>
      </w:r>
    </w:p>
    <w:p w14:paraId="7A415836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3-4 octobre,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Réunion du CD-P-TO</w:t>
      </w:r>
    </w:p>
    <w:p w14:paraId="37E1F73E" w14:textId="2B889B66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5 octobre,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szCs w:val="24"/>
        </w:rPr>
        <w:t xml:space="preserve"> </w:t>
      </w:r>
      <w:r w:rsidRPr="00C63C08">
        <w:rPr>
          <w:rFonts w:eastAsia="Times New Roman"/>
          <w:bCs/>
          <w:iCs/>
          <w:szCs w:val="24"/>
        </w:rPr>
        <w:t>Célébration de la Journée européenne du don (E</w:t>
      </w:r>
      <w:r w:rsidR="0006076A" w:rsidRPr="00C63C08">
        <w:rPr>
          <w:rFonts w:eastAsia="Times New Roman"/>
          <w:bCs/>
          <w:iCs/>
          <w:szCs w:val="24"/>
        </w:rPr>
        <w:t>D</w:t>
      </w:r>
      <w:r w:rsidRPr="00C63C08">
        <w:rPr>
          <w:rFonts w:eastAsia="Times New Roman"/>
          <w:bCs/>
          <w:iCs/>
          <w:szCs w:val="24"/>
        </w:rPr>
        <w:t xml:space="preserve">D, </w:t>
      </w:r>
      <w:r w:rsidRPr="00C63C08">
        <w:rPr>
          <w:rFonts w:eastAsia="Times New Roman"/>
          <w:bCs/>
          <w:i/>
          <w:szCs w:val="24"/>
        </w:rPr>
        <w:t>European Donation Day</w:t>
      </w:r>
      <w:r w:rsidRPr="00C63C08">
        <w:rPr>
          <w:rFonts w:eastAsia="Times New Roman"/>
          <w:bCs/>
          <w:iCs/>
          <w:szCs w:val="24"/>
        </w:rPr>
        <w:t>)</w:t>
      </w:r>
    </w:p>
    <w:p w14:paraId="72D6E774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15-17 octobre,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Participation de la Présidence à la 47</w:t>
      </w:r>
      <w:r w:rsidRPr="00C63C08">
        <w:rPr>
          <w:rFonts w:eastAsia="Times New Roman"/>
          <w:bCs/>
          <w:iCs/>
          <w:szCs w:val="24"/>
          <w:vertAlign w:val="superscript"/>
        </w:rPr>
        <w:t>e</w:t>
      </w:r>
      <w:r w:rsidRPr="00C63C08">
        <w:rPr>
          <w:rFonts w:eastAsia="Times New Roman"/>
          <w:bCs/>
          <w:iCs/>
          <w:szCs w:val="24"/>
        </w:rPr>
        <w:t> session du Congrès des pouvoirs locaux et régionaux</w:t>
      </w:r>
    </w:p>
    <w:p w14:paraId="397A367E" w14:textId="145327DA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25 octobre,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 xml:space="preserve">: </w:t>
      </w:r>
      <w:r w:rsidRPr="00C63C08">
        <w:rPr>
          <w:rFonts w:eastAsia="Times New Roman"/>
          <w:bCs/>
          <w:iCs/>
          <w:szCs w:val="24"/>
        </w:rPr>
        <w:t>Conférence internationale dédiée au 30</w:t>
      </w:r>
      <w:r w:rsidRPr="00C63C08">
        <w:rPr>
          <w:rFonts w:eastAsia="Times New Roman"/>
          <w:bCs/>
          <w:iCs/>
          <w:szCs w:val="24"/>
          <w:vertAlign w:val="superscript"/>
        </w:rPr>
        <w:t>e</w:t>
      </w:r>
      <w:r w:rsidRPr="00C63C08">
        <w:rPr>
          <w:rFonts w:eastAsia="Times New Roman"/>
          <w:bCs/>
          <w:iCs/>
          <w:szCs w:val="24"/>
        </w:rPr>
        <w:t xml:space="preserve"> anniversaire de l’adhésion de la Lituanie au Conseil de l’Europe et à la Présidence lituanienne « Dialogue constitutionnel : qui détermine les évolutions en matière de </w:t>
      </w:r>
      <w:r w:rsidR="00B830E3">
        <w:rPr>
          <w:rFonts w:eastAsia="Times New Roman"/>
          <w:bCs/>
          <w:iCs/>
          <w:szCs w:val="24"/>
        </w:rPr>
        <w:t>droits de l’Homme</w:t>
      </w:r>
      <w:r w:rsidRPr="00C63C08">
        <w:rPr>
          <w:rFonts w:eastAsia="Times New Roman"/>
          <w:bCs/>
          <w:iCs/>
          <w:szCs w:val="24"/>
        </w:rPr>
        <w:t> ? »</w:t>
      </w:r>
    </w:p>
    <w:p w14:paraId="2089423D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25 octobre, Vilnius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Dialogue de Vilnius sur la liberté d’expression</w:t>
      </w:r>
      <w:r w:rsidRPr="00C63C08">
        <w:rPr>
          <w:rFonts w:eastAsia="Times New Roman"/>
          <w:szCs w:val="24"/>
        </w:rPr>
        <w:t xml:space="preserve">  </w:t>
      </w:r>
    </w:p>
    <w:p w14:paraId="4CBED60E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4-6 novembre,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Lancement de la formation en ligne HELP sur la situation des enfants déportés dans les conflits armés, en marge du Forum mondial de la démocratie du Conseil de l’Europe</w:t>
      </w:r>
    </w:p>
    <w:p w14:paraId="5026C441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5 novembre,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Célébration de 30 ans de coproduction cinématographique européenne et internationale</w:t>
      </w:r>
    </w:p>
    <w:p w14:paraId="7A43E466" w14:textId="77777777" w:rsidR="008A5245" w:rsidRPr="00C63C08" w:rsidRDefault="008A5245" w:rsidP="008A5245">
      <w:pPr>
        <w:rPr>
          <w:rFonts w:eastAsia="Times New Roman"/>
          <w:b/>
          <w:bCs/>
          <w:i/>
          <w:iCs/>
          <w:szCs w:val="24"/>
          <w:u w:val="single"/>
        </w:rPr>
      </w:pPr>
      <w:r w:rsidRPr="00C63C08">
        <w:rPr>
          <w:rFonts w:eastAsia="Times New Roman"/>
          <w:b/>
          <w:bCs/>
          <w:i/>
          <w:iCs/>
          <w:szCs w:val="24"/>
          <w:u w:val="single"/>
        </w:rPr>
        <w:br w:type="page"/>
      </w:r>
    </w:p>
    <w:p w14:paraId="199E27C0" w14:textId="77777777" w:rsidR="008A5245" w:rsidRPr="00C63C08" w:rsidRDefault="008A5245" w:rsidP="008A5245">
      <w:pPr>
        <w:jc w:val="center"/>
        <w:rPr>
          <w:rFonts w:eastAsia="Times New Roman"/>
          <w:b/>
          <w:bCs/>
          <w:i/>
          <w:iCs/>
          <w:szCs w:val="24"/>
          <w:u w:val="single"/>
        </w:rPr>
      </w:pPr>
      <w:r w:rsidRPr="00C63C08">
        <w:rPr>
          <w:rFonts w:eastAsia="Times New Roman"/>
          <w:b/>
          <w:bCs/>
          <w:i/>
          <w:iCs/>
          <w:szCs w:val="24"/>
          <w:u w:val="single"/>
        </w:rPr>
        <w:lastRenderedPageBreak/>
        <w:t>Programme culturel</w:t>
      </w:r>
    </w:p>
    <w:p w14:paraId="6367AC9E" w14:textId="77777777" w:rsidR="008A5245" w:rsidRPr="00C63C08" w:rsidRDefault="008A5245" w:rsidP="008A5245">
      <w:pPr>
        <w:rPr>
          <w:rFonts w:eastAsia="Times New Roman"/>
          <w:b/>
          <w:bCs/>
          <w:i/>
          <w:iCs/>
          <w:szCs w:val="24"/>
          <w:u w:val="single"/>
        </w:rPr>
      </w:pPr>
    </w:p>
    <w:p w14:paraId="1B560843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29 mai, Strasbourg</w:t>
      </w:r>
      <w:r w:rsidRPr="00C63C08">
        <w:rPr>
          <w:rFonts w:eastAsia="Times New Roman"/>
          <w:bCs/>
          <w:iCs/>
          <w:szCs w:val="24"/>
        </w:rPr>
        <w:t> : Concert d’ouverture de la Présidence par le quatuor à cordes Mettis et le saxophoniste Kęstutis Vaiginis</w:t>
      </w:r>
    </w:p>
    <w:p w14:paraId="3A3F7325" w14:textId="35D85FF7" w:rsidR="00B162DC" w:rsidRPr="00B162DC" w:rsidRDefault="00B162DC" w:rsidP="00B162DC">
      <w:pPr>
        <w:rPr>
          <w:szCs w:val="20"/>
        </w:rPr>
      </w:pPr>
      <w:r w:rsidRPr="00B162DC">
        <w:rPr>
          <w:b/>
          <w:bCs/>
          <w:i/>
          <w:iCs/>
          <w:szCs w:val="20"/>
        </w:rPr>
        <w:t xml:space="preserve">mai-novembre : </w:t>
      </w:r>
      <w:r w:rsidRPr="00B162DC">
        <w:rPr>
          <w:szCs w:val="20"/>
        </w:rPr>
        <w:t xml:space="preserve">concours de photos et de vidéos pour les jeunes Européens </w:t>
      </w:r>
      <w:hyperlink r:id="rId8" w:history="1">
        <w:r w:rsidRPr="00B162DC">
          <w:rPr>
            <w:rStyle w:val="Hyperlink"/>
            <w:szCs w:val="20"/>
          </w:rPr>
          <w:t>« Droits humains, caméra, ça tourne ! »</w:t>
        </w:r>
      </w:hyperlink>
      <w:r w:rsidRPr="00B162DC">
        <w:rPr>
          <w:szCs w:val="20"/>
        </w:rPr>
        <w:t xml:space="preserve"> (le</w:t>
      </w:r>
      <w:r>
        <w:rPr>
          <w:szCs w:val="20"/>
        </w:rPr>
        <w:t>s noms des</w:t>
      </w:r>
      <w:r w:rsidRPr="00B162DC">
        <w:rPr>
          <w:szCs w:val="20"/>
        </w:rPr>
        <w:t xml:space="preserve"> </w:t>
      </w:r>
      <w:r>
        <w:rPr>
          <w:szCs w:val="20"/>
        </w:rPr>
        <w:t>lauréat</w:t>
      </w:r>
      <w:r w:rsidRPr="00B162DC">
        <w:rPr>
          <w:szCs w:val="20"/>
        </w:rPr>
        <w:t>s ser</w:t>
      </w:r>
      <w:r>
        <w:rPr>
          <w:szCs w:val="20"/>
        </w:rPr>
        <w:t>ont</w:t>
      </w:r>
      <w:r w:rsidRPr="00B162DC">
        <w:rPr>
          <w:szCs w:val="20"/>
        </w:rPr>
        <w:t xml:space="preserve"> annoncé</w:t>
      </w:r>
      <w:r>
        <w:rPr>
          <w:szCs w:val="20"/>
        </w:rPr>
        <w:t>s</w:t>
      </w:r>
      <w:r w:rsidRPr="00B162DC">
        <w:rPr>
          <w:szCs w:val="20"/>
        </w:rPr>
        <w:t xml:space="preserve"> </w:t>
      </w:r>
      <w:r w:rsidR="00CE626B">
        <w:rPr>
          <w:szCs w:val="20"/>
        </w:rPr>
        <w:t>en marge</w:t>
      </w:r>
      <w:r>
        <w:rPr>
          <w:szCs w:val="20"/>
        </w:rPr>
        <w:t xml:space="preserve"> du Forum Mondial pour la Démocratie</w:t>
      </w:r>
      <w:r w:rsidRPr="00B162DC">
        <w:rPr>
          <w:szCs w:val="20"/>
        </w:rPr>
        <w:t xml:space="preserve">, </w:t>
      </w:r>
      <w:r w:rsidR="00CE626B">
        <w:rPr>
          <w:szCs w:val="20"/>
        </w:rPr>
        <w:br/>
      </w:r>
      <w:r w:rsidRPr="00B162DC">
        <w:rPr>
          <w:szCs w:val="20"/>
        </w:rPr>
        <w:t xml:space="preserve">6-8 </w:t>
      </w:r>
      <w:r>
        <w:rPr>
          <w:szCs w:val="20"/>
        </w:rPr>
        <w:t xml:space="preserve">novembre </w:t>
      </w:r>
      <w:r w:rsidRPr="00B162DC">
        <w:rPr>
          <w:szCs w:val="20"/>
        </w:rPr>
        <w:t>2024)</w:t>
      </w:r>
    </w:p>
    <w:p w14:paraId="4E87A42B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4 juin,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Alsace et Lituanie – film documentaire et discussion sur le médecin, naturaliste et professeur d’université Ludwig Heinrich Bojanus</w:t>
      </w:r>
    </w:p>
    <w:p w14:paraId="44B1D771" w14:textId="64C59615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10 septembre - 19 octobre,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Lituanie et France – exposition de photographies d’Antanas Sutkus « Jean Paul Sartre et Simone de Beauvoir en Lituanie en 1965 »</w:t>
      </w:r>
    </w:p>
    <w:p w14:paraId="75A2F160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12 septembre,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Projection du film « Vesper Chronicles » de Kristina Buožytė et Bruno Samper</w:t>
      </w:r>
    </w:p>
    <w:p w14:paraId="0712DC3A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27 septembre,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Musique lituanienne : Lina Štalytė en concert à « La Rentrée » en collaboration avec l’Amicale du Conseil de l’Europe</w:t>
      </w:r>
    </w:p>
    <w:p w14:paraId="7997435B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1</w:t>
      </w:r>
      <w:r w:rsidRPr="00C63C08">
        <w:rPr>
          <w:rFonts w:eastAsia="Times New Roman"/>
          <w:b/>
          <w:bCs/>
          <w:i/>
          <w:iCs/>
          <w:szCs w:val="24"/>
          <w:vertAlign w:val="superscript"/>
        </w:rPr>
        <w:t>er</w:t>
      </w:r>
      <w:r w:rsidRPr="00C63C08">
        <w:rPr>
          <w:rFonts w:eastAsia="Times New Roman"/>
          <w:b/>
          <w:bCs/>
          <w:i/>
          <w:iCs/>
          <w:szCs w:val="24"/>
        </w:rPr>
        <w:t xml:space="preserve"> octobre,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Concert classique de l’organiste lituanien Balys Vaitkus</w:t>
      </w:r>
    </w:p>
    <w:p w14:paraId="3AFFF34B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9 octobre,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Atelier pour enfants animé par l’illustratrice lituanienne de livres pour enfants Elena Selena.</w:t>
      </w:r>
    </w:p>
    <w:p w14:paraId="08255A31" w14:textId="19555F9C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4-5 novembre,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Conférence sur les déportations massives de la population lituanienne vers la Sibérie et </w:t>
      </w:r>
      <w:r w:rsidR="00194A07" w:rsidRPr="00C63C08">
        <w:rPr>
          <w:rFonts w:eastAsia="Times New Roman"/>
          <w:bCs/>
          <w:iCs/>
          <w:szCs w:val="24"/>
        </w:rPr>
        <w:t>son</w:t>
      </w:r>
      <w:r w:rsidRPr="00C63C08">
        <w:rPr>
          <w:rFonts w:eastAsia="Times New Roman"/>
          <w:bCs/>
          <w:iCs/>
          <w:szCs w:val="24"/>
        </w:rPr>
        <w:t xml:space="preserve"> retour en Lituanie et en Europe de l’Est au XXe siècle</w:t>
      </w:r>
      <w:r w:rsidRPr="00C63C08">
        <w:rPr>
          <w:rFonts w:eastAsia="Times New Roman"/>
          <w:szCs w:val="24"/>
        </w:rPr>
        <w:t xml:space="preserve"> </w:t>
      </w:r>
    </w:p>
    <w:p w14:paraId="1C01CA64" w14:textId="77777777" w:rsidR="008A5245" w:rsidRPr="00C63C08" w:rsidRDefault="008A5245" w:rsidP="008A5245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5-7 novembre,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Spectacle du théâtre de marionnettes Klaipėda « Rising from the ashes » dans le cadre de la Saison de la Lituanie en France 2024</w:t>
      </w:r>
    </w:p>
    <w:p w14:paraId="0271002C" w14:textId="08E8D4DD" w:rsidR="004D1C0F" w:rsidRPr="00263C5D" w:rsidRDefault="008A5245" w:rsidP="0037200F">
      <w:pPr>
        <w:rPr>
          <w:rFonts w:eastAsia="Times New Roman"/>
          <w:szCs w:val="24"/>
        </w:rPr>
      </w:pPr>
      <w:r w:rsidRPr="00C63C08">
        <w:rPr>
          <w:rFonts w:eastAsia="Times New Roman"/>
          <w:b/>
          <w:bCs/>
          <w:i/>
          <w:iCs/>
          <w:szCs w:val="24"/>
        </w:rPr>
        <w:t>9 novembre, Strasbourg</w:t>
      </w:r>
      <w:r w:rsidRPr="00C63C08">
        <w:rPr>
          <w:rFonts w:eastAsia="Times New Roman"/>
          <w:bCs/>
          <w:iCs/>
          <w:szCs w:val="24"/>
        </w:rPr>
        <w:t> </w:t>
      </w:r>
      <w:r w:rsidRPr="00C63C08">
        <w:rPr>
          <w:rFonts w:eastAsia="Times New Roman"/>
          <w:b/>
          <w:bCs/>
          <w:i/>
          <w:iCs/>
          <w:szCs w:val="24"/>
        </w:rPr>
        <w:t>:</w:t>
      </w:r>
      <w:r w:rsidRPr="00C63C08">
        <w:rPr>
          <w:rFonts w:eastAsia="Times New Roman"/>
          <w:bCs/>
          <w:iCs/>
          <w:szCs w:val="24"/>
        </w:rPr>
        <w:t xml:space="preserve"> Concert de passation de la Présidence par l’orchestre « Improdimensija » avec Marc Ducret au festival Jazzdor dans le cadre de la Saison de la Lituanie en France 2024</w:t>
      </w:r>
    </w:p>
    <w:sectPr w:rsidR="004D1C0F" w:rsidRPr="00263C5D" w:rsidSect="00544F6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2" w:right="851" w:bottom="709" w:left="1077" w:header="454" w:footer="340" w:gutter="113"/>
      <w:paperSrc w:first="15" w:other="15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9978" w14:textId="77777777" w:rsidR="008C76AF" w:rsidRDefault="008C76AF" w:rsidP="00FD6043">
      <w:r>
        <w:separator/>
      </w:r>
    </w:p>
  </w:endnote>
  <w:endnote w:type="continuationSeparator" w:id="0">
    <w:p w14:paraId="542D23B0" w14:textId="77777777" w:rsidR="008C76AF" w:rsidRDefault="008C76AF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charset w:val="00"/>
    <w:family w:val="roman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23F4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8BF1" w14:textId="77777777" w:rsidR="00AE76B8" w:rsidRPr="00113EB0" w:rsidRDefault="00E1656D" w:rsidP="00E15639">
    <w:pPr>
      <w:pStyle w:val="Footer"/>
      <w:rPr>
        <w:sz w:val="16"/>
        <w:szCs w:val="16"/>
      </w:rPr>
    </w:pPr>
    <w:r>
      <w:rPr>
        <w:sz w:val="16"/>
        <w:szCs w:val="16"/>
      </w:rPr>
      <w:t>Site internet 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6BCB" w14:textId="77777777" w:rsidR="008C76AF" w:rsidRDefault="008C76AF" w:rsidP="00FD6043">
      <w:r>
        <w:separator/>
      </w:r>
    </w:p>
  </w:footnote>
  <w:footnote w:type="continuationSeparator" w:id="0">
    <w:p w14:paraId="146DAF19" w14:textId="77777777" w:rsidR="008C76AF" w:rsidRDefault="008C76AF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9176" w14:textId="24B7CD05" w:rsidR="00E24C57" w:rsidRPr="00491E67" w:rsidRDefault="009342FF" w:rsidP="00491E67">
    <w:pPr>
      <w:pStyle w:val="Header"/>
    </w:pPr>
    <w:r w:rsidRPr="00491E67">
      <w:t>CM</w:t>
    </w:r>
    <w:r w:rsidR="00263C5D">
      <w:t>/Inf</w:t>
    </w:r>
    <w:r w:rsidRPr="00491E67">
      <w:t>(</w:t>
    </w:r>
    <w:r w:rsidR="00E81E8B">
      <w:t>2024</w:t>
    </w:r>
    <w:r w:rsidRPr="00491E67">
      <w:t>)</w:t>
    </w:r>
    <w:r w:rsidR="00AD0575">
      <w:t>9</w:t>
    </w:r>
    <w:r w:rsidR="00E15639" w:rsidRPr="00491E67">
      <w:tab/>
    </w:r>
    <w:r w:rsidR="00E15639" w:rsidRPr="00491E67">
      <w:fldChar w:fldCharType="begin"/>
    </w:r>
    <w:r w:rsidR="00E15639" w:rsidRPr="00491E67">
      <w:instrText xml:space="preserve"> PAGE  \* Arabic  \* MERGEFORMAT </w:instrText>
    </w:r>
    <w:r w:rsidR="00E15639" w:rsidRPr="00491E67">
      <w:fldChar w:fldCharType="separate"/>
    </w:r>
    <w:r w:rsidR="00263C5D">
      <w:rPr>
        <w:noProof/>
      </w:rPr>
      <w:t>2</w:t>
    </w:r>
    <w:r w:rsidR="00E15639" w:rsidRPr="00491E6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A467" w14:textId="41FA7173" w:rsidR="00E24C57" w:rsidRPr="00491E67" w:rsidRDefault="00E15639" w:rsidP="00491E67">
    <w:pPr>
      <w:pStyle w:val="Header"/>
    </w:pPr>
    <w:r w:rsidRPr="00491E67">
      <w:tab/>
    </w:r>
    <w:r w:rsidRPr="00491E67">
      <w:fldChar w:fldCharType="begin"/>
    </w:r>
    <w:r w:rsidRPr="00491E67">
      <w:instrText xml:space="preserve"> PAGE  \* Arabic  \* MERGEFORMAT </w:instrText>
    </w:r>
    <w:r w:rsidRPr="00491E67">
      <w:fldChar w:fldCharType="separate"/>
    </w:r>
    <w:r w:rsidR="00263C5D">
      <w:rPr>
        <w:noProof/>
      </w:rPr>
      <w:t>3</w:t>
    </w:r>
    <w:r w:rsidRPr="00491E67">
      <w:fldChar w:fldCharType="end"/>
    </w:r>
    <w:r w:rsidR="00E475F9" w:rsidRPr="00491E67">
      <w:tab/>
    </w:r>
    <w:r w:rsidR="009342FF" w:rsidRPr="00491E67">
      <w:t>CM</w:t>
    </w:r>
    <w:r w:rsidR="00263C5D">
      <w:t>/Inf</w:t>
    </w:r>
    <w:r w:rsidR="009342FF" w:rsidRPr="00491E67">
      <w:t>(</w:t>
    </w:r>
    <w:r w:rsidR="00E81E8B">
      <w:t>2024</w:t>
    </w:r>
    <w:r w:rsidR="000B2E5C">
      <w:t>)9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4593" w14:textId="0A2267AE" w:rsidR="00135BDB" w:rsidRDefault="001E1442" w:rsidP="00123CDD">
    <w:pPr>
      <w:pStyle w:val="Header"/>
      <w:spacing w:after="228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F03BF3" wp14:editId="05B9868C">
          <wp:simplePos x="0" y="0"/>
          <wp:positionH relativeFrom="column">
            <wp:posOffset>-7620</wp:posOffset>
          </wp:positionH>
          <wp:positionV relativeFrom="paragraph">
            <wp:posOffset>102235</wp:posOffset>
          </wp:positionV>
          <wp:extent cx="2552065" cy="1018540"/>
          <wp:effectExtent l="0" t="0" r="635" b="0"/>
          <wp:wrapSquare wrapText="bothSides"/>
          <wp:docPr id="2" name="Picture 2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1E8B">
      <w:rPr>
        <w:noProof/>
      </w:rPr>
      <w:drawing>
        <wp:anchor distT="0" distB="0" distL="114300" distR="114300" simplePos="0" relativeHeight="251658240" behindDoc="1" locked="0" layoutInCell="1" allowOverlap="1" wp14:anchorId="6FC4CD4B" wp14:editId="6C04AE47">
          <wp:simplePos x="0" y="0"/>
          <wp:positionH relativeFrom="column">
            <wp:posOffset>3422650</wp:posOffset>
          </wp:positionH>
          <wp:positionV relativeFrom="paragraph">
            <wp:posOffset>-256540</wp:posOffset>
          </wp:positionV>
          <wp:extent cx="3168000" cy="1728000"/>
          <wp:effectExtent l="0" t="0" r="0" b="0"/>
          <wp:wrapNone/>
          <wp:docPr id="1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0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34278"/>
    <w:multiLevelType w:val="hybridMultilevel"/>
    <w:tmpl w:val="19120E56"/>
    <w:lvl w:ilvl="0" w:tplc="99A4B8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02C2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1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28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9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AD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81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A5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67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9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attachedTemplate r:id="rId1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8B"/>
    <w:rsid w:val="00014195"/>
    <w:rsid w:val="00027B2B"/>
    <w:rsid w:val="00035FDF"/>
    <w:rsid w:val="0006076A"/>
    <w:rsid w:val="00071EA7"/>
    <w:rsid w:val="00072CBD"/>
    <w:rsid w:val="00082CEE"/>
    <w:rsid w:val="000A307B"/>
    <w:rsid w:val="000B2E5C"/>
    <w:rsid w:val="000C52A6"/>
    <w:rsid w:val="000C5E2A"/>
    <w:rsid w:val="000E50A4"/>
    <w:rsid w:val="000F4CF2"/>
    <w:rsid w:val="000F58C3"/>
    <w:rsid w:val="000F5ADA"/>
    <w:rsid w:val="000F708C"/>
    <w:rsid w:val="00106141"/>
    <w:rsid w:val="00110729"/>
    <w:rsid w:val="00113EB0"/>
    <w:rsid w:val="00123CDD"/>
    <w:rsid w:val="00134D9A"/>
    <w:rsid w:val="00135BDB"/>
    <w:rsid w:val="00137BB4"/>
    <w:rsid w:val="0014266D"/>
    <w:rsid w:val="00143F82"/>
    <w:rsid w:val="00147EF4"/>
    <w:rsid w:val="00153BB3"/>
    <w:rsid w:val="00156DC1"/>
    <w:rsid w:val="00160B03"/>
    <w:rsid w:val="00171115"/>
    <w:rsid w:val="00194A07"/>
    <w:rsid w:val="001A6076"/>
    <w:rsid w:val="001B7E0B"/>
    <w:rsid w:val="001E1442"/>
    <w:rsid w:val="001E7C29"/>
    <w:rsid w:val="001F297D"/>
    <w:rsid w:val="001F4F04"/>
    <w:rsid w:val="00214299"/>
    <w:rsid w:val="002250DD"/>
    <w:rsid w:val="0023437D"/>
    <w:rsid w:val="00242ABB"/>
    <w:rsid w:val="00251353"/>
    <w:rsid w:val="00262B36"/>
    <w:rsid w:val="00263C5D"/>
    <w:rsid w:val="00265917"/>
    <w:rsid w:val="002679B5"/>
    <w:rsid w:val="002861FB"/>
    <w:rsid w:val="00293EE6"/>
    <w:rsid w:val="002B1EAE"/>
    <w:rsid w:val="002C0872"/>
    <w:rsid w:val="002C20BA"/>
    <w:rsid w:val="002C43B5"/>
    <w:rsid w:val="002C4704"/>
    <w:rsid w:val="002C7CA8"/>
    <w:rsid w:val="002D0655"/>
    <w:rsid w:val="002D11B8"/>
    <w:rsid w:val="002E4089"/>
    <w:rsid w:val="002F3006"/>
    <w:rsid w:val="002F405C"/>
    <w:rsid w:val="002F6BB7"/>
    <w:rsid w:val="00300B9F"/>
    <w:rsid w:val="00303712"/>
    <w:rsid w:val="003354C4"/>
    <w:rsid w:val="00335CAF"/>
    <w:rsid w:val="003364D1"/>
    <w:rsid w:val="00341D75"/>
    <w:rsid w:val="0037200F"/>
    <w:rsid w:val="00373957"/>
    <w:rsid w:val="00381C50"/>
    <w:rsid w:val="00385587"/>
    <w:rsid w:val="00392D1D"/>
    <w:rsid w:val="00393E7D"/>
    <w:rsid w:val="003A5509"/>
    <w:rsid w:val="003B2C8C"/>
    <w:rsid w:val="003B345B"/>
    <w:rsid w:val="003D3B17"/>
    <w:rsid w:val="003D48AE"/>
    <w:rsid w:val="003D6AC2"/>
    <w:rsid w:val="003F3D4B"/>
    <w:rsid w:val="0040027C"/>
    <w:rsid w:val="00400868"/>
    <w:rsid w:val="004256CB"/>
    <w:rsid w:val="004329B7"/>
    <w:rsid w:val="00443709"/>
    <w:rsid w:val="00447D22"/>
    <w:rsid w:val="004553F6"/>
    <w:rsid w:val="004728F8"/>
    <w:rsid w:val="00480D8B"/>
    <w:rsid w:val="00483207"/>
    <w:rsid w:val="00491E67"/>
    <w:rsid w:val="004A37E1"/>
    <w:rsid w:val="004A5B04"/>
    <w:rsid w:val="004C0C2F"/>
    <w:rsid w:val="004C11B3"/>
    <w:rsid w:val="004D1C0F"/>
    <w:rsid w:val="004F1D8B"/>
    <w:rsid w:val="0050115D"/>
    <w:rsid w:val="0054041B"/>
    <w:rsid w:val="00544F6A"/>
    <w:rsid w:val="00550B6C"/>
    <w:rsid w:val="00574663"/>
    <w:rsid w:val="005B1FA1"/>
    <w:rsid w:val="005B3604"/>
    <w:rsid w:val="005C73BB"/>
    <w:rsid w:val="005D7BB3"/>
    <w:rsid w:val="005D7CDF"/>
    <w:rsid w:val="005F093B"/>
    <w:rsid w:val="005F3DC6"/>
    <w:rsid w:val="00614982"/>
    <w:rsid w:val="00643231"/>
    <w:rsid w:val="00643C3F"/>
    <w:rsid w:val="00644AD3"/>
    <w:rsid w:val="006455FA"/>
    <w:rsid w:val="00671684"/>
    <w:rsid w:val="00671EA2"/>
    <w:rsid w:val="006878D2"/>
    <w:rsid w:val="006908C5"/>
    <w:rsid w:val="006F0318"/>
    <w:rsid w:val="006F6B48"/>
    <w:rsid w:val="00712E65"/>
    <w:rsid w:val="007150DE"/>
    <w:rsid w:val="00735569"/>
    <w:rsid w:val="00761627"/>
    <w:rsid w:val="00773CFE"/>
    <w:rsid w:val="007A543D"/>
    <w:rsid w:val="007B3DD0"/>
    <w:rsid w:val="007C0AD1"/>
    <w:rsid w:val="007D525B"/>
    <w:rsid w:val="007D7B20"/>
    <w:rsid w:val="007E168C"/>
    <w:rsid w:val="007F6C46"/>
    <w:rsid w:val="00800A19"/>
    <w:rsid w:val="008042E6"/>
    <w:rsid w:val="00805F04"/>
    <w:rsid w:val="00810D5A"/>
    <w:rsid w:val="00814AA2"/>
    <w:rsid w:val="0082394F"/>
    <w:rsid w:val="00853C90"/>
    <w:rsid w:val="008575F2"/>
    <w:rsid w:val="0087380A"/>
    <w:rsid w:val="008A5245"/>
    <w:rsid w:val="008B07D4"/>
    <w:rsid w:val="008C12CC"/>
    <w:rsid w:val="008C76AF"/>
    <w:rsid w:val="00915AB1"/>
    <w:rsid w:val="00916BF5"/>
    <w:rsid w:val="009215B8"/>
    <w:rsid w:val="00923554"/>
    <w:rsid w:val="00925AEB"/>
    <w:rsid w:val="009270C4"/>
    <w:rsid w:val="009342FF"/>
    <w:rsid w:val="00940F14"/>
    <w:rsid w:val="00950D67"/>
    <w:rsid w:val="009527D7"/>
    <w:rsid w:val="00955512"/>
    <w:rsid w:val="00963962"/>
    <w:rsid w:val="00974C41"/>
    <w:rsid w:val="00977B4E"/>
    <w:rsid w:val="00990722"/>
    <w:rsid w:val="009B3AB7"/>
    <w:rsid w:val="009C5258"/>
    <w:rsid w:val="009D28F3"/>
    <w:rsid w:val="009D28F7"/>
    <w:rsid w:val="009D6969"/>
    <w:rsid w:val="00A12DEC"/>
    <w:rsid w:val="00A13FA3"/>
    <w:rsid w:val="00A161B3"/>
    <w:rsid w:val="00A22D53"/>
    <w:rsid w:val="00A22D95"/>
    <w:rsid w:val="00A474E5"/>
    <w:rsid w:val="00A842D4"/>
    <w:rsid w:val="00A93CA3"/>
    <w:rsid w:val="00AB6552"/>
    <w:rsid w:val="00AB67F8"/>
    <w:rsid w:val="00AB7727"/>
    <w:rsid w:val="00AC73AA"/>
    <w:rsid w:val="00AD0575"/>
    <w:rsid w:val="00AE76B8"/>
    <w:rsid w:val="00B06133"/>
    <w:rsid w:val="00B129D8"/>
    <w:rsid w:val="00B162DC"/>
    <w:rsid w:val="00B227AE"/>
    <w:rsid w:val="00B41B03"/>
    <w:rsid w:val="00B41EC3"/>
    <w:rsid w:val="00B509CE"/>
    <w:rsid w:val="00B63F08"/>
    <w:rsid w:val="00B81BAC"/>
    <w:rsid w:val="00B830E3"/>
    <w:rsid w:val="00B849E0"/>
    <w:rsid w:val="00B90246"/>
    <w:rsid w:val="00B90F0D"/>
    <w:rsid w:val="00B920E4"/>
    <w:rsid w:val="00BA79A3"/>
    <w:rsid w:val="00BB7DCE"/>
    <w:rsid w:val="00BD25C0"/>
    <w:rsid w:val="00C049EE"/>
    <w:rsid w:val="00C109FD"/>
    <w:rsid w:val="00C14C2C"/>
    <w:rsid w:val="00C409C2"/>
    <w:rsid w:val="00C63C08"/>
    <w:rsid w:val="00C66D85"/>
    <w:rsid w:val="00C74E6F"/>
    <w:rsid w:val="00C8348A"/>
    <w:rsid w:val="00C92F89"/>
    <w:rsid w:val="00CC39DC"/>
    <w:rsid w:val="00CE1FF8"/>
    <w:rsid w:val="00CE4890"/>
    <w:rsid w:val="00CE626B"/>
    <w:rsid w:val="00CE6FD2"/>
    <w:rsid w:val="00D0182E"/>
    <w:rsid w:val="00D0265B"/>
    <w:rsid w:val="00D24A57"/>
    <w:rsid w:val="00D53526"/>
    <w:rsid w:val="00D554E6"/>
    <w:rsid w:val="00D70628"/>
    <w:rsid w:val="00DA7643"/>
    <w:rsid w:val="00DB029C"/>
    <w:rsid w:val="00DC162E"/>
    <w:rsid w:val="00DC4A39"/>
    <w:rsid w:val="00DE0A21"/>
    <w:rsid w:val="00DF6796"/>
    <w:rsid w:val="00E125C6"/>
    <w:rsid w:val="00E15028"/>
    <w:rsid w:val="00E15639"/>
    <w:rsid w:val="00E1656D"/>
    <w:rsid w:val="00E173B5"/>
    <w:rsid w:val="00E24C57"/>
    <w:rsid w:val="00E475F9"/>
    <w:rsid w:val="00E50974"/>
    <w:rsid w:val="00E81E8B"/>
    <w:rsid w:val="00E86611"/>
    <w:rsid w:val="00E940BF"/>
    <w:rsid w:val="00EA35F6"/>
    <w:rsid w:val="00EA643A"/>
    <w:rsid w:val="00EE333A"/>
    <w:rsid w:val="00EE34E3"/>
    <w:rsid w:val="00EF0BE4"/>
    <w:rsid w:val="00EF118B"/>
    <w:rsid w:val="00EF6E01"/>
    <w:rsid w:val="00F01885"/>
    <w:rsid w:val="00F168A4"/>
    <w:rsid w:val="00F2380B"/>
    <w:rsid w:val="00F24713"/>
    <w:rsid w:val="00F34453"/>
    <w:rsid w:val="00F40699"/>
    <w:rsid w:val="00F40B8D"/>
    <w:rsid w:val="00F433D6"/>
    <w:rsid w:val="00F61D34"/>
    <w:rsid w:val="00F76BBD"/>
    <w:rsid w:val="00F96689"/>
    <w:rsid w:val="00FD6043"/>
    <w:rsid w:val="00FF2641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0E215"/>
  <w15:docId w15:val="{57BC3F3B-44BC-4DBB-9AF3-94E73BF8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28F8"/>
    <w:rPr>
      <w:rFonts w:ascii="Arial" w:hAnsi="Arial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BB4"/>
    <w:pPr>
      <w:tabs>
        <w:tab w:val="center" w:pos="4961"/>
        <w:tab w:val="right" w:pos="9923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137BB4"/>
    <w:rPr>
      <w:rFonts w:ascii="Arial" w:hAnsi="Arial"/>
      <w:sz w:val="18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5245"/>
    <w:pPr>
      <w:ind w:left="720"/>
      <w:contextualSpacing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41D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fr/web/portal/-/human-rights-camera-action-council-of-europe-launches-photo-and-video-competition-for-young-europea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dson_t\ND%20Office%20Echo\DE-RNFVGD8I\F_CMInf-Template-2024%202768-5100-5961%20v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9AA2736-25F4-4132-9E1B-F3805220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F_CMInf-Template-2024 2768-5100-5961 v.1.dotx</Template>
  <TotalTime>21</TotalTime>
  <Pages>3</Pages>
  <Words>1445</Words>
  <Characters>7951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9378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Tracey</dc:creator>
  <cp:lastModifiedBy>Christine HATTERSLEY</cp:lastModifiedBy>
  <cp:revision>15</cp:revision>
  <cp:lastPrinted>2016-03-16T18:37:00Z</cp:lastPrinted>
  <dcterms:created xsi:type="dcterms:W3CDTF">2024-05-14T08:24:00Z</dcterms:created>
  <dcterms:modified xsi:type="dcterms:W3CDTF">2024-05-16T08:08:00Z</dcterms:modified>
</cp:coreProperties>
</file>