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7AA8B5FD" w14:textId="77777777" w:rsidTr="00491E67">
        <w:trPr>
          <w:trHeight w:val="737"/>
        </w:trPr>
        <w:tc>
          <w:tcPr>
            <w:tcW w:w="1250" w:type="pct"/>
            <w:shd w:val="clear" w:color="auto" w:fill="auto"/>
            <w:vAlign w:val="center"/>
          </w:tcPr>
          <w:p w14:paraId="41148DEA"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4C9517B5"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0EBB6275" w14:textId="6382C56E" w:rsidR="002D11B8" w:rsidRPr="00E25D07" w:rsidRDefault="00E25D07" w:rsidP="00491E67">
            <w:pPr>
              <w:ind w:left="-40"/>
              <w:jc w:val="center"/>
              <w:rPr>
                <w:rFonts w:ascii="Arial Narrow" w:hAnsi="Arial Narrow" w:cs="Arial"/>
                <w:b/>
                <w:sz w:val="24"/>
                <w:szCs w:val="24"/>
              </w:rPr>
            </w:pPr>
            <w:proofErr w:type="gramStart"/>
            <w:r w:rsidRPr="00E25D07">
              <w:rPr>
                <w:rFonts w:ascii="Arial Narrow" w:hAnsi="Arial Narrow" w:cs="Calibri"/>
                <w:b/>
                <w:sz w:val="24"/>
                <w:szCs w:val="24"/>
              </w:rPr>
              <w:t>CM(</w:t>
            </w:r>
            <w:proofErr w:type="gramEnd"/>
            <w:r w:rsidRPr="00E25D07">
              <w:rPr>
                <w:rFonts w:ascii="Arial Narrow" w:hAnsi="Arial Narrow" w:cs="Calibri"/>
                <w:b/>
                <w:sz w:val="24"/>
                <w:szCs w:val="24"/>
              </w:rPr>
              <w:t>2024)76</w:t>
            </w:r>
          </w:p>
        </w:tc>
        <w:tc>
          <w:tcPr>
            <w:tcW w:w="1250" w:type="pct"/>
            <w:shd w:val="clear" w:color="auto" w:fill="auto"/>
            <w:vAlign w:val="center"/>
          </w:tcPr>
          <w:p w14:paraId="45BCE4F7" w14:textId="591BD544" w:rsidR="002D11B8" w:rsidRPr="00F96689" w:rsidRDefault="00E25D07" w:rsidP="00491E67">
            <w:pPr>
              <w:jc w:val="right"/>
              <w:rPr>
                <w:rFonts w:ascii="Arial Narrow" w:hAnsi="Arial Narrow" w:cs="Arial"/>
                <w:sz w:val="16"/>
                <w:szCs w:val="16"/>
              </w:rPr>
            </w:pPr>
            <w:r>
              <w:rPr>
                <w:rFonts w:ascii="Arial Narrow" w:hAnsi="Arial Narrow" w:cs="Calibri"/>
                <w:sz w:val="16"/>
                <w:szCs w:val="16"/>
              </w:rPr>
              <w:t>18 avril</w:t>
            </w:r>
            <w:r w:rsidR="002D11B8" w:rsidRPr="00F96689">
              <w:rPr>
                <w:rFonts w:ascii="Arial Narrow" w:hAnsi="Arial Narrow" w:cs="Calibri"/>
                <w:sz w:val="16"/>
                <w:szCs w:val="16"/>
              </w:rPr>
              <w:t xml:space="preserve"> </w:t>
            </w:r>
            <w:r w:rsidR="004942DE">
              <w:rPr>
                <w:rFonts w:ascii="Arial Narrow" w:hAnsi="Arial Narrow" w:cs="Calibri"/>
                <w:sz w:val="16"/>
                <w:szCs w:val="16"/>
              </w:rPr>
              <w:t>2024</w:t>
            </w:r>
          </w:p>
        </w:tc>
      </w:tr>
    </w:tbl>
    <w:p w14:paraId="355A9815"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220A5D4F" w14:textId="77777777" w:rsidTr="00491E67">
        <w:tc>
          <w:tcPr>
            <w:tcW w:w="9399" w:type="dxa"/>
            <w:shd w:val="clear" w:color="auto" w:fill="auto"/>
            <w:tcMar>
              <w:top w:w="227" w:type="dxa"/>
              <w:bottom w:w="227" w:type="dxa"/>
            </w:tcMar>
            <w:vAlign w:val="center"/>
          </w:tcPr>
          <w:p w14:paraId="4417118E" w14:textId="3BFF33E7" w:rsidR="0037200F" w:rsidRPr="00BB0936" w:rsidRDefault="00285888" w:rsidP="00285888">
            <w:pPr>
              <w:widowControl w:val="0"/>
              <w:autoSpaceDE w:val="0"/>
              <w:autoSpaceDN w:val="0"/>
              <w:adjustRightInd w:val="0"/>
              <w:rPr>
                <w:rFonts w:ascii="Arial Narrow" w:hAnsi="Arial Narrow" w:cs="Calibri"/>
                <w:sz w:val="22"/>
              </w:rPr>
            </w:pPr>
            <w:proofErr w:type="spellStart"/>
            <w:r w:rsidRPr="00285888">
              <w:rPr>
                <w:rFonts w:ascii="Arial Narrow" w:hAnsi="Arial Narrow" w:cs="Calibri"/>
                <w:b/>
                <w:bCs/>
                <w:sz w:val="32"/>
                <w:szCs w:val="32"/>
              </w:rPr>
              <w:t>133e</w:t>
            </w:r>
            <w:proofErr w:type="spellEnd"/>
            <w:r w:rsidRPr="00285888">
              <w:rPr>
                <w:rFonts w:ascii="Arial Narrow" w:hAnsi="Arial Narrow" w:cs="Calibri"/>
                <w:b/>
                <w:bCs/>
                <w:sz w:val="32"/>
                <w:szCs w:val="32"/>
              </w:rPr>
              <w:t xml:space="preserve"> Session du Comité des Ministres (Strasbourg, 16-17 mai 2024)</w:t>
            </w:r>
          </w:p>
          <w:p w14:paraId="0A89C906" w14:textId="77777777" w:rsidR="00BB0936" w:rsidRPr="00BB0936" w:rsidRDefault="00BB0936" w:rsidP="00BB0936">
            <w:pPr>
              <w:rPr>
                <w:rFonts w:ascii="Arial Narrow" w:hAnsi="Arial Narrow" w:cs="Calibri"/>
                <w:i/>
                <w:szCs w:val="20"/>
              </w:rPr>
            </w:pPr>
          </w:p>
          <w:p w14:paraId="6C406F1A" w14:textId="18F0E3B2" w:rsidR="00BB0936" w:rsidRDefault="00285888" w:rsidP="004752E1">
            <w:pPr>
              <w:rPr>
                <w:rFonts w:ascii="Arial Narrow" w:hAnsi="Arial Narrow" w:cs="Calibri"/>
                <w:b/>
                <w:sz w:val="28"/>
                <w:szCs w:val="28"/>
              </w:rPr>
            </w:pPr>
            <w:proofErr w:type="spellStart"/>
            <w:r w:rsidRPr="00285888">
              <w:rPr>
                <w:rFonts w:ascii="Arial Narrow" w:hAnsi="Arial Narrow" w:cs="Calibri"/>
                <w:b/>
                <w:sz w:val="28"/>
                <w:szCs w:val="28"/>
              </w:rPr>
              <w:t>4e</w:t>
            </w:r>
            <w:proofErr w:type="spellEnd"/>
            <w:r w:rsidRPr="00285888">
              <w:rPr>
                <w:rFonts w:ascii="Arial Narrow" w:hAnsi="Arial Narrow" w:cs="Calibri"/>
                <w:b/>
                <w:sz w:val="28"/>
                <w:szCs w:val="28"/>
              </w:rPr>
              <w:t xml:space="preserve"> Sommet des chefs d'État et de gouvernement du Conseil de l'Europe (Reykjavík, Islande, 16-17 mai 2023) – Suivi</w:t>
            </w:r>
          </w:p>
          <w:p w14:paraId="2DA60061" w14:textId="555AA2D8" w:rsidR="004752E1" w:rsidRPr="00BB0936" w:rsidRDefault="004752E1" w:rsidP="004752E1">
            <w:pPr>
              <w:rPr>
                <w:rFonts w:ascii="Arial Narrow" w:hAnsi="Arial Narrow" w:cs="Calibri"/>
                <w:bCs/>
                <w:sz w:val="24"/>
                <w:szCs w:val="24"/>
              </w:rPr>
            </w:pPr>
          </w:p>
          <w:p w14:paraId="6D81A7AC" w14:textId="7085118D" w:rsidR="000A307B" w:rsidRPr="00AD0EFC" w:rsidRDefault="004752E1" w:rsidP="00285888">
            <w:pPr>
              <w:rPr>
                <w:rFonts w:ascii="Arial Narrow" w:hAnsi="Arial Narrow" w:cs="Calibri"/>
                <w:b/>
                <w:szCs w:val="20"/>
              </w:rPr>
            </w:pPr>
            <w:r w:rsidRPr="00CC00C4">
              <w:rPr>
                <w:rFonts w:ascii="Arial Narrow" w:hAnsi="Arial Narrow" w:cs="Calibri"/>
                <w:b/>
                <w:sz w:val="24"/>
                <w:szCs w:val="24"/>
              </w:rPr>
              <w:t>Relations du Conseil de l’Europe avec d’autres organisations internationales</w:t>
            </w:r>
          </w:p>
        </w:tc>
      </w:tr>
    </w:tbl>
    <w:p w14:paraId="02AA61DD" w14:textId="77777777" w:rsidR="00491E67" w:rsidRPr="00AD0EFC" w:rsidRDefault="00491E67" w:rsidP="0037200F">
      <w:pPr>
        <w:rPr>
          <w:rFonts w:eastAsia="Times New Roman"/>
          <w:szCs w:val="24"/>
        </w:rPr>
      </w:pPr>
      <w:r w:rsidRPr="00AD0EFC">
        <w:rPr>
          <w:rFonts w:eastAsia="Times New Roman"/>
          <w:szCs w:val="24"/>
        </w:rPr>
        <w:t xml:space="preserve"> </w:t>
      </w:r>
    </w:p>
    <w:p w14:paraId="32E7E484" w14:textId="7DB9A12C" w:rsidR="004752E1" w:rsidRPr="00970AF1" w:rsidRDefault="00491E67" w:rsidP="004752E1">
      <w:pPr>
        <w:rPr>
          <w:rFonts w:eastAsia="MS Mincho" w:cs="Arial"/>
          <w:szCs w:val="20"/>
          <w:lang w:eastAsia="ja-JP"/>
        </w:rPr>
      </w:pPr>
      <w:r w:rsidRPr="00AD0EFC">
        <w:rPr>
          <w:rFonts w:eastAsia="Times New Roman"/>
          <w:szCs w:val="24"/>
        </w:rPr>
        <w:t xml:space="preserve"> </w:t>
      </w:r>
      <w:r w:rsidR="004752E1" w:rsidRPr="00970AF1">
        <w:rPr>
          <w:rFonts w:eastAsia="MS Mincho" w:cs="Arial"/>
          <w:b/>
          <w:bCs/>
          <w:szCs w:val="20"/>
          <w:lang w:eastAsia="ja-JP"/>
        </w:rPr>
        <w:t>Introduction</w:t>
      </w:r>
    </w:p>
    <w:p w14:paraId="05366C21" w14:textId="77777777" w:rsidR="004752E1" w:rsidRPr="00970AF1" w:rsidRDefault="004752E1" w:rsidP="004752E1">
      <w:pPr>
        <w:autoSpaceDE w:val="0"/>
        <w:autoSpaceDN w:val="0"/>
        <w:adjustRightInd w:val="0"/>
        <w:rPr>
          <w:rFonts w:cs="Arial"/>
          <w:szCs w:val="20"/>
        </w:rPr>
      </w:pPr>
    </w:p>
    <w:p w14:paraId="13DEEF1B" w14:textId="77777777" w:rsidR="004752E1" w:rsidRPr="00970AF1" w:rsidRDefault="004752E1" w:rsidP="004752E1">
      <w:pPr>
        <w:autoSpaceDE w:val="0"/>
        <w:autoSpaceDN w:val="0"/>
        <w:adjustRightInd w:val="0"/>
        <w:rPr>
          <w:rFonts w:eastAsia="Times New Roman" w:cs="Arial"/>
          <w:bCs/>
          <w:szCs w:val="20"/>
          <w:lang w:eastAsia="fr-FR"/>
        </w:rPr>
      </w:pPr>
      <w:r w:rsidRPr="00970AF1">
        <w:rPr>
          <w:rFonts w:eastAsia="Times New Roman" w:cs="Arial"/>
          <w:bCs/>
          <w:szCs w:val="20"/>
          <w:lang w:eastAsia="fr-FR"/>
        </w:rPr>
        <w:t>Le Conseil de l'Europe (CdE) entretient des relations avec une centaine d’organisations et entités internationales qui ont, pour la plupart, été formalisées par un document de coopération.</w:t>
      </w:r>
      <w:r w:rsidRPr="00970AF1">
        <w:rPr>
          <w:rFonts w:eastAsia="Times New Roman" w:cs="Arial"/>
          <w:bCs/>
          <w:szCs w:val="20"/>
          <w:vertAlign w:val="superscript"/>
          <w:lang w:eastAsia="fr-FR"/>
        </w:rPr>
        <w:footnoteReference w:id="1"/>
      </w:r>
      <w:r w:rsidRPr="00970AF1">
        <w:rPr>
          <w:rFonts w:eastAsia="Times New Roman" w:cs="Arial"/>
          <w:bCs/>
          <w:szCs w:val="20"/>
          <w:lang w:eastAsia="fr-FR"/>
        </w:rPr>
        <w:t xml:space="preserve"> Par ailleurs, le CdE est en contact, sur une base </w:t>
      </w:r>
      <w:r w:rsidRPr="00970AF1">
        <w:rPr>
          <w:rFonts w:eastAsia="Times New Roman" w:cs="Arial"/>
          <w:bCs/>
          <w:i/>
          <w:iCs/>
          <w:szCs w:val="20"/>
          <w:lang w:eastAsia="fr-FR"/>
        </w:rPr>
        <w:t>ad hoc</w:t>
      </w:r>
      <w:r w:rsidRPr="00970AF1">
        <w:rPr>
          <w:rFonts w:eastAsia="Times New Roman" w:cs="Arial"/>
          <w:bCs/>
          <w:szCs w:val="20"/>
          <w:lang w:eastAsia="fr-FR"/>
        </w:rPr>
        <w:t>, avec plusieurs autres organisations internationales actives dans les domaines des droits humains, de la démocratie et de l’État de droit (voir ci-dessous).</w:t>
      </w:r>
    </w:p>
    <w:p w14:paraId="6A878C5D" w14:textId="77777777" w:rsidR="004752E1" w:rsidRPr="00970AF1" w:rsidRDefault="004752E1" w:rsidP="004752E1">
      <w:pPr>
        <w:autoSpaceDE w:val="0"/>
        <w:autoSpaceDN w:val="0"/>
        <w:adjustRightInd w:val="0"/>
        <w:rPr>
          <w:rFonts w:eastAsia="Times New Roman" w:cs="Arial"/>
          <w:bCs/>
          <w:szCs w:val="20"/>
          <w:lang w:eastAsia="fr-FR"/>
        </w:rPr>
      </w:pPr>
    </w:p>
    <w:p w14:paraId="6D20B668" w14:textId="77777777" w:rsidR="004752E1" w:rsidRPr="00970AF1" w:rsidRDefault="004752E1" w:rsidP="004752E1">
      <w:pPr>
        <w:autoSpaceDE w:val="0"/>
        <w:autoSpaceDN w:val="0"/>
        <w:adjustRightInd w:val="0"/>
        <w:rPr>
          <w:rFonts w:cs="Arial"/>
          <w:szCs w:val="20"/>
        </w:rPr>
      </w:pPr>
      <w:r w:rsidRPr="00970AF1">
        <w:rPr>
          <w:rFonts w:eastAsia="Times New Roman" w:cs="Arial"/>
          <w:bCs/>
          <w:szCs w:val="20"/>
          <w:lang w:eastAsia="fr-FR"/>
        </w:rPr>
        <w:t xml:space="preserve">Face aux </w:t>
      </w:r>
      <w:r w:rsidRPr="00970AF1">
        <w:rPr>
          <w:rFonts w:eastAsia="Times New Roman" w:cs="Arial"/>
          <w:b/>
          <w:szCs w:val="20"/>
          <w:lang w:eastAsia="fr-FR"/>
        </w:rPr>
        <w:t>défis sans précédent</w:t>
      </w:r>
      <w:r w:rsidRPr="00970AF1">
        <w:rPr>
          <w:rFonts w:eastAsia="Times New Roman" w:cs="Arial"/>
          <w:bCs/>
          <w:szCs w:val="20"/>
          <w:lang w:eastAsia="fr-FR"/>
        </w:rPr>
        <w:t xml:space="preserve"> auxquels l’Europe et le </w:t>
      </w:r>
      <w:r w:rsidRPr="00970AF1">
        <w:rPr>
          <w:rFonts w:eastAsia="Times New Roman" w:cs="Arial"/>
          <w:b/>
          <w:szCs w:val="20"/>
          <w:lang w:eastAsia="fr-FR"/>
        </w:rPr>
        <w:t>multilatéralisme</w:t>
      </w:r>
      <w:r w:rsidRPr="00970AF1">
        <w:rPr>
          <w:rFonts w:eastAsia="Times New Roman" w:cs="Arial"/>
          <w:bCs/>
          <w:szCs w:val="20"/>
          <w:lang w:eastAsia="fr-FR"/>
        </w:rPr>
        <w:t xml:space="preserve"> sont confrontés, la contribution de l’Organisation à l’ordre international et à la gouvernance mondiale – dans ses dimensions européenne et extérieure - est plus nécessaire que jamais. Concernant le multilatéralisme et les relations du CdE avec les autres organisations internationales, les chefs d'État et de gouvernement ont estimé, dans leur</w:t>
      </w:r>
      <w:r w:rsidRPr="00970AF1">
        <w:rPr>
          <w:rFonts w:cs="Arial"/>
          <w:szCs w:val="20"/>
        </w:rPr>
        <w:t xml:space="preserve"> Déclaration de Reykjavík de </w:t>
      </w:r>
      <w:r w:rsidRPr="00970AF1">
        <w:rPr>
          <w:rFonts w:eastAsia="Times New Roman" w:cs="Arial"/>
          <w:bCs/>
          <w:szCs w:val="20"/>
          <w:lang w:eastAsia="fr-FR"/>
        </w:rPr>
        <w:t>mai 2023, que</w:t>
      </w:r>
      <w:r w:rsidRPr="00970AF1">
        <w:rPr>
          <w:rFonts w:cs="Arial"/>
          <w:szCs w:val="20"/>
        </w:rPr>
        <w:t xml:space="preserve"> (</w:t>
      </w:r>
      <w:r w:rsidRPr="00970AF1">
        <w:rPr>
          <w:rFonts w:cs="Arial"/>
          <w:i/>
          <w:iCs/>
          <w:szCs w:val="20"/>
        </w:rPr>
        <w:t>caractères gras ajoutés</w:t>
      </w:r>
      <w:r w:rsidRPr="00970AF1">
        <w:rPr>
          <w:rFonts w:cs="Arial"/>
          <w:szCs w:val="20"/>
        </w:rPr>
        <w:t>) :</w:t>
      </w:r>
    </w:p>
    <w:p w14:paraId="1B029FD5" w14:textId="77777777" w:rsidR="004752E1" w:rsidRPr="00970AF1" w:rsidRDefault="004752E1" w:rsidP="004752E1">
      <w:pPr>
        <w:autoSpaceDE w:val="0"/>
        <w:autoSpaceDN w:val="0"/>
        <w:adjustRightInd w:val="0"/>
        <w:ind w:firstLine="709"/>
        <w:rPr>
          <w:rFonts w:cs="Arial"/>
          <w:i/>
          <w:iCs/>
          <w:szCs w:val="20"/>
        </w:rPr>
      </w:pPr>
    </w:p>
    <w:p w14:paraId="4EBA5F28" w14:textId="77777777" w:rsidR="004752E1" w:rsidRPr="00970AF1" w:rsidRDefault="004752E1" w:rsidP="004752E1">
      <w:pPr>
        <w:autoSpaceDE w:val="0"/>
        <w:autoSpaceDN w:val="0"/>
        <w:adjustRightInd w:val="0"/>
        <w:ind w:left="709"/>
        <w:rPr>
          <w:rFonts w:cs="Arial"/>
          <w:szCs w:val="20"/>
        </w:rPr>
      </w:pPr>
      <w:r w:rsidRPr="00970AF1">
        <w:rPr>
          <w:rFonts w:cs="Arial"/>
          <w:szCs w:val="20"/>
        </w:rPr>
        <w:t xml:space="preserve">« La guerre d’agression de la Russie contre l’Ukraine nous a obligés à réévaluer la manière dont nous pouvons répondre au mieux aux défis auxquels nous sommes confrontés dans le cadre de l’architecture multilatérale de l’Europe et de l’ordre international fondé sur des règles. Nous nous engageons donc à renforcer le rôle du Conseil de l’Europe dans l’architecture multilatérale européenne en évolution et dans la gouvernance mondiale </w:t>
      </w:r>
      <w:r w:rsidRPr="00970AF1">
        <w:rPr>
          <w:rFonts w:cs="Arial"/>
          <w:b/>
          <w:bCs/>
          <w:szCs w:val="20"/>
        </w:rPr>
        <w:t xml:space="preserve">en améliorant sa dimension extérieure </w:t>
      </w:r>
      <w:r w:rsidRPr="00970AF1">
        <w:rPr>
          <w:rFonts w:cs="Arial"/>
          <w:szCs w:val="20"/>
        </w:rPr>
        <w:t>[…].</w:t>
      </w:r>
    </w:p>
    <w:p w14:paraId="5EE164E2" w14:textId="77777777" w:rsidR="004752E1" w:rsidRPr="00970AF1" w:rsidRDefault="004752E1" w:rsidP="004752E1">
      <w:pPr>
        <w:autoSpaceDE w:val="0"/>
        <w:autoSpaceDN w:val="0"/>
        <w:adjustRightInd w:val="0"/>
        <w:ind w:left="709"/>
        <w:rPr>
          <w:rFonts w:cs="Arial"/>
          <w:szCs w:val="20"/>
        </w:rPr>
      </w:pPr>
    </w:p>
    <w:p w14:paraId="07E82CC3" w14:textId="77777777" w:rsidR="004752E1" w:rsidRPr="00970AF1" w:rsidRDefault="004752E1" w:rsidP="004752E1">
      <w:pPr>
        <w:ind w:left="709"/>
        <w:rPr>
          <w:rFonts w:eastAsia="MS Mincho" w:cs="Arial"/>
          <w:szCs w:val="20"/>
          <w:lang w:eastAsia="ja-JP"/>
        </w:rPr>
      </w:pPr>
      <w:r w:rsidRPr="00970AF1">
        <w:rPr>
          <w:rFonts w:eastAsia="MS Mincho" w:cs="Arial"/>
          <w:b/>
          <w:bCs/>
          <w:szCs w:val="20"/>
          <w:lang w:eastAsia="ja-JP"/>
        </w:rPr>
        <w:t>L’Union européenne</w:t>
      </w:r>
      <w:r w:rsidRPr="00970AF1">
        <w:rPr>
          <w:rFonts w:eastAsia="MS Mincho" w:cs="Arial"/>
          <w:szCs w:val="20"/>
          <w:lang w:eastAsia="ja-JP"/>
        </w:rPr>
        <w:t xml:space="preserve"> est le principal partenaire institutionnel du Conseil de l’Europe sur les plans politique, juridique et financier. Nous soulignons l’importance des programmes conjoints entre l’Union européenne et le Conseil de l’Europe en tant qu’expression clé de ce partenariat stratégique et de l’engagement mutuel à promouvoir des valeurs communes. Nous nous félicitons de l’accord provisoire unanime sur les projets d’instruments d’adhésion révisés, qui constitue une avancée importante dans le processus d’adhésion de l’Union européenne à la Convention, et nous exprimons notre engagement en faveur de son adoption dans les meilleurs délais. Cela placera les relations entre le Conseil de l’Europe et l’Union européenne sur la voie d’une coopération renforcée. Nous appelons à un renforcement du dialogue politique avec </w:t>
      </w:r>
      <w:r w:rsidRPr="00970AF1">
        <w:rPr>
          <w:rFonts w:eastAsia="MS Mincho" w:cs="Arial"/>
          <w:b/>
          <w:bCs/>
          <w:szCs w:val="20"/>
          <w:lang w:eastAsia="ja-JP"/>
        </w:rPr>
        <w:t>d’autres organisations internationales</w:t>
      </w:r>
      <w:r w:rsidRPr="00970AF1">
        <w:rPr>
          <w:rFonts w:eastAsia="MS Mincho" w:cs="Arial"/>
          <w:szCs w:val="20"/>
          <w:lang w:eastAsia="ja-JP"/>
        </w:rPr>
        <w:t xml:space="preserve">, notamment </w:t>
      </w:r>
      <w:r w:rsidRPr="00970AF1">
        <w:rPr>
          <w:rFonts w:eastAsia="MS Mincho" w:cs="Arial"/>
          <w:b/>
          <w:bCs/>
          <w:szCs w:val="20"/>
          <w:lang w:eastAsia="ja-JP"/>
        </w:rPr>
        <w:t>l’ONU et l’OSCE, afin de renforcer le partenariat</w:t>
      </w:r>
      <w:r w:rsidRPr="00970AF1">
        <w:rPr>
          <w:rFonts w:eastAsia="MS Mincho" w:cs="Arial"/>
          <w:szCs w:val="20"/>
          <w:lang w:eastAsia="ja-JP"/>
        </w:rPr>
        <w:t xml:space="preserve"> entre ces organisations et le Conseil de l’Europe. </w:t>
      </w:r>
    </w:p>
    <w:p w14:paraId="7109F593" w14:textId="77777777" w:rsidR="004752E1" w:rsidRPr="00970AF1" w:rsidRDefault="004752E1" w:rsidP="004752E1">
      <w:pPr>
        <w:ind w:left="709"/>
        <w:rPr>
          <w:rFonts w:eastAsia="MS Mincho" w:cs="Arial"/>
          <w:szCs w:val="20"/>
          <w:lang w:eastAsia="ja-JP"/>
        </w:rPr>
      </w:pPr>
      <w:r w:rsidRPr="00970AF1">
        <w:rPr>
          <w:rFonts w:eastAsia="MS Mincho" w:cs="Arial"/>
          <w:szCs w:val="20"/>
          <w:lang w:eastAsia="ja-JP"/>
        </w:rPr>
        <w:t>Nous pensons que de nouvelles synergies sont possibles, notamment en ce qui concerne la mise en œuvre des Objectifs de développement durable (ODD) de l’ONU, et soulignons la nécessité d’éviter les doubles emplois et d’éventuelles normes concurrentes. » […]</w:t>
      </w:r>
      <w:r w:rsidRPr="00970AF1">
        <w:rPr>
          <w:rFonts w:eastAsia="MS Mincho" w:cs="Arial"/>
          <w:szCs w:val="20"/>
          <w:vertAlign w:val="superscript"/>
          <w:lang w:eastAsia="ja-JP"/>
        </w:rPr>
        <w:footnoteReference w:id="2"/>
      </w:r>
    </w:p>
    <w:p w14:paraId="261F0635" w14:textId="77777777" w:rsidR="004752E1" w:rsidRPr="00970AF1" w:rsidRDefault="004752E1" w:rsidP="004752E1">
      <w:pPr>
        <w:rPr>
          <w:rFonts w:eastAsia="MS Mincho" w:cs="Arial"/>
          <w:szCs w:val="20"/>
          <w:lang w:eastAsia="ja-JP"/>
        </w:rPr>
      </w:pPr>
    </w:p>
    <w:p w14:paraId="0F3DF832" w14:textId="77777777" w:rsidR="004752E1" w:rsidRPr="00970AF1" w:rsidRDefault="004752E1" w:rsidP="004752E1">
      <w:pPr>
        <w:rPr>
          <w:rFonts w:eastAsia="Times New Roman" w:cs="Arial"/>
          <w:bCs/>
          <w:szCs w:val="20"/>
          <w:lang w:eastAsia="fr-FR"/>
        </w:rPr>
      </w:pPr>
      <w:r w:rsidRPr="00970AF1">
        <w:rPr>
          <w:rFonts w:eastAsia="Times New Roman" w:cs="Arial"/>
          <w:bCs/>
          <w:szCs w:val="20"/>
          <w:lang w:eastAsia="fr-FR"/>
        </w:rPr>
        <w:t>La Déclaration de Reykjavík a réaffirmé l'importance du partenariat stratégique du CdE avec l'UE</w:t>
      </w:r>
      <w:r w:rsidRPr="00970AF1">
        <w:rPr>
          <w:rFonts w:eastAsia="Times New Roman" w:cs="Arial"/>
          <w:bCs/>
          <w:szCs w:val="20"/>
          <w:vertAlign w:val="superscript"/>
          <w:lang w:eastAsia="fr-FR"/>
        </w:rPr>
        <w:footnoteReference w:id="3"/>
      </w:r>
      <w:r w:rsidRPr="00970AF1">
        <w:rPr>
          <w:rFonts w:eastAsia="Times New Roman" w:cs="Arial"/>
          <w:bCs/>
          <w:szCs w:val="20"/>
          <w:lang w:eastAsia="fr-FR"/>
        </w:rPr>
        <w:t xml:space="preserve"> et a notamment appelé à intensifier le dialogue politique avec </w:t>
      </w:r>
      <w:r w:rsidRPr="00970AF1">
        <w:rPr>
          <w:rFonts w:eastAsia="Times New Roman" w:cs="Arial"/>
          <w:b/>
          <w:szCs w:val="20"/>
          <w:lang w:eastAsia="fr-FR"/>
        </w:rPr>
        <w:t>d’autres organisations internationales</w:t>
      </w:r>
      <w:r w:rsidRPr="00970AF1">
        <w:rPr>
          <w:rFonts w:cs="Arial"/>
          <w:szCs w:val="20"/>
        </w:rPr>
        <w:t xml:space="preserve">, y compris </w:t>
      </w:r>
      <w:r w:rsidRPr="00970AF1">
        <w:rPr>
          <w:rFonts w:cs="Arial"/>
          <w:szCs w:val="20"/>
        </w:rPr>
        <w:lastRenderedPageBreak/>
        <w:t xml:space="preserve">l’ONU et l’OSCE. Dans la pratique, elle a donné un </w:t>
      </w:r>
      <w:r w:rsidRPr="00970AF1">
        <w:rPr>
          <w:rFonts w:cs="Arial"/>
          <w:b/>
          <w:bCs/>
          <w:szCs w:val="20"/>
        </w:rPr>
        <w:t>nouvel élan</w:t>
      </w:r>
      <w:r w:rsidRPr="00970AF1">
        <w:rPr>
          <w:rFonts w:cs="Arial"/>
          <w:szCs w:val="20"/>
        </w:rPr>
        <w:t xml:space="preserve"> et suscité une meilleure </w:t>
      </w:r>
      <w:r w:rsidRPr="00970AF1">
        <w:rPr>
          <w:rFonts w:cs="Arial"/>
          <w:b/>
          <w:bCs/>
          <w:szCs w:val="20"/>
        </w:rPr>
        <w:t>approche stratégique</w:t>
      </w:r>
      <w:r w:rsidRPr="00970AF1">
        <w:rPr>
          <w:rFonts w:cs="Arial"/>
          <w:szCs w:val="20"/>
        </w:rPr>
        <w:t xml:space="preserve"> des </w:t>
      </w:r>
      <w:r w:rsidRPr="00970AF1">
        <w:rPr>
          <w:rFonts w:eastAsia="Times New Roman" w:cs="Arial"/>
          <w:bCs/>
          <w:szCs w:val="20"/>
          <w:lang w:eastAsia="fr-FR"/>
        </w:rPr>
        <w:t>relations du CdE avec les autres organisations internationales.</w:t>
      </w:r>
    </w:p>
    <w:p w14:paraId="576760F1" w14:textId="77777777" w:rsidR="004752E1" w:rsidRPr="00970AF1" w:rsidRDefault="004752E1" w:rsidP="004752E1">
      <w:pPr>
        <w:rPr>
          <w:rFonts w:eastAsia="Times New Roman" w:cs="Arial"/>
          <w:bCs/>
          <w:szCs w:val="20"/>
          <w:lang w:eastAsia="fr-FR"/>
        </w:rPr>
      </w:pPr>
    </w:p>
    <w:p w14:paraId="33FEE208" w14:textId="77777777" w:rsidR="004752E1" w:rsidRPr="00970AF1" w:rsidRDefault="004752E1" w:rsidP="004752E1">
      <w:pPr>
        <w:rPr>
          <w:rFonts w:cs="Arial"/>
          <w:szCs w:val="20"/>
        </w:rPr>
      </w:pPr>
      <w:r w:rsidRPr="00970AF1">
        <w:rPr>
          <w:rFonts w:cs="Arial"/>
          <w:szCs w:val="20"/>
        </w:rPr>
        <w:t xml:space="preserve">La période couverte par le rapport, depuis mai 2023, est restée marquée par de </w:t>
      </w:r>
      <w:r w:rsidRPr="00970AF1">
        <w:rPr>
          <w:rFonts w:cs="Arial"/>
          <w:b/>
          <w:bCs/>
          <w:szCs w:val="20"/>
        </w:rPr>
        <w:t>profonds défis</w:t>
      </w:r>
      <w:r w:rsidRPr="00970AF1">
        <w:rPr>
          <w:rFonts w:cs="Arial"/>
          <w:szCs w:val="20"/>
        </w:rPr>
        <w:t xml:space="preserve">, d’abord et avant tout, l'agression de la Fédération de Russie contre l'Ukraine et ses conséquences profondes. Le dialogue avec les autres organisations internationales a donc porté en priorité sur ces défis et sur les questions pertinentes couvertes par la </w:t>
      </w:r>
      <w:r w:rsidRPr="00970AF1">
        <w:rPr>
          <w:rFonts w:eastAsia="Times New Roman" w:cs="Arial"/>
          <w:b/>
          <w:bCs/>
          <w:szCs w:val="20"/>
        </w:rPr>
        <w:t>Déclaration de Reykjavík</w:t>
      </w:r>
      <w:r w:rsidRPr="00970AF1">
        <w:rPr>
          <w:rFonts w:cs="Arial"/>
          <w:szCs w:val="20"/>
        </w:rPr>
        <w:t xml:space="preserve">, comme le soutien à </w:t>
      </w:r>
      <w:r w:rsidRPr="00970AF1">
        <w:rPr>
          <w:rFonts w:cs="Arial"/>
          <w:b/>
          <w:bCs/>
          <w:szCs w:val="20"/>
        </w:rPr>
        <w:t>l'Ukraine et la responsabilité</w:t>
      </w:r>
      <w:r w:rsidRPr="00970AF1">
        <w:rPr>
          <w:rFonts w:cs="Arial"/>
          <w:szCs w:val="20"/>
        </w:rPr>
        <w:t xml:space="preserve"> pour les crimes commis par la Fédération de Russie</w:t>
      </w:r>
      <w:r w:rsidRPr="00970AF1">
        <w:rPr>
          <w:rFonts w:cs="Arial"/>
          <w:szCs w:val="20"/>
          <w:shd w:val="clear" w:color="auto" w:fill="FFFFFF"/>
        </w:rPr>
        <w:t>.</w:t>
      </w:r>
      <w:r w:rsidRPr="00970AF1">
        <w:rPr>
          <w:rFonts w:cs="Arial"/>
          <w:szCs w:val="20"/>
        </w:rPr>
        <w:t xml:space="preserve"> </w:t>
      </w:r>
      <w:r w:rsidRPr="00970AF1">
        <w:rPr>
          <w:rFonts w:cs="Arial"/>
          <w:szCs w:val="20"/>
          <w:shd w:val="clear" w:color="auto" w:fill="FFFFFF"/>
        </w:rPr>
        <w:t xml:space="preserve">Dans ce </w:t>
      </w:r>
      <w:r w:rsidRPr="00970AF1">
        <w:rPr>
          <w:rFonts w:cs="Arial"/>
          <w:szCs w:val="20"/>
        </w:rPr>
        <w:t xml:space="preserve">contexte, le </w:t>
      </w:r>
      <w:r w:rsidRPr="00970AF1">
        <w:rPr>
          <w:rFonts w:cs="Arial"/>
          <w:b/>
          <w:bCs/>
          <w:szCs w:val="20"/>
        </w:rPr>
        <w:t>travail de</w:t>
      </w:r>
      <w:r w:rsidRPr="00970AF1">
        <w:rPr>
          <w:rFonts w:cs="Arial"/>
          <w:szCs w:val="20"/>
        </w:rPr>
        <w:t xml:space="preserve"> </w:t>
      </w:r>
      <w:r w:rsidRPr="00970AF1">
        <w:rPr>
          <w:rFonts w:cs="Arial"/>
          <w:b/>
          <w:bCs/>
          <w:szCs w:val="20"/>
        </w:rPr>
        <w:t>rayonnement extérieur</w:t>
      </w:r>
      <w:r w:rsidRPr="00970AF1">
        <w:rPr>
          <w:rFonts w:cs="Arial"/>
          <w:szCs w:val="20"/>
        </w:rPr>
        <w:t xml:space="preserve"> </w:t>
      </w:r>
      <w:r w:rsidRPr="00970AF1">
        <w:rPr>
          <w:rFonts w:eastAsia="Times New Roman" w:cs="Arial"/>
          <w:bCs/>
          <w:szCs w:val="20"/>
          <w:lang w:eastAsia="fr-FR"/>
        </w:rPr>
        <w:t>s’est concentré sur l'Accord partiel élargi sur le Registre des dommages causés par l'agression de la Fédération de Russie contre l'Ukraine</w:t>
      </w:r>
      <w:r w:rsidRPr="00970AF1">
        <w:rPr>
          <w:rFonts w:cs="Arial"/>
          <w:szCs w:val="20"/>
        </w:rPr>
        <w:t xml:space="preserve"> (ci-après « le Registre des dommages » ou « le Registre ») et sur la promotion, au-delà du continent européen, des valeurs et des conventions du CdE ouvertes aux États non-membres (« conventions ouvertes »). </w:t>
      </w:r>
    </w:p>
    <w:p w14:paraId="543216A3" w14:textId="77777777" w:rsidR="004752E1" w:rsidRPr="00970AF1" w:rsidRDefault="004752E1" w:rsidP="004752E1">
      <w:pPr>
        <w:rPr>
          <w:rFonts w:eastAsiaTheme="minorEastAsia" w:cs="Arial"/>
          <w:szCs w:val="20"/>
          <w:lang w:eastAsia="ja-JP"/>
        </w:rPr>
      </w:pPr>
    </w:p>
    <w:p w14:paraId="209B3ADE" w14:textId="77777777" w:rsidR="004752E1" w:rsidRPr="00970AF1" w:rsidRDefault="004752E1" w:rsidP="004752E1">
      <w:pPr>
        <w:rPr>
          <w:rFonts w:eastAsiaTheme="minorEastAsia" w:cs="Arial"/>
          <w:szCs w:val="20"/>
          <w:lang w:eastAsia="ja-JP"/>
        </w:rPr>
      </w:pPr>
      <w:r w:rsidRPr="00970AF1">
        <w:rPr>
          <w:rFonts w:eastAsiaTheme="minorEastAsia" w:cs="Arial"/>
          <w:szCs w:val="20"/>
          <w:lang w:eastAsia="ja-JP"/>
        </w:rPr>
        <w:t xml:space="preserve">Les relations avec les autres organisations internationales se sont développées de manière inégale, sur la base de modalités de coopération existantes qui varient d'une organisation à l'autre et selon la composition et le mandat de chacune. </w:t>
      </w:r>
    </w:p>
    <w:p w14:paraId="7E2E0D58" w14:textId="77777777" w:rsidR="004752E1" w:rsidRPr="00970AF1" w:rsidRDefault="004752E1" w:rsidP="004752E1">
      <w:pPr>
        <w:rPr>
          <w:rFonts w:eastAsiaTheme="minorEastAsia" w:cs="Arial"/>
          <w:szCs w:val="20"/>
          <w:lang w:eastAsia="ja-JP"/>
        </w:rPr>
      </w:pPr>
    </w:p>
    <w:p w14:paraId="47C2D9BC" w14:textId="77777777" w:rsidR="004752E1" w:rsidRPr="00970AF1" w:rsidRDefault="004752E1" w:rsidP="004752E1">
      <w:pPr>
        <w:rPr>
          <w:rFonts w:cs="Arial"/>
          <w:b/>
          <w:bCs/>
          <w:szCs w:val="20"/>
          <w:lang w:eastAsia="fr-FR"/>
        </w:rPr>
      </w:pPr>
      <w:r w:rsidRPr="00970AF1">
        <w:rPr>
          <w:rFonts w:cs="Arial"/>
          <w:szCs w:val="20"/>
          <w:lang w:eastAsia="fr-FR"/>
        </w:rPr>
        <w:t xml:space="preserve">Dans ce contexte, le texte ci-dessous présente les </w:t>
      </w:r>
      <w:r w:rsidRPr="00970AF1">
        <w:rPr>
          <w:rFonts w:cs="Arial"/>
          <w:b/>
          <w:bCs/>
          <w:szCs w:val="20"/>
          <w:lang w:eastAsia="fr-FR"/>
        </w:rPr>
        <w:t>points saillants du dialogue à haut niveau</w:t>
      </w:r>
      <w:r w:rsidRPr="00970AF1">
        <w:rPr>
          <w:rFonts w:cs="Arial"/>
          <w:szCs w:val="20"/>
          <w:lang w:eastAsia="fr-FR"/>
        </w:rPr>
        <w:t xml:space="preserve"> mené après le sommet de </w:t>
      </w:r>
      <w:r w:rsidRPr="00970AF1">
        <w:rPr>
          <w:rFonts w:eastAsia="Times New Roman" w:cs="Arial"/>
          <w:szCs w:val="20"/>
        </w:rPr>
        <w:t xml:space="preserve">Reykjavík, en </w:t>
      </w:r>
      <w:r w:rsidRPr="00970AF1">
        <w:rPr>
          <w:rFonts w:cs="Arial"/>
          <w:szCs w:val="20"/>
          <w:lang w:eastAsia="fr-FR"/>
        </w:rPr>
        <w:t>particulier avec les Nations Unies et l'OSCE, l'</w:t>
      </w:r>
      <w:r w:rsidRPr="00970AF1">
        <w:rPr>
          <w:rFonts w:cs="Arial"/>
          <w:b/>
          <w:bCs/>
          <w:szCs w:val="20"/>
          <w:lang w:eastAsia="fr-FR"/>
        </w:rPr>
        <w:t>évolution actuelle des modalités de coopération</w:t>
      </w:r>
      <w:r w:rsidRPr="00970AF1">
        <w:rPr>
          <w:rFonts w:cs="Arial"/>
          <w:szCs w:val="20"/>
          <w:lang w:eastAsia="fr-FR"/>
        </w:rPr>
        <w:t xml:space="preserve">, des exemples de </w:t>
      </w:r>
      <w:r w:rsidRPr="00970AF1">
        <w:rPr>
          <w:rFonts w:cs="Arial"/>
          <w:b/>
          <w:bCs/>
          <w:szCs w:val="20"/>
          <w:lang w:eastAsia="fr-FR"/>
        </w:rPr>
        <w:t xml:space="preserve">dialogue </w:t>
      </w:r>
      <w:r w:rsidRPr="00970AF1">
        <w:rPr>
          <w:rFonts w:cs="Arial"/>
          <w:szCs w:val="20"/>
          <w:lang w:eastAsia="fr-FR"/>
        </w:rPr>
        <w:t xml:space="preserve">avec d'autres </w:t>
      </w:r>
      <w:r w:rsidRPr="00970AF1">
        <w:rPr>
          <w:rFonts w:eastAsia="Times New Roman" w:cs="Arial"/>
          <w:bCs/>
          <w:szCs w:val="20"/>
          <w:lang w:eastAsia="fr-FR"/>
        </w:rPr>
        <w:t>organisations internationales</w:t>
      </w:r>
      <w:r w:rsidRPr="00970AF1">
        <w:rPr>
          <w:rFonts w:cs="Arial"/>
          <w:szCs w:val="20"/>
          <w:vertAlign w:val="superscript"/>
          <w:lang w:eastAsia="fr-FR"/>
        </w:rPr>
        <w:footnoteReference w:id="4"/>
      </w:r>
      <w:r w:rsidRPr="00970AF1">
        <w:rPr>
          <w:rFonts w:cs="Arial"/>
          <w:szCs w:val="20"/>
          <w:lang w:eastAsia="fr-FR"/>
        </w:rPr>
        <w:t xml:space="preserve"> et, enfin, des propositions pour </w:t>
      </w:r>
      <w:r w:rsidRPr="00970AF1">
        <w:rPr>
          <w:rFonts w:cs="Arial"/>
          <w:b/>
          <w:bCs/>
          <w:szCs w:val="20"/>
          <w:lang w:eastAsia="fr-FR"/>
        </w:rPr>
        <w:t xml:space="preserve">l’avenir. </w:t>
      </w:r>
    </w:p>
    <w:p w14:paraId="1927E960" w14:textId="77777777" w:rsidR="004752E1" w:rsidRPr="00970AF1" w:rsidRDefault="004752E1" w:rsidP="004752E1">
      <w:pPr>
        <w:rPr>
          <w:rFonts w:cs="Arial"/>
          <w:szCs w:val="20"/>
          <w:lang w:eastAsia="fr-FR"/>
        </w:rPr>
      </w:pPr>
    </w:p>
    <w:p w14:paraId="2B30C6D1" w14:textId="77777777" w:rsidR="004752E1" w:rsidRPr="00970AF1" w:rsidRDefault="004752E1" w:rsidP="004752E1">
      <w:pPr>
        <w:rPr>
          <w:rFonts w:cs="Arial"/>
          <w:szCs w:val="20"/>
        </w:rPr>
      </w:pPr>
      <w:r w:rsidRPr="00970AF1">
        <w:rPr>
          <w:rFonts w:cs="Arial"/>
          <w:szCs w:val="20"/>
        </w:rPr>
        <w:t xml:space="preserve">Notons également que les </w:t>
      </w:r>
      <w:r w:rsidRPr="00970AF1">
        <w:rPr>
          <w:rFonts w:cs="Arial"/>
          <w:b/>
          <w:bCs/>
          <w:szCs w:val="20"/>
        </w:rPr>
        <w:t>bureaux de liaison du CdE</w:t>
      </w:r>
      <w:r w:rsidRPr="00970AF1">
        <w:rPr>
          <w:rFonts w:cs="Arial"/>
          <w:b/>
          <w:bCs/>
          <w:szCs w:val="20"/>
          <w:vertAlign w:val="superscript"/>
        </w:rPr>
        <w:footnoteReference w:id="5"/>
      </w:r>
      <w:r w:rsidRPr="00970AF1">
        <w:rPr>
          <w:rFonts w:cs="Arial"/>
          <w:b/>
          <w:bCs/>
          <w:szCs w:val="20"/>
        </w:rPr>
        <w:t xml:space="preserve"> </w:t>
      </w:r>
      <w:r w:rsidRPr="00970AF1">
        <w:rPr>
          <w:rFonts w:cs="Arial"/>
          <w:szCs w:val="20"/>
        </w:rPr>
        <w:t>avec l'UE à Bruxelles, avec l'ONU à Genève (et à Vienne</w:t>
      </w:r>
      <w:r w:rsidRPr="00970AF1">
        <w:rPr>
          <w:rFonts w:cs="Arial"/>
          <w:szCs w:val="20"/>
          <w:vertAlign w:val="superscript"/>
        </w:rPr>
        <w:footnoteReference w:id="6"/>
      </w:r>
      <w:r w:rsidRPr="00970AF1">
        <w:rPr>
          <w:rFonts w:cs="Arial"/>
          <w:szCs w:val="20"/>
        </w:rPr>
        <w:t>) et avec l’OSCE à Vienne et à Varsovie</w:t>
      </w:r>
      <w:r w:rsidRPr="00970AF1">
        <w:rPr>
          <w:rFonts w:cs="Arial"/>
          <w:b/>
          <w:bCs/>
          <w:szCs w:val="20"/>
          <w:vertAlign w:val="superscript"/>
        </w:rPr>
        <w:footnoteReference w:id="7"/>
      </w:r>
      <w:r w:rsidRPr="00970AF1">
        <w:rPr>
          <w:rFonts w:cs="Arial"/>
          <w:szCs w:val="20"/>
        </w:rPr>
        <w:t xml:space="preserve"> ont continué à jouer un </w:t>
      </w:r>
      <w:r w:rsidRPr="00970AF1">
        <w:rPr>
          <w:rFonts w:cs="Arial"/>
          <w:b/>
          <w:bCs/>
          <w:szCs w:val="20"/>
        </w:rPr>
        <w:t xml:space="preserve">rôle clé </w:t>
      </w:r>
      <w:r w:rsidRPr="00970AF1">
        <w:rPr>
          <w:rFonts w:cs="Arial"/>
          <w:szCs w:val="20"/>
        </w:rPr>
        <w:t xml:space="preserve">dans le renforcement de la dynamique de la coopération et de sa visibilité. Les bureaux de liaison </w:t>
      </w:r>
      <w:r w:rsidRPr="00970AF1">
        <w:rPr>
          <w:rFonts w:eastAsia="Times New Roman" w:cs="Arial"/>
          <w:szCs w:val="20"/>
        </w:rPr>
        <w:t>ont également joué un rôle croissant dans le rayonnement mondial et la promotion des instruments du CdE (voir les exemples ci-dessous).</w:t>
      </w:r>
    </w:p>
    <w:p w14:paraId="09480995" w14:textId="77777777" w:rsidR="004752E1" w:rsidRPr="00970AF1" w:rsidRDefault="004752E1" w:rsidP="004752E1">
      <w:pPr>
        <w:rPr>
          <w:rFonts w:eastAsiaTheme="minorEastAsia" w:cs="Arial"/>
          <w:szCs w:val="20"/>
          <w:lang w:eastAsia="ja-JP"/>
        </w:rPr>
      </w:pPr>
    </w:p>
    <w:p w14:paraId="2BA461D0" w14:textId="77777777" w:rsidR="004752E1" w:rsidRPr="00970AF1" w:rsidRDefault="004752E1" w:rsidP="004752E1">
      <w:pPr>
        <w:tabs>
          <w:tab w:val="left" w:pos="567"/>
          <w:tab w:val="left" w:pos="851"/>
        </w:tabs>
        <w:rPr>
          <w:rFonts w:eastAsiaTheme="minorEastAsia" w:cs="Arial"/>
          <w:b/>
          <w:bCs/>
          <w:szCs w:val="20"/>
          <w:lang w:eastAsia="ja-JP"/>
        </w:rPr>
      </w:pPr>
      <w:r w:rsidRPr="00970AF1">
        <w:rPr>
          <w:rFonts w:eastAsiaTheme="minorEastAsia" w:cs="Arial"/>
          <w:b/>
          <w:bCs/>
          <w:szCs w:val="20"/>
          <w:lang w:eastAsia="ja-JP"/>
        </w:rPr>
        <w:t>2.</w:t>
      </w:r>
      <w:r w:rsidRPr="00970AF1">
        <w:rPr>
          <w:rFonts w:eastAsiaTheme="minorEastAsia" w:cs="Arial"/>
          <w:b/>
          <w:bCs/>
          <w:szCs w:val="20"/>
          <w:lang w:eastAsia="ja-JP"/>
        </w:rPr>
        <w:tab/>
        <w:t>Relations avec les Nations Unies (ONU)</w:t>
      </w:r>
    </w:p>
    <w:p w14:paraId="5C492361" w14:textId="77777777" w:rsidR="004752E1" w:rsidRPr="00970AF1" w:rsidRDefault="004752E1" w:rsidP="004752E1">
      <w:pPr>
        <w:rPr>
          <w:rFonts w:eastAsiaTheme="minorEastAsia" w:cs="Arial"/>
          <w:b/>
          <w:bCs/>
          <w:szCs w:val="20"/>
          <w:lang w:eastAsia="ja-JP"/>
        </w:rPr>
      </w:pPr>
    </w:p>
    <w:p w14:paraId="7CDF30A1" w14:textId="77777777" w:rsidR="004752E1" w:rsidRPr="00970AF1" w:rsidRDefault="004752E1" w:rsidP="004752E1">
      <w:pPr>
        <w:tabs>
          <w:tab w:val="left" w:pos="851"/>
        </w:tabs>
        <w:ind w:firstLine="708"/>
        <w:rPr>
          <w:rFonts w:eastAsiaTheme="minorEastAsia" w:cs="Arial"/>
          <w:b/>
          <w:bCs/>
          <w:i/>
          <w:iCs/>
          <w:szCs w:val="20"/>
          <w:lang w:eastAsia="ja-JP"/>
        </w:rPr>
      </w:pPr>
      <w:r w:rsidRPr="00970AF1">
        <w:rPr>
          <w:rFonts w:eastAsiaTheme="minorEastAsia" w:cs="Arial"/>
          <w:szCs w:val="20"/>
          <w:lang w:eastAsia="ja-JP"/>
        </w:rPr>
        <w:tab/>
      </w:r>
      <w:r w:rsidRPr="00970AF1">
        <w:rPr>
          <w:rFonts w:eastAsiaTheme="minorEastAsia" w:cs="Arial"/>
          <w:b/>
          <w:bCs/>
          <w:i/>
          <w:iCs/>
          <w:szCs w:val="20"/>
          <w:lang w:eastAsia="ja-JP"/>
        </w:rPr>
        <w:t>Modalités actuelles de coopération</w:t>
      </w:r>
    </w:p>
    <w:p w14:paraId="19597C03" w14:textId="77777777" w:rsidR="004752E1" w:rsidRPr="00970AF1" w:rsidRDefault="004752E1" w:rsidP="004752E1">
      <w:pPr>
        <w:ind w:firstLine="708"/>
        <w:rPr>
          <w:rFonts w:eastAsiaTheme="minorEastAsia" w:cs="Arial"/>
          <w:b/>
          <w:bCs/>
          <w:i/>
          <w:iCs/>
          <w:szCs w:val="20"/>
          <w:lang w:eastAsia="ja-JP"/>
        </w:rPr>
      </w:pPr>
    </w:p>
    <w:p w14:paraId="18F74BBF" w14:textId="7C5A80EB" w:rsidR="004752E1" w:rsidRPr="00970AF1" w:rsidRDefault="004752E1" w:rsidP="004752E1">
      <w:pPr>
        <w:shd w:val="clear" w:color="auto" w:fill="FFFFFF"/>
        <w:rPr>
          <w:rFonts w:eastAsia="Times New Roman" w:cs="Arial"/>
          <w:szCs w:val="20"/>
          <w:lang w:eastAsia="fr-FR"/>
        </w:rPr>
      </w:pPr>
      <w:r w:rsidRPr="00970AF1">
        <w:rPr>
          <w:rFonts w:eastAsia="Times New Roman" w:cs="Arial"/>
          <w:szCs w:val="20"/>
          <w:lang w:eastAsia="fr-FR"/>
        </w:rPr>
        <w:t>La coopération entre le CdE et l'ONU a débuté par « l’</w:t>
      </w:r>
      <w:hyperlink r:id="rId8" w:history="1">
        <w:r w:rsidRPr="00970AF1">
          <w:rPr>
            <w:rFonts w:eastAsia="Times New Roman" w:cs="Arial"/>
            <w:szCs w:val="20"/>
            <w:lang w:eastAsia="fr-FR"/>
          </w:rPr>
          <w:t>Accord entre le Secrétariat Général du Conseil de l'Europe et le Secrétariat des Nations Unies</w:t>
        </w:r>
      </w:hyperlink>
      <w:r w:rsidRPr="00970AF1">
        <w:rPr>
          <w:rFonts w:eastAsia="Times New Roman" w:cs="Arial"/>
          <w:szCs w:val="20"/>
          <w:lang w:eastAsia="fr-FR"/>
        </w:rPr>
        <w:t> », signé le 15 décembre 1951. Cet accord a été mis à jour le 19 novembre 1971 par les « </w:t>
      </w:r>
      <w:hyperlink r:id="rId9" w:history="1">
        <w:r w:rsidRPr="00970AF1">
          <w:rPr>
            <w:rFonts w:eastAsia="Times New Roman" w:cs="Arial"/>
            <w:szCs w:val="20"/>
            <w:lang w:eastAsia="fr-FR"/>
          </w:rPr>
          <w:t>Arrangements de coopération et de liaison entre les Secrétariats du Conseil de l'Europe et des Nations Unies</w:t>
        </w:r>
      </w:hyperlink>
      <w:r w:rsidRPr="00970AF1">
        <w:rPr>
          <w:rFonts w:eastAsia="Times New Roman" w:cs="Arial"/>
          <w:szCs w:val="20"/>
          <w:lang w:eastAsia="fr-FR"/>
        </w:rPr>
        <w:t xml:space="preserve"> ». Le CdE a également conclu des accords/arrangements et mené une étroite collaboration avec plusieurs organes et agences spécialisées des Nations Unies (voir les </w:t>
      </w:r>
      <w:hyperlink r:id="rId10" w:history="1">
        <w:r w:rsidRPr="00970AF1">
          <w:rPr>
            <w:rFonts w:eastAsia="Times New Roman" w:cs="Arial"/>
            <w:szCs w:val="20"/>
            <w:lang w:eastAsia="fr-FR"/>
          </w:rPr>
          <w:t>listes d’accords</w:t>
        </w:r>
      </w:hyperlink>
      <w:r w:rsidRPr="00970AF1">
        <w:rPr>
          <w:rFonts w:eastAsia="Times New Roman" w:cs="Arial"/>
          <w:szCs w:val="20"/>
          <w:lang w:eastAsia="fr-FR"/>
        </w:rPr>
        <w:t>).</w:t>
      </w:r>
      <w:r w:rsidRPr="00970AF1">
        <w:rPr>
          <w:rFonts w:eastAsia="Times New Roman" w:cs="Arial"/>
          <w:szCs w:val="20"/>
          <w:vertAlign w:val="superscript"/>
          <w:lang w:eastAsia="fr-FR"/>
        </w:rPr>
        <w:footnoteReference w:id="8"/>
      </w:r>
      <w:r w:rsidRPr="00970AF1">
        <w:rPr>
          <w:rFonts w:eastAsia="Times New Roman" w:cs="Arial"/>
          <w:szCs w:val="20"/>
          <w:lang w:eastAsia="fr-FR"/>
        </w:rPr>
        <w:t xml:space="preserve"> Le 17 octobre 1989, l'</w:t>
      </w:r>
      <w:r w:rsidRPr="00970AF1">
        <w:rPr>
          <w:rFonts w:eastAsia="Times New Roman" w:cs="Arial"/>
          <w:b/>
          <w:bCs/>
          <w:szCs w:val="20"/>
          <w:lang w:eastAsia="fr-FR"/>
        </w:rPr>
        <w:t xml:space="preserve">Assemblée générale des </w:t>
      </w:r>
      <w:r w:rsidRPr="00970AF1">
        <w:rPr>
          <w:rFonts w:eastAsia="Times New Roman" w:cs="Arial"/>
          <w:szCs w:val="20"/>
          <w:lang w:eastAsia="fr-FR"/>
        </w:rPr>
        <w:t xml:space="preserve">Nations Unies a adopté une résolution, proposée par plusieurs États membres du CdE, accordant le </w:t>
      </w:r>
      <w:r w:rsidRPr="00970AF1">
        <w:rPr>
          <w:rFonts w:eastAsia="Times New Roman" w:cs="Arial"/>
          <w:b/>
          <w:bCs/>
          <w:szCs w:val="20"/>
          <w:lang w:eastAsia="fr-FR"/>
        </w:rPr>
        <w:t xml:space="preserve">statut d'observateur </w:t>
      </w:r>
      <w:r w:rsidRPr="00970AF1">
        <w:rPr>
          <w:rFonts w:eastAsia="Times New Roman" w:cs="Arial"/>
          <w:szCs w:val="20"/>
          <w:lang w:eastAsia="fr-FR"/>
        </w:rPr>
        <w:t>au Conseil de l'Europe (A/</w:t>
      </w:r>
      <w:r w:rsidR="00E25D07" w:rsidRPr="00E25D07">
        <w:rPr>
          <w:rFonts w:eastAsia="Times New Roman" w:cs="Arial"/>
          <w:szCs w:val="20"/>
          <w:lang w:eastAsia="fr-FR"/>
        </w:rPr>
        <w:t>RES/44/6)</w:t>
      </w:r>
      <w:r w:rsidRPr="00970AF1">
        <w:rPr>
          <w:rFonts w:eastAsia="Times New Roman" w:cs="Arial"/>
          <w:szCs w:val="20"/>
          <w:lang w:eastAsia="fr-FR"/>
        </w:rPr>
        <w:t>. Ainsi, le CdE est désormais invité à participer aux sessions et aux travaux de l'Assemblée générale des Nations Unies et de ses six principales commissions.</w:t>
      </w:r>
    </w:p>
    <w:p w14:paraId="62218AE4" w14:textId="77777777" w:rsidR="004752E1" w:rsidRPr="00970AF1" w:rsidRDefault="004752E1" w:rsidP="004752E1">
      <w:pPr>
        <w:shd w:val="clear" w:color="auto" w:fill="FFFFFF"/>
        <w:rPr>
          <w:rFonts w:eastAsia="Times New Roman" w:cs="Arial"/>
          <w:szCs w:val="20"/>
          <w:lang w:eastAsia="fr-FR"/>
        </w:rPr>
      </w:pPr>
    </w:p>
    <w:p w14:paraId="3BDA48FC" w14:textId="77777777" w:rsidR="004752E1" w:rsidRPr="00970AF1" w:rsidRDefault="004752E1" w:rsidP="004752E1">
      <w:pPr>
        <w:shd w:val="clear" w:color="auto" w:fill="FFFFFF"/>
        <w:rPr>
          <w:rFonts w:eastAsia="Times New Roman" w:cs="Arial"/>
          <w:szCs w:val="20"/>
          <w:lang w:eastAsia="fr-FR"/>
        </w:rPr>
      </w:pPr>
      <w:r w:rsidRPr="00970AF1">
        <w:rPr>
          <w:rFonts w:eastAsia="Times New Roman" w:cs="Arial"/>
          <w:szCs w:val="20"/>
          <w:lang w:eastAsia="fr-FR"/>
        </w:rPr>
        <w:t xml:space="preserve">Depuis 2000 (tous les deux ans depuis 2004), l'Assemblée générale des Nations Unies adopte une </w:t>
      </w:r>
      <w:r w:rsidRPr="00970AF1">
        <w:rPr>
          <w:rFonts w:eastAsia="Times New Roman" w:cs="Arial"/>
          <w:b/>
          <w:bCs/>
          <w:szCs w:val="20"/>
          <w:lang w:eastAsia="fr-FR"/>
        </w:rPr>
        <w:t>résolution sur la coopération entre les Nations Unies et le Conseil de l'Europe</w:t>
      </w:r>
      <w:r w:rsidRPr="00970AF1">
        <w:rPr>
          <w:rFonts w:eastAsia="Times New Roman" w:cs="Arial"/>
          <w:szCs w:val="20"/>
          <w:lang w:eastAsia="fr-FR"/>
        </w:rPr>
        <w:t>. Ces documents attestent que la coopération entre l’ONU et le CdE est bien établie dans de nombreux domaines.</w:t>
      </w:r>
      <w:r w:rsidRPr="00970AF1">
        <w:rPr>
          <w:rStyle w:val="FootnoteReference"/>
          <w:rFonts w:eastAsia="Times New Roman" w:cs="Arial"/>
          <w:szCs w:val="20"/>
          <w:lang w:eastAsia="fr-FR"/>
        </w:rPr>
        <w:footnoteReference w:id="9"/>
      </w:r>
      <w:r w:rsidRPr="00970AF1">
        <w:rPr>
          <w:rFonts w:eastAsia="Times New Roman" w:cs="Arial"/>
          <w:szCs w:val="20"/>
          <w:lang w:eastAsia="fr-FR"/>
        </w:rPr>
        <w:t xml:space="preserve"> Le </w:t>
      </w:r>
      <w:r w:rsidRPr="00970AF1">
        <w:rPr>
          <w:rFonts w:eastAsia="Times New Roman" w:cs="Arial"/>
          <w:b/>
          <w:bCs/>
          <w:szCs w:val="20"/>
          <w:lang w:eastAsia="fr-FR"/>
        </w:rPr>
        <w:t>large éventail de domaines</w:t>
      </w:r>
      <w:r w:rsidRPr="00970AF1">
        <w:rPr>
          <w:rFonts w:eastAsia="Times New Roman" w:cs="Arial"/>
          <w:szCs w:val="20"/>
          <w:lang w:eastAsia="fr-FR"/>
        </w:rPr>
        <w:t xml:space="preserve"> permet d’apporter à tout moment une réaction dynamique et flexible aux besoins de coopération.</w:t>
      </w:r>
    </w:p>
    <w:p w14:paraId="5D379A0F" w14:textId="77777777" w:rsidR="004752E1" w:rsidRPr="00970AF1" w:rsidRDefault="004752E1" w:rsidP="004752E1">
      <w:pPr>
        <w:keepNext/>
        <w:keepLines/>
        <w:shd w:val="clear" w:color="auto" w:fill="FFFFFF"/>
        <w:rPr>
          <w:rFonts w:eastAsiaTheme="minorEastAsia" w:cs="Arial"/>
          <w:szCs w:val="20"/>
          <w:lang w:eastAsia="en-GB"/>
        </w:rPr>
      </w:pPr>
      <w:r w:rsidRPr="00970AF1">
        <w:rPr>
          <w:rFonts w:eastAsiaTheme="minorEastAsia" w:cs="Arial"/>
          <w:szCs w:val="20"/>
          <w:lang w:eastAsia="en-GB"/>
        </w:rPr>
        <w:lastRenderedPageBreak/>
        <w:t>L'intérêt mutuel pour la coopération se manifeste par l’</w:t>
      </w:r>
      <w:r w:rsidRPr="00970AF1">
        <w:rPr>
          <w:rFonts w:eastAsiaTheme="minorEastAsia" w:cs="Arial"/>
          <w:b/>
          <w:bCs/>
          <w:szCs w:val="20"/>
          <w:lang w:eastAsia="en-GB"/>
        </w:rPr>
        <w:t>accélération du rythme du dialogue régulier et des consultations</w:t>
      </w:r>
      <w:r w:rsidRPr="00970AF1">
        <w:rPr>
          <w:rFonts w:eastAsiaTheme="minorEastAsia" w:cs="Arial"/>
          <w:szCs w:val="20"/>
          <w:lang w:eastAsia="en-GB"/>
        </w:rPr>
        <w:t>, tant au niveau politique que technique, selon des voies multiples et dans divers organes et domaines.</w:t>
      </w:r>
      <w:r w:rsidRPr="00970AF1">
        <w:rPr>
          <w:rFonts w:eastAsiaTheme="minorEastAsia" w:cs="Arial"/>
          <w:szCs w:val="20"/>
          <w:vertAlign w:val="superscript"/>
          <w:lang w:eastAsia="en-GB"/>
        </w:rPr>
        <w:footnoteReference w:id="10"/>
      </w:r>
      <w:r w:rsidRPr="00970AF1">
        <w:rPr>
          <w:rFonts w:eastAsiaTheme="minorEastAsia" w:cs="Arial"/>
          <w:szCs w:val="20"/>
          <w:lang w:eastAsia="en-GB"/>
        </w:rPr>
        <w:t xml:space="preserve"> Dans celui des droits humains, citons par exemple les allocutions périodiques de la Secrétaire Générale du CdE lors des Segments de haut niveau du Conseil des droits de l’homme (CDH), et les échanges de vues annuels des Délégués des ministres avec les Nations Unies sur les questions relatives aux droits de l’homme (avec la participation d’experts venant des capitales) qui ont, ces dernières années, inclus des échanges avec la Présidence du CDH (voir la partie sur le dialogue mené après le Sommet de Reykjavík, ci-dessous) ; citons également le dialogue avec la </w:t>
      </w:r>
      <w:r w:rsidRPr="00970AF1">
        <w:rPr>
          <w:rFonts w:eastAsiaTheme="minorEastAsia" w:cs="Arial"/>
          <w:b/>
          <w:bCs/>
          <w:szCs w:val="20"/>
          <w:lang w:eastAsia="en-GB"/>
        </w:rPr>
        <w:t xml:space="preserve">Commission de la condition de la femme </w:t>
      </w:r>
      <w:r w:rsidRPr="00970AF1">
        <w:rPr>
          <w:rFonts w:cs="Arial"/>
          <w:szCs w:val="20"/>
        </w:rPr>
        <w:t>et les consultations relatives à la contribution du CdE à l'</w:t>
      </w:r>
      <w:r w:rsidRPr="00970AF1">
        <w:rPr>
          <w:rFonts w:cs="Arial"/>
          <w:b/>
          <w:bCs/>
          <w:szCs w:val="20"/>
        </w:rPr>
        <w:t>Examen périodique universel (EPU)</w:t>
      </w:r>
      <w:r w:rsidRPr="00970AF1">
        <w:rPr>
          <w:rFonts w:cs="Arial"/>
          <w:szCs w:val="20"/>
        </w:rPr>
        <w:t>.</w:t>
      </w:r>
      <w:r w:rsidRPr="00970AF1">
        <w:rPr>
          <w:rFonts w:eastAsiaTheme="minorEastAsia" w:cs="Arial"/>
          <w:szCs w:val="20"/>
          <w:lang w:eastAsia="en-GB"/>
        </w:rPr>
        <w:t xml:space="preserve"> En outre, le CdE collabore étroitement avec de </w:t>
      </w:r>
      <w:r w:rsidRPr="00970AF1">
        <w:rPr>
          <w:rFonts w:eastAsiaTheme="minorEastAsia" w:cs="Arial"/>
          <w:b/>
          <w:bCs/>
          <w:szCs w:val="20"/>
          <w:lang w:eastAsia="en-GB"/>
        </w:rPr>
        <w:t>nombreux autres organes/agences de l'ONU</w:t>
      </w:r>
      <w:r w:rsidRPr="00970AF1">
        <w:rPr>
          <w:rFonts w:eastAsiaTheme="minorEastAsia" w:cs="Arial"/>
          <w:szCs w:val="20"/>
          <w:lang w:eastAsia="en-GB"/>
        </w:rPr>
        <w:t>, dont le HCR,</w:t>
      </w:r>
      <w:r w:rsidRPr="00970AF1">
        <w:rPr>
          <w:rFonts w:eastAsiaTheme="minorEastAsia" w:cs="Arial"/>
          <w:szCs w:val="20"/>
          <w:vertAlign w:val="superscript"/>
          <w:lang w:eastAsia="en-GB"/>
        </w:rPr>
        <w:footnoteReference w:id="11"/>
      </w:r>
      <w:r w:rsidRPr="00970AF1">
        <w:rPr>
          <w:rFonts w:eastAsiaTheme="minorEastAsia" w:cs="Arial"/>
          <w:szCs w:val="20"/>
          <w:lang w:eastAsia="en-GB"/>
        </w:rPr>
        <w:t xml:space="preserve"> le HCDH,</w:t>
      </w:r>
      <w:r w:rsidRPr="00970AF1">
        <w:rPr>
          <w:rFonts w:eastAsiaTheme="minorEastAsia" w:cs="Arial"/>
          <w:szCs w:val="20"/>
          <w:vertAlign w:val="superscript"/>
          <w:lang w:eastAsia="en-GB"/>
        </w:rPr>
        <w:footnoteReference w:id="12"/>
      </w:r>
      <w:r w:rsidRPr="00970AF1">
        <w:rPr>
          <w:rFonts w:eastAsiaTheme="minorEastAsia" w:cs="Arial"/>
          <w:szCs w:val="20"/>
          <w:lang w:eastAsia="en-GB"/>
        </w:rPr>
        <w:t xml:space="preserve"> l’UNICEF,</w:t>
      </w:r>
      <w:r w:rsidRPr="00970AF1">
        <w:rPr>
          <w:rFonts w:eastAsiaTheme="minorEastAsia" w:cs="Arial"/>
          <w:szCs w:val="20"/>
          <w:vertAlign w:val="superscript"/>
          <w:lang w:eastAsia="en-GB"/>
        </w:rPr>
        <w:footnoteReference w:id="13"/>
      </w:r>
      <w:r w:rsidRPr="00970AF1">
        <w:rPr>
          <w:rFonts w:eastAsiaTheme="minorEastAsia" w:cs="Arial"/>
          <w:szCs w:val="20"/>
          <w:lang w:eastAsia="en-GB"/>
        </w:rPr>
        <w:t xml:space="preserve"> le BCAH,</w:t>
      </w:r>
      <w:r w:rsidRPr="00970AF1">
        <w:rPr>
          <w:rFonts w:eastAsiaTheme="minorEastAsia" w:cs="Arial"/>
          <w:szCs w:val="20"/>
          <w:vertAlign w:val="superscript"/>
          <w:lang w:eastAsia="en-GB"/>
        </w:rPr>
        <w:footnoteReference w:id="14"/>
      </w:r>
      <w:r w:rsidRPr="00970AF1">
        <w:rPr>
          <w:rFonts w:eastAsiaTheme="minorEastAsia" w:cs="Arial"/>
          <w:szCs w:val="20"/>
          <w:lang w:eastAsia="en-GB"/>
        </w:rPr>
        <w:t xml:space="preserve"> le PNUD,</w:t>
      </w:r>
      <w:r w:rsidRPr="00970AF1">
        <w:rPr>
          <w:rFonts w:eastAsiaTheme="minorEastAsia" w:cs="Arial"/>
          <w:szCs w:val="20"/>
          <w:vertAlign w:val="superscript"/>
          <w:lang w:eastAsia="en-GB"/>
        </w:rPr>
        <w:footnoteReference w:id="15"/>
      </w:r>
      <w:r w:rsidRPr="00970AF1">
        <w:rPr>
          <w:rFonts w:eastAsiaTheme="minorEastAsia" w:cs="Arial"/>
          <w:szCs w:val="20"/>
          <w:lang w:eastAsia="en-GB"/>
        </w:rPr>
        <w:t xml:space="preserve"> la CEE-ONU</w:t>
      </w:r>
      <w:r w:rsidRPr="00970AF1">
        <w:rPr>
          <w:rFonts w:eastAsiaTheme="minorEastAsia" w:cs="Arial"/>
          <w:szCs w:val="20"/>
          <w:vertAlign w:val="superscript"/>
          <w:lang w:eastAsia="en-GB"/>
        </w:rPr>
        <w:footnoteReference w:id="16"/>
      </w:r>
      <w:r w:rsidRPr="00970AF1">
        <w:rPr>
          <w:rFonts w:eastAsiaTheme="minorEastAsia" w:cs="Arial"/>
          <w:szCs w:val="20"/>
          <w:lang w:eastAsia="en-GB"/>
        </w:rPr>
        <w:t xml:space="preserve"> ainsi qu’avec des agences spécialisées telles que l’UNESCO,</w:t>
      </w:r>
      <w:r w:rsidRPr="00970AF1">
        <w:rPr>
          <w:rFonts w:eastAsiaTheme="minorEastAsia" w:cs="Arial"/>
          <w:szCs w:val="20"/>
          <w:vertAlign w:val="superscript"/>
          <w:lang w:eastAsia="en-GB"/>
        </w:rPr>
        <w:footnoteReference w:id="17"/>
      </w:r>
      <w:r w:rsidRPr="00970AF1">
        <w:rPr>
          <w:rFonts w:eastAsiaTheme="minorEastAsia" w:cs="Arial"/>
          <w:szCs w:val="20"/>
          <w:lang w:eastAsia="en-GB"/>
        </w:rPr>
        <w:t> l’OMS</w:t>
      </w:r>
      <w:r w:rsidRPr="00970AF1">
        <w:rPr>
          <w:rFonts w:eastAsiaTheme="minorEastAsia" w:cs="Arial"/>
          <w:szCs w:val="20"/>
          <w:vertAlign w:val="superscript"/>
          <w:lang w:eastAsia="en-GB"/>
        </w:rPr>
        <w:footnoteReference w:id="18"/>
      </w:r>
      <w:r w:rsidRPr="00970AF1">
        <w:rPr>
          <w:rFonts w:eastAsiaTheme="minorEastAsia" w:cs="Arial"/>
          <w:szCs w:val="20"/>
          <w:lang w:eastAsia="en-GB"/>
        </w:rPr>
        <w:t xml:space="preserve"> et la Banque mondiale. Un </w:t>
      </w:r>
      <w:r w:rsidRPr="00970AF1">
        <w:rPr>
          <w:rFonts w:eastAsiaTheme="minorEastAsia" w:cs="Arial"/>
          <w:b/>
          <w:bCs/>
          <w:szCs w:val="20"/>
          <w:lang w:eastAsia="en-GB"/>
        </w:rPr>
        <w:t>dialogue de haut niveau entre les représentants du Secrétariat</w:t>
      </w:r>
      <w:r w:rsidRPr="00970AF1">
        <w:rPr>
          <w:rFonts w:eastAsiaTheme="minorEastAsia" w:cs="Arial"/>
          <w:szCs w:val="20"/>
          <w:lang w:eastAsia="en-GB"/>
        </w:rPr>
        <w:t xml:space="preserve"> à New York et à Genève s’est également développé récemment (voir ci-dessous).</w:t>
      </w:r>
    </w:p>
    <w:p w14:paraId="391E11CF" w14:textId="77777777" w:rsidR="004752E1" w:rsidRPr="00970AF1" w:rsidRDefault="004752E1" w:rsidP="004752E1">
      <w:pPr>
        <w:shd w:val="clear" w:color="auto" w:fill="FFFFFF"/>
        <w:rPr>
          <w:rFonts w:eastAsiaTheme="minorEastAsia" w:cs="Arial"/>
          <w:szCs w:val="20"/>
          <w:lang w:eastAsia="en-GB"/>
        </w:rPr>
      </w:pPr>
    </w:p>
    <w:p w14:paraId="519DFC4D" w14:textId="77777777" w:rsidR="004752E1" w:rsidRPr="00970AF1" w:rsidRDefault="004752E1" w:rsidP="004752E1">
      <w:pPr>
        <w:shd w:val="clear" w:color="auto" w:fill="FFFFFF"/>
        <w:rPr>
          <w:rFonts w:eastAsiaTheme="minorEastAsia" w:cs="Arial"/>
          <w:szCs w:val="20"/>
          <w:lang w:eastAsia="en-GB"/>
        </w:rPr>
      </w:pPr>
      <w:r w:rsidRPr="00970AF1">
        <w:rPr>
          <w:rFonts w:cs="Arial"/>
          <w:szCs w:val="20"/>
          <w:lang w:eastAsia="en-GB"/>
        </w:rPr>
        <w:t xml:space="preserve">De plus, le CdE est régulièrement invité à participer aux </w:t>
      </w:r>
      <w:r w:rsidRPr="00970AF1">
        <w:rPr>
          <w:rFonts w:cs="Arial"/>
          <w:b/>
          <w:bCs/>
          <w:szCs w:val="20"/>
          <w:lang w:eastAsia="en-GB"/>
        </w:rPr>
        <w:t>ateliers</w:t>
      </w:r>
      <w:r w:rsidRPr="00970AF1">
        <w:rPr>
          <w:rFonts w:cs="Arial"/>
          <w:szCs w:val="20"/>
          <w:lang w:eastAsia="en-GB"/>
        </w:rPr>
        <w:t xml:space="preserve"> sur les arrangements régionaux pour la promotion et la protection des droits de l’homme.</w:t>
      </w:r>
      <w:r w:rsidRPr="00970AF1">
        <w:rPr>
          <w:rFonts w:cs="Arial"/>
          <w:szCs w:val="20"/>
          <w:vertAlign w:val="superscript"/>
          <w:lang w:eastAsia="en-GB"/>
        </w:rPr>
        <w:footnoteReference w:id="19"/>
      </w:r>
      <w:r w:rsidRPr="00970AF1">
        <w:rPr>
          <w:rFonts w:cs="Arial"/>
          <w:szCs w:val="20"/>
          <w:lang w:eastAsia="en-GB"/>
        </w:rPr>
        <w:t xml:space="preserve"> </w:t>
      </w:r>
      <w:r w:rsidRPr="00970AF1">
        <w:rPr>
          <w:rFonts w:eastAsiaTheme="minorEastAsia" w:cs="Arial"/>
          <w:szCs w:val="20"/>
          <w:lang w:eastAsia="en-GB"/>
        </w:rPr>
        <w:t xml:space="preserve">Au niveau technique, les organisations se coordonnent régulièrement à travers (liste non exhaustive) des échanges de vues et des </w:t>
      </w:r>
      <w:r w:rsidRPr="00970AF1">
        <w:rPr>
          <w:rFonts w:eastAsiaTheme="minorEastAsia" w:cs="Arial"/>
          <w:b/>
          <w:bCs/>
          <w:szCs w:val="20"/>
          <w:lang w:eastAsia="en-GB"/>
        </w:rPr>
        <w:t>visites de travail</w:t>
      </w:r>
      <w:r w:rsidRPr="00970AF1">
        <w:rPr>
          <w:rFonts w:eastAsiaTheme="minorEastAsia" w:cs="Arial"/>
          <w:szCs w:val="20"/>
          <w:lang w:eastAsia="en-GB"/>
        </w:rPr>
        <w:t xml:space="preserve"> (divisions Europe et Asie centrale des départements des Affaires politiques et de la consolidation de la paix et des Opérations de paix – DPPA/DPO), des échanges de bonnes pratiques et des programmes de coordination.</w:t>
      </w:r>
    </w:p>
    <w:p w14:paraId="34E50877" w14:textId="77777777" w:rsidR="004752E1" w:rsidRPr="00970AF1" w:rsidRDefault="004752E1" w:rsidP="004752E1">
      <w:pPr>
        <w:shd w:val="clear" w:color="auto" w:fill="FFFFFF"/>
        <w:rPr>
          <w:rFonts w:eastAsia="Times New Roman" w:cs="Arial"/>
          <w:szCs w:val="20"/>
          <w:lang w:eastAsia="fr-FR"/>
        </w:rPr>
      </w:pPr>
    </w:p>
    <w:p w14:paraId="518285AF" w14:textId="77777777" w:rsidR="004752E1" w:rsidRPr="00970AF1" w:rsidRDefault="004752E1" w:rsidP="004752E1">
      <w:pPr>
        <w:shd w:val="clear" w:color="auto" w:fill="FFFFFF"/>
        <w:rPr>
          <w:rFonts w:eastAsiaTheme="minorEastAsia" w:cs="Arial"/>
          <w:szCs w:val="20"/>
          <w:lang w:eastAsia="en-GB"/>
        </w:rPr>
      </w:pPr>
      <w:r w:rsidRPr="00970AF1">
        <w:rPr>
          <w:rFonts w:eastAsiaTheme="minorEastAsia" w:cs="Arial"/>
          <w:szCs w:val="20"/>
          <w:lang w:eastAsia="en-GB"/>
        </w:rPr>
        <w:t xml:space="preserve">L’ONU est un partenaire majeur pour le CdE et une plate-forme idéale pour </w:t>
      </w:r>
      <w:r w:rsidRPr="00970AF1">
        <w:rPr>
          <w:rFonts w:eastAsiaTheme="minorEastAsia" w:cs="Arial"/>
          <w:b/>
          <w:bCs/>
          <w:szCs w:val="20"/>
          <w:lang w:eastAsia="en-GB"/>
        </w:rPr>
        <w:t>étendre son champ d’action à l’échelle mondiale</w:t>
      </w:r>
      <w:r w:rsidRPr="00970AF1">
        <w:rPr>
          <w:rFonts w:eastAsiaTheme="minorEastAsia" w:cs="Arial"/>
          <w:szCs w:val="20"/>
          <w:lang w:eastAsia="en-GB"/>
        </w:rPr>
        <w:t xml:space="preserve">. La coopération se fonde sur l’universalité de valeurs partagées. Par sa nature globale, tant thématique que géographique, l’ONU représente pour le CdE un partenaire « à tous les niveaux ». Cette tendance a été renforcée dans le contexte des </w:t>
      </w:r>
      <w:r w:rsidRPr="00970AF1">
        <w:rPr>
          <w:rFonts w:eastAsiaTheme="minorEastAsia" w:cs="Arial"/>
          <w:b/>
          <w:bCs/>
          <w:i/>
          <w:iCs/>
          <w:szCs w:val="20"/>
          <w:lang w:eastAsia="en-GB"/>
        </w:rPr>
        <w:t>Objectifs de Développement Durable (ODD) de l’Agenda 2030,</w:t>
      </w:r>
      <w:r w:rsidRPr="00970AF1">
        <w:rPr>
          <w:rFonts w:eastAsiaTheme="minorEastAsia" w:cs="Arial"/>
          <w:szCs w:val="20"/>
          <w:lang w:eastAsia="en-GB"/>
        </w:rPr>
        <w:t xml:space="preserve"> qui encadre et oriente la coopération. Avec son approche politique globale et générale, l’Agenda 2030 des Nations Unies présente un intérêt considérable pour le CdE qui a, dès le départ, </w:t>
      </w:r>
      <w:r w:rsidRPr="00970AF1">
        <w:rPr>
          <w:rFonts w:eastAsiaTheme="minorEastAsia" w:cs="Arial"/>
          <w:b/>
          <w:bCs/>
          <w:szCs w:val="20"/>
          <w:lang w:eastAsia="en-GB"/>
        </w:rPr>
        <w:t>contribué au processus</w:t>
      </w:r>
      <w:r w:rsidRPr="00970AF1">
        <w:rPr>
          <w:rFonts w:eastAsiaTheme="minorEastAsia" w:cs="Arial"/>
          <w:szCs w:val="20"/>
          <w:lang w:eastAsia="en-GB"/>
        </w:rPr>
        <w:t xml:space="preserve"> ayant mené à l’adoption de cet Agenda. Tout en reconnaissant que la responsabilité principale de la </w:t>
      </w:r>
      <w:r w:rsidRPr="00970AF1">
        <w:rPr>
          <w:rFonts w:eastAsiaTheme="minorEastAsia" w:cs="Arial"/>
          <w:b/>
          <w:bCs/>
          <w:szCs w:val="20"/>
          <w:lang w:eastAsia="en-GB"/>
        </w:rPr>
        <w:t>mise en œuvre</w:t>
      </w:r>
      <w:r w:rsidRPr="00970AF1">
        <w:rPr>
          <w:rFonts w:eastAsiaTheme="minorEastAsia" w:cs="Arial"/>
          <w:szCs w:val="20"/>
          <w:lang w:eastAsia="en-GB"/>
        </w:rPr>
        <w:t xml:space="preserve"> de l'Agenda 2030 incombe aux États membres, le rôle du CdE en tant qu'organisation internationale est </w:t>
      </w:r>
      <w:r w:rsidRPr="00970AF1">
        <w:rPr>
          <w:rFonts w:eastAsiaTheme="minorEastAsia" w:cs="Arial"/>
          <w:b/>
          <w:bCs/>
          <w:szCs w:val="20"/>
          <w:lang w:eastAsia="en-GB"/>
        </w:rPr>
        <w:t>d’aider les États membres</w:t>
      </w:r>
      <w:r w:rsidRPr="00970AF1">
        <w:rPr>
          <w:rFonts w:eastAsiaTheme="minorEastAsia" w:cs="Arial"/>
          <w:szCs w:val="20"/>
          <w:lang w:eastAsia="en-GB"/>
        </w:rPr>
        <w:t xml:space="preserve"> et de faciliter leur contribution à la mise en œuvre des ODD. À travers ses différents instruments, le CdE peut notamment contribuer aux rapports nationaux sur la mise en œuvre des ODD, et plusieurs États membres ont mentionné dans ces rapports leurs travaux menés au sein du CdE. À cette fin, le CdE a créé un </w:t>
      </w:r>
      <w:r w:rsidRPr="00970AF1">
        <w:rPr>
          <w:rFonts w:eastAsiaTheme="minorEastAsia" w:cs="Arial"/>
          <w:b/>
          <w:bCs/>
          <w:szCs w:val="20"/>
          <w:lang w:eastAsia="en-GB"/>
        </w:rPr>
        <w:t>site internet</w:t>
      </w:r>
      <w:r w:rsidRPr="00970AF1">
        <w:rPr>
          <w:rFonts w:eastAsiaTheme="minorEastAsia" w:cs="Arial"/>
          <w:b/>
          <w:bCs/>
          <w:szCs w:val="20"/>
          <w:vertAlign w:val="superscript"/>
          <w:lang w:eastAsia="en-GB"/>
        </w:rPr>
        <w:footnoteReference w:id="20"/>
      </w:r>
      <w:r w:rsidRPr="00970AF1">
        <w:rPr>
          <w:rFonts w:eastAsiaTheme="minorEastAsia" w:cs="Arial"/>
          <w:szCs w:val="20"/>
          <w:lang w:eastAsia="en-GB"/>
        </w:rPr>
        <w:t xml:space="preserve"> - régulièrement mis à jour - pour aider les États membres à puiser dans les travaux de l’Organisation pour préparer leurs rapports nationaux, et montrer ainsi que leur appartenance au CdE contribue à la mise en œuvre nationale du Programme 2030. Enfin, le CdE est régulièrement représenté dans plusieurs événements de l’ONU, dont le Forum régional de la région CEE-ONU et le Forum politique de haut niveau.</w:t>
      </w:r>
    </w:p>
    <w:p w14:paraId="174F7D38" w14:textId="77777777" w:rsidR="004752E1" w:rsidRPr="00970AF1" w:rsidRDefault="004752E1" w:rsidP="004752E1">
      <w:pPr>
        <w:shd w:val="clear" w:color="auto" w:fill="FFFFFF"/>
        <w:rPr>
          <w:rFonts w:eastAsia="Times New Roman" w:cs="Arial"/>
          <w:szCs w:val="20"/>
          <w:lang w:eastAsia="fr-FR"/>
        </w:rPr>
      </w:pPr>
    </w:p>
    <w:p w14:paraId="526D8FE9" w14:textId="65E704E7" w:rsidR="004752E1" w:rsidRDefault="004752E1" w:rsidP="004752E1">
      <w:pPr>
        <w:rPr>
          <w:rFonts w:cs="Arial"/>
          <w:szCs w:val="20"/>
        </w:rPr>
      </w:pPr>
      <w:r w:rsidRPr="00970AF1">
        <w:rPr>
          <w:rFonts w:cs="Arial"/>
          <w:szCs w:val="20"/>
        </w:rPr>
        <w:t xml:space="preserve">Ajoutons que la présence permanente du CdE au sein de la délégation de Genève auprès de l'ONU (Bureau de liaison du CdE) a été rétablie en octobre 2023. Les </w:t>
      </w:r>
      <w:r w:rsidRPr="00970AF1">
        <w:rPr>
          <w:rFonts w:cs="Arial"/>
          <w:b/>
          <w:bCs/>
          <w:szCs w:val="20"/>
        </w:rPr>
        <w:t>bureaux de liaison du CdE</w:t>
      </w:r>
      <w:r w:rsidRPr="00970AF1">
        <w:rPr>
          <w:rFonts w:cs="Arial"/>
          <w:szCs w:val="20"/>
        </w:rPr>
        <w:t xml:space="preserve"> auprès de l’ONU à Genève et à Vienne jouent un rôle clé en renforçant la dynamique et la visibilité de la coopération de l’Organisation avec l’ONU. Ils contribuent également à la visibilité de l'Organisation, notamment par une présence régulière aux réunions pertinentes. De plus, le Bureau de Genève assure la participation des délégations du CdE au sein des institutions pertinentes de défense des droits humains dans cette ville. Le Bureau de liaison contribue aussi activement à promouvoir la visibilité des instruments du CdE (conventions ouvertes aux États non-membres du CdE et accords partiels, y compris le Registre), par le biais d'événements formels et informels.</w:t>
      </w:r>
      <w:r w:rsidRPr="00970AF1">
        <w:rPr>
          <w:rFonts w:cs="Arial"/>
          <w:szCs w:val="20"/>
          <w:vertAlign w:val="superscript"/>
        </w:rPr>
        <w:footnoteReference w:id="21"/>
      </w:r>
      <w:r w:rsidRPr="00970AF1">
        <w:rPr>
          <w:rFonts w:cs="Arial"/>
          <w:szCs w:val="20"/>
        </w:rPr>
        <w:t xml:space="preserve"> Il est </w:t>
      </w:r>
      <w:r w:rsidRPr="00970AF1">
        <w:rPr>
          <w:rFonts w:cs="Arial"/>
          <w:b/>
          <w:bCs/>
          <w:szCs w:val="20"/>
        </w:rPr>
        <w:t>prévu d’intensifier</w:t>
      </w:r>
      <w:r w:rsidRPr="00970AF1">
        <w:rPr>
          <w:rFonts w:cs="Arial"/>
          <w:szCs w:val="20"/>
        </w:rPr>
        <w:t xml:space="preserve"> </w:t>
      </w:r>
      <w:r w:rsidRPr="00970AF1">
        <w:rPr>
          <w:rFonts w:cs="Arial"/>
          <w:b/>
          <w:bCs/>
          <w:szCs w:val="20"/>
        </w:rPr>
        <w:t>la contribution à ce rayonnement extérieur</w:t>
      </w:r>
      <w:r w:rsidRPr="00970AF1">
        <w:rPr>
          <w:rFonts w:cs="Arial"/>
          <w:szCs w:val="20"/>
        </w:rPr>
        <w:t>.</w:t>
      </w:r>
    </w:p>
    <w:p w14:paraId="14F2116F" w14:textId="77777777" w:rsidR="00794D54" w:rsidRPr="00970AF1" w:rsidRDefault="00794D54" w:rsidP="004752E1">
      <w:pPr>
        <w:rPr>
          <w:rFonts w:cs="Arial"/>
          <w:szCs w:val="20"/>
        </w:rPr>
      </w:pPr>
    </w:p>
    <w:p w14:paraId="5036B4C9" w14:textId="77777777" w:rsidR="004752E1" w:rsidRPr="00970AF1" w:rsidRDefault="004752E1" w:rsidP="004752E1">
      <w:pPr>
        <w:rPr>
          <w:rFonts w:cs="Arial"/>
          <w:szCs w:val="20"/>
        </w:rPr>
      </w:pPr>
      <w:r w:rsidRPr="00970AF1">
        <w:rPr>
          <w:rFonts w:cs="Arial"/>
          <w:szCs w:val="20"/>
        </w:rPr>
        <w:t xml:space="preserve">Il convient également de souligner l'importance de l'interface offerte par la présence au CdE de la représentation du </w:t>
      </w:r>
      <w:r w:rsidRPr="00970AF1">
        <w:rPr>
          <w:rFonts w:cs="Arial"/>
          <w:b/>
          <w:bCs/>
          <w:szCs w:val="20"/>
        </w:rPr>
        <w:t>HCR</w:t>
      </w:r>
      <w:r w:rsidRPr="00970AF1">
        <w:rPr>
          <w:rFonts w:cs="Arial"/>
          <w:szCs w:val="20"/>
        </w:rPr>
        <w:t xml:space="preserve"> auprès des institutions européennes à Strasbourg. </w:t>
      </w:r>
    </w:p>
    <w:p w14:paraId="05DE452C" w14:textId="77777777" w:rsidR="004752E1" w:rsidRPr="00970AF1" w:rsidRDefault="004752E1" w:rsidP="00DA3B3D">
      <w:pPr>
        <w:ind w:firstLine="709"/>
        <w:rPr>
          <w:rFonts w:eastAsiaTheme="minorEastAsia" w:cs="Arial"/>
          <w:szCs w:val="20"/>
          <w:lang w:eastAsia="ja-JP"/>
        </w:rPr>
      </w:pPr>
      <w:r w:rsidRPr="00970AF1">
        <w:rPr>
          <w:rFonts w:eastAsiaTheme="minorEastAsia" w:cs="Arial"/>
          <w:b/>
          <w:bCs/>
          <w:i/>
          <w:iCs/>
          <w:szCs w:val="20"/>
          <w:lang w:eastAsia="ja-JP"/>
        </w:rPr>
        <w:lastRenderedPageBreak/>
        <w:t xml:space="preserve">Dialogue </w:t>
      </w:r>
    </w:p>
    <w:p w14:paraId="3B1069B9" w14:textId="77777777" w:rsidR="004752E1" w:rsidRPr="00970AF1" w:rsidRDefault="004752E1" w:rsidP="004752E1">
      <w:pPr>
        <w:rPr>
          <w:rFonts w:eastAsiaTheme="minorEastAsia" w:cs="Arial"/>
          <w:szCs w:val="20"/>
          <w:lang w:eastAsia="ja-JP"/>
        </w:rPr>
      </w:pPr>
    </w:p>
    <w:p w14:paraId="7FB4B5A5" w14:textId="77777777" w:rsidR="004752E1" w:rsidRPr="00970AF1" w:rsidRDefault="004752E1" w:rsidP="004752E1">
      <w:pPr>
        <w:rPr>
          <w:rFonts w:eastAsiaTheme="minorEastAsia" w:cs="Arial"/>
          <w:szCs w:val="20"/>
          <w:lang w:eastAsia="en-GB"/>
        </w:rPr>
      </w:pPr>
      <w:r w:rsidRPr="00970AF1">
        <w:rPr>
          <w:rFonts w:eastAsiaTheme="minorEastAsia" w:cs="Arial"/>
          <w:szCs w:val="20"/>
          <w:lang w:eastAsia="en-GB"/>
        </w:rPr>
        <w:t xml:space="preserve">Le </w:t>
      </w:r>
      <w:r w:rsidRPr="00970AF1">
        <w:rPr>
          <w:rFonts w:eastAsiaTheme="minorEastAsia" w:cs="Arial"/>
          <w:b/>
          <w:bCs/>
          <w:szCs w:val="20"/>
          <w:lang w:eastAsia="en-GB"/>
        </w:rPr>
        <w:t>Sommet de Reykjavik,</w:t>
      </w:r>
      <w:r w:rsidRPr="00970AF1">
        <w:rPr>
          <w:rFonts w:eastAsiaTheme="minorEastAsia" w:cs="Arial"/>
          <w:szCs w:val="20"/>
          <w:lang w:eastAsia="en-GB"/>
        </w:rPr>
        <w:t xml:space="preserve"> auquel participait une dirigeante du Secrétariat des Nations Unies,</w:t>
      </w:r>
      <w:r w:rsidRPr="00970AF1">
        <w:rPr>
          <w:rFonts w:eastAsiaTheme="minorEastAsia" w:cs="Arial"/>
          <w:szCs w:val="20"/>
          <w:vertAlign w:val="superscript"/>
          <w:lang w:eastAsia="en-GB"/>
        </w:rPr>
        <w:footnoteReference w:id="22"/>
      </w:r>
      <w:r w:rsidRPr="00970AF1">
        <w:rPr>
          <w:rFonts w:eastAsiaTheme="minorEastAsia" w:cs="Arial"/>
          <w:szCs w:val="20"/>
          <w:lang w:eastAsia="en-GB"/>
        </w:rPr>
        <w:t xml:space="preserve"> a été suivi d’une </w:t>
      </w:r>
      <w:r w:rsidRPr="00970AF1">
        <w:rPr>
          <w:rFonts w:eastAsiaTheme="minorEastAsia" w:cs="Arial"/>
          <w:b/>
          <w:bCs/>
          <w:szCs w:val="20"/>
          <w:lang w:eastAsia="en-GB"/>
        </w:rPr>
        <w:t>série intense de rencontres à haut niveau</w:t>
      </w:r>
      <w:r w:rsidRPr="00970AF1">
        <w:rPr>
          <w:rFonts w:eastAsiaTheme="minorEastAsia" w:cs="Arial"/>
          <w:szCs w:val="20"/>
          <w:lang w:eastAsia="en-GB"/>
        </w:rPr>
        <w:t xml:space="preserve"> visant à renforcer les synergies et la coopération. Ces réunions ont offert l'occasion de souligner le soutien du CdE à l'Ukraine, en particulier l'établissement du registre, et, en général, de souligner la valeur ajoutée du système de conventions du CdE et de promouvoir les instruments, organes et mécanismes de l’Organisation.</w:t>
      </w:r>
    </w:p>
    <w:p w14:paraId="52A97A2B" w14:textId="77777777" w:rsidR="004752E1" w:rsidRPr="00970AF1" w:rsidRDefault="004752E1" w:rsidP="004752E1">
      <w:pPr>
        <w:rPr>
          <w:rFonts w:eastAsiaTheme="minorEastAsia" w:cs="Arial"/>
          <w:szCs w:val="20"/>
          <w:lang w:eastAsia="en-GB"/>
        </w:rPr>
      </w:pPr>
    </w:p>
    <w:p w14:paraId="4AC0ADF2" w14:textId="77777777" w:rsidR="004752E1" w:rsidRPr="00970AF1" w:rsidRDefault="004752E1" w:rsidP="004752E1">
      <w:pPr>
        <w:rPr>
          <w:rFonts w:eastAsiaTheme="minorEastAsia" w:cs="Arial"/>
          <w:szCs w:val="20"/>
          <w:lang w:eastAsia="en-GB"/>
        </w:rPr>
      </w:pPr>
      <w:r w:rsidRPr="00970AF1">
        <w:rPr>
          <w:rFonts w:eastAsiaTheme="minorEastAsia" w:cs="Arial"/>
          <w:szCs w:val="20"/>
          <w:lang w:eastAsia="en-GB"/>
        </w:rPr>
        <w:t>Soulignons également que la </w:t>
      </w:r>
      <w:r w:rsidRPr="00970AF1">
        <w:rPr>
          <w:rFonts w:eastAsiaTheme="minorEastAsia" w:cs="Arial"/>
          <w:b/>
          <w:bCs/>
          <w:szCs w:val="20"/>
          <w:lang w:eastAsia="en-GB"/>
        </w:rPr>
        <w:t>Secrétaire Générale</w:t>
      </w:r>
      <w:r w:rsidRPr="00970AF1">
        <w:rPr>
          <w:rFonts w:eastAsiaTheme="minorEastAsia" w:cs="Arial"/>
          <w:szCs w:val="20"/>
          <w:lang w:eastAsia="en-GB"/>
        </w:rPr>
        <w:t xml:space="preserve"> a participé à Genève, en décembre 2023, à la Manifestation à haut niveau « Droits humains 75 » organisée pour célébrer le </w:t>
      </w:r>
      <w:proofErr w:type="spellStart"/>
      <w:r w:rsidRPr="00970AF1">
        <w:rPr>
          <w:rFonts w:eastAsiaTheme="minorEastAsia" w:cs="Arial"/>
          <w:szCs w:val="20"/>
          <w:lang w:eastAsia="en-GB"/>
        </w:rPr>
        <w:t>75</w:t>
      </w:r>
      <w:r w:rsidRPr="00970AF1">
        <w:rPr>
          <w:rFonts w:eastAsiaTheme="minorEastAsia" w:cs="Arial"/>
          <w:szCs w:val="20"/>
          <w:vertAlign w:val="superscript"/>
          <w:lang w:eastAsia="en-GB"/>
        </w:rPr>
        <w:t>e</w:t>
      </w:r>
      <w:proofErr w:type="spellEnd"/>
      <w:r w:rsidRPr="00970AF1">
        <w:rPr>
          <w:rFonts w:eastAsiaTheme="minorEastAsia" w:cs="Arial"/>
          <w:szCs w:val="20"/>
          <w:lang w:eastAsia="en-GB"/>
        </w:rPr>
        <w:t xml:space="preserve"> anniversaire de la Déclaration universelle des droits de l’homme, où elle a pris un </w:t>
      </w:r>
      <w:r w:rsidRPr="00970AF1">
        <w:rPr>
          <w:rFonts w:eastAsiaTheme="minorEastAsia" w:cs="Arial"/>
          <w:i/>
          <w:iCs/>
          <w:szCs w:val="20"/>
          <w:lang w:eastAsia="en-GB"/>
        </w:rPr>
        <w:t xml:space="preserve">Engagement </w:t>
      </w:r>
      <w:r w:rsidRPr="00970AF1">
        <w:rPr>
          <w:rFonts w:eastAsiaTheme="minorEastAsia" w:cs="Arial"/>
          <w:szCs w:val="20"/>
          <w:lang w:eastAsia="en-GB"/>
        </w:rPr>
        <w:t>en plénière. Elle a aussi eu un échange de vues avec le Haut-Commissaire des Nations Unies aux droits de l’homme, M. Türk, et le Haut-Commissaire des Nations Unies pour les réfugiés, M. Grandi. Par ailleurs, le </w:t>
      </w:r>
      <w:r w:rsidRPr="00970AF1">
        <w:rPr>
          <w:rFonts w:eastAsiaTheme="minorEastAsia" w:cs="Arial"/>
          <w:b/>
          <w:bCs/>
          <w:szCs w:val="20"/>
          <w:lang w:eastAsia="en-GB"/>
        </w:rPr>
        <w:t xml:space="preserve">Secrétaire général adjoint </w:t>
      </w:r>
      <w:r w:rsidRPr="00970AF1">
        <w:rPr>
          <w:rFonts w:eastAsiaTheme="minorEastAsia" w:cs="Arial"/>
          <w:szCs w:val="20"/>
          <w:lang w:eastAsia="en-GB"/>
        </w:rPr>
        <w:t xml:space="preserve">a mené des consultations avec plusieurs hauts fonctionnaires de l’ONU à Genève (en juillet 2023) et à New York (décembre 2023), dont la Vice-Secrétaire générale de l’Organisation des Nations Unies et Présidente du Groupe des Nations Unies pour le développement durable, Mme Mohammed, le Sous-Secrétaire général de l’ONU, M. </w:t>
      </w:r>
      <w:proofErr w:type="spellStart"/>
      <w:r w:rsidRPr="00970AF1">
        <w:rPr>
          <w:rFonts w:eastAsiaTheme="minorEastAsia" w:cs="Arial"/>
          <w:szCs w:val="20"/>
          <w:lang w:eastAsia="en-GB"/>
        </w:rPr>
        <w:t>Jenča</w:t>
      </w:r>
      <w:proofErr w:type="spellEnd"/>
      <w:r w:rsidRPr="00970AF1">
        <w:rPr>
          <w:rFonts w:eastAsiaTheme="minorEastAsia" w:cs="Arial"/>
          <w:szCs w:val="20"/>
          <w:lang w:eastAsia="en-GB"/>
        </w:rPr>
        <w:t xml:space="preserve"> et le Sous-Secrétaire général du PNUD, M. Xu, dans un souci de renforcer les relations et la complémentarité entre les deux organisations. </w:t>
      </w:r>
    </w:p>
    <w:p w14:paraId="5CDDED16" w14:textId="77777777" w:rsidR="004752E1" w:rsidRPr="00970AF1" w:rsidRDefault="004752E1" w:rsidP="004752E1">
      <w:pPr>
        <w:rPr>
          <w:rFonts w:eastAsiaTheme="minorEastAsia" w:cs="Arial"/>
          <w:szCs w:val="20"/>
          <w:lang w:eastAsia="en-GB"/>
        </w:rPr>
      </w:pPr>
    </w:p>
    <w:p w14:paraId="48DD4C78" w14:textId="77777777" w:rsidR="004752E1" w:rsidRPr="00970AF1" w:rsidRDefault="004752E1" w:rsidP="004752E1">
      <w:pPr>
        <w:shd w:val="clear" w:color="auto" w:fill="FFFFFF"/>
        <w:rPr>
          <w:rFonts w:eastAsiaTheme="minorEastAsia" w:cs="Arial"/>
          <w:szCs w:val="20"/>
          <w:lang w:eastAsia="en-GB"/>
        </w:rPr>
      </w:pPr>
      <w:r w:rsidRPr="00970AF1">
        <w:rPr>
          <w:rFonts w:eastAsiaTheme="minorEastAsia" w:cs="Arial"/>
          <w:szCs w:val="20"/>
          <w:lang w:eastAsia="en-GB"/>
        </w:rPr>
        <w:t xml:space="preserve">En outre, la Représentante spéciale de la Secrétaire Générale du CdE pour les migrations et les réfugiés (RSSG) a représenté l’Organisation à Genève lors du </w:t>
      </w:r>
      <w:r w:rsidRPr="00970AF1">
        <w:rPr>
          <w:rFonts w:eastAsiaTheme="minorEastAsia" w:cs="Arial"/>
          <w:b/>
          <w:bCs/>
          <w:szCs w:val="20"/>
          <w:lang w:eastAsia="en-GB"/>
        </w:rPr>
        <w:t>Forum mondial sur les réfugiés</w:t>
      </w:r>
      <w:r w:rsidRPr="00970AF1">
        <w:rPr>
          <w:rFonts w:eastAsiaTheme="minorEastAsia" w:cs="Arial"/>
          <w:szCs w:val="20"/>
          <w:lang w:eastAsia="en-GB"/>
        </w:rPr>
        <w:t xml:space="preserve"> qui s’est tenu du 13 au 15 décembre, où elle a également annoncé des engagements et exprimé la volonté du CdE de continuer à contribuer à la réalisation des objectifs fixés dans le Pacte mondial sur les réfugiés. En tant que membre du Comité de sélection de la Distinction Nansen, la RSSG a également participé à la cérémonie de remise de la Distinction Nansen du HCR pour les Réfugiés.</w:t>
      </w:r>
    </w:p>
    <w:p w14:paraId="6CCB6B83" w14:textId="77777777" w:rsidR="004752E1" w:rsidRPr="00970AF1" w:rsidRDefault="004752E1" w:rsidP="004752E1">
      <w:pPr>
        <w:shd w:val="clear" w:color="auto" w:fill="FFFFFF"/>
        <w:rPr>
          <w:rFonts w:eastAsiaTheme="minorEastAsia" w:cs="Arial"/>
          <w:szCs w:val="20"/>
          <w:lang w:eastAsia="en-GB"/>
        </w:rPr>
      </w:pPr>
    </w:p>
    <w:p w14:paraId="52E86B36" w14:textId="77777777" w:rsidR="004752E1" w:rsidRPr="00970AF1" w:rsidRDefault="004752E1" w:rsidP="004752E1">
      <w:pPr>
        <w:shd w:val="clear" w:color="auto" w:fill="FFFFFF"/>
        <w:rPr>
          <w:rFonts w:eastAsiaTheme="minorEastAsia" w:cs="Arial"/>
          <w:szCs w:val="20"/>
          <w:lang w:eastAsia="en-GB"/>
        </w:rPr>
      </w:pPr>
      <w:r w:rsidRPr="00970AF1">
        <w:rPr>
          <w:rFonts w:eastAsiaTheme="minorEastAsia" w:cs="Arial"/>
          <w:szCs w:val="20"/>
          <w:lang w:eastAsia="en-GB"/>
        </w:rPr>
        <w:t>Mentionnons aussi l’intervention, le 8 février 2024, du Président du Conseil des droits de l’homme devant les </w:t>
      </w:r>
      <w:r w:rsidRPr="00970AF1">
        <w:rPr>
          <w:rFonts w:eastAsiaTheme="minorEastAsia" w:cs="Arial"/>
          <w:b/>
          <w:bCs/>
          <w:szCs w:val="20"/>
          <w:lang w:eastAsia="en-GB"/>
        </w:rPr>
        <w:t>Délégués des ministres</w:t>
      </w:r>
      <w:r w:rsidRPr="00970AF1">
        <w:rPr>
          <w:rFonts w:eastAsiaTheme="minorEastAsia" w:cs="Arial"/>
          <w:szCs w:val="20"/>
          <w:lang w:eastAsia="en-GB"/>
        </w:rPr>
        <w:t xml:space="preserve"> à l’occasion de l’échange de vues annuel avec les Nations Unies sur les questions relatives aux droits de l’homme (avec la participation d’experts venant des capitales).</w:t>
      </w:r>
      <w:r w:rsidRPr="00970AF1">
        <w:rPr>
          <w:rFonts w:eastAsiaTheme="minorEastAsia" w:cs="Arial"/>
          <w:szCs w:val="20"/>
          <w:vertAlign w:val="superscript"/>
          <w:lang w:eastAsia="fr-FR"/>
        </w:rPr>
        <w:footnoteReference w:id="23"/>
      </w:r>
      <w:r w:rsidRPr="00970AF1">
        <w:rPr>
          <w:rFonts w:eastAsiaTheme="minorEastAsia" w:cs="Arial"/>
          <w:szCs w:val="20"/>
          <w:vertAlign w:val="superscript"/>
          <w:lang w:eastAsia="en-GB"/>
        </w:rPr>
        <w:t xml:space="preserve"> </w:t>
      </w:r>
    </w:p>
    <w:p w14:paraId="3965E2BD" w14:textId="77777777" w:rsidR="004752E1" w:rsidRPr="00970AF1" w:rsidRDefault="004752E1" w:rsidP="004752E1">
      <w:pPr>
        <w:shd w:val="clear" w:color="auto" w:fill="FFFFFF"/>
        <w:rPr>
          <w:rFonts w:eastAsiaTheme="minorEastAsia" w:cs="Arial"/>
          <w:szCs w:val="20"/>
          <w:lang w:eastAsia="en-GB"/>
        </w:rPr>
      </w:pPr>
    </w:p>
    <w:p w14:paraId="14B84AA0" w14:textId="77777777" w:rsidR="004752E1" w:rsidRPr="00970AF1" w:rsidRDefault="004752E1" w:rsidP="004752E1">
      <w:pPr>
        <w:rPr>
          <w:rFonts w:eastAsiaTheme="minorEastAsia" w:cs="Arial"/>
          <w:szCs w:val="20"/>
          <w:lang w:eastAsia="en-GB"/>
        </w:rPr>
      </w:pPr>
      <w:r w:rsidRPr="00970AF1">
        <w:rPr>
          <w:rFonts w:eastAsiaTheme="minorEastAsia" w:cs="Arial"/>
          <w:szCs w:val="20"/>
          <w:lang w:eastAsia="en-GB"/>
        </w:rPr>
        <w:t>Comme l’atteste la dernière résolution biennale sur la coopération entre l'ONU et le CdE, adoptée le 26 avril 2023,</w:t>
      </w:r>
      <w:r w:rsidRPr="00970AF1">
        <w:rPr>
          <w:rFonts w:eastAsiaTheme="minorEastAsia" w:cs="Arial"/>
          <w:szCs w:val="20"/>
          <w:vertAlign w:val="superscript"/>
          <w:lang w:eastAsia="en-GB"/>
        </w:rPr>
        <w:footnoteReference w:id="24"/>
      </w:r>
      <w:r w:rsidRPr="00970AF1">
        <w:rPr>
          <w:rFonts w:eastAsiaTheme="minorEastAsia" w:cs="Arial"/>
          <w:szCs w:val="20"/>
          <w:lang w:eastAsia="en-GB"/>
        </w:rPr>
        <w:t xml:space="preserve"> les défis sans précédent auxquels l'Europe est confrontée à la suite de l'agression de la Fédération de Russie contre l'Ukraine et la décision prise en conséquence, sur la cessation de l'adhésion de la Fédération de Russie au CdE, ont amené à intensifier le dialogue et les contacts sur un certain nombre de </w:t>
      </w:r>
      <w:r w:rsidRPr="00970AF1">
        <w:rPr>
          <w:rFonts w:eastAsiaTheme="minorEastAsia" w:cs="Arial"/>
          <w:b/>
          <w:bCs/>
          <w:szCs w:val="20"/>
          <w:lang w:eastAsia="en-GB"/>
        </w:rPr>
        <w:t xml:space="preserve">nouveaux domaines de </w:t>
      </w:r>
      <w:r w:rsidRPr="00970AF1">
        <w:rPr>
          <w:rFonts w:eastAsiaTheme="minorEastAsia" w:cs="Arial"/>
          <w:szCs w:val="20"/>
          <w:lang w:eastAsia="en-GB"/>
        </w:rPr>
        <w:t xml:space="preserve">coopération. </w:t>
      </w:r>
    </w:p>
    <w:p w14:paraId="7D13870E" w14:textId="77777777" w:rsidR="004752E1" w:rsidRPr="00970AF1" w:rsidRDefault="004752E1" w:rsidP="004752E1">
      <w:pPr>
        <w:rPr>
          <w:rFonts w:eastAsiaTheme="minorEastAsia" w:cs="Arial"/>
          <w:szCs w:val="20"/>
          <w:lang w:eastAsia="en-GB"/>
        </w:rPr>
      </w:pPr>
    </w:p>
    <w:p w14:paraId="7131275C" w14:textId="77777777" w:rsidR="004752E1" w:rsidRPr="00970AF1" w:rsidRDefault="004752E1" w:rsidP="004752E1">
      <w:pPr>
        <w:rPr>
          <w:rFonts w:eastAsiaTheme="minorEastAsia" w:cs="Arial"/>
          <w:szCs w:val="20"/>
          <w:lang w:eastAsia="en-GB"/>
        </w:rPr>
      </w:pPr>
      <w:r w:rsidRPr="00970AF1">
        <w:rPr>
          <w:rFonts w:eastAsiaTheme="minorEastAsia" w:cs="Arial"/>
          <w:szCs w:val="20"/>
          <w:lang w:eastAsia="en-GB"/>
        </w:rPr>
        <w:t>Rappelons en outre que la Déclaration de Reykjavík a souligné la nécessité de tout mettre en œuvre pour assurer l’exécution des arrêts de la Cour par la Fédération de Russie, y compris par le développement de synergies avec d’autres organisations internationales telles que les Nations Unies. Dans ce contexte, le CdE a travaillé avec les organes compétents de l'ONU concernant l'exécution des arrêts de la Cour européenne des droits de l'homme (CEDH) adressés à la Fédération de Russie,</w:t>
      </w:r>
      <w:r w:rsidRPr="00970AF1">
        <w:rPr>
          <w:rFonts w:eastAsiaTheme="minorEastAsia" w:cs="Arial"/>
          <w:szCs w:val="20"/>
          <w:vertAlign w:val="superscript"/>
          <w:lang w:eastAsia="en-GB"/>
        </w:rPr>
        <w:footnoteReference w:id="25"/>
      </w:r>
      <w:r w:rsidRPr="00970AF1">
        <w:rPr>
          <w:rFonts w:eastAsiaTheme="minorEastAsia" w:cs="Arial"/>
          <w:szCs w:val="20"/>
          <w:lang w:eastAsia="en-GB"/>
        </w:rPr>
        <w:t xml:space="preserve"> étant donné que la Russie est soumise aux procédures de contrôle de l'ONU.</w:t>
      </w:r>
      <w:r w:rsidRPr="00970AF1">
        <w:rPr>
          <w:rFonts w:eastAsiaTheme="minorEastAsia" w:cs="Arial"/>
          <w:szCs w:val="20"/>
          <w:vertAlign w:val="superscript"/>
          <w:lang w:eastAsia="en-GB"/>
        </w:rPr>
        <w:footnoteReference w:id="26"/>
      </w:r>
      <w:r w:rsidRPr="00970AF1">
        <w:rPr>
          <w:rFonts w:eastAsiaTheme="minorEastAsia" w:cs="Arial"/>
          <w:szCs w:val="20"/>
          <w:lang w:eastAsia="en-GB"/>
        </w:rPr>
        <w:t xml:space="preserve"> </w:t>
      </w:r>
    </w:p>
    <w:p w14:paraId="05BFD742" w14:textId="77777777" w:rsidR="004752E1" w:rsidRPr="00970AF1" w:rsidRDefault="004752E1" w:rsidP="004752E1">
      <w:pPr>
        <w:rPr>
          <w:rFonts w:eastAsiaTheme="minorEastAsia" w:cs="Arial"/>
          <w:szCs w:val="20"/>
          <w:lang w:eastAsia="en-GB"/>
        </w:rPr>
      </w:pPr>
    </w:p>
    <w:p w14:paraId="2BB1A292" w14:textId="77777777" w:rsidR="004752E1" w:rsidRPr="00970AF1" w:rsidRDefault="004752E1" w:rsidP="004752E1">
      <w:pPr>
        <w:rPr>
          <w:rFonts w:eastAsiaTheme="minorEastAsia" w:cs="Arial"/>
          <w:szCs w:val="20"/>
          <w:lang w:eastAsia="en-GB"/>
        </w:rPr>
      </w:pPr>
      <w:r w:rsidRPr="00970AF1">
        <w:rPr>
          <w:rFonts w:eastAsiaTheme="minorEastAsia" w:cs="Arial"/>
          <w:szCs w:val="20"/>
          <w:lang w:eastAsia="en-GB"/>
        </w:rPr>
        <w:t xml:space="preserve">L'intensité actuelle du dialogue devrait être poursuivie et de </w:t>
      </w:r>
      <w:r w:rsidRPr="00970AF1">
        <w:rPr>
          <w:rFonts w:eastAsiaTheme="minorEastAsia" w:cs="Arial"/>
          <w:b/>
          <w:bCs/>
          <w:szCs w:val="20"/>
          <w:lang w:eastAsia="en-GB"/>
        </w:rPr>
        <w:t xml:space="preserve">nouvelles synergies </w:t>
      </w:r>
      <w:r w:rsidRPr="00970AF1">
        <w:rPr>
          <w:rFonts w:eastAsiaTheme="minorEastAsia" w:cs="Arial"/>
          <w:szCs w:val="20"/>
          <w:lang w:eastAsia="en-GB"/>
        </w:rPr>
        <w:t xml:space="preserve">avec les Nations Unies devraient être explorées, en </w:t>
      </w:r>
      <w:r w:rsidRPr="00970AF1">
        <w:rPr>
          <w:rFonts w:eastAsiaTheme="minorEastAsia" w:cs="Arial"/>
          <w:b/>
          <w:bCs/>
          <w:szCs w:val="20"/>
          <w:lang w:eastAsia="en-GB"/>
        </w:rPr>
        <w:t xml:space="preserve">s'appuyant sur ces modalités déjà en cours d'évolution </w:t>
      </w:r>
      <w:r w:rsidRPr="00970AF1">
        <w:rPr>
          <w:rFonts w:eastAsiaTheme="minorEastAsia" w:cs="Arial"/>
          <w:szCs w:val="20"/>
          <w:lang w:eastAsia="en-GB"/>
        </w:rPr>
        <w:t xml:space="preserve">(voir ci-dessous la partie 5. Conclusions - Perspectives). </w:t>
      </w:r>
    </w:p>
    <w:p w14:paraId="58B6793A" w14:textId="77777777" w:rsidR="004752E1" w:rsidRPr="00970AF1" w:rsidRDefault="004752E1" w:rsidP="004752E1">
      <w:pPr>
        <w:rPr>
          <w:rFonts w:eastAsiaTheme="minorEastAsia" w:cs="Arial"/>
          <w:b/>
          <w:bCs/>
          <w:szCs w:val="20"/>
          <w:lang w:eastAsia="ja-JP"/>
        </w:rPr>
      </w:pPr>
      <w:r w:rsidRPr="00970AF1">
        <w:rPr>
          <w:rFonts w:eastAsiaTheme="minorEastAsia" w:cs="Arial"/>
          <w:b/>
          <w:bCs/>
          <w:szCs w:val="20"/>
          <w:lang w:eastAsia="ja-JP"/>
        </w:rPr>
        <w:br w:type="page"/>
      </w:r>
    </w:p>
    <w:p w14:paraId="6B559D21" w14:textId="77777777" w:rsidR="004752E1" w:rsidRPr="00970AF1" w:rsidRDefault="004752E1" w:rsidP="004752E1">
      <w:pPr>
        <w:tabs>
          <w:tab w:val="left" w:pos="567"/>
        </w:tabs>
        <w:rPr>
          <w:rFonts w:eastAsiaTheme="minorEastAsia" w:cs="Arial"/>
          <w:b/>
          <w:bCs/>
          <w:szCs w:val="20"/>
          <w:lang w:eastAsia="ja-JP"/>
        </w:rPr>
      </w:pPr>
      <w:r w:rsidRPr="00970AF1">
        <w:rPr>
          <w:rFonts w:eastAsiaTheme="minorEastAsia" w:cs="Arial"/>
          <w:b/>
          <w:bCs/>
          <w:szCs w:val="20"/>
          <w:lang w:eastAsia="ja-JP"/>
        </w:rPr>
        <w:lastRenderedPageBreak/>
        <w:t>3.</w:t>
      </w:r>
      <w:r w:rsidRPr="00970AF1">
        <w:rPr>
          <w:rFonts w:eastAsiaTheme="minorEastAsia" w:cs="Arial"/>
          <w:b/>
          <w:bCs/>
          <w:szCs w:val="20"/>
          <w:lang w:eastAsia="ja-JP"/>
        </w:rPr>
        <w:tab/>
        <w:t>Relations avec l’OSCE</w:t>
      </w:r>
    </w:p>
    <w:p w14:paraId="4E79ECE1" w14:textId="77777777" w:rsidR="004752E1" w:rsidRPr="00970AF1" w:rsidRDefault="004752E1" w:rsidP="004752E1">
      <w:pPr>
        <w:shd w:val="clear" w:color="auto" w:fill="FFFFFF"/>
        <w:rPr>
          <w:rFonts w:cs="Arial"/>
          <w:szCs w:val="20"/>
        </w:rPr>
      </w:pPr>
    </w:p>
    <w:p w14:paraId="3681512D" w14:textId="77777777" w:rsidR="004752E1" w:rsidRPr="00970AF1" w:rsidRDefault="004752E1" w:rsidP="004752E1">
      <w:pPr>
        <w:shd w:val="clear" w:color="auto" w:fill="FFFFFF"/>
        <w:tabs>
          <w:tab w:val="left" w:pos="851"/>
        </w:tabs>
        <w:ind w:firstLine="851"/>
        <w:rPr>
          <w:rFonts w:cs="Arial"/>
          <w:b/>
          <w:bCs/>
          <w:i/>
          <w:iCs/>
          <w:szCs w:val="20"/>
        </w:rPr>
      </w:pPr>
      <w:r w:rsidRPr="00970AF1">
        <w:rPr>
          <w:rFonts w:cs="Arial"/>
          <w:b/>
          <w:bCs/>
          <w:i/>
          <w:iCs/>
          <w:szCs w:val="20"/>
        </w:rPr>
        <w:t>Modalités de coopération actuelles</w:t>
      </w:r>
    </w:p>
    <w:p w14:paraId="1A13F23C" w14:textId="77777777" w:rsidR="004752E1" w:rsidRPr="00970AF1" w:rsidRDefault="004752E1" w:rsidP="004752E1">
      <w:pPr>
        <w:shd w:val="clear" w:color="auto" w:fill="FFFFFF"/>
        <w:ind w:firstLine="1134"/>
        <w:rPr>
          <w:rFonts w:cs="Arial"/>
          <w:b/>
          <w:bCs/>
          <w:i/>
          <w:iCs/>
          <w:szCs w:val="20"/>
        </w:rPr>
      </w:pPr>
    </w:p>
    <w:p w14:paraId="0A4094D5" w14:textId="77777777" w:rsidR="004752E1" w:rsidRPr="00970AF1" w:rsidRDefault="004752E1" w:rsidP="004752E1">
      <w:pPr>
        <w:shd w:val="clear" w:color="auto" w:fill="FFFFFF"/>
        <w:rPr>
          <w:rFonts w:cs="Arial"/>
          <w:szCs w:val="20"/>
        </w:rPr>
      </w:pPr>
      <w:r w:rsidRPr="00970AF1">
        <w:rPr>
          <w:rFonts w:cs="Arial"/>
          <w:szCs w:val="20"/>
        </w:rPr>
        <w:t>La coopération entre le CdE et l’OSCE a été formalisée, en 2005, par un Communiqué commun et une Déclaration de coopération entre les deux organisations,</w:t>
      </w:r>
      <w:r w:rsidRPr="00970AF1">
        <w:rPr>
          <w:rFonts w:cs="Arial"/>
          <w:szCs w:val="20"/>
          <w:vertAlign w:val="superscript"/>
        </w:rPr>
        <w:footnoteReference w:id="27"/>
      </w:r>
      <w:r w:rsidRPr="00970AF1">
        <w:rPr>
          <w:rFonts w:cs="Arial"/>
          <w:szCs w:val="20"/>
        </w:rPr>
        <w:t xml:space="preserve"> qui constituent les orientations politiques les plus importantes pour leurs relations. La coopération avec le </w:t>
      </w:r>
      <w:r w:rsidRPr="00970AF1">
        <w:rPr>
          <w:rFonts w:cs="Arial"/>
          <w:b/>
          <w:bCs/>
          <w:szCs w:val="20"/>
        </w:rPr>
        <w:t xml:space="preserve">Bureau des institutions démocratiques et des droits de l'homme </w:t>
      </w:r>
      <w:r w:rsidRPr="00970AF1">
        <w:rPr>
          <w:rFonts w:cs="Arial"/>
          <w:szCs w:val="20"/>
        </w:rPr>
        <w:t>(BIDDH) a également été officialisée par deux échanges de lettres (en 2015 et en 2019, respectivement). Le CdE mène une coopération étendue avec l'OSCE dans divers domaines politiques, y compris avec les institutions de l'OSCE (BIDDH, Haut-Commissaire pour les minorités nationales (HCNM) et Représentant pour la liberté des médias (</w:t>
      </w:r>
      <w:proofErr w:type="spellStart"/>
      <w:r w:rsidRPr="00970AF1">
        <w:rPr>
          <w:rFonts w:cs="Arial"/>
          <w:szCs w:val="20"/>
        </w:rPr>
        <w:t>RFoM</w:t>
      </w:r>
      <w:proofErr w:type="spellEnd"/>
      <w:r w:rsidRPr="00970AF1">
        <w:rPr>
          <w:rFonts w:cs="Arial"/>
          <w:szCs w:val="20"/>
        </w:rPr>
        <w:t>)) et la présence de l'OSCE sur le terrain.</w:t>
      </w:r>
    </w:p>
    <w:p w14:paraId="6A9A6939" w14:textId="77777777" w:rsidR="004752E1" w:rsidRPr="00970AF1" w:rsidRDefault="004752E1" w:rsidP="004752E1">
      <w:pPr>
        <w:shd w:val="clear" w:color="auto" w:fill="FFFFFF"/>
        <w:rPr>
          <w:rFonts w:cs="Arial"/>
          <w:szCs w:val="20"/>
        </w:rPr>
      </w:pPr>
    </w:p>
    <w:p w14:paraId="40C3923D" w14:textId="77777777" w:rsidR="004752E1" w:rsidRPr="00970AF1" w:rsidRDefault="004752E1" w:rsidP="004752E1">
      <w:pPr>
        <w:shd w:val="clear" w:color="auto" w:fill="FFFFFF"/>
        <w:rPr>
          <w:rFonts w:cs="Arial"/>
          <w:szCs w:val="20"/>
        </w:rPr>
      </w:pPr>
      <w:r w:rsidRPr="00970AF1">
        <w:rPr>
          <w:rFonts w:cs="Arial"/>
          <w:szCs w:val="20"/>
        </w:rPr>
        <w:t xml:space="preserve">On relève trois </w:t>
      </w:r>
      <w:r w:rsidRPr="00970AF1">
        <w:rPr>
          <w:rFonts w:cs="Arial"/>
          <w:b/>
          <w:bCs/>
          <w:szCs w:val="20"/>
        </w:rPr>
        <w:t>grandes formes</w:t>
      </w:r>
      <w:r w:rsidRPr="00970AF1">
        <w:rPr>
          <w:rFonts w:cs="Arial"/>
          <w:szCs w:val="20"/>
        </w:rPr>
        <w:t xml:space="preserve"> de coopération entre les deux organisations</w:t>
      </w:r>
      <w:r w:rsidRPr="00970AF1">
        <w:rPr>
          <w:rFonts w:cs="Arial"/>
          <w:szCs w:val="20"/>
          <w:vertAlign w:val="superscript"/>
        </w:rPr>
        <w:footnoteReference w:id="28"/>
      </w:r>
      <w:r w:rsidRPr="00970AF1">
        <w:rPr>
          <w:rFonts w:cs="Arial"/>
          <w:szCs w:val="20"/>
        </w:rPr>
        <w:t xml:space="preserve"> - les contacts politiques de haut niveau et les contacts au niveau des hauts fonctionnaires ; les activités conjointes – en particulier dans les domaines couverts par le Groupe de coordination CdE/OSCE ; – et la coopération sur le terrain.</w:t>
      </w:r>
    </w:p>
    <w:p w14:paraId="29CE0288" w14:textId="77777777" w:rsidR="004752E1" w:rsidRPr="00970AF1" w:rsidRDefault="004752E1" w:rsidP="004752E1">
      <w:pPr>
        <w:shd w:val="clear" w:color="auto" w:fill="FFFFFF"/>
        <w:rPr>
          <w:rFonts w:cs="Arial"/>
          <w:szCs w:val="20"/>
        </w:rPr>
      </w:pPr>
    </w:p>
    <w:p w14:paraId="5F43E31C" w14:textId="77777777" w:rsidR="004752E1" w:rsidRPr="00970AF1" w:rsidRDefault="004752E1" w:rsidP="004752E1">
      <w:pPr>
        <w:shd w:val="clear" w:color="auto" w:fill="FFFFFF"/>
        <w:ind w:firstLine="709"/>
        <w:rPr>
          <w:rFonts w:cs="Arial"/>
          <w:szCs w:val="20"/>
        </w:rPr>
      </w:pPr>
      <w:r w:rsidRPr="00970AF1">
        <w:rPr>
          <w:rFonts w:cs="Arial"/>
          <w:szCs w:val="20"/>
        </w:rPr>
        <w:t xml:space="preserve">- S’agissant du </w:t>
      </w:r>
      <w:r w:rsidRPr="00970AF1">
        <w:rPr>
          <w:rFonts w:cs="Arial"/>
          <w:b/>
          <w:bCs/>
          <w:szCs w:val="20"/>
        </w:rPr>
        <w:t>dialogue institutionnel</w:t>
      </w:r>
      <w:r w:rsidRPr="00970AF1">
        <w:rPr>
          <w:rFonts w:cs="Arial"/>
          <w:szCs w:val="20"/>
        </w:rPr>
        <w:t xml:space="preserve"> à haut niveau, les priorités des présidences de l’OSCE sont régulièrement présentées aux Délégués des Ministres du CdE, tout comme les priorités des Présidences du CdE le sont au Conseil permanent de l’OSCE. Les deux Secrétaires Générales se rencontrent régulièrement. De plus, la Secrétaire Générale du CdE participe aux réunions du Conseil permanent de l’OSCE, et la Secrétaire Générale de l’OSCE à celles des Délégués des ministres. La Secrétaire Générale de l’OSCE est régulièrement invitée à participer aux réunions du Comité des Ministres au niveau ministériel.</w:t>
      </w:r>
    </w:p>
    <w:p w14:paraId="4A6CA2DB" w14:textId="77777777" w:rsidR="004752E1" w:rsidRPr="00970AF1" w:rsidRDefault="004752E1" w:rsidP="004752E1">
      <w:pPr>
        <w:shd w:val="clear" w:color="auto" w:fill="FFFFFF"/>
        <w:ind w:firstLine="709"/>
        <w:rPr>
          <w:rFonts w:cs="Arial"/>
          <w:szCs w:val="20"/>
        </w:rPr>
      </w:pPr>
    </w:p>
    <w:p w14:paraId="44B084CC" w14:textId="77777777" w:rsidR="004752E1" w:rsidRPr="00970AF1" w:rsidRDefault="004752E1" w:rsidP="004752E1">
      <w:pPr>
        <w:shd w:val="clear" w:color="auto" w:fill="FFFFFF"/>
        <w:ind w:firstLine="709"/>
        <w:rPr>
          <w:rFonts w:cs="Arial"/>
          <w:szCs w:val="20"/>
        </w:rPr>
      </w:pPr>
      <w:r w:rsidRPr="00970AF1">
        <w:rPr>
          <w:rFonts w:cs="Arial"/>
          <w:szCs w:val="20"/>
        </w:rPr>
        <w:t xml:space="preserve">- Le </w:t>
      </w:r>
      <w:r w:rsidRPr="00970AF1">
        <w:rPr>
          <w:rFonts w:cs="Arial"/>
          <w:b/>
          <w:bCs/>
          <w:szCs w:val="20"/>
        </w:rPr>
        <w:t>Groupe de coordination</w:t>
      </w:r>
      <w:r w:rsidRPr="00970AF1">
        <w:rPr>
          <w:rFonts w:cs="Arial"/>
          <w:szCs w:val="20"/>
        </w:rPr>
        <w:t xml:space="preserve"> CdE/OSCE discute de la coopération dans les quatre domaines prioritaires définis - protection des droits des personnes appartenant à des minorités nationales, promotion de la tolérance et de la non-discrimination, lutte contre le terrorisme et lutte contre la traite des êtres humains. Ces domaines recoupent largement les mandats des trois institutions de l’OSCE : (BIDDH, HCNM et </w:t>
      </w:r>
      <w:proofErr w:type="spellStart"/>
      <w:r w:rsidRPr="00970AF1">
        <w:rPr>
          <w:rFonts w:cs="Arial"/>
          <w:szCs w:val="20"/>
        </w:rPr>
        <w:t>RFoM</w:t>
      </w:r>
      <w:proofErr w:type="spellEnd"/>
      <w:r w:rsidRPr="00970AF1">
        <w:rPr>
          <w:rFonts w:cs="Arial"/>
          <w:szCs w:val="20"/>
        </w:rPr>
        <w:t>. Des modalités pratiques ont toutefois été définies afin de pouvoir aborder d’autres thèmes (voir ci-dessous). Pour rappel, la réunion du Groupe de coordination CdE/OSCE du 3 novembre 2023 à Vienne était consacrée à la lutte contre la traite des êtres humains et à la lutte contre le terrorisme. Les réunions du Groupe de coordination sont une occasion précieuse de promouvoir les valeurs et les instruments du CdE dans les quatre domaines politiques spécialement définis.</w:t>
      </w:r>
    </w:p>
    <w:p w14:paraId="42E36CC3" w14:textId="77777777" w:rsidR="004752E1" w:rsidRPr="00970AF1" w:rsidRDefault="004752E1" w:rsidP="004752E1">
      <w:pPr>
        <w:shd w:val="clear" w:color="auto" w:fill="FFFFFF"/>
        <w:rPr>
          <w:rFonts w:cs="Arial"/>
          <w:szCs w:val="20"/>
        </w:rPr>
      </w:pPr>
    </w:p>
    <w:p w14:paraId="29D048D6" w14:textId="77777777" w:rsidR="004752E1" w:rsidRPr="00970AF1" w:rsidRDefault="004752E1" w:rsidP="004752E1">
      <w:pPr>
        <w:shd w:val="clear" w:color="auto" w:fill="FFFFFF"/>
        <w:ind w:firstLine="709"/>
        <w:rPr>
          <w:rFonts w:cs="Arial"/>
          <w:szCs w:val="20"/>
        </w:rPr>
      </w:pPr>
      <w:r w:rsidRPr="00970AF1">
        <w:rPr>
          <w:rFonts w:cs="Arial"/>
          <w:szCs w:val="20"/>
        </w:rPr>
        <w:t xml:space="preserve">- Vu le caractère central de la </w:t>
      </w:r>
      <w:r w:rsidRPr="00970AF1">
        <w:rPr>
          <w:rFonts w:cs="Arial"/>
          <w:b/>
          <w:bCs/>
          <w:szCs w:val="20"/>
        </w:rPr>
        <w:t>présence sur le terrain</w:t>
      </w:r>
      <w:r w:rsidRPr="00970AF1">
        <w:rPr>
          <w:rFonts w:cs="Arial"/>
          <w:szCs w:val="20"/>
        </w:rPr>
        <w:t xml:space="preserve"> pour l'OSCE, de nombreuses opérations de ce type coopèrent activement avec le CdE dans les pays respectifs, échangent des informations sur un large éventail de sujets et organisent des activités conjointes, par exemple dans le secteur de la justice et dans le domaine de la liberté d'expression et des médias.</w:t>
      </w:r>
    </w:p>
    <w:p w14:paraId="368704F9" w14:textId="77777777" w:rsidR="004752E1" w:rsidRPr="00970AF1" w:rsidRDefault="004752E1" w:rsidP="004752E1">
      <w:pPr>
        <w:rPr>
          <w:rFonts w:cs="Arial"/>
          <w:szCs w:val="20"/>
        </w:rPr>
      </w:pPr>
    </w:p>
    <w:p w14:paraId="74D68604" w14:textId="77777777" w:rsidR="004752E1" w:rsidRPr="00970AF1" w:rsidRDefault="004752E1" w:rsidP="004752E1">
      <w:pPr>
        <w:rPr>
          <w:rFonts w:cs="Arial"/>
          <w:szCs w:val="20"/>
        </w:rPr>
      </w:pPr>
      <w:r w:rsidRPr="00970AF1">
        <w:rPr>
          <w:rFonts w:cs="Arial"/>
          <w:szCs w:val="20"/>
        </w:rPr>
        <w:t xml:space="preserve">Les </w:t>
      </w:r>
      <w:r w:rsidRPr="00970AF1">
        <w:rPr>
          <w:rFonts w:cs="Arial"/>
          <w:b/>
          <w:bCs/>
          <w:szCs w:val="20"/>
        </w:rPr>
        <w:t>bureaux de liaison du CdE à Vienne et à Varsovie</w:t>
      </w:r>
      <w:r w:rsidRPr="00970AF1">
        <w:rPr>
          <w:rFonts w:cs="Arial"/>
          <w:szCs w:val="20"/>
        </w:rPr>
        <w:t xml:space="preserve"> facilitent la coopération entre les deux organisations et contribuent à la visibilité de l'Organisation, notamment par une présence régulière aux réunions, en particulier des Conseils ministériel et permanent de l'OSCE. Les bureaux de liaison de Vienne et de Varsovie assurent la participation des délégations du CdE aux réunions régulières de la </w:t>
      </w:r>
      <w:r w:rsidRPr="00970AF1">
        <w:rPr>
          <w:rFonts w:cs="Arial"/>
          <w:b/>
          <w:bCs/>
          <w:szCs w:val="20"/>
        </w:rPr>
        <w:t>Dimension humaine de l’OSCE</w:t>
      </w:r>
      <w:r w:rsidRPr="00970AF1">
        <w:rPr>
          <w:rFonts w:cs="Arial"/>
          <w:szCs w:val="20"/>
        </w:rPr>
        <w:t xml:space="preserve">, comme la Conférence de Varsovie sur la dimension humaine, du 2 au 13 octobre 2023 - une plateforme pour la promotion des normes et des activités du CdE. En marge de la conférence, le CdE a organisé un événement parallèle sur le droit d'accès aux informations détenues par l'État, qui a mis l’accent sur les normes du CdE. Des contacts réguliers avec le </w:t>
      </w:r>
      <w:r w:rsidRPr="00970AF1">
        <w:rPr>
          <w:rFonts w:cs="Arial"/>
          <w:b/>
          <w:bCs/>
          <w:szCs w:val="20"/>
        </w:rPr>
        <w:t>BIDDH de l’OSCE</w:t>
      </w:r>
      <w:r w:rsidRPr="00970AF1">
        <w:rPr>
          <w:rFonts w:cs="Arial"/>
          <w:szCs w:val="20"/>
        </w:rPr>
        <w:t xml:space="preserve"> sont également entretenus via le Bureau du CdE à Varsovie.</w:t>
      </w:r>
      <w:r w:rsidRPr="00970AF1">
        <w:rPr>
          <w:rFonts w:cs="Arial"/>
          <w:szCs w:val="20"/>
          <w:vertAlign w:val="superscript"/>
        </w:rPr>
        <w:footnoteReference w:id="29"/>
      </w:r>
    </w:p>
    <w:p w14:paraId="64E0452E" w14:textId="77777777" w:rsidR="004752E1" w:rsidRPr="00970AF1" w:rsidRDefault="004752E1" w:rsidP="004752E1">
      <w:pPr>
        <w:rPr>
          <w:rFonts w:cs="Arial"/>
          <w:szCs w:val="20"/>
        </w:rPr>
      </w:pPr>
    </w:p>
    <w:p w14:paraId="0ACAEE20" w14:textId="77777777" w:rsidR="004752E1" w:rsidRPr="00970AF1" w:rsidRDefault="004752E1" w:rsidP="004752E1">
      <w:pPr>
        <w:ind w:left="720"/>
        <w:contextualSpacing/>
        <w:rPr>
          <w:rFonts w:cs="Arial"/>
          <w:b/>
          <w:bCs/>
          <w:i/>
          <w:iCs/>
          <w:szCs w:val="20"/>
        </w:rPr>
      </w:pPr>
      <w:r w:rsidRPr="00970AF1">
        <w:rPr>
          <w:rFonts w:cs="Arial"/>
          <w:b/>
          <w:bCs/>
          <w:i/>
          <w:iCs/>
          <w:szCs w:val="20"/>
        </w:rPr>
        <w:t>Dialogue</w:t>
      </w:r>
    </w:p>
    <w:p w14:paraId="261DF122" w14:textId="77777777" w:rsidR="004752E1" w:rsidRPr="00970AF1" w:rsidRDefault="004752E1" w:rsidP="004752E1">
      <w:pPr>
        <w:ind w:left="720"/>
        <w:contextualSpacing/>
        <w:rPr>
          <w:rFonts w:cs="Arial"/>
          <w:b/>
          <w:bCs/>
          <w:i/>
          <w:iCs/>
          <w:szCs w:val="20"/>
        </w:rPr>
      </w:pPr>
    </w:p>
    <w:p w14:paraId="65B85EF8" w14:textId="77777777" w:rsidR="004752E1" w:rsidRPr="00970AF1" w:rsidRDefault="004752E1" w:rsidP="004752E1">
      <w:pPr>
        <w:rPr>
          <w:rFonts w:eastAsiaTheme="minorEastAsia" w:cs="Arial"/>
          <w:szCs w:val="20"/>
          <w:lang w:eastAsia="ja-JP"/>
        </w:rPr>
      </w:pPr>
      <w:r w:rsidRPr="00970AF1">
        <w:rPr>
          <w:rFonts w:eastAsiaTheme="minorEastAsia" w:cs="Arial"/>
          <w:szCs w:val="20"/>
          <w:lang w:eastAsia="ja-JP"/>
        </w:rPr>
        <w:t xml:space="preserve">La participation au </w:t>
      </w:r>
      <w:proofErr w:type="spellStart"/>
      <w:r w:rsidRPr="00970AF1">
        <w:rPr>
          <w:rFonts w:eastAsiaTheme="minorEastAsia" w:cs="Arial"/>
          <w:szCs w:val="20"/>
          <w:lang w:eastAsia="ja-JP"/>
        </w:rPr>
        <w:t>4</w:t>
      </w:r>
      <w:r w:rsidRPr="00970AF1">
        <w:rPr>
          <w:rFonts w:eastAsiaTheme="minorEastAsia" w:cs="Arial"/>
          <w:szCs w:val="20"/>
          <w:vertAlign w:val="superscript"/>
          <w:lang w:eastAsia="ja-JP"/>
        </w:rPr>
        <w:t>e</w:t>
      </w:r>
      <w:proofErr w:type="spellEnd"/>
      <w:r w:rsidRPr="00970AF1">
        <w:rPr>
          <w:rFonts w:eastAsiaTheme="minorEastAsia" w:cs="Arial"/>
          <w:szCs w:val="20"/>
          <w:lang w:eastAsia="ja-JP"/>
        </w:rPr>
        <w:t xml:space="preserve"> </w:t>
      </w:r>
      <w:r w:rsidRPr="00970AF1">
        <w:rPr>
          <w:rFonts w:eastAsiaTheme="minorEastAsia" w:cs="Arial"/>
          <w:b/>
          <w:bCs/>
          <w:szCs w:val="20"/>
          <w:lang w:eastAsia="ja-JP"/>
        </w:rPr>
        <w:t>Sommet du CdE</w:t>
      </w:r>
      <w:r w:rsidRPr="00970AF1">
        <w:rPr>
          <w:rFonts w:eastAsiaTheme="minorEastAsia" w:cs="Arial"/>
          <w:szCs w:val="20"/>
          <w:lang w:eastAsia="ja-JP"/>
        </w:rPr>
        <w:t xml:space="preserve"> (16-17 mai 2023) de dirigeants des institutions de l'OSCE, la Secrétaire générale Helga Schmid et le Président en exercice </w:t>
      </w:r>
      <w:proofErr w:type="spellStart"/>
      <w:r w:rsidRPr="00970AF1">
        <w:rPr>
          <w:rFonts w:eastAsiaTheme="minorEastAsia" w:cs="Arial"/>
          <w:szCs w:val="20"/>
          <w:lang w:eastAsia="ja-JP"/>
        </w:rPr>
        <w:t>Osmani</w:t>
      </w:r>
      <w:proofErr w:type="spellEnd"/>
      <w:r w:rsidRPr="00970AF1">
        <w:rPr>
          <w:rFonts w:eastAsiaTheme="minorEastAsia" w:cs="Arial"/>
          <w:szCs w:val="20"/>
          <w:lang w:eastAsia="ja-JP"/>
        </w:rPr>
        <w:t xml:space="preserve">, ministre des Affaires étrangères de Macédoine du Nord, a illustré l'engagement mutuel à défendre le multilatéralisme et à </w:t>
      </w:r>
      <w:r w:rsidRPr="00970AF1">
        <w:rPr>
          <w:rFonts w:eastAsiaTheme="minorEastAsia" w:cs="Arial"/>
          <w:b/>
          <w:bCs/>
          <w:szCs w:val="20"/>
          <w:lang w:eastAsia="ja-JP"/>
        </w:rPr>
        <w:t>renforcer</w:t>
      </w:r>
      <w:r w:rsidRPr="00970AF1">
        <w:rPr>
          <w:rFonts w:eastAsiaTheme="minorEastAsia" w:cs="Arial"/>
          <w:szCs w:val="20"/>
          <w:lang w:eastAsia="ja-JP"/>
        </w:rPr>
        <w:t xml:space="preserve"> le partenariat. Renouant avec une pratique antérieure, une réunion élargie de haut niveau réunissant les </w:t>
      </w:r>
      <w:r w:rsidRPr="00970AF1">
        <w:rPr>
          <w:rFonts w:cs="Arial"/>
          <w:szCs w:val="20"/>
        </w:rPr>
        <w:t xml:space="preserve">deux Secrétaires Générales </w:t>
      </w:r>
      <w:r w:rsidRPr="00970AF1">
        <w:rPr>
          <w:rFonts w:eastAsiaTheme="minorEastAsia" w:cs="Arial"/>
          <w:szCs w:val="20"/>
          <w:lang w:eastAsia="ja-JP"/>
        </w:rPr>
        <w:t>et les deux présidences (Président et Président en exercice) s'est également tenue en marge du sommet (</w:t>
      </w:r>
      <w:r w:rsidRPr="00970AF1">
        <w:rPr>
          <w:rFonts w:eastAsia="Times New Roman" w:cs="Arial"/>
          <w:b/>
          <w:bCs/>
          <w:szCs w:val="20"/>
          <w:lang w:eastAsia="ja-JP"/>
        </w:rPr>
        <w:t>réunion à haut niveau « 2+2 »</w:t>
      </w:r>
      <w:r w:rsidRPr="00970AF1">
        <w:rPr>
          <w:rFonts w:eastAsia="Times New Roman" w:cs="Arial"/>
          <w:szCs w:val="20"/>
          <w:lang w:eastAsia="ja-JP"/>
        </w:rPr>
        <w:t>)</w:t>
      </w:r>
      <w:r w:rsidRPr="00970AF1">
        <w:rPr>
          <w:rFonts w:eastAsiaTheme="minorEastAsia" w:cs="Arial"/>
          <w:szCs w:val="20"/>
          <w:lang w:eastAsia="ja-JP"/>
        </w:rPr>
        <w:t>.</w:t>
      </w:r>
    </w:p>
    <w:p w14:paraId="6D204415" w14:textId="77777777" w:rsidR="004752E1" w:rsidRPr="00970AF1" w:rsidRDefault="004752E1" w:rsidP="004752E1">
      <w:pPr>
        <w:keepNext/>
        <w:keepLines/>
        <w:rPr>
          <w:rFonts w:cs="Arial"/>
          <w:szCs w:val="20"/>
        </w:rPr>
      </w:pPr>
      <w:r w:rsidRPr="00970AF1">
        <w:rPr>
          <w:rFonts w:cs="Arial"/>
          <w:szCs w:val="20"/>
        </w:rPr>
        <w:lastRenderedPageBreak/>
        <w:t xml:space="preserve">Représentant le CdE lors du </w:t>
      </w:r>
      <w:proofErr w:type="spellStart"/>
      <w:r w:rsidRPr="00970AF1">
        <w:rPr>
          <w:rFonts w:cs="Arial"/>
          <w:b/>
          <w:bCs/>
          <w:szCs w:val="20"/>
        </w:rPr>
        <w:t>30</w:t>
      </w:r>
      <w:r w:rsidRPr="00970AF1">
        <w:rPr>
          <w:rFonts w:cs="Arial"/>
          <w:b/>
          <w:bCs/>
          <w:szCs w:val="20"/>
          <w:vertAlign w:val="superscript"/>
        </w:rPr>
        <w:t>e</w:t>
      </w:r>
      <w:proofErr w:type="spellEnd"/>
      <w:r w:rsidRPr="00970AF1">
        <w:rPr>
          <w:rFonts w:cs="Arial"/>
          <w:b/>
          <w:bCs/>
          <w:szCs w:val="20"/>
        </w:rPr>
        <w:t xml:space="preserve"> Conseil ministériel de l’OSCE,</w:t>
      </w:r>
      <w:r w:rsidRPr="00970AF1">
        <w:rPr>
          <w:rFonts w:cs="Arial"/>
          <w:szCs w:val="20"/>
        </w:rPr>
        <w:t xml:space="preserve"> organisé à Skopje du 30 novembre au 1</w:t>
      </w:r>
      <w:r w:rsidRPr="00970AF1">
        <w:rPr>
          <w:rFonts w:cs="Arial"/>
          <w:szCs w:val="20"/>
          <w:vertAlign w:val="superscript"/>
        </w:rPr>
        <w:t>er</w:t>
      </w:r>
      <w:r w:rsidRPr="00970AF1">
        <w:rPr>
          <w:rFonts w:cs="Arial"/>
          <w:szCs w:val="20"/>
        </w:rPr>
        <w:t xml:space="preserve"> décembre 2023, le Secrétaire Général adjoint a notamment réaffirmé le soutien indéfectible du CdE à l'Ukraine face à l'agression russe et son engagement à garantir une responsabilité pleine et entière.</w:t>
      </w:r>
      <w:r w:rsidRPr="00970AF1">
        <w:rPr>
          <w:rFonts w:cs="Arial"/>
          <w:szCs w:val="20"/>
          <w:vertAlign w:val="superscript"/>
        </w:rPr>
        <w:footnoteReference w:id="30"/>
      </w:r>
      <w:r w:rsidRPr="00970AF1">
        <w:rPr>
          <w:rFonts w:cs="Arial"/>
          <w:szCs w:val="20"/>
        </w:rPr>
        <w:t xml:space="preserve"> Réunis pour l’occasion, le Secrétaire général adjoint et le Président en exercice de l’OSCE et Ministre des Affaires étrangères de la Macédoine du Nord </w:t>
      </w:r>
      <w:proofErr w:type="spellStart"/>
      <w:r w:rsidRPr="00970AF1">
        <w:rPr>
          <w:rFonts w:cs="Arial"/>
          <w:szCs w:val="20"/>
        </w:rPr>
        <w:t>Osmani</w:t>
      </w:r>
      <w:proofErr w:type="spellEnd"/>
      <w:r w:rsidRPr="00970AF1">
        <w:rPr>
          <w:rFonts w:cs="Arial"/>
          <w:szCs w:val="20"/>
        </w:rPr>
        <w:t xml:space="preserve"> sont convenus de l'importance de renforcer le partenariat étroit entre le CdE et l'OSCE au plus haut niveau politique, et de poursuivre les efforts pour assurer la complémentarité et la coordination entre les deux Organisations.</w:t>
      </w:r>
    </w:p>
    <w:p w14:paraId="09E0BA5D" w14:textId="77777777" w:rsidR="004752E1" w:rsidRPr="00970AF1" w:rsidRDefault="004752E1" w:rsidP="004752E1">
      <w:pPr>
        <w:rPr>
          <w:rFonts w:cs="Arial"/>
          <w:szCs w:val="20"/>
        </w:rPr>
      </w:pPr>
    </w:p>
    <w:p w14:paraId="0D5A4872" w14:textId="77777777" w:rsidR="004752E1" w:rsidRPr="00970AF1" w:rsidRDefault="004752E1" w:rsidP="004752E1">
      <w:pPr>
        <w:rPr>
          <w:rFonts w:cs="Arial"/>
          <w:iCs/>
          <w:szCs w:val="20"/>
        </w:rPr>
      </w:pPr>
      <w:r w:rsidRPr="00970AF1">
        <w:rPr>
          <w:rFonts w:cs="Arial"/>
          <w:szCs w:val="20"/>
        </w:rPr>
        <w:t xml:space="preserve">De plus, le 12 décembre 2023, le </w:t>
      </w:r>
      <w:r w:rsidRPr="00970AF1">
        <w:rPr>
          <w:rFonts w:cs="Arial"/>
          <w:b/>
          <w:bCs/>
          <w:szCs w:val="20"/>
        </w:rPr>
        <w:t>GR-EXT</w:t>
      </w:r>
      <w:r w:rsidRPr="00970AF1">
        <w:rPr>
          <w:rFonts w:cs="Arial"/>
          <w:szCs w:val="20"/>
        </w:rPr>
        <w:t xml:space="preserve"> a eu un échange de vues avec </w:t>
      </w:r>
      <w:r w:rsidRPr="00970AF1">
        <w:rPr>
          <w:rFonts w:eastAsia="Times New Roman" w:cs="Arial"/>
          <w:szCs w:val="20"/>
        </w:rPr>
        <w:t xml:space="preserve">M. l'Ambassadeur </w:t>
      </w:r>
      <w:r w:rsidRPr="00970AF1">
        <w:rPr>
          <w:rFonts w:cs="Arial"/>
          <w:szCs w:val="20"/>
        </w:rPr>
        <w:t xml:space="preserve">Igor </w:t>
      </w:r>
      <w:proofErr w:type="spellStart"/>
      <w:r w:rsidRPr="00970AF1">
        <w:rPr>
          <w:rFonts w:cs="Arial"/>
          <w:szCs w:val="20"/>
        </w:rPr>
        <w:t>Djundev</w:t>
      </w:r>
      <w:proofErr w:type="spellEnd"/>
      <w:r w:rsidRPr="00970AF1">
        <w:rPr>
          <w:rFonts w:cs="Arial"/>
          <w:szCs w:val="20"/>
        </w:rPr>
        <w:t>, représentant Permanent de la Macédoine du Nord auprès de l'OSCE (la Macédoine du Nord assurait alors la présidence de l'OSCE) sur la coopération entre le CdE et l'OSCE</w:t>
      </w:r>
      <w:r w:rsidRPr="00970AF1">
        <w:rPr>
          <w:rFonts w:cs="Arial"/>
          <w:iCs/>
          <w:szCs w:val="20"/>
        </w:rPr>
        <w:t>.</w:t>
      </w:r>
      <w:r w:rsidRPr="00970AF1">
        <w:rPr>
          <w:rFonts w:cs="Arial"/>
          <w:iCs/>
          <w:szCs w:val="20"/>
          <w:vertAlign w:val="superscript"/>
        </w:rPr>
        <w:footnoteReference w:id="31"/>
      </w:r>
      <w:r w:rsidRPr="00970AF1">
        <w:rPr>
          <w:rFonts w:cs="Arial"/>
          <w:iCs/>
          <w:szCs w:val="20"/>
        </w:rPr>
        <w:t xml:space="preserve"> </w:t>
      </w:r>
      <w:r w:rsidRPr="00970AF1">
        <w:rPr>
          <w:rFonts w:eastAsia="Times New Roman" w:cs="Arial"/>
          <w:szCs w:val="20"/>
        </w:rPr>
        <w:t xml:space="preserve">M. l'Ambassadeur </w:t>
      </w:r>
      <w:proofErr w:type="spellStart"/>
      <w:r w:rsidRPr="00970AF1">
        <w:rPr>
          <w:rFonts w:eastAsia="Times New Roman" w:cs="Arial"/>
          <w:szCs w:val="20"/>
        </w:rPr>
        <w:t>Djundev</w:t>
      </w:r>
      <w:proofErr w:type="spellEnd"/>
      <w:r w:rsidRPr="00970AF1">
        <w:rPr>
          <w:rFonts w:eastAsia="Times New Roman" w:cs="Arial"/>
          <w:szCs w:val="20"/>
        </w:rPr>
        <w:t xml:space="preserve"> s'est félicité de la coopération de longue date et des excellents échanges entre le CdE et l'OSCE. Il a souligné que les deux organisations sont des partenaires naturels, partageant les mêmes valeurs et la même mission, dont les travaux se complètent et se renforcent mutuellement. Cet échange a permis de faire le point sur les faits récents et de formuler des propositions pour renforcer la coopération. À cet égard, M. l'Ambassadeur </w:t>
      </w:r>
      <w:proofErr w:type="spellStart"/>
      <w:r w:rsidRPr="00970AF1">
        <w:rPr>
          <w:rFonts w:eastAsia="Times New Roman" w:cs="Arial"/>
          <w:szCs w:val="20"/>
        </w:rPr>
        <w:t>Djundev</w:t>
      </w:r>
      <w:proofErr w:type="spellEnd"/>
      <w:r w:rsidRPr="00970AF1">
        <w:rPr>
          <w:rFonts w:eastAsia="Times New Roman" w:cs="Arial"/>
          <w:szCs w:val="20"/>
        </w:rPr>
        <w:t xml:space="preserve"> a suggéré, entre autres, des contacts plus étroits au plus haut niveau politique. Il a également exprimé l'espoir que les relations puissent être développées davantage grâce à une approche souple et pragmatique et a suggéré, entre autres, d'étudier la possibilité de rétablir la pratique antérieure des « réunions tripartites » entre l'ONU, l'OSCE et le CdE.</w:t>
      </w:r>
    </w:p>
    <w:p w14:paraId="5B99FBE7" w14:textId="77777777" w:rsidR="004752E1" w:rsidRPr="00970AF1" w:rsidRDefault="004752E1" w:rsidP="004752E1">
      <w:pPr>
        <w:rPr>
          <w:rFonts w:eastAsia="Times New Roman" w:cs="Arial"/>
          <w:szCs w:val="20"/>
        </w:rPr>
      </w:pPr>
    </w:p>
    <w:p w14:paraId="3D61B97D" w14:textId="77777777" w:rsidR="004752E1" w:rsidRPr="00970AF1" w:rsidRDefault="004752E1" w:rsidP="004752E1">
      <w:pPr>
        <w:rPr>
          <w:rFonts w:cs="Arial"/>
          <w:szCs w:val="20"/>
        </w:rPr>
      </w:pPr>
      <w:r w:rsidRPr="00970AF1">
        <w:rPr>
          <w:rFonts w:cs="Arial"/>
          <w:szCs w:val="20"/>
        </w:rPr>
        <w:t xml:space="preserve">La nécessité de poursuivre la participation active des délégations du CdE aux </w:t>
      </w:r>
      <w:r w:rsidRPr="00970AF1">
        <w:rPr>
          <w:rFonts w:cs="Arial"/>
          <w:b/>
          <w:bCs/>
          <w:szCs w:val="20"/>
        </w:rPr>
        <w:t>réunions de l'OSCE sur la dimension humaine</w:t>
      </w:r>
      <w:r w:rsidRPr="00970AF1">
        <w:rPr>
          <w:rFonts w:cs="Arial"/>
          <w:szCs w:val="20"/>
        </w:rPr>
        <w:t>, y compris à un niveau plus élevé, a également été mentionnée à d'autres occasions.</w:t>
      </w:r>
    </w:p>
    <w:p w14:paraId="6915D1D1" w14:textId="77777777" w:rsidR="004752E1" w:rsidRPr="00970AF1" w:rsidRDefault="004752E1" w:rsidP="004752E1">
      <w:pPr>
        <w:rPr>
          <w:rFonts w:cs="Arial"/>
          <w:szCs w:val="20"/>
        </w:rPr>
      </w:pPr>
    </w:p>
    <w:p w14:paraId="051F1DDD" w14:textId="77777777" w:rsidR="004752E1" w:rsidRPr="00970AF1" w:rsidRDefault="004752E1" w:rsidP="004752E1">
      <w:pPr>
        <w:rPr>
          <w:rFonts w:cs="Arial"/>
          <w:szCs w:val="20"/>
        </w:rPr>
      </w:pPr>
      <w:r w:rsidRPr="00970AF1">
        <w:rPr>
          <w:rFonts w:cs="Arial"/>
          <w:szCs w:val="20"/>
        </w:rPr>
        <w:t>Ajoutons que le 7 juin 2023, à Strasbourg, la Secrétaire Générale du CdE a rencontré le Haut-Commissaire de l’OSCE pour les minorités nationales pour le lancement officiel de la ressource Internet commune « Recueil des normes du CdE et de l'OSCE relatives aux minorités nationales ».</w:t>
      </w:r>
    </w:p>
    <w:p w14:paraId="15C96015" w14:textId="77777777" w:rsidR="004752E1" w:rsidRPr="00970AF1" w:rsidRDefault="004752E1" w:rsidP="004752E1">
      <w:pPr>
        <w:rPr>
          <w:rFonts w:cs="Arial"/>
          <w:szCs w:val="20"/>
        </w:rPr>
      </w:pPr>
    </w:p>
    <w:p w14:paraId="6977D354" w14:textId="77777777" w:rsidR="004752E1" w:rsidRPr="00970AF1" w:rsidRDefault="004752E1" w:rsidP="004752E1">
      <w:pPr>
        <w:rPr>
          <w:rFonts w:eastAsiaTheme="minorEastAsia" w:cs="Arial"/>
          <w:szCs w:val="20"/>
          <w:lang w:eastAsia="ja-JP"/>
        </w:rPr>
      </w:pPr>
      <w:r w:rsidRPr="00970AF1">
        <w:rPr>
          <w:rFonts w:cs="Arial"/>
          <w:szCs w:val="20"/>
        </w:rPr>
        <w:t>La dynamique du dialogue devrait être poursuivie et d'</w:t>
      </w:r>
      <w:r w:rsidRPr="00970AF1">
        <w:rPr>
          <w:rFonts w:cs="Arial"/>
          <w:b/>
          <w:bCs/>
          <w:szCs w:val="20"/>
        </w:rPr>
        <w:t xml:space="preserve">autres possibilités de synergies </w:t>
      </w:r>
      <w:r w:rsidRPr="00970AF1">
        <w:rPr>
          <w:rFonts w:cs="Arial"/>
          <w:szCs w:val="20"/>
        </w:rPr>
        <w:t xml:space="preserve">devraient être étudiées, en </w:t>
      </w:r>
      <w:r w:rsidRPr="00970AF1">
        <w:rPr>
          <w:rFonts w:cs="Arial"/>
          <w:b/>
          <w:bCs/>
          <w:szCs w:val="20"/>
        </w:rPr>
        <w:t xml:space="preserve">s'appuyant sur les modalités et pratiques déjà en cours d'évolution </w:t>
      </w:r>
      <w:r w:rsidRPr="00970AF1">
        <w:rPr>
          <w:rFonts w:cs="Arial"/>
          <w:szCs w:val="20"/>
        </w:rPr>
        <w:t>(voir ci-dessous la partie 5. Conclusions -Perspectives).</w:t>
      </w:r>
    </w:p>
    <w:p w14:paraId="34F32538" w14:textId="77777777" w:rsidR="004752E1" w:rsidRPr="00970AF1" w:rsidRDefault="004752E1" w:rsidP="004752E1">
      <w:pPr>
        <w:rPr>
          <w:rFonts w:eastAsiaTheme="minorEastAsia" w:cs="Arial"/>
          <w:szCs w:val="20"/>
          <w:lang w:eastAsia="ja-JP"/>
        </w:rPr>
      </w:pPr>
    </w:p>
    <w:p w14:paraId="6EE797CD" w14:textId="77777777" w:rsidR="004752E1" w:rsidRPr="00970AF1" w:rsidRDefault="004752E1" w:rsidP="004752E1">
      <w:pPr>
        <w:ind w:left="567" w:hanging="567"/>
        <w:rPr>
          <w:rFonts w:eastAsiaTheme="minorEastAsia" w:cs="Arial"/>
          <w:b/>
          <w:bCs/>
          <w:szCs w:val="20"/>
          <w:lang w:eastAsia="ja-JP"/>
        </w:rPr>
      </w:pPr>
      <w:r w:rsidRPr="00970AF1">
        <w:rPr>
          <w:rFonts w:eastAsiaTheme="minorEastAsia" w:cs="Arial"/>
          <w:b/>
          <w:bCs/>
          <w:szCs w:val="20"/>
          <w:lang w:eastAsia="ja-JP"/>
        </w:rPr>
        <w:t>4.</w:t>
      </w:r>
      <w:r w:rsidRPr="00970AF1">
        <w:rPr>
          <w:rFonts w:eastAsiaTheme="minorEastAsia" w:cs="Arial"/>
          <w:b/>
          <w:bCs/>
          <w:szCs w:val="20"/>
          <w:lang w:eastAsia="ja-JP"/>
        </w:rPr>
        <w:tab/>
        <w:t xml:space="preserve">Exemples de dialogue et de </w:t>
      </w:r>
      <w:bookmarkStart w:id="3" w:name="_Hlk158047744"/>
      <w:r w:rsidRPr="00970AF1">
        <w:rPr>
          <w:rFonts w:eastAsiaTheme="minorEastAsia" w:cs="Arial"/>
          <w:b/>
          <w:bCs/>
          <w:szCs w:val="20"/>
          <w:lang w:eastAsia="ja-JP"/>
        </w:rPr>
        <w:t>promotion</w:t>
      </w:r>
      <w:bookmarkEnd w:id="3"/>
      <w:r w:rsidRPr="00970AF1">
        <w:rPr>
          <w:rFonts w:eastAsiaTheme="minorEastAsia" w:cs="Arial"/>
          <w:b/>
          <w:bCs/>
          <w:szCs w:val="20"/>
          <w:lang w:eastAsia="ja-JP"/>
        </w:rPr>
        <w:t xml:space="preserve"> avec d'autres organisations internationales</w:t>
      </w:r>
    </w:p>
    <w:p w14:paraId="45B79819" w14:textId="77777777" w:rsidR="004752E1" w:rsidRPr="00970AF1" w:rsidRDefault="004752E1" w:rsidP="004752E1">
      <w:pPr>
        <w:rPr>
          <w:rFonts w:eastAsiaTheme="minorEastAsia" w:cs="Arial"/>
          <w:b/>
          <w:bCs/>
          <w:szCs w:val="20"/>
          <w:lang w:eastAsia="ja-JP"/>
        </w:rPr>
      </w:pPr>
    </w:p>
    <w:p w14:paraId="2F52BE0A" w14:textId="77777777" w:rsidR="004752E1" w:rsidRPr="00970AF1" w:rsidRDefault="004752E1" w:rsidP="004752E1">
      <w:pPr>
        <w:rPr>
          <w:rFonts w:eastAsiaTheme="minorEastAsia" w:cs="Arial"/>
          <w:szCs w:val="20"/>
          <w:shd w:val="clear" w:color="auto" w:fill="FFFFFF"/>
          <w:lang w:eastAsia="ja-JP"/>
        </w:rPr>
      </w:pPr>
      <w:r w:rsidRPr="00970AF1">
        <w:rPr>
          <w:rFonts w:eastAsiaTheme="minorEastAsia" w:cs="Arial"/>
          <w:szCs w:val="20"/>
          <w:shd w:val="clear" w:color="auto" w:fill="FFFFFF"/>
          <w:lang w:eastAsia="ja-JP"/>
        </w:rPr>
        <w:t xml:space="preserve">Comme indiqué ci-dessus, le CdE a développé une coopération formelle et non formelle avec plusieurs autres organisations internationales. </w:t>
      </w:r>
    </w:p>
    <w:p w14:paraId="14516000" w14:textId="77777777" w:rsidR="004752E1" w:rsidRPr="00970AF1" w:rsidRDefault="004752E1" w:rsidP="004752E1">
      <w:pPr>
        <w:rPr>
          <w:rFonts w:eastAsiaTheme="minorEastAsia" w:cs="Arial"/>
          <w:szCs w:val="20"/>
          <w:shd w:val="clear" w:color="auto" w:fill="FFFFFF"/>
          <w:lang w:eastAsia="ja-JP"/>
        </w:rPr>
      </w:pPr>
    </w:p>
    <w:p w14:paraId="10DC95BA" w14:textId="77777777" w:rsidR="004752E1" w:rsidRPr="00970AF1" w:rsidRDefault="004752E1" w:rsidP="004752E1">
      <w:pPr>
        <w:rPr>
          <w:rFonts w:eastAsiaTheme="minorEastAsia" w:cs="Arial"/>
          <w:szCs w:val="20"/>
          <w:shd w:val="clear" w:color="auto" w:fill="FFFFFF"/>
          <w:lang w:eastAsia="ja-JP"/>
        </w:rPr>
      </w:pPr>
      <w:r w:rsidRPr="00970AF1">
        <w:rPr>
          <w:rFonts w:eastAsiaTheme="minorEastAsia" w:cs="Arial"/>
          <w:szCs w:val="20"/>
          <w:shd w:val="clear" w:color="auto" w:fill="FFFFFF"/>
          <w:lang w:eastAsia="ja-JP"/>
        </w:rPr>
        <w:t>Un dialogue à haut niveau et des activités de promotion ont été récemment développés avec l'</w:t>
      </w:r>
      <w:r w:rsidRPr="00970AF1">
        <w:rPr>
          <w:rFonts w:eastAsiaTheme="minorEastAsia" w:cs="Arial"/>
          <w:b/>
          <w:bCs/>
          <w:szCs w:val="20"/>
          <w:shd w:val="clear" w:color="auto" w:fill="FFFFFF"/>
          <w:lang w:eastAsia="ja-JP"/>
        </w:rPr>
        <w:t xml:space="preserve">Organisation des États américains </w:t>
      </w:r>
      <w:r w:rsidRPr="00970AF1">
        <w:rPr>
          <w:rFonts w:eastAsiaTheme="minorEastAsia" w:cs="Arial"/>
          <w:szCs w:val="20"/>
          <w:shd w:val="clear" w:color="auto" w:fill="FFFFFF"/>
          <w:lang w:eastAsia="ja-JP"/>
        </w:rPr>
        <w:t>(OEA), via un Protocole d'accord de 2011 et des accords sectoriels. La Secrétaire Générale et le Secrétaire général adjoint ont rencontré le Secrétaire Général Luis Almagro à New York en septembre et à Washington en décembre 2023, respectivement, ce qui a permis de discuter en particulier du registre des dommages du CdE, de la préparation de la convention-cadre sur l'intelligence artificielle et des « Principes de Reykjavik pour la démocratie ». Les échanges ont aussi souligné le rôle actif de chaque organisation dans la promotion des instruments de l’autre. Le Secrétaire Général de l’OEA s’est également déclaré intéressé par une participation au Forum mondial de la démocratie du CdE.</w:t>
      </w:r>
    </w:p>
    <w:p w14:paraId="7968BD1C" w14:textId="77777777" w:rsidR="004752E1" w:rsidRPr="00970AF1" w:rsidRDefault="004752E1" w:rsidP="004752E1">
      <w:pPr>
        <w:rPr>
          <w:rFonts w:eastAsiaTheme="minorEastAsia" w:cs="Arial"/>
          <w:b/>
          <w:bCs/>
          <w:szCs w:val="20"/>
          <w:lang w:eastAsia="ja-JP"/>
        </w:rPr>
      </w:pPr>
    </w:p>
    <w:p w14:paraId="422BD262" w14:textId="77777777" w:rsidR="004752E1" w:rsidRPr="00970AF1" w:rsidRDefault="004752E1" w:rsidP="004752E1">
      <w:pPr>
        <w:shd w:val="clear" w:color="auto" w:fill="FFFFFF"/>
        <w:rPr>
          <w:rFonts w:cs="Arial"/>
          <w:szCs w:val="20"/>
        </w:rPr>
      </w:pPr>
      <w:proofErr w:type="spellStart"/>
      <w:r w:rsidRPr="00970AF1">
        <w:rPr>
          <w:rFonts w:cs="Arial"/>
          <w:szCs w:val="20"/>
          <w:shd w:val="clear" w:color="auto" w:fill="FFFFFF"/>
        </w:rPr>
        <w:t>A</w:t>
      </w:r>
      <w:proofErr w:type="spellEnd"/>
      <w:r w:rsidRPr="00970AF1">
        <w:rPr>
          <w:rFonts w:cs="Arial"/>
          <w:szCs w:val="20"/>
          <w:shd w:val="clear" w:color="auto" w:fill="FFFFFF"/>
        </w:rPr>
        <w:t xml:space="preserve"> titre d’exemple également, le dialogue et la coopération se sont développés avec l'</w:t>
      </w:r>
      <w:r w:rsidRPr="00970AF1">
        <w:rPr>
          <w:rFonts w:cs="Arial"/>
          <w:b/>
          <w:bCs/>
          <w:szCs w:val="20"/>
        </w:rPr>
        <w:t xml:space="preserve">Organisation internationale de la Francophonie </w:t>
      </w:r>
      <w:r w:rsidRPr="00970AF1">
        <w:rPr>
          <w:rFonts w:cs="Arial"/>
          <w:szCs w:val="20"/>
          <w:shd w:val="clear" w:color="auto" w:fill="FFFFFF"/>
        </w:rPr>
        <w:t>(OIF). Cette coopération a été officialisée par la Déclaration conjointe de 2009 et un Programme de coopération pluriannuel discuté au sein du GR-EXT avec l’OIF. Le dernier échange organisé le 5 octobre 2023 par le GR-EXT pour examiner le rapport d’étape sur la mise en œuvre du programme de coopération (2020-2023)</w:t>
      </w:r>
      <w:r w:rsidRPr="00970AF1">
        <w:rPr>
          <w:rFonts w:cs="Arial"/>
          <w:szCs w:val="20"/>
          <w:vertAlign w:val="superscript"/>
        </w:rPr>
        <w:footnoteReference w:id="32"/>
      </w:r>
      <w:r w:rsidRPr="00970AF1">
        <w:rPr>
          <w:rFonts w:cs="Arial"/>
          <w:szCs w:val="20"/>
          <w:shd w:val="clear" w:color="auto" w:fill="FFFFFF"/>
        </w:rPr>
        <w:t xml:space="preserve"> a fourni une vue d’ensemble de la collaboration entre les deux organisations et des initiatives de promotion de la francophonie. Il a entre autres aussi permis de confirmer le rôle joué par l’OIF dans la promotion d’instruments du CdE dans les États non-membres de l’Organisation, en particulier via les Groupes d’ambassadeurs francophones de l’</w:t>
      </w:r>
      <w:r w:rsidRPr="00970AF1">
        <w:rPr>
          <w:rFonts w:cs="Arial"/>
          <w:szCs w:val="20"/>
        </w:rPr>
        <w:t>OIF</w:t>
      </w:r>
      <w:r w:rsidRPr="00970AF1">
        <w:rPr>
          <w:rFonts w:cs="Arial"/>
          <w:szCs w:val="20"/>
          <w:shd w:val="clear" w:color="auto" w:fill="FFFFFF"/>
        </w:rPr>
        <w:t xml:space="preserve">. Le 18 octobre 2023, les Délégués des Ministres ont décidé de prolonger d'un an le programme actuel et ont chargé le Secrétariat « d’explorer la possibilité d’une coopération sur les plaidoyers en faveur de l’abolition de la peine de mort, dans un premier temps, dans le cadre des interventions ad hoc envisagées dans le programme de </w:t>
      </w:r>
      <w:proofErr w:type="gramStart"/>
      <w:r w:rsidRPr="00970AF1">
        <w:rPr>
          <w:rFonts w:cs="Arial"/>
          <w:szCs w:val="20"/>
          <w:shd w:val="clear" w:color="auto" w:fill="FFFFFF"/>
        </w:rPr>
        <w:t>coopération</w:t>
      </w:r>
      <w:r w:rsidRPr="00970AF1">
        <w:rPr>
          <w:rFonts w:cs="Arial"/>
          <w:szCs w:val="20"/>
        </w:rPr>
        <w:t>»</w:t>
      </w:r>
      <w:proofErr w:type="gramEnd"/>
      <w:r w:rsidRPr="00970AF1">
        <w:rPr>
          <w:rFonts w:cs="Arial"/>
          <w:szCs w:val="20"/>
          <w:vertAlign w:val="superscript"/>
        </w:rPr>
        <w:footnoteReference w:id="33"/>
      </w:r>
      <w:r w:rsidRPr="00970AF1">
        <w:rPr>
          <w:rFonts w:cs="Arial"/>
          <w:szCs w:val="20"/>
        </w:rPr>
        <w:t xml:space="preserve"> (Voir ci-dessous - Perspectives).</w:t>
      </w:r>
    </w:p>
    <w:p w14:paraId="06DAE83E" w14:textId="77777777" w:rsidR="004752E1" w:rsidRPr="00970AF1" w:rsidRDefault="004752E1" w:rsidP="004752E1">
      <w:pPr>
        <w:rPr>
          <w:rFonts w:cs="Arial"/>
          <w:szCs w:val="20"/>
        </w:rPr>
      </w:pPr>
      <w:r w:rsidRPr="00970AF1">
        <w:rPr>
          <w:rFonts w:cs="Arial"/>
          <w:szCs w:val="20"/>
        </w:rPr>
        <w:br w:type="page"/>
      </w:r>
    </w:p>
    <w:p w14:paraId="170C5609" w14:textId="77777777" w:rsidR="004752E1" w:rsidRPr="00970AF1" w:rsidRDefault="004752E1" w:rsidP="004752E1">
      <w:pPr>
        <w:rPr>
          <w:rFonts w:eastAsiaTheme="minorEastAsia" w:cs="Arial"/>
          <w:szCs w:val="20"/>
          <w:shd w:val="clear" w:color="auto" w:fill="FFFFFF"/>
          <w:lang w:eastAsia="ja-JP"/>
        </w:rPr>
      </w:pPr>
      <w:r w:rsidRPr="00970AF1">
        <w:rPr>
          <w:rFonts w:eastAsiaTheme="minorEastAsia" w:cs="Arial"/>
          <w:szCs w:val="20"/>
          <w:shd w:val="clear" w:color="auto" w:fill="FFFFFF"/>
          <w:lang w:eastAsia="ja-JP"/>
        </w:rPr>
        <w:lastRenderedPageBreak/>
        <w:t>Par ailleurs, des contacts ont été développés avec l’</w:t>
      </w:r>
      <w:r w:rsidRPr="00970AF1">
        <w:rPr>
          <w:rFonts w:eastAsia="Times New Roman" w:cs="Arial"/>
          <w:szCs w:val="20"/>
          <w:lang w:eastAsia="fr-FR"/>
        </w:rPr>
        <w:t>Association des nations de l’Asie du Sud-Est (</w:t>
      </w:r>
      <w:r w:rsidRPr="00970AF1">
        <w:rPr>
          <w:rFonts w:eastAsia="Times New Roman" w:cs="Arial"/>
          <w:b/>
          <w:bCs/>
          <w:szCs w:val="20"/>
          <w:lang w:eastAsia="fr-FR"/>
        </w:rPr>
        <w:t>ANASE</w:t>
      </w:r>
      <w:r w:rsidRPr="00970AF1">
        <w:rPr>
          <w:rFonts w:eastAsia="Times New Roman" w:cs="Arial"/>
          <w:szCs w:val="20"/>
          <w:lang w:eastAsia="fr-FR"/>
        </w:rPr>
        <w:t xml:space="preserve">) par le biais de réunions avec des représentants à Bruxelles en septembre 2023 et d'une visite d'étude de la Commission intergouvernementale des droits de l'homme de l'ANASE (AICHR) du 4 au 6 octobre 2023. Il a été convenu de poursuivre le développement des contacts (voir ci-dessous). </w:t>
      </w:r>
    </w:p>
    <w:p w14:paraId="4F4D63FF" w14:textId="77777777" w:rsidR="004752E1" w:rsidRPr="00970AF1" w:rsidRDefault="004752E1" w:rsidP="004752E1">
      <w:pPr>
        <w:rPr>
          <w:rFonts w:eastAsiaTheme="minorEastAsia" w:cs="Arial"/>
          <w:szCs w:val="20"/>
          <w:shd w:val="clear" w:color="auto" w:fill="FFFFFF"/>
          <w:lang w:eastAsia="ja-JP"/>
        </w:rPr>
      </w:pPr>
    </w:p>
    <w:p w14:paraId="67020779" w14:textId="77777777" w:rsidR="004752E1" w:rsidRPr="00970AF1" w:rsidRDefault="004752E1" w:rsidP="004752E1">
      <w:pPr>
        <w:rPr>
          <w:rFonts w:eastAsia="Times New Roman" w:cs="Arial"/>
          <w:szCs w:val="20"/>
          <w:lang w:eastAsia="fr-FR"/>
        </w:rPr>
      </w:pPr>
      <w:r w:rsidRPr="00970AF1">
        <w:rPr>
          <w:rFonts w:eastAsiaTheme="minorEastAsia" w:cs="Arial"/>
          <w:szCs w:val="20"/>
          <w:shd w:val="clear" w:color="auto" w:fill="FFFFFF"/>
          <w:lang w:eastAsia="ja-JP"/>
        </w:rPr>
        <w:t xml:space="preserve">Citons également le dialogue </w:t>
      </w:r>
      <w:r w:rsidRPr="00970AF1">
        <w:rPr>
          <w:rFonts w:eastAsiaTheme="minorEastAsia" w:cs="Arial"/>
          <w:i/>
          <w:iCs/>
          <w:szCs w:val="20"/>
          <w:shd w:val="clear" w:color="auto" w:fill="FFFFFF"/>
          <w:lang w:eastAsia="ja-JP"/>
        </w:rPr>
        <w:t>ad hoc</w:t>
      </w:r>
      <w:r w:rsidRPr="00970AF1">
        <w:rPr>
          <w:rFonts w:eastAsiaTheme="minorEastAsia" w:cs="Arial"/>
          <w:szCs w:val="20"/>
          <w:shd w:val="clear" w:color="auto" w:fill="FFFFFF"/>
          <w:lang w:eastAsia="ja-JP"/>
        </w:rPr>
        <w:t xml:space="preserve"> avec la </w:t>
      </w:r>
      <w:r w:rsidRPr="00970AF1">
        <w:rPr>
          <w:rFonts w:eastAsiaTheme="minorEastAsia" w:cs="Arial"/>
          <w:b/>
          <w:bCs/>
          <w:szCs w:val="20"/>
          <w:shd w:val="clear" w:color="auto" w:fill="FFFFFF"/>
          <w:lang w:eastAsia="ja-JP"/>
        </w:rPr>
        <w:t xml:space="preserve">Ligue des États arabes </w:t>
      </w:r>
      <w:r w:rsidRPr="00970AF1">
        <w:rPr>
          <w:rFonts w:eastAsiaTheme="minorEastAsia" w:cs="Arial"/>
          <w:szCs w:val="20"/>
          <w:shd w:val="clear" w:color="auto" w:fill="FFFFFF"/>
          <w:lang w:eastAsia="ja-JP"/>
        </w:rPr>
        <w:t xml:space="preserve">et </w:t>
      </w:r>
      <w:r w:rsidRPr="00970AF1">
        <w:rPr>
          <w:rFonts w:eastAsiaTheme="minorEastAsia" w:cs="Arial"/>
          <w:b/>
          <w:bCs/>
          <w:szCs w:val="20"/>
          <w:shd w:val="clear" w:color="auto" w:fill="FFFFFF"/>
          <w:lang w:eastAsia="ja-JP"/>
        </w:rPr>
        <w:t>l’Organisation de Coopération Islamique</w:t>
      </w:r>
      <w:r w:rsidRPr="00970AF1">
        <w:rPr>
          <w:rFonts w:eastAsiaTheme="minorEastAsia" w:cs="Arial"/>
          <w:szCs w:val="20"/>
          <w:shd w:val="clear" w:color="auto" w:fill="FFFFFF"/>
          <w:lang w:eastAsia="ja-JP"/>
        </w:rPr>
        <w:t xml:space="preserve"> (OCI),</w:t>
      </w:r>
      <w:r w:rsidRPr="00970AF1">
        <w:rPr>
          <w:rFonts w:eastAsiaTheme="minorEastAsia" w:cs="Arial"/>
          <w:szCs w:val="20"/>
          <w:shd w:val="clear" w:color="auto" w:fill="FFFFFF"/>
          <w:vertAlign w:val="superscript"/>
          <w:lang w:eastAsia="ja-JP"/>
        </w:rPr>
        <w:footnoteReference w:id="34"/>
      </w:r>
      <w:r w:rsidRPr="00970AF1">
        <w:rPr>
          <w:rFonts w:eastAsia="Times New Roman" w:cs="Arial"/>
          <w:szCs w:val="20"/>
          <w:lang w:eastAsia="fr-FR"/>
        </w:rPr>
        <w:t xml:space="preserve"> notamment avec la visite au CdE de l'Ambassadeur de l’OCI à Bruxelles en décembre 2023.</w:t>
      </w:r>
      <w:r w:rsidRPr="00970AF1">
        <w:rPr>
          <w:rFonts w:eastAsia="Times New Roman" w:cs="Arial"/>
          <w:szCs w:val="20"/>
          <w:vertAlign w:val="superscript"/>
          <w:lang w:eastAsia="fr-FR"/>
        </w:rPr>
        <w:footnoteReference w:id="35"/>
      </w:r>
    </w:p>
    <w:p w14:paraId="53E5A4FE" w14:textId="77777777" w:rsidR="004752E1" w:rsidRPr="00970AF1" w:rsidRDefault="004752E1" w:rsidP="004752E1">
      <w:pPr>
        <w:tabs>
          <w:tab w:val="left" w:pos="567"/>
        </w:tabs>
        <w:rPr>
          <w:rFonts w:cs="Arial"/>
          <w:szCs w:val="20"/>
        </w:rPr>
      </w:pPr>
    </w:p>
    <w:p w14:paraId="2BF77DAA" w14:textId="77777777" w:rsidR="004752E1" w:rsidRPr="00970AF1" w:rsidRDefault="004752E1" w:rsidP="004752E1">
      <w:pPr>
        <w:rPr>
          <w:rFonts w:eastAsiaTheme="minorEastAsia" w:cs="Arial"/>
          <w:szCs w:val="20"/>
          <w:lang w:eastAsia="ja-JP"/>
        </w:rPr>
      </w:pPr>
      <w:r w:rsidRPr="00970AF1">
        <w:rPr>
          <w:rFonts w:eastAsiaTheme="minorEastAsia" w:cs="Arial"/>
          <w:b/>
          <w:bCs/>
          <w:szCs w:val="20"/>
          <w:lang w:eastAsia="ja-JP"/>
        </w:rPr>
        <w:t>5.</w:t>
      </w:r>
      <w:r w:rsidRPr="00970AF1">
        <w:rPr>
          <w:rFonts w:eastAsiaTheme="minorEastAsia" w:cs="Arial"/>
          <w:b/>
          <w:bCs/>
          <w:szCs w:val="20"/>
          <w:lang w:eastAsia="ja-JP"/>
        </w:rPr>
        <w:tab/>
        <w:t>Conclusions - Perspectives</w:t>
      </w:r>
    </w:p>
    <w:p w14:paraId="509CB0FB" w14:textId="77777777" w:rsidR="004752E1" w:rsidRPr="00970AF1" w:rsidRDefault="004752E1" w:rsidP="004752E1">
      <w:pPr>
        <w:rPr>
          <w:rFonts w:eastAsiaTheme="minorEastAsia" w:cs="Arial"/>
          <w:szCs w:val="20"/>
          <w:lang w:eastAsia="ja-JP"/>
        </w:rPr>
      </w:pPr>
    </w:p>
    <w:p w14:paraId="263E7F4D" w14:textId="77777777" w:rsidR="004752E1" w:rsidRPr="00970AF1" w:rsidRDefault="004752E1" w:rsidP="004752E1">
      <w:pPr>
        <w:numPr>
          <w:ilvl w:val="1"/>
          <w:numId w:val="1"/>
        </w:numPr>
        <w:tabs>
          <w:tab w:val="left" w:pos="851"/>
        </w:tabs>
        <w:ind w:left="1418" w:hanging="567"/>
        <w:contextualSpacing/>
        <w:rPr>
          <w:rFonts w:eastAsia="Times New Roman" w:cs="Arial"/>
          <w:b/>
          <w:bCs/>
          <w:i/>
          <w:iCs/>
          <w:szCs w:val="20"/>
          <w:lang w:eastAsia="fr-FR"/>
        </w:rPr>
      </w:pPr>
      <w:r w:rsidRPr="00970AF1">
        <w:rPr>
          <w:rFonts w:eastAsia="Times New Roman" w:cs="Arial"/>
          <w:b/>
          <w:bCs/>
          <w:i/>
          <w:iCs/>
          <w:szCs w:val="20"/>
          <w:lang w:eastAsia="fr-FR"/>
        </w:rPr>
        <w:t>Relations avec l'UE,</w:t>
      </w:r>
      <w:r w:rsidRPr="00970AF1">
        <w:rPr>
          <w:rFonts w:eastAsia="Times New Roman" w:cs="Arial"/>
          <w:b/>
          <w:bCs/>
          <w:i/>
          <w:iCs/>
          <w:szCs w:val="20"/>
          <w:vertAlign w:val="superscript"/>
          <w:lang w:eastAsia="fr-FR"/>
        </w:rPr>
        <w:footnoteReference w:id="36"/>
      </w:r>
      <w:r w:rsidRPr="00970AF1">
        <w:rPr>
          <w:rFonts w:eastAsia="Times New Roman" w:cs="Arial"/>
          <w:b/>
          <w:bCs/>
          <w:i/>
          <w:iCs/>
          <w:szCs w:val="20"/>
          <w:lang w:eastAsia="fr-FR"/>
        </w:rPr>
        <w:t xml:space="preserve"> l’ONU et l’OSCE</w:t>
      </w:r>
    </w:p>
    <w:p w14:paraId="46A678F3" w14:textId="77777777" w:rsidR="004752E1" w:rsidRPr="00970AF1" w:rsidRDefault="004752E1" w:rsidP="004752E1">
      <w:pPr>
        <w:ind w:left="1440"/>
        <w:contextualSpacing/>
        <w:rPr>
          <w:rFonts w:eastAsia="Times New Roman" w:cs="Arial"/>
          <w:b/>
          <w:bCs/>
          <w:i/>
          <w:iCs/>
          <w:szCs w:val="20"/>
          <w:lang w:eastAsia="fr-FR"/>
        </w:rPr>
      </w:pPr>
    </w:p>
    <w:p w14:paraId="7B7AE328" w14:textId="77777777" w:rsidR="004752E1" w:rsidRPr="00970AF1" w:rsidRDefault="004752E1" w:rsidP="004752E1">
      <w:pPr>
        <w:rPr>
          <w:rFonts w:eastAsiaTheme="minorEastAsia" w:cs="Arial"/>
          <w:szCs w:val="20"/>
          <w:lang w:eastAsia="en-GB"/>
        </w:rPr>
      </w:pPr>
      <w:r w:rsidRPr="00970AF1">
        <w:rPr>
          <w:rFonts w:eastAsia="Times New Roman" w:cs="Arial"/>
          <w:szCs w:val="20"/>
          <w:lang w:eastAsia="fr-FR"/>
        </w:rPr>
        <w:t xml:space="preserve">Le présent document a souligné le </w:t>
      </w:r>
      <w:r w:rsidRPr="00970AF1">
        <w:rPr>
          <w:rFonts w:eastAsia="Times New Roman" w:cs="Arial"/>
          <w:b/>
          <w:bCs/>
          <w:szCs w:val="20"/>
          <w:lang w:eastAsia="fr-FR"/>
        </w:rPr>
        <w:t>véritable élan</w:t>
      </w:r>
      <w:r w:rsidRPr="00970AF1">
        <w:rPr>
          <w:rFonts w:eastAsia="Times New Roman" w:cs="Arial"/>
          <w:szCs w:val="20"/>
          <w:lang w:eastAsia="fr-FR"/>
        </w:rPr>
        <w:t xml:space="preserve"> donné aux relations et au dialogue du CdE avec d’autres organisations internationales, et en particulier l’ONU – tant à New York qu’à Genève, et l’OSCE. Du point de vue des modalités de coopération institutionnelle, l’éventualité d’une reprise des </w:t>
      </w:r>
      <w:r w:rsidRPr="00970AF1">
        <w:rPr>
          <w:rFonts w:eastAsia="Times New Roman" w:cs="Arial"/>
          <w:b/>
          <w:bCs/>
          <w:szCs w:val="20"/>
          <w:lang w:eastAsia="fr-FR"/>
        </w:rPr>
        <w:t>« réunions t</w:t>
      </w:r>
      <w:r w:rsidRPr="00970AF1">
        <w:rPr>
          <w:rFonts w:eastAsiaTheme="minorEastAsia" w:cs="Arial"/>
          <w:b/>
          <w:bCs/>
          <w:szCs w:val="20"/>
          <w:lang w:eastAsia="en-GB"/>
        </w:rPr>
        <w:t>ripartites » entre l'ONU, l'OSCE et le CdE</w:t>
      </w:r>
      <w:r w:rsidRPr="00970AF1">
        <w:rPr>
          <w:rFonts w:eastAsiaTheme="minorEastAsia" w:cs="Arial"/>
          <w:szCs w:val="20"/>
          <w:lang w:eastAsia="en-GB"/>
        </w:rPr>
        <w:t xml:space="preserve"> devrait être examinée par les partenaires concernés. Elle fournirait une occasion supplémentaire d'organiser des discussions et des échanges stratégiques sur les défis majeurs présentant un intérêt spécifique pour les trois Organisations. Le Conseil de l'Europe pourrait jouer un rôle de premier plan à cet égard.</w:t>
      </w:r>
    </w:p>
    <w:p w14:paraId="3469706A" w14:textId="77777777" w:rsidR="004752E1" w:rsidRPr="00970AF1" w:rsidRDefault="004752E1" w:rsidP="004752E1">
      <w:pPr>
        <w:rPr>
          <w:rFonts w:eastAsia="Times New Roman" w:cs="Arial"/>
          <w:szCs w:val="20"/>
          <w:lang w:eastAsia="fr-FR"/>
        </w:rPr>
      </w:pPr>
    </w:p>
    <w:p w14:paraId="4C0A6827" w14:textId="77777777" w:rsidR="004752E1" w:rsidRPr="00970AF1" w:rsidRDefault="004752E1" w:rsidP="004752E1">
      <w:pPr>
        <w:rPr>
          <w:rFonts w:cs="Arial"/>
          <w:szCs w:val="20"/>
        </w:rPr>
      </w:pPr>
      <w:r w:rsidRPr="00970AF1">
        <w:rPr>
          <w:rFonts w:eastAsia="Times New Roman" w:cs="Arial"/>
          <w:b/>
          <w:bCs/>
          <w:szCs w:val="20"/>
          <w:lang w:eastAsia="fr-FR"/>
        </w:rPr>
        <w:t>Les bureaux de liaison</w:t>
      </w:r>
      <w:r w:rsidRPr="00970AF1">
        <w:rPr>
          <w:rFonts w:eastAsia="Times New Roman" w:cs="Arial"/>
          <w:szCs w:val="20"/>
          <w:lang w:eastAsia="fr-FR"/>
        </w:rPr>
        <w:t xml:space="preserve"> ont intensifié leur travail de </w:t>
      </w:r>
      <w:r w:rsidRPr="00970AF1">
        <w:rPr>
          <w:rFonts w:cs="Arial"/>
          <w:szCs w:val="20"/>
        </w:rPr>
        <w:t xml:space="preserve">renforcement de la dynamique de coopération, de sa visibilité et de la promotion des normes du CdE, le cas échéant. Le rôle des bureaux de liaison du CdE en tant que plateformes de promotion des instruments du CdE pourrait encore être développé, selon les besoins. </w:t>
      </w:r>
    </w:p>
    <w:p w14:paraId="464A6B3F" w14:textId="77777777" w:rsidR="004752E1" w:rsidRPr="00970AF1" w:rsidRDefault="004752E1" w:rsidP="004752E1">
      <w:pPr>
        <w:rPr>
          <w:rFonts w:eastAsia="Times New Roman" w:cs="Arial"/>
          <w:szCs w:val="20"/>
          <w:lang w:eastAsia="fr-FR"/>
        </w:rPr>
      </w:pPr>
    </w:p>
    <w:p w14:paraId="300129E0" w14:textId="77777777" w:rsidR="004752E1" w:rsidRPr="00970AF1" w:rsidRDefault="004752E1" w:rsidP="004752E1">
      <w:pPr>
        <w:rPr>
          <w:rFonts w:eastAsia="Times New Roman" w:cs="Arial"/>
          <w:szCs w:val="20"/>
          <w:lang w:eastAsia="fr-FR"/>
        </w:rPr>
      </w:pPr>
      <w:r w:rsidRPr="00970AF1">
        <w:rPr>
          <w:rFonts w:eastAsia="Times New Roman" w:cs="Arial"/>
          <w:szCs w:val="20"/>
          <w:lang w:eastAsia="fr-FR"/>
        </w:rPr>
        <w:t xml:space="preserve">En outre, des mesures spécifiques sont proposées ci-dessous. </w:t>
      </w:r>
    </w:p>
    <w:p w14:paraId="37B055FC" w14:textId="77777777" w:rsidR="004752E1" w:rsidRPr="00970AF1" w:rsidRDefault="004752E1" w:rsidP="004752E1">
      <w:pPr>
        <w:rPr>
          <w:rFonts w:eastAsia="Times New Roman" w:cs="Arial"/>
          <w:szCs w:val="20"/>
          <w:lang w:eastAsia="fr-FR"/>
        </w:rPr>
      </w:pPr>
    </w:p>
    <w:p w14:paraId="02DF75B3" w14:textId="77777777" w:rsidR="004752E1" w:rsidRPr="00970AF1" w:rsidRDefault="004752E1" w:rsidP="004752E1">
      <w:pPr>
        <w:ind w:firstLine="709"/>
        <w:rPr>
          <w:rFonts w:eastAsia="Times New Roman" w:cs="Arial"/>
          <w:b/>
          <w:bCs/>
          <w:i/>
          <w:iCs/>
          <w:szCs w:val="20"/>
          <w:lang w:eastAsia="fr-FR"/>
        </w:rPr>
      </w:pPr>
      <w:r w:rsidRPr="00970AF1">
        <w:rPr>
          <w:rFonts w:eastAsia="Times New Roman" w:cs="Arial"/>
          <w:b/>
          <w:bCs/>
          <w:i/>
          <w:iCs/>
          <w:szCs w:val="20"/>
          <w:lang w:eastAsia="fr-FR"/>
        </w:rPr>
        <w:t xml:space="preserve">Relations avec les Nations Unies </w:t>
      </w:r>
    </w:p>
    <w:p w14:paraId="51B2FCA3" w14:textId="77777777" w:rsidR="004752E1" w:rsidRPr="00970AF1" w:rsidRDefault="004752E1" w:rsidP="004752E1">
      <w:pPr>
        <w:rPr>
          <w:rFonts w:eastAsia="Times New Roman" w:cs="Arial"/>
          <w:szCs w:val="20"/>
          <w:lang w:eastAsia="fr-FR"/>
        </w:rPr>
      </w:pPr>
    </w:p>
    <w:p w14:paraId="5A92E44A" w14:textId="77777777" w:rsidR="004752E1" w:rsidRPr="00970AF1" w:rsidRDefault="004752E1" w:rsidP="004752E1">
      <w:pPr>
        <w:rPr>
          <w:rFonts w:eastAsia="Times New Roman" w:cs="Arial"/>
          <w:szCs w:val="20"/>
          <w:lang w:eastAsia="fr-FR"/>
        </w:rPr>
      </w:pPr>
      <w:r w:rsidRPr="00970AF1">
        <w:rPr>
          <w:rFonts w:eastAsia="Times New Roman" w:cs="Arial"/>
          <w:szCs w:val="20"/>
          <w:lang w:eastAsia="fr-FR"/>
        </w:rPr>
        <w:t xml:space="preserve">Le dialogue stratégique et les relations avec le système des Nations Unies se sont encore </w:t>
      </w:r>
      <w:r w:rsidRPr="00970AF1">
        <w:rPr>
          <w:rFonts w:eastAsia="Times New Roman" w:cs="Arial"/>
          <w:b/>
          <w:bCs/>
          <w:szCs w:val="20"/>
          <w:lang w:eastAsia="fr-FR"/>
        </w:rPr>
        <w:t>intensifiés</w:t>
      </w:r>
      <w:r w:rsidRPr="00970AF1">
        <w:rPr>
          <w:rFonts w:eastAsia="Times New Roman" w:cs="Arial"/>
          <w:szCs w:val="20"/>
          <w:lang w:eastAsia="fr-FR"/>
        </w:rPr>
        <w:t>. La présence permanente au Bureau de Genève a été rétablie. Le Bureau de liaison à Genève joue un rôle déterminant dans la consolidation des relations à Genève et a démontré sa grande utilité dans la promotion des instruments du CdE, et notamment du Registre, auprès des États non-européens.</w:t>
      </w:r>
    </w:p>
    <w:p w14:paraId="504CCB04" w14:textId="77777777" w:rsidR="004752E1" w:rsidRPr="00970AF1" w:rsidRDefault="004752E1" w:rsidP="004752E1">
      <w:pPr>
        <w:rPr>
          <w:rFonts w:eastAsia="Times New Roman" w:cs="Arial"/>
          <w:szCs w:val="20"/>
          <w:lang w:eastAsia="fr-FR"/>
        </w:rPr>
      </w:pPr>
    </w:p>
    <w:p w14:paraId="2D153404" w14:textId="77777777" w:rsidR="004752E1" w:rsidRPr="00970AF1" w:rsidRDefault="004752E1" w:rsidP="004752E1">
      <w:pPr>
        <w:rPr>
          <w:rFonts w:eastAsiaTheme="minorEastAsia" w:cs="Arial"/>
          <w:szCs w:val="20"/>
          <w:lang w:eastAsia="en-GB"/>
        </w:rPr>
      </w:pPr>
      <w:r w:rsidRPr="00970AF1">
        <w:rPr>
          <w:rFonts w:eastAsia="Times New Roman" w:cs="Arial"/>
          <w:bCs/>
          <w:szCs w:val="20"/>
          <w:lang w:eastAsia="fr-FR"/>
        </w:rPr>
        <w:t>Les e</w:t>
      </w:r>
      <w:r w:rsidRPr="00970AF1">
        <w:rPr>
          <w:rFonts w:eastAsiaTheme="minorEastAsia" w:cs="Arial"/>
          <w:szCs w:val="20"/>
          <w:lang w:eastAsia="en-GB"/>
        </w:rPr>
        <w:t xml:space="preserve">fforts actuels d’intensification de la coopération et de développement d’un </w:t>
      </w:r>
      <w:r w:rsidRPr="00970AF1">
        <w:rPr>
          <w:rFonts w:eastAsiaTheme="minorEastAsia" w:cs="Arial"/>
          <w:b/>
          <w:bCs/>
          <w:szCs w:val="20"/>
          <w:lang w:eastAsia="en-GB"/>
        </w:rPr>
        <w:t>dialogue</w:t>
      </w:r>
      <w:r w:rsidRPr="00970AF1">
        <w:rPr>
          <w:rFonts w:eastAsiaTheme="minorEastAsia" w:cs="Arial"/>
          <w:szCs w:val="20"/>
          <w:lang w:eastAsia="en-GB"/>
        </w:rPr>
        <w:t xml:space="preserve"> plus stratégique entre le CdE et l’ONU doivent être maintenus à tous les niveaux techniques et politiques.</w:t>
      </w:r>
    </w:p>
    <w:p w14:paraId="217955F2" w14:textId="77777777" w:rsidR="004752E1" w:rsidRPr="00970AF1" w:rsidRDefault="004752E1" w:rsidP="004752E1">
      <w:pPr>
        <w:rPr>
          <w:rFonts w:eastAsiaTheme="minorEastAsia" w:cs="Arial"/>
          <w:szCs w:val="20"/>
          <w:lang w:eastAsia="en-GB"/>
        </w:rPr>
      </w:pPr>
    </w:p>
    <w:p w14:paraId="46E2EC3F" w14:textId="77777777" w:rsidR="004752E1" w:rsidRPr="00970AF1" w:rsidRDefault="004752E1" w:rsidP="004752E1">
      <w:pPr>
        <w:autoSpaceDE w:val="0"/>
        <w:autoSpaceDN w:val="0"/>
        <w:adjustRightInd w:val="0"/>
        <w:rPr>
          <w:rFonts w:eastAsiaTheme="minorEastAsia" w:cs="Arial"/>
          <w:szCs w:val="20"/>
          <w:lang w:eastAsia="en-GB"/>
        </w:rPr>
      </w:pPr>
      <w:r w:rsidRPr="00970AF1">
        <w:rPr>
          <w:rFonts w:eastAsiaTheme="minorEastAsia" w:cs="Arial"/>
          <w:szCs w:val="20"/>
          <w:lang w:eastAsia="en-GB"/>
        </w:rPr>
        <w:t xml:space="preserve">De plus, sur la base de la Déclaration conjointe de 2013 du CdE et du Bureau du Haut-Commissariat des Nations Unies aux droits de l’homme, l’organisation de </w:t>
      </w:r>
      <w:r w:rsidRPr="00970AF1">
        <w:rPr>
          <w:rFonts w:eastAsiaTheme="minorEastAsia" w:cs="Arial"/>
          <w:b/>
          <w:bCs/>
          <w:szCs w:val="20"/>
          <w:lang w:eastAsia="en-GB"/>
        </w:rPr>
        <w:t xml:space="preserve">réunions </w:t>
      </w:r>
      <w:r w:rsidRPr="00970AF1">
        <w:rPr>
          <w:rFonts w:eastAsiaTheme="minorEastAsia" w:cs="Arial"/>
          <w:b/>
          <w:bCs/>
          <w:i/>
          <w:iCs/>
          <w:szCs w:val="20"/>
          <w:lang w:eastAsia="en-GB"/>
        </w:rPr>
        <w:t>ad hoc</w:t>
      </w:r>
      <w:r w:rsidRPr="00970AF1">
        <w:rPr>
          <w:rFonts w:eastAsiaTheme="minorEastAsia" w:cs="Arial"/>
          <w:b/>
          <w:bCs/>
          <w:szCs w:val="20"/>
          <w:lang w:eastAsia="en-GB"/>
        </w:rPr>
        <w:t xml:space="preserve"> de consultation </w:t>
      </w:r>
      <w:proofErr w:type="spellStart"/>
      <w:r w:rsidRPr="00970AF1">
        <w:rPr>
          <w:rFonts w:eastAsiaTheme="minorEastAsia" w:cs="Arial"/>
          <w:b/>
          <w:bCs/>
          <w:szCs w:val="20"/>
          <w:lang w:eastAsia="en-GB"/>
        </w:rPr>
        <w:t>intersecrétariats</w:t>
      </w:r>
      <w:proofErr w:type="spellEnd"/>
      <w:r w:rsidRPr="00970AF1">
        <w:rPr>
          <w:rFonts w:eastAsiaTheme="minorEastAsia" w:cs="Arial"/>
          <w:b/>
          <w:bCs/>
          <w:szCs w:val="20"/>
          <w:lang w:eastAsia="en-GB"/>
        </w:rPr>
        <w:t xml:space="preserve"> CdE/HCDH</w:t>
      </w:r>
      <w:r w:rsidRPr="00970AF1">
        <w:rPr>
          <w:rFonts w:eastAsiaTheme="minorEastAsia" w:cs="Arial"/>
          <w:szCs w:val="20"/>
          <w:lang w:eastAsia="en-GB"/>
        </w:rPr>
        <w:t xml:space="preserve"> (à tour de rôle à Strasbourg et à Genève) est envisagée sur des questions spécifiques de droits humains d’intérêt commun, afin d’accroître les synergies entre les deux organisations.</w:t>
      </w:r>
    </w:p>
    <w:p w14:paraId="0A8E03BB" w14:textId="77777777" w:rsidR="004752E1" w:rsidRPr="00970AF1" w:rsidRDefault="004752E1" w:rsidP="004752E1">
      <w:pPr>
        <w:autoSpaceDE w:val="0"/>
        <w:autoSpaceDN w:val="0"/>
        <w:adjustRightInd w:val="0"/>
        <w:rPr>
          <w:rFonts w:cs="Arial"/>
          <w:szCs w:val="20"/>
        </w:rPr>
      </w:pPr>
    </w:p>
    <w:p w14:paraId="0531E46B" w14:textId="77777777" w:rsidR="004752E1" w:rsidRPr="00970AF1" w:rsidRDefault="004752E1" w:rsidP="004752E1">
      <w:pPr>
        <w:rPr>
          <w:rFonts w:eastAsiaTheme="minorEastAsia" w:cs="Arial"/>
          <w:szCs w:val="20"/>
          <w:lang w:eastAsia="en-GB"/>
        </w:rPr>
      </w:pPr>
      <w:r w:rsidRPr="00970AF1">
        <w:rPr>
          <w:rFonts w:eastAsiaTheme="minorEastAsia" w:cs="Arial"/>
          <w:szCs w:val="20"/>
          <w:lang w:eastAsia="en-GB"/>
        </w:rPr>
        <w:t xml:space="preserve">En matière de réalisation des </w:t>
      </w:r>
      <w:r w:rsidRPr="00970AF1">
        <w:rPr>
          <w:rFonts w:eastAsiaTheme="minorEastAsia" w:cs="Arial"/>
          <w:b/>
          <w:bCs/>
          <w:szCs w:val="20"/>
          <w:lang w:eastAsia="en-GB"/>
        </w:rPr>
        <w:t>ODD,</w:t>
      </w:r>
      <w:r w:rsidRPr="00970AF1">
        <w:rPr>
          <w:rFonts w:eastAsiaTheme="minorEastAsia" w:cs="Arial"/>
          <w:szCs w:val="20"/>
          <w:lang w:eastAsia="en-GB"/>
        </w:rPr>
        <w:t xml:space="preserve"> </w:t>
      </w:r>
      <w:r w:rsidRPr="00970AF1">
        <w:rPr>
          <w:rFonts w:eastAsia="Times New Roman" w:cs="Arial"/>
          <w:bCs/>
          <w:szCs w:val="20"/>
          <w:lang w:eastAsia="fr-FR"/>
        </w:rPr>
        <w:t xml:space="preserve">le CdE est déterminé à renforcer sa contribution. </w:t>
      </w:r>
      <w:r w:rsidRPr="00970AF1">
        <w:rPr>
          <w:rFonts w:eastAsiaTheme="minorEastAsia" w:cs="Arial"/>
          <w:szCs w:val="20"/>
          <w:lang w:eastAsia="en-GB"/>
        </w:rPr>
        <w:t xml:space="preserve">Constatant les défis actuels du multilatéralisme, les dirigeants du CdE ont exprimé leur volonté de contribuer à la préparation du </w:t>
      </w:r>
      <w:r w:rsidRPr="00970AF1">
        <w:rPr>
          <w:rFonts w:eastAsiaTheme="minorEastAsia" w:cs="Arial"/>
          <w:b/>
          <w:bCs/>
          <w:szCs w:val="20"/>
          <w:lang w:eastAsia="en-GB"/>
        </w:rPr>
        <w:t>Sommet de l'avenir</w:t>
      </w:r>
      <w:r w:rsidRPr="00970AF1">
        <w:rPr>
          <w:rFonts w:eastAsiaTheme="minorEastAsia" w:cs="Arial"/>
          <w:szCs w:val="20"/>
          <w:lang w:eastAsia="en-GB"/>
        </w:rPr>
        <w:t xml:space="preserve"> des Nations unies, organisé en septembre 2024, en particulier par leur contribution à la mise en œuvre des ODD sur le continent européen et au-delà. Enfin, les États membres devraient être encouragés à se référer systématiquement au rôle de référence du CdE dans la mise en œuvre des ODD.</w:t>
      </w:r>
    </w:p>
    <w:p w14:paraId="66149B49" w14:textId="77777777" w:rsidR="004752E1" w:rsidRPr="00970AF1" w:rsidRDefault="004752E1" w:rsidP="004752E1">
      <w:pPr>
        <w:rPr>
          <w:rFonts w:eastAsiaTheme="minorEastAsia" w:cs="Arial"/>
          <w:szCs w:val="20"/>
          <w:lang w:eastAsia="en-GB"/>
        </w:rPr>
      </w:pPr>
    </w:p>
    <w:p w14:paraId="3F96251F" w14:textId="77777777" w:rsidR="004752E1" w:rsidRPr="00970AF1" w:rsidRDefault="004752E1" w:rsidP="004752E1">
      <w:pPr>
        <w:autoSpaceDE w:val="0"/>
        <w:autoSpaceDN w:val="0"/>
        <w:adjustRightInd w:val="0"/>
        <w:rPr>
          <w:rFonts w:eastAsiaTheme="minorEastAsia" w:cs="Arial"/>
          <w:szCs w:val="20"/>
          <w:lang w:eastAsia="en-GB"/>
        </w:rPr>
      </w:pPr>
      <w:r w:rsidRPr="00970AF1">
        <w:rPr>
          <w:rFonts w:eastAsiaTheme="minorEastAsia" w:cs="Arial"/>
          <w:szCs w:val="20"/>
          <w:lang w:eastAsia="en-GB"/>
        </w:rPr>
        <w:t xml:space="preserve">De même, et sur la base des Résolutions de l’Assemblée générale des Nations Unies sur la coopération entre l’ONU et le CdE, il convient de continuer d’encourager « les contacts étroits et la coopération fructueuse entre les missions des Nations Unies et les </w:t>
      </w:r>
      <w:r w:rsidRPr="00970AF1">
        <w:rPr>
          <w:rFonts w:eastAsiaTheme="minorEastAsia" w:cs="Arial"/>
          <w:b/>
          <w:bCs/>
          <w:szCs w:val="20"/>
          <w:lang w:eastAsia="en-GB"/>
        </w:rPr>
        <w:t>Bureaux extérieurs</w:t>
      </w:r>
      <w:r w:rsidRPr="00970AF1">
        <w:rPr>
          <w:rFonts w:eastAsiaTheme="minorEastAsia" w:cs="Arial"/>
          <w:szCs w:val="20"/>
          <w:lang w:eastAsia="en-GB"/>
        </w:rPr>
        <w:t xml:space="preserve"> du Conseil de l'Europe ».</w:t>
      </w:r>
    </w:p>
    <w:p w14:paraId="7E1AFBC9" w14:textId="77777777" w:rsidR="004752E1" w:rsidRPr="00970AF1" w:rsidRDefault="004752E1" w:rsidP="004752E1">
      <w:pPr>
        <w:rPr>
          <w:rFonts w:eastAsiaTheme="minorEastAsia" w:cs="Arial"/>
          <w:szCs w:val="20"/>
          <w:lang w:eastAsia="en-GB"/>
        </w:rPr>
      </w:pPr>
    </w:p>
    <w:p w14:paraId="6C3A52F1" w14:textId="77777777" w:rsidR="004752E1" w:rsidRPr="00970AF1" w:rsidRDefault="004752E1" w:rsidP="004752E1">
      <w:pPr>
        <w:rPr>
          <w:rFonts w:eastAsiaTheme="minorEastAsia" w:cs="Arial"/>
          <w:szCs w:val="20"/>
          <w:lang w:eastAsia="en-GB"/>
        </w:rPr>
      </w:pPr>
      <w:r w:rsidRPr="00970AF1">
        <w:rPr>
          <w:rFonts w:eastAsiaTheme="minorEastAsia" w:cs="Arial"/>
          <w:szCs w:val="20"/>
          <w:lang w:eastAsia="en-GB"/>
        </w:rPr>
        <w:t xml:space="preserve">Des échanges ou détachements </w:t>
      </w:r>
      <w:r w:rsidRPr="00970AF1">
        <w:rPr>
          <w:rFonts w:eastAsiaTheme="minorEastAsia" w:cs="Arial"/>
          <w:b/>
          <w:bCs/>
          <w:szCs w:val="20"/>
          <w:lang w:eastAsia="en-GB"/>
        </w:rPr>
        <w:t>d’agents</w:t>
      </w:r>
      <w:r w:rsidRPr="00970AF1">
        <w:rPr>
          <w:rFonts w:eastAsiaTheme="minorEastAsia" w:cs="Arial"/>
          <w:szCs w:val="20"/>
          <w:lang w:eastAsia="en-GB"/>
        </w:rPr>
        <w:t xml:space="preserve"> pourraient éventuellement être envisagés, sous réserve des ressources disponibles.</w:t>
      </w:r>
    </w:p>
    <w:p w14:paraId="148CCA62" w14:textId="77777777" w:rsidR="004752E1" w:rsidRPr="00970AF1" w:rsidRDefault="004752E1" w:rsidP="004752E1">
      <w:pPr>
        <w:rPr>
          <w:rFonts w:eastAsia="Times New Roman" w:cs="Arial"/>
          <w:szCs w:val="20"/>
          <w:lang w:eastAsia="fr-FR"/>
        </w:rPr>
      </w:pPr>
    </w:p>
    <w:p w14:paraId="783CDB8D" w14:textId="77777777" w:rsidR="004752E1" w:rsidRPr="00970AF1" w:rsidRDefault="004752E1" w:rsidP="004752E1">
      <w:pPr>
        <w:rPr>
          <w:rFonts w:eastAsia="Times New Roman" w:cs="Arial"/>
          <w:b/>
          <w:bCs/>
          <w:i/>
          <w:iCs/>
          <w:szCs w:val="20"/>
          <w:lang w:eastAsia="fr-FR"/>
        </w:rPr>
      </w:pPr>
      <w:r w:rsidRPr="00970AF1">
        <w:rPr>
          <w:rFonts w:eastAsia="Times New Roman" w:cs="Arial"/>
          <w:b/>
          <w:bCs/>
          <w:i/>
          <w:iCs/>
          <w:szCs w:val="20"/>
          <w:lang w:eastAsia="fr-FR"/>
        </w:rPr>
        <w:br w:type="page"/>
      </w:r>
    </w:p>
    <w:p w14:paraId="51BFBB24" w14:textId="77777777" w:rsidR="004752E1" w:rsidRPr="00970AF1" w:rsidRDefault="004752E1" w:rsidP="004752E1">
      <w:pPr>
        <w:ind w:firstLine="709"/>
        <w:contextualSpacing/>
        <w:rPr>
          <w:rFonts w:eastAsia="Times New Roman" w:cs="Arial"/>
          <w:b/>
          <w:bCs/>
          <w:i/>
          <w:iCs/>
          <w:szCs w:val="20"/>
          <w:lang w:eastAsia="fr-FR"/>
        </w:rPr>
      </w:pPr>
      <w:r w:rsidRPr="00970AF1">
        <w:rPr>
          <w:rFonts w:eastAsia="Times New Roman" w:cs="Arial"/>
          <w:b/>
          <w:bCs/>
          <w:i/>
          <w:iCs/>
          <w:szCs w:val="20"/>
          <w:lang w:eastAsia="fr-FR"/>
        </w:rPr>
        <w:lastRenderedPageBreak/>
        <w:t>Relations avec l’OSCE</w:t>
      </w:r>
    </w:p>
    <w:p w14:paraId="437B24ED" w14:textId="77777777" w:rsidR="004752E1" w:rsidRPr="00970AF1" w:rsidRDefault="004752E1" w:rsidP="004752E1">
      <w:pPr>
        <w:ind w:firstLine="709"/>
        <w:contextualSpacing/>
        <w:rPr>
          <w:rFonts w:eastAsia="Times New Roman" w:cs="Arial"/>
          <w:b/>
          <w:bCs/>
          <w:i/>
          <w:iCs/>
          <w:szCs w:val="20"/>
          <w:lang w:eastAsia="fr-FR"/>
        </w:rPr>
      </w:pPr>
    </w:p>
    <w:p w14:paraId="6644718F" w14:textId="77777777" w:rsidR="004752E1" w:rsidRPr="00970AF1" w:rsidRDefault="004752E1" w:rsidP="004752E1">
      <w:pPr>
        <w:rPr>
          <w:rFonts w:eastAsia="Times New Roman" w:cs="Arial"/>
          <w:szCs w:val="20"/>
          <w:lang w:eastAsia="fr-FR"/>
        </w:rPr>
      </w:pPr>
      <w:r w:rsidRPr="00970AF1">
        <w:rPr>
          <w:rFonts w:eastAsia="Times New Roman" w:cs="Arial"/>
          <w:szCs w:val="20"/>
          <w:lang w:eastAsia="fr-FR"/>
        </w:rPr>
        <w:t xml:space="preserve">Les relations avec l’OSCE se caractérisent par une longue et excellente coopération. Les dialogues institutionnel et politique se sont récemment intensifiés, notamment avec la </w:t>
      </w:r>
      <w:r w:rsidRPr="00970AF1">
        <w:rPr>
          <w:rFonts w:eastAsia="Times New Roman" w:cs="Arial"/>
          <w:b/>
          <w:bCs/>
          <w:szCs w:val="20"/>
          <w:lang w:eastAsia="fr-FR"/>
        </w:rPr>
        <w:t>réunion « 2+2 » élargie</w:t>
      </w:r>
      <w:r w:rsidRPr="00970AF1">
        <w:rPr>
          <w:rFonts w:eastAsia="Times New Roman" w:cs="Arial"/>
          <w:szCs w:val="20"/>
          <w:lang w:eastAsia="fr-FR"/>
        </w:rPr>
        <w:t>.</w:t>
      </w:r>
    </w:p>
    <w:p w14:paraId="6AC57681" w14:textId="77777777" w:rsidR="004752E1" w:rsidRPr="00970AF1" w:rsidRDefault="004752E1" w:rsidP="004752E1">
      <w:pPr>
        <w:rPr>
          <w:rFonts w:eastAsia="Times New Roman" w:cs="Arial"/>
          <w:szCs w:val="20"/>
          <w:lang w:eastAsia="fr-FR"/>
        </w:rPr>
      </w:pPr>
    </w:p>
    <w:p w14:paraId="346020DC" w14:textId="77777777" w:rsidR="004752E1" w:rsidRPr="00970AF1" w:rsidRDefault="004752E1" w:rsidP="004752E1">
      <w:pPr>
        <w:rPr>
          <w:rFonts w:eastAsia="Times New Roman" w:cs="Arial"/>
          <w:szCs w:val="20"/>
        </w:rPr>
      </w:pPr>
      <w:r w:rsidRPr="00970AF1">
        <w:rPr>
          <w:rFonts w:eastAsia="Times New Roman" w:cs="Arial"/>
          <w:szCs w:val="20"/>
          <w:lang w:eastAsia="fr-FR"/>
        </w:rPr>
        <w:t xml:space="preserve">Il est proposé de poursuivre la pratique récemment renouvelée des </w:t>
      </w:r>
      <w:r w:rsidRPr="00970AF1">
        <w:rPr>
          <w:rFonts w:eastAsia="Times New Roman" w:cs="Arial"/>
          <w:b/>
          <w:bCs/>
          <w:szCs w:val="20"/>
          <w:lang w:eastAsia="fr-FR"/>
        </w:rPr>
        <w:t>réunions « 2+2 » élargies</w:t>
      </w:r>
      <w:r w:rsidRPr="00970AF1">
        <w:rPr>
          <w:rFonts w:eastAsia="Times New Roman" w:cs="Arial"/>
          <w:szCs w:val="20"/>
          <w:lang w:eastAsia="fr-FR"/>
        </w:rPr>
        <w:t xml:space="preserve"> et de rechercher des synergies entre les programmes et les priorités des présidences des deux organisations, le cas échéant. </w:t>
      </w:r>
      <w:r w:rsidRPr="00970AF1">
        <w:rPr>
          <w:rFonts w:eastAsia="Times New Roman" w:cs="Arial"/>
          <w:szCs w:val="20"/>
        </w:rPr>
        <w:t>Ces réunions pourraient avoir lieu deux fois par an, éventuellement en marge des réunions ministérielles respectives du CdE et de l'OSCE ou, à défaut, en marge d'autres événements importants dans le cadre multilatéral (semaine du Débat général de l’AGNU, etc.).</w:t>
      </w:r>
    </w:p>
    <w:p w14:paraId="66D96446" w14:textId="77777777" w:rsidR="004752E1" w:rsidRPr="00970AF1" w:rsidRDefault="004752E1" w:rsidP="004752E1">
      <w:pPr>
        <w:rPr>
          <w:rFonts w:eastAsia="Times New Roman" w:cs="Arial"/>
          <w:szCs w:val="20"/>
        </w:rPr>
      </w:pPr>
    </w:p>
    <w:p w14:paraId="3CE8AECA" w14:textId="77777777" w:rsidR="004752E1" w:rsidRPr="00970AF1" w:rsidRDefault="004752E1" w:rsidP="004752E1">
      <w:pPr>
        <w:rPr>
          <w:rFonts w:eastAsia="Times New Roman" w:cs="Arial"/>
          <w:szCs w:val="20"/>
        </w:rPr>
      </w:pPr>
      <w:r w:rsidRPr="00970AF1">
        <w:rPr>
          <w:rFonts w:eastAsia="Times New Roman" w:cs="Arial"/>
          <w:szCs w:val="20"/>
        </w:rPr>
        <w:t>Concernant le</w:t>
      </w:r>
      <w:r w:rsidRPr="00970AF1">
        <w:rPr>
          <w:rFonts w:cs="Arial"/>
          <w:szCs w:val="20"/>
        </w:rPr>
        <w:t xml:space="preserve"> </w:t>
      </w:r>
      <w:r w:rsidRPr="00970AF1">
        <w:rPr>
          <w:rFonts w:cs="Arial"/>
          <w:b/>
          <w:bCs/>
          <w:szCs w:val="20"/>
        </w:rPr>
        <w:t xml:space="preserve">Groupe de coordination CdE/OSCE </w:t>
      </w:r>
      <w:r w:rsidRPr="00970AF1">
        <w:rPr>
          <w:rFonts w:cs="Arial"/>
          <w:szCs w:val="20"/>
        </w:rPr>
        <w:t xml:space="preserve">et ses modalités de travail, il convient d’adopter une approche </w:t>
      </w:r>
      <w:r w:rsidRPr="00970AF1">
        <w:rPr>
          <w:rFonts w:cs="Arial"/>
          <w:b/>
          <w:bCs/>
          <w:szCs w:val="20"/>
        </w:rPr>
        <w:t xml:space="preserve">pragmatique </w:t>
      </w:r>
      <w:r w:rsidRPr="00970AF1">
        <w:rPr>
          <w:rFonts w:cs="Arial"/>
          <w:szCs w:val="20"/>
        </w:rPr>
        <w:t xml:space="preserve">afin d’élargir les thèmes de </w:t>
      </w:r>
      <w:r w:rsidRPr="00970AF1">
        <w:rPr>
          <w:rFonts w:eastAsia="Times New Roman" w:cs="Arial"/>
          <w:szCs w:val="20"/>
        </w:rPr>
        <w:t>discussion grâce à des moyens et modalités informels (en reliant par exemple des questions d'actualité telles que les migrations à la traite des êtres humains et, éventuellement, par des échanges informels).</w:t>
      </w:r>
      <w:r w:rsidRPr="00970AF1">
        <w:rPr>
          <w:rFonts w:cs="Arial"/>
          <w:szCs w:val="20"/>
        </w:rPr>
        <w:t xml:space="preserve"> </w:t>
      </w:r>
      <w:r w:rsidRPr="00970AF1">
        <w:rPr>
          <w:rFonts w:eastAsia="Times New Roman" w:cs="Arial"/>
          <w:szCs w:val="20"/>
          <w:lang w:eastAsia="fr-FR"/>
        </w:rPr>
        <w:t xml:space="preserve">L’actualisation des </w:t>
      </w:r>
      <w:r w:rsidRPr="00970AF1">
        <w:rPr>
          <w:rFonts w:eastAsia="Times New Roman" w:cs="Arial"/>
          <w:b/>
          <w:bCs/>
          <w:szCs w:val="20"/>
          <w:lang w:eastAsia="fr-FR"/>
        </w:rPr>
        <w:t>modalités</w:t>
      </w:r>
      <w:r w:rsidRPr="00970AF1">
        <w:rPr>
          <w:rFonts w:eastAsia="Times New Roman" w:cs="Arial"/>
          <w:szCs w:val="20"/>
          <w:lang w:eastAsia="fr-FR"/>
        </w:rPr>
        <w:t xml:space="preserve"> </w:t>
      </w:r>
      <w:r w:rsidRPr="00970AF1">
        <w:rPr>
          <w:rFonts w:eastAsia="Times New Roman" w:cs="Arial"/>
          <w:szCs w:val="20"/>
        </w:rPr>
        <w:t>pourrait également : explorer une plus grande symétrie dans la participation, notamment pour les correspondants, induisant un changement dans le mode de nomination des correspondants du CdE (des représentants du Secrétariat à la place des Présidents des groupes de rapporteurs), qui seraient ainsi les homologues des correspondants de l’OSCE.</w:t>
      </w:r>
    </w:p>
    <w:p w14:paraId="458661A9" w14:textId="77777777" w:rsidR="004752E1" w:rsidRPr="00970AF1" w:rsidRDefault="004752E1" w:rsidP="004752E1">
      <w:pPr>
        <w:rPr>
          <w:rFonts w:eastAsia="Times New Roman" w:cs="Arial"/>
          <w:szCs w:val="20"/>
        </w:rPr>
      </w:pPr>
    </w:p>
    <w:p w14:paraId="4F5D67E9" w14:textId="77777777" w:rsidR="004752E1" w:rsidRPr="00970AF1" w:rsidRDefault="004752E1" w:rsidP="004752E1">
      <w:pPr>
        <w:rPr>
          <w:rFonts w:cs="Arial"/>
          <w:szCs w:val="20"/>
        </w:rPr>
      </w:pPr>
      <w:r w:rsidRPr="00970AF1">
        <w:rPr>
          <w:rFonts w:eastAsia="Times New Roman" w:cs="Arial"/>
          <w:szCs w:val="20"/>
        </w:rPr>
        <w:t xml:space="preserve">L’ancienne pratique des </w:t>
      </w:r>
      <w:r w:rsidRPr="00970AF1">
        <w:rPr>
          <w:rFonts w:eastAsia="Times New Roman" w:cs="Arial"/>
          <w:b/>
          <w:bCs/>
          <w:szCs w:val="20"/>
        </w:rPr>
        <w:t>réunions CdE/OSCE au niveau des hauts fonctionnaires</w:t>
      </w:r>
      <w:r w:rsidRPr="00970AF1">
        <w:rPr>
          <w:rFonts w:eastAsia="Times New Roman" w:cs="Arial"/>
          <w:szCs w:val="20"/>
        </w:rPr>
        <w:t xml:space="preserve"> </w:t>
      </w:r>
      <w:proofErr w:type="gramStart"/>
      <w:r w:rsidRPr="00970AF1">
        <w:rPr>
          <w:rFonts w:cs="Arial"/>
          <w:szCs w:val="20"/>
        </w:rPr>
        <w:t>pourrait</w:t>
      </w:r>
      <w:proofErr w:type="gramEnd"/>
      <w:r w:rsidRPr="00970AF1">
        <w:rPr>
          <w:rFonts w:cs="Arial"/>
          <w:szCs w:val="20"/>
        </w:rPr>
        <w:t xml:space="preserve"> également être envisagée. </w:t>
      </w:r>
    </w:p>
    <w:p w14:paraId="4D68357A" w14:textId="77777777" w:rsidR="004752E1" w:rsidRPr="00970AF1" w:rsidRDefault="004752E1" w:rsidP="004752E1">
      <w:pPr>
        <w:rPr>
          <w:rFonts w:cs="Arial"/>
          <w:szCs w:val="20"/>
        </w:rPr>
      </w:pPr>
    </w:p>
    <w:p w14:paraId="31D86F60" w14:textId="77777777" w:rsidR="004752E1" w:rsidRPr="00970AF1" w:rsidRDefault="004752E1" w:rsidP="004752E1">
      <w:pPr>
        <w:rPr>
          <w:rFonts w:cs="Arial"/>
          <w:szCs w:val="20"/>
        </w:rPr>
      </w:pPr>
      <w:r w:rsidRPr="00970AF1">
        <w:rPr>
          <w:rFonts w:cs="Arial"/>
          <w:szCs w:val="20"/>
        </w:rPr>
        <w:t xml:space="preserve">Plus généralement, il est proposé de conserver une approche </w:t>
      </w:r>
      <w:r w:rsidRPr="00970AF1">
        <w:rPr>
          <w:rFonts w:cs="Arial"/>
          <w:b/>
          <w:bCs/>
          <w:szCs w:val="20"/>
        </w:rPr>
        <w:t>pragmatique</w:t>
      </w:r>
      <w:r w:rsidRPr="00970AF1">
        <w:rPr>
          <w:rFonts w:eastAsia="Times New Roman" w:cs="Arial"/>
          <w:szCs w:val="20"/>
        </w:rPr>
        <w:t xml:space="preserve">, pouvant inclure des </w:t>
      </w:r>
      <w:r w:rsidRPr="00970AF1">
        <w:rPr>
          <w:rFonts w:eastAsia="Times New Roman" w:cs="Arial"/>
          <w:b/>
          <w:bCs/>
          <w:szCs w:val="20"/>
        </w:rPr>
        <w:t xml:space="preserve">échanges informels </w:t>
      </w:r>
      <w:r w:rsidRPr="00970AF1">
        <w:rPr>
          <w:rFonts w:eastAsia="Times New Roman" w:cs="Arial"/>
          <w:szCs w:val="20"/>
        </w:rPr>
        <w:t xml:space="preserve">plus réguliers sur des questions d'actualité d'intérêt commun et le renforcement de la coopération entre les missions </w:t>
      </w:r>
      <w:r w:rsidRPr="00970AF1">
        <w:rPr>
          <w:rFonts w:eastAsia="Times New Roman" w:cs="Arial"/>
          <w:b/>
          <w:bCs/>
          <w:szCs w:val="20"/>
        </w:rPr>
        <w:t>sur le terrain.</w:t>
      </w:r>
    </w:p>
    <w:p w14:paraId="5735787C" w14:textId="77777777" w:rsidR="004752E1" w:rsidRPr="00970AF1" w:rsidRDefault="004752E1" w:rsidP="004752E1">
      <w:pPr>
        <w:rPr>
          <w:rFonts w:eastAsia="Times New Roman" w:cs="Arial"/>
          <w:szCs w:val="20"/>
        </w:rPr>
      </w:pPr>
    </w:p>
    <w:p w14:paraId="395C193E" w14:textId="77777777" w:rsidR="004752E1" w:rsidRPr="00970AF1" w:rsidRDefault="004752E1" w:rsidP="004752E1">
      <w:pPr>
        <w:rPr>
          <w:rFonts w:eastAsia="Times New Roman" w:cs="Arial"/>
          <w:szCs w:val="20"/>
        </w:rPr>
      </w:pPr>
      <w:r w:rsidRPr="00970AF1">
        <w:rPr>
          <w:rFonts w:cs="Arial"/>
          <w:szCs w:val="20"/>
        </w:rPr>
        <w:t xml:space="preserve">La participation active des délégations du CdE aux </w:t>
      </w:r>
      <w:r w:rsidRPr="00970AF1">
        <w:rPr>
          <w:rFonts w:cs="Arial"/>
          <w:b/>
          <w:bCs/>
          <w:szCs w:val="20"/>
        </w:rPr>
        <w:t>réunions de l'OSCE sur la dimension humaine</w:t>
      </w:r>
      <w:r w:rsidRPr="00970AF1">
        <w:rPr>
          <w:rFonts w:cs="Arial"/>
          <w:szCs w:val="20"/>
        </w:rPr>
        <w:t xml:space="preserve">, y compris à haut niveau, devrait se poursuivre. Les visites à haut niveau de représentants </w:t>
      </w:r>
      <w:r w:rsidRPr="00970AF1">
        <w:rPr>
          <w:rFonts w:cs="Arial"/>
          <w:b/>
          <w:bCs/>
          <w:szCs w:val="20"/>
        </w:rPr>
        <w:t xml:space="preserve">du BIDDH </w:t>
      </w:r>
      <w:r w:rsidRPr="00970AF1">
        <w:rPr>
          <w:rFonts w:cs="Arial"/>
          <w:szCs w:val="20"/>
        </w:rPr>
        <w:t xml:space="preserve">à Strasbourg devraient également être encouragées. </w:t>
      </w:r>
    </w:p>
    <w:p w14:paraId="1D414474" w14:textId="77777777" w:rsidR="004752E1" w:rsidRPr="00970AF1" w:rsidRDefault="004752E1" w:rsidP="004752E1">
      <w:pPr>
        <w:rPr>
          <w:rFonts w:eastAsia="Times New Roman" w:cs="Arial"/>
          <w:szCs w:val="20"/>
          <w:lang w:eastAsia="fr-FR"/>
        </w:rPr>
      </w:pPr>
    </w:p>
    <w:p w14:paraId="6BEBE350" w14:textId="77777777" w:rsidR="004752E1" w:rsidRPr="00970AF1" w:rsidRDefault="004752E1" w:rsidP="004752E1">
      <w:pPr>
        <w:ind w:left="720" w:firstLine="131"/>
        <w:contextualSpacing/>
        <w:rPr>
          <w:rFonts w:eastAsia="Times New Roman" w:cs="Arial"/>
          <w:b/>
          <w:bCs/>
          <w:i/>
          <w:iCs/>
          <w:szCs w:val="20"/>
          <w:lang w:eastAsia="fr-FR"/>
        </w:rPr>
      </w:pPr>
      <w:r w:rsidRPr="00970AF1">
        <w:rPr>
          <w:rFonts w:eastAsia="Times New Roman" w:cs="Arial"/>
          <w:b/>
          <w:bCs/>
          <w:i/>
          <w:iCs/>
          <w:szCs w:val="20"/>
          <w:lang w:eastAsia="fr-FR"/>
        </w:rPr>
        <w:t>5.2. Relations avec d'autres partenaires - exemples</w:t>
      </w:r>
    </w:p>
    <w:p w14:paraId="537C77B6" w14:textId="77777777" w:rsidR="004752E1" w:rsidRPr="00970AF1" w:rsidRDefault="004752E1" w:rsidP="004752E1">
      <w:pPr>
        <w:ind w:left="720"/>
        <w:contextualSpacing/>
        <w:rPr>
          <w:rFonts w:eastAsia="Times New Roman" w:cs="Arial"/>
          <w:b/>
          <w:bCs/>
          <w:i/>
          <w:iCs/>
          <w:szCs w:val="20"/>
          <w:lang w:eastAsia="fr-FR"/>
        </w:rPr>
      </w:pPr>
    </w:p>
    <w:p w14:paraId="69096080" w14:textId="77777777" w:rsidR="004752E1" w:rsidRPr="00970AF1" w:rsidRDefault="004752E1" w:rsidP="004752E1">
      <w:pPr>
        <w:rPr>
          <w:rFonts w:eastAsia="Times New Roman" w:cs="Arial"/>
          <w:szCs w:val="20"/>
          <w:lang w:eastAsia="fr-FR"/>
        </w:rPr>
      </w:pPr>
      <w:r w:rsidRPr="00970AF1">
        <w:rPr>
          <w:rFonts w:eastAsia="Times New Roman" w:cs="Arial"/>
          <w:szCs w:val="20"/>
          <w:lang w:eastAsia="fr-FR"/>
        </w:rPr>
        <w:t>Les relations avec d'</w:t>
      </w:r>
      <w:r w:rsidRPr="00970AF1">
        <w:rPr>
          <w:rFonts w:eastAsia="Times New Roman" w:cs="Arial"/>
          <w:b/>
          <w:bCs/>
          <w:szCs w:val="20"/>
          <w:lang w:eastAsia="fr-FR"/>
        </w:rPr>
        <w:t>autres organisations internationales</w:t>
      </w:r>
      <w:r w:rsidRPr="00970AF1">
        <w:rPr>
          <w:rFonts w:eastAsia="Times New Roman" w:cs="Arial"/>
          <w:szCs w:val="20"/>
          <w:lang w:eastAsia="fr-FR"/>
        </w:rPr>
        <w:t xml:space="preserve">, en particulier avec l'OEA et l'OIF, se sont intensifiées et le niveau de coopération institutionnelle a été relevé. Un éventuel élargissement des domaines de cette coopération, y compris la </w:t>
      </w:r>
      <w:r w:rsidRPr="00970AF1">
        <w:rPr>
          <w:rFonts w:eastAsia="Times New Roman" w:cs="Arial"/>
          <w:b/>
          <w:bCs/>
          <w:szCs w:val="20"/>
          <w:lang w:eastAsia="fr-FR"/>
        </w:rPr>
        <w:t xml:space="preserve">promotion </w:t>
      </w:r>
      <w:r w:rsidRPr="00970AF1">
        <w:rPr>
          <w:rFonts w:eastAsia="Times New Roman" w:cs="Arial"/>
          <w:szCs w:val="20"/>
          <w:lang w:eastAsia="fr-FR"/>
        </w:rPr>
        <w:t xml:space="preserve">(des instruments du CdE) dans des secteurs spécifiques et ciblés, par exemple en faveur d’une participation au Registre, devrait être discutée et être activement poursuivi. D'autres </w:t>
      </w:r>
      <w:r w:rsidRPr="00970AF1">
        <w:rPr>
          <w:rFonts w:eastAsiaTheme="minorEastAsia" w:cs="Arial"/>
          <w:szCs w:val="20"/>
          <w:lang w:eastAsia="ja-JP"/>
        </w:rPr>
        <w:t xml:space="preserve">organisations internationales </w:t>
      </w:r>
      <w:r w:rsidRPr="00970AF1">
        <w:rPr>
          <w:rFonts w:eastAsia="Times New Roman" w:cs="Arial"/>
          <w:szCs w:val="20"/>
          <w:lang w:eastAsia="fr-FR"/>
        </w:rPr>
        <w:t>peuvent fournir, le cas échéant, une plate-forme pour la promotion des travaux du CdE auprès des États non-européens.</w:t>
      </w:r>
    </w:p>
    <w:p w14:paraId="27C7F11C" w14:textId="77777777" w:rsidR="004752E1" w:rsidRPr="00970AF1" w:rsidRDefault="004752E1" w:rsidP="004752E1">
      <w:pPr>
        <w:rPr>
          <w:rFonts w:eastAsia="Times New Roman" w:cs="Arial"/>
          <w:szCs w:val="20"/>
          <w:lang w:eastAsia="fr-FR"/>
        </w:rPr>
      </w:pPr>
    </w:p>
    <w:p w14:paraId="3C797426" w14:textId="77777777" w:rsidR="004752E1" w:rsidRPr="00970AF1" w:rsidRDefault="004752E1" w:rsidP="004752E1">
      <w:pPr>
        <w:rPr>
          <w:rFonts w:eastAsia="Times New Roman" w:cs="Arial"/>
          <w:szCs w:val="20"/>
          <w:lang w:eastAsia="fr-FR"/>
        </w:rPr>
      </w:pPr>
      <w:r w:rsidRPr="00970AF1">
        <w:rPr>
          <w:rFonts w:eastAsia="Times New Roman" w:cs="Arial"/>
          <w:szCs w:val="20"/>
          <w:lang w:eastAsia="fr-FR"/>
        </w:rPr>
        <w:t xml:space="preserve">À cet égard, le dialogue et la coopération avec </w:t>
      </w:r>
      <w:r w:rsidRPr="00970AF1">
        <w:rPr>
          <w:rFonts w:eastAsia="Times New Roman" w:cs="Arial"/>
          <w:b/>
          <w:bCs/>
          <w:szCs w:val="20"/>
          <w:lang w:eastAsia="fr-FR"/>
        </w:rPr>
        <w:t>l'Organisation des États américains</w:t>
      </w:r>
      <w:r w:rsidRPr="00970AF1">
        <w:rPr>
          <w:rFonts w:eastAsia="Times New Roman" w:cs="Arial"/>
          <w:szCs w:val="20"/>
          <w:lang w:eastAsia="fr-FR"/>
        </w:rPr>
        <w:t xml:space="preserve"> devraient être poursuivis et renforcés, notamment pour la promotion du Registre. Le secrétaire général de l'OEA sera invité au Forum mondial de la démocratie, comme cela a été discuté à haut niveau.</w:t>
      </w:r>
    </w:p>
    <w:p w14:paraId="1A699965" w14:textId="77777777" w:rsidR="004752E1" w:rsidRPr="00970AF1" w:rsidRDefault="004752E1" w:rsidP="004752E1">
      <w:pPr>
        <w:rPr>
          <w:rFonts w:eastAsia="Times New Roman" w:cs="Arial"/>
          <w:szCs w:val="20"/>
          <w:lang w:eastAsia="fr-FR"/>
        </w:rPr>
      </w:pPr>
    </w:p>
    <w:p w14:paraId="602E6505" w14:textId="77777777" w:rsidR="004752E1" w:rsidRPr="00970AF1" w:rsidRDefault="004752E1" w:rsidP="004752E1">
      <w:pPr>
        <w:rPr>
          <w:rFonts w:cs="Arial"/>
          <w:szCs w:val="20"/>
        </w:rPr>
      </w:pPr>
      <w:r w:rsidRPr="00970AF1">
        <w:rPr>
          <w:rFonts w:eastAsia="Times New Roman" w:cs="Arial"/>
          <w:szCs w:val="20"/>
          <w:lang w:eastAsia="fr-FR"/>
        </w:rPr>
        <w:t>S’agissant de la coopération avec l'</w:t>
      </w:r>
      <w:r w:rsidRPr="00970AF1">
        <w:rPr>
          <w:rFonts w:cs="Arial"/>
          <w:b/>
          <w:bCs/>
          <w:szCs w:val="20"/>
        </w:rPr>
        <w:t>Organisation internationale de la Francophonie</w:t>
      </w:r>
      <w:r w:rsidRPr="00970AF1">
        <w:rPr>
          <w:rFonts w:cs="Arial"/>
          <w:szCs w:val="20"/>
        </w:rPr>
        <w:t xml:space="preserve">, le dialogue devrait se poursuivre, notamment via le GR-EXT, sur la mise en œuvre de l’actuel programme de coopération (2020-2024) </w:t>
      </w:r>
      <w:bookmarkStart w:id="6" w:name="_Hlk158323782"/>
      <w:r w:rsidRPr="00970AF1">
        <w:rPr>
          <w:rFonts w:cs="Arial"/>
          <w:szCs w:val="20"/>
        </w:rPr>
        <w:t xml:space="preserve">et sa prochaine actualisation. Dans cette perspective, un événement est prévu à Strasbourg avec l’OIF en mars 2024 afin d’examiner la coopération actuelle et les axes de la coopération future. </w:t>
      </w:r>
    </w:p>
    <w:bookmarkEnd w:id="6"/>
    <w:p w14:paraId="6EE66CE5" w14:textId="77777777" w:rsidR="004752E1" w:rsidRPr="00970AF1" w:rsidRDefault="004752E1" w:rsidP="004752E1">
      <w:pPr>
        <w:rPr>
          <w:rFonts w:eastAsia="Times New Roman" w:cs="Arial"/>
          <w:szCs w:val="20"/>
          <w:lang w:eastAsia="fr-FR"/>
        </w:rPr>
      </w:pPr>
    </w:p>
    <w:p w14:paraId="18EC859B" w14:textId="77777777" w:rsidR="004752E1" w:rsidRPr="00970AF1" w:rsidRDefault="004752E1" w:rsidP="004752E1">
      <w:pPr>
        <w:rPr>
          <w:rFonts w:eastAsiaTheme="minorEastAsia" w:cs="Arial"/>
          <w:szCs w:val="20"/>
          <w:lang w:eastAsia="ja-JP"/>
        </w:rPr>
      </w:pPr>
      <w:r w:rsidRPr="00970AF1">
        <w:rPr>
          <w:rFonts w:eastAsia="Times New Roman" w:cs="Arial"/>
          <w:szCs w:val="20"/>
          <w:lang w:eastAsia="fr-FR"/>
        </w:rPr>
        <w:t>Il est également proposé d’explorer les possibilités de développer la coopération avec d'autres organisations internationales avec lesquelles celle-ci n'a pas été formalisée. Ainsi, avec l'</w:t>
      </w:r>
      <w:r w:rsidRPr="00970AF1">
        <w:rPr>
          <w:rFonts w:eastAsia="Times New Roman" w:cs="Arial"/>
          <w:b/>
          <w:bCs/>
          <w:szCs w:val="20"/>
          <w:lang w:eastAsia="fr-FR"/>
        </w:rPr>
        <w:t>ANASE/ASEAN</w:t>
      </w:r>
      <w:r w:rsidRPr="00970AF1">
        <w:rPr>
          <w:rFonts w:eastAsia="Times New Roman" w:cs="Arial"/>
          <w:szCs w:val="20"/>
          <w:lang w:eastAsia="fr-FR"/>
        </w:rPr>
        <w:t xml:space="preserve">, il est proposé de poursuivre les contacts avec sa Commission intergouvernementale des droits de l'homme (AICHR) et d’étudier sur quels thèmes prioritaires pourrait porter une collaboration avec l'ANASE, en vue d'envisager des échanges plus formels, le cas échéant. </w:t>
      </w:r>
    </w:p>
    <w:p w14:paraId="44CE3AE3" w14:textId="77777777" w:rsidR="004752E1" w:rsidRPr="00970AF1" w:rsidRDefault="004752E1" w:rsidP="004752E1">
      <w:pPr>
        <w:rPr>
          <w:rFonts w:eastAsia="Times New Roman" w:cs="Arial"/>
          <w:szCs w:val="20"/>
          <w:lang w:eastAsia="fr-FR"/>
        </w:rPr>
      </w:pPr>
    </w:p>
    <w:p w14:paraId="36B5FD6B" w14:textId="77777777" w:rsidR="004752E1" w:rsidRPr="00970AF1" w:rsidRDefault="004752E1" w:rsidP="004752E1">
      <w:pPr>
        <w:rPr>
          <w:rFonts w:eastAsia="Times New Roman" w:cs="Arial"/>
          <w:szCs w:val="20"/>
          <w:lang w:eastAsia="fr-FR"/>
        </w:rPr>
      </w:pPr>
      <w:r w:rsidRPr="00970AF1">
        <w:rPr>
          <w:rFonts w:eastAsia="Times New Roman" w:cs="Arial"/>
          <w:szCs w:val="20"/>
          <w:lang w:eastAsia="fr-FR"/>
        </w:rPr>
        <w:t xml:space="preserve">Il est également envisagé d’établir ou de renouveler des contacts, si cela semble pertinent, avec d’autres interlocuteurs </w:t>
      </w:r>
      <w:r w:rsidRPr="00970AF1">
        <w:rPr>
          <w:rFonts w:eastAsiaTheme="minorEastAsia" w:cs="Arial"/>
          <w:szCs w:val="20"/>
          <w:lang w:eastAsia="ja-JP"/>
        </w:rPr>
        <w:t>(comme la Ligue des États arabes</w:t>
      </w:r>
      <w:r w:rsidRPr="00970AF1">
        <w:rPr>
          <w:rFonts w:eastAsiaTheme="minorEastAsia" w:cs="Arial"/>
          <w:szCs w:val="20"/>
          <w:vertAlign w:val="superscript"/>
          <w:lang w:eastAsia="ja-JP"/>
        </w:rPr>
        <w:footnoteReference w:id="37"/>
      </w:r>
      <w:r w:rsidRPr="00970AF1">
        <w:rPr>
          <w:rFonts w:eastAsiaTheme="minorEastAsia" w:cs="Arial"/>
          <w:szCs w:val="20"/>
          <w:lang w:eastAsia="ja-JP"/>
        </w:rPr>
        <w:t>et l’Union africaine</w:t>
      </w:r>
      <w:r w:rsidRPr="00970AF1">
        <w:rPr>
          <w:rFonts w:eastAsiaTheme="minorEastAsia" w:cs="Arial"/>
          <w:szCs w:val="20"/>
          <w:vertAlign w:val="superscript"/>
          <w:lang w:eastAsia="ja-JP"/>
        </w:rPr>
        <w:footnoteReference w:id="38"/>
      </w:r>
      <w:r w:rsidRPr="00970AF1">
        <w:rPr>
          <w:rFonts w:eastAsiaTheme="minorEastAsia" w:cs="Arial"/>
          <w:szCs w:val="20"/>
          <w:lang w:eastAsia="ja-JP"/>
        </w:rPr>
        <w:t xml:space="preserve">), afin, notamment, de rechercher de nouvelles manières de promouvoir les valeurs et les </w:t>
      </w:r>
      <w:r w:rsidRPr="00970AF1">
        <w:rPr>
          <w:rFonts w:eastAsia="Times New Roman" w:cs="Arial"/>
          <w:szCs w:val="20"/>
          <w:lang w:eastAsia="fr-FR"/>
        </w:rPr>
        <w:t xml:space="preserve">instruments pertinents du CdE. </w:t>
      </w:r>
    </w:p>
    <w:p w14:paraId="7EC7BB5F" w14:textId="77777777" w:rsidR="004752E1" w:rsidRPr="00970AF1" w:rsidRDefault="004752E1" w:rsidP="004752E1">
      <w:pPr>
        <w:rPr>
          <w:rFonts w:eastAsia="Times New Roman"/>
          <w:szCs w:val="24"/>
        </w:rPr>
      </w:pPr>
    </w:p>
    <w:p w14:paraId="28BE3861" w14:textId="77777777" w:rsidR="004D1C0F" w:rsidRPr="004752E1" w:rsidRDefault="004D1C0F" w:rsidP="004752E1">
      <w:pPr>
        <w:rPr>
          <w:rFonts w:eastAsia="Times New Roman"/>
          <w:szCs w:val="24"/>
        </w:rPr>
      </w:pPr>
    </w:p>
    <w:sectPr w:rsidR="004D1C0F" w:rsidRPr="004752E1" w:rsidSect="00544F6A">
      <w:headerReference w:type="even" r:id="rId11"/>
      <w:headerReference w:type="default" r:id="rId12"/>
      <w:footerReference w:type="default" r:id="rId13"/>
      <w:headerReference w:type="first" r:id="rId14"/>
      <w:footerReference w:type="first" r:id="rId15"/>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3D16" w14:textId="77777777" w:rsidR="000316BF" w:rsidRDefault="000316BF" w:rsidP="00FD6043">
      <w:r>
        <w:separator/>
      </w:r>
    </w:p>
  </w:endnote>
  <w:endnote w:type="continuationSeparator" w:id="0">
    <w:p w14:paraId="4BFFCC87" w14:textId="77777777" w:rsidR="000316BF" w:rsidRDefault="000316BF"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B703"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57E1"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E00B" w14:textId="77777777" w:rsidR="000316BF" w:rsidRDefault="000316BF" w:rsidP="00FD6043">
      <w:r>
        <w:separator/>
      </w:r>
    </w:p>
  </w:footnote>
  <w:footnote w:type="continuationSeparator" w:id="0">
    <w:p w14:paraId="77A3DC1F" w14:textId="77777777" w:rsidR="000316BF" w:rsidRDefault="000316BF" w:rsidP="00FD6043">
      <w:r>
        <w:continuationSeparator/>
      </w:r>
    </w:p>
  </w:footnote>
  <w:footnote w:id="1">
    <w:p w14:paraId="4F6C32FB" w14:textId="263B3DEC" w:rsidR="004752E1" w:rsidRPr="00C62148" w:rsidRDefault="004752E1" w:rsidP="004752E1">
      <w:pPr>
        <w:rPr>
          <w:rFonts w:cs="Arial"/>
          <w:noProof/>
          <w:sz w:val="16"/>
          <w:szCs w:val="16"/>
        </w:rPr>
      </w:pPr>
      <w:r w:rsidRPr="001260D2">
        <w:rPr>
          <w:rFonts w:cs="Arial"/>
          <w:noProof/>
          <w:sz w:val="16"/>
          <w:szCs w:val="16"/>
          <w:vertAlign w:val="superscript"/>
        </w:rPr>
        <w:footnoteRef/>
      </w:r>
      <w:r w:rsidRPr="001260D2">
        <w:rPr>
          <w:rFonts w:cs="Arial"/>
          <w:noProof/>
          <w:sz w:val="16"/>
          <w:szCs w:val="16"/>
        </w:rPr>
        <w:t xml:space="preserve"> Ces relations s’appuient sur des accords de coopération généraux et/ou sur divers accords sectoriels avec leurs différentes composantes. Voir les « </w:t>
      </w:r>
      <w:hyperlink r:id="rId1" w:history="1">
        <w:r w:rsidRPr="001260D2">
          <w:rPr>
            <w:rStyle w:val="Hyperlink"/>
            <w:rFonts w:cs="Arial"/>
            <w:noProof/>
            <w:sz w:val="16"/>
            <w:szCs w:val="16"/>
          </w:rPr>
          <w:t>Listes d'Accords conclus par le Conseil de l'Europe avec d'autres Organisations intergouvernementales ou des institutions publiques internationales</w:t>
        </w:r>
      </w:hyperlink>
      <w:r w:rsidRPr="001260D2">
        <w:rPr>
          <w:rFonts w:cs="Arial"/>
          <w:noProof/>
          <w:sz w:val="16"/>
          <w:szCs w:val="16"/>
        </w:rPr>
        <w:t xml:space="preserve"> ». Le Comité des Ministres a ainsi défini des </w:t>
      </w:r>
      <w:r w:rsidRPr="001260D2">
        <w:rPr>
          <w:rFonts w:cs="Arial"/>
          <w:noProof/>
          <w:sz w:val="16"/>
          <w:szCs w:val="16"/>
          <w:u w:val="single"/>
        </w:rPr>
        <w:t>règles</w:t>
      </w:r>
      <w:r w:rsidRPr="001260D2">
        <w:rPr>
          <w:rFonts w:cs="Arial"/>
          <w:noProof/>
          <w:sz w:val="16"/>
          <w:szCs w:val="16"/>
        </w:rPr>
        <w:t xml:space="preserve"> applicables aux relations du CdE avec d’autres organisations internationales: le 16 janvier 2008, les Délégués des Ministres ont rappelé</w:t>
      </w:r>
      <w:r w:rsidRPr="001260D2">
        <w:rPr>
          <w:noProof/>
          <w:sz w:val="16"/>
          <w:szCs w:val="16"/>
        </w:rPr>
        <w:t xml:space="preserve"> « </w:t>
      </w:r>
      <w:r w:rsidRPr="001260D2">
        <w:rPr>
          <w:rFonts w:cs="Arial"/>
          <w:noProof/>
          <w:sz w:val="16"/>
          <w:szCs w:val="16"/>
        </w:rPr>
        <w:t>que toute démarche formelle en vue de la conclusion d’un mémorandum d’accord avec d’autres organisations devrait leur être soumise à l’avance ». Le 20 octobre 2010, le Comité des Ministres a adopté l’Arrêté n° 1318 du 20 octobre 2010 sur les Lignes directrices applicables à la conclusion d’accords entre le Conseil de l'Europe et d’autres organisations internationales intergouvernementales ou d’autres entités de droit international public.</w:t>
      </w:r>
      <w:r>
        <w:rPr>
          <w:rFonts w:cs="Arial"/>
          <w:noProof/>
          <w:sz w:val="16"/>
          <w:szCs w:val="16"/>
        </w:rPr>
        <w:t xml:space="preserve"> </w:t>
      </w:r>
      <w:r w:rsidRPr="001260D2">
        <w:rPr>
          <w:rFonts w:cs="Arial"/>
          <w:noProof/>
          <w:sz w:val="16"/>
          <w:szCs w:val="16"/>
        </w:rPr>
        <w:t>Voir également « </w:t>
      </w:r>
      <w:r w:rsidRPr="00E25D07">
        <w:rPr>
          <w:noProof/>
          <w:sz w:val="16"/>
          <w:szCs w:val="16"/>
        </w:rPr>
        <w:t>Réflexion sur la contribution du Conseil de l’Europe à l’ordre international et à la gouvernance mondiale, ainsi qu’à la réalisation des Objectifs de développement durable (ODD) » – Rapport d’activité </w:t>
      </w:r>
      <w:bookmarkStart w:id="0" w:name="_ML_000000000002_VALID"/>
      <w:r w:rsidR="00E25D07" w:rsidRPr="00E25D07">
        <w:rPr>
          <w:noProof/>
          <w:sz w:val="16"/>
          <w:szCs w:val="16"/>
        </w:rPr>
        <w:fldChar w:fldCharType="begin"/>
      </w:r>
      <w:r w:rsidR="00E25D07" w:rsidRPr="00E25D07">
        <w:rPr>
          <w:noProof/>
          <w:sz w:val="16"/>
          <w:szCs w:val="16"/>
        </w:rPr>
        <w:instrText>HYPERLINK "https://search.coe.int/cm/Pages/result_details.aspx?Reference=CM(2022)84-final" \o "[132e Session] Réflexion sur la contribution du Conseil de l’Europe à l’ordre international et à la gouvernance mondiale, ainsi qu’à la réalisation des Objectifs de développement durable (ODD) – Rapport d’activité"</w:instrText>
      </w:r>
      <w:r w:rsidR="00E25D07" w:rsidRPr="00E25D07">
        <w:rPr>
          <w:noProof/>
          <w:sz w:val="16"/>
          <w:szCs w:val="16"/>
        </w:rPr>
      </w:r>
      <w:r w:rsidR="00E25D07" w:rsidRPr="00E25D07">
        <w:rPr>
          <w:noProof/>
          <w:sz w:val="16"/>
          <w:szCs w:val="16"/>
        </w:rPr>
        <w:fldChar w:fldCharType="separate"/>
      </w:r>
      <w:bookmarkEnd w:id="0"/>
      <w:r w:rsidR="00E25D07" w:rsidRPr="00E25D07">
        <w:rPr>
          <w:rStyle w:val="Hyperlink"/>
          <w:noProof/>
          <w:sz w:val="16"/>
          <w:szCs w:val="16"/>
        </w:rPr>
        <w:t>CM(2022)84-final</w:t>
      </w:r>
      <w:r w:rsidR="00E25D07" w:rsidRPr="00E25D07">
        <w:rPr>
          <w:noProof/>
          <w:sz w:val="16"/>
          <w:szCs w:val="16"/>
        </w:rPr>
        <w:fldChar w:fldCharType="end"/>
      </w:r>
      <w:r w:rsidRPr="00E25D07">
        <w:rPr>
          <w:noProof/>
          <w:sz w:val="16"/>
          <w:szCs w:val="16"/>
        </w:rPr>
        <w:t>, 16 mai 2022</w:t>
      </w:r>
      <w:r w:rsidRPr="00C62148">
        <w:rPr>
          <w:rFonts w:cs="Arial"/>
          <w:noProof/>
          <w:sz w:val="16"/>
          <w:szCs w:val="16"/>
        </w:rPr>
        <w:t>.</w:t>
      </w:r>
    </w:p>
  </w:footnote>
  <w:footnote w:id="2">
    <w:p w14:paraId="04ECB09D" w14:textId="77777777" w:rsidR="004752E1" w:rsidRPr="001260D2" w:rsidRDefault="004752E1" w:rsidP="004752E1">
      <w:pPr>
        <w:pStyle w:val="FootnoteText"/>
        <w:rPr>
          <w:rFonts w:cs="Arial"/>
          <w:noProof/>
          <w:sz w:val="20"/>
        </w:rPr>
      </w:pPr>
      <w:r w:rsidRPr="001260D2">
        <w:rPr>
          <w:rStyle w:val="FootnoteReference"/>
          <w:rFonts w:cs="Arial"/>
          <w:noProof/>
          <w:szCs w:val="16"/>
        </w:rPr>
        <w:footnoteRef/>
      </w:r>
      <w:r w:rsidRPr="001260D2">
        <w:rPr>
          <w:rFonts w:cs="Arial"/>
          <w:noProof/>
          <w:szCs w:val="16"/>
        </w:rPr>
        <w:t xml:space="preserve"> Déclaration de Reykjavík.</w:t>
      </w:r>
    </w:p>
  </w:footnote>
  <w:footnote w:id="3">
    <w:p w14:paraId="074019F5" w14:textId="058488A4" w:rsidR="004752E1" w:rsidRPr="001260D2" w:rsidRDefault="004752E1" w:rsidP="004752E1">
      <w:pPr>
        <w:pStyle w:val="FootnoteText"/>
        <w:rPr>
          <w:rFonts w:cs="Arial"/>
          <w:noProof/>
          <w:szCs w:val="16"/>
        </w:rPr>
      </w:pPr>
      <w:r w:rsidRPr="001260D2">
        <w:rPr>
          <w:rStyle w:val="FootnoteReference"/>
          <w:rFonts w:cs="Arial"/>
          <w:noProof/>
        </w:rPr>
        <w:footnoteRef/>
      </w:r>
      <w:r w:rsidRPr="001260D2">
        <w:rPr>
          <w:rFonts w:cs="Arial"/>
          <w:noProof/>
        </w:rPr>
        <w:t xml:space="preserve"> La coopération entre le CdE et l'UE fait l'objet d</w:t>
      </w:r>
      <w:r w:rsidRPr="00785D58">
        <w:rPr>
          <w:rFonts w:cs="Arial"/>
          <w:noProof/>
        </w:rPr>
        <w:t>'un rapport de synthèse distinct</w:t>
      </w:r>
      <w:r w:rsidRPr="00785D58">
        <w:rPr>
          <w:rFonts w:cs="Arial"/>
          <w:noProof/>
          <w:szCs w:val="16"/>
        </w:rPr>
        <w:t xml:space="preserve"> - </w:t>
      </w:r>
      <w:bookmarkStart w:id="1" w:name="_ML_000000000003_VALID"/>
      <w:r w:rsidR="00E25D07" w:rsidRPr="00E25D07">
        <w:rPr>
          <w:rFonts w:cs="Arial"/>
          <w:noProof/>
          <w:szCs w:val="16"/>
        </w:rPr>
        <w:fldChar w:fldCharType="begin"/>
      </w:r>
      <w:r w:rsidR="00E25D07" w:rsidRPr="00E25D07">
        <w:rPr>
          <w:rFonts w:cs="Arial"/>
          <w:noProof/>
          <w:szCs w:val="16"/>
        </w:rPr>
        <w:instrText>HYPERLINK "https://search.coe.int/cm/Pages/result_details.aspx?Reference=CM(2024)33-prov" \o "4e Sommet des chefs d’État et de gouvernement du Conseil de l’Europe (Reykjavík, Islande, 16-17 mai 2023) – Suivi - Renforcer le rôle du Conseil de l’Europe dans l’architecture multilatérale européenne en évolution et dans la gouvernance mondiale en améliorant sa dimension extérieure - Coopération entre le Conseil de l'Europe et l’Union européenne – Rapport de synthèse"</w:instrText>
      </w:r>
      <w:r w:rsidR="00E25D07" w:rsidRPr="00E25D07">
        <w:rPr>
          <w:rFonts w:cs="Arial"/>
          <w:noProof/>
          <w:szCs w:val="16"/>
        </w:rPr>
      </w:r>
      <w:r w:rsidR="00E25D07" w:rsidRPr="00E25D07">
        <w:rPr>
          <w:rFonts w:cs="Arial"/>
          <w:noProof/>
          <w:szCs w:val="16"/>
        </w:rPr>
        <w:fldChar w:fldCharType="separate"/>
      </w:r>
      <w:bookmarkEnd w:id="1"/>
      <w:r w:rsidR="00E25D07" w:rsidRPr="00E25D07">
        <w:rPr>
          <w:rStyle w:val="Hyperlink"/>
          <w:rFonts w:cs="Arial"/>
          <w:noProof/>
          <w:szCs w:val="16"/>
        </w:rPr>
        <w:t>CM(2024)33-prov</w:t>
      </w:r>
      <w:r w:rsidR="00E25D07" w:rsidRPr="00E25D07">
        <w:rPr>
          <w:rFonts w:cs="Arial"/>
          <w:noProof/>
          <w:szCs w:val="16"/>
        </w:rPr>
        <w:fldChar w:fldCharType="end"/>
      </w:r>
      <w:r w:rsidRPr="00785D58">
        <w:rPr>
          <w:rFonts w:cs="Arial"/>
          <w:noProof/>
          <w:szCs w:val="16"/>
        </w:rPr>
        <w:t>.</w:t>
      </w:r>
    </w:p>
  </w:footnote>
  <w:footnote w:id="4">
    <w:p w14:paraId="413071D8" w14:textId="77777777" w:rsidR="004752E1" w:rsidRPr="001260D2" w:rsidRDefault="004752E1" w:rsidP="004752E1">
      <w:pPr>
        <w:pStyle w:val="xmsonormal"/>
        <w:spacing w:after="0" w:line="240" w:lineRule="auto"/>
        <w:jc w:val="left"/>
        <w:rPr>
          <w:rFonts w:ascii="Arial" w:eastAsia="Times New Roman" w:hAnsi="Arial"/>
          <w:bCs/>
          <w:noProof/>
          <w:sz w:val="16"/>
          <w:szCs w:val="16"/>
        </w:rPr>
      </w:pPr>
      <w:r w:rsidRPr="001260D2">
        <w:rPr>
          <w:rStyle w:val="FootnoteReference"/>
          <w:rFonts w:ascii="Arial" w:hAnsi="Arial"/>
          <w:noProof/>
          <w:sz w:val="16"/>
          <w:szCs w:val="16"/>
        </w:rPr>
        <w:footnoteRef/>
      </w:r>
      <w:r w:rsidRPr="001260D2">
        <w:rPr>
          <w:rFonts w:ascii="Arial" w:hAnsi="Arial"/>
          <w:noProof/>
          <w:sz w:val="16"/>
          <w:szCs w:val="16"/>
        </w:rPr>
        <w:t xml:space="preserve"> Le présent rapport ne prétend pas être exhaustif. Il donne des exemples et ne couvre pas les relations établies par l'Assemblée parlementaire et le Congrès. Par ailleurs, plusieurs organisations internationales autres que l'UE, l'OSCE et l'ONU participent aux travaux de certains comités intergouvernementaux du CdE</w:t>
      </w:r>
      <w:r w:rsidRPr="001260D2">
        <w:rPr>
          <w:rFonts w:ascii="Arial" w:eastAsia="Times New Roman" w:hAnsi="Arial"/>
          <w:bCs/>
          <w:noProof/>
          <w:sz w:val="16"/>
          <w:szCs w:val="16"/>
        </w:rPr>
        <w:t xml:space="preserve">. </w:t>
      </w:r>
    </w:p>
  </w:footnote>
  <w:footnote w:id="5">
    <w:p w14:paraId="7A8C3AE4" w14:textId="77777777" w:rsidR="004752E1" w:rsidRPr="001260D2" w:rsidRDefault="004752E1" w:rsidP="004752E1">
      <w:pPr>
        <w:pStyle w:val="FootnoteText"/>
        <w:rPr>
          <w:rFonts w:cs="Arial"/>
          <w:noProof/>
        </w:rPr>
      </w:pPr>
      <w:r w:rsidRPr="001260D2">
        <w:rPr>
          <w:rStyle w:val="FootnoteReference"/>
          <w:rFonts w:cs="Arial"/>
          <w:noProof/>
        </w:rPr>
        <w:footnoteRef/>
      </w:r>
      <w:r w:rsidRPr="001260D2">
        <w:rPr>
          <w:rFonts w:cs="Arial"/>
          <w:noProof/>
        </w:rPr>
        <w:t xml:space="preserve"> Voir </w:t>
      </w:r>
      <w:hyperlink r:id="rId2" w:history="1">
        <w:r w:rsidRPr="001260D2">
          <w:rPr>
            <w:rStyle w:val="Hyperlink"/>
            <w:rFonts w:cs="Arial"/>
            <w:noProof/>
          </w:rPr>
          <w:t>Bureaux de liaison - Relations extérieures (coe.int)</w:t>
        </w:r>
      </w:hyperlink>
      <w:r w:rsidRPr="001260D2">
        <w:rPr>
          <w:rFonts w:cs="Arial"/>
          <w:noProof/>
        </w:rPr>
        <w:t>.</w:t>
      </w:r>
    </w:p>
  </w:footnote>
  <w:footnote w:id="6">
    <w:p w14:paraId="70BC2B58" w14:textId="77777777" w:rsidR="004752E1" w:rsidRPr="001260D2" w:rsidRDefault="004752E1" w:rsidP="004752E1">
      <w:pPr>
        <w:pStyle w:val="FootnoteText"/>
        <w:rPr>
          <w:rFonts w:cs="Arial"/>
          <w:noProof/>
        </w:rPr>
      </w:pPr>
      <w:r w:rsidRPr="001260D2">
        <w:rPr>
          <w:rFonts w:eastAsiaTheme="minorEastAsia" w:cs="Arial"/>
          <w:noProof/>
          <w:szCs w:val="16"/>
          <w:vertAlign w:val="superscript"/>
          <w:lang w:eastAsia="ja-JP"/>
        </w:rPr>
        <w:footnoteRef/>
      </w:r>
      <w:r w:rsidRPr="001260D2">
        <w:rPr>
          <w:rFonts w:eastAsiaTheme="minorEastAsia" w:cs="Arial"/>
          <w:noProof/>
          <w:szCs w:val="16"/>
          <w:vertAlign w:val="superscript"/>
          <w:lang w:eastAsia="ja-JP"/>
        </w:rPr>
        <w:t xml:space="preserve"> </w:t>
      </w:r>
      <w:r w:rsidRPr="001260D2">
        <w:rPr>
          <w:rFonts w:eastAsiaTheme="minorEastAsia" w:cs="Arial"/>
          <w:noProof/>
          <w:szCs w:val="16"/>
          <w:lang w:eastAsia="ja-JP"/>
        </w:rPr>
        <w:t>Le Bureau de Vienne est chargé de la liaison avec l'OSCE et d'autres Organisations Internationales, faisant aussi office de délégation permanente du Conseil de l'Europe auprès de l'Office des Nations Unies à Vienne, en particulier avec l’ONUDC.</w:t>
      </w:r>
    </w:p>
  </w:footnote>
  <w:footnote w:id="7">
    <w:p w14:paraId="7DD7CC2C" w14:textId="77777777" w:rsidR="004752E1" w:rsidRPr="001260D2" w:rsidRDefault="004752E1" w:rsidP="004752E1">
      <w:pPr>
        <w:pStyle w:val="FootnoteText"/>
        <w:rPr>
          <w:rFonts w:eastAsiaTheme="minorEastAsia" w:cs="Arial"/>
          <w:noProof/>
          <w:szCs w:val="16"/>
          <w:lang w:eastAsia="ja-JP"/>
        </w:rPr>
      </w:pPr>
      <w:r w:rsidRPr="001260D2">
        <w:rPr>
          <w:rStyle w:val="FootnoteReference"/>
          <w:rFonts w:cs="Arial"/>
          <w:noProof/>
        </w:rPr>
        <w:footnoteRef/>
      </w:r>
      <w:r w:rsidRPr="001260D2">
        <w:rPr>
          <w:rFonts w:cs="Arial"/>
          <w:noProof/>
        </w:rPr>
        <w:t xml:space="preserve"> Le Bureau de </w:t>
      </w:r>
      <w:r w:rsidRPr="001260D2">
        <w:rPr>
          <w:rFonts w:eastAsiaTheme="minorEastAsia" w:cs="Arial"/>
          <w:noProof/>
          <w:szCs w:val="16"/>
          <w:lang w:eastAsia="ja-JP"/>
        </w:rPr>
        <w:t>Varsovie est chargé de la liaison avec le BIDDH de l’</w:t>
      </w:r>
      <w:hyperlink r:id="rId3" w:history="1">
        <w:r w:rsidRPr="001260D2">
          <w:rPr>
            <w:rFonts w:eastAsiaTheme="minorEastAsia" w:cs="Arial"/>
            <w:noProof/>
            <w:szCs w:val="16"/>
            <w:lang w:eastAsia="ja-JP"/>
          </w:rPr>
          <w:t>OSCE</w:t>
        </w:r>
      </w:hyperlink>
      <w:r w:rsidRPr="001260D2">
        <w:rPr>
          <w:rFonts w:eastAsiaTheme="minorEastAsia" w:cs="Arial"/>
          <w:noProof/>
          <w:szCs w:val="16"/>
          <w:lang w:eastAsia="ja-JP"/>
        </w:rPr>
        <w:t xml:space="preserve">, l’Agence Frontex de l’UE, la </w:t>
      </w:r>
      <w:hyperlink r:id="rId4" w:history="1">
        <w:r w:rsidRPr="001260D2">
          <w:rPr>
            <w:rFonts w:eastAsiaTheme="minorEastAsia" w:cs="Arial"/>
            <w:noProof/>
            <w:szCs w:val="16"/>
            <w:lang w:eastAsia="ja-JP"/>
          </w:rPr>
          <w:t>Communauté des démocraties </w:t>
        </w:r>
      </w:hyperlink>
      <w:r w:rsidRPr="001260D2">
        <w:rPr>
          <w:rFonts w:eastAsiaTheme="minorEastAsia" w:cs="Arial"/>
          <w:noProof/>
          <w:szCs w:val="16"/>
          <w:lang w:eastAsia="ja-JP"/>
        </w:rPr>
        <w:t>et d’autres organisations internationales à Varsovie.</w:t>
      </w:r>
    </w:p>
  </w:footnote>
  <w:footnote w:id="8">
    <w:p w14:paraId="5AC0A1E7" w14:textId="77777777" w:rsidR="004752E1" w:rsidRPr="001260D2" w:rsidRDefault="004752E1" w:rsidP="004752E1">
      <w:pPr>
        <w:pStyle w:val="FootnoteText"/>
        <w:rPr>
          <w:rFonts w:cs="Arial"/>
          <w:noProof/>
        </w:rPr>
      </w:pPr>
      <w:r w:rsidRPr="001260D2">
        <w:rPr>
          <w:rStyle w:val="FootnoteReference"/>
          <w:rFonts w:cs="Arial"/>
          <w:noProof/>
        </w:rPr>
        <w:footnoteRef/>
      </w:r>
      <w:r w:rsidRPr="001260D2">
        <w:rPr>
          <w:rFonts w:cs="Arial"/>
          <w:noProof/>
        </w:rPr>
        <w:t xml:space="preserve"> </w:t>
      </w:r>
      <w:r w:rsidRPr="001260D2">
        <w:rPr>
          <w:rFonts w:eastAsiaTheme="minorEastAsia" w:cs="Arial"/>
          <w:noProof/>
          <w:szCs w:val="16"/>
          <w:lang w:eastAsia="ja-JP"/>
        </w:rPr>
        <w:t>Par exemple la Déclaration conjointe de 2013 sur le renforcement de la coopération entre le Secrétariat du Conseil de l’Europe et le Haut-Commissariat des Nations Unies aux droits de l’homme.</w:t>
      </w:r>
    </w:p>
  </w:footnote>
  <w:footnote w:id="9">
    <w:p w14:paraId="2B1006BE" w14:textId="77777777" w:rsidR="004752E1" w:rsidRPr="00DB4AA1" w:rsidRDefault="004752E1" w:rsidP="004752E1">
      <w:pPr>
        <w:pStyle w:val="FootnoteText"/>
      </w:pPr>
      <w:r w:rsidRPr="001260D2">
        <w:rPr>
          <w:rStyle w:val="FootnoteReference"/>
          <w:rFonts w:cs="Arial"/>
        </w:rPr>
        <w:footnoteRef/>
      </w:r>
      <w:r w:rsidRPr="001260D2">
        <w:rPr>
          <w:rFonts w:cs="Arial"/>
        </w:rPr>
        <w:t xml:space="preserve"> </w:t>
      </w:r>
      <w:r w:rsidRPr="001260D2">
        <w:rPr>
          <w:rFonts w:eastAsia="Times New Roman" w:cs="Arial"/>
          <w:color w:val="161616"/>
          <w:lang w:eastAsia="fr-FR"/>
        </w:rPr>
        <w:t>notamment dans les domaines de la protection et de la promotion des droits humains et, plus spécifiquement, de la prévention de la torture, de la lutte contre le racisme, la discrimination, la xénophobie, l’intolérance, le terrorisme, la criminalité transnationale organisée, la cybercriminalité, la corruption et le blanchiment de capitaux, la traite des êtres humains et les violences faites aux femmes, de la protection et de la promotion des droits de l’enfant, de la protection des membres des minorités nationales, de la société de l’information et de la gouvernance de l’Internet et du dialogue interculturel.</w:t>
      </w:r>
    </w:p>
  </w:footnote>
  <w:footnote w:id="10">
    <w:p w14:paraId="20DF691D" w14:textId="77777777" w:rsidR="004752E1" w:rsidRPr="001260D2" w:rsidRDefault="004752E1" w:rsidP="004752E1">
      <w:pPr>
        <w:pStyle w:val="FootnoteText"/>
        <w:rPr>
          <w:rFonts w:cs="Arial"/>
          <w:noProof/>
          <w:szCs w:val="16"/>
        </w:rPr>
      </w:pPr>
      <w:r w:rsidRPr="001260D2">
        <w:rPr>
          <w:rStyle w:val="FootnoteReference"/>
          <w:noProof/>
        </w:rPr>
        <w:footnoteRef/>
      </w:r>
      <w:r w:rsidRPr="001260D2">
        <w:rPr>
          <w:noProof/>
        </w:rPr>
        <w:t xml:space="preserve"> </w:t>
      </w:r>
      <w:r w:rsidRPr="001260D2">
        <w:rPr>
          <w:rFonts w:cs="Arial"/>
          <w:noProof/>
          <w:szCs w:val="16"/>
        </w:rPr>
        <w:t>Par exemple, de plus en plus souvent, les migrations et les réfugiés, la lutte contre le terrorisme, la démocratie, la criminalité et la drogue, l'intelligence artificielle, etc.</w:t>
      </w:r>
    </w:p>
  </w:footnote>
  <w:footnote w:id="11">
    <w:p w14:paraId="35D038F4" w14:textId="77777777" w:rsidR="004752E1" w:rsidRPr="001260D2" w:rsidRDefault="004752E1" w:rsidP="004752E1">
      <w:pPr>
        <w:pStyle w:val="FootnoteText"/>
        <w:rPr>
          <w:rFonts w:cs="Arial"/>
          <w:noProof/>
          <w:szCs w:val="16"/>
        </w:rPr>
      </w:pPr>
      <w:r w:rsidRPr="001260D2">
        <w:rPr>
          <w:rStyle w:val="FootnoteReference"/>
          <w:rFonts w:cs="Arial"/>
          <w:noProof/>
          <w:szCs w:val="16"/>
        </w:rPr>
        <w:footnoteRef/>
      </w:r>
      <w:r w:rsidRPr="001260D2">
        <w:rPr>
          <w:rFonts w:cs="Arial"/>
          <w:noProof/>
          <w:szCs w:val="16"/>
        </w:rPr>
        <w:t xml:space="preserve"> Haut Commissariat des Nations Unies pour les réfugiés.</w:t>
      </w:r>
    </w:p>
  </w:footnote>
  <w:footnote w:id="12">
    <w:p w14:paraId="1025C40E" w14:textId="77777777" w:rsidR="004752E1" w:rsidRPr="001260D2" w:rsidRDefault="004752E1" w:rsidP="004752E1">
      <w:pPr>
        <w:pStyle w:val="FootnoteText"/>
        <w:rPr>
          <w:rFonts w:cs="Arial"/>
          <w:noProof/>
          <w:szCs w:val="16"/>
        </w:rPr>
      </w:pPr>
      <w:r w:rsidRPr="001260D2">
        <w:rPr>
          <w:rStyle w:val="FootnoteReference"/>
          <w:rFonts w:cs="Arial"/>
          <w:noProof/>
          <w:szCs w:val="16"/>
        </w:rPr>
        <w:footnoteRef/>
      </w:r>
      <w:r w:rsidRPr="001260D2">
        <w:rPr>
          <w:rFonts w:cs="Arial"/>
          <w:noProof/>
          <w:szCs w:val="16"/>
        </w:rPr>
        <w:t xml:space="preserve"> Haut-Commissariat des Nations Unies aux droits de l’homme.</w:t>
      </w:r>
    </w:p>
  </w:footnote>
  <w:footnote w:id="13">
    <w:p w14:paraId="13DF17A5" w14:textId="77777777" w:rsidR="004752E1" w:rsidRPr="001260D2" w:rsidRDefault="004752E1" w:rsidP="004752E1">
      <w:pPr>
        <w:pStyle w:val="FootnoteText"/>
        <w:rPr>
          <w:rFonts w:cs="Arial"/>
          <w:noProof/>
          <w:szCs w:val="16"/>
        </w:rPr>
      </w:pPr>
      <w:r w:rsidRPr="001260D2">
        <w:rPr>
          <w:rStyle w:val="FootnoteReference"/>
          <w:rFonts w:cs="Arial"/>
          <w:noProof/>
          <w:szCs w:val="16"/>
        </w:rPr>
        <w:footnoteRef/>
      </w:r>
      <w:r w:rsidRPr="001260D2">
        <w:rPr>
          <w:rFonts w:cs="Arial"/>
          <w:noProof/>
          <w:szCs w:val="16"/>
        </w:rPr>
        <w:t xml:space="preserve"> Fonds des Nations Unies pour l’enfance </w:t>
      </w:r>
    </w:p>
  </w:footnote>
  <w:footnote w:id="14">
    <w:p w14:paraId="709ABE26" w14:textId="77777777" w:rsidR="004752E1" w:rsidRPr="001260D2" w:rsidRDefault="004752E1" w:rsidP="004752E1">
      <w:pPr>
        <w:pStyle w:val="FootnoteText"/>
        <w:rPr>
          <w:rFonts w:cs="Arial"/>
          <w:noProof/>
          <w:szCs w:val="16"/>
        </w:rPr>
      </w:pPr>
      <w:r w:rsidRPr="001260D2">
        <w:rPr>
          <w:rStyle w:val="FootnoteReference"/>
          <w:rFonts w:cs="Arial"/>
          <w:noProof/>
          <w:szCs w:val="16"/>
        </w:rPr>
        <w:footnoteRef/>
      </w:r>
      <w:r w:rsidRPr="001260D2">
        <w:rPr>
          <w:rFonts w:cs="Arial"/>
          <w:noProof/>
          <w:szCs w:val="16"/>
        </w:rPr>
        <w:t> Bureau de la coordination des affaires humanitaires des Nations unies.</w:t>
      </w:r>
    </w:p>
  </w:footnote>
  <w:footnote w:id="15">
    <w:p w14:paraId="7B7DB442" w14:textId="77777777" w:rsidR="004752E1" w:rsidRPr="001260D2" w:rsidRDefault="004752E1" w:rsidP="004752E1">
      <w:pPr>
        <w:pStyle w:val="FootnoteText"/>
        <w:rPr>
          <w:rFonts w:cs="Arial"/>
          <w:noProof/>
          <w:szCs w:val="16"/>
        </w:rPr>
      </w:pPr>
      <w:r w:rsidRPr="001260D2">
        <w:rPr>
          <w:rStyle w:val="FootnoteReference"/>
          <w:rFonts w:cs="Arial"/>
          <w:noProof/>
          <w:szCs w:val="16"/>
        </w:rPr>
        <w:footnoteRef/>
      </w:r>
      <w:r w:rsidRPr="001260D2">
        <w:rPr>
          <w:rFonts w:cs="Arial"/>
          <w:noProof/>
          <w:szCs w:val="16"/>
        </w:rPr>
        <w:t> Programme des Nations Unies pour le Développement.</w:t>
      </w:r>
    </w:p>
  </w:footnote>
  <w:footnote w:id="16">
    <w:p w14:paraId="20793CF1" w14:textId="77777777" w:rsidR="004752E1" w:rsidRPr="001260D2" w:rsidRDefault="004752E1" w:rsidP="004752E1">
      <w:pPr>
        <w:pStyle w:val="FootnoteText"/>
        <w:rPr>
          <w:rFonts w:cs="Arial"/>
          <w:noProof/>
          <w:szCs w:val="16"/>
        </w:rPr>
      </w:pPr>
      <w:r w:rsidRPr="001260D2">
        <w:rPr>
          <w:rStyle w:val="FootnoteReference"/>
          <w:rFonts w:cs="Arial"/>
          <w:noProof/>
          <w:szCs w:val="16"/>
        </w:rPr>
        <w:footnoteRef/>
      </w:r>
      <w:r w:rsidRPr="001260D2">
        <w:rPr>
          <w:rFonts w:cs="Arial"/>
          <w:noProof/>
          <w:szCs w:val="16"/>
        </w:rPr>
        <w:t> Commission Economique des Nations Unies pour l’Europe.</w:t>
      </w:r>
    </w:p>
  </w:footnote>
  <w:footnote w:id="17">
    <w:p w14:paraId="6623B1DB" w14:textId="77777777" w:rsidR="004752E1" w:rsidRPr="001260D2" w:rsidRDefault="004752E1" w:rsidP="004752E1">
      <w:pPr>
        <w:pStyle w:val="FootnoteText"/>
        <w:rPr>
          <w:rFonts w:cs="Arial"/>
          <w:noProof/>
          <w:szCs w:val="16"/>
        </w:rPr>
      </w:pPr>
      <w:r w:rsidRPr="001260D2">
        <w:rPr>
          <w:rStyle w:val="FootnoteReference"/>
          <w:rFonts w:cs="Arial"/>
          <w:noProof/>
          <w:szCs w:val="16"/>
        </w:rPr>
        <w:footnoteRef/>
      </w:r>
      <w:r w:rsidRPr="001260D2">
        <w:rPr>
          <w:rFonts w:cs="Arial"/>
          <w:noProof/>
          <w:szCs w:val="16"/>
        </w:rPr>
        <w:t> Organisation des Nations Unies pour l’éducation, la science et la culture.</w:t>
      </w:r>
    </w:p>
  </w:footnote>
  <w:footnote w:id="18">
    <w:p w14:paraId="026B0344" w14:textId="77777777" w:rsidR="004752E1" w:rsidRPr="001260D2" w:rsidRDefault="004752E1" w:rsidP="004752E1">
      <w:pPr>
        <w:pStyle w:val="FootnoteText"/>
        <w:rPr>
          <w:rFonts w:cs="Arial"/>
          <w:noProof/>
          <w:szCs w:val="16"/>
        </w:rPr>
      </w:pPr>
      <w:r w:rsidRPr="001260D2">
        <w:rPr>
          <w:rStyle w:val="FootnoteReference"/>
          <w:rFonts w:cs="Arial"/>
          <w:noProof/>
          <w:szCs w:val="16"/>
        </w:rPr>
        <w:footnoteRef/>
      </w:r>
      <w:r w:rsidRPr="001260D2">
        <w:rPr>
          <w:rFonts w:cs="Arial"/>
          <w:noProof/>
          <w:szCs w:val="16"/>
        </w:rPr>
        <w:t> Organisation mondiale de la santé.</w:t>
      </w:r>
    </w:p>
  </w:footnote>
  <w:footnote w:id="19">
    <w:p w14:paraId="5E68FFF9" w14:textId="77777777" w:rsidR="004752E1" w:rsidRPr="001260D2" w:rsidRDefault="004752E1" w:rsidP="004752E1">
      <w:pPr>
        <w:pStyle w:val="FootnoteText"/>
        <w:rPr>
          <w:rFonts w:cs="Arial"/>
          <w:noProof/>
          <w:szCs w:val="16"/>
        </w:rPr>
      </w:pPr>
      <w:r w:rsidRPr="001260D2">
        <w:rPr>
          <w:rFonts w:cs="Arial"/>
          <w:noProof/>
          <w:szCs w:val="16"/>
          <w:vertAlign w:val="superscript"/>
        </w:rPr>
        <w:footnoteRef/>
      </w:r>
      <w:r w:rsidRPr="001260D2">
        <w:rPr>
          <w:rFonts w:cs="Arial"/>
          <w:noProof/>
          <w:szCs w:val="16"/>
          <w:vertAlign w:val="superscript"/>
        </w:rPr>
        <w:t xml:space="preserve"> </w:t>
      </w:r>
      <w:r w:rsidRPr="001260D2">
        <w:rPr>
          <w:rFonts w:cs="Arial"/>
          <w:noProof/>
          <w:szCs w:val="16"/>
        </w:rPr>
        <w:t>Ces ateliers sont périodiquement organisés par le HCDH tous les trois ans, conformément aux résolutions successives du Conseil des droits de l'homme depuis 2007, qui reconnaissent le rôle important joué par les arrangements régionaux, sous-régionaux et interrégionaux pour la promotion et la protection des droits humains. Le HCDH organise également des réunions annuelles entre les correspondants nationaux des mécanismes régionaux de coopération (y compris le CdE).</w:t>
      </w:r>
    </w:p>
  </w:footnote>
  <w:footnote w:id="20">
    <w:p w14:paraId="7D30DD1B" w14:textId="77777777" w:rsidR="004752E1" w:rsidRPr="001260D2" w:rsidRDefault="004752E1" w:rsidP="004752E1">
      <w:pPr>
        <w:pStyle w:val="FootnoteText"/>
        <w:rPr>
          <w:rFonts w:cs="Arial"/>
          <w:noProof/>
          <w:szCs w:val="16"/>
        </w:rPr>
      </w:pPr>
      <w:r w:rsidRPr="001260D2">
        <w:rPr>
          <w:rStyle w:val="FootnoteReference"/>
          <w:rFonts w:cs="Arial"/>
          <w:noProof/>
          <w:szCs w:val="16"/>
        </w:rPr>
        <w:footnoteRef/>
      </w:r>
      <w:r w:rsidRPr="001260D2">
        <w:rPr>
          <w:rFonts w:cs="Arial"/>
          <w:noProof/>
          <w:szCs w:val="16"/>
        </w:rPr>
        <w:t xml:space="preserve"> Site internet Coe.int : </w:t>
      </w:r>
      <w:hyperlink r:id="rId5" w:history="1">
        <w:r w:rsidRPr="001260D2">
          <w:rPr>
            <w:rStyle w:val="Hyperlink"/>
            <w:rFonts w:cs="Arial"/>
            <w:noProof/>
            <w:szCs w:val="16"/>
          </w:rPr>
          <w:t>Contribution du Conseil de l’Europe à l’Agenda 2030 pour le développement durable</w:t>
        </w:r>
      </w:hyperlink>
      <w:r w:rsidRPr="001260D2">
        <w:rPr>
          <w:rStyle w:val="Hyperlink"/>
          <w:rFonts w:cs="Arial"/>
          <w:noProof/>
          <w:szCs w:val="16"/>
        </w:rPr>
        <w:t>.</w:t>
      </w:r>
    </w:p>
  </w:footnote>
  <w:footnote w:id="21">
    <w:p w14:paraId="569F49FF" w14:textId="77777777" w:rsidR="004752E1" w:rsidRPr="00145C17" w:rsidRDefault="004752E1" w:rsidP="004752E1">
      <w:pPr>
        <w:pStyle w:val="Default"/>
        <w:spacing w:after="0" w:line="240" w:lineRule="auto"/>
        <w:rPr>
          <w:noProof/>
          <w:color w:val="auto"/>
          <w:sz w:val="16"/>
          <w:szCs w:val="16"/>
        </w:rPr>
      </w:pPr>
      <w:r w:rsidRPr="001260D2">
        <w:rPr>
          <w:rStyle w:val="FootnoteReference"/>
          <w:noProof/>
          <w:color w:val="auto"/>
          <w:sz w:val="16"/>
          <w:szCs w:val="16"/>
        </w:rPr>
        <w:footnoteRef/>
      </w:r>
      <w:r w:rsidRPr="001260D2">
        <w:rPr>
          <w:noProof/>
          <w:color w:val="auto"/>
          <w:sz w:val="16"/>
          <w:szCs w:val="16"/>
        </w:rPr>
        <w:t xml:space="preserve"> Ainsi, le Bureau a facilité un événement parallèle à l'ONU à Genève sur « La Convention d'Istanbul dans la pratique : prise en charge globale des victimes de violences sexuelles » le 1</w:t>
      </w:r>
      <w:r w:rsidRPr="001260D2">
        <w:rPr>
          <w:noProof/>
          <w:color w:val="auto"/>
          <w:sz w:val="16"/>
          <w:szCs w:val="16"/>
          <w:vertAlign w:val="superscript"/>
        </w:rPr>
        <w:t>er</w:t>
      </w:r>
      <w:r w:rsidRPr="001260D2">
        <w:rPr>
          <w:noProof/>
          <w:color w:val="auto"/>
          <w:sz w:val="16"/>
          <w:szCs w:val="16"/>
        </w:rPr>
        <w:t xml:space="preserve"> juin 2023, organisé par la Représentation permanente de la Belgique auprès de l'ONU à Genève et co-accueilli par la Représentation permanente du Kazakhstan auprès de l'ONU à Genève et le Conseil de l'Europe. L'événement a été très bien soutenu par un grand nombre d'États, y compris non européens. </w:t>
      </w:r>
    </w:p>
  </w:footnote>
  <w:footnote w:id="22">
    <w:p w14:paraId="37E698C6" w14:textId="77777777" w:rsidR="004752E1" w:rsidRPr="001260D2" w:rsidRDefault="004752E1" w:rsidP="004752E1">
      <w:pPr>
        <w:pStyle w:val="FootnoteText"/>
        <w:rPr>
          <w:rFonts w:cs="Arial"/>
          <w:noProof/>
          <w:szCs w:val="16"/>
        </w:rPr>
      </w:pPr>
      <w:r w:rsidRPr="001260D2">
        <w:rPr>
          <w:rFonts w:cs="Arial"/>
          <w:noProof/>
          <w:szCs w:val="16"/>
          <w:vertAlign w:val="superscript"/>
        </w:rPr>
        <w:footnoteRef/>
      </w:r>
      <w:r w:rsidRPr="001260D2">
        <w:rPr>
          <w:rFonts w:cs="Arial"/>
          <w:noProof/>
          <w:szCs w:val="16"/>
          <w:vertAlign w:val="superscript"/>
        </w:rPr>
        <w:t xml:space="preserve"> </w:t>
      </w:r>
      <w:r w:rsidRPr="001260D2">
        <w:rPr>
          <w:rFonts w:cs="Arial"/>
          <w:noProof/>
          <w:szCs w:val="16"/>
        </w:rPr>
        <w:t>Mme Ilze Brands Kehris, Sous-Secrétaire générale des Nations Unies aux droits de l’homme.</w:t>
      </w:r>
    </w:p>
  </w:footnote>
  <w:footnote w:id="23">
    <w:p w14:paraId="247FB54E" w14:textId="77777777" w:rsidR="004752E1" w:rsidRPr="001260D2" w:rsidRDefault="004752E1" w:rsidP="004752E1">
      <w:pPr>
        <w:pStyle w:val="FootnoteText"/>
        <w:rPr>
          <w:rFonts w:cs="Arial"/>
          <w:noProof/>
          <w:szCs w:val="16"/>
        </w:rPr>
      </w:pPr>
      <w:r w:rsidRPr="001260D2">
        <w:rPr>
          <w:rFonts w:cs="Arial"/>
          <w:noProof/>
          <w:szCs w:val="16"/>
          <w:vertAlign w:val="superscript"/>
        </w:rPr>
        <w:footnoteRef/>
      </w:r>
      <w:r w:rsidRPr="001260D2">
        <w:rPr>
          <w:rFonts w:cs="Arial"/>
          <w:noProof/>
          <w:szCs w:val="16"/>
          <w:vertAlign w:val="superscript"/>
        </w:rPr>
        <w:t xml:space="preserve"> </w:t>
      </w:r>
      <w:r w:rsidRPr="001260D2">
        <w:rPr>
          <w:rFonts w:cs="Arial"/>
          <w:noProof/>
          <w:szCs w:val="16"/>
        </w:rPr>
        <w:t>M. l'Ambassadeur Omar Zniber.</w:t>
      </w:r>
    </w:p>
  </w:footnote>
  <w:footnote w:id="24">
    <w:p w14:paraId="525B2EDA" w14:textId="77777777" w:rsidR="004752E1" w:rsidRPr="001260D2" w:rsidRDefault="004752E1" w:rsidP="004752E1">
      <w:pPr>
        <w:rPr>
          <w:rFonts w:cs="Arial"/>
          <w:noProof/>
          <w:sz w:val="16"/>
          <w:szCs w:val="16"/>
        </w:rPr>
      </w:pPr>
      <w:r w:rsidRPr="001260D2">
        <w:rPr>
          <w:rStyle w:val="FootnoteReference"/>
          <w:rFonts w:cs="Arial"/>
          <w:noProof/>
          <w:sz w:val="16"/>
          <w:szCs w:val="16"/>
        </w:rPr>
        <w:footnoteRef/>
      </w:r>
      <w:r w:rsidRPr="001260D2">
        <w:rPr>
          <w:rFonts w:cs="Arial"/>
          <w:noProof/>
          <w:sz w:val="16"/>
          <w:szCs w:val="16"/>
        </w:rPr>
        <w:t xml:space="preserve"> PP9: « Considérant également que les difficultés sans précédent auxquelles se heurte actuellement l’Europe à la suite de l’agression de la Fédération de Russie contre l’Ukraine, et contre la Géorgie auparavant, et de la cessation de la qualité de membre de la Fédération de Russie au Conseil de l’Europe, appellent une coopération renforcée entre l’Organisation des Nations Unies et le Conseil de l’Europe,</w:t>
      </w:r>
    </w:p>
    <w:p w14:paraId="0F213FE8" w14:textId="77777777" w:rsidR="004752E1" w:rsidRPr="001260D2" w:rsidRDefault="004752E1" w:rsidP="004752E1">
      <w:pPr>
        <w:rPr>
          <w:rFonts w:cs="Arial"/>
          <w:noProof/>
          <w:sz w:val="16"/>
          <w:szCs w:val="16"/>
        </w:rPr>
      </w:pPr>
      <w:r w:rsidRPr="001260D2">
        <w:rPr>
          <w:rFonts w:cs="Arial"/>
          <w:noProof/>
          <w:sz w:val="16"/>
          <w:szCs w:val="16"/>
        </w:rPr>
        <w:t>notamment pour rétablir rapidement et maintenir la paix et la sécurité fondées sur le respect de la souveraineté, de l’intégrité territoriale et de l’indépendance politique de tout État, assurer le respect du droit des droits de l ’homme et du droit international humanitaire pendant les hostilités, offrir aux victimes des voies de recours et traduire en justice toutes les personnes responsables des violations du droit international. »</w:t>
      </w:r>
    </w:p>
  </w:footnote>
  <w:footnote w:id="25">
    <w:p w14:paraId="099D718A" w14:textId="2BCDF9E0" w:rsidR="004752E1" w:rsidRPr="001260D2" w:rsidRDefault="004752E1" w:rsidP="004752E1">
      <w:pPr>
        <w:pStyle w:val="FootnoteText"/>
        <w:rPr>
          <w:rFonts w:cs="Arial"/>
          <w:noProof/>
          <w:szCs w:val="16"/>
        </w:rPr>
      </w:pPr>
      <w:r w:rsidRPr="001260D2">
        <w:rPr>
          <w:rFonts w:cs="Arial"/>
          <w:noProof/>
          <w:szCs w:val="16"/>
          <w:vertAlign w:val="superscript"/>
        </w:rPr>
        <w:footnoteRef/>
      </w:r>
      <w:r w:rsidRPr="001260D2">
        <w:rPr>
          <w:rFonts w:cs="Arial"/>
          <w:noProof/>
          <w:szCs w:val="16"/>
          <w:vertAlign w:val="superscript"/>
        </w:rPr>
        <w:t xml:space="preserve"> </w:t>
      </w:r>
      <w:r w:rsidRPr="001260D2">
        <w:rPr>
          <w:rFonts w:cs="Arial"/>
          <w:noProof/>
          <w:szCs w:val="16"/>
        </w:rPr>
        <w:t xml:space="preserve">Cf. </w:t>
      </w:r>
      <w:bookmarkStart w:id="2" w:name="_ML_000000000004_VALID"/>
      <w:r w:rsidR="00E25D07" w:rsidRPr="00E25D07">
        <w:rPr>
          <w:rFonts w:cs="Arial"/>
          <w:noProof/>
          <w:szCs w:val="16"/>
        </w:rPr>
        <w:fldChar w:fldCharType="begin"/>
      </w:r>
      <w:r w:rsidR="00E25D07" w:rsidRPr="00E25D07">
        <w:rPr>
          <w:rFonts w:cs="Arial"/>
          <w:noProof/>
          <w:szCs w:val="16"/>
        </w:rPr>
        <w:instrText>HYPERLINK "https://search.coe.int/cm/Pages/result_details.aspx?Reference=CM/Inf/DH(2023)22" \o "3e document de stratégie concernant les moyens d'assurer la mise en œuvre des arrêts de la Cour à l'égard de la Fédération de Russie"</w:instrText>
      </w:r>
      <w:r w:rsidR="00E25D07" w:rsidRPr="00E25D07">
        <w:rPr>
          <w:rFonts w:cs="Arial"/>
          <w:noProof/>
          <w:szCs w:val="16"/>
        </w:rPr>
      </w:r>
      <w:r w:rsidR="00E25D07" w:rsidRPr="00E25D07">
        <w:rPr>
          <w:rFonts w:cs="Arial"/>
          <w:noProof/>
          <w:szCs w:val="16"/>
        </w:rPr>
        <w:fldChar w:fldCharType="separate"/>
      </w:r>
      <w:bookmarkEnd w:id="2"/>
      <w:r w:rsidR="00E25D07" w:rsidRPr="00E25D07">
        <w:rPr>
          <w:rStyle w:val="Hyperlink"/>
          <w:rFonts w:cs="Arial"/>
          <w:noProof/>
          <w:szCs w:val="16"/>
        </w:rPr>
        <w:t>CM/Inf/DH(2023)22</w:t>
      </w:r>
      <w:r w:rsidR="00E25D07" w:rsidRPr="00E25D07">
        <w:rPr>
          <w:rFonts w:cs="Arial"/>
          <w:noProof/>
          <w:szCs w:val="16"/>
        </w:rPr>
        <w:fldChar w:fldCharType="end"/>
      </w:r>
      <w:r w:rsidRPr="001260D2">
        <w:rPr>
          <w:rFonts w:cs="Arial"/>
          <w:noProof/>
          <w:szCs w:val="16"/>
        </w:rPr>
        <w:t xml:space="preserve">. </w:t>
      </w:r>
    </w:p>
  </w:footnote>
  <w:footnote w:id="26">
    <w:p w14:paraId="78196ED5" w14:textId="77777777" w:rsidR="004752E1" w:rsidRPr="00C62148" w:rsidRDefault="004752E1" w:rsidP="004752E1">
      <w:pPr>
        <w:pStyle w:val="FootnoteText"/>
        <w:rPr>
          <w:noProof/>
        </w:rPr>
      </w:pPr>
      <w:r w:rsidRPr="001260D2">
        <w:rPr>
          <w:rFonts w:cs="Arial"/>
          <w:noProof/>
          <w:szCs w:val="16"/>
          <w:vertAlign w:val="superscript"/>
        </w:rPr>
        <w:footnoteRef/>
      </w:r>
      <w:r w:rsidRPr="001260D2">
        <w:rPr>
          <w:rFonts w:cs="Arial"/>
          <w:noProof/>
          <w:szCs w:val="16"/>
          <w:vertAlign w:val="superscript"/>
        </w:rPr>
        <w:t xml:space="preserve"> </w:t>
      </w:r>
      <w:r w:rsidRPr="001260D2">
        <w:rPr>
          <w:rFonts w:cs="Arial"/>
          <w:noProof/>
          <w:szCs w:val="16"/>
        </w:rPr>
        <w:t>Du 5 au 7 décembre 2023, le CM a discuté de l'exécution des arrêts de la Cour européenne des droits de l'homme, y compris les modalités de coopération avec les Nations Unies à cet égard. En outre, le 13 décembre 2023, le CM a tenu un échange de vues avec Mme Mariana Katzarova, rapporteuse spéciale des Nations unies sur la situation des droits de l'homme en Russie. Le dialogue se poursuit</w:t>
      </w:r>
      <w:r w:rsidRPr="001260D2">
        <w:rPr>
          <w:rFonts w:eastAsiaTheme="minorEastAsia" w:cs="Arial"/>
          <w:noProof/>
          <w:szCs w:val="16"/>
          <w:lang w:eastAsia="en-GB"/>
        </w:rPr>
        <w:t>.</w:t>
      </w:r>
    </w:p>
  </w:footnote>
  <w:footnote w:id="27">
    <w:p w14:paraId="02BDC7F6" w14:textId="180EAC30" w:rsidR="004752E1" w:rsidRPr="00970AF1" w:rsidRDefault="004752E1" w:rsidP="004752E1">
      <w:pPr>
        <w:pStyle w:val="EndnoteText"/>
        <w:rPr>
          <w:rFonts w:cs="Arial"/>
          <w:noProof/>
          <w:sz w:val="16"/>
          <w:szCs w:val="16"/>
          <w:lang w:val="fr-FR"/>
        </w:rPr>
      </w:pPr>
      <w:r w:rsidRPr="00C62148">
        <w:rPr>
          <w:rStyle w:val="FootnoteReference"/>
          <w:noProof/>
          <w:sz w:val="16"/>
          <w:szCs w:val="16"/>
          <w:lang w:val="fr-FR"/>
        </w:rPr>
        <w:footnoteRef/>
      </w:r>
      <w:r w:rsidRPr="00C62148">
        <w:rPr>
          <w:noProof/>
          <w:sz w:val="16"/>
          <w:szCs w:val="16"/>
          <w:lang w:val="fr-FR"/>
        </w:rPr>
        <w:t xml:space="preserve"> </w:t>
      </w:r>
      <w:r w:rsidRPr="00970AF1">
        <w:rPr>
          <w:rFonts w:cs="Arial"/>
          <w:noProof/>
          <w:sz w:val="16"/>
          <w:szCs w:val="16"/>
          <w:shd w:val="clear" w:color="auto" w:fill="FFFFFF"/>
          <w:lang w:val="fr-FR"/>
        </w:rPr>
        <w:t xml:space="preserve">Adoptés lors de la réunion commune Comité des Ministres – Conseil permanent à Strasbourg le 18 avril 2005, sur la base de décisions prises simultanément en décembre 2004 par le Comité des Ministres - </w:t>
      </w:r>
      <w:r w:rsidR="00E25D07" w:rsidRPr="00E25D07">
        <w:rPr>
          <w:rFonts w:cs="Arial"/>
          <w:noProof/>
          <w:sz w:val="16"/>
          <w:szCs w:val="16"/>
          <w:shd w:val="clear" w:color="auto" w:fill="FFFFFF"/>
          <w:lang w:val="fr-FR"/>
        </w:rPr>
        <w:t>CM/865/01122004</w:t>
      </w:r>
      <w:r w:rsidRPr="00970AF1">
        <w:rPr>
          <w:rFonts w:cs="Arial"/>
          <w:noProof/>
          <w:sz w:val="16"/>
          <w:szCs w:val="16"/>
          <w:shd w:val="clear" w:color="auto" w:fill="FFFFFF"/>
          <w:lang w:val="fr-FR"/>
        </w:rPr>
        <w:t xml:space="preserve"> - et le Conseil permanent – n° 637. L’adoption de la Déclaration a été annoncée par un communiqué commun signé par le président du Comité des Ministres et le Président en exercice de l’OSCE le 17 mai 2005 à Varsovie (dits « documents de 2004-2005 »).</w:t>
      </w:r>
    </w:p>
  </w:footnote>
  <w:footnote w:id="28">
    <w:p w14:paraId="45ACCF1B" w14:textId="77777777" w:rsidR="004752E1" w:rsidRPr="00C62148" w:rsidRDefault="004752E1" w:rsidP="004752E1">
      <w:pPr>
        <w:shd w:val="clear" w:color="auto" w:fill="FFFFFF"/>
        <w:rPr>
          <w:rStyle w:val="Hyperlink"/>
          <w:rFonts w:cs="Arial"/>
          <w:noProof/>
          <w:sz w:val="16"/>
          <w:szCs w:val="16"/>
        </w:rPr>
      </w:pPr>
      <w:r w:rsidRPr="00970AF1">
        <w:rPr>
          <w:rStyle w:val="Hyperlink"/>
          <w:rFonts w:cs="Arial"/>
          <w:noProof/>
          <w:sz w:val="16"/>
          <w:szCs w:val="16"/>
          <w:vertAlign w:val="superscript"/>
        </w:rPr>
        <w:footnoteRef/>
      </w:r>
      <w:r w:rsidRPr="00970AF1">
        <w:rPr>
          <w:rStyle w:val="Hyperlink"/>
          <w:rFonts w:cs="Arial"/>
          <w:noProof/>
          <w:sz w:val="16"/>
          <w:szCs w:val="16"/>
          <w:vertAlign w:val="superscript"/>
        </w:rPr>
        <w:t xml:space="preserve"> </w:t>
      </w:r>
      <w:r w:rsidRPr="00970AF1">
        <w:rPr>
          <w:rStyle w:val="Hyperlink"/>
          <w:rFonts w:cs="Arial"/>
          <w:noProof/>
          <w:sz w:val="16"/>
          <w:szCs w:val="16"/>
        </w:rPr>
        <w:t xml:space="preserve">De plus, l’Assemblée parlementaire du CdE (APCE) pratique aussi une coopération institutionnelle avec le BIDDH et l’Assemblée parlementaire de l’OSCE dans le domaine des élections. L’OSCE participe aussi aux travaux intergouvernementaux et conventionnels du CdE (ceux de nombreux comités directeurs et ad hoc, de Moneyval, du GRECO </w:t>
      </w:r>
      <w:r w:rsidRPr="00902245">
        <w:rPr>
          <w:rStyle w:val="Hyperlink"/>
          <w:rFonts w:cs="Arial"/>
          <w:noProof/>
          <w:sz w:val="16"/>
          <w:szCs w:val="16"/>
        </w:rPr>
        <w:t>et de comités établis en vertu de conventions du CdE</w:t>
      </w:r>
      <w:r w:rsidRPr="00C62148">
        <w:rPr>
          <w:rStyle w:val="Hyperlink"/>
          <w:rFonts w:cs="Arial"/>
          <w:noProof/>
          <w:sz w:val="16"/>
          <w:szCs w:val="16"/>
        </w:rPr>
        <w:t>).</w:t>
      </w:r>
    </w:p>
  </w:footnote>
  <w:footnote w:id="29">
    <w:p w14:paraId="11921522" w14:textId="77777777" w:rsidR="004752E1" w:rsidRPr="00C62148" w:rsidRDefault="004752E1" w:rsidP="004752E1">
      <w:pPr>
        <w:pStyle w:val="FootnoteText"/>
        <w:rPr>
          <w:noProof/>
        </w:rPr>
      </w:pPr>
      <w:r w:rsidRPr="00C62148">
        <w:rPr>
          <w:rStyle w:val="FootnoteReference"/>
          <w:noProof/>
          <w:szCs w:val="16"/>
        </w:rPr>
        <w:footnoteRef/>
      </w:r>
      <w:r w:rsidRPr="00C62148">
        <w:rPr>
          <w:noProof/>
          <w:szCs w:val="16"/>
        </w:rPr>
        <w:t xml:space="preserve"> </w:t>
      </w:r>
      <w:r>
        <w:rPr>
          <w:noProof/>
          <w:szCs w:val="16"/>
        </w:rPr>
        <w:t xml:space="preserve">Ainsi, dans ce </w:t>
      </w:r>
      <w:r w:rsidRPr="00C62148">
        <w:rPr>
          <w:noProof/>
          <w:szCs w:val="16"/>
        </w:rPr>
        <w:t>context</w:t>
      </w:r>
      <w:r>
        <w:rPr>
          <w:noProof/>
          <w:szCs w:val="16"/>
        </w:rPr>
        <w:t>e</w:t>
      </w:r>
      <w:r w:rsidRPr="00C62148">
        <w:rPr>
          <w:noProof/>
          <w:szCs w:val="16"/>
        </w:rPr>
        <w:t xml:space="preserve">, </w:t>
      </w:r>
      <w:r>
        <w:rPr>
          <w:noProof/>
          <w:szCs w:val="16"/>
        </w:rPr>
        <w:t xml:space="preserve">le </w:t>
      </w:r>
      <w:r w:rsidRPr="00CC5E20">
        <w:rPr>
          <w:noProof/>
          <w:szCs w:val="16"/>
        </w:rPr>
        <w:t>Service de l’exécution des arrêts</w:t>
      </w:r>
      <w:r>
        <w:rPr>
          <w:noProof/>
          <w:szCs w:val="16"/>
        </w:rPr>
        <w:t xml:space="preserve"> a </w:t>
      </w:r>
      <w:r w:rsidRPr="00C62148">
        <w:rPr>
          <w:noProof/>
          <w:szCs w:val="16"/>
        </w:rPr>
        <w:t>particip</w:t>
      </w:r>
      <w:r>
        <w:rPr>
          <w:noProof/>
          <w:szCs w:val="16"/>
        </w:rPr>
        <w:t xml:space="preserve">é à la réunion annuelle d’observation des procès du BIDDH de l’OSCE à </w:t>
      </w:r>
      <w:r w:rsidRPr="00C62148">
        <w:rPr>
          <w:noProof/>
          <w:szCs w:val="16"/>
        </w:rPr>
        <w:t xml:space="preserve">Skopje, </w:t>
      </w:r>
      <w:r>
        <w:rPr>
          <w:noProof/>
          <w:szCs w:val="16"/>
        </w:rPr>
        <w:t>qui a permis de contacter des représentants d’une sélection d’opérations de l’</w:t>
      </w:r>
      <w:r w:rsidRPr="00C62148">
        <w:rPr>
          <w:noProof/>
          <w:szCs w:val="16"/>
        </w:rPr>
        <w:t xml:space="preserve">OSCE </w:t>
      </w:r>
      <w:r>
        <w:rPr>
          <w:noProof/>
          <w:szCs w:val="16"/>
        </w:rPr>
        <w:t>sur le terrain et d’organisations de la société civile de toute la région de l’</w:t>
      </w:r>
      <w:r w:rsidRPr="00C62148">
        <w:rPr>
          <w:noProof/>
          <w:szCs w:val="16"/>
        </w:rPr>
        <w:t>OSCE.</w:t>
      </w:r>
    </w:p>
  </w:footnote>
  <w:footnote w:id="30">
    <w:p w14:paraId="2C41670F" w14:textId="77777777" w:rsidR="004752E1" w:rsidRPr="001260D2" w:rsidRDefault="004752E1" w:rsidP="004752E1">
      <w:pPr>
        <w:pStyle w:val="FootnoteText"/>
        <w:rPr>
          <w:noProof/>
        </w:rPr>
      </w:pPr>
      <w:r w:rsidRPr="001260D2">
        <w:rPr>
          <w:rStyle w:val="FootnoteReference"/>
          <w:rFonts w:cs="Arial"/>
          <w:noProof/>
          <w:szCs w:val="16"/>
        </w:rPr>
        <w:footnoteRef/>
      </w:r>
      <w:r w:rsidRPr="001260D2">
        <w:rPr>
          <w:noProof/>
        </w:rPr>
        <w:t xml:space="preserve"> Voir </w:t>
      </w:r>
      <w:hyperlink r:id="rId6" w:history="1">
        <w:r w:rsidRPr="001260D2">
          <w:rPr>
            <w:rStyle w:val="Hyperlink"/>
            <w:rFonts w:cs="Arial"/>
            <w:noProof/>
            <w:szCs w:val="16"/>
          </w:rPr>
          <w:t>« Le Secrétaire général adjoint réaffirme le soutien inconditionnel du Conseil de l’Europe à l’Ukraine lors du 30</w:t>
        </w:r>
        <w:r w:rsidRPr="001260D2">
          <w:rPr>
            <w:rStyle w:val="Hyperlink"/>
            <w:rFonts w:cs="Arial"/>
            <w:noProof/>
            <w:szCs w:val="16"/>
            <w:vertAlign w:val="superscript"/>
          </w:rPr>
          <w:t>e</w:t>
        </w:r>
        <w:r w:rsidRPr="001260D2">
          <w:rPr>
            <w:rStyle w:val="Hyperlink"/>
            <w:rFonts w:cs="Arial"/>
            <w:noProof/>
            <w:szCs w:val="16"/>
          </w:rPr>
          <w:t xml:space="preserve"> Conseil ministériel de l’OSCE à Skopje" - Portail (coe.int)</w:t>
        </w:r>
      </w:hyperlink>
      <w:r w:rsidRPr="001260D2">
        <w:rPr>
          <w:noProof/>
        </w:rPr>
        <w:t>.</w:t>
      </w:r>
    </w:p>
  </w:footnote>
  <w:footnote w:id="31">
    <w:p w14:paraId="641B7CA5" w14:textId="77777777" w:rsidR="004752E1" w:rsidRPr="001260D2" w:rsidRDefault="004752E1" w:rsidP="004752E1">
      <w:pPr>
        <w:pStyle w:val="FootnoteText"/>
      </w:pPr>
      <w:r w:rsidRPr="001260D2">
        <w:rPr>
          <w:rStyle w:val="FootnoteReference"/>
          <w:rFonts w:cs="Arial"/>
          <w:noProof/>
          <w:szCs w:val="16"/>
        </w:rPr>
        <w:footnoteRef/>
      </w:r>
      <w:r w:rsidRPr="001260D2">
        <w:rPr>
          <w:noProof/>
        </w:rPr>
        <w:t xml:space="preserve"> </w:t>
      </w:r>
      <w:r w:rsidRPr="001260D2">
        <w:rPr>
          <w:rStyle w:val="Hyperlink"/>
          <w:rFonts w:cs="Arial"/>
          <w:noProof/>
          <w:szCs w:val="16"/>
        </w:rPr>
        <w:t>Carnet de bord – Réunion du 12 décembre 2023 :</w:t>
      </w:r>
      <w:r w:rsidRPr="001260D2">
        <w:t xml:space="preserve"> </w:t>
      </w:r>
      <w:hyperlink r:id="rId7" w:history="1">
        <w:r w:rsidRPr="001260D2">
          <w:rPr>
            <w:rStyle w:val="Hyperlink"/>
          </w:rPr>
          <w:t>https://search.coe.int/cm/pages/result_details.aspx?ObjectId=0900001680ade047</w:t>
        </w:r>
      </w:hyperlink>
    </w:p>
  </w:footnote>
  <w:footnote w:id="32">
    <w:p w14:paraId="0D89A9C0" w14:textId="3F21D580" w:rsidR="004752E1" w:rsidRPr="001260D2" w:rsidRDefault="004752E1" w:rsidP="004752E1">
      <w:pPr>
        <w:pStyle w:val="FootnoteText"/>
        <w:rPr>
          <w:noProof/>
        </w:rPr>
      </w:pPr>
      <w:r w:rsidRPr="001260D2">
        <w:rPr>
          <w:rStyle w:val="FootnoteReference"/>
          <w:rFonts w:cs="Arial"/>
          <w:noProof/>
          <w:szCs w:val="16"/>
        </w:rPr>
        <w:footnoteRef/>
      </w:r>
      <w:r w:rsidRPr="001260D2">
        <w:rPr>
          <w:noProof/>
        </w:rPr>
        <w:t xml:space="preserve"> </w:t>
      </w:r>
      <w:bookmarkStart w:id="4" w:name="_ML_000000000006_VALID"/>
      <w:r w:rsidR="00E25D07" w:rsidRPr="00E25D07">
        <w:rPr>
          <w:rStyle w:val="vsmall"/>
          <w:rFonts w:cs="Arial"/>
          <w:noProof/>
          <w:szCs w:val="16"/>
        </w:rPr>
        <w:fldChar w:fldCharType="begin"/>
      </w:r>
      <w:r w:rsidR="00E25D07" w:rsidRPr="00E25D07">
        <w:rPr>
          <w:rStyle w:val="vsmall"/>
          <w:rFonts w:cs="Arial"/>
          <w:noProof/>
          <w:szCs w:val="16"/>
        </w:rPr>
        <w:instrText>HYPERLINK "https://search.coe.int/cm/Pages/result_details.aspx?Reference=GR-EXT(2023)5" \o "Mise en œuvre de la Déclaration commune sur le renforcement de la coopération entre le Conseil de l’Europe et l’Organisation internationale de la Francophonie - Programme de coopération 2020-2023 - Rapport d’étape (novembre 2020 – juin 2023) - Document préparé par la Direction de la coordination des programmes"</w:instrText>
      </w:r>
      <w:r w:rsidR="00E25D07" w:rsidRPr="00E25D07">
        <w:rPr>
          <w:rStyle w:val="vsmall"/>
          <w:rFonts w:cs="Arial"/>
          <w:noProof/>
          <w:szCs w:val="16"/>
        </w:rPr>
      </w:r>
      <w:r w:rsidR="00E25D07" w:rsidRPr="00E25D07">
        <w:rPr>
          <w:rStyle w:val="vsmall"/>
          <w:rFonts w:cs="Arial"/>
          <w:noProof/>
          <w:szCs w:val="16"/>
        </w:rPr>
        <w:fldChar w:fldCharType="separate"/>
      </w:r>
      <w:bookmarkEnd w:id="4"/>
      <w:r w:rsidR="00E25D07" w:rsidRPr="00E25D07">
        <w:rPr>
          <w:rStyle w:val="Hyperlink"/>
          <w:rFonts w:cs="Arial"/>
          <w:noProof/>
          <w:szCs w:val="16"/>
        </w:rPr>
        <w:t>GR-EXT(2023)5</w:t>
      </w:r>
      <w:r w:rsidR="00E25D07" w:rsidRPr="00E25D07">
        <w:rPr>
          <w:rStyle w:val="vsmall"/>
          <w:rFonts w:cs="Arial"/>
          <w:noProof/>
          <w:szCs w:val="16"/>
        </w:rPr>
        <w:fldChar w:fldCharType="end"/>
      </w:r>
      <w:r w:rsidRPr="001260D2">
        <w:rPr>
          <w:rStyle w:val="vsmall"/>
          <w:rFonts w:cs="Arial"/>
          <w:noProof/>
          <w:szCs w:val="16"/>
        </w:rPr>
        <w:t>.</w:t>
      </w:r>
    </w:p>
  </w:footnote>
  <w:footnote w:id="33">
    <w:p w14:paraId="7541DC20" w14:textId="77777777" w:rsidR="004752E1" w:rsidRPr="001260D2" w:rsidRDefault="004752E1" w:rsidP="004752E1">
      <w:pPr>
        <w:pStyle w:val="FootnoteText"/>
      </w:pPr>
      <w:r w:rsidRPr="001260D2">
        <w:rPr>
          <w:rStyle w:val="FootnoteReference"/>
          <w:rFonts w:cs="Arial"/>
          <w:noProof/>
          <w:szCs w:val="16"/>
        </w:rPr>
        <w:footnoteRef/>
      </w:r>
      <w:r w:rsidRPr="001260D2">
        <w:rPr>
          <w:noProof/>
        </w:rPr>
        <w:t xml:space="preserve"> Coopération entre le Conseil de l'Europe et l’Organisation internationale de la Francophonie (OIF) – Mise en oeuvre du programme de coopération (2020-2023) – Rapport d’étape </w:t>
      </w:r>
      <w:hyperlink r:id="rId8" w:history="1">
        <w:r w:rsidRPr="001260D2">
          <w:rPr>
            <w:rStyle w:val="Hyperlink"/>
          </w:rPr>
          <w:t>https://search.coe.int/cm/pages/result_details.aspx?ObjectId=0900001680ace40d</w:t>
        </w:r>
      </w:hyperlink>
    </w:p>
    <w:p w14:paraId="7AA6AC5C" w14:textId="77777777" w:rsidR="004752E1" w:rsidRPr="00C62148" w:rsidRDefault="004752E1" w:rsidP="004752E1">
      <w:pPr>
        <w:pStyle w:val="FootnoteText"/>
        <w:rPr>
          <w:noProof/>
        </w:rPr>
      </w:pPr>
    </w:p>
  </w:footnote>
  <w:footnote w:id="34">
    <w:p w14:paraId="672F459F" w14:textId="77777777" w:rsidR="004752E1" w:rsidRPr="00C62148" w:rsidRDefault="004752E1" w:rsidP="004752E1">
      <w:pPr>
        <w:rPr>
          <w:rFonts w:eastAsia="Times New Roman" w:cs="Arial"/>
          <w:noProof/>
          <w:sz w:val="16"/>
          <w:szCs w:val="16"/>
          <w:lang w:eastAsia="fr-FR"/>
        </w:rPr>
      </w:pPr>
      <w:r w:rsidRPr="00C62148">
        <w:rPr>
          <w:rFonts w:eastAsia="Times New Roman" w:cs="Arial"/>
          <w:noProof/>
          <w:sz w:val="16"/>
          <w:szCs w:val="16"/>
          <w:vertAlign w:val="superscript"/>
          <w:lang w:eastAsia="fr-FR"/>
        </w:rPr>
        <w:footnoteRef/>
      </w:r>
      <w:r w:rsidRPr="00C62148">
        <w:rPr>
          <w:rFonts w:eastAsia="Times New Roman" w:cs="Arial"/>
          <w:noProof/>
          <w:sz w:val="16"/>
          <w:szCs w:val="16"/>
          <w:vertAlign w:val="superscript"/>
          <w:lang w:eastAsia="fr-FR"/>
        </w:rPr>
        <w:t xml:space="preserve"> </w:t>
      </w:r>
      <w:r>
        <w:rPr>
          <w:rFonts w:eastAsia="Times New Roman" w:cs="Arial"/>
          <w:noProof/>
          <w:sz w:val="16"/>
          <w:szCs w:val="16"/>
          <w:lang w:eastAsia="fr-FR"/>
        </w:rPr>
        <w:t>Selon les</w:t>
      </w:r>
      <w:r w:rsidRPr="00C62148">
        <w:rPr>
          <w:rFonts w:eastAsia="Times New Roman" w:cs="Arial"/>
          <w:noProof/>
          <w:sz w:val="16"/>
          <w:szCs w:val="16"/>
          <w:lang w:eastAsia="fr-FR"/>
        </w:rPr>
        <w:t xml:space="preserve"> </w:t>
      </w:r>
      <w:r>
        <w:rPr>
          <w:rFonts w:eastAsia="Times New Roman" w:cs="Arial"/>
          <w:b/>
          <w:bCs/>
          <w:noProof/>
          <w:sz w:val="16"/>
          <w:szCs w:val="16"/>
          <w:lang w:eastAsia="fr-FR"/>
        </w:rPr>
        <w:t>Lignes directrices</w:t>
      </w:r>
      <w:r w:rsidRPr="00C62148">
        <w:rPr>
          <w:rFonts w:eastAsia="Times New Roman" w:cs="Arial"/>
          <w:b/>
          <w:bCs/>
          <w:noProof/>
          <w:sz w:val="16"/>
          <w:szCs w:val="16"/>
          <w:lang w:eastAsia="fr-FR"/>
        </w:rPr>
        <w:t xml:space="preserve"> </w:t>
      </w:r>
      <w:r>
        <w:rPr>
          <w:rFonts w:eastAsia="Times New Roman" w:cs="Arial"/>
          <w:noProof/>
          <w:sz w:val="16"/>
          <w:szCs w:val="16"/>
          <w:lang w:eastAsia="fr-FR"/>
        </w:rPr>
        <w:t xml:space="preserve">définies par le CM pour la coopération avec </w:t>
      </w:r>
      <w:r w:rsidRPr="00B119F5">
        <w:rPr>
          <w:rFonts w:eastAsia="Times New Roman" w:cs="Arial"/>
          <w:noProof/>
          <w:sz w:val="16"/>
          <w:szCs w:val="16"/>
          <w:lang w:eastAsia="fr-FR"/>
        </w:rPr>
        <w:t>l’OCI et la</w:t>
      </w:r>
      <w:r>
        <w:rPr>
          <w:rFonts w:eastAsia="Times New Roman" w:cs="Arial"/>
          <w:noProof/>
          <w:sz w:val="16"/>
          <w:szCs w:val="16"/>
          <w:lang w:eastAsia="fr-FR"/>
        </w:rPr>
        <w:t> </w:t>
      </w:r>
      <w:r w:rsidRPr="00B119F5">
        <w:rPr>
          <w:rFonts w:eastAsia="Times New Roman" w:cs="Arial"/>
          <w:noProof/>
          <w:sz w:val="16"/>
          <w:szCs w:val="16"/>
          <w:lang w:eastAsia="fr-FR"/>
        </w:rPr>
        <w:t>Ligue des États arabes</w:t>
      </w:r>
      <w:r w:rsidRPr="00C62148">
        <w:rPr>
          <w:rFonts w:eastAsia="Times New Roman" w:cs="Arial"/>
          <w:noProof/>
          <w:sz w:val="16"/>
          <w:szCs w:val="16"/>
          <w:lang w:eastAsia="fr-FR"/>
        </w:rPr>
        <w:t xml:space="preserve">, </w:t>
      </w:r>
      <w:r w:rsidRPr="00B119F5">
        <w:rPr>
          <w:rFonts w:eastAsia="Times New Roman" w:cs="Arial"/>
          <w:noProof/>
          <w:sz w:val="16"/>
          <w:szCs w:val="16"/>
          <w:lang w:eastAsia="fr-FR"/>
        </w:rPr>
        <w:t>cette coopération doit reposer sur les valeurs du CdE (protection des droits de l’homme, primauté du droit et démocratie). Elle prend la forme d’une coopération informelle</w:t>
      </w:r>
      <w:r>
        <w:rPr>
          <w:rFonts w:eastAsia="Times New Roman" w:cs="Arial"/>
          <w:noProof/>
          <w:sz w:val="16"/>
          <w:szCs w:val="16"/>
          <w:lang w:eastAsia="fr-FR"/>
        </w:rPr>
        <w:t>,</w:t>
      </w:r>
      <w:r w:rsidRPr="00B119F5">
        <w:rPr>
          <w:rFonts w:eastAsia="Times New Roman" w:cs="Arial"/>
          <w:noProof/>
          <w:sz w:val="16"/>
          <w:szCs w:val="16"/>
          <w:lang w:eastAsia="fr-FR"/>
        </w:rPr>
        <w:t xml:space="preserve"> au niveau de projets spécifiques, et les Délégués des Ministres doivent être informés des projets de coopération envisagés avec ces organisations</w:t>
      </w:r>
      <w:r>
        <w:rPr>
          <w:rFonts w:eastAsia="Times New Roman" w:cs="Arial"/>
          <w:noProof/>
          <w:sz w:val="16"/>
          <w:szCs w:val="16"/>
          <w:lang w:eastAsia="fr-FR"/>
        </w:rPr>
        <w:t>.</w:t>
      </w:r>
    </w:p>
  </w:footnote>
  <w:footnote w:id="35">
    <w:p w14:paraId="1B8EDCE0" w14:textId="77777777" w:rsidR="004752E1" w:rsidRPr="00C62148" w:rsidRDefault="004752E1" w:rsidP="004752E1">
      <w:pPr>
        <w:pStyle w:val="xmsonormal"/>
        <w:spacing w:after="0" w:line="240" w:lineRule="auto"/>
        <w:jc w:val="left"/>
        <w:rPr>
          <w:rFonts w:ascii="Arial" w:hAnsi="Arial"/>
          <w:noProof/>
          <w:sz w:val="16"/>
          <w:szCs w:val="16"/>
        </w:rPr>
      </w:pPr>
      <w:r w:rsidRPr="00C62148">
        <w:rPr>
          <w:rStyle w:val="FootnoteReference"/>
          <w:rFonts w:ascii="Arial" w:hAnsi="Arial"/>
          <w:noProof/>
          <w:sz w:val="16"/>
          <w:szCs w:val="16"/>
        </w:rPr>
        <w:footnoteRef/>
      </w:r>
      <w:r w:rsidRPr="00C62148">
        <w:rPr>
          <w:rFonts w:ascii="Arial" w:hAnsi="Arial"/>
          <w:noProof/>
          <w:sz w:val="16"/>
          <w:szCs w:val="16"/>
        </w:rPr>
        <w:t xml:space="preserve"> </w:t>
      </w:r>
      <w:r>
        <w:rPr>
          <w:rFonts w:ascii="Arial" w:eastAsia="Times New Roman" w:hAnsi="Arial"/>
          <w:noProof/>
          <w:sz w:val="16"/>
          <w:szCs w:val="16"/>
        </w:rPr>
        <w:t xml:space="preserve">Cette </w:t>
      </w:r>
      <w:r w:rsidRPr="00C62148">
        <w:rPr>
          <w:rFonts w:ascii="Arial" w:eastAsia="Times New Roman" w:hAnsi="Arial"/>
          <w:noProof/>
          <w:sz w:val="16"/>
          <w:szCs w:val="16"/>
        </w:rPr>
        <w:t>visit</w:t>
      </w:r>
      <w:r>
        <w:rPr>
          <w:rFonts w:ascii="Arial" w:eastAsia="Times New Roman" w:hAnsi="Arial"/>
          <w:noProof/>
          <w:sz w:val="16"/>
          <w:szCs w:val="16"/>
        </w:rPr>
        <w:t>e</w:t>
      </w:r>
      <w:r w:rsidRPr="00C62148">
        <w:rPr>
          <w:rFonts w:ascii="Arial" w:eastAsia="Times New Roman" w:hAnsi="Arial"/>
          <w:noProof/>
          <w:sz w:val="16"/>
          <w:szCs w:val="16"/>
        </w:rPr>
        <w:t xml:space="preserve"> </w:t>
      </w:r>
      <w:r>
        <w:rPr>
          <w:rFonts w:ascii="Arial" w:eastAsia="Times New Roman" w:hAnsi="Arial"/>
          <w:noProof/>
          <w:sz w:val="16"/>
          <w:szCs w:val="16"/>
        </w:rPr>
        <w:t xml:space="preserve">est intervenue dans le </w:t>
      </w:r>
      <w:r w:rsidRPr="00C62148">
        <w:rPr>
          <w:rFonts w:ascii="Arial" w:eastAsia="Times New Roman" w:hAnsi="Arial"/>
          <w:noProof/>
          <w:sz w:val="16"/>
          <w:szCs w:val="16"/>
        </w:rPr>
        <w:t>context</w:t>
      </w:r>
      <w:r>
        <w:rPr>
          <w:rFonts w:ascii="Arial" w:eastAsia="Times New Roman" w:hAnsi="Arial"/>
          <w:noProof/>
          <w:sz w:val="16"/>
          <w:szCs w:val="16"/>
        </w:rPr>
        <w:t xml:space="preserve">e de ses </w:t>
      </w:r>
      <w:r w:rsidRPr="00C62148">
        <w:rPr>
          <w:rFonts w:ascii="Arial" w:eastAsia="Times New Roman" w:hAnsi="Arial"/>
          <w:noProof/>
          <w:sz w:val="16"/>
          <w:szCs w:val="16"/>
        </w:rPr>
        <w:t xml:space="preserve">contacts </w:t>
      </w:r>
      <w:r>
        <w:rPr>
          <w:rFonts w:ascii="Arial" w:eastAsia="Times New Roman" w:hAnsi="Arial"/>
          <w:noProof/>
          <w:sz w:val="16"/>
          <w:szCs w:val="16"/>
        </w:rPr>
        <w:t>avec le</w:t>
      </w:r>
      <w:r w:rsidRPr="00C62148">
        <w:rPr>
          <w:rFonts w:ascii="Arial" w:eastAsia="Times New Roman" w:hAnsi="Arial"/>
          <w:noProof/>
          <w:sz w:val="16"/>
          <w:szCs w:val="16"/>
        </w:rPr>
        <w:t xml:space="preserve"> </w:t>
      </w:r>
      <w:r w:rsidRPr="00B119F5">
        <w:rPr>
          <w:rFonts w:ascii="Arial" w:eastAsia="Times New Roman" w:hAnsi="Arial"/>
          <w:noProof/>
          <w:sz w:val="16"/>
          <w:szCs w:val="16"/>
        </w:rPr>
        <w:t>Représentant spécial de la Secrétaire Générale sur les crimes de haine antisémites et anti-musulmans et toute forme d’intolérance religieuse</w:t>
      </w:r>
      <w:r w:rsidRPr="00C62148">
        <w:rPr>
          <w:rFonts w:ascii="Arial" w:eastAsia="Times New Roman" w:hAnsi="Arial"/>
          <w:noProof/>
          <w:sz w:val="16"/>
          <w:szCs w:val="16"/>
        </w:rPr>
        <w:t>.</w:t>
      </w:r>
    </w:p>
  </w:footnote>
  <w:footnote w:id="36">
    <w:p w14:paraId="52BC375E" w14:textId="34B363AA" w:rsidR="004752E1" w:rsidRPr="00C62148" w:rsidRDefault="004752E1" w:rsidP="004752E1">
      <w:pPr>
        <w:pStyle w:val="FootnoteText"/>
        <w:rPr>
          <w:noProof/>
        </w:rPr>
      </w:pPr>
      <w:r w:rsidRPr="00C62148">
        <w:rPr>
          <w:rStyle w:val="FootnoteReference"/>
          <w:rFonts w:cs="Arial"/>
          <w:noProof/>
          <w:szCs w:val="16"/>
        </w:rPr>
        <w:footnoteRef/>
      </w:r>
      <w:r w:rsidRPr="00C62148">
        <w:rPr>
          <w:rFonts w:cs="Arial"/>
          <w:noProof/>
          <w:szCs w:val="16"/>
        </w:rPr>
        <w:t xml:space="preserve"> </w:t>
      </w:r>
      <w:r>
        <w:rPr>
          <w:rFonts w:cs="Arial"/>
          <w:noProof/>
          <w:szCs w:val="16"/>
        </w:rPr>
        <w:t xml:space="preserve">Cf. le </w:t>
      </w:r>
      <w:r w:rsidRPr="00B119F5">
        <w:rPr>
          <w:rFonts w:cs="Arial"/>
          <w:noProof/>
          <w:szCs w:val="16"/>
        </w:rPr>
        <w:t xml:space="preserve">rapport distinct </w:t>
      </w:r>
      <w:r>
        <w:rPr>
          <w:rFonts w:cs="Arial"/>
          <w:noProof/>
          <w:szCs w:val="16"/>
        </w:rPr>
        <w:t xml:space="preserve">sur </w:t>
      </w:r>
      <w:r w:rsidRPr="00785D58">
        <w:rPr>
          <w:rFonts w:cs="Arial"/>
          <w:noProof/>
          <w:szCs w:val="16"/>
        </w:rPr>
        <w:t xml:space="preserve">la coopération du CdE avec l'UE – </w:t>
      </w:r>
      <w:bookmarkStart w:id="5" w:name="_ML_000000000007_VALID"/>
      <w:r w:rsidR="00E25D07" w:rsidRPr="00E25D07">
        <w:rPr>
          <w:rFonts w:cs="Arial"/>
          <w:noProof/>
          <w:szCs w:val="16"/>
        </w:rPr>
        <w:fldChar w:fldCharType="begin"/>
      </w:r>
      <w:r w:rsidR="00E25D07" w:rsidRPr="00E25D07">
        <w:rPr>
          <w:rFonts w:cs="Arial"/>
          <w:noProof/>
          <w:szCs w:val="16"/>
        </w:rPr>
        <w:instrText>HYPERLINK "https://search.coe.int/cm/Pages/result_details.aspx?Reference=CM(2024)33-prov" \o "4e Sommet des chefs d’État et de gouvernement du Conseil de l’Europe (Reykjavík, Islande, 16-17 mai 2023) – Suivi - Renforcer le rôle du Conseil de l’Europe dans l’architecture multilatérale européenne en évolution et dans la gouvernance mondiale en améliorant sa dimension extérieure - Coopération entre le Conseil de l'Europe et l’Union européenne – Rapport de synthèse"</w:instrText>
      </w:r>
      <w:r w:rsidR="00E25D07" w:rsidRPr="00E25D07">
        <w:rPr>
          <w:rFonts w:cs="Arial"/>
          <w:noProof/>
          <w:szCs w:val="16"/>
        </w:rPr>
      </w:r>
      <w:r w:rsidR="00E25D07" w:rsidRPr="00E25D07">
        <w:rPr>
          <w:rFonts w:cs="Arial"/>
          <w:noProof/>
          <w:szCs w:val="16"/>
        </w:rPr>
        <w:fldChar w:fldCharType="separate"/>
      </w:r>
      <w:bookmarkEnd w:id="5"/>
      <w:r w:rsidR="00E25D07" w:rsidRPr="00E25D07">
        <w:rPr>
          <w:rStyle w:val="Hyperlink"/>
          <w:rFonts w:cs="Arial"/>
          <w:noProof/>
          <w:szCs w:val="16"/>
        </w:rPr>
        <w:t>CM(2024)33-prov</w:t>
      </w:r>
      <w:r w:rsidR="00E25D07" w:rsidRPr="00E25D07">
        <w:rPr>
          <w:rFonts w:cs="Arial"/>
          <w:noProof/>
          <w:szCs w:val="16"/>
        </w:rPr>
        <w:fldChar w:fldCharType="end"/>
      </w:r>
      <w:r w:rsidRPr="00785D58">
        <w:rPr>
          <w:rFonts w:cs="Arial"/>
          <w:noProof/>
          <w:szCs w:val="16"/>
        </w:rPr>
        <w:t>.</w:t>
      </w:r>
    </w:p>
  </w:footnote>
  <w:footnote w:id="37">
    <w:p w14:paraId="19A5019E" w14:textId="77777777" w:rsidR="004752E1" w:rsidRPr="00C62148" w:rsidRDefault="004752E1" w:rsidP="004752E1">
      <w:pPr>
        <w:pStyle w:val="FootnoteText"/>
        <w:rPr>
          <w:rFonts w:cs="Arial"/>
          <w:noProof/>
          <w:szCs w:val="16"/>
        </w:rPr>
      </w:pPr>
      <w:r w:rsidRPr="00C62148">
        <w:rPr>
          <w:rStyle w:val="FootnoteReference"/>
          <w:rFonts w:cs="Arial"/>
          <w:noProof/>
          <w:szCs w:val="16"/>
        </w:rPr>
        <w:footnoteRef/>
      </w:r>
      <w:r w:rsidRPr="00C62148">
        <w:rPr>
          <w:rFonts w:cs="Arial"/>
          <w:noProof/>
          <w:szCs w:val="16"/>
        </w:rPr>
        <w:t xml:space="preserve"> </w:t>
      </w:r>
      <w:r w:rsidRPr="00A5262D">
        <w:rPr>
          <w:rFonts w:cs="Arial"/>
          <w:noProof/>
          <w:szCs w:val="16"/>
        </w:rPr>
        <w:t>Le Secrétaire général adjoint a rencontré M. Ben Aissa, Secrétaire général adjoint de la Ligue des</w:t>
      </w:r>
      <w:r>
        <w:rPr>
          <w:rFonts w:cs="Arial"/>
          <w:noProof/>
          <w:szCs w:val="16"/>
        </w:rPr>
        <w:t xml:space="preserve"> États </w:t>
      </w:r>
      <w:r w:rsidRPr="00A5262D">
        <w:rPr>
          <w:rFonts w:cs="Arial"/>
          <w:noProof/>
          <w:szCs w:val="16"/>
        </w:rPr>
        <w:t>arabes, le 28 septembre 2022 à Strasbourg</w:t>
      </w:r>
      <w:r w:rsidRPr="00C62148">
        <w:rPr>
          <w:rFonts w:cs="Arial"/>
          <w:noProof/>
          <w:szCs w:val="16"/>
          <w:lang w:eastAsia="fr-FR"/>
        </w:rPr>
        <w:t xml:space="preserve">. </w:t>
      </w:r>
    </w:p>
  </w:footnote>
  <w:footnote w:id="38">
    <w:p w14:paraId="6A3BD686" w14:textId="77777777" w:rsidR="004752E1" w:rsidRPr="00C62148" w:rsidRDefault="004752E1" w:rsidP="004752E1">
      <w:pPr>
        <w:pStyle w:val="xmsonormal"/>
        <w:spacing w:after="0" w:line="240" w:lineRule="auto"/>
        <w:jc w:val="left"/>
        <w:rPr>
          <w:rFonts w:ascii="Arial" w:eastAsia="Calibri" w:hAnsi="Arial"/>
          <w:noProof/>
          <w:sz w:val="16"/>
          <w:szCs w:val="16"/>
        </w:rPr>
      </w:pPr>
      <w:r w:rsidRPr="00C62148">
        <w:rPr>
          <w:rStyle w:val="FootnoteReference"/>
          <w:rFonts w:ascii="Arial" w:hAnsi="Arial"/>
          <w:noProof/>
          <w:sz w:val="16"/>
          <w:szCs w:val="16"/>
        </w:rPr>
        <w:footnoteRef/>
      </w:r>
      <w:r w:rsidRPr="00C62148">
        <w:rPr>
          <w:rFonts w:ascii="Arial" w:hAnsi="Arial"/>
          <w:noProof/>
          <w:sz w:val="16"/>
          <w:szCs w:val="16"/>
        </w:rPr>
        <w:t xml:space="preserve"> </w:t>
      </w:r>
      <w:r w:rsidRPr="00A5262D">
        <w:rPr>
          <w:rFonts w:ascii="Arial" w:eastAsia="Calibri" w:hAnsi="Arial"/>
          <w:noProof/>
          <w:sz w:val="16"/>
          <w:szCs w:val="16"/>
        </w:rPr>
        <w:t>Des contacts pourraient également être envisagés dans le cadre du projet de protocole de l'Union africaine à la Charte africaine des droits de l'homme et des peuples sur l'abolition de la peine de mort en Afrique</w:t>
      </w:r>
      <w:r w:rsidRPr="00C62148">
        <w:rPr>
          <w:rFonts w:ascii="Arial" w:eastAsia="Calibri" w:hAnsi="Arial"/>
          <w:noProof/>
          <w:sz w:val="16"/>
          <w:szCs w:val="16"/>
        </w:rPr>
        <w:t>.</w:t>
      </w:r>
    </w:p>
    <w:p w14:paraId="14A1C180" w14:textId="77777777" w:rsidR="004752E1" w:rsidRPr="00C62148" w:rsidRDefault="004752E1" w:rsidP="004752E1">
      <w:pPr>
        <w:pStyle w:val="FootnoteText"/>
        <w:rPr>
          <w:noProo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4ED0" w14:textId="1EAC34C6" w:rsidR="00E24C57" w:rsidRPr="00491E67" w:rsidRDefault="009342FF" w:rsidP="00491E67">
    <w:pPr>
      <w:pStyle w:val="Header"/>
    </w:pPr>
    <w:proofErr w:type="gramStart"/>
    <w:r w:rsidRPr="00491E67">
      <w:t>CM(</w:t>
    </w:r>
    <w:proofErr w:type="gramEnd"/>
    <w:r w:rsidR="00596DF7">
      <w:t>202</w:t>
    </w:r>
    <w:r w:rsidR="004060E1">
      <w:t>4</w:t>
    </w:r>
    <w:r w:rsidRPr="00491E67">
      <w:t>)</w:t>
    </w:r>
    <w:r w:rsidR="004060E1">
      <w:t>76</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2AD9" w14:textId="2A6F953B"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4060E1" w:rsidRPr="00491E67">
      <w:t>CM(</w:t>
    </w:r>
    <w:proofErr w:type="gramEnd"/>
    <w:r w:rsidR="004060E1">
      <w:t>2024</w:t>
    </w:r>
    <w:r w:rsidR="004060E1" w:rsidRPr="00491E67">
      <w:t>)</w:t>
    </w:r>
    <w:r w:rsidR="004060E1">
      <w:t>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7C6B"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2E7FCC81" wp14:editId="77D538CB">
          <wp:simplePos x="0" y="0"/>
          <wp:positionH relativeFrom="page">
            <wp:posOffset>4165600</wp:posOffset>
          </wp:positionH>
          <wp:positionV relativeFrom="page">
            <wp:posOffset>22860</wp:posOffset>
          </wp:positionV>
          <wp:extent cx="3168000" cy="1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5C1"/>
    <w:multiLevelType w:val="multilevel"/>
    <w:tmpl w:val="28244A32"/>
    <w:lvl w:ilvl="0">
      <w:start w:val="5"/>
      <w:numFmt w:val="decimal"/>
      <w:lvlText w:val="%1."/>
      <w:lvlJc w:val="left"/>
      <w:pPr>
        <w:ind w:left="384" w:hanging="384"/>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 w15:restartNumberingAfterBreak="0">
    <w:nsid w:val="4087412B"/>
    <w:multiLevelType w:val="hybridMultilevel"/>
    <w:tmpl w:val="103AC68A"/>
    <w:lvl w:ilvl="0" w:tplc="F5F8E6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8696033">
    <w:abstractNumId w:val="0"/>
  </w:num>
  <w:num w:numId="2" w16cid:durableId="355733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55E2"/>
    <w:rsid w:val="00003D49"/>
    <w:rsid w:val="00027B2B"/>
    <w:rsid w:val="000316BF"/>
    <w:rsid w:val="00035FDF"/>
    <w:rsid w:val="00042A16"/>
    <w:rsid w:val="00053413"/>
    <w:rsid w:val="00067897"/>
    <w:rsid w:val="00071EA7"/>
    <w:rsid w:val="00072CBD"/>
    <w:rsid w:val="00082CEE"/>
    <w:rsid w:val="0008607E"/>
    <w:rsid w:val="00090231"/>
    <w:rsid w:val="000A307B"/>
    <w:rsid w:val="000B5C6D"/>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4299"/>
    <w:rsid w:val="002250DD"/>
    <w:rsid w:val="0023437D"/>
    <w:rsid w:val="00242ABB"/>
    <w:rsid w:val="00251353"/>
    <w:rsid w:val="00262B36"/>
    <w:rsid w:val="00262B3D"/>
    <w:rsid w:val="00265917"/>
    <w:rsid w:val="00285888"/>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51AD"/>
    <w:rsid w:val="00356993"/>
    <w:rsid w:val="003711FC"/>
    <w:rsid w:val="0037200F"/>
    <w:rsid w:val="00373957"/>
    <w:rsid w:val="00375411"/>
    <w:rsid w:val="00381C50"/>
    <w:rsid w:val="00385587"/>
    <w:rsid w:val="00392D1D"/>
    <w:rsid w:val="003A5509"/>
    <w:rsid w:val="003B2C8C"/>
    <w:rsid w:val="003B345B"/>
    <w:rsid w:val="003C212E"/>
    <w:rsid w:val="003D3B17"/>
    <w:rsid w:val="003D48AE"/>
    <w:rsid w:val="003D6AC2"/>
    <w:rsid w:val="003F3D4B"/>
    <w:rsid w:val="0040027C"/>
    <w:rsid w:val="00400868"/>
    <w:rsid w:val="004060E1"/>
    <w:rsid w:val="004256CB"/>
    <w:rsid w:val="004329B7"/>
    <w:rsid w:val="00440CB1"/>
    <w:rsid w:val="00443709"/>
    <w:rsid w:val="0044542F"/>
    <w:rsid w:val="00447D22"/>
    <w:rsid w:val="004553F6"/>
    <w:rsid w:val="004728F8"/>
    <w:rsid w:val="004752E1"/>
    <w:rsid w:val="00480D8B"/>
    <w:rsid w:val="00491E67"/>
    <w:rsid w:val="004942DE"/>
    <w:rsid w:val="004A37E1"/>
    <w:rsid w:val="004C0C2F"/>
    <w:rsid w:val="004C11B3"/>
    <w:rsid w:val="004D1C0F"/>
    <w:rsid w:val="004F1A76"/>
    <w:rsid w:val="004F1D8B"/>
    <w:rsid w:val="0050115D"/>
    <w:rsid w:val="0054041B"/>
    <w:rsid w:val="00544F6A"/>
    <w:rsid w:val="00550B6C"/>
    <w:rsid w:val="00574663"/>
    <w:rsid w:val="00596DF7"/>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D3C91"/>
    <w:rsid w:val="006F0318"/>
    <w:rsid w:val="006F6B48"/>
    <w:rsid w:val="00712E65"/>
    <w:rsid w:val="007150DE"/>
    <w:rsid w:val="00735569"/>
    <w:rsid w:val="007359FE"/>
    <w:rsid w:val="00761627"/>
    <w:rsid w:val="00767626"/>
    <w:rsid w:val="00773CFE"/>
    <w:rsid w:val="00794D54"/>
    <w:rsid w:val="007A543D"/>
    <w:rsid w:val="007B3DD0"/>
    <w:rsid w:val="007C0AD1"/>
    <w:rsid w:val="007D7B20"/>
    <w:rsid w:val="007E168C"/>
    <w:rsid w:val="007F6C46"/>
    <w:rsid w:val="00800A19"/>
    <w:rsid w:val="008042E6"/>
    <w:rsid w:val="00805F04"/>
    <w:rsid w:val="00810D5A"/>
    <w:rsid w:val="00814AA2"/>
    <w:rsid w:val="0082394F"/>
    <w:rsid w:val="00853C90"/>
    <w:rsid w:val="008575F2"/>
    <w:rsid w:val="008713FC"/>
    <w:rsid w:val="0087380A"/>
    <w:rsid w:val="008B07D4"/>
    <w:rsid w:val="008C12CC"/>
    <w:rsid w:val="00915AB1"/>
    <w:rsid w:val="00916BF5"/>
    <w:rsid w:val="009215B8"/>
    <w:rsid w:val="00923554"/>
    <w:rsid w:val="009270C4"/>
    <w:rsid w:val="009342FF"/>
    <w:rsid w:val="009355E2"/>
    <w:rsid w:val="00940F14"/>
    <w:rsid w:val="00950D67"/>
    <w:rsid w:val="009527D7"/>
    <w:rsid w:val="00955512"/>
    <w:rsid w:val="00963962"/>
    <w:rsid w:val="00974C41"/>
    <w:rsid w:val="00990722"/>
    <w:rsid w:val="009B3AB7"/>
    <w:rsid w:val="009C5258"/>
    <w:rsid w:val="009D28F3"/>
    <w:rsid w:val="009D28F7"/>
    <w:rsid w:val="00A12DEC"/>
    <w:rsid w:val="00A13FA3"/>
    <w:rsid w:val="00A161B3"/>
    <w:rsid w:val="00A22D53"/>
    <w:rsid w:val="00A474E5"/>
    <w:rsid w:val="00A836D9"/>
    <w:rsid w:val="00A842D4"/>
    <w:rsid w:val="00A93CA3"/>
    <w:rsid w:val="00AB6552"/>
    <w:rsid w:val="00AB67F8"/>
    <w:rsid w:val="00AB7727"/>
    <w:rsid w:val="00AC73AA"/>
    <w:rsid w:val="00AD0EFC"/>
    <w:rsid w:val="00AE76B8"/>
    <w:rsid w:val="00B06133"/>
    <w:rsid w:val="00B129D8"/>
    <w:rsid w:val="00B227AE"/>
    <w:rsid w:val="00B41B03"/>
    <w:rsid w:val="00B41EC3"/>
    <w:rsid w:val="00B509CE"/>
    <w:rsid w:val="00B63F08"/>
    <w:rsid w:val="00B81BAC"/>
    <w:rsid w:val="00B849E0"/>
    <w:rsid w:val="00B90246"/>
    <w:rsid w:val="00B920E4"/>
    <w:rsid w:val="00BA79A3"/>
    <w:rsid w:val="00BB0936"/>
    <w:rsid w:val="00BB7DCE"/>
    <w:rsid w:val="00BD25C0"/>
    <w:rsid w:val="00BE6E8C"/>
    <w:rsid w:val="00C049EE"/>
    <w:rsid w:val="00C109FD"/>
    <w:rsid w:val="00C14C2C"/>
    <w:rsid w:val="00C409C2"/>
    <w:rsid w:val="00C74E6F"/>
    <w:rsid w:val="00C8348A"/>
    <w:rsid w:val="00C92F89"/>
    <w:rsid w:val="00CC00C4"/>
    <w:rsid w:val="00CC39DC"/>
    <w:rsid w:val="00CE1FF8"/>
    <w:rsid w:val="00CE4890"/>
    <w:rsid w:val="00CE6FD2"/>
    <w:rsid w:val="00D0182E"/>
    <w:rsid w:val="00D0265B"/>
    <w:rsid w:val="00D24A57"/>
    <w:rsid w:val="00D53526"/>
    <w:rsid w:val="00D554E6"/>
    <w:rsid w:val="00D70628"/>
    <w:rsid w:val="00DA3B3D"/>
    <w:rsid w:val="00DA7643"/>
    <w:rsid w:val="00DB029C"/>
    <w:rsid w:val="00DC162E"/>
    <w:rsid w:val="00DC4A39"/>
    <w:rsid w:val="00DD2E68"/>
    <w:rsid w:val="00DE0A21"/>
    <w:rsid w:val="00DF6796"/>
    <w:rsid w:val="00E1258A"/>
    <w:rsid w:val="00E125C6"/>
    <w:rsid w:val="00E15639"/>
    <w:rsid w:val="00E1656D"/>
    <w:rsid w:val="00E173B5"/>
    <w:rsid w:val="00E24C57"/>
    <w:rsid w:val="00E25D07"/>
    <w:rsid w:val="00E33306"/>
    <w:rsid w:val="00E35E8F"/>
    <w:rsid w:val="00E475F9"/>
    <w:rsid w:val="00E50974"/>
    <w:rsid w:val="00E86611"/>
    <w:rsid w:val="00E940BF"/>
    <w:rsid w:val="00EA643A"/>
    <w:rsid w:val="00EE34E3"/>
    <w:rsid w:val="00EE367D"/>
    <w:rsid w:val="00EE6176"/>
    <w:rsid w:val="00EF0BE4"/>
    <w:rsid w:val="00F01885"/>
    <w:rsid w:val="00F168A4"/>
    <w:rsid w:val="00F2380B"/>
    <w:rsid w:val="00F24713"/>
    <w:rsid w:val="00F3753D"/>
    <w:rsid w:val="00F40699"/>
    <w:rsid w:val="00F40B8D"/>
    <w:rsid w:val="00F433D6"/>
    <w:rsid w:val="00F61D34"/>
    <w:rsid w:val="00F76BBD"/>
    <w:rsid w:val="00F80810"/>
    <w:rsid w:val="00F96689"/>
    <w:rsid w:val="00FD6043"/>
    <w:rsid w:val="00FE339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D61A"/>
  <w15:docId w15:val="{496524B8-C7D9-4184-BFF3-B69251E7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 Char Char,Footnote Text Char Char Char Char Char Char Char,Footnote Text Char Char1,Footnote Text Char1 Char,Footnote Text Char1 Char Char Char Char Char,Footnote Text Char2,Car,Footnote,Char,n"/>
    <w:basedOn w:val="Normal"/>
    <w:link w:val="FootnoteTextChar"/>
    <w:uiPriority w:val="99"/>
    <w:unhideWhenUsed/>
    <w:qFormat/>
    <w:rsid w:val="009C5258"/>
    <w:rPr>
      <w:sz w:val="16"/>
      <w:szCs w:val="20"/>
    </w:rPr>
  </w:style>
  <w:style w:type="character" w:customStyle="1" w:styleId="FootnoteTextChar">
    <w:name w:val="Footnote Text Char"/>
    <w:aliases w:val="Footnote Text Char Char Char Char,Footnote Text Char Char Char Char Char Char Char Char,Footnote Text Char Char1 Char,Footnote Text Char1 Char Char,Footnote Text Char1 Char Char Char Char Char Char,Footnote Text Char2 Char,Car Char"/>
    <w:link w:val="FootnoteText"/>
    <w:uiPriority w:val="99"/>
    <w:qFormat/>
    <w:rsid w:val="009C5258"/>
    <w:rPr>
      <w:rFonts w:ascii="Arial" w:hAnsi="Arial"/>
      <w:sz w:val="16"/>
      <w:lang w:val="fr-FR" w:eastAsia="en-US"/>
    </w:rPr>
  </w:style>
  <w:style w:type="character" w:styleId="FootnoteReference">
    <w:name w:val="footnote reference"/>
    <w:aliases w:val="4_G,BVI fnr,BVI fnr Car,BVI fnr Car Car,BVI fnr Car Car Car Car,BVI fnr Car Car Car Car Char,Footnote Reference Number,Footnote Refernece,Footnote text,Footnotes refss,Fußnotenzeichen_Raxen,Ref. de nota al pie1,callout,fr,ftref,o"/>
    <w:link w:val="BVIfnrCar1Char"/>
    <w:uiPriority w:val="99"/>
    <w:unhideWhenUsed/>
    <w:qFormat/>
    <w:rsid w:val="00853C90"/>
    <w:rPr>
      <w:vertAlign w:val="superscript"/>
    </w:rPr>
  </w:style>
  <w:style w:type="paragraph" w:styleId="ListParagraph">
    <w:name w:val="List Paragraph"/>
    <w:aliases w:val="Recommendation,List Paragraph1,Абзац списка,Paragraphe de liste PBLH,Bullet Points,Bullet list,Table of contents numbered,Liststycke SKL,MAIN CONTENT,List Paragraph12,Colorful List - Accent 11,List Paragraph2,Normal numbered,Ha"/>
    <w:basedOn w:val="Normal"/>
    <w:link w:val="ListParagraphChar"/>
    <w:uiPriority w:val="34"/>
    <w:qFormat/>
    <w:rsid w:val="004752E1"/>
    <w:pPr>
      <w:spacing w:after="200" w:line="288" w:lineRule="auto"/>
      <w:ind w:left="720"/>
      <w:contextualSpacing/>
    </w:pPr>
    <w:rPr>
      <w:rFonts w:asciiTheme="minorHAnsi" w:eastAsiaTheme="minorEastAsia" w:hAnsiTheme="minorHAnsi" w:cstheme="minorBidi"/>
      <w:sz w:val="21"/>
      <w:szCs w:val="21"/>
      <w:lang w:val="en-GB" w:eastAsia="en-GB"/>
    </w:rPr>
  </w:style>
  <w:style w:type="character" w:customStyle="1" w:styleId="ListParagraphChar">
    <w:name w:val="List Paragraph Char"/>
    <w:aliases w:val="Recommendation Char,List Paragraph1 Char,Абзац списка Char,Paragraphe de liste PBLH Char,Bullet Points Char,Bullet list Char,Table of contents numbered Char,Liststycke SKL Char,MAIN CONTENT Char,List Paragraph12 Char,Ha Char"/>
    <w:link w:val="ListParagraph"/>
    <w:uiPriority w:val="34"/>
    <w:qFormat/>
    <w:locked/>
    <w:rsid w:val="004752E1"/>
    <w:rPr>
      <w:rFonts w:asciiTheme="minorHAnsi" w:eastAsiaTheme="minorEastAsia" w:hAnsiTheme="minorHAnsi" w:cstheme="minorBidi"/>
      <w:sz w:val="21"/>
      <w:szCs w:val="21"/>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link w:val="FootnoteReference"/>
    <w:uiPriority w:val="99"/>
    <w:rsid w:val="004752E1"/>
    <w:pPr>
      <w:spacing w:after="160" w:line="240" w:lineRule="exact"/>
      <w:jc w:val="both"/>
    </w:pPr>
    <w:rPr>
      <w:rFonts w:ascii="Calibri" w:hAnsi="Calibri"/>
      <w:szCs w:val="20"/>
      <w:vertAlign w:val="superscript"/>
      <w:lang w:val="en-GB" w:eastAsia="en-GB"/>
    </w:rPr>
  </w:style>
  <w:style w:type="paragraph" w:customStyle="1" w:styleId="Default">
    <w:name w:val="Default"/>
    <w:rsid w:val="004752E1"/>
    <w:pPr>
      <w:autoSpaceDE w:val="0"/>
      <w:autoSpaceDN w:val="0"/>
      <w:adjustRightInd w:val="0"/>
      <w:spacing w:after="200" w:line="288" w:lineRule="auto"/>
    </w:pPr>
    <w:rPr>
      <w:rFonts w:ascii="Arial" w:eastAsiaTheme="minorEastAsia" w:hAnsi="Arial" w:cs="Arial"/>
      <w:color w:val="000000"/>
      <w:sz w:val="24"/>
      <w:szCs w:val="24"/>
      <w:lang w:val="fr-FR"/>
    </w:rPr>
  </w:style>
  <w:style w:type="paragraph" w:customStyle="1" w:styleId="xmsonormal">
    <w:name w:val="x_msonormal"/>
    <w:basedOn w:val="Normal"/>
    <w:rsid w:val="004752E1"/>
    <w:pPr>
      <w:spacing w:after="200" w:line="288" w:lineRule="auto"/>
      <w:jc w:val="both"/>
    </w:pPr>
    <w:rPr>
      <w:rFonts w:asciiTheme="minorHAnsi" w:eastAsiaTheme="minorHAnsi" w:hAnsiTheme="minorHAnsi" w:cs="Arial"/>
      <w:sz w:val="21"/>
      <w:szCs w:val="20"/>
      <w:lang w:eastAsia="fr-FR"/>
    </w:rPr>
  </w:style>
  <w:style w:type="paragraph" w:styleId="EndnoteText">
    <w:name w:val="endnote text"/>
    <w:basedOn w:val="Normal"/>
    <w:link w:val="EndnoteTextChar"/>
    <w:uiPriority w:val="99"/>
    <w:unhideWhenUsed/>
    <w:rsid w:val="004752E1"/>
    <w:rPr>
      <w:szCs w:val="20"/>
      <w:lang w:val="en-GB"/>
    </w:rPr>
  </w:style>
  <w:style w:type="character" w:customStyle="1" w:styleId="EndnoteTextChar">
    <w:name w:val="Endnote Text Char"/>
    <w:basedOn w:val="DefaultParagraphFont"/>
    <w:link w:val="EndnoteText"/>
    <w:uiPriority w:val="99"/>
    <w:rsid w:val="004752E1"/>
    <w:rPr>
      <w:rFonts w:ascii="Arial" w:hAnsi="Arial"/>
      <w:lang w:eastAsia="en-US"/>
    </w:rPr>
  </w:style>
  <w:style w:type="character" w:customStyle="1" w:styleId="vsmall">
    <w:name w:val="vsmall"/>
    <w:basedOn w:val="DefaultParagraphFont"/>
    <w:rsid w:val="004752E1"/>
  </w:style>
  <w:style w:type="character" w:styleId="UnresolvedMention">
    <w:name w:val="Unresolved Mention"/>
    <w:basedOn w:val="DefaultParagraphFont"/>
    <w:uiPriority w:val="99"/>
    <w:semiHidden/>
    <w:unhideWhenUsed/>
    <w:rsid w:val="00E25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CoERMPublicCommonSearchServices/DisplayDCTMContent?documentId=090000168059acd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e.int/fr/web/conventions/bi-or-multilateral-agreements" TargetMode="External"/><Relationship Id="rId4" Type="http://schemas.openxmlformats.org/officeDocument/2006/relationships/settings" Target="settings.xml"/><Relationship Id="rId9" Type="http://schemas.openxmlformats.org/officeDocument/2006/relationships/hyperlink" Target="http://rm.coe.int/CoERMPublicCommonSearchServices/DisplayDCTMContent?documentId=090000168059acd9"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earch.coe.int/cm/pages/result_details.aspx?ObjectId=0900001680ace40d" TargetMode="External"/><Relationship Id="rId3" Type="http://schemas.openxmlformats.org/officeDocument/2006/relationships/hyperlink" Target="http://www.osce.org/odihr" TargetMode="External"/><Relationship Id="rId7" Type="http://schemas.openxmlformats.org/officeDocument/2006/relationships/hyperlink" Target="https://search.coe.int/cm/pages/result_details.aspx?ObjectId=0900001680ade047" TargetMode="External"/><Relationship Id="rId2" Type="http://schemas.openxmlformats.org/officeDocument/2006/relationships/hyperlink" Target="https://www.coe.int/fr/web/der/liaison-offices" TargetMode="External"/><Relationship Id="rId1" Type="http://schemas.openxmlformats.org/officeDocument/2006/relationships/hyperlink" Target="https://www.coe.int/fr/web/conventions/bi-or-multilateral-agreements" TargetMode="External"/><Relationship Id="rId6" Type="http://schemas.openxmlformats.org/officeDocument/2006/relationships/hyperlink" Target="https://www.coe.int/fr/web/portal/-/deputy-secretary-general-at-the-30th-osce-ministerial-council-in-skopje-to-reaffirm-council-of-europe-s-unwavering-support-to-ukraine" TargetMode="External"/><Relationship Id="rId5" Type="http://schemas.openxmlformats.org/officeDocument/2006/relationships/hyperlink" Target="https://www.coe.int/fr/web/un-agenda-2030" TargetMode="External"/><Relationship Id="rId4" Type="http://schemas.openxmlformats.org/officeDocument/2006/relationships/hyperlink" Target="http://www.community-democracies.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tier\ND%20Office%20Echo\DE-WDB7MSWY\F_CM-Template-2024%202762-4584-6537%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F_CM-Template-2024 2762-4584-6537 v.1.dotx</Template>
  <TotalTime>22</TotalTime>
  <Pages>8</Pages>
  <Words>4939</Words>
  <Characters>27166</Characters>
  <Application>Microsoft Office Word</Application>
  <DocSecurity>0</DocSecurity>
  <Lines>226</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32041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BOUTIER Emma</dc:creator>
  <cp:lastModifiedBy>HATTERSLEY Christine</cp:lastModifiedBy>
  <cp:revision>30</cp:revision>
  <cp:lastPrinted>2016-03-16T18:37:00Z</cp:lastPrinted>
  <dcterms:created xsi:type="dcterms:W3CDTF">2024-04-15T09:43:00Z</dcterms:created>
  <dcterms:modified xsi:type="dcterms:W3CDTF">2024-04-30T08:51:00Z</dcterms:modified>
</cp:coreProperties>
</file>