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3137" w14:textId="77777777" w:rsidR="004A5AEE" w:rsidRPr="00773CE9" w:rsidRDefault="004A5AEE" w:rsidP="004A5AEE">
      <w:pPr>
        <w:rPr>
          <w:lang w:val="en-GB"/>
        </w:rPr>
      </w:pPr>
    </w:p>
    <w:p w14:paraId="187ED3BD" w14:textId="77777777" w:rsidR="004A5AEE" w:rsidRPr="00773CE9" w:rsidRDefault="004A5AEE" w:rsidP="004A5AEE">
      <w:pPr>
        <w:rPr>
          <w:lang w:val="en-GB"/>
        </w:rPr>
      </w:pPr>
    </w:p>
    <w:p w14:paraId="548DBB72" w14:textId="77777777" w:rsidR="004A5AEE" w:rsidRPr="00773CE9" w:rsidRDefault="004A5AEE" w:rsidP="004A5AEE">
      <w:pPr>
        <w:rPr>
          <w:lang w:val="en-GB"/>
        </w:rPr>
      </w:pPr>
    </w:p>
    <w:p w14:paraId="5C5CF0AF" w14:textId="77777777" w:rsidR="004A5AEE" w:rsidRPr="00773CE9" w:rsidRDefault="004A5AEE" w:rsidP="004A5AEE">
      <w:pPr>
        <w:rPr>
          <w:lang w:val="en-GB"/>
        </w:rPr>
      </w:pPr>
    </w:p>
    <w:p w14:paraId="748A5578" w14:textId="77777777" w:rsidR="004A5AEE" w:rsidRPr="00773CE9" w:rsidRDefault="004A5AEE" w:rsidP="004A5AEE">
      <w:pPr>
        <w:rPr>
          <w:lang w:val="en-GB"/>
        </w:rPr>
      </w:pPr>
    </w:p>
    <w:p w14:paraId="79FDCC02" w14:textId="77777777" w:rsidR="004A5AEE" w:rsidRPr="00773CE9" w:rsidRDefault="004A5AEE" w:rsidP="004A5AEE">
      <w:pPr>
        <w:rPr>
          <w:lang w:val="en-GB"/>
        </w:rPr>
      </w:pPr>
    </w:p>
    <w:p w14:paraId="18886CD4" w14:textId="77777777" w:rsidR="004A5AEE" w:rsidRPr="00773CE9" w:rsidRDefault="004A5AEE" w:rsidP="004A5AEE">
      <w:pPr>
        <w:rPr>
          <w:lang w:val="en-GB"/>
        </w:rPr>
      </w:pPr>
    </w:p>
    <w:p w14:paraId="44C3BD7C" w14:textId="77777777" w:rsidR="004A5AEE" w:rsidRPr="00773CE9" w:rsidRDefault="004A5AEE" w:rsidP="004A5AEE">
      <w:pPr>
        <w:rPr>
          <w:lang w:val="en-GB"/>
        </w:rPr>
      </w:pPr>
    </w:p>
    <w:p w14:paraId="244907EE" w14:textId="77777777" w:rsidR="004A5AEE" w:rsidRPr="00773CE9" w:rsidRDefault="004A5AEE" w:rsidP="004A5AEE">
      <w:pPr>
        <w:rPr>
          <w:lang w:val="en-GB"/>
        </w:rPr>
      </w:pPr>
    </w:p>
    <w:p w14:paraId="20C1ECAF" w14:textId="77777777" w:rsidR="004A5AEE" w:rsidRPr="00773CE9" w:rsidRDefault="004A5AEE" w:rsidP="004A5AEE">
      <w:pPr>
        <w:spacing w:line="276" w:lineRule="auto"/>
        <w:jc w:val="center"/>
        <w:rPr>
          <w:rFonts w:eastAsia="Times New Roman"/>
          <w:b/>
          <w:caps/>
          <w:spacing w:val="10"/>
          <w:kern w:val="28"/>
          <w:sz w:val="52"/>
          <w:szCs w:val="52"/>
          <w:lang w:val="en-GB" w:eastAsia="en-GB"/>
        </w:rPr>
      </w:pPr>
      <w:r w:rsidRPr="00773CE9">
        <w:rPr>
          <w:rFonts w:eastAsia="Times New Roman"/>
          <w:b/>
          <w:caps/>
          <w:spacing w:val="10"/>
          <w:kern w:val="28"/>
          <w:sz w:val="52"/>
          <w:szCs w:val="52"/>
          <w:lang w:val="en-GB" w:eastAsia="en-GB"/>
        </w:rPr>
        <w:t>CommISsIoner for human rIghts</w:t>
      </w:r>
      <w:r w:rsidRPr="00773CE9">
        <w:rPr>
          <w:rFonts w:eastAsia="Times New Roman"/>
          <w:b/>
          <w:caps/>
          <w:spacing w:val="10"/>
          <w:kern w:val="28"/>
          <w:sz w:val="52"/>
          <w:szCs w:val="52"/>
          <w:lang w:val="en-GB" w:eastAsia="en-GB"/>
        </w:rPr>
        <w:br/>
        <w:t>OF THE councIl of europe</w:t>
      </w:r>
    </w:p>
    <w:p w14:paraId="4AA1CA65" w14:textId="77777777" w:rsidR="004A5AEE" w:rsidRPr="00773CE9" w:rsidRDefault="004A5AEE" w:rsidP="004A5AEE">
      <w:pPr>
        <w:spacing w:line="276" w:lineRule="auto"/>
        <w:jc w:val="center"/>
        <w:rPr>
          <w:rFonts w:eastAsia="Times New Roman"/>
          <w:b/>
          <w:caps/>
          <w:spacing w:val="10"/>
          <w:kern w:val="28"/>
          <w:sz w:val="52"/>
          <w:szCs w:val="52"/>
          <w:lang w:val="en-GB" w:eastAsia="en-GB"/>
        </w:rPr>
      </w:pPr>
    </w:p>
    <w:p w14:paraId="3BDE4FD8" w14:textId="77777777" w:rsidR="004A5AEE" w:rsidRPr="00773CE9" w:rsidRDefault="004A5AEE" w:rsidP="004A5AEE">
      <w:pPr>
        <w:jc w:val="center"/>
        <w:rPr>
          <w:rFonts w:eastAsia="Times New Roman" w:cstheme="minorHAnsi"/>
          <w:caps/>
          <w:spacing w:val="10"/>
          <w:kern w:val="28"/>
          <w:sz w:val="40"/>
          <w:szCs w:val="40"/>
          <w:lang w:val="en-GB" w:eastAsia="en-GB"/>
        </w:rPr>
      </w:pPr>
      <w:r w:rsidRPr="00773CE9">
        <w:rPr>
          <w:rFonts w:eastAsia="Times New Roman" w:cstheme="minorHAnsi"/>
          <w:caps/>
          <w:spacing w:val="10"/>
          <w:kern w:val="28"/>
          <w:sz w:val="40"/>
          <w:szCs w:val="40"/>
          <w:lang w:val="en-GB" w:eastAsia="en-GB"/>
        </w:rPr>
        <w:t>Dunja MijatovIć</w:t>
      </w:r>
    </w:p>
    <w:p w14:paraId="5AA9F26D" w14:textId="77777777" w:rsidR="004A5AEE" w:rsidRPr="00773CE9" w:rsidRDefault="004A5AEE" w:rsidP="004A5AEE">
      <w:pPr>
        <w:spacing w:line="276" w:lineRule="auto"/>
        <w:jc w:val="center"/>
        <w:rPr>
          <w:rFonts w:eastAsia="Times New Roman"/>
          <w:b/>
          <w:caps/>
          <w:spacing w:val="10"/>
          <w:kern w:val="28"/>
          <w:sz w:val="52"/>
          <w:szCs w:val="52"/>
          <w:lang w:val="en-GB" w:eastAsia="en-GB"/>
        </w:rPr>
      </w:pPr>
    </w:p>
    <w:p w14:paraId="44C61B16" w14:textId="77777777" w:rsidR="004A5AEE" w:rsidRDefault="004A5AEE" w:rsidP="004A5AEE">
      <w:pPr>
        <w:spacing w:after="200" w:line="276" w:lineRule="auto"/>
        <w:jc w:val="center"/>
        <w:rPr>
          <w:rFonts w:eastAsia="Times New Roman" w:cstheme="minorHAnsi"/>
          <w:b/>
          <w:caps/>
          <w:color w:val="4F81BD" w:themeColor="accent1"/>
          <w:spacing w:val="10"/>
          <w:kern w:val="28"/>
          <w:sz w:val="40"/>
          <w:szCs w:val="52"/>
          <w:lang w:val="en-GB" w:eastAsia="en-GB"/>
        </w:rPr>
      </w:pPr>
      <w:r w:rsidRPr="00773CE9">
        <w:rPr>
          <w:rFonts w:eastAsia="Times New Roman" w:cstheme="minorHAnsi"/>
          <w:b/>
          <w:caps/>
          <w:color w:val="4F81BD" w:themeColor="accent1"/>
          <w:spacing w:val="10"/>
          <w:kern w:val="28"/>
          <w:sz w:val="40"/>
          <w:szCs w:val="52"/>
          <w:lang w:val="en-GB" w:eastAsia="en-GB"/>
        </w:rPr>
        <w:t>REPORT Following hER visit to GERMANY</w:t>
      </w:r>
      <w:r w:rsidRPr="00773CE9">
        <w:rPr>
          <w:rFonts w:eastAsia="Times New Roman" w:cstheme="minorHAnsi"/>
          <w:b/>
          <w:caps/>
          <w:color w:val="4F81BD" w:themeColor="accent1"/>
          <w:spacing w:val="10"/>
          <w:kern w:val="28"/>
          <w:sz w:val="40"/>
          <w:szCs w:val="52"/>
          <w:lang w:val="en-GB" w:eastAsia="en-GB"/>
        </w:rPr>
        <w:br/>
        <w:t>From 27 NOVEMBER to 1 DECEMBER 2023</w:t>
      </w:r>
    </w:p>
    <w:p w14:paraId="7F09EC83" w14:textId="77777777" w:rsidR="005C47AE" w:rsidRPr="00643875" w:rsidRDefault="00B82AF0" w:rsidP="004A5AEE">
      <w:pPr>
        <w:spacing w:after="200" w:line="276" w:lineRule="auto"/>
        <w:jc w:val="left"/>
        <w:rPr>
          <w:rFonts w:ascii="Arial" w:eastAsia="DengXian" w:hAnsi="Arial" w:cs="Arial"/>
          <w:b/>
          <w:color w:val="000000"/>
          <w:sz w:val="16"/>
          <w:szCs w:val="14"/>
          <w:lang w:val="en-GB" w:eastAsia="zh-CN"/>
        </w:rPr>
      </w:pPr>
      <w:r w:rsidRPr="00643875">
        <w:rPr>
          <w:rFonts w:ascii="Arial" w:eastAsia="DengXian" w:hAnsi="Arial" w:cs="Arial"/>
          <w:b/>
          <w:color w:val="000000"/>
          <w:sz w:val="16"/>
          <w:szCs w:val="14"/>
          <w:lang w:val="en-GB" w:eastAsia="zh-CN"/>
        </w:rPr>
        <w:br w:type="page"/>
      </w:r>
    </w:p>
    <w:sdt>
      <w:sdtPr>
        <w:rPr>
          <w:rFonts w:ascii="Arial" w:eastAsiaTheme="minorHAnsi" w:hAnsi="Arial" w:cs="Arial"/>
          <w:b w:val="0"/>
          <w:bCs w:val="0"/>
          <w:caps w:val="0"/>
          <w:color w:val="auto"/>
          <w:spacing w:val="0"/>
          <w:sz w:val="16"/>
          <w:szCs w:val="16"/>
          <w:lang w:val="fr-FR" w:eastAsia="fr-FR" w:bidi="ar-SA"/>
        </w:rPr>
        <w:id w:val="-1128778401"/>
        <w:docPartObj>
          <w:docPartGallery w:val="Table of Contents"/>
          <w:docPartUnique/>
        </w:docPartObj>
      </w:sdtPr>
      <w:sdtEndPr>
        <w:rPr>
          <w:rFonts w:asciiTheme="minorHAnsi" w:hAnsiTheme="minorHAnsi" w:cstheme="minorHAnsi"/>
          <w:sz w:val="22"/>
          <w:szCs w:val="22"/>
          <w:lang w:val="en-GB"/>
        </w:rPr>
      </w:sdtEndPr>
      <w:sdtContent>
        <w:p w14:paraId="3AC34F68" w14:textId="77777777" w:rsidR="00B82AF0" w:rsidRPr="00D40AF5" w:rsidRDefault="00596709" w:rsidP="00D40AF5">
          <w:pPr>
            <w:pStyle w:val="TOCHeading"/>
          </w:pPr>
          <w:r w:rsidRPr="00D40AF5">
            <w:t>Table of Content</w:t>
          </w:r>
        </w:p>
        <w:p w14:paraId="71CA1F52" w14:textId="77777777" w:rsidR="005F6C0A" w:rsidRDefault="00B82AF0">
          <w:pPr>
            <w:pStyle w:val="TOC1"/>
            <w:rPr>
              <w:rFonts w:eastAsiaTheme="minorEastAsia" w:cstheme="minorBidi"/>
              <w:b w:val="0"/>
              <w:caps w:val="0"/>
              <w:noProof/>
              <w:color w:val="auto"/>
              <w:kern w:val="2"/>
              <w:szCs w:val="22"/>
              <w:lang w:val="fr-FR" w:eastAsia="fr-FR"/>
              <w14:ligatures w14:val="standardContextual"/>
            </w:rPr>
          </w:pPr>
          <w:r w:rsidRPr="00D40AF5">
            <w:rPr>
              <w:rFonts w:cstheme="minorHAnsi"/>
              <w:color w:val="0070C0"/>
              <w:szCs w:val="22"/>
            </w:rPr>
            <w:fldChar w:fldCharType="begin"/>
          </w:r>
          <w:r w:rsidRPr="00D40AF5">
            <w:rPr>
              <w:rFonts w:cstheme="minorHAnsi"/>
              <w:szCs w:val="22"/>
            </w:rPr>
            <w:instrText xml:space="preserve"> TOC \o "1-3" \h \z \u </w:instrText>
          </w:r>
          <w:r w:rsidRPr="00D40AF5">
            <w:rPr>
              <w:rFonts w:cstheme="minorHAnsi"/>
              <w:color w:val="0070C0"/>
              <w:szCs w:val="22"/>
            </w:rPr>
            <w:fldChar w:fldCharType="separate"/>
          </w:r>
          <w:hyperlink w:anchor="_Toc159582660" w:history="1">
            <w:r w:rsidR="005F6C0A" w:rsidRPr="000764F9">
              <w:rPr>
                <w:rStyle w:val="Hyperlink"/>
                <w:noProof/>
              </w:rPr>
              <w:t>Summary</w:t>
            </w:r>
            <w:r w:rsidR="005F6C0A">
              <w:rPr>
                <w:noProof/>
                <w:webHidden/>
              </w:rPr>
              <w:tab/>
            </w:r>
            <w:r w:rsidR="005F6C0A">
              <w:rPr>
                <w:noProof/>
                <w:webHidden/>
              </w:rPr>
              <w:fldChar w:fldCharType="begin"/>
            </w:r>
            <w:r w:rsidR="005F6C0A">
              <w:rPr>
                <w:noProof/>
                <w:webHidden/>
              </w:rPr>
              <w:instrText xml:space="preserve"> PAGEREF _Toc159582660 \h </w:instrText>
            </w:r>
            <w:r w:rsidR="005F6C0A">
              <w:rPr>
                <w:noProof/>
                <w:webHidden/>
              </w:rPr>
            </w:r>
            <w:r w:rsidR="005F6C0A">
              <w:rPr>
                <w:noProof/>
                <w:webHidden/>
              </w:rPr>
              <w:fldChar w:fldCharType="separate"/>
            </w:r>
            <w:r w:rsidR="0076538A">
              <w:rPr>
                <w:noProof/>
                <w:webHidden/>
              </w:rPr>
              <w:t>3</w:t>
            </w:r>
            <w:r w:rsidR="005F6C0A">
              <w:rPr>
                <w:noProof/>
                <w:webHidden/>
              </w:rPr>
              <w:fldChar w:fldCharType="end"/>
            </w:r>
          </w:hyperlink>
        </w:p>
        <w:p w14:paraId="7220851F" w14:textId="77777777" w:rsidR="005F6C0A" w:rsidRDefault="00000000">
          <w:pPr>
            <w:pStyle w:val="TOC1"/>
            <w:rPr>
              <w:rFonts w:eastAsiaTheme="minorEastAsia" w:cstheme="minorBidi"/>
              <w:b w:val="0"/>
              <w:caps w:val="0"/>
              <w:noProof/>
              <w:color w:val="auto"/>
              <w:kern w:val="2"/>
              <w:szCs w:val="22"/>
              <w:lang w:val="fr-FR" w:eastAsia="fr-FR"/>
              <w14:ligatures w14:val="standardContextual"/>
            </w:rPr>
          </w:pPr>
          <w:hyperlink w:anchor="_Toc159582661" w:history="1">
            <w:r w:rsidR="005F6C0A" w:rsidRPr="000764F9">
              <w:rPr>
                <w:rStyle w:val="Hyperlink"/>
                <w:noProof/>
              </w:rPr>
              <w:t>Introduction</w:t>
            </w:r>
            <w:r w:rsidR="005F6C0A">
              <w:rPr>
                <w:noProof/>
                <w:webHidden/>
              </w:rPr>
              <w:tab/>
            </w:r>
            <w:r w:rsidR="005F6C0A">
              <w:rPr>
                <w:noProof/>
                <w:webHidden/>
              </w:rPr>
              <w:fldChar w:fldCharType="begin"/>
            </w:r>
            <w:r w:rsidR="005F6C0A">
              <w:rPr>
                <w:noProof/>
                <w:webHidden/>
              </w:rPr>
              <w:instrText xml:space="preserve"> PAGEREF _Toc159582661 \h </w:instrText>
            </w:r>
            <w:r w:rsidR="005F6C0A">
              <w:rPr>
                <w:noProof/>
                <w:webHidden/>
              </w:rPr>
            </w:r>
            <w:r w:rsidR="005F6C0A">
              <w:rPr>
                <w:noProof/>
                <w:webHidden/>
              </w:rPr>
              <w:fldChar w:fldCharType="separate"/>
            </w:r>
            <w:r w:rsidR="0076538A">
              <w:rPr>
                <w:noProof/>
                <w:webHidden/>
              </w:rPr>
              <w:t>5</w:t>
            </w:r>
            <w:r w:rsidR="005F6C0A">
              <w:rPr>
                <w:noProof/>
                <w:webHidden/>
              </w:rPr>
              <w:fldChar w:fldCharType="end"/>
            </w:r>
          </w:hyperlink>
        </w:p>
        <w:p w14:paraId="649FEBAC" w14:textId="77777777" w:rsidR="005F6C0A" w:rsidRDefault="00000000">
          <w:pPr>
            <w:pStyle w:val="TOC1"/>
            <w:rPr>
              <w:rFonts w:eastAsiaTheme="minorEastAsia" w:cstheme="minorBidi"/>
              <w:b w:val="0"/>
              <w:caps w:val="0"/>
              <w:noProof/>
              <w:color w:val="auto"/>
              <w:kern w:val="2"/>
              <w:szCs w:val="22"/>
              <w:lang w:val="fr-FR" w:eastAsia="fr-FR"/>
              <w14:ligatures w14:val="standardContextual"/>
            </w:rPr>
          </w:pPr>
          <w:hyperlink w:anchor="_Toc159582662" w:history="1">
            <w:r w:rsidR="005F6C0A" w:rsidRPr="000764F9">
              <w:rPr>
                <w:rStyle w:val="Hyperlink"/>
                <w:noProof/>
              </w:rPr>
              <w:t>1</w:t>
            </w:r>
            <w:r w:rsidR="005F6C0A">
              <w:rPr>
                <w:rFonts w:eastAsiaTheme="minorEastAsia" w:cstheme="minorBidi"/>
                <w:b w:val="0"/>
                <w:caps w:val="0"/>
                <w:noProof/>
                <w:color w:val="auto"/>
                <w:kern w:val="2"/>
                <w:szCs w:val="22"/>
                <w:lang w:val="fr-FR" w:eastAsia="fr-FR"/>
                <w14:ligatures w14:val="standardContextual"/>
              </w:rPr>
              <w:tab/>
            </w:r>
            <w:r w:rsidR="005F6C0A" w:rsidRPr="000764F9">
              <w:rPr>
                <w:rStyle w:val="Hyperlink"/>
                <w:noProof/>
              </w:rPr>
              <w:t>STRUCTURES and legal frameworks to protect and promote HUMAN RIGHTS</w:t>
            </w:r>
            <w:r w:rsidR="005F6C0A">
              <w:rPr>
                <w:noProof/>
                <w:webHidden/>
              </w:rPr>
              <w:tab/>
            </w:r>
            <w:r w:rsidR="005F6C0A">
              <w:rPr>
                <w:noProof/>
                <w:webHidden/>
              </w:rPr>
              <w:fldChar w:fldCharType="begin"/>
            </w:r>
            <w:r w:rsidR="005F6C0A">
              <w:rPr>
                <w:noProof/>
                <w:webHidden/>
              </w:rPr>
              <w:instrText xml:space="preserve"> PAGEREF _Toc159582662 \h </w:instrText>
            </w:r>
            <w:r w:rsidR="005F6C0A">
              <w:rPr>
                <w:noProof/>
                <w:webHidden/>
              </w:rPr>
            </w:r>
            <w:r w:rsidR="005F6C0A">
              <w:rPr>
                <w:noProof/>
                <w:webHidden/>
              </w:rPr>
              <w:fldChar w:fldCharType="separate"/>
            </w:r>
            <w:r w:rsidR="0076538A">
              <w:rPr>
                <w:noProof/>
                <w:webHidden/>
              </w:rPr>
              <w:t>5</w:t>
            </w:r>
            <w:r w:rsidR="005F6C0A">
              <w:rPr>
                <w:noProof/>
                <w:webHidden/>
              </w:rPr>
              <w:fldChar w:fldCharType="end"/>
            </w:r>
          </w:hyperlink>
        </w:p>
        <w:p w14:paraId="66211799" w14:textId="77777777" w:rsidR="005F6C0A" w:rsidRDefault="00000000">
          <w:pPr>
            <w:pStyle w:val="TOC2"/>
            <w:rPr>
              <w:rFonts w:eastAsiaTheme="minorEastAsia" w:cstheme="minorBidi"/>
              <w:b w:val="0"/>
              <w:kern w:val="2"/>
              <w:lang w:val="fr-FR" w:eastAsia="fr-FR"/>
              <w14:ligatures w14:val="standardContextual"/>
            </w:rPr>
          </w:pPr>
          <w:hyperlink w:anchor="_Toc159582663" w:history="1">
            <w:r w:rsidR="005F6C0A" w:rsidRPr="000764F9">
              <w:rPr>
                <w:rStyle w:val="Hyperlink"/>
                <w:bCs/>
                <w14:scene3d>
                  <w14:camera w14:prst="orthographicFront"/>
                  <w14:lightRig w14:rig="threePt" w14:dir="t">
                    <w14:rot w14:lat="0" w14:lon="0" w14:rev="0"/>
                  </w14:lightRig>
                </w14:scene3d>
              </w:rPr>
              <w:t>1.1</w:t>
            </w:r>
            <w:r w:rsidR="005F6C0A" w:rsidRPr="000764F9">
              <w:rPr>
                <w:rStyle w:val="Hyperlink"/>
              </w:rPr>
              <w:t xml:space="preserve"> Children’s rights</w:t>
            </w:r>
            <w:r w:rsidR="005F6C0A">
              <w:rPr>
                <w:webHidden/>
              </w:rPr>
              <w:tab/>
            </w:r>
            <w:r w:rsidR="005F6C0A">
              <w:rPr>
                <w:webHidden/>
              </w:rPr>
              <w:fldChar w:fldCharType="begin"/>
            </w:r>
            <w:r w:rsidR="005F6C0A">
              <w:rPr>
                <w:webHidden/>
              </w:rPr>
              <w:instrText xml:space="preserve"> PAGEREF _Toc159582663 \h </w:instrText>
            </w:r>
            <w:r w:rsidR="005F6C0A">
              <w:rPr>
                <w:webHidden/>
              </w:rPr>
            </w:r>
            <w:r w:rsidR="005F6C0A">
              <w:rPr>
                <w:webHidden/>
              </w:rPr>
              <w:fldChar w:fldCharType="separate"/>
            </w:r>
            <w:r w:rsidR="0076538A">
              <w:rPr>
                <w:webHidden/>
              </w:rPr>
              <w:t>7</w:t>
            </w:r>
            <w:r w:rsidR="005F6C0A">
              <w:rPr>
                <w:webHidden/>
              </w:rPr>
              <w:fldChar w:fldCharType="end"/>
            </w:r>
          </w:hyperlink>
        </w:p>
        <w:p w14:paraId="1E933AED" w14:textId="77777777" w:rsidR="005F6C0A" w:rsidRDefault="00000000">
          <w:pPr>
            <w:pStyle w:val="TOC3"/>
            <w:rPr>
              <w:rFonts w:eastAsiaTheme="minorEastAsia" w:cstheme="minorBidi"/>
              <w:noProof/>
              <w:kern w:val="2"/>
              <w:szCs w:val="22"/>
              <w:lang w:val="fr-FR" w:eastAsia="fr-FR"/>
              <w14:ligatures w14:val="standardContextual"/>
            </w:rPr>
          </w:pPr>
          <w:hyperlink w:anchor="_Toc159582664" w:history="1">
            <w:r w:rsidR="005F6C0A" w:rsidRPr="000764F9">
              <w:rPr>
                <w:rStyle w:val="Hyperlink"/>
                <w:noProof/>
                <w14:scene3d>
                  <w14:camera w14:prst="orthographicFront"/>
                  <w14:lightRig w14:rig="threePt" w14:dir="t">
                    <w14:rot w14:lat="0" w14:lon="0" w14:rev="0"/>
                  </w14:lightRig>
                </w14:scene3d>
              </w:rPr>
              <w:t>1.1.1</w:t>
            </w:r>
            <w:r w:rsidR="005F6C0A" w:rsidRPr="000764F9">
              <w:rPr>
                <w:rStyle w:val="Hyperlink"/>
                <w:noProof/>
              </w:rPr>
              <w:t xml:space="preserve"> Children’s rights in the German legal order</w:t>
            </w:r>
            <w:r w:rsidR="005F6C0A">
              <w:rPr>
                <w:noProof/>
                <w:webHidden/>
              </w:rPr>
              <w:tab/>
            </w:r>
            <w:r w:rsidR="005F6C0A">
              <w:rPr>
                <w:noProof/>
                <w:webHidden/>
              </w:rPr>
              <w:fldChar w:fldCharType="begin"/>
            </w:r>
            <w:r w:rsidR="005F6C0A">
              <w:rPr>
                <w:noProof/>
                <w:webHidden/>
              </w:rPr>
              <w:instrText xml:space="preserve"> PAGEREF _Toc159582664 \h </w:instrText>
            </w:r>
            <w:r w:rsidR="005F6C0A">
              <w:rPr>
                <w:noProof/>
                <w:webHidden/>
              </w:rPr>
            </w:r>
            <w:r w:rsidR="005F6C0A">
              <w:rPr>
                <w:noProof/>
                <w:webHidden/>
              </w:rPr>
              <w:fldChar w:fldCharType="separate"/>
            </w:r>
            <w:r w:rsidR="0076538A">
              <w:rPr>
                <w:noProof/>
                <w:webHidden/>
              </w:rPr>
              <w:t>7</w:t>
            </w:r>
            <w:r w:rsidR="005F6C0A">
              <w:rPr>
                <w:noProof/>
                <w:webHidden/>
              </w:rPr>
              <w:fldChar w:fldCharType="end"/>
            </w:r>
          </w:hyperlink>
        </w:p>
        <w:p w14:paraId="1148509F" w14:textId="77777777" w:rsidR="005F6C0A" w:rsidRDefault="00000000">
          <w:pPr>
            <w:pStyle w:val="TOC3"/>
            <w:rPr>
              <w:rFonts w:eastAsiaTheme="minorEastAsia" w:cstheme="minorBidi"/>
              <w:noProof/>
              <w:kern w:val="2"/>
              <w:szCs w:val="22"/>
              <w:lang w:val="fr-FR" w:eastAsia="fr-FR"/>
              <w14:ligatures w14:val="standardContextual"/>
            </w:rPr>
          </w:pPr>
          <w:hyperlink w:anchor="_Toc159582665" w:history="1">
            <w:r w:rsidR="005F6C0A" w:rsidRPr="000764F9">
              <w:rPr>
                <w:rStyle w:val="Hyperlink"/>
                <w:noProof/>
                <w14:scene3d>
                  <w14:camera w14:prst="orthographicFront"/>
                  <w14:lightRig w14:rig="threePt" w14:dir="t">
                    <w14:rot w14:lat="0" w14:lon="0" w14:rev="0"/>
                  </w14:lightRig>
                </w14:scene3d>
              </w:rPr>
              <w:t>1.1.2</w:t>
            </w:r>
            <w:r w:rsidR="005F6C0A" w:rsidRPr="000764F9">
              <w:rPr>
                <w:rStyle w:val="Hyperlink"/>
                <w:noProof/>
              </w:rPr>
              <w:t xml:space="preserve"> Child participation</w:t>
            </w:r>
            <w:r w:rsidR="005F6C0A">
              <w:rPr>
                <w:noProof/>
                <w:webHidden/>
              </w:rPr>
              <w:tab/>
            </w:r>
            <w:r w:rsidR="005F6C0A">
              <w:rPr>
                <w:noProof/>
                <w:webHidden/>
              </w:rPr>
              <w:fldChar w:fldCharType="begin"/>
            </w:r>
            <w:r w:rsidR="005F6C0A">
              <w:rPr>
                <w:noProof/>
                <w:webHidden/>
              </w:rPr>
              <w:instrText xml:space="preserve"> PAGEREF _Toc159582665 \h </w:instrText>
            </w:r>
            <w:r w:rsidR="005F6C0A">
              <w:rPr>
                <w:noProof/>
                <w:webHidden/>
              </w:rPr>
            </w:r>
            <w:r w:rsidR="005F6C0A">
              <w:rPr>
                <w:noProof/>
                <w:webHidden/>
              </w:rPr>
              <w:fldChar w:fldCharType="separate"/>
            </w:r>
            <w:r w:rsidR="0076538A">
              <w:rPr>
                <w:noProof/>
                <w:webHidden/>
              </w:rPr>
              <w:t>8</w:t>
            </w:r>
            <w:r w:rsidR="005F6C0A">
              <w:rPr>
                <w:noProof/>
                <w:webHidden/>
              </w:rPr>
              <w:fldChar w:fldCharType="end"/>
            </w:r>
          </w:hyperlink>
        </w:p>
        <w:p w14:paraId="1E4991EC" w14:textId="77777777" w:rsidR="005F6C0A" w:rsidRDefault="00000000">
          <w:pPr>
            <w:pStyle w:val="TOC2"/>
            <w:rPr>
              <w:rFonts w:eastAsiaTheme="minorEastAsia" w:cstheme="minorBidi"/>
              <w:b w:val="0"/>
              <w:kern w:val="2"/>
              <w:lang w:val="fr-FR" w:eastAsia="fr-FR"/>
              <w14:ligatures w14:val="standardContextual"/>
            </w:rPr>
          </w:pPr>
          <w:hyperlink w:anchor="_Toc159582666" w:history="1">
            <w:r w:rsidR="005F6C0A" w:rsidRPr="000764F9">
              <w:rPr>
                <w:rStyle w:val="Hyperlink"/>
                <w:bCs/>
                <w14:scene3d>
                  <w14:camera w14:prst="orthographicFront"/>
                  <w14:lightRig w14:rig="threePt" w14:dir="t">
                    <w14:rot w14:lat="0" w14:lon="0" w14:rev="0"/>
                  </w14:lightRig>
                </w14:scene3d>
              </w:rPr>
              <w:t>1.2</w:t>
            </w:r>
            <w:r w:rsidR="005F6C0A" w:rsidRPr="000764F9">
              <w:rPr>
                <w:rStyle w:val="Hyperlink"/>
              </w:rPr>
              <w:t xml:space="preserve"> The rights of persons with disabilities</w:t>
            </w:r>
            <w:r w:rsidR="005F6C0A">
              <w:rPr>
                <w:webHidden/>
              </w:rPr>
              <w:tab/>
            </w:r>
            <w:r w:rsidR="005F6C0A">
              <w:rPr>
                <w:webHidden/>
              </w:rPr>
              <w:fldChar w:fldCharType="begin"/>
            </w:r>
            <w:r w:rsidR="005F6C0A">
              <w:rPr>
                <w:webHidden/>
              </w:rPr>
              <w:instrText xml:space="preserve"> PAGEREF _Toc159582666 \h </w:instrText>
            </w:r>
            <w:r w:rsidR="005F6C0A">
              <w:rPr>
                <w:webHidden/>
              </w:rPr>
            </w:r>
            <w:r w:rsidR="005F6C0A">
              <w:rPr>
                <w:webHidden/>
              </w:rPr>
              <w:fldChar w:fldCharType="separate"/>
            </w:r>
            <w:r w:rsidR="0076538A">
              <w:rPr>
                <w:webHidden/>
              </w:rPr>
              <w:t>9</w:t>
            </w:r>
            <w:r w:rsidR="005F6C0A">
              <w:rPr>
                <w:webHidden/>
              </w:rPr>
              <w:fldChar w:fldCharType="end"/>
            </w:r>
          </w:hyperlink>
        </w:p>
        <w:p w14:paraId="076FBA05" w14:textId="77777777" w:rsidR="005F6C0A" w:rsidRDefault="00000000">
          <w:pPr>
            <w:pStyle w:val="TOC3"/>
            <w:rPr>
              <w:rFonts w:eastAsiaTheme="minorEastAsia" w:cstheme="minorBidi"/>
              <w:noProof/>
              <w:kern w:val="2"/>
              <w:szCs w:val="22"/>
              <w:lang w:val="fr-FR" w:eastAsia="fr-FR"/>
              <w14:ligatures w14:val="standardContextual"/>
            </w:rPr>
          </w:pPr>
          <w:hyperlink w:anchor="_Toc159582667" w:history="1">
            <w:r w:rsidR="005F6C0A" w:rsidRPr="000764F9">
              <w:rPr>
                <w:rStyle w:val="Hyperlink"/>
                <w:noProof/>
                <w14:scene3d>
                  <w14:camera w14:prst="orthographicFront"/>
                  <w14:lightRig w14:rig="threePt" w14:dir="t">
                    <w14:rot w14:lat="0" w14:lon="0" w14:rev="0"/>
                  </w14:lightRig>
                </w14:scene3d>
              </w:rPr>
              <w:t>1.2.1</w:t>
            </w:r>
            <w:r w:rsidR="005F6C0A" w:rsidRPr="000764F9">
              <w:rPr>
                <w:rStyle w:val="Hyperlink"/>
                <w:noProof/>
              </w:rPr>
              <w:t xml:space="preserve"> Segregated stuctures</w:t>
            </w:r>
            <w:r w:rsidR="005F6C0A">
              <w:rPr>
                <w:noProof/>
                <w:webHidden/>
              </w:rPr>
              <w:tab/>
            </w:r>
            <w:r w:rsidR="005F6C0A">
              <w:rPr>
                <w:noProof/>
                <w:webHidden/>
              </w:rPr>
              <w:fldChar w:fldCharType="begin"/>
            </w:r>
            <w:r w:rsidR="005F6C0A">
              <w:rPr>
                <w:noProof/>
                <w:webHidden/>
              </w:rPr>
              <w:instrText xml:space="preserve"> PAGEREF _Toc159582667 \h </w:instrText>
            </w:r>
            <w:r w:rsidR="005F6C0A">
              <w:rPr>
                <w:noProof/>
                <w:webHidden/>
              </w:rPr>
            </w:r>
            <w:r w:rsidR="005F6C0A">
              <w:rPr>
                <w:noProof/>
                <w:webHidden/>
              </w:rPr>
              <w:fldChar w:fldCharType="separate"/>
            </w:r>
            <w:r w:rsidR="0076538A">
              <w:rPr>
                <w:noProof/>
                <w:webHidden/>
              </w:rPr>
              <w:t>10</w:t>
            </w:r>
            <w:r w:rsidR="005F6C0A">
              <w:rPr>
                <w:noProof/>
                <w:webHidden/>
              </w:rPr>
              <w:fldChar w:fldCharType="end"/>
            </w:r>
          </w:hyperlink>
        </w:p>
        <w:p w14:paraId="643FF688" w14:textId="77777777" w:rsidR="005F6C0A" w:rsidRDefault="00000000">
          <w:pPr>
            <w:pStyle w:val="TOC3"/>
            <w:rPr>
              <w:rFonts w:eastAsiaTheme="minorEastAsia" w:cstheme="minorBidi"/>
              <w:noProof/>
              <w:kern w:val="2"/>
              <w:szCs w:val="22"/>
              <w:lang w:val="fr-FR" w:eastAsia="fr-FR"/>
              <w14:ligatures w14:val="standardContextual"/>
            </w:rPr>
          </w:pPr>
          <w:hyperlink w:anchor="_Toc159582668" w:history="1">
            <w:r w:rsidR="005F6C0A" w:rsidRPr="000764F9">
              <w:rPr>
                <w:rStyle w:val="Hyperlink"/>
                <w:noProof/>
                <w14:scene3d>
                  <w14:camera w14:prst="orthographicFront"/>
                  <w14:lightRig w14:rig="threePt" w14:dir="t">
                    <w14:rot w14:lat="0" w14:lon="0" w14:rev="0"/>
                  </w14:lightRig>
                </w14:scene3d>
              </w:rPr>
              <w:t>1.2.2</w:t>
            </w:r>
            <w:r w:rsidR="005F6C0A" w:rsidRPr="000764F9">
              <w:rPr>
                <w:rStyle w:val="Hyperlink"/>
                <w:noProof/>
              </w:rPr>
              <w:t xml:space="preserve"> Accessibility and effective participation</w:t>
            </w:r>
            <w:r w:rsidR="005F6C0A">
              <w:rPr>
                <w:noProof/>
                <w:webHidden/>
              </w:rPr>
              <w:tab/>
            </w:r>
            <w:r w:rsidR="005F6C0A">
              <w:rPr>
                <w:noProof/>
                <w:webHidden/>
              </w:rPr>
              <w:fldChar w:fldCharType="begin"/>
            </w:r>
            <w:r w:rsidR="005F6C0A">
              <w:rPr>
                <w:noProof/>
                <w:webHidden/>
              </w:rPr>
              <w:instrText xml:space="preserve"> PAGEREF _Toc159582668 \h </w:instrText>
            </w:r>
            <w:r w:rsidR="005F6C0A">
              <w:rPr>
                <w:noProof/>
                <w:webHidden/>
              </w:rPr>
            </w:r>
            <w:r w:rsidR="005F6C0A">
              <w:rPr>
                <w:noProof/>
                <w:webHidden/>
              </w:rPr>
              <w:fldChar w:fldCharType="separate"/>
            </w:r>
            <w:r w:rsidR="0076538A">
              <w:rPr>
                <w:noProof/>
                <w:webHidden/>
              </w:rPr>
              <w:t>12</w:t>
            </w:r>
            <w:r w:rsidR="005F6C0A">
              <w:rPr>
                <w:noProof/>
                <w:webHidden/>
              </w:rPr>
              <w:fldChar w:fldCharType="end"/>
            </w:r>
          </w:hyperlink>
        </w:p>
        <w:p w14:paraId="04E19966" w14:textId="77777777" w:rsidR="005F6C0A" w:rsidRDefault="00000000">
          <w:pPr>
            <w:pStyle w:val="TOC2"/>
            <w:rPr>
              <w:rFonts w:eastAsiaTheme="minorEastAsia" w:cstheme="minorBidi"/>
              <w:b w:val="0"/>
              <w:kern w:val="2"/>
              <w:lang w:val="fr-FR" w:eastAsia="fr-FR"/>
              <w14:ligatures w14:val="standardContextual"/>
            </w:rPr>
          </w:pPr>
          <w:hyperlink w:anchor="_Toc159582669" w:history="1">
            <w:r w:rsidR="005F6C0A" w:rsidRPr="000764F9">
              <w:rPr>
                <w:rStyle w:val="Hyperlink"/>
                <w:bCs/>
                <w14:scene3d>
                  <w14:camera w14:prst="orthographicFront"/>
                  <w14:lightRig w14:rig="threePt" w14:dir="t">
                    <w14:rot w14:lat="0" w14:lon="0" w14:rev="0"/>
                  </w14:lightRig>
                </w14:scene3d>
              </w:rPr>
              <w:t>1.3</w:t>
            </w:r>
            <w:r w:rsidR="005F6C0A" w:rsidRPr="000764F9">
              <w:rPr>
                <w:rStyle w:val="Hyperlink"/>
              </w:rPr>
              <w:t xml:space="preserve"> Protection from discrimination</w:t>
            </w:r>
            <w:r w:rsidR="005F6C0A">
              <w:rPr>
                <w:webHidden/>
              </w:rPr>
              <w:tab/>
            </w:r>
            <w:r w:rsidR="005F6C0A">
              <w:rPr>
                <w:webHidden/>
              </w:rPr>
              <w:fldChar w:fldCharType="begin"/>
            </w:r>
            <w:r w:rsidR="005F6C0A">
              <w:rPr>
                <w:webHidden/>
              </w:rPr>
              <w:instrText xml:space="preserve"> PAGEREF _Toc159582669 \h </w:instrText>
            </w:r>
            <w:r w:rsidR="005F6C0A">
              <w:rPr>
                <w:webHidden/>
              </w:rPr>
            </w:r>
            <w:r w:rsidR="005F6C0A">
              <w:rPr>
                <w:webHidden/>
              </w:rPr>
              <w:fldChar w:fldCharType="separate"/>
            </w:r>
            <w:r w:rsidR="0076538A">
              <w:rPr>
                <w:webHidden/>
              </w:rPr>
              <w:t>13</w:t>
            </w:r>
            <w:r w:rsidR="005F6C0A">
              <w:rPr>
                <w:webHidden/>
              </w:rPr>
              <w:fldChar w:fldCharType="end"/>
            </w:r>
          </w:hyperlink>
        </w:p>
        <w:p w14:paraId="5DC6974C" w14:textId="77777777" w:rsidR="005F6C0A" w:rsidRDefault="00000000">
          <w:pPr>
            <w:pStyle w:val="TOC3"/>
            <w:rPr>
              <w:rFonts w:eastAsiaTheme="minorEastAsia" w:cstheme="minorBidi"/>
              <w:noProof/>
              <w:kern w:val="2"/>
              <w:szCs w:val="22"/>
              <w:lang w:val="fr-FR" w:eastAsia="fr-FR"/>
              <w14:ligatures w14:val="standardContextual"/>
            </w:rPr>
          </w:pPr>
          <w:hyperlink w:anchor="_Toc159582670" w:history="1">
            <w:r w:rsidR="005F6C0A" w:rsidRPr="000764F9">
              <w:rPr>
                <w:rStyle w:val="Hyperlink"/>
                <w:noProof/>
                <w14:scene3d>
                  <w14:camera w14:prst="orthographicFront"/>
                  <w14:lightRig w14:rig="threePt" w14:dir="t">
                    <w14:rot w14:lat="0" w14:lon="0" w14:rev="0"/>
                  </w14:lightRig>
                </w14:scene3d>
              </w:rPr>
              <w:t>1.3.1</w:t>
            </w:r>
            <w:r w:rsidR="005F6C0A" w:rsidRPr="000764F9">
              <w:rPr>
                <w:rStyle w:val="Hyperlink"/>
                <w:noProof/>
              </w:rPr>
              <w:t xml:space="preserve"> The legal framework for the protection against discrimination</w:t>
            </w:r>
            <w:r w:rsidR="005F6C0A">
              <w:rPr>
                <w:noProof/>
                <w:webHidden/>
              </w:rPr>
              <w:tab/>
            </w:r>
            <w:r w:rsidR="005F6C0A">
              <w:rPr>
                <w:noProof/>
                <w:webHidden/>
              </w:rPr>
              <w:fldChar w:fldCharType="begin"/>
            </w:r>
            <w:r w:rsidR="005F6C0A">
              <w:rPr>
                <w:noProof/>
                <w:webHidden/>
              </w:rPr>
              <w:instrText xml:space="preserve"> PAGEREF _Toc159582670 \h </w:instrText>
            </w:r>
            <w:r w:rsidR="005F6C0A">
              <w:rPr>
                <w:noProof/>
                <w:webHidden/>
              </w:rPr>
            </w:r>
            <w:r w:rsidR="005F6C0A">
              <w:rPr>
                <w:noProof/>
                <w:webHidden/>
              </w:rPr>
              <w:fldChar w:fldCharType="separate"/>
            </w:r>
            <w:r w:rsidR="0076538A">
              <w:rPr>
                <w:noProof/>
                <w:webHidden/>
              </w:rPr>
              <w:t>13</w:t>
            </w:r>
            <w:r w:rsidR="005F6C0A">
              <w:rPr>
                <w:noProof/>
                <w:webHidden/>
              </w:rPr>
              <w:fldChar w:fldCharType="end"/>
            </w:r>
          </w:hyperlink>
        </w:p>
        <w:p w14:paraId="26A7361F" w14:textId="77777777" w:rsidR="005F6C0A" w:rsidRDefault="00000000">
          <w:pPr>
            <w:pStyle w:val="TOC3"/>
            <w:rPr>
              <w:rFonts w:eastAsiaTheme="minorEastAsia" w:cstheme="minorBidi"/>
              <w:noProof/>
              <w:kern w:val="2"/>
              <w:szCs w:val="22"/>
              <w:lang w:val="fr-FR" w:eastAsia="fr-FR"/>
              <w14:ligatures w14:val="standardContextual"/>
            </w:rPr>
          </w:pPr>
          <w:hyperlink w:anchor="_Toc159582671" w:history="1">
            <w:r w:rsidR="005F6C0A" w:rsidRPr="000764F9">
              <w:rPr>
                <w:rStyle w:val="Hyperlink"/>
                <w:noProof/>
                <w14:scene3d>
                  <w14:camera w14:prst="orthographicFront"/>
                  <w14:lightRig w14:rig="threePt" w14:dir="t">
                    <w14:rot w14:lat="0" w14:lon="0" w14:rev="0"/>
                  </w14:lightRig>
                </w14:scene3d>
              </w:rPr>
              <w:t>1.3.2</w:t>
            </w:r>
            <w:r w:rsidR="005F6C0A" w:rsidRPr="000764F9">
              <w:rPr>
                <w:rStyle w:val="Hyperlink"/>
                <w:noProof/>
              </w:rPr>
              <w:t xml:space="preserve"> The institutional framework for the protection against discrimination</w:t>
            </w:r>
            <w:r w:rsidR="005F6C0A">
              <w:rPr>
                <w:noProof/>
                <w:webHidden/>
              </w:rPr>
              <w:tab/>
            </w:r>
            <w:r w:rsidR="005F6C0A">
              <w:rPr>
                <w:noProof/>
                <w:webHidden/>
              </w:rPr>
              <w:fldChar w:fldCharType="begin"/>
            </w:r>
            <w:r w:rsidR="005F6C0A">
              <w:rPr>
                <w:noProof/>
                <w:webHidden/>
              </w:rPr>
              <w:instrText xml:space="preserve"> PAGEREF _Toc159582671 \h </w:instrText>
            </w:r>
            <w:r w:rsidR="005F6C0A">
              <w:rPr>
                <w:noProof/>
                <w:webHidden/>
              </w:rPr>
            </w:r>
            <w:r w:rsidR="005F6C0A">
              <w:rPr>
                <w:noProof/>
                <w:webHidden/>
              </w:rPr>
              <w:fldChar w:fldCharType="separate"/>
            </w:r>
            <w:r w:rsidR="0076538A">
              <w:rPr>
                <w:noProof/>
                <w:webHidden/>
              </w:rPr>
              <w:t>15</w:t>
            </w:r>
            <w:r w:rsidR="005F6C0A">
              <w:rPr>
                <w:noProof/>
                <w:webHidden/>
              </w:rPr>
              <w:fldChar w:fldCharType="end"/>
            </w:r>
          </w:hyperlink>
        </w:p>
        <w:p w14:paraId="77D4123C" w14:textId="77777777" w:rsidR="005F6C0A" w:rsidRDefault="00000000">
          <w:pPr>
            <w:pStyle w:val="TOC2"/>
            <w:rPr>
              <w:rFonts w:eastAsiaTheme="minorEastAsia" w:cstheme="minorBidi"/>
              <w:b w:val="0"/>
              <w:kern w:val="2"/>
              <w:lang w:val="fr-FR" w:eastAsia="fr-FR"/>
              <w14:ligatures w14:val="standardContextual"/>
            </w:rPr>
          </w:pPr>
          <w:hyperlink w:anchor="_Toc159582672" w:history="1">
            <w:r w:rsidR="005F6C0A" w:rsidRPr="000764F9">
              <w:rPr>
                <w:rStyle w:val="Hyperlink"/>
                <w:bCs/>
                <w14:scene3d>
                  <w14:camera w14:prst="orthographicFront"/>
                  <w14:lightRig w14:rig="threePt" w14:dir="t">
                    <w14:rot w14:lat="0" w14:lon="0" w14:rev="0"/>
                  </w14:lightRig>
                </w14:scene3d>
              </w:rPr>
              <w:t>1.4</w:t>
            </w:r>
            <w:r w:rsidR="005F6C0A" w:rsidRPr="000764F9">
              <w:rPr>
                <w:rStyle w:val="Hyperlink"/>
              </w:rPr>
              <w:t xml:space="preserve"> Conclusions and recommendations</w:t>
            </w:r>
            <w:r w:rsidR="005F6C0A">
              <w:rPr>
                <w:webHidden/>
              </w:rPr>
              <w:tab/>
            </w:r>
            <w:r w:rsidR="005F6C0A">
              <w:rPr>
                <w:webHidden/>
              </w:rPr>
              <w:fldChar w:fldCharType="begin"/>
            </w:r>
            <w:r w:rsidR="005F6C0A">
              <w:rPr>
                <w:webHidden/>
              </w:rPr>
              <w:instrText xml:space="preserve"> PAGEREF _Toc159582672 \h </w:instrText>
            </w:r>
            <w:r w:rsidR="005F6C0A">
              <w:rPr>
                <w:webHidden/>
              </w:rPr>
            </w:r>
            <w:r w:rsidR="005F6C0A">
              <w:rPr>
                <w:webHidden/>
              </w:rPr>
              <w:fldChar w:fldCharType="separate"/>
            </w:r>
            <w:r w:rsidR="0076538A">
              <w:rPr>
                <w:webHidden/>
              </w:rPr>
              <w:t>17</w:t>
            </w:r>
            <w:r w:rsidR="005F6C0A">
              <w:rPr>
                <w:webHidden/>
              </w:rPr>
              <w:fldChar w:fldCharType="end"/>
            </w:r>
          </w:hyperlink>
        </w:p>
        <w:p w14:paraId="1DCC72DF" w14:textId="77777777" w:rsidR="005F6C0A" w:rsidRDefault="00000000">
          <w:pPr>
            <w:pStyle w:val="TOC1"/>
            <w:rPr>
              <w:rFonts w:eastAsiaTheme="minorEastAsia" w:cstheme="minorBidi"/>
              <w:b w:val="0"/>
              <w:caps w:val="0"/>
              <w:noProof/>
              <w:color w:val="auto"/>
              <w:kern w:val="2"/>
              <w:szCs w:val="22"/>
              <w:lang w:val="fr-FR" w:eastAsia="fr-FR"/>
              <w14:ligatures w14:val="standardContextual"/>
            </w:rPr>
          </w:pPr>
          <w:hyperlink w:anchor="_Toc159582673" w:history="1">
            <w:r w:rsidR="005F6C0A" w:rsidRPr="000764F9">
              <w:rPr>
                <w:rStyle w:val="Hyperlink"/>
                <w:noProof/>
              </w:rPr>
              <w:t>2</w:t>
            </w:r>
            <w:r w:rsidR="005F6C0A">
              <w:rPr>
                <w:rFonts w:eastAsiaTheme="minorEastAsia" w:cstheme="minorBidi"/>
                <w:b w:val="0"/>
                <w:caps w:val="0"/>
                <w:noProof/>
                <w:color w:val="auto"/>
                <w:kern w:val="2"/>
                <w:szCs w:val="22"/>
                <w:lang w:val="fr-FR" w:eastAsia="fr-FR"/>
                <w14:ligatures w14:val="standardContextual"/>
              </w:rPr>
              <w:tab/>
            </w:r>
            <w:r w:rsidR="005F6C0A" w:rsidRPr="000764F9">
              <w:rPr>
                <w:rStyle w:val="Hyperlink"/>
                <w:noProof/>
              </w:rPr>
              <w:t>access to SOCIAL RIGHTS</w:t>
            </w:r>
            <w:r w:rsidR="005F6C0A">
              <w:rPr>
                <w:noProof/>
                <w:webHidden/>
              </w:rPr>
              <w:tab/>
            </w:r>
            <w:r w:rsidR="005F6C0A">
              <w:rPr>
                <w:noProof/>
                <w:webHidden/>
              </w:rPr>
              <w:fldChar w:fldCharType="begin"/>
            </w:r>
            <w:r w:rsidR="005F6C0A">
              <w:rPr>
                <w:noProof/>
                <w:webHidden/>
              </w:rPr>
              <w:instrText xml:space="preserve"> PAGEREF _Toc159582673 \h </w:instrText>
            </w:r>
            <w:r w:rsidR="005F6C0A">
              <w:rPr>
                <w:noProof/>
                <w:webHidden/>
              </w:rPr>
            </w:r>
            <w:r w:rsidR="005F6C0A">
              <w:rPr>
                <w:noProof/>
                <w:webHidden/>
              </w:rPr>
              <w:fldChar w:fldCharType="separate"/>
            </w:r>
            <w:r w:rsidR="0076538A">
              <w:rPr>
                <w:noProof/>
                <w:webHidden/>
              </w:rPr>
              <w:t>20</w:t>
            </w:r>
            <w:r w:rsidR="005F6C0A">
              <w:rPr>
                <w:noProof/>
                <w:webHidden/>
              </w:rPr>
              <w:fldChar w:fldCharType="end"/>
            </w:r>
          </w:hyperlink>
        </w:p>
        <w:p w14:paraId="475F9E37" w14:textId="77777777" w:rsidR="005F6C0A" w:rsidRDefault="00000000">
          <w:pPr>
            <w:pStyle w:val="TOC2"/>
            <w:rPr>
              <w:rFonts w:eastAsiaTheme="minorEastAsia" w:cstheme="minorBidi"/>
              <w:b w:val="0"/>
              <w:kern w:val="2"/>
              <w:lang w:val="fr-FR" w:eastAsia="fr-FR"/>
              <w14:ligatures w14:val="standardContextual"/>
            </w:rPr>
          </w:pPr>
          <w:hyperlink w:anchor="_Toc159582674" w:history="1">
            <w:r w:rsidR="005F6C0A" w:rsidRPr="000764F9">
              <w:rPr>
                <w:rStyle w:val="Hyperlink"/>
                <w:bCs/>
                <w14:scene3d>
                  <w14:camera w14:prst="orthographicFront"/>
                  <w14:lightRig w14:rig="threePt" w14:dir="t">
                    <w14:rot w14:lat="0" w14:lon="0" w14:rev="0"/>
                  </w14:lightRig>
                </w14:scene3d>
              </w:rPr>
              <w:t>2.1</w:t>
            </w:r>
            <w:r w:rsidR="005F6C0A" w:rsidRPr="000764F9">
              <w:rPr>
                <w:rStyle w:val="Hyperlink"/>
              </w:rPr>
              <w:t xml:space="preserve"> Protection from poverty</w:t>
            </w:r>
            <w:r w:rsidR="005F6C0A">
              <w:rPr>
                <w:webHidden/>
              </w:rPr>
              <w:tab/>
            </w:r>
            <w:r w:rsidR="005F6C0A">
              <w:rPr>
                <w:webHidden/>
              </w:rPr>
              <w:fldChar w:fldCharType="begin"/>
            </w:r>
            <w:r w:rsidR="005F6C0A">
              <w:rPr>
                <w:webHidden/>
              </w:rPr>
              <w:instrText xml:space="preserve"> PAGEREF _Toc159582674 \h </w:instrText>
            </w:r>
            <w:r w:rsidR="005F6C0A">
              <w:rPr>
                <w:webHidden/>
              </w:rPr>
            </w:r>
            <w:r w:rsidR="005F6C0A">
              <w:rPr>
                <w:webHidden/>
              </w:rPr>
              <w:fldChar w:fldCharType="separate"/>
            </w:r>
            <w:r w:rsidR="0076538A">
              <w:rPr>
                <w:webHidden/>
              </w:rPr>
              <w:t>21</w:t>
            </w:r>
            <w:r w:rsidR="005F6C0A">
              <w:rPr>
                <w:webHidden/>
              </w:rPr>
              <w:fldChar w:fldCharType="end"/>
            </w:r>
          </w:hyperlink>
        </w:p>
        <w:p w14:paraId="3A458F94" w14:textId="77777777" w:rsidR="005F6C0A" w:rsidRDefault="00000000">
          <w:pPr>
            <w:pStyle w:val="TOC3"/>
            <w:rPr>
              <w:rFonts w:eastAsiaTheme="minorEastAsia" w:cstheme="minorBidi"/>
              <w:noProof/>
              <w:kern w:val="2"/>
              <w:szCs w:val="22"/>
              <w:lang w:val="fr-FR" w:eastAsia="fr-FR"/>
              <w14:ligatures w14:val="standardContextual"/>
            </w:rPr>
          </w:pPr>
          <w:hyperlink w:anchor="_Toc159582675" w:history="1">
            <w:r w:rsidR="005F6C0A" w:rsidRPr="000764F9">
              <w:rPr>
                <w:rStyle w:val="Hyperlink"/>
                <w:noProof/>
                <w14:scene3d>
                  <w14:camera w14:prst="orthographicFront"/>
                  <w14:lightRig w14:rig="threePt" w14:dir="t">
                    <w14:rot w14:lat="0" w14:lon="0" w14:rev="0"/>
                  </w14:lightRig>
                </w14:scene3d>
              </w:rPr>
              <w:t>2.1.1</w:t>
            </w:r>
            <w:r w:rsidR="005F6C0A" w:rsidRPr="000764F9">
              <w:rPr>
                <w:rStyle w:val="Hyperlink"/>
                <w:noProof/>
              </w:rPr>
              <w:t xml:space="preserve"> Access to benefits</w:t>
            </w:r>
            <w:r w:rsidR="005F6C0A">
              <w:rPr>
                <w:noProof/>
                <w:webHidden/>
              </w:rPr>
              <w:tab/>
            </w:r>
            <w:r w:rsidR="005F6C0A">
              <w:rPr>
                <w:noProof/>
                <w:webHidden/>
              </w:rPr>
              <w:fldChar w:fldCharType="begin"/>
            </w:r>
            <w:r w:rsidR="005F6C0A">
              <w:rPr>
                <w:noProof/>
                <w:webHidden/>
              </w:rPr>
              <w:instrText xml:space="preserve"> PAGEREF _Toc159582675 \h </w:instrText>
            </w:r>
            <w:r w:rsidR="005F6C0A">
              <w:rPr>
                <w:noProof/>
                <w:webHidden/>
              </w:rPr>
            </w:r>
            <w:r w:rsidR="005F6C0A">
              <w:rPr>
                <w:noProof/>
                <w:webHidden/>
              </w:rPr>
              <w:fldChar w:fldCharType="separate"/>
            </w:r>
            <w:r w:rsidR="0076538A">
              <w:rPr>
                <w:noProof/>
                <w:webHidden/>
              </w:rPr>
              <w:t>21</w:t>
            </w:r>
            <w:r w:rsidR="005F6C0A">
              <w:rPr>
                <w:noProof/>
                <w:webHidden/>
              </w:rPr>
              <w:fldChar w:fldCharType="end"/>
            </w:r>
          </w:hyperlink>
        </w:p>
        <w:p w14:paraId="19A1F450" w14:textId="77777777" w:rsidR="005F6C0A" w:rsidRDefault="00000000">
          <w:pPr>
            <w:pStyle w:val="TOC3"/>
            <w:rPr>
              <w:rFonts w:eastAsiaTheme="minorEastAsia" w:cstheme="minorBidi"/>
              <w:noProof/>
              <w:kern w:val="2"/>
              <w:szCs w:val="22"/>
              <w:lang w:val="fr-FR" w:eastAsia="fr-FR"/>
              <w14:ligatures w14:val="standardContextual"/>
            </w:rPr>
          </w:pPr>
          <w:hyperlink w:anchor="_Toc159582676" w:history="1">
            <w:r w:rsidR="005F6C0A" w:rsidRPr="000764F9">
              <w:rPr>
                <w:rStyle w:val="Hyperlink"/>
                <w:noProof/>
                <w14:scene3d>
                  <w14:camera w14:prst="orthographicFront"/>
                  <w14:lightRig w14:rig="threePt" w14:dir="t">
                    <w14:rot w14:lat="0" w14:lon="0" w14:rev="0"/>
                  </w14:lightRig>
                </w14:scene3d>
              </w:rPr>
              <w:t>2.1.2</w:t>
            </w:r>
            <w:r w:rsidR="005F6C0A" w:rsidRPr="000764F9">
              <w:rPr>
                <w:rStyle w:val="Hyperlink"/>
                <w:noProof/>
              </w:rPr>
              <w:t xml:space="preserve"> Particularly affected groups</w:t>
            </w:r>
            <w:r w:rsidR="005F6C0A">
              <w:rPr>
                <w:noProof/>
                <w:webHidden/>
              </w:rPr>
              <w:tab/>
            </w:r>
            <w:r w:rsidR="005F6C0A">
              <w:rPr>
                <w:noProof/>
                <w:webHidden/>
              </w:rPr>
              <w:fldChar w:fldCharType="begin"/>
            </w:r>
            <w:r w:rsidR="005F6C0A">
              <w:rPr>
                <w:noProof/>
                <w:webHidden/>
              </w:rPr>
              <w:instrText xml:space="preserve"> PAGEREF _Toc159582676 \h </w:instrText>
            </w:r>
            <w:r w:rsidR="005F6C0A">
              <w:rPr>
                <w:noProof/>
                <w:webHidden/>
              </w:rPr>
            </w:r>
            <w:r w:rsidR="005F6C0A">
              <w:rPr>
                <w:noProof/>
                <w:webHidden/>
              </w:rPr>
              <w:fldChar w:fldCharType="separate"/>
            </w:r>
            <w:r w:rsidR="0076538A">
              <w:rPr>
                <w:noProof/>
                <w:webHidden/>
              </w:rPr>
              <w:t>23</w:t>
            </w:r>
            <w:r w:rsidR="005F6C0A">
              <w:rPr>
                <w:noProof/>
                <w:webHidden/>
              </w:rPr>
              <w:fldChar w:fldCharType="end"/>
            </w:r>
          </w:hyperlink>
        </w:p>
        <w:p w14:paraId="752668D7" w14:textId="77777777" w:rsidR="005F6C0A" w:rsidRDefault="00000000">
          <w:pPr>
            <w:pStyle w:val="TOC2"/>
            <w:rPr>
              <w:rFonts w:eastAsiaTheme="minorEastAsia" w:cstheme="minorBidi"/>
              <w:b w:val="0"/>
              <w:kern w:val="2"/>
              <w:lang w:val="fr-FR" w:eastAsia="fr-FR"/>
              <w14:ligatures w14:val="standardContextual"/>
            </w:rPr>
          </w:pPr>
          <w:hyperlink w:anchor="_Toc159582677" w:history="1">
            <w:r w:rsidR="005F6C0A" w:rsidRPr="000764F9">
              <w:rPr>
                <w:rStyle w:val="Hyperlink"/>
                <w:bCs/>
                <w14:scene3d>
                  <w14:camera w14:prst="orthographicFront"/>
                  <w14:lightRig w14:rig="threePt" w14:dir="t">
                    <w14:rot w14:lat="0" w14:lon="0" w14:rev="0"/>
                  </w14:lightRig>
                </w14:scene3d>
              </w:rPr>
              <w:t>2.2</w:t>
            </w:r>
            <w:r w:rsidR="005F6C0A" w:rsidRPr="000764F9">
              <w:rPr>
                <w:rStyle w:val="Hyperlink"/>
              </w:rPr>
              <w:t xml:space="preserve"> Right to adequate housing</w:t>
            </w:r>
            <w:r w:rsidR="005F6C0A">
              <w:rPr>
                <w:webHidden/>
              </w:rPr>
              <w:tab/>
            </w:r>
            <w:r w:rsidR="005F6C0A">
              <w:rPr>
                <w:webHidden/>
              </w:rPr>
              <w:fldChar w:fldCharType="begin"/>
            </w:r>
            <w:r w:rsidR="005F6C0A">
              <w:rPr>
                <w:webHidden/>
              </w:rPr>
              <w:instrText xml:space="preserve"> PAGEREF _Toc159582677 \h </w:instrText>
            </w:r>
            <w:r w:rsidR="005F6C0A">
              <w:rPr>
                <w:webHidden/>
              </w:rPr>
            </w:r>
            <w:r w:rsidR="005F6C0A">
              <w:rPr>
                <w:webHidden/>
              </w:rPr>
              <w:fldChar w:fldCharType="separate"/>
            </w:r>
            <w:r w:rsidR="0076538A">
              <w:rPr>
                <w:webHidden/>
              </w:rPr>
              <w:t>24</w:t>
            </w:r>
            <w:r w:rsidR="005F6C0A">
              <w:rPr>
                <w:webHidden/>
              </w:rPr>
              <w:fldChar w:fldCharType="end"/>
            </w:r>
          </w:hyperlink>
        </w:p>
        <w:p w14:paraId="5D9100C2" w14:textId="77777777" w:rsidR="005F6C0A" w:rsidRDefault="00000000">
          <w:pPr>
            <w:pStyle w:val="TOC3"/>
            <w:rPr>
              <w:rFonts w:eastAsiaTheme="minorEastAsia" w:cstheme="minorBidi"/>
              <w:noProof/>
              <w:kern w:val="2"/>
              <w:szCs w:val="22"/>
              <w:lang w:val="fr-FR" w:eastAsia="fr-FR"/>
              <w14:ligatures w14:val="standardContextual"/>
            </w:rPr>
          </w:pPr>
          <w:hyperlink w:anchor="_Toc159582678" w:history="1">
            <w:r w:rsidR="005F6C0A" w:rsidRPr="000764F9">
              <w:rPr>
                <w:rStyle w:val="Hyperlink"/>
                <w:noProof/>
                <w14:scene3d>
                  <w14:camera w14:prst="orthographicFront"/>
                  <w14:lightRig w14:rig="threePt" w14:dir="t">
                    <w14:rot w14:lat="0" w14:lon="0" w14:rev="0"/>
                  </w14:lightRig>
                </w14:scene3d>
              </w:rPr>
              <w:t>2.2.1</w:t>
            </w:r>
            <w:r w:rsidR="005F6C0A" w:rsidRPr="000764F9">
              <w:rPr>
                <w:rStyle w:val="Hyperlink"/>
                <w:noProof/>
              </w:rPr>
              <w:t xml:space="preserve"> Affordability of housing</w:t>
            </w:r>
            <w:r w:rsidR="005F6C0A">
              <w:rPr>
                <w:noProof/>
                <w:webHidden/>
              </w:rPr>
              <w:tab/>
            </w:r>
            <w:r w:rsidR="005F6C0A">
              <w:rPr>
                <w:noProof/>
                <w:webHidden/>
              </w:rPr>
              <w:fldChar w:fldCharType="begin"/>
            </w:r>
            <w:r w:rsidR="005F6C0A">
              <w:rPr>
                <w:noProof/>
                <w:webHidden/>
              </w:rPr>
              <w:instrText xml:space="preserve"> PAGEREF _Toc159582678 \h </w:instrText>
            </w:r>
            <w:r w:rsidR="005F6C0A">
              <w:rPr>
                <w:noProof/>
                <w:webHidden/>
              </w:rPr>
            </w:r>
            <w:r w:rsidR="005F6C0A">
              <w:rPr>
                <w:noProof/>
                <w:webHidden/>
              </w:rPr>
              <w:fldChar w:fldCharType="separate"/>
            </w:r>
            <w:r w:rsidR="0076538A">
              <w:rPr>
                <w:noProof/>
                <w:webHidden/>
              </w:rPr>
              <w:t>24</w:t>
            </w:r>
            <w:r w:rsidR="005F6C0A">
              <w:rPr>
                <w:noProof/>
                <w:webHidden/>
              </w:rPr>
              <w:fldChar w:fldCharType="end"/>
            </w:r>
          </w:hyperlink>
        </w:p>
        <w:p w14:paraId="1ED6E7AC" w14:textId="77777777" w:rsidR="005F6C0A" w:rsidRDefault="00000000">
          <w:pPr>
            <w:pStyle w:val="TOC3"/>
            <w:rPr>
              <w:rFonts w:eastAsiaTheme="minorEastAsia" w:cstheme="minorBidi"/>
              <w:noProof/>
              <w:kern w:val="2"/>
              <w:szCs w:val="22"/>
              <w:lang w:val="fr-FR" w:eastAsia="fr-FR"/>
              <w14:ligatures w14:val="standardContextual"/>
            </w:rPr>
          </w:pPr>
          <w:hyperlink w:anchor="_Toc159582679" w:history="1">
            <w:r w:rsidR="005F6C0A" w:rsidRPr="000764F9">
              <w:rPr>
                <w:rStyle w:val="Hyperlink"/>
                <w:noProof/>
                <w14:scene3d>
                  <w14:camera w14:prst="orthographicFront"/>
                  <w14:lightRig w14:rig="threePt" w14:dir="t">
                    <w14:rot w14:lat="0" w14:lon="0" w14:rev="0"/>
                  </w14:lightRig>
                </w14:scene3d>
              </w:rPr>
              <w:t>2.2.2</w:t>
            </w:r>
            <w:r w:rsidR="005F6C0A" w:rsidRPr="000764F9">
              <w:rPr>
                <w:rStyle w:val="Hyperlink"/>
                <w:noProof/>
              </w:rPr>
              <w:t xml:space="preserve"> Homelessness and protection from eviction</w:t>
            </w:r>
            <w:r w:rsidR="005F6C0A">
              <w:rPr>
                <w:noProof/>
                <w:webHidden/>
              </w:rPr>
              <w:tab/>
            </w:r>
            <w:r w:rsidR="005F6C0A">
              <w:rPr>
                <w:noProof/>
                <w:webHidden/>
              </w:rPr>
              <w:fldChar w:fldCharType="begin"/>
            </w:r>
            <w:r w:rsidR="005F6C0A">
              <w:rPr>
                <w:noProof/>
                <w:webHidden/>
              </w:rPr>
              <w:instrText xml:space="preserve"> PAGEREF _Toc159582679 \h </w:instrText>
            </w:r>
            <w:r w:rsidR="005F6C0A">
              <w:rPr>
                <w:noProof/>
                <w:webHidden/>
              </w:rPr>
            </w:r>
            <w:r w:rsidR="005F6C0A">
              <w:rPr>
                <w:noProof/>
                <w:webHidden/>
              </w:rPr>
              <w:fldChar w:fldCharType="separate"/>
            </w:r>
            <w:r w:rsidR="0076538A">
              <w:rPr>
                <w:noProof/>
                <w:webHidden/>
              </w:rPr>
              <w:t>25</w:t>
            </w:r>
            <w:r w:rsidR="005F6C0A">
              <w:rPr>
                <w:noProof/>
                <w:webHidden/>
              </w:rPr>
              <w:fldChar w:fldCharType="end"/>
            </w:r>
          </w:hyperlink>
        </w:p>
        <w:p w14:paraId="3582791E" w14:textId="77777777" w:rsidR="005F6C0A" w:rsidRDefault="00000000">
          <w:pPr>
            <w:pStyle w:val="TOC2"/>
            <w:rPr>
              <w:rFonts w:eastAsiaTheme="minorEastAsia" w:cstheme="minorBidi"/>
              <w:b w:val="0"/>
              <w:kern w:val="2"/>
              <w:lang w:val="fr-FR" w:eastAsia="fr-FR"/>
              <w14:ligatures w14:val="standardContextual"/>
            </w:rPr>
          </w:pPr>
          <w:hyperlink w:anchor="_Toc159582680" w:history="1">
            <w:r w:rsidR="005F6C0A" w:rsidRPr="000764F9">
              <w:rPr>
                <w:rStyle w:val="Hyperlink"/>
                <w:bCs/>
                <w14:scene3d>
                  <w14:camera w14:prst="orthographicFront"/>
                  <w14:lightRig w14:rig="threePt" w14:dir="t">
                    <w14:rot w14:lat="0" w14:lon="0" w14:rev="0"/>
                  </w14:lightRig>
                </w14:scene3d>
              </w:rPr>
              <w:t>2.3</w:t>
            </w:r>
            <w:r w:rsidR="005F6C0A" w:rsidRPr="000764F9">
              <w:rPr>
                <w:rStyle w:val="Hyperlink"/>
              </w:rPr>
              <w:t xml:space="preserve"> Conclusions and recommendations</w:t>
            </w:r>
            <w:r w:rsidR="005F6C0A">
              <w:rPr>
                <w:webHidden/>
              </w:rPr>
              <w:tab/>
            </w:r>
            <w:r w:rsidR="005F6C0A">
              <w:rPr>
                <w:webHidden/>
              </w:rPr>
              <w:fldChar w:fldCharType="begin"/>
            </w:r>
            <w:r w:rsidR="005F6C0A">
              <w:rPr>
                <w:webHidden/>
              </w:rPr>
              <w:instrText xml:space="preserve"> PAGEREF _Toc159582680 \h </w:instrText>
            </w:r>
            <w:r w:rsidR="005F6C0A">
              <w:rPr>
                <w:webHidden/>
              </w:rPr>
            </w:r>
            <w:r w:rsidR="005F6C0A">
              <w:rPr>
                <w:webHidden/>
              </w:rPr>
              <w:fldChar w:fldCharType="separate"/>
            </w:r>
            <w:r w:rsidR="0076538A">
              <w:rPr>
                <w:webHidden/>
              </w:rPr>
              <w:t>26</w:t>
            </w:r>
            <w:r w:rsidR="005F6C0A">
              <w:rPr>
                <w:webHidden/>
              </w:rPr>
              <w:fldChar w:fldCharType="end"/>
            </w:r>
          </w:hyperlink>
        </w:p>
        <w:p w14:paraId="696D4040" w14:textId="77777777" w:rsidR="00B82AF0" w:rsidRPr="00D40AF5" w:rsidRDefault="00B82AF0" w:rsidP="00B82AF0">
          <w:pPr>
            <w:rPr>
              <w:rFonts w:asciiTheme="minorHAnsi" w:hAnsiTheme="minorHAnsi" w:cstheme="minorHAnsi"/>
              <w:lang w:val="en-GB"/>
            </w:rPr>
          </w:pPr>
          <w:r w:rsidRPr="00D40AF5">
            <w:rPr>
              <w:rFonts w:asciiTheme="minorHAnsi" w:hAnsiTheme="minorHAnsi" w:cstheme="minorHAnsi"/>
              <w:b/>
              <w:bCs/>
              <w:lang w:val="en-GB"/>
            </w:rPr>
            <w:fldChar w:fldCharType="end"/>
          </w:r>
        </w:p>
      </w:sdtContent>
    </w:sdt>
    <w:p w14:paraId="1F46B49D" w14:textId="77777777" w:rsidR="00643875" w:rsidRDefault="00643875">
      <w:pPr>
        <w:spacing w:after="200" w:line="276" w:lineRule="auto"/>
        <w:jc w:val="left"/>
        <w:rPr>
          <w:rFonts w:ascii="Arial" w:eastAsia="Times New Roman" w:hAnsi="Arial" w:cs="Arial"/>
          <w:b/>
          <w:bCs/>
          <w:caps/>
          <w:color w:val="FFFFFF" w:themeColor="background1"/>
          <w:spacing w:val="15"/>
          <w:sz w:val="20"/>
          <w:szCs w:val="20"/>
          <w:lang w:val="en-GB" w:eastAsia="en-GB"/>
        </w:rPr>
      </w:pPr>
      <w:r>
        <w:rPr>
          <w:rFonts w:ascii="Arial" w:hAnsi="Arial" w:cs="Arial"/>
          <w:sz w:val="20"/>
          <w:szCs w:val="20"/>
          <w:lang w:val="en-GB"/>
        </w:rPr>
        <w:br w:type="page"/>
      </w:r>
    </w:p>
    <w:p w14:paraId="768BAAF2" w14:textId="77777777" w:rsidR="004A5AEE" w:rsidRPr="00773CE9" w:rsidRDefault="004A5AEE" w:rsidP="004A5AEE">
      <w:pPr>
        <w:pStyle w:val="Heading1"/>
        <w:ind w:left="357" w:hanging="357"/>
      </w:pPr>
      <w:bookmarkStart w:id="0" w:name="_Toc413833138"/>
      <w:bookmarkStart w:id="1" w:name="_Toc419987544"/>
      <w:bookmarkStart w:id="2" w:name="_Toc29999673"/>
      <w:bookmarkStart w:id="3" w:name="_Toc158636889"/>
      <w:bookmarkStart w:id="4" w:name="_Toc159582660"/>
      <w:r w:rsidRPr="00773CE9">
        <w:lastRenderedPageBreak/>
        <w:t>Summary</w:t>
      </w:r>
      <w:bookmarkEnd w:id="0"/>
      <w:bookmarkEnd w:id="1"/>
      <w:bookmarkEnd w:id="2"/>
      <w:bookmarkEnd w:id="3"/>
      <w:bookmarkEnd w:id="4"/>
    </w:p>
    <w:p w14:paraId="672A03CB" w14:textId="77777777" w:rsidR="004A5AEE" w:rsidRDefault="004A5AEE" w:rsidP="004A5AEE">
      <w:pPr>
        <w:pStyle w:val="Paragraphnonumber"/>
      </w:pPr>
      <w:bookmarkStart w:id="5" w:name="_Toc413833139"/>
      <w:bookmarkStart w:id="6" w:name="_Toc419987545"/>
      <w:bookmarkStart w:id="7" w:name="_Toc29999674"/>
      <w:r>
        <w:t xml:space="preserve">Commissioner Dunja Mijatović and her team visited Germany from 27 November to 1 December 2023. During the visit, the Commissioner held discussions with the German authorities, national human rights structures, civil society organisations, children and youth representatives, and other interlocutors. This report focuses on the two main issues raised during the visit: the structures and legal frameworks in place to protect and promote human rights, and access to social rights, in particular protection from poverty and the right to adequate housing. </w:t>
      </w:r>
    </w:p>
    <w:p w14:paraId="51E06294" w14:textId="77777777" w:rsidR="004A5AEE" w:rsidRDefault="004A5AEE" w:rsidP="004A5AEE">
      <w:pPr>
        <w:pStyle w:val="Paragraphnonumber"/>
        <w:rPr>
          <w:b/>
          <w:bCs/>
        </w:rPr>
      </w:pPr>
      <w:r>
        <w:rPr>
          <w:b/>
          <w:bCs/>
        </w:rPr>
        <w:t xml:space="preserve">Structures and legal frameworks to protect and promote human </w:t>
      </w:r>
      <w:proofErr w:type="gramStart"/>
      <w:r>
        <w:rPr>
          <w:b/>
          <w:bCs/>
        </w:rPr>
        <w:t>rights</w:t>
      </w:r>
      <w:proofErr w:type="gramEnd"/>
      <w:r>
        <w:rPr>
          <w:b/>
          <w:bCs/>
        </w:rPr>
        <w:t xml:space="preserve"> </w:t>
      </w:r>
    </w:p>
    <w:p w14:paraId="2832ADD2" w14:textId="77777777" w:rsidR="004A5AEE" w:rsidRDefault="004A5AEE" w:rsidP="004A5AEE">
      <w:pPr>
        <w:pStyle w:val="Paragraphnonumber"/>
      </w:pPr>
      <w:r>
        <w:t xml:space="preserve">Germany has ratified most international human rights instruments, but there is limited awareness among relevant authorities as to how these apply to the national context where, generally, the Constitution and the domestic courts are relied upon for the protection of individual rights. Few structures exist at federal, regional, or local level that could increase awareness of or access to </w:t>
      </w:r>
      <w:proofErr w:type="gramStart"/>
      <w:r>
        <w:t>internationally-guaranteed</w:t>
      </w:r>
      <w:proofErr w:type="gramEnd"/>
      <w:r>
        <w:t xml:space="preserve"> human rights, and the continued lack of disaggregated data on the composition of the population and their respective access to rights hinders effective monitoring and evaluation. Human rights awareness among the public is generally low and there are concerns with respect to equality in accessing justice, particularly for </w:t>
      </w:r>
      <w:proofErr w:type="gramStart"/>
      <w:r>
        <w:t>socioeconomically-disadvantaged</w:t>
      </w:r>
      <w:proofErr w:type="gramEnd"/>
      <w:r>
        <w:t xml:space="preserve"> groups. </w:t>
      </w:r>
    </w:p>
    <w:p w14:paraId="3B4313E7" w14:textId="77777777" w:rsidR="004A5AEE" w:rsidRDefault="004A5AEE" w:rsidP="004A5AEE">
      <w:pPr>
        <w:pStyle w:val="Paragraphnonumber"/>
      </w:pPr>
      <w:r>
        <w:t xml:space="preserve">The Commissioner welcomes the increase in resources made available to the national human rights institution and efforts made to strengthen the independence of the national equality body, but notes that both have limited powers in comparison to other such structures in Europe, and that their competences should be strengthened considerably to enable them to effectively perform their important mandates, including with respect to stronger protection, </w:t>
      </w:r>
      <w:proofErr w:type="gramStart"/>
      <w:r>
        <w:t>investigation</w:t>
      </w:r>
      <w:proofErr w:type="gramEnd"/>
      <w:r>
        <w:t xml:space="preserve"> and litigation powers.</w:t>
      </w:r>
      <w:r>
        <w:rPr>
          <w:lang w:eastAsia="en-US"/>
        </w:rPr>
        <w:t xml:space="preserve"> </w:t>
      </w:r>
    </w:p>
    <w:p w14:paraId="175F4AC1" w14:textId="77777777" w:rsidR="004A5AEE" w:rsidRDefault="004A5AEE" w:rsidP="004A5AEE">
      <w:pPr>
        <w:pStyle w:val="Paragraphnonumber"/>
      </w:pPr>
      <w:r>
        <w:t>The government has committed itself to strengthening children’s rights within the legal order, but little progress has been made towards ensuring that relevant authorities and administrative entities know of their obligation to give primary consideration to the best interests of the child. There is no central authority that could effectively coordinate measures aimed at the protection and promotion of children’s rights at all levels and across all portfolios, and the rights and needs of children and young people often remain overlooked in relevant policymaking decisions. All necessary measures must be taken to</w:t>
      </w:r>
      <w:r>
        <w:rPr>
          <w:rFonts w:asciiTheme="minorHAnsi" w:hAnsiTheme="minorHAnsi" w:cstheme="minorHAnsi"/>
          <w:bCs/>
        </w:rPr>
        <w:t xml:space="preserve"> </w:t>
      </w:r>
      <w:r w:rsidRPr="007A20D2">
        <w:rPr>
          <w:bCs/>
        </w:rPr>
        <w:t>effectively safeguard the rights of children at all levels</w:t>
      </w:r>
      <w:r>
        <w:rPr>
          <w:bCs/>
        </w:rPr>
        <w:t xml:space="preserve">, including by strengthening opportunities for their effective participation, establishing more </w:t>
      </w:r>
      <w:r w:rsidRPr="007A20D2">
        <w:rPr>
          <w:bCs/>
        </w:rPr>
        <w:t>independent complaints mechanisms</w:t>
      </w:r>
      <w:r>
        <w:rPr>
          <w:bCs/>
        </w:rPr>
        <w:t>,</w:t>
      </w:r>
      <w:r w:rsidRPr="007A20D2">
        <w:rPr>
          <w:bCs/>
        </w:rPr>
        <w:t xml:space="preserve"> </w:t>
      </w:r>
      <w:r>
        <w:rPr>
          <w:bCs/>
        </w:rPr>
        <w:t xml:space="preserve">and providing the </w:t>
      </w:r>
      <w:r w:rsidRPr="007A20D2">
        <w:rPr>
          <w:bCs/>
        </w:rPr>
        <w:t>existing structures with reliable funding to ensure their ability to perform their important mandates</w:t>
      </w:r>
      <w:r>
        <w:rPr>
          <w:bCs/>
        </w:rPr>
        <w:t>.</w:t>
      </w:r>
      <w:r>
        <w:t xml:space="preserve"> </w:t>
      </w:r>
    </w:p>
    <w:p w14:paraId="3DC38CAE" w14:textId="77777777" w:rsidR="004A5AEE" w:rsidRPr="00BF5923" w:rsidRDefault="004A5AEE" w:rsidP="004A5AEE">
      <w:pPr>
        <w:rPr>
          <w:rFonts w:asciiTheme="minorHAnsi" w:hAnsiTheme="minorHAnsi" w:cstheme="minorHAnsi"/>
          <w:lang w:val="en-GB"/>
        </w:rPr>
      </w:pPr>
      <w:r w:rsidRPr="00BF5923">
        <w:rPr>
          <w:lang w:val="en-GB"/>
        </w:rPr>
        <w:t xml:space="preserve">Progress on the rights of persons with disabilities has, overall, been limited, as lack of political commitment, and persistent resistance to change among the existing and well-financed exclusionary structures, hinder the achievement of an independent </w:t>
      </w:r>
      <w:r>
        <w:rPr>
          <w:lang w:val="en-GB"/>
        </w:rPr>
        <w:t xml:space="preserve">life in the community </w:t>
      </w:r>
      <w:r w:rsidRPr="00BF5923">
        <w:rPr>
          <w:lang w:val="en-GB"/>
        </w:rPr>
        <w:t xml:space="preserve">for persons with disabilities. Most professionals still promote segregated structures and so-called “protected spaces”, including special schools, sheltered </w:t>
      </w:r>
      <w:proofErr w:type="gramStart"/>
      <w:r w:rsidRPr="00BF5923">
        <w:rPr>
          <w:lang w:val="en-GB"/>
        </w:rPr>
        <w:t>workshops</w:t>
      </w:r>
      <w:proofErr w:type="gramEnd"/>
      <w:r w:rsidRPr="00BF5923">
        <w:rPr>
          <w:lang w:val="en-GB"/>
        </w:rPr>
        <w:t xml:space="preserve"> and residential facilities for persons with disabilities, and budget considerations are often cited for favouring centralised approaches over individual choice. Accessibility remains elusive in many vital areas of life and the private sector has no legal obligation in this regard, rendering inclusion and participation practically impossible in many contexts. The authorities should invest in inclusive structures and</w:t>
      </w:r>
      <w:r w:rsidRPr="00BF5923">
        <w:rPr>
          <w:rFonts w:asciiTheme="minorHAnsi" w:hAnsiTheme="minorHAnsi" w:cstheme="minorHAnsi"/>
          <w:lang w:val="en-GB"/>
        </w:rPr>
        <w:t xml:space="preserve"> accelerate the transition for affected persons from segregated lifestyles to inclusion in high-quality mainstream settings. More efforts are required to promote the genuine and effective participation of persons with disabilities, and to raise rights awareness among persons with disabilities themselves, as well as relevant professionals and society at large.</w:t>
      </w:r>
    </w:p>
    <w:p w14:paraId="11F8BC64" w14:textId="77777777" w:rsidR="004A5AEE" w:rsidRDefault="004A5AEE" w:rsidP="004A5AEE">
      <w:pPr>
        <w:pStyle w:val="Paragraphnonumber"/>
      </w:pPr>
      <w:r>
        <w:t xml:space="preserve">Despite the growing numbers of reported cases of discrimination, insufficient political attention and resources appear to be devoted to the promotion of full and effective equality across all sectors and </w:t>
      </w:r>
      <w:r>
        <w:lastRenderedPageBreak/>
        <w:t xml:space="preserve">no inter-ministerial strategy or intentions of cooperation have been formulated for that purpose. The government has committed itself to improving the effectiveness of equality legislation, which is widely considered to be deficient, but no timetable has been set yet. Particular attention should be paid to the mounting levels of xenophobia and racism, which have the potential to undermine social cohesion and destabilise democratic institutions. The Commissioner notes considerable concern among her interlocutors about the rise of the far-right in the political sphere in Germany. The authorities should accelerate the reform of the equality law, in close consultation with the equality body and relevant communities, to bring it in line with European standards and engage in comprehensive awareness-raising and training activities, including among legal professionals and government officials, of applicable standards. </w:t>
      </w:r>
    </w:p>
    <w:p w14:paraId="0E5FFF41" w14:textId="77777777" w:rsidR="004A5AEE" w:rsidRDefault="004A5AEE" w:rsidP="004A5AEE">
      <w:pPr>
        <w:pStyle w:val="Paragraphnonumber"/>
        <w:rPr>
          <w:b/>
          <w:bCs/>
        </w:rPr>
      </w:pPr>
      <w:r>
        <w:rPr>
          <w:b/>
          <w:bCs/>
        </w:rPr>
        <w:t>Social rights</w:t>
      </w:r>
    </w:p>
    <w:p w14:paraId="13D01990" w14:textId="77777777" w:rsidR="004A5AEE" w:rsidRDefault="004A5AEE" w:rsidP="004A5AEE">
      <w:pPr>
        <w:pStyle w:val="Paragraphnonumber"/>
      </w:pPr>
      <w:r>
        <w:t xml:space="preserve">The Commissioner notes </w:t>
      </w:r>
      <w:r w:rsidRPr="0069199C">
        <w:t>that social rights are often not seen as legally binding obligations, but rather considered subject to the availability of resources. She</w:t>
      </w:r>
      <w:r>
        <w:t xml:space="preserve"> notes that the high levels of poverty and social exclusion in Germany are disproportionate to the wealth of the country. Persistent narratives in political discourse and the media that people become dependent on social support, </w:t>
      </w:r>
      <w:proofErr w:type="gramStart"/>
      <w:r>
        <w:t>as a result of</w:t>
      </w:r>
      <w:proofErr w:type="gramEnd"/>
      <w:r>
        <w:t xml:space="preserve"> indolence or negligence, rather than structural and inter-generational disadvantage and exclusion, continues to hamper effective access to social rights. Poverty is</w:t>
      </w:r>
      <w:r>
        <w:rPr>
          <w:lang w:val="en-US"/>
        </w:rPr>
        <w:t xml:space="preserve"> particularly prevalent among children, older persons, and persons with disabilities.</w:t>
      </w:r>
    </w:p>
    <w:p w14:paraId="31715E96" w14:textId="77777777" w:rsidR="004A5AEE" w:rsidRDefault="004A5AEE" w:rsidP="004A5AEE">
      <w:pPr>
        <w:pStyle w:val="Paragraphnonumber"/>
      </w:pPr>
      <w:r>
        <w:t>The government has taken welcome steps to render the social welfare system more accessible and increase social security provisions. More efforts are required, however, to address growing inequality in Germany, remove the existing barriers to accessing social rights, and minimise the negative long-term impacts of poverty on individual health, education, and employment prospects.</w:t>
      </w:r>
      <w:bookmarkStart w:id="8" w:name="_Hlk157690789"/>
      <w:r>
        <w:t xml:space="preserve"> Increased attention must be paid in this context to addressing the high rates of poverty among the most disadvantaged groups. All relevant actors should cooperate at an inter-agency and inter-ministerial level in the interest of beneficiaries, and rights-holders should be provided with timely information and advice about their entitlements. The Commissioner calls on the authorities to accept all provisions of the European Social Charter, accept to be bound by the Collective Complaints procedure, and ensure that all social policy developments and implementation are informed by relevant international and European standards and guidance. </w:t>
      </w:r>
    </w:p>
    <w:bookmarkEnd w:id="8"/>
    <w:p w14:paraId="65467FF3" w14:textId="77777777" w:rsidR="004A5AEE" w:rsidRDefault="004A5AEE" w:rsidP="004A5AEE">
      <w:pPr>
        <w:pStyle w:val="Paragraphnonumber"/>
      </w:pPr>
      <w:r>
        <w:t xml:space="preserve">The Commissioner is concerned about the rise in homelessness in Germany which affects a growing number of families and young people amid an acute shortage of affordable housing. Available emergency shelters frequently lack basic conditions and do not effectively protect their users from violence or human rights violations. The inability to keep up with rental payments regularly leads to evictions, even where this results in homelessness. Urgent steps must be taken to address the acute affordable housing deficit through all available means, including interventions in the housing market. Comprehensive and long-term measures are needed to prevent and eradicate homelessness, particularly among children, women, older persons, </w:t>
      </w:r>
      <w:proofErr w:type="gramStart"/>
      <w:r>
        <w:t>families</w:t>
      </w:r>
      <w:proofErr w:type="gramEnd"/>
      <w:r>
        <w:t xml:space="preserve"> and other vulnerable groups, including through changes to the tenancy law. The authorities should develop a human rights-based housing strategy and adopt the National Action Plan on the eradication of homelessness without delay.</w:t>
      </w:r>
    </w:p>
    <w:p w14:paraId="5CA776DA" w14:textId="77777777" w:rsidR="004A5AEE" w:rsidRDefault="004A5AEE" w:rsidP="004A5AEE">
      <w:pPr>
        <w:rPr>
          <w:lang w:val="en-GB"/>
        </w:rPr>
      </w:pPr>
    </w:p>
    <w:p w14:paraId="1F87606A" w14:textId="77777777" w:rsidR="004A5AEE" w:rsidRPr="00AF75F6" w:rsidRDefault="004A5AEE" w:rsidP="004A5AEE">
      <w:pPr>
        <w:rPr>
          <w:lang w:val="en-GB"/>
        </w:rPr>
      </w:pPr>
      <w:r w:rsidRPr="00AF75F6">
        <w:rPr>
          <w:lang w:val="en-GB"/>
        </w:rPr>
        <w:br w:type="page"/>
      </w:r>
    </w:p>
    <w:p w14:paraId="278A8678" w14:textId="77777777" w:rsidR="004A5AEE" w:rsidRPr="00773CE9" w:rsidRDefault="004A5AEE" w:rsidP="004A5AEE">
      <w:pPr>
        <w:pStyle w:val="Heading1"/>
        <w:ind w:left="357" w:hanging="357"/>
      </w:pPr>
      <w:bookmarkStart w:id="9" w:name="_Toc158636890"/>
      <w:bookmarkStart w:id="10" w:name="_Toc159582661"/>
      <w:r w:rsidRPr="00773CE9">
        <w:lastRenderedPageBreak/>
        <w:t>Introduction</w:t>
      </w:r>
      <w:bookmarkEnd w:id="5"/>
      <w:bookmarkEnd w:id="6"/>
      <w:bookmarkEnd w:id="7"/>
      <w:bookmarkEnd w:id="9"/>
      <w:bookmarkEnd w:id="10"/>
    </w:p>
    <w:p w14:paraId="085579C5" w14:textId="77777777" w:rsidR="004A5AEE" w:rsidRPr="00773CE9" w:rsidRDefault="004A5AEE" w:rsidP="004A5AEE">
      <w:pPr>
        <w:pStyle w:val="ListParagraph"/>
        <w:tabs>
          <w:tab w:val="clear" w:pos="567"/>
        </w:tabs>
      </w:pPr>
      <w:r w:rsidRPr="00773CE9">
        <w:t xml:space="preserve">The Commissioner for Human Rights of the Council of Europe, Dunja Mijatović (the Commissioner), carried out a visit to Germany from 27 November to 1 December 2023. The visit focused on the structures and legal frameworks in place to protect and promote human rights (chapter </w:t>
      </w:r>
      <w:r>
        <w:t>1</w:t>
      </w:r>
      <w:r w:rsidRPr="00773CE9">
        <w:t>)</w:t>
      </w:r>
      <w:r>
        <w:t xml:space="preserve"> and </w:t>
      </w:r>
      <w:r w:rsidRPr="00773CE9">
        <w:t>access to social rights</w:t>
      </w:r>
      <w:r>
        <w:t>, in particular</w:t>
      </w:r>
      <w:r w:rsidRPr="00773CE9">
        <w:t xml:space="preserve"> (chapter </w:t>
      </w:r>
      <w:r>
        <w:t>2</w:t>
      </w:r>
      <w:r w:rsidRPr="00773CE9">
        <w:t xml:space="preserve"> of this report). </w:t>
      </w:r>
    </w:p>
    <w:p w14:paraId="522D3BAE" w14:textId="77777777" w:rsidR="004A5AEE" w:rsidRPr="00773CE9" w:rsidRDefault="004A5AEE" w:rsidP="004A5AEE">
      <w:pPr>
        <w:pStyle w:val="ListParagraph"/>
        <w:tabs>
          <w:tab w:val="clear" w:pos="567"/>
        </w:tabs>
      </w:pPr>
      <w:r w:rsidRPr="00773CE9">
        <w:t xml:space="preserve">During the visit, the Commissioner met with the Federal Minister for Housing, Urban Development and Building Klara </w:t>
      </w:r>
      <w:proofErr w:type="spellStart"/>
      <w:r w:rsidRPr="00773CE9">
        <w:t>Geywitz</w:t>
      </w:r>
      <w:proofErr w:type="spellEnd"/>
      <w:r w:rsidRPr="00773CE9">
        <w:t xml:space="preserve">, the Minister of State for Europe and Climate Anna </w:t>
      </w:r>
      <w:proofErr w:type="spellStart"/>
      <w:r w:rsidRPr="00773CE9">
        <w:t>Lührmann</w:t>
      </w:r>
      <w:proofErr w:type="spellEnd"/>
      <w:r w:rsidRPr="00773CE9">
        <w:t xml:space="preserve">, the Federal Commissioner for the Affairs of Persons with Disabilities Jürgen </w:t>
      </w:r>
      <w:proofErr w:type="spellStart"/>
      <w:r w:rsidRPr="00773CE9">
        <w:t>Dusel</w:t>
      </w:r>
      <w:proofErr w:type="spellEnd"/>
      <w:r w:rsidRPr="00773CE9">
        <w:t xml:space="preserve">, the Federal Commissioner for Human Rights Policy and Humanitarian Assistance Luise </w:t>
      </w:r>
      <w:proofErr w:type="spellStart"/>
      <w:r w:rsidRPr="00773CE9">
        <w:t>Amtsberg</w:t>
      </w:r>
      <w:proofErr w:type="spellEnd"/>
      <w:r w:rsidRPr="00773CE9">
        <w:t xml:space="preserve">, State Secretary </w:t>
      </w:r>
      <w:r>
        <w:t>of</w:t>
      </w:r>
      <w:r w:rsidRPr="00773CE9">
        <w:t xml:space="preserve"> the Federal Ministry for Family, Seniors, Women and Youth</w:t>
      </w:r>
      <w:r>
        <w:t xml:space="preserve"> (BMFSFJ) </w:t>
      </w:r>
      <w:r w:rsidRPr="00773CE9">
        <w:t>Margit Gottstein, State Secretary</w:t>
      </w:r>
      <w:r w:rsidR="004D1559">
        <w:t xml:space="preserve"> </w:t>
      </w:r>
      <w:r>
        <w:t>of</w:t>
      </w:r>
      <w:r w:rsidRPr="00773CE9">
        <w:t xml:space="preserve"> the Ministry of Justice, State Secretary</w:t>
      </w:r>
      <w:r>
        <w:t xml:space="preserve"> </w:t>
      </w:r>
      <w:r w:rsidRPr="00773CE9">
        <w:t xml:space="preserve">Angelika </w:t>
      </w:r>
      <w:proofErr w:type="spellStart"/>
      <w:r w:rsidRPr="00773CE9">
        <w:t>Schlunck</w:t>
      </w:r>
      <w:proofErr w:type="spellEnd"/>
      <w:r>
        <w:t>,</w:t>
      </w:r>
      <w:r w:rsidR="004D1559">
        <w:t xml:space="preserve"> </w:t>
      </w:r>
      <w:r>
        <w:t xml:space="preserve">State Secretary of </w:t>
      </w:r>
      <w:r w:rsidRPr="00773CE9">
        <w:t>the Federal Ministry of Labour and Social Affairs</w:t>
      </w:r>
      <w:r>
        <w:t xml:space="preserve"> (BMAS) </w:t>
      </w:r>
      <w:r w:rsidRPr="00773CE9">
        <w:t xml:space="preserve">Rolf </w:t>
      </w:r>
      <w:proofErr w:type="spellStart"/>
      <w:r w:rsidRPr="00773CE9">
        <w:t>Schmachtenberg</w:t>
      </w:r>
      <w:proofErr w:type="spellEnd"/>
      <w:r w:rsidRPr="00773CE9">
        <w:t xml:space="preserve">, and the Parliamentary Committee on Human Rights and Humanitarian Aid. In Saxony, the Commissioner met with the Saxon State Minister for Social Affairs and Social Cohesion Petra </w:t>
      </w:r>
      <w:proofErr w:type="spellStart"/>
      <w:r w:rsidRPr="00773CE9">
        <w:t>Köpping</w:t>
      </w:r>
      <w:proofErr w:type="spellEnd"/>
      <w:r w:rsidRPr="00773CE9">
        <w:t xml:space="preserve"> and the Commissioner for Children and Youth of Saxony Susann </w:t>
      </w:r>
      <w:proofErr w:type="spellStart"/>
      <w:r w:rsidRPr="00773CE9">
        <w:t>Rüthrich</w:t>
      </w:r>
      <w:proofErr w:type="spellEnd"/>
      <w:r w:rsidRPr="00773CE9">
        <w:t xml:space="preserve">. She also met with the Director of the German Institute for Human Rights </w:t>
      </w:r>
      <w:r>
        <w:t xml:space="preserve">(GIHR) </w:t>
      </w:r>
      <w:proofErr w:type="spellStart"/>
      <w:r w:rsidRPr="00773CE9">
        <w:t>Beate</w:t>
      </w:r>
      <w:proofErr w:type="spellEnd"/>
      <w:r w:rsidRPr="00773CE9">
        <w:t xml:space="preserve"> Rudolf, the Independent Federal Anti-Discrimination Commissioner </w:t>
      </w:r>
      <w:proofErr w:type="spellStart"/>
      <w:r w:rsidRPr="00773CE9">
        <w:t>Ferda</w:t>
      </w:r>
      <w:proofErr w:type="spellEnd"/>
      <w:r w:rsidRPr="00773CE9">
        <w:t xml:space="preserve"> Ataman, as well as a wide range of civil society actors working on the topics covered, children and yo</w:t>
      </w:r>
      <w:r>
        <w:t>ung people</w:t>
      </w:r>
      <w:r w:rsidRPr="00773CE9">
        <w:t>,</w:t>
      </w:r>
      <w:r>
        <w:t xml:space="preserve"> </w:t>
      </w:r>
      <w:r w:rsidRPr="00773CE9">
        <w:t>self-representative organisations of persons with disabilities, anti-discrimination advice centres</w:t>
      </w:r>
      <w:r>
        <w:t>, and people experiencing poverty and homelessness</w:t>
      </w:r>
      <w:r w:rsidRPr="00773CE9">
        <w:t xml:space="preserve">. </w:t>
      </w:r>
    </w:p>
    <w:p w14:paraId="2C575622" w14:textId="77777777" w:rsidR="004A5AEE" w:rsidRPr="00773CE9" w:rsidRDefault="004A5AEE" w:rsidP="004A5AEE">
      <w:pPr>
        <w:pStyle w:val="ListParagraph"/>
        <w:tabs>
          <w:tab w:val="clear" w:pos="567"/>
        </w:tabs>
      </w:pPr>
      <w:r w:rsidRPr="00773CE9">
        <w:t>The Commissioner would like to thank the German Permanent Representation in Strasbourg and the authorities in Berlin for their assistance in organising her visit. She expresses her gratitude to all interlocutors in Germany for sharing with her their knowledge and experience.</w:t>
      </w:r>
      <w:r>
        <w:rPr>
          <w:rStyle w:val="FootnoteReference"/>
        </w:rPr>
        <w:footnoteReference w:id="1"/>
      </w:r>
      <w:r>
        <w:t xml:space="preserve"> The Commissioner was particularly impressed by the openness of the people she met and their willingness to share their personal stories and hardship. She is inspired by the many volunteers and activists who work incessantly to assist and help the most vulnerable members of society across Germany.</w:t>
      </w:r>
    </w:p>
    <w:p w14:paraId="2D901A9D" w14:textId="77777777" w:rsidR="004A5AEE" w:rsidRPr="00773CE9" w:rsidRDefault="004A5AEE" w:rsidP="001E13EC">
      <w:pPr>
        <w:pStyle w:val="Heading1"/>
        <w:numPr>
          <w:ilvl w:val="0"/>
          <w:numId w:val="24"/>
        </w:numPr>
        <w:ind w:left="284" w:hanging="284"/>
        <w:jc w:val="both"/>
      </w:pPr>
      <w:bookmarkStart w:id="11" w:name="_Toc152669914"/>
      <w:bookmarkStart w:id="12" w:name="_Toc152669945"/>
      <w:bookmarkStart w:id="13" w:name="_Toc158636891"/>
      <w:bookmarkStart w:id="14" w:name="_Toc159582662"/>
      <w:bookmarkStart w:id="15" w:name="_Hlk156303128"/>
      <w:r w:rsidRPr="00773CE9">
        <w:t xml:space="preserve">STRUCTURES and legal frameworks </w:t>
      </w:r>
      <w:r>
        <w:t>to protect and promote</w:t>
      </w:r>
      <w:r w:rsidRPr="00773CE9">
        <w:t xml:space="preserve"> HUMAN RIGHTS</w:t>
      </w:r>
      <w:bookmarkEnd w:id="11"/>
      <w:bookmarkEnd w:id="12"/>
      <w:bookmarkEnd w:id="13"/>
      <w:bookmarkEnd w:id="14"/>
    </w:p>
    <w:p w14:paraId="0C59BEB9" w14:textId="77777777" w:rsidR="004A5AEE" w:rsidRDefault="004A5AEE" w:rsidP="004A5AEE">
      <w:pPr>
        <w:pStyle w:val="ListParagraph"/>
        <w:tabs>
          <w:tab w:val="clear" w:pos="567"/>
        </w:tabs>
        <w:rPr>
          <w:rFonts w:asciiTheme="minorHAnsi" w:hAnsiTheme="minorHAnsi" w:cstheme="minorHAnsi"/>
          <w:bCs/>
        </w:rPr>
      </w:pPr>
      <w:r w:rsidRPr="00D14B83">
        <w:rPr>
          <w:rFonts w:asciiTheme="minorHAnsi" w:hAnsiTheme="minorHAnsi" w:cstheme="minorHAnsi"/>
          <w:bCs/>
        </w:rPr>
        <w:t>International human rights obligations are habitually considered a foreign affairs matter in Germany</w:t>
      </w:r>
      <w:r>
        <w:rPr>
          <w:rFonts w:asciiTheme="minorHAnsi" w:hAnsiTheme="minorHAnsi" w:cstheme="minorHAnsi"/>
          <w:bCs/>
        </w:rPr>
        <w:t>,</w:t>
      </w:r>
      <w:r w:rsidRPr="00D14B83">
        <w:rPr>
          <w:rFonts w:asciiTheme="minorHAnsi" w:hAnsiTheme="minorHAnsi" w:cstheme="minorHAnsi"/>
          <w:bCs/>
        </w:rPr>
        <w:t xml:space="preserve"> while the </w:t>
      </w:r>
      <w:r>
        <w:rPr>
          <w:rFonts w:asciiTheme="minorHAnsi" w:hAnsiTheme="minorHAnsi" w:cstheme="minorHAnsi"/>
          <w:bCs/>
        </w:rPr>
        <w:t>C</w:t>
      </w:r>
      <w:r w:rsidRPr="00D14B83">
        <w:rPr>
          <w:rFonts w:asciiTheme="minorHAnsi" w:hAnsiTheme="minorHAnsi" w:cstheme="minorHAnsi"/>
          <w:bCs/>
        </w:rPr>
        <w:t>onstitution</w:t>
      </w:r>
      <w:r>
        <w:rPr>
          <w:rFonts w:asciiTheme="minorHAnsi" w:hAnsiTheme="minorHAnsi" w:cstheme="minorHAnsi"/>
          <w:bCs/>
        </w:rPr>
        <w:t xml:space="preserve"> (</w:t>
      </w:r>
      <w:proofErr w:type="spellStart"/>
      <w:r>
        <w:rPr>
          <w:rFonts w:asciiTheme="minorHAnsi" w:hAnsiTheme="minorHAnsi" w:cstheme="minorHAnsi"/>
          <w:bCs/>
        </w:rPr>
        <w:t>Grundgesetz</w:t>
      </w:r>
      <w:proofErr w:type="spellEnd"/>
      <w:r>
        <w:rPr>
          <w:rFonts w:asciiTheme="minorHAnsi" w:hAnsiTheme="minorHAnsi" w:cstheme="minorHAnsi"/>
          <w:bCs/>
        </w:rPr>
        <w:t>)</w:t>
      </w:r>
      <w:r w:rsidRPr="00D14B83">
        <w:rPr>
          <w:rFonts w:asciiTheme="minorHAnsi" w:hAnsiTheme="minorHAnsi" w:cstheme="minorHAnsi"/>
          <w:bCs/>
        </w:rPr>
        <w:t xml:space="preserve"> and the court system are relied upon as guarantors for the protection of human rights in the country.</w:t>
      </w:r>
      <w:r w:rsidRPr="00773CE9">
        <w:rPr>
          <w:rStyle w:val="FootnoteReference"/>
          <w:rFonts w:asciiTheme="minorHAnsi" w:hAnsiTheme="minorHAnsi" w:cstheme="minorHAnsi"/>
          <w:bCs/>
        </w:rPr>
        <w:footnoteReference w:id="2"/>
      </w:r>
      <w:r>
        <w:rPr>
          <w:rFonts w:asciiTheme="minorHAnsi" w:hAnsiTheme="minorHAnsi" w:cstheme="minorHAnsi"/>
          <w:bCs/>
        </w:rPr>
        <w:t xml:space="preserve"> According to the discussions held during her visit, the Commissioner understands that international human rights standards generally, and social rights in particular, are very rarely invoked before national courts, either because they are not known, or because they are not considered applicable. In terms of accessing the courts, ongoing </w:t>
      </w:r>
      <w:r w:rsidRPr="0097244E">
        <w:rPr>
          <w:rFonts w:asciiTheme="minorHAnsi" w:hAnsiTheme="minorHAnsi" w:cstheme="minorHAnsi"/>
          <w:bCs/>
        </w:rPr>
        <w:t xml:space="preserve">research suggests that </w:t>
      </w:r>
      <w:r>
        <w:rPr>
          <w:rFonts w:asciiTheme="minorHAnsi" w:hAnsiTheme="minorHAnsi" w:cstheme="minorHAnsi"/>
          <w:bCs/>
        </w:rPr>
        <w:t xml:space="preserve">there are shortcomings regarding the equality of </w:t>
      </w:r>
      <w:r w:rsidRPr="0097244E">
        <w:rPr>
          <w:rFonts w:asciiTheme="minorHAnsi" w:hAnsiTheme="minorHAnsi" w:cstheme="minorHAnsi"/>
          <w:bCs/>
        </w:rPr>
        <w:t>access to justice</w:t>
      </w:r>
      <w:r>
        <w:rPr>
          <w:rFonts w:asciiTheme="minorHAnsi" w:hAnsiTheme="minorHAnsi" w:cstheme="minorHAnsi"/>
          <w:bCs/>
        </w:rPr>
        <w:t xml:space="preserve"> in Germany owing t</w:t>
      </w:r>
      <w:r w:rsidRPr="0097244E">
        <w:rPr>
          <w:rFonts w:asciiTheme="minorHAnsi" w:hAnsiTheme="minorHAnsi" w:cstheme="minorHAnsi"/>
          <w:bCs/>
        </w:rPr>
        <w:t xml:space="preserve">o </w:t>
      </w:r>
      <w:r>
        <w:rPr>
          <w:rFonts w:asciiTheme="minorHAnsi" w:hAnsiTheme="minorHAnsi" w:cstheme="minorHAnsi"/>
          <w:bCs/>
        </w:rPr>
        <w:t xml:space="preserve">a </w:t>
      </w:r>
      <w:r w:rsidRPr="0097244E">
        <w:rPr>
          <w:rFonts w:asciiTheme="minorHAnsi" w:hAnsiTheme="minorHAnsi" w:cstheme="minorHAnsi"/>
          <w:bCs/>
        </w:rPr>
        <w:t>vari</w:t>
      </w:r>
      <w:r>
        <w:rPr>
          <w:rFonts w:asciiTheme="minorHAnsi" w:hAnsiTheme="minorHAnsi" w:cstheme="minorHAnsi"/>
          <w:bCs/>
        </w:rPr>
        <w:t xml:space="preserve">ety of reasons, including </w:t>
      </w:r>
      <w:r w:rsidRPr="0097244E">
        <w:rPr>
          <w:rFonts w:asciiTheme="minorHAnsi" w:hAnsiTheme="minorHAnsi" w:cstheme="minorHAnsi"/>
          <w:bCs/>
        </w:rPr>
        <w:t>economic and social barriers.</w:t>
      </w:r>
      <w:r>
        <w:rPr>
          <w:rStyle w:val="FootnoteReference"/>
          <w:rFonts w:asciiTheme="minorHAnsi" w:hAnsiTheme="minorHAnsi" w:cstheme="minorHAnsi"/>
          <w:bCs/>
        </w:rPr>
        <w:footnoteReference w:id="3"/>
      </w:r>
      <w:r w:rsidRPr="0097244E">
        <w:rPr>
          <w:rFonts w:asciiTheme="minorHAnsi" w:hAnsiTheme="minorHAnsi" w:cstheme="minorHAnsi"/>
          <w:bCs/>
        </w:rPr>
        <w:t xml:space="preserve"> </w:t>
      </w:r>
    </w:p>
    <w:p w14:paraId="69F66FD5" w14:textId="77777777" w:rsidR="004A5AEE" w:rsidRPr="00D14B83" w:rsidRDefault="004A5AEE" w:rsidP="004A5AEE">
      <w:pPr>
        <w:pStyle w:val="ListParagraph"/>
        <w:tabs>
          <w:tab w:val="clear" w:pos="567"/>
        </w:tabs>
        <w:rPr>
          <w:rFonts w:asciiTheme="minorHAnsi" w:hAnsiTheme="minorHAnsi" w:cstheme="minorHAnsi"/>
          <w:bCs/>
        </w:rPr>
      </w:pPr>
      <w:r w:rsidRPr="0097244E">
        <w:rPr>
          <w:rFonts w:asciiTheme="minorHAnsi" w:hAnsiTheme="minorHAnsi" w:cstheme="minorHAnsi"/>
          <w:bCs/>
        </w:rPr>
        <w:t>The G</w:t>
      </w:r>
      <w:r>
        <w:rPr>
          <w:rFonts w:asciiTheme="minorHAnsi" w:hAnsiTheme="minorHAnsi" w:cstheme="minorHAnsi"/>
          <w:bCs/>
        </w:rPr>
        <w:t>erman Institute for Human Rights (G</w:t>
      </w:r>
      <w:r w:rsidRPr="0097244E">
        <w:rPr>
          <w:rFonts w:asciiTheme="minorHAnsi" w:hAnsiTheme="minorHAnsi" w:cstheme="minorHAnsi"/>
          <w:bCs/>
        </w:rPr>
        <w:t>IHR</w:t>
      </w:r>
      <w:r>
        <w:rPr>
          <w:rFonts w:asciiTheme="minorHAnsi" w:hAnsiTheme="minorHAnsi" w:cstheme="minorHAnsi"/>
          <w:bCs/>
        </w:rPr>
        <w:t xml:space="preserve">), </w:t>
      </w:r>
      <w:r w:rsidRPr="00D14B83">
        <w:rPr>
          <w:rFonts w:asciiTheme="minorHAnsi" w:hAnsiTheme="minorHAnsi" w:cstheme="minorHAnsi"/>
          <w:bCs/>
        </w:rPr>
        <w:t>Germany’s national human rights institution</w:t>
      </w:r>
      <w:r>
        <w:rPr>
          <w:rFonts w:asciiTheme="minorHAnsi" w:hAnsiTheme="minorHAnsi" w:cstheme="minorHAnsi"/>
          <w:bCs/>
        </w:rPr>
        <w:t>,</w:t>
      </w:r>
      <w:r w:rsidRPr="0097244E">
        <w:rPr>
          <w:rFonts w:asciiTheme="minorHAnsi" w:hAnsiTheme="minorHAnsi" w:cstheme="minorHAnsi"/>
          <w:bCs/>
        </w:rPr>
        <w:t xml:space="preserve"> was established in 2001 with</w:t>
      </w:r>
      <w:r w:rsidRPr="00D14B83">
        <w:rPr>
          <w:rFonts w:asciiTheme="minorHAnsi" w:hAnsiTheme="minorHAnsi" w:cstheme="minorHAnsi"/>
          <w:bCs/>
        </w:rPr>
        <w:t xml:space="preserve"> the mandate to report</w:t>
      </w:r>
      <w:r>
        <w:rPr>
          <w:rFonts w:asciiTheme="minorHAnsi" w:hAnsiTheme="minorHAnsi" w:cstheme="minorHAnsi"/>
          <w:bCs/>
        </w:rPr>
        <w:t xml:space="preserve"> on</w:t>
      </w:r>
      <w:r w:rsidRPr="00D14B83">
        <w:rPr>
          <w:rFonts w:asciiTheme="minorHAnsi" w:hAnsiTheme="minorHAnsi" w:cstheme="minorHAnsi"/>
          <w:bCs/>
        </w:rPr>
        <w:t xml:space="preserve"> and raise awareness o</w:t>
      </w:r>
      <w:r>
        <w:rPr>
          <w:rFonts w:asciiTheme="minorHAnsi" w:hAnsiTheme="minorHAnsi" w:cstheme="minorHAnsi"/>
          <w:bCs/>
        </w:rPr>
        <w:t>f</w:t>
      </w:r>
      <w:r w:rsidRPr="00D14B83">
        <w:rPr>
          <w:rFonts w:asciiTheme="minorHAnsi" w:hAnsiTheme="minorHAnsi" w:cstheme="minorHAnsi"/>
          <w:bCs/>
        </w:rPr>
        <w:t xml:space="preserve"> human rights in Germany and </w:t>
      </w:r>
      <w:proofErr w:type="gramStart"/>
      <w:r w:rsidRPr="00D14B83">
        <w:rPr>
          <w:rFonts w:asciiTheme="minorHAnsi" w:hAnsiTheme="minorHAnsi" w:cstheme="minorHAnsi"/>
          <w:bCs/>
        </w:rPr>
        <w:t>abroad</w:t>
      </w:r>
      <w:r>
        <w:rPr>
          <w:rFonts w:asciiTheme="minorHAnsi" w:hAnsiTheme="minorHAnsi" w:cstheme="minorHAnsi"/>
          <w:bCs/>
        </w:rPr>
        <w:t>,</w:t>
      </w:r>
      <w:r w:rsidRPr="00D14B83">
        <w:rPr>
          <w:rFonts w:asciiTheme="minorHAnsi" w:hAnsiTheme="minorHAnsi" w:cstheme="minorHAnsi"/>
          <w:bCs/>
        </w:rPr>
        <w:t xml:space="preserve"> and</w:t>
      </w:r>
      <w:proofErr w:type="gramEnd"/>
      <w:r w:rsidRPr="00D14B83">
        <w:rPr>
          <w:rFonts w:asciiTheme="minorHAnsi" w:hAnsiTheme="minorHAnsi" w:cstheme="minorHAnsi"/>
          <w:bCs/>
        </w:rPr>
        <w:t xml:space="preserve"> contribute to the prevention of human rights violations. </w:t>
      </w:r>
      <w:r>
        <w:rPr>
          <w:rFonts w:asciiTheme="minorHAnsi" w:hAnsiTheme="minorHAnsi" w:cstheme="minorHAnsi"/>
          <w:bCs/>
        </w:rPr>
        <w:t xml:space="preserve">It was </w:t>
      </w:r>
      <w:r w:rsidRPr="00D14B83">
        <w:rPr>
          <w:rFonts w:asciiTheme="minorHAnsi" w:hAnsiTheme="minorHAnsi" w:cstheme="minorHAnsi"/>
          <w:bCs/>
        </w:rPr>
        <w:t xml:space="preserve">created </w:t>
      </w:r>
      <w:proofErr w:type="gramStart"/>
      <w:r w:rsidRPr="00D14B83">
        <w:rPr>
          <w:rFonts w:asciiTheme="minorHAnsi" w:hAnsiTheme="minorHAnsi" w:cstheme="minorHAnsi"/>
          <w:bCs/>
        </w:rPr>
        <w:t>on the basis of</w:t>
      </w:r>
      <w:proofErr w:type="gramEnd"/>
      <w:r w:rsidRPr="00D14B83">
        <w:rPr>
          <w:rFonts w:asciiTheme="minorHAnsi" w:hAnsiTheme="minorHAnsi" w:cstheme="minorHAnsi"/>
          <w:bCs/>
        </w:rPr>
        <w:t xml:space="preserve"> the UN Paris Principles and accredited with </w:t>
      </w:r>
      <w:r>
        <w:rPr>
          <w:rFonts w:asciiTheme="minorHAnsi" w:hAnsiTheme="minorHAnsi" w:cstheme="minorHAnsi"/>
          <w:bCs/>
        </w:rPr>
        <w:t>A s</w:t>
      </w:r>
      <w:r w:rsidRPr="00D14B83">
        <w:rPr>
          <w:rFonts w:asciiTheme="minorHAnsi" w:hAnsiTheme="minorHAnsi" w:cstheme="minorHAnsi"/>
          <w:bCs/>
        </w:rPr>
        <w:t xml:space="preserve">tatus </w:t>
      </w:r>
      <w:r>
        <w:rPr>
          <w:rFonts w:asciiTheme="minorHAnsi" w:hAnsiTheme="minorHAnsi" w:cstheme="minorHAnsi"/>
          <w:bCs/>
        </w:rPr>
        <w:t>b</w:t>
      </w:r>
      <w:r w:rsidRPr="00D14B83">
        <w:rPr>
          <w:rFonts w:asciiTheme="minorHAnsi" w:hAnsiTheme="minorHAnsi" w:cstheme="minorHAnsi"/>
          <w:bCs/>
        </w:rPr>
        <w:t>y the UN Global Alliance of NHRIs. It is also mandated to provide policy advice</w:t>
      </w:r>
      <w:r>
        <w:rPr>
          <w:rFonts w:asciiTheme="minorHAnsi" w:hAnsiTheme="minorHAnsi" w:cstheme="minorHAnsi"/>
          <w:bCs/>
        </w:rPr>
        <w:t xml:space="preserve"> and</w:t>
      </w:r>
      <w:r w:rsidRPr="00D14B83">
        <w:rPr>
          <w:rFonts w:asciiTheme="minorHAnsi" w:hAnsiTheme="minorHAnsi" w:cstheme="minorHAnsi"/>
          <w:bCs/>
        </w:rPr>
        <w:t xml:space="preserve"> conduct applied research on human rights issues</w:t>
      </w:r>
      <w:r>
        <w:rPr>
          <w:rFonts w:asciiTheme="minorHAnsi" w:hAnsiTheme="minorHAnsi" w:cstheme="minorHAnsi"/>
          <w:bCs/>
        </w:rPr>
        <w:t>.</w:t>
      </w:r>
      <w:r w:rsidRPr="00D14B83">
        <w:rPr>
          <w:rFonts w:asciiTheme="minorHAnsi" w:hAnsiTheme="minorHAnsi" w:cstheme="minorHAnsi"/>
          <w:bCs/>
        </w:rPr>
        <w:t xml:space="preserve"> </w:t>
      </w:r>
      <w:r w:rsidRPr="00DF1FC0">
        <w:rPr>
          <w:rFonts w:asciiTheme="minorHAnsi" w:hAnsiTheme="minorHAnsi" w:cstheme="minorHAnsi"/>
          <w:bCs/>
        </w:rPr>
        <w:lastRenderedPageBreak/>
        <w:t xml:space="preserve">The GIHR has set up a monitoring body for the </w:t>
      </w:r>
      <w:r>
        <w:rPr>
          <w:rFonts w:asciiTheme="minorHAnsi" w:hAnsiTheme="minorHAnsi" w:cstheme="minorHAnsi"/>
          <w:bCs/>
        </w:rPr>
        <w:t xml:space="preserve">UN Convention on the Rights of the Child (CRC) </w:t>
      </w:r>
      <w:r w:rsidRPr="00DF1FC0">
        <w:rPr>
          <w:rFonts w:asciiTheme="minorHAnsi" w:hAnsiTheme="minorHAnsi" w:cstheme="minorHAnsi"/>
          <w:bCs/>
        </w:rPr>
        <w:t xml:space="preserve">and was designated as </w:t>
      </w:r>
      <w:r>
        <w:rPr>
          <w:rFonts w:asciiTheme="minorHAnsi" w:hAnsiTheme="minorHAnsi" w:cstheme="minorHAnsi"/>
          <w:bCs/>
        </w:rPr>
        <w:t xml:space="preserve">the </w:t>
      </w:r>
      <w:r w:rsidRPr="00DF1FC0">
        <w:rPr>
          <w:rFonts w:asciiTheme="minorHAnsi" w:hAnsiTheme="minorHAnsi" w:cstheme="minorHAnsi"/>
          <w:bCs/>
        </w:rPr>
        <w:t>National Monitoring Mechanism for the UN Convention on the Rights of Persons with Disabilities</w:t>
      </w:r>
      <w:r>
        <w:rPr>
          <w:rFonts w:asciiTheme="minorHAnsi" w:hAnsiTheme="minorHAnsi" w:cstheme="minorHAnsi"/>
          <w:bCs/>
        </w:rPr>
        <w:t xml:space="preserve"> (CRPD)</w:t>
      </w:r>
      <w:r w:rsidRPr="00DF1FC0">
        <w:rPr>
          <w:rFonts w:asciiTheme="minorHAnsi" w:hAnsiTheme="minorHAnsi" w:cstheme="minorHAnsi"/>
          <w:bCs/>
        </w:rPr>
        <w:t xml:space="preserve">. Since November 2022, the GIHR has been entrusted by the </w:t>
      </w:r>
      <w:r>
        <w:rPr>
          <w:rFonts w:asciiTheme="minorHAnsi" w:hAnsiTheme="minorHAnsi" w:cstheme="minorHAnsi"/>
          <w:bCs/>
        </w:rPr>
        <w:t>f</w:t>
      </w:r>
      <w:r w:rsidRPr="00DF1FC0">
        <w:rPr>
          <w:rFonts w:asciiTheme="minorHAnsi" w:hAnsiTheme="minorHAnsi" w:cstheme="minorHAnsi"/>
          <w:bCs/>
        </w:rPr>
        <w:t xml:space="preserve">ederal </w:t>
      </w:r>
      <w:r>
        <w:rPr>
          <w:rFonts w:asciiTheme="minorHAnsi" w:hAnsiTheme="minorHAnsi" w:cstheme="minorHAnsi"/>
          <w:bCs/>
        </w:rPr>
        <w:t>g</w:t>
      </w:r>
      <w:r w:rsidRPr="00DF1FC0">
        <w:rPr>
          <w:rFonts w:asciiTheme="minorHAnsi" w:hAnsiTheme="minorHAnsi" w:cstheme="minorHAnsi"/>
          <w:bCs/>
        </w:rPr>
        <w:t>overnment with continuous and independent national reporting on the implementation of the Council of Europe Convention on Action against Trafficking in Human Beings.</w:t>
      </w:r>
      <w:r>
        <w:rPr>
          <w:rFonts w:asciiTheme="minorHAnsi" w:hAnsiTheme="minorHAnsi" w:cstheme="minorHAnsi"/>
          <w:bCs/>
        </w:rPr>
        <w:t xml:space="preserve"> </w:t>
      </w:r>
      <w:r w:rsidRPr="00D14B83">
        <w:rPr>
          <w:rFonts w:asciiTheme="minorHAnsi" w:hAnsiTheme="minorHAnsi" w:cstheme="minorHAnsi"/>
          <w:bCs/>
        </w:rPr>
        <w:t xml:space="preserve">The Commissioner welcomes the fact that the </w:t>
      </w:r>
      <w:r>
        <w:rPr>
          <w:rFonts w:asciiTheme="minorHAnsi" w:hAnsiTheme="minorHAnsi" w:cstheme="minorHAnsi"/>
          <w:bCs/>
        </w:rPr>
        <w:t xml:space="preserve">institute </w:t>
      </w:r>
      <w:r w:rsidRPr="00D14B83">
        <w:rPr>
          <w:rFonts w:asciiTheme="minorHAnsi" w:hAnsiTheme="minorHAnsi" w:cstheme="minorHAnsi"/>
          <w:bCs/>
        </w:rPr>
        <w:t>continues to enjoy broad support and is highly respected for its independence</w:t>
      </w:r>
      <w:r w:rsidRPr="00DA4818">
        <w:rPr>
          <w:rFonts w:asciiTheme="minorHAnsi" w:hAnsiTheme="minorHAnsi" w:cstheme="minorHAnsi"/>
          <w:bCs/>
          <w:lang w:val="en-US"/>
        </w:rPr>
        <w:t xml:space="preserve"> and expertise.</w:t>
      </w:r>
    </w:p>
    <w:p w14:paraId="2E2D3A29" w14:textId="77777777" w:rsidR="004A5AEE" w:rsidRDefault="004A5AEE" w:rsidP="004A5AEE">
      <w:pPr>
        <w:pStyle w:val="ListParagraph"/>
        <w:tabs>
          <w:tab w:val="clear" w:pos="567"/>
        </w:tabs>
        <w:rPr>
          <w:rFonts w:asciiTheme="minorHAnsi" w:hAnsiTheme="minorHAnsi" w:cstheme="minorHAnsi"/>
          <w:bCs/>
        </w:rPr>
      </w:pPr>
      <w:r>
        <w:rPr>
          <w:rFonts w:asciiTheme="minorHAnsi" w:hAnsiTheme="minorHAnsi" w:cstheme="minorHAnsi"/>
          <w:bCs/>
        </w:rPr>
        <w:t>In 2015, t</w:t>
      </w:r>
      <w:r w:rsidRPr="00C617F8">
        <w:rPr>
          <w:rFonts w:asciiTheme="minorHAnsi" w:hAnsiTheme="minorHAnsi" w:cstheme="minorHAnsi"/>
          <w:bCs/>
        </w:rPr>
        <w:t>he Commissioner’s predecessor recommended the strengthening of the GIHR, including as regards investigation powers, the ability to file judicial complaints, independence and composition of the GIHR's governance body, and resources.</w:t>
      </w:r>
      <w:r>
        <w:rPr>
          <w:rStyle w:val="FootnoteReference"/>
          <w:rFonts w:asciiTheme="minorHAnsi" w:hAnsiTheme="minorHAnsi" w:cstheme="minorHAnsi"/>
          <w:bCs/>
        </w:rPr>
        <w:footnoteReference w:id="4"/>
      </w:r>
      <w:r w:rsidRPr="00C617F8">
        <w:rPr>
          <w:rFonts w:asciiTheme="minorHAnsi" w:hAnsiTheme="minorHAnsi" w:cstheme="minorHAnsi"/>
          <w:bCs/>
        </w:rPr>
        <w:t xml:space="preserve"> </w:t>
      </w:r>
      <w:r w:rsidRPr="00DF1FC0">
        <w:rPr>
          <w:rFonts w:asciiTheme="minorHAnsi" w:hAnsiTheme="minorHAnsi" w:cstheme="minorHAnsi"/>
          <w:bCs/>
        </w:rPr>
        <w:t xml:space="preserve">While the Commissioner acknowledges a considerable increase in resources and expansion in responsibilities since then, several of the issues raised in 2015 </w:t>
      </w:r>
      <w:r w:rsidRPr="00C617F8">
        <w:rPr>
          <w:rFonts w:asciiTheme="minorHAnsi" w:hAnsiTheme="minorHAnsi" w:cstheme="minorHAnsi"/>
          <w:bCs/>
        </w:rPr>
        <w:t xml:space="preserve">have </w:t>
      </w:r>
      <w:r>
        <w:rPr>
          <w:rFonts w:asciiTheme="minorHAnsi" w:hAnsiTheme="minorHAnsi" w:cstheme="minorHAnsi"/>
          <w:bCs/>
        </w:rPr>
        <w:t xml:space="preserve">still </w:t>
      </w:r>
      <w:r w:rsidRPr="00C617F8">
        <w:rPr>
          <w:rFonts w:asciiTheme="minorHAnsi" w:hAnsiTheme="minorHAnsi" w:cstheme="minorHAnsi"/>
          <w:bCs/>
        </w:rPr>
        <w:t xml:space="preserve">not been addressed, as </w:t>
      </w:r>
      <w:r>
        <w:rPr>
          <w:rFonts w:asciiTheme="minorHAnsi" w:hAnsiTheme="minorHAnsi" w:cstheme="minorHAnsi"/>
          <w:bCs/>
        </w:rPr>
        <w:t>d</w:t>
      </w:r>
      <w:r w:rsidRPr="00C617F8">
        <w:rPr>
          <w:rFonts w:asciiTheme="minorHAnsi" w:hAnsiTheme="minorHAnsi" w:cstheme="minorHAnsi"/>
          <w:bCs/>
        </w:rPr>
        <w:t xml:space="preserve">ocumented in the </w:t>
      </w:r>
      <w:r>
        <w:rPr>
          <w:rFonts w:asciiTheme="minorHAnsi" w:hAnsiTheme="minorHAnsi" w:cstheme="minorHAnsi"/>
          <w:bCs/>
        </w:rPr>
        <w:t xml:space="preserve">recent </w:t>
      </w:r>
      <w:r w:rsidRPr="00C617F8">
        <w:rPr>
          <w:rFonts w:asciiTheme="minorHAnsi" w:hAnsiTheme="minorHAnsi" w:cstheme="minorHAnsi"/>
          <w:bCs/>
        </w:rPr>
        <w:t>accreditation process of the GIHR.</w:t>
      </w:r>
      <w:r>
        <w:rPr>
          <w:rStyle w:val="FootnoteReference"/>
          <w:rFonts w:asciiTheme="minorHAnsi" w:hAnsiTheme="minorHAnsi" w:cstheme="minorHAnsi"/>
          <w:bCs/>
        </w:rPr>
        <w:footnoteReference w:id="5"/>
      </w:r>
      <w:r w:rsidRPr="00C617F8">
        <w:rPr>
          <w:rFonts w:asciiTheme="minorHAnsi" w:hAnsiTheme="minorHAnsi" w:cstheme="minorHAnsi"/>
          <w:bCs/>
        </w:rPr>
        <w:t xml:space="preserve"> </w:t>
      </w:r>
      <w:r>
        <w:rPr>
          <w:rFonts w:asciiTheme="minorHAnsi" w:hAnsiTheme="minorHAnsi" w:cstheme="minorHAnsi"/>
          <w:bCs/>
        </w:rPr>
        <w:t xml:space="preserve">The Commissioner </w:t>
      </w:r>
      <w:r w:rsidRPr="00C617F8">
        <w:rPr>
          <w:rFonts w:asciiTheme="minorHAnsi" w:hAnsiTheme="minorHAnsi" w:cstheme="minorHAnsi"/>
          <w:bCs/>
        </w:rPr>
        <w:t>highlights that the powers granted to the GIHR to effectively protect human rights in Germany</w:t>
      </w:r>
      <w:r>
        <w:rPr>
          <w:rFonts w:asciiTheme="minorHAnsi" w:hAnsiTheme="minorHAnsi" w:cstheme="minorHAnsi"/>
          <w:bCs/>
        </w:rPr>
        <w:t xml:space="preserve"> are narrower </w:t>
      </w:r>
      <w:r w:rsidRPr="00C617F8">
        <w:rPr>
          <w:rFonts w:asciiTheme="minorHAnsi" w:hAnsiTheme="minorHAnsi" w:cstheme="minorHAnsi"/>
          <w:bCs/>
        </w:rPr>
        <w:t>than those of the majority of other NHRIs in Council of Europe</w:t>
      </w:r>
      <w:r>
        <w:rPr>
          <w:rFonts w:asciiTheme="minorHAnsi" w:hAnsiTheme="minorHAnsi" w:cstheme="minorHAnsi"/>
          <w:bCs/>
        </w:rPr>
        <w:t xml:space="preserve"> member states, as it is not mandated, for instance, to </w:t>
      </w:r>
      <w:r w:rsidRPr="00C617F8">
        <w:rPr>
          <w:rFonts w:asciiTheme="minorHAnsi" w:hAnsiTheme="minorHAnsi" w:cstheme="minorHAnsi"/>
          <w:bCs/>
        </w:rPr>
        <w:t>conduct investigations, access places of deprivation of liberty, mak</w:t>
      </w:r>
      <w:r>
        <w:rPr>
          <w:rFonts w:asciiTheme="minorHAnsi" w:hAnsiTheme="minorHAnsi" w:cstheme="minorHAnsi"/>
          <w:bCs/>
        </w:rPr>
        <w:t>e</w:t>
      </w:r>
      <w:r w:rsidRPr="00C617F8">
        <w:rPr>
          <w:rFonts w:asciiTheme="minorHAnsi" w:hAnsiTheme="minorHAnsi" w:cstheme="minorHAnsi"/>
          <w:bCs/>
        </w:rPr>
        <w:t xml:space="preserve"> recommendations to the authorities,</w:t>
      </w:r>
      <w:r>
        <w:rPr>
          <w:rFonts w:asciiTheme="minorHAnsi" w:hAnsiTheme="minorHAnsi" w:cstheme="minorHAnsi"/>
          <w:bCs/>
        </w:rPr>
        <w:t xml:space="preserve"> or</w:t>
      </w:r>
      <w:r w:rsidRPr="00C617F8">
        <w:rPr>
          <w:rFonts w:asciiTheme="minorHAnsi" w:hAnsiTheme="minorHAnsi" w:cstheme="minorHAnsi"/>
          <w:bCs/>
        </w:rPr>
        <w:t xml:space="preserve"> fil</w:t>
      </w:r>
      <w:r>
        <w:rPr>
          <w:rFonts w:asciiTheme="minorHAnsi" w:hAnsiTheme="minorHAnsi" w:cstheme="minorHAnsi"/>
          <w:bCs/>
        </w:rPr>
        <w:t>e</w:t>
      </w:r>
      <w:r w:rsidRPr="00C617F8">
        <w:rPr>
          <w:rFonts w:asciiTheme="minorHAnsi" w:hAnsiTheme="minorHAnsi" w:cstheme="minorHAnsi"/>
          <w:bCs/>
        </w:rPr>
        <w:t xml:space="preserve"> cases in courts.</w:t>
      </w:r>
      <w:r>
        <w:rPr>
          <w:rStyle w:val="FootnoteReference"/>
          <w:rFonts w:asciiTheme="minorHAnsi" w:hAnsiTheme="minorHAnsi" w:cstheme="minorHAnsi"/>
          <w:bCs/>
        </w:rPr>
        <w:footnoteReference w:id="6"/>
      </w:r>
    </w:p>
    <w:p w14:paraId="181D136F" w14:textId="77777777" w:rsidR="004A5AEE" w:rsidRPr="00440120" w:rsidRDefault="004A5AEE" w:rsidP="004A5AEE">
      <w:pPr>
        <w:pStyle w:val="ListParagraph"/>
        <w:tabs>
          <w:tab w:val="clear" w:pos="567"/>
        </w:tabs>
        <w:rPr>
          <w:rFonts w:asciiTheme="minorHAnsi" w:hAnsiTheme="minorHAnsi" w:cstheme="minorHAnsi"/>
          <w:bCs/>
        </w:rPr>
      </w:pPr>
      <w:r w:rsidRPr="00440120">
        <w:rPr>
          <w:rFonts w:asciiTheme="minorHAnsi" w:hAnsiTheme="minorHAnsi" w:cstheme="minorHAnsi"/>
          <w:bCs/>
        </w:rPr>
        <w:t xml:space="preserve">Germany’s equality body, </w:t>
      </w:r>
      <w:r>
        <w:rPr>
          <w:rFonts w:asciiTheme="minorHAnsi" w:hAnsiTheme="minorHAnsi" w:cstheme="minorHAnsi"/>
          <w:bCs/>
        </w:rPr>
        <w:t xml:space="preserve">the Federal Anti-Discrimination Agency (FADA, see further below) functions as the national contact point for people affected by discrimination, can receive individual complaints and is entrusted with providing independent assistance and information to complainants on anti-discrimination matters. </w:t>
      </w:r>
      <w:r w:rsidRPr="00440120">
        <w:rPr>
          <w:rFonts w:asciiTheme="minorHAnsi" w:hAnsiTheme="minorHAnsi" w:cstheme="minorHAnsi"/>
          <w:bCs/>
        </w:rPr>
        <w:t>While it may seek voluntary</w:t>
      </w:r>
      <w:r>
        <w:rPr>
          <w:rFonts w:asciiTheme="minorHAnsi" w:hAnsiTheme="minorHAnsi" w:cstheme="minorHAnsi"/>
          <w:bCs/>
        </w:rPr>
        <w:t>,</w:t>
      </w:r>
      <w:r w:rsidRPr="00440120">
        <w:rPr>
          <w:rFonts w:asciiTheme="minorHAnsi" w:hAnsiTheme="minorHAnsi" w:cstheme="minorHAnsi"/>
          <w:bCs/>
        </w:rPr>
        <w:t xml:space="preserve"> out-of-court settlement between parties, it cannot itself investigate complaints, lodge proceedings before the courts or support claimants in their proceedings, </w:t>
      </w:r>
      <w:r>
        <w:rPr>
          <w:rFonts w:asciiTheme="minorHAnsi" w:hAnsiTheme="minorHAnsi" w:cstheme="minorHAnsi"/>
          <w:bCs/>
        </w:rPr>
        <w:t xml:space="preserve">nor can it </w:t>
      </w:r>
      <w:r w:rsidRPr="00440120">
        <w:rPr>
          <w:rFonts w:asciiTheme="minorHAnsi" w:hAnsiTheme="minorHAnsi" w:cstheme="minorHAnsi"/>
          <w:bCs/>
        </w:rPr>
        <w:t xml:space="preserve">bring parties into a binding arbitration process, making it one of the </w:t>
      </w:r>
      <w:r>
        <w:rPr>
          <w:rFonts w:asciiTheme="minorHAnsi" w:hAnsiTheme="minorHAnsi" w:cstheme="minorHAnsi"/>
          <w:bCs/>
        </w:rPr>
        <w:t xml:space="preserve">least powerful </w:t>
      </w:r>
      <w:r w:rsidRPr="00440120">
        <w:rPr>
          <w:rFonts w:asciiTheme="minorHAnsi" w:hAnsiTheme="minorHAnsi" w:cstheme="minorHAnsi"/>
          <w:bCs/>
        </w:rPr>
        <w:t>equality bodies in Europe.</w:t>
      </w:r>
      <w:r w:rsidRPr="00440120">
        <w:rPr>
          <w:rFonts w:asciiTheme="minorHAnsi" w:hAnsiTheme="minorHAnsi" w:cstheme="minorHAnsi"/>
          <w:bCs/>
          <w:vertAlign w:val="superscript"/>
        </w:rPr>
        <w:footnoteReference w:id="7"/>
      </w:r>
    </w:p>
    <w:p w14:paraId="2E7F4950" w14:textId="77777777" w:rsidR="004A5AEE" w:rsidRPr="00773CE9" w:rsidRDefault="004A5AEE" w:rsidP="004A5AEE">
      <w:pPr>
        <w:pStyle w:val="ListParagraph"/>
        <w:tabs>
          <w:tab w:val="clear" w:pos="567"/>
        </w:tabs>
        <w:rPr>
          <w:rFonts w:asciiTheme="minorHAnsi" w:hAnsiTheme="minorHAnsi" w:cstheme="minorHAnsi"/>
          <w:b/>
          <w:bCs/>
        </w:rPr>
      </w:pPr>
      <w:r w:rsidRPr="00773CE9">
        <w:rPr>
          <w:rFonts w:asciiTheme="minorHAnsi" w:hAnsiTheme="minorHAnsi" w:cstheme="minorHAnsi"/>
          <w:bCs/>
        </w:rPr>
        <w:t xml:space="preserve">There are few structures at national, </w:t>
      </w:r>
      <w:r>
        <w:rPr>
          <w:rFonts w:asciiTheme="minorHAnsi" w:hAnsiTheme="minorHAnsi" w:cstheme="minorHAnsi"/>
          <w:bCs/>
        </w:rPr>
        <w:t>regional</w:t>
      </w:r>
      <w:r w:rsidRPr="00773CE9">
        <w:rPr>
          <w:rFonts w:asciiTheme="minorHAnsi" w:hAnsiTheme="minorHAnsi" w:cstheme="minorHAnsi"/>
          <w:bCs/>
        </w:rPr>
        <w:t xml:space="preserve"> or local level to facilitate awareness of and access to </w:t>
      </w:r>
      <w:proofErr w:type="gramStart"/>
      <w:r w:rsidRPr="00773CE9">
        <w:rPr>
          <w:rFonts w:asciiTheme="minorHAnsi" w:hAnsiTheme="minorHAnsi" w:cstheme="minorHAnsi"/>
          <w:bCs/>
        </w:rPr>
        <w:t>internationally</w:t>
      </w:r>
      <w:r>
        <w:rPr>
          <w:rFonts w:asciiTheme="minorHAnsi" w:hAnsiTheme="minorHAnsi" w:cstheme="minorHAnsi"/>
          <w:bCs/>
        </w:rPr>
        <w:t>-</w:t>
      </w:r>
      <w:r w:rsidRPr="00773CE9">
        <w:rPr>
          <w:rFonts w:asciiTheme="minorHAnsi" w:hAnsiTheme="minorHAnsi" w:cstheme="minorHAnsi"/>
          <w:bCs/>
        </w:rPr>
        <w:t>guaranteed</w:t>
      </w:r>
      <w:proofErr w:type="gramEnd"/>
      <w:r w:rsidRPr="00773CE9">
        <w:rPr>
          <w:rFonts w:asciiTheme="minorHAnsi" w:hAnsiTheme="minorHAnsi" w:cstheme="minorHAnsi"/>
          <w:bCs/>
        </w:rPr>
        <w:t xml:space="preserve"> </w:t>
      </w:r>
      <w:r>
        <w:rPr>
          <w:rFonts w:asciiTheme="minorHAnsi" w:hAnsiTheme="minorHAnsi" w:cstheme="minorHAnsi"/>
          <w:bCs/>
        </w:rPr>
        <w:t xml:space="preserve">human </w:t>
      </w:r>
      <w:r w:rsidRPr="00773CE9">
        <w:rPr>
          <w:rFonts w:asciiTheme="minorHAnsi" w:hAnsiTheme="minorHAnsi" w:cstheme="minorHAnsi"/>
          <w:bCs/>
        </w:rPr>
        <w:t xml:space="preserve">rights. </w:t>
      </w:r>
      <w:bookmarkStart w:id="16" w:name="_Hlk155957157"/>
      <w:r w:rsidRPr="00773CE9">
        <w:rPr>
          <w:rFonts w:asciiTheme="minorHAnsi" w:hAnsiTheme="minorHAnsi" w:cstheme="minorHAnsi"/>
          <w:bCs/>
        </w:rPr>
        <w:t>Very few designated complaints mechanisms ha</w:t>
      </w:r>
      <w:r>
        <w:rPr>
          <w:rFonts w:asciiTheme="minorHAnsi" w:hAnsiTheme="minorHAnsi" w:cstheme="minorHAnsi"/>
          <w:bCs/>
        </w:rPr>
        <w:t>ve</w:t>
      </w:r>
      <w:r w:rsidRPr="00773CE9">
        <w:rPr>
          <w:rFonts w:asciiTheme="minorHAnsi" w:hAnsiTheme="minorHAnsi" w:cstheme="minorHAnsi"/>
          <w:bCs/>
        </w:rPr>
        <w:t xml:space="preserve"> been built</w:t>
      </w:r>
      <w:r>
        <w:rPr>
          <w:rFonts w:asciiTheme="minorHAnsi" w:hAnsiTheme="minorHAnsi" w:cstheme="minorHAnsi"/>
          <w:bCs/>
        </w:rPr>
        <w:t>.</w:t>
      </w:r>
      <w:r w:rsidR="004D1559">
        <w:rPr>
          <w:rStyle w:val="FootnoteReference"/>
          <w:rFonts w:asciiTheme="minorHAnsi" w:hAnsiTheme="minorHAnsi" w:cstheme="minorHAnsi"/>
          <w:bCs/>
        </w:rPr>
        <w:t xml:space="preserve"> </w:t>
      </w:r>
      <w:r w:rsidRPr="00773CE9">
        <w:rPr>
          <w:rFonts w:asciiTheme="minorHAnsi" w:hAnsiTheme="minorHAnsi" w:cstheme="minorHAnsi"/>
          <w:bCs/>
        </w:rPr>
        <w:t>A</w:t>
      </w:r>
      <w:r>
        <w:rPr>
          <w:rFonts w:asciiTheme="minorHAnsi" w:hAnsiTheme="minorHAnsi" w:cstheme="minorHAnsi"/>
          <w:bCs/>
        </w:rPr>
        <w:t>nother</w:t>
      </w:r>
      <w:r w:rsidRPr="00773CE9">
        <w:rPr>
          <w:rFonts w:asciiTheme="minorHAnsi" w:hAnsiTheme="minorHAnsi" w:cstheme="minorHAnsi"/>
          <w:bCs/>
        </w:rPr>
        <w:t xml:space="preserve"> structural problem for the implementation of human rights obligations is the lack of disaggregated data on specific groups and their </w:t>
      </w:r>
      <w:r>
        <w:rPr>
          <w:rFonts w:asciiTheme="minorHAnsi" w:hAnsiTheme="minorHAnsi" w:cstheme="minorHAnsi"/>
          <w:bCs/>
        </w:rPr>
        <w:t xml:space="preserve">enjoyment of </w:t>
      </w:r>
      <w:r w:rsidRPr="00773CE9">
        <w:rPr>
          <w:rFonts w:asciiTheme="minorHAnsi" w:hAnsiTheme="minorHAnsi" w:cstheme="minorHAnsi"/>
          <w:bCs/>
        </w:rPr>
        <w:t>human rights, including children, persons with disabilities,</w:t>
      </w:r>
      <w:r>
        <w:rPr>
          <w:rFonts w:asciiTheme="minorHAnsi" w:hAnsiTheme="minorHAnsi" w:cstheme="minorHAnsi"/>
          <w:bCs/>
        </w:rPr>
        <w:t xml:space="preserve"> persons with socio-economic disadvantages</w:t>
      </w:r>
      <w:r w:rsidRPr="00773CE9">
        <w:rPr>
          <w:rFonts w:asciiTheme="minorHAnsi" w:hAnsiTheme="minorHAnsi" w:cstheme="minorHAnsi"/>
          <w:bCs/>
        </w:rPr>
        <w:t xml:space="preserve"> and persons with a minority background. The </w:t>
      </w:r>
      <w:r>
        <w:rPr>
          <w:rFonts w:asciiTheme="minorHAnsi" w:hAnsiTheme="minorHAnsi" w:cstheme="minorHAnsi"/>
          <w:bCs/>
        </w:rPr>
        <w:t>f</w:t>
      </w:r>
      <w:r w:rsidRPr="00773CE9">
        <w:rPr>
          <w:rFonts w:asciiTheme="minorHAnsi" w:hAnsiTheme="minorHAnsi" w:cstheme="minorHAnsi"/>
          <w:bCs/>
        </w:rPr>
        <w:t xml:space="preserve">ederal </w:t>
      </w:r>
      <w:r>
        <w:rPr>
          <w:rFonts w:asciiTheme="minorHAnsi" w:hAnsiTheme="minorHAnsi" w:cstheme="minorHAnsi"/>
          <w:bCs/>
        </w:rPr>
        <w:t>g</w:t>
      </w:r>
      <w:r w:rsidRPr="00773CE9">
        <w:rPr>
          <w:rFonts w:asciiTheme="minorHAnsi" w:hAnsiTheme="minorHAnsi" w:cstheme="minorHAnsi"/>
          <w:bCs/>
        </w:rPr>
        <w:t xml:space="preserve">overnment therefore frequently does not have the necessary information required by international monitoring bodies to assess the implementation of </w:t>
      </w:r>
      <w:r>
        <w:rPr>
          <w:rFonts w:asciiTheme="minorHAnsi" w:hAnsiTheme="minorHAnsi" w:cstheme="minorHAnsi"/>
          <w:bCs/>
        </w:rPr>
        <w:t xml:space="preserve">human </w:t>
      </w:r>
      <w:r w:rsidRPr="00773CE9">
        <w:rPr>
          <w:rFonts w:asciiTheme="minorHAnsi" w:hAnsiTheme="minorHAnsi" w:cstheme="minorHAnsi"/>
          <w:bCs/>
        </w:rPr>
        <w:t>rights</w:t>
      </w:r>
      <w:r>
        <w:rPr>
          <w:rFonts w:asciiTheme="minorHAnsi" w:hAnsiTheme="minorHAnsi" w:cstheme="minorHAnsi"/>
          <w:bCs/>
        </w:rPr>
        <w:t xml:space="preserve"> obligations</w:t>
      </w:r>
      <w:bookmarkEnd w:id="16"/>
      <w:r w:rsidRPr="00773CE9">
        <w:rPr>
          <w:rFonts w:asciiTheme="minorHAnsi" w:hAnsiTheme="minorHAnsi" w:cstheme="minorHAnsi"/>
          <w:bCs/>
        </w:rPr>
        <w:t>.</w:t>
      </w:r>
      <w:r w:rsidRPr="00773CE9">
        <w:rPr>
          <w:rStyle w:val="FootnoteReference"/>
          <w:rFonts w:asciiTheme="minorHAnsi" w:hAnsiTheme="minorHAnsi" w:cstheme="minorHAnsi"/>
          <w:bCs/>
        </w:rPr>
        <w:footnoteReference w:id="8"/>
      </w:r>
      <w:r w:rsidRPr="00773CE9">
        <w:rPr>
          <w:rFonts w:asciiTheme="minorHAnsi" w:hAnsiTheme="minorHAnsi" w:cstheme="minorHAnsi"/>
          <w:bCs/>
        </w:rPr>
        <w:t xml:space="preserve"> </w:t>
      </w:r>
    </w:p>
    <w:p w14:paraId="642C608C" w14:textId="77777777" w:rsidR="004A5AEE" w:rsidRPr="005E6A50" w:rsidRDefault="004A5AEE" w:rsidP="004A5AEE">
      <w:pPr>
        <w:pStyle w:val="ListParagraph"/>
        <w:tabs>
          <w:tab w:val="clear" w:pos="567"/>
        </w:tabs>
        <w:rPr>
          <w:rFonts w:asciiTheme="minorHAnsi" w:hAnsiTheme="minorHAnsi" w:cstheme="minorHAnsi"/>
          <w:b/>
          <w:bCs/>
        </w:rPr>
      </w:pPr>
      <w:r w:rsidRPr="00DF1FC0">
        <w:rPr>
          <w:rFonts w:asciiTheme="minorHAnsi" w:hAnsiTheme="minorHAnsi" w:cstheme="minorHAnsi"/>
          <w:bCs/>
        </w:rPr>
        <w:t xml:space="preserve">The available structures for the implementation of </w:t>
      </w:r>
      <w:proofErr w:type="gramStart"/>
      <w:r w:rsidRPr="00DF1FC0">
        <w:rPr>
          <w:rFonts w:asciiTheme="minorHAnsi" w:hAnsiTheme="minorHAnsi" w:cstheme="minorHAnsi"/>
          <w:bCs/>
        </w:rPr>
        <w:t>internationally</w:t>
      </w:r>
      <w:r>
        <w:rPr>
          <w:rFonts w:asciiTheme="minorHAnsi" w:hAnsiTheme="minorHAnsi" w:cstheme="minorHAnsi"/>
          <w:bCs/>
        </w:rPr>
        <w:t>-</w:t>
      </w:r>
      <w:r w:rsidRPr="00DF1FC0">
        <w:rPr>
          <w:rFonts w:asciiTheme="minorHAnsi" w:hAnsiTheme="minorHAnsi" w:cstheme="minorHAnsi"/>
          <w:bCs/>
        </w:rPr>
        <w:t>guaranteed</w:t>
      </w:r>
      <w:proofErr w:type="gramEnd"/>
      <w:r w:rsidRPr="00DF1FC0">
        <w:rPr>
          <w:rFonts w:asciiTheme="minorHAnsi" w:hAnsiTheme="minorHAnsi" w:cstheme="minorHAnsi"/>
          <w:bCs/>
        </w:rPr>
        <w:t xml:space="preserve"> human rights are discussed</w:t>
      </w:r>
      <w:r>
        <w:rPr>
          <w:rFonts w:asciiTheme="minorHAnsi" w:hAnsiTheme="minorHAnsi" w:cstheme="minorHAnsi"/>
          <w:bCs/>
        </w:rPr>
        <w:t xml:space="preserve"> throughout the remainder of this chapter,</w:t>
      </w:r>
      <w:r w:rsidRPr="00DF1FC0">
        <w:rPr>
          <w:rFonts w:asciiTheme="minorHAnsi" w:hAnsiTheme="minorHAnsi" w:cstheme="minorHAnsi"/>
          <w:bCs/>
        </w:rPr>
        <w:t xml:space="preserve"> </w:t>
      </w:r>
      <w:r>
        <w:rPr>
          <w:rFonts w:asciiTheme="minorHAnsi" w:hAnsiTheme="minorHAnsi" w:cstheme="minorHAnsi"/>
          <w:bCs/>
        </w:rPr>
        <w:t>which focuses on three human rights fields: children’s rights, the rights of persons with disabilities, and protection from discrimination</w:t>
      </w:r>
      <w:r w:rsidRPr="005E6A50">
        <w:rPr>
          <w:rFonts w:asciiTheme="minorHAnsi" w:hAnsiTheme="minorHAnsi" w:cstheme="minorHAnsi"/>
          <w:bCs/>
        </w:rPr>
        <w:t>. While it is beyond the scope of this report to exhaustively address each of these areas, the Commissioner wishes to raise some of the main shortcomings that, in her view, restrict opportunities to enjoy human rights across the three fields, with a view to promoting their effective implementation. Access to social rights, and in particular protection from poverty and the right to adequate housing, are discussed in greater detail in the second chapter.</w:t>
      </w:r>
    </w:p>
    <w:p w14:paraId="1580B693" w14:textId="77777777" w:rsidR="004A5AEE" w:rsidRPr="00773CE9" w:rsidRDefault="004A5AEE" w:rsidP="00AF1A4D">
      <w:pPr>
        <w:pStyle w:val="Heading2"/>
        <w:numPr>
          <w:ilvl w:val="1"/>
          <w:numId w:val="24"/>
        </w:numPr>
        <w:tabs>
          <w:tab w:val="num" w:pos="765"/>
        </w:tabs>
        <w:ind w:hanging="765"/>
      </w:pPr>
      <w:bookmarkStart w:id="17" w:name="_Toc152669915"/>
      <w:bookmarkStart w:id="18" w:name="_Toc152669946"/>
      <w:bookmarkStart w:id="19" w:name="_Toc158636892"/>
      <w:bookmarkStart w:id="20" w:name="_Toc159582663"/>
      <w:r w:rsidRPr="00773CE9">
        <w:lastRenderedPageBreak/>
        <w:t>Children’s rights</w:t>
      </w:r>
      <w:bookmarkEnd w:id="17"/>
      <w:bookmarkEnd w:id="18"/>
      <w:bookmarkEnd w:id="19"/>
      <w:bookmarkEnd w:id="20"/>
      <w:r w:rsidRPr="00773CE9">
        <w:t xml:space="preserve"> </w:t>
      </w:r>
    </w:p>
    <w:p w14:paraId="05E8E578" w14:textId="77777777" w:rsidR="004A5AEE" w:rsidRPr="00D90B39" w:rsidRDefault="004A5AEE" w:rsidP="004A5AEE">
      <w:pPr>
        <w:pStyle w:val="ListParagraph"/>
        <w:tabs>
          <w:tab w:val="clear" w:pos="567"/>
        </w:tabs>
        <w:rPr>
          <w:rFonts w:asciiTheme="minorHAnsi" w:hAnsiTheme="minorHAnsi" w:cstheme="minorHAnsi"/>
        </w:rPr>
      </w:pPr>
      <w:r w:rsidRPr="00773CE9">
        <w:rPr>
          <w:rFonts w:asciiTheme="minorHAnsi" w:hAnsiTheme="minorHAnsi" w:cstheme="minorHAnsi"/>
          <w:bCs/>
        </w:rPr>
        <w:t>Germany ratified the CRC</w:t>
      </w:r>
      <w:r>
        <w:rPr>
          <w:rFonts w:asciiTheme="minorHAnsi" w:hAnsiTheme="minorHAnsi" w:cstheme="minorHAnsi"/>
          <w:bCs/>
        </w:rPr>
        <w:t xml:space="preserve"> </w:t>
      </w:r>
      <w:r w:rsidRPr="00773CE9">
        <w:rPr>
          <w:rFonts w:asciiTheme="minorHAnsi" w:hAnsiTheme="minorHAnsi" w:cstheme="minorHAnsi"/>
          <w:bCs/>
        </w:rPr>
        <w:t xml:space="preserve">in </w:t>
      </w:r>
      <w:proofErr w:type="gramStart"/>
      <w:r w:rsidRPr="00773CE9">
        <w:rPr>
          <w:rFonts w:asciiTheme="minorHAnsi" w:hAnsiTheme="minorHAnsi" w:cstheme="minorHAnsi"/>
          <w:bCs/>
        </w:rPr>
        <w:t>1992</w:t>
      </w:r>
      <w:r>
        <w:rPr>
          <w:rFonts w:asciiTheme="minorHAnsi" w:hAnsiTheme="minorHAnsi" w:cstheme="minorHAnsi"/>
          <w:bCs/>
        </w:rPr>
        <w:t xml:space="preserve">, </w:t>
      </w:r>
      <w:r w:rsidRPr="00773CE9">
        <w:rPr>
          <w:rFonts w:asciiTheme="minorHAnsi" w:hAnsiTheme="minorHAnsi" w:cstheme="minorHAnsi"/>
          <w:bCs/>
        </w:rPr>
        <w:t>but</w:t>
      </w:r>
      <w:proofErr w:type="gramEnd"/>
      <w:r w:rsidRPr="00773CE9">
        <w:rPr>
          <w:rFonts w:asciiTheme="minorHAnsi" w:hAnsiTheme="minorHAnsi" w:cstheme="minorHAnsi"/>
          <w:bCs/>
        </w:rPr>
        <w:t xml:space="preserve"> has made little progress since </w:t>
      </w:r>
      <w:r>
        <w:rPr>
          <w:rFonts w:asciiTheme="minorHAnsi" w:hAnsiTheme="minorHAnsi" w:cstheme="minorHAnsi"/>
          <w:bCs/>
        </w:rPr>
        <w:t xml:space="preserve">then </w:t>
      </w:r>
      <w:r w:rsidRPr="00773CE9">
        <w:rPr>
          <w:rFonts w:asciiTheme="minorHAnsi" w:hAnsiTheme="minorHAnsi" w:cstheme="minorHAnsi"/>
          <w:bCs/>
        </w:rPr>
        <w:t>in strengthening the rights of children as independent subjects</w:t>
      </w:r>
      <w:r w:rsidRPr="005E6A50">
        <w:rPr>
          <w:rFonts w:asciiTheme="minorHAnsi" w:hAnsiTheme="minorHAnsi" w:cstheme="minorHAnsi"/>
          <w:bCs/>
        </w:rPr>
        <w:t xml:space="preserve">. The National Monitoring Mechanism under the CRC, set up within the GIHR in late 2015 following a recommendation by the UN Committee on the Rights of the Child (UNCRC), was made permanent in 2023. No other institutions dedicated to realising children’s rights have been established, despite this having also been recommended by the UNCRC in 2004, 2014 and 2022. </w:t>
      </w:r>
      <w:bookmarkStart w:id="21" w:name="_Hlk155957092"/>
      <w:r w:rsidRPr="005E6A50">
        <w:rPr>
          <w:rFonts w:asciiTheme="minorHAnsi" w:hAnsiTheme="minorHAnsi" w:cstheme="minorHAnsi"/>
          <w:bCs/>
        </w:rPr>
        <w:t xml:space="preserve">During her visit, the Commissioner </w:t>
      </w:r>
      <w:r>
        <w:rPr>
          <w:rFonts w:asciiTheme="minorHAnsi" w:hAnsiTheme="minorHAnsi" w:cstheme="minorHAnsi"/>
          <w:bCs/>
        </w:rPr>
        <w:t xml:space="preserve">heard reports </w:t>
      </w:r>
      <w:r w:rsidRPr="005E6A50">
        <w:rPr>
          <w:rFonts w:asciiTheme="minorHAnsi" w:hAnsiTheme="minorHAnsi" w:cstheme="minorHAnsi"/>
          <w:bCs/>
        </w:rPr>
        <w:t>that the rights and needs of children and young people often remain overlooked in relevant policymaking, despite regular expressions of commitment. The federal government’s 2019 combined periodic reports to the UNCRC, for instance, describes the realisation and strengthening of children’s rights as a “central point of reference for state policy in Germany,” which is, however, not reflected</w:t>
      </w:r>
      <w:r w:rsidRPr="00B92E8D">
        <w:rPr>
          <w:rFonts w:asciiTheme="minorHAnsi" w:hAnsiTheme="minorHAnsi" w:cstheme="minorHAnsi"/>
          <w:bCs/>
        </w:rPr>
        <w:t xml:space="preserve"> in relevant policy and budget decisions</w:t>
      </w:r>
      <w:r>
        <w:rPr>
          <w:rFonts w:asciiTheme="minorHAnsi" w:hAnsiTheme="minorHAnsi" w:cstheme="minorHAnsi"/>
          <w:bCs/>
        </w:rPr>
        <w:t>.</w:t>
      </w:r>
      <w:r w:rsidRPr="00773CE9">
        <w:rPr>
          <w:rStyle w:val="FootnoteReference"/>
          <w:rFonts w:asciiTheme="minorHAnsi" w:hAnsiTheme="minorHAnsi" w:cstheme="minorHAnsi"/>
          <w:bCs/>
        </w:rPr>
        <w:footnoteReference w:id="9"/>
      </w:r>
      <w:r>
        <w:rPr>
          <w:rFonts w:asciiTheme="minorHAnsi" w:hAnsiTheme="minorHAnsi" w:cstheme="minorHAnsi"/>
          <w:bCs/>
        </w:rPr>
        <w:t xml:space="preserve"> </w:t>
      </w:r>
      <w:r w:rsidRPr="00B92E8D">
        <w:rPr>
          <w:rFonts w:asciiTheme="minorHAnsi" w:hAnsiTheme="minorHAnsi" w:cstheme="minorHAnsi"/>
          <w:bCs/>
        </w:rPr>
        <w:t>According</w:t>
      </w:r>
      <w:r>
        <w:rPr>
          <w:rFonts w:asciiTheme="minorHAnsi" w:hAnsiTheme="minorHAnsi" w:cstheme="minorHAnsi"/>
          <w:bCs/>
        </w:rPr>
        <w:t xml:space="preserve"> to the interlocutors of the Commissioner, the </w:t>
      </w:r>
      <w:r w:rsidRPr="00773CE9">
        <w:rPr>
          <w:rFonts w:asciiTheme="minorHAnsi" w:hAnsiTheme="minorHAnsi" w:cstheme="minorHAnsi"/>
          <w:bCs/>
        </w:rPr>
        <w:t>BMFSFJ</w:t>
      </w:r>
      <w:r>
        <w:rPr>
          <w:rFonts w:asciiTheme="minorHAnsi" w:hAnsiTheme="minorHAnsi" w:cstheme="minorHAnsi"/>
          <w:bCs/>
        </w:rPr>
        <w:t xml:space="preserve">, </w:t>
      </w:r>
      <w:r w:rsidRPr="0008088A">
        <w:rPr>
          <w:rFonts w:asciiTheme="minorHAnsi" w:hAnsiTheme="minorHAnsi" w:cstheme="minorHAnsi"/>
          <w:bCs/>
        </w:rPr>
        <w:t xml:space="preserve">owing to its limited capacities along with a broad range of functions, is not </w:t>
      </w:r>
      <w:r>
        <w:rPr>
          <w:rFonts w:asciiTheme="minorHAnsi" w:hAnsiTheme="minorHAnsi" w:cstheme="minorHAnsi"/>
          <w:bCs/>
        </w:rPr>
        <w:t xml:space="preserve">equipped </w:t>
      </w:r>
      <w:r w:rsidRPr="0008088A">
        <w:rPr>
          <w:rFonts w:asciiTheme="minorHAnsi" w:hAnsiTheme="minorHAnsi" w:cstheme="minorHAnsi"/>
          <w:bCs/>
        </w:rPr>
        <w:t>to address all the issues that appear relevant to ensure that the rights of children and young people receive adequate recognition and priority at central</w:t>
      </w:r>
      <w:r>
        <w:rPr>
          <w:rFonts w:asciiTheme="minorHAnsi" w:hAnsiTheme="minorHAnsi" w:cstheme="minorHAnsi"/>
          <w:bCs/>
        </w:rPr>
        <w:t xml:space="preserve"> and</w:t>
      </w:r>
      <w:r w:rsidRPr="00773CE9">
        <w:rPr>
          <w:rFonts w:asciiTheme="minorHAnsi" w:hAnsiTheme="minorHAnsi" w:cstheme="minorHAnsi"/>
          <w:bCs/>
        </w:rPr>
        <w:t xml:space="preserve"> </w:t>
      </w:r>
      <w:r>
        <w:rPr>
          <w:rFonts w:asciiTheme="minorHAnsi" w:hAnsiTheme="minorHAnsi" w:cstheme="minorHAnsi"/>
          <w:bCs/>
        </w:rPr>
        <w:t>Länder levels</w:t>
      </w:r>
      <w:r w:rsidRPr="00773CE9">
        <w:rPr>
          <w:rFonts w:asciiTheme="minorHAnsi" w:hAnsiTheme="minorHAnsi" w:cstheme="minorHAnsi"/>
          <w:bCs/>
        </w:rPr>
        <w:t>.</w:t>
      </w:r>
      <w:r>
        <w:rPr>
          <w:rStyle w:val="FootnoteReference"/>
          <w:rFonts w:asciiTheme="minorHAnsi" w:hAnsiTheme="minorHAnsi" w:cstheme="minorHAnsi"/>
          <w:bCs/>
        </w:rPr>
        <w:footnoteReference w:id="10"/>
      </w:r>
      <w:r>
        <w:rPr>
          <w:rFonts w:asciiTheme="minorHAnsi" w:hAnsiTheme="minorHAnsi" w:cstheme="minorHAnsi"/>
          <w:bCs/>
        </w:rPr>
        <w:t xml:space="preserve"> </w:t>
      </w:r>
    </w:p>
    <w:p w14:paraId="52B7EBAF" w14:textId="77777777" w:rsidR="004A5AEE" w:rsidRPr="00AF1A4D" w:rsidRDefault="004A5AEE" w:rsidP="004A5AEE">
      <w:pPr>
        <w:pStyle w:val="Heading3"/>
        <w:numPr>
          <w:ilvl w:val="2"/>
          <w:numId w:val="24"/>
        </w:numPr>
        <w:ind w:left="794" w:hanging="794"/>
        <w:rPr>
          <w:rFonts w:eastAsiaTheme="minorEastAsia"/>
          <w:lang w:val="en-GB"/>
        </w:rPr>
      </w:pPr>
      <w:bookmarkStart w:id="22" w:name="_Toc158636893"/>
      <w:bookmarkStart w:id="23" w:name="_Toc159582664"/>
      <w:bookmarkEnd w:id="15"/>
      <w:bookmarkEnd w:id="21"/>
      <w:r w:rsidRPr="00AF1A4D">
        <w:rPr>
          <w:rFonts w:eastAsiaTheme="minorEastAsia"/>
          <w:lang w:val="en-GB"/>
        </w:rPr>
        <w:t>Children’s rights in the German legal order</w:t>
      </w:r>
      <w:bookmarkEnd w:id="22"/>
      <w:bookmarkEnd w:id="23"/>
    </w:p>
    <w:p w14:paraId="74D9702A" w14:textId="77777777" w:rsidR="004A5AEE" w:rsidRDefault="004A5AEE" w:rsidP="004A5AEE">
      <w:pPr>
        <w:pStyle w:val="ListParagraph"/>
        <w:tabs>
          <w:tab w:val="clear" w:pos="567"/>
        </w:tabs>
      </w:pPr>
      <w:r w:rsidRPr="00773CE9">
        <w:t xml:space="preserve">While </w:t>
      </w:r>
      <w:r>
        <w:t xml:space="preserve">the rights of </w:t>
      </w:r>
      <w:r w:rsidRPr="00773CE9">
        <w:t xml:space="preserve">parents </w:t>
      </w:r>
      <w:r w:rsidRPr="005E6A50">
        <w:t>are explicitly mentioned</w:t>
      </w:r>
      <w:r w:rsidRPr="00773CE9">
        <w:t xml:space="preserve"> in the German Constitution, repeated calls by international actors, including the Commissioner, to </w:t>
      </w:r>
      <w:r>
        <w:t xml:space="preserve">enshrine </w:t>
      </w:r>
      <w:r w:rsidRPr="00773CE9">
        <w:t>children’s rights in the Constitution</w:t>
      </w:r>
      <w:r>
        <w:t>,</w:t>
      </w:r>
      <w:r w:rsidRPr="00773CE9">
        <w:t xml:space="preserve"> have not been </w:t>
      </w:r>
      <w:r>
        <w:t>realised</w:t>
      </w:r>
      <w:r w:rsidRPr="00773CE9">
        <w:t>.</w:t>
      </w:r>
      <w:r w:rsidR="004D1559">
        <w:rPr>
          <w:rStyle w:val="FootnoteReference"/>
        </w:rPr>
        <w:footnoteReference w:id="11"/>
      </w:r>
      <w:r w:rsidRPr="00773CE9">
        <w:t xml:space="preserve"> </w:t>
      </w:r>
      <w:r>
        <w:t>R</w:t>
      </w:r>
      <w:r w:rsidRPr="00773CE9">
        <w:t>ecognition for the speci</w:t>
      </w:r>
      <w:r>
        <w:t>fic</w:t>
      </w:r>
      <w:r w:rsidRPr="00773CE9">
        <w:t xml:space="preserve"> rights, needs, and concerns of children and young people in policymaking and judicial processes</w:t>
      </w:r>
      <w:r w:rsidRPr="00BC5D45">
        <w:t xml:space="preserve"> </w:t>
      </w:r>
      <w:r>
        <w:t>is reportedly insufficient, an issue which</w:t>
      </w:r>
      <w:r w:rsidRPr="00773CE9">
        <w:t xml:space="preserve"> became </w:t>
      </w:r>
      <w:r>
        <w:t xml:space="preserve">apparent </w:t>
      </w:r>
      <w:r w:rsidRPr="00773CE9">
        <w:t>during the pandemic</w:t>
      </w:r>
      <w:r>
        <w:t>,</w:t>
      </w:r>
      <w:r w:rsidRPr="00773CE9">
        <w:t xml:space="preserve"> when Germany imposed </w:t>
      </w:r>
      <w:r>
        <w:t>particularly</w:t>
      </w:r>
      <w:r w:rsidRPr="00773CE9">
        <w:t xml:space="preserve"> strict and long-lasting school closures </w:t>
      </w:r>
      <w:r>
        <w:t xml:space="preserve">compared to other European countries, </w:t>
      </w:r>
      <w:r w:rsidRPr="00773CE9">
        <w:t xml:space="preserve">despite available evidence </w:t>
      </w:r>
      <w:r>
        <w:t>as to</w:t>
      </w:r>
      <w:r w:rsidRPr="00773CE9">
        <w:t xml:space="preserve"> their adverse long-term impacts on children. The UN</w:t>
      </w:r>
      <w:r>
        <w:t>CRC</w:t>
      </w:r>
      <w:r w:rsidRPr="00773CE9">
        <w:t xml:space="preserve"> has repeatedly expressed concern about the fact that the principle of the best interests of the child is not </w:t>
      </w:r>
      <w:r>
        <w:t xml:space="preserve">systematically </w:t>
      </w:r>
      <w:r w:rsidRPr="00773CE9">
        <w:t>applied in all</w:t>
      </w:r>
      <w:r>
        <w:t xml:space="preserve"> judicial and administrative</w:t>
      </w:r>
      <w:r w:rsidRPr="00773CE9">
        <w:t xml:space="preserve"> proceedings </w:t>
      </w:r>
      <w:r>
        <w:t xml:space="preserve">involving </w:t>
      </w:r>
      <w:r w:rsidRPr="00773CE9">
        <w:t>children</w:t>
      </w:r>
      <w:r>
        <w:t xml:space="preserve">, whether as affected parties, as victims, </w:t>
      </w:r>
      <w:proofErr w:type="gramStart"/>
      <w:r>
        <w:t>witnesses</w:t>
      </w:r>
      <w:proofErr w:type="gramEnd"/>
      <w:r>
        <w:t xml:space="preserve"> or defendants.</w:t>
      </w:r>
      <w:r w:rsidRPr="00773CE9">
        <w:rPr>
          <w:rStyle w:val="FootnoteReference"/>
          <w:rFonts w:asciiTheme="minorHAnsi" w:hAnsiTheme="minorHAnsi" w:cstheme="minorHAnsi"/>
          <w:bCs/>
        </w:rPr>
        <w:footnoteReference w:id="12"/>
      </w:r>
      <w:r w:rsidRPr="00773CE9">
        <w:t xml:space="preserve"> </w:t>
      </w:r>
    </w:p>
    <w:p w14:paraId="54B0E20F" w14:textId="77777777" w:rsidR="004A5AEE" w:rsidRPr="00773CE9" w:rsidRDefault="004A5AEE" w:rsidP="004A5AEE">
      <w:pPr>
        <w:pStyle w:val="ListParagraph"/>
        <w:tabs>
          <w:tab w:val="clear" w:pos="567"/>
        </w:tabs>
      </w:pPr>
      <w:r w:rsidRPr="00773CE9">
        <w:t xml:space="preserve">As </w:t>
      </w:r>
      <w:r>
        <w:t xml:space="preserve">an </w:t>
      </w:r>
      <w:r w:rsidRPr="00773CE9">
        <w:t xml:space="preserve">instrument of international law, the CRC has the status of federal law in Germany. Anchoring children’s rights in the Constitution would thus place </w:t>
      </w:r>
      <w:r>
        <w:t>them</w:t>
      </w:r>
      <w:r w:rsidRPr="00773CE9">
        <w:t xml:space="preserve"> at the highest level in the </w:t>
      </w:r>
      <w:r>
        <w:t>legal order</w:t>
      </w:r>
      <w:r w:rsidRPr="00773CE9">
        <w:t xml:space="preserve">, ensuring that </w:t>
      </w:r>
      <w:r>
        <w:t>children</w:t>
      </w:r>
      <w:r w:rsidRPr="00773CE9">
        <w:t xml:space="preserve"> are recognised </w:t>
      </w:r>
      <w:r>
        <w:t xml:space="preserve">not only as objects of care, but </w:t>
      </w:r>
      <w:r w:rsidRPr="00773CE9">
        <w:t xml:space="preserve">as </w:t>
      </w:r>
      <w:r>
        <w:t>rights-holders,</w:t>
      </w:r>
      <w:r w:rsidRPr="00773CE9">
        <w:t xml:space="preserve"> and reminding relevant authorities of their duty to </w:t>
      </w:r>
      <w:r>
        <w:t xml:space="preserve">give primary </w:t>
      </w:r>
      <w:r w:rsidRPr="00773CE9">
        <w:t>consider</w:t>
      </w:r>
      <w:r>
        <w:t>ation to th</w:t>
      </w:r>
      <w:r w:rsidRPr="00773CE9">
        <w:t xml:space="preserve">e best interests of the child. </w:t>
      </w:r>
      <w:r>
        <w:t xml:space="preserve">While included as an objective in the government’s coalition agreement, </w:t>
      </w:r>
      <w:r>
        <w:rPr>
          <w:rFonts w:asciiTheme="minorHAnsi" w:hAnsiTheme="minorHAnsi" w:cstheme="minorHAnsi"/>
          <w:bCs/>
        </w:rPr>
        <w:t>n</w:t>
      </w:r>
      <w:r w:rsidRPr="00773CE9">
        <w:rPr>
          <w:rFonts w:asciiTheme="minorHAnsi" w:hAnsiTheme="minorHAnsi" w:cstheme="minorHAnsi"/>
          <w:bCs/>
        </w:rPr>
        <w:t xml:space="preserve">o timeline has been set for the incorporation of </w:t>
      </w:r>
      <w:r>
        <w:rPr>
          <w:rFonts w:asciiTheme="minorHAnsi" w:hAnsiTheme="minorHAnsi" w:cstheme="minorHAnsi"/>
          <w:bCs/>
        </w:rPr>
        <w:t>children’s rights i</w:t>
      </w:r>
      <w:r w:rsidRPr="00773CE9">
        <w:rPr>
          <w:rFonts w:asciiTheme="minorHAnsi" w:hAnsiTheme="minorHAnsi" w:cstheme="minorHAnsi"/>
          <w:bCs/>
        </w:rPr>
        <w:t>nto the Constitution</w:t>
      </w:r>
      <w:r>
        <w:rPr>
          <w:rFonts w:asciiTheme="minorHAnsi" w:hAnsiTheme="minorHAnsi" w:cstheme="minorHAnsi"/>
          <w:bCs/>
        </w:rPr>
        <w:t>, and the Commissioner has learned that expectations are low in this regard.</w:t>
      </w:r>
      <w:r>
        <w:rPr>
          <w:rStyle w:val="FootnoteReference"/>
          <w:rFonts w:asciiTheme="minorHAnsi" w:hAnsiTheme="minorHAnsi" w:cstheme="minorHAnsi"/>
          <w:bCs/>
        </w:rPr>
        <w:footnoteReference w:id="13"/>
      </w:r>
      <w:r>
        <w:rPr>
          <w:rFonts w:asciiTheme="minorHAnsi" w:hAnsiTheme="minorHAnsi" w:cstheme="minorHAnsi"/>
          <w:bCs/>
        </w:rPr>
        <w:t xml:space="preserve"> </w:t>
      </w:r>
    </w:p>
    <w:p w14:paraId="20DD3B62" w14:textId="77777777" w:rsidR="004A5AEE" w:rsidRPr="00773CE9" w:rsidRDefault="004A5AEE" w:rsidP="004A5AEE">
      <w:pPr>
        <w:pStyle w:val="ListParagraph"/>
        <w:tabs>
          <w:tab w:val="clear" w:pos="567"/>
        </w:tabs>
        <w:rPr>
          <w:rFonts w:asciiTheme="minorHAnsi" w:hAnsiTheme="minorHAnsi" w:cstheme="minorHAnsi"/>
        </w:rPr>
      </w:pPr>
      <w:r w:rsidRPr="00773CE9">
        <w:rPr>
          <w:rFonts w:asciiTheme="minorHAnsi" w:hAnsiTheme="minorHAnsi" w:cstheme="minorHAnsi"/>
          <w:bCs/>
        </w:rPr>
        <w:t>The UN</w:t>
      </w:r>
      <w:r>
        <w:rPr>
          <w:rFonts w:asciiTheme="minorHAnsi" w:hAnsiTheme="minorHAnsi" w:cstheme="minorHAnsi"/>
          <w:bCs/>
        </w:rPr>
        <w:t>CRC</w:t>
      </w:r>
      <w:r w:rsidRPr="00773CE9">
        <w:rPr>
          <w:rFonts w:asciiTheme="minorHAnsi" w:hAnsiTheme="minorHAnsi" w:cstheme="minorHAnsi"/>
          <w:bCs/>
        </w:rPr>
        <w:t xml:space="preserve"> has moreover considered it essential for Germany to establish a body at national level, with corresponding structures </w:t>
      </w:r>
      <w:r>
        <w:rPr>
          <w:rFonts w:asciiTheme="minorHAnsi" w:hAnsiTheme="minorHAnsi" w:cstheme="minorHAnsi"/>
          <w:bCs/>
        </w:rPr>
        <w:t>in</w:t>
      </w:r>
      <w:r w:rsidRPr="00773CE9">
        <w:rPr>
          <w:rFonts w:asciiTheme="minorHAnsi" w:hAnsiTheme="minorHAnsi" w:cstheme="minorHAnsi"/>
          <w:bCs/>
        </w:rPr>
        <w:t xml:space="preserve"> the Länder, to coordinate all government activities relating to children’s rights, and to develop an effective strategy, supported by sufficient human, technical and financial resources, to provide guidance to the Länder on how to implement the C</w:t>
      </w:r>
      <w:r>
        <w:rPr>
          <w:rFonts w:asciiTheme="minorHAnsi" w:hAnsiTheme="minorHAnsi" w:cstheme="minorHAnsi"/>
          <w:bCs/>
        </w:rPr>
        <w:t>RC</w:t>
      </w:r>
      <w:r w:rsidRPr="00773CE9">
        <w:rPr>
          <w:rFonts w:asciiTheme="minorHAnsi" w:hAnsiTheme="minorHAnsi" w:cstheme="minorHAnsi"/>
          <w:bCs/>
        </w:rPr>
        <w:t xml:space="preserve"> with a focus on children in disadvantaged situations, including children with disabilities and socio</w:t>
      </w:r>
      <w:r>
        <w:rPr>
          <w:rFonts w:asciiTheme="minorHAnsi" w:hAnsiTheme="minorHAnsi" w:cstheme="minorHAnsi"/>
          <w:bCs/>
        </w:rPr>
        <w:t>-</w:t>
      </w:r>
      <w:r w:rsidRPr="00773CE9">
        <w:rPr>
          <w:rFonts w:asciiTheme="minorHAnsi" w:hAnsiTheme="minorHAnsi" w:cstheme="minorHAnsi"/>
          <w:bCs/>
        </w:rPr>
        <w:t xml:space="preserve">economically </w:t>
      </w:r>
      <w:r w:rsidRPr="00773CE9">
        <w:rPr>
          <w:rFonts w:asciiTheme="minorHAnsi" w:hAnsiTheme="minorHAnsi" w:cstheme="minorHAnsi"/>
          <w:bCs/>
        </w:rPr>
        <w:lastRenderedPageBreak/>
        <w:t xml:space="preserve">disadvantaged children. </w:t>
      </w:r>
      <w:r>
        <w:rPr>
          <w:rFonts w:asciiTheme="minorHAnsi" w:hAnsiTheme="minorHAnsi" w:cstheme="minorHAnsi"/>
          <w:bCs/>
        </w:rPr>
        <w:t>Th</w:t>
      </w:r>
      <w:r w:rsidRPr="00773CE9">
        <w:rPr>
          <w:rFonts w:asciiTheme="minorHAnsi" w:hAnsiTheme="minorHAnsi" w:cstheme="minorHAnsi"/>
          <w:bCs/>
        </w:rPr>
        <w:t>e Commissioner</w:t>
      </w:r>
      <w:r>
        <w:rPr>
          <w:rFonts w:asciiTheme="minorHAnsi" w:hAnsiTheme="minorHAnsi" w:cstheme="minorHAnsi"/>
          <w:bCs/>
        </w:rPr>
        <w:t xml:space="preserve"> notes</w:t>
      </w:r>
      <w:r w:rsidRPr="00773CE9">
        <w:rPr>
          <w:rFonts w:asciiTheme="minorHAnsi" w:hAnsiTheme="minorHAnsi" w:cstheme="minorHAnsi"/>
          <w:bCs/>
        </w:rPr>
        <w:t xml:space="preserve">, however, </w:t>
      </w:r>
      <w:r>
        <w:rPr>
          <w:rFonts w:asciiTheme="minorHAnsi" w:hAnsiTheme="minorHAnsi" w:cstheme="minorHAnsi"/>
          <w:bCs/>
        </w:rPr>
        <w:t xml:space="preserve">that </w:t>
      </w:r>
      <w:r w:rsidRPr="00773CE9">
        <w:rPr>
          <w:rFonts w:asciiTheme="minorHAnsi" w:hAnsiTheme="minorHAnsi" w:cstheme="minorHAnsi"/>
          <w:bCs/>
        </w:rPr>
        <w:t xml:space="preserve">no steps have been taken towards the implementation of these recommendations. </w:t>
      </w:r>
    </w:p>
    <w:p w14:paraId="623BE196" w14:textId="77777777" w:rsidR="004A5AEE" w:rsidRPr="00BD4EC0" w:rsidRDefault="004A5AEE" w:rsidP="004A5AEE">
      <w:pPr>
        <w:pStyle w:val="ListParagraph"/>
        <w:tabs>
          <w:tab w:val="clear" w:pos="567"/>
        </w:tabs>
        <w:rPr>
          <w:rFonts w:asciiTheme="minorHAnsi" w:hAnsiTheme="minorHAnsi" w:cstheme="minorHAnsi"/>
        </w:rPr>
      </w:pPr>
      <w:r w:rsidRPr="00773CE9">
        <w:t xml:space="preserve">The recent state report of Germany to the </w:t>
      </w:r>
      <w:r>
        <w:t>UN</w:t>
      </w:r>
      <w:r w:rsidRPr="00773CE9">
        <w:t xml:space="preserve">CRC refers to “numerous easily accessible contact and complaint points located in children’s immediate living environment, particularly at municipal level, where children or their representatives can turn in case of individual complaints,” referring to </w:t>
      </w:r>
      <w:r>
        <w:t>C</w:t>
      </w:r>
      <w:r w:rsidRPr="00773CE9">
        <w:t>hildren</w:t>
      </w:r>
      <w:r>
        <w:t>’s</w:t>
      </w:r>
      <w:r w:rsidRPr="00773CE9">
        <w:t xml:space="preserve"> </w:t>
      </w:r>
      <w:r>
        <w:t>C</w:t>
      </w:r>
      <w:r w:rsidRPr="00773CE9">
        <w:t xml:space="preserve">ommissioners at Länder and municipal level. However, </w:t>
      </w:r>
      <w:r>
        <w:t>C</w:t>
      </w:r>
      <w:r w:rsidRPr="00773CE9">
        <w:t>hildren</w:t>
      </w:r>
      <w:r>
        <w:t>’s</w:t>
      </w:r>
      <w:r w:rsidRPr="00773CE9">
        <w:t xml:space="preserve"> </w:t>
      </w:r>
      <w:r>
        <w:t>C</w:t>
      </w:r>
      <w:r w:rsidRPr="00773CE9">
        <w:t xml:space="preserve">ommissioners </w:t>
      </w:r>
      <w:r>
        <w:t xml:space="preserve">have </w:t>
      </w:r>
      <w:r w:rsidRPr="00773CE9">
        <w:t xml:space="preserve">only </w:t>
      </w:r>
      <w:r>
        <w:t>been established</w:t>
      </w:r>
      <w:r w:rsidRPr="00773CE9">
        <w:t xml:space="preserve"> in four Länder (</w:t>
      </w:r>
      <w:r w:rsidRPr="00773CE9">
        <w:rPr>
          <w:rFonts w:asciiTheme="minorHAnsi" w:hAnsiTheme="minorHAnsi" w:cstheme="minorHAnsi"/>
          <w:bCs/>
        </w:rPr>
        <w:t>Brandenburg, Hesse, Saxony</w:t>
      </w:r>
      <w:r>
        <w:rPr>
          <w:rFonts w:asciiTheme="minorHAnsi" w:hAnsiTheme="minorHAnsi" w:cstheme="minorHAnsi"/>
          <w:bCs/>
        </w:rPr>
        <w:t>, S</w:t>
      </w:r>
      <w:r w:rsidRPr="00773CE9">
        <w:rPr>
          <w:rFonts w:asciiTheme="minorHAnsi" w:hAnsiTheme="minorHAnsi" w:cstheme="minorHAnsi"/>
          <w:bCs/>
        </w:rPr>
        <w:t>axony-Anhalt</w:t>
      </w:r>
      <w:r w:rsidRPr="00773CE9">
        <w:t>)</w:t>
      </w:r>
      <w:r>
        <w:t xml:space="preserve"> </w:t>
      </w:r>
      <w:r w:rsidRPr="00773CE9">
        <w:t>and</w:t>
      </w:r>
      <w:r>
        <w:t xml:space="preserve"> in only </w:t>
      </w:r>
      <w:r w:rsidRPr="00773CE9">
        <w:t>1% of municipalities</w:t>
      </w:r>
      <w:r>
        <w:t>.</w:t>
      </w:r>
      <w:r w:rsidRPr="00773CE9">
        <w:rPr>
          <w:rStyle w:val="FootnoteReference"/>
        </w:rPr>
        <w:footnoteReference w:id="14"/>
      </w:r>
      <w:r>
        <w:t xml:space="preserve"> </w:t>
      </w:r>
      <w:r w:rsidRPr="00773CE9">
        <w:t>Where the</w:t>
      </w:r>
      <w:r>
        <w:t>se</w:t>
      </w:r>
      <w:r w:rsidRPr="00773CE9">
        <w:t xml:space="preserve"> exist, they </w:t>
      </w:r>
      <w:r>
        <w:t>may have some i</w:t>
      </w:r>
      <w:r w:rsidRPr="00773CE9">
        <w:t xml:space="preserve">nfluence </w:t>
      </w:r>
      <w:r>
        <w:t xml:space="preserve">on </w:t>
      </w:r>
      <w:r w:rsidRPr="00773CE9">
        <w:t>municipal politics</w:t>
      </w:r>
      <w:r>
        <w:t xml:space="preserve"> related to children, however, </w:t>
      </w:r>
      <w:r w:rsidRPr="00773CE9">
        <w:t>their mandates do not include the receipt of individual complaints from children. There are also no lawyers or contact points</w:t>
      </w:r>
      <w:r w:rsidR="004D1559">
        <w:t xml:space="preserve"> </w:t>
      </w:r>
      <w:r w:rsidRPr="00773CE9">
        <w:t xml:space="preserve">specialised in the legal counselling of children, as recommended in the Council of Europe </w:t>
      </w:r>
      <w:r>
        <w:rPr>
          <w:rFonts w:asciiTheme="minorHAnsi" w:hAnsiTheme="minorHAnsi" w:cstheme="minorHAnsi"/>
          <w:bCs/>
        </w:rPr>
        <w:t>g</w:t>
      </w:r>
      <w:r w:rsidRPr="00A03789">
        <w:rPr>
          <w:rFonts w:asciiTheme="minorHAnsi" w:hAnsiTheme="minorHAnsi" w:cstheme="minorHAnsi"/>
          <w:bCs/>
        </w:rPr>
        <w:t>uidelines on child-friendly justice</w:t>
      </w:r>
      <w:r w:rsidRPr="00773CE9">
        <w:t>.</w:t>
      </w:r>
      <w:r w:rsidRPr="00773CE9">
        <w:rPr>
          <w:rStyle w:val="FootnoteReference"/>
          <w:rFonts w:asciiTheme="minorHAnsi" w:hAnsiTheme="minorHAnsi" w:cstheme="minorHAnsi"/>
          <w:bCs/>
        </w:rPr>
        <w:footnoteReference w:id="15"/>
      </w:r>
      <w:r w:rsidRPr="00773CE9">
        <w:t xml:space="preserve"> </w:t>
      </w:r>
      <w:r>
        <w:t xml:space="preserve">In fact, there are few institutions in Germany to which children can turn and receive support to claim their rights independently, and which could help make their needs and concerns visible. </w:t>
      </w:r>
    </w:p>
    <w:p w14:paraId="2E4A202B" w14:textId="77777777" w:rsidR="004A5AEE" w:rsidRPr="00D90B39" w:rsidRDefault="004A5AEE" w:rsidP="004A5AEE">
      <w:pPr>
        <w:pStyle w:val="ListParagraph"/>
        <w:tabs>
          <w:tab w:val="clear" w:pos="567"/>
        </w:tabs>
        <w:rPr>
          <w:rFonts w:asciiTheme="minorHAnsi" w:hAnsiTheme="minorHAnsi" w:cstheme="minorHAnsi"/>
        </w:rPr>
      </w:pPr>
      <w:r w:rsidRPr="00773CE9">
        <w:rPr>
          <w:rFonts w:asciiTheme="minorHAnsi" w:hAnsiTheme="minorHAnsi" w:cstheme="minorHAnsi"/>
          <w:bCs/>
        </w:rPr>
        <w:t xml:space="preserve">The GIHR has </w:t>
      </w:r>
      <w:r>
        <w:rPr>
          <w:rFonts w:asciiTheme="minorHAnsi" w:hAnsiTheme="minorHAnsi" w:cstheme="minorHAnsi"/>
          <w:bCs/>
        </w:rPr>
        <w:t>called for an extension of t</w:t>
      </w:r>
      <w:r w:rsidRPr="00773CE9">
        <w:t xml:space="preserve">he existing </w:t>
      </w:r>
      <w:r>
        <w:t xml:space="preserve">children’s </w:t>
      </w:r>
      <w:r w:rsidRPr="00773CE9">
        <w:t xml:space="preserve">commissions at municipal and Länder level </w:t>
      </w:r>
      <w:r>
        <w:t xml:space="preserve">and a strengthening of their functions in such a way that children are systematically </w:t>
      </w:r>
      <w:r w:rsidRPr="00773CE9">
        <w:rPr>
          <w:rFonts w:asciiTheme="minorHAnsi" w:hAnsiTheme="minorHAnsi" w:cstheme="minorHAnsi"/>
          <w:bCs/>
        </w:rPr>
        <w:t>provided with easily accessible complaint mechanisms at federal, regional and local levels</w:t>
      </w:r>
      <w:r>
        <w:rPr>
          <w:rFonts w:asciiTheme="minorHAnsi" w:hAnsiTheme="minorHAnsi" w:cstheme="minorHAnsi"/>
          <w:bCs/>
        </w:rPr>
        <w:t>.</w:t>
      </w:r>
      <w:r w:rsidRPr="00773CE9">
        <w:rPr>
          <w:rStyle w:val="FootnoteReference"/>
          <w:rFonts w:asciiTheme="minorHAnsi" w:hAnsiTheme="minorHAnsi" w:cstheme="minorHAnsi"/>
          <w:bCs/>
        </w:rPr>
        <w:footnoteReference w:id="16"/>
      </w:r>
      <w:r>
        <w:rPr>
          <w:rFonts w:asciiTheme="minorHAnsi" w:hAnsiTheme="minorHAnsi" w:cstheme="minorHAnsi"/>
          <w:bCs/>
        </w:rPr>
        <w:t xml:space="preserve"> The resulting structures should enable children at different levels to </w:t>
      </w:r>
      <w:r w:rsidRPr="00773CE9">
        <w:rPr>
          <w:rFonts w:asciiTheme="minorHAnsi" w:hAnsiTheme="minorHAnsi" w:cstheme="minorHAnsi"/>
          <w:bCs/>
        </w:rPr>
        <w:t xml:space="preserve">seek advice and assistance independently </w:t>
      </w:r>
      <w:r>
        <w:rPr>
          <w:rFonts w:asciiTheme="minorHAnsi" w:hAnsiTheme="minorHAnsi" w:cstheme="minorHAnsi"/>
          <w:bCs/>
        </w:rPr>
        <w:t>from</w:t>
      </w:r>
      <w:r w:rsidRPr="00773CE9">
        <w:rPr>
          <w:rFonts w:asciiTheme="minorHAnsi" w:hAnsiTheme="minorHAnsi" w:cstheme="minorHAnsi"/>
          <w:bCs/>
        </w:rPr>
        <w:t xml:space="preserve"> their parents</w:t>
      </w:r>
      <w:r>
        <w:rPr>
          <w:rFonts w:asciiTheme="minorHAnsi" w:hAnsiTheme="minorHAnsi" w:cstheme="minorHAnsi"/>
          <w:bCs/>
        </w:rPr>
        <w:t xml:space="preserve"> and should ensure that their interests are carried from the municipal to the L</w:t>
      </w:r>
      <w:r w:rsidRPr="00773CE9">
        <w:t xml:space="preserve">änder </w:t>
      </w:r>
      <w:r>
        <w:t xml:space="preserve">level, and ultimately on to the federal level, to increase awareness and create the necessary conditions for ensuring that primacy is given to the best interests of children in all matters affecting them. </w:t>
      </w:r>
    </w:p>
    <w:p w14:paraId="6CC0E1F1" w14:textId="77777777" w:rsidR="004A5AEE" w:rsidRPr="00AF1A4D" w:rsidRDefault="004A5AEE" w:rsidP="004A5AEE">
      <w:pPr>
        <w:pStyle w:val="Heading3"/>
        <w:numPr>
          <w:ilvl w:val="2"/>
          <w:numId w:val="24"/>
        </w:numPr>
        <w:ind w:left="794" w:hanging="794"/>
        <w:rPr>
          <w:rFonts w:eastAsiaTheme="minorEastAsia"/>
          <w:lang w:val="en-GB"/>
        </w:rPr>
      </w:pPr>
      <w:bookmarkStart w:id="24" w:name="_Toc158636894"/>
      <w:bookmarkStart w:id="25" w:name="_Toc159582665"/>
      <w:r w:rsidRPr="00AF1A4D">
        <w:rPr>
          <w:rFonts w:eastAsiaTheme="minorEastAsia"/>
          <w:lang w:val="en-GB"/>
        </w:rPr>
        <w:t>Child participation</w:t>
      </w:r>
      <w:bookmarkEnd w:id="24"/>
      <w:bookmarkEnd w:id="25"/>
    </w:p>
    <w:p w14:paraId="3EA8CFF7" w14:textId="77777777" w:rsidR="004A5AEE" w:rsidRPr="00BD4EC0" w:rsidRDefault="004A5AEE" w:rsidP="004A5AEE">
      <w:pPr>
        <w:pStyle w:val="ListParagraph"/>
        <w:tabs>
          <w:tab w:val="clear" w:pos="567"/>
        </w:tabs>
        <w:rPr>
          <w:rFonts w:asciiTheme="minorHAnsi" w:hAnsiTheme="minorHAnsi" w:cstheme="minorHAnsi"/>
        </w:rPr>
      </w:pPr>
      <w:r>
        <w:t>The general voting age for federal parliament elections in Germany is 18 years. The Commissioner welcomes the commitment by the federal government as part of the coalition agreement to promote the effective participation of children and youth through a variety of measures. T</w:t>
      </w:r>
      <w:r w:rsidRPr="00773CE9">
        <w:t xml:space="preserve">he government </w:t>
      </w:r>
      <w:r w:rsidRPr="00BD4EC0">
        <w:rPr>
          <w:rFonts w:asciiTheme="minorHAnsi" w:hAnsiTheme="minorHAnsi" w:cstheme="minorHAnsi"/>
          <w:bCs/>
        </w:rPr>
        <w:t>lowered the voting age</w:t>
      </w:r>
      <w:r w:rsidRPr="00773CE9">
        <w:t xml:space="preserve"> for European Parliament elections to 16 years in November 2022.</w:t>
      </w:r>
      <w:r w:rsidRPr="00773CE9">
        <w:rPr>
          <w:rStyle w:val="FootnoteReference"/>
          <w:rFonts w:asciiTheme="minorHAnsi" w:hAnsiTheme="minorHAnsi" w:cstheme="minorHAnsi"/>
          <w:bCs/>
        </w:rPr>
        <w:footnoteReference w:id="17"/>
      </w:r>
      <w:r w:rsidRPr="00773CE9">
        <w:t xml:space="preserve"> </w:t>
      </w:r>
      <w:r>
        <w:t xml:space="preserve">In addition, the voting age for municipal elections has been lowered to 16 years </w:t>
      </w:r>
      <w:r w:rsidRPr="00773CE9">
        <w:t xml:space="preserve">in 11 of </w:t>
      </w:r>
      <w:r>
        <w:t xml:space="preserve">the </w:t>
      </w:r>
      <w:r w:rsidRPr="00773CE9">
        <w:t xml:space="preserve">16 </w:t>
      </w:r>
      <w:r>
        <w:t>L</w:t>
      </w:r>
      <w:r w:rsidRPr="00BD4EC0">
        <w:rPr>
          <w:rFonts w:cs="Calibri"/>
        </w:rPr>
        <w:t>ä</w:t>
      </w:r>
      <w:r>
        <w:t>nder. In December 2023, moreover, Berlin became the</w:t>
      </w:r>
      <w:r>
        <w:rPr>
          <w:vertAlign w:val="superscript"/>
        </w:rPr>
        <w:t xml:space="preserve"> </w:t>
      </w:r>
      <w:r>
        <w:t>seventh Land to allow voting from 16 years of age in regional Parliament elections.</w:t>
      </w:r>
      <w:r>
        <w:rPr>
          <w:rStyle w:val="FootnoteReference"/>
        </w:rPr>
        <w:footnoteReference w:id="18"/>
      </w:r>
      <w:r>
        <w:t xml:space="preserve"> </w:t>
      </w:r>
      <w:r w:rsidRPr="00773CE9">
        <w:t xml:space="preserve">A competence centre for the development and strengthening of youth and child participation was created </w:t>
      </w:r>
      <w:r>
        <w:t xml:space="preserve">on </w:t>
      </w:r>
      <w:r w:rsidRPr="00773CE9">
        <w:t>1 Jan</w:t>
      </w:r>
      <w:r>
        <w:t>uary</w:t>
      </w:r>
      <w:r w:rsidRPr="00773CE9">
        <w:t xml:space="preserve"> 2023 and a </w:t>
      </w:r>
      <w:r>
        <w:t xml:space="preserve">corresponding </w:t>
      </w:r>
      <w:r w:rsidRPr="00773CE9">
        <w:t>National Action Plan on Participation</w:t>
      </w:r>
      <w:r>
        <w:t xml:space="preserve"> is foreseen. According to discussions held during the visit, however, </w:t>
      </w:r>
      <w:r w:rsidRPr="00773CE9">
        <w:t xml:space="preserve">no concrete measures are expected </w:t>
      </w:r>
      <w:r>
        <w:t xml:space="preserve">to be taken </w:t>
      </w:r>
      <w:r w:rsidRPr="00773CE9">
        <w:t>in this legislative period</w:t>
      </w:r>
      <w:r>
        <w:t>, despite s</w:t>
      </w:r>
      <w:r w:rsidRPr="00773CE9">
        <w:t xml:space="preserve">ome hearings </w:t>
      </w:r>
      <w:r>
        <w:t>having</w:t>
      </w:r>
      <w:r w:rsidRPr="00773CE9">
        <w:t xml:space="preserve"> taken place</w:t>
      </w:r>
      <w:r>
        <w:t xml:space="preserve"> in the course of 2023</w:t>
      </w:r>
      <w:r w:rsidRPr="00773CE9">
        <w:t xml:space="preserve">. </w:t>
      </w:r>
    </w:p>
    <w:p w14:paraId="6D3F027B" w14:textId="77777777" w:rsidR="004A5AEE" w:rsidRPr="0078650B" w:rsidRDefault="004A5AEE" w:rsidP="004A5AEE">
      <w:pPr>
        <w:pStyle w:val="ListParagraph"/>
        <w:tabs>
          <w:tab w:val="clear" w:pos="567"/>
        </w:tabs>
        <w:rPr>
          <w:rFonts w:asciiTheme="minorHAnsi" w:hAnsiTheme="minorHAnsi" w:cstheme="minorHAnsi"/>
        </w:rPr>
      </w:pPr>
      <w:r w:rsidRPr="0078650B">
        <w:rPr>
          <w:rFonts w:asciiTheme="minorHAnsi" w:hAnsiTheme="minorHAnsi" w:cstheme="minorHAnsi"/>
          <w:bCs/>
        </w:rPr>
        <w:t>The Commissioner learned that a lack of structural mechanisms to facilitate self-organisation and effective participation of children and youth, including in schools and educational institutions, is also an issue.</w:t>
      </w:r>
      <w:r w:rsidRPr="00773CE9">
        <w:t xml:space="preserve"> A law adopted in June 2021 foresees, among other</w:t>
      </w:r>
      <w:r>
        <w:t xml:space="preserve"> things</w:t>
      </w:r>
      <w:r w:rsidRPr="00773CE9">
        <w:t>, efforts to “strengthen the participation of young people, parents and families</w:t>
      </w:r>
      <w:r>
        <w:t>”, but does not mention children</w:t>
      </w:r>
      <w:r w:rsidRPr="00773CE9">
        <w:t>.</w:t>
      </w:r>
      <w:r w:rsidRPr="00773CE9">
        <w:rPr>
          <w:rStyle w:val="FootnoteReference"/>
          <w:rFonts w:asciiTheme="minorHAnsi" w:hAnsiTheme="minorHAnsi" w:cstheme="minorHAnsi"/>
          <w:bCs/>
        </w:rPr>
        <w:footnoteReference w:id="19"/>
      </w:r>
      <w:r w:rsidRPr="00773CE9">
        <w:t xml:space="preserve"> When pupils and students began mobilising to protect the environment as part of the international Fridays for Future movement, </w:t>
      </w:r>
      <w:r>
        <w:t xml:space="preserve">for example, </w:t>
      </w:r>
      <w:r w:rsidRPr="00773CE9">
        <w:t xml:space="preserve">many politicians and school administrations threatened serious sanctions for violating the </w:t>
      </w:r>
      <w:r>
        <w:t xml:space="preserve">legal </w:t>
      </w:r>
      <w:r w:rsidRPr="00773CE9">
        <w:t>obligation to attend school</w:t>
      </w:r>
      <w:r>
        <w:t xml:space="preserve">. This reaction disregarded the constitutionally-guaranteed </w:t>
      </w:r>
      <w:r w:rsidRPr="00773CE9">
        <w:t>rights of children to freedom of opinion and freedom of assembly</w:t>
      </w:r>
      <w:r>
        <w:t xml:space="preserve"> that </w:t>
      </w:r>
      <w:r>
        <w:lastRenderedPageBreak/>
        <w:t xml:space="preserve">may be disproportionately infringed upon through </w:t>
      </w:r>
      <w:r w:rsidRPr="00773CE9">
        <w:t xml:space="preserve">threats of blanket sanctions under </w:t>
      </w:r>
      <w:r>
        <w:t xml:space="preserve">school </w:t>
      </w:r>
      <w:r w:rsidRPr="00773CE9">
        <w:t>laws.</w:t>
      </w:r>
      <w:r>
        <w:rPr>
          <w:rStyle w:val="FootnoteReference"/>
        </w:rPr>
        <w:footnoteReference w:id="20"/>
      </w:r>
      <w:r w:rsidR="004D1559">
        <w:t xml:space="preserve"> </w:t>
      </w:r>
      <w:r>
        <w:t xml:space="preserve">Further, while a </w:t>
      </w:r>
      <w:r w:rsidRPr="00773CE9">
        <w:t xml:space="preserve">small network of </w:t>
      </w:r>
      <w:r w:rsidRPr="004A3F91">
        <w:rPr>
          <w:rFonts w:asciiTheme="minorHAnsi" w:hAnsiTheme="minorHAnsi" w:cstheme="minorHAnsi"/>
          <w:bCs/>
        </w:rPr>
        <w:t>child and youth parliaments</w:t>
      </w:r>
      <w:r w:rsidRPr="00773CE9">
        <w:t xml:space="preserve"> at Länder and municipal level</w:t>
      </w:r>
      <w:r>
        <w:t xml:space="preserve"> i</w:t>
      </w:r>
      <w:r w:rsidRPr="00773CE9">
        <w:t>s being developed</w:t>
      </w:r>
      <w:r>
        <w:t>, these often operate without cl</w:t>
      </w:r>
      <w:r w:rsidRPr="00773CE9">
        <w:t xml:space="preserve">ear mandates </w:t>
      </w:r>
      <w:r>
        <w:t>or adequate</w:t>
      </w:r>
      <w:r w:rsidRPr="00773CE9">
        <w:t xml:space="preserve"> resources and do not consider themselves able to </w:t>
      </w:r>
      <w:r>
        <w:t>provide</w:t>
      </w:r>
      <w:r w:rsidRPr="00773CE9">
        <w:t xml:space="preserve"> effective input </w:t>
      </w:r>
      <w:r>
        <w:t>for</w:t>
      </w:r>
      <w:r w:rsidRPr="00773CE9">
        <w:t xml:space="preserve"> planning and decision-making processes affecting children and youth. This was also the experience reported by </w:t>
      </w:r>
      <w:r>
        <w:t xml:space="preserve">the existing </w:t>
      </w:r>
      <w:r w:rsidRPr="00773CE9">
        <w:t xml:space="preserve">pupil </w:t>
      </w:r>
      <w:r>
        <w:t xml:space="preserve">councils </w:t>
      </w:r>
      <w:r w:rsidRPr="00773CE9">
        <w:t>during the pandemic.</w:t>
      </w:r>
      <w:r w:rsidRPr="00773CE9">
        <w:rPr>
          <w:rStyle w:val="FootnoteReference"/>
          <w:rFonts w:asciiTheme="minorHAnsi" w:hAnsiTheme="minorHAnsi" w:cstheme="minorHAnsi"/>
          <w:bCs/>
        </w:rPr>
        <w:footnoteReference w:id="21"/>
      </w:r>
      <w:r>
        <w:t xml:space="preserve"> </w:t>
      </w:r>
    </w:p>
    <w:p w14:paraId="254F1B07" w14:textId="77777777" w:rsidR="004A5AEE" w:rsidRPr="000B0CD1" w:rsidRDefault="004A5AEE" w:rsidP="004A5AEE">
      <w:pPr>
        <w:pStyle w:val="ListParagraph"/>
        <w:tabs>
          <w:tab w:val="clear" w:pos="567"/>
        </w:tabs>
        <w:rPr>
          <w:rFonts w:asciiTheme="minorHAnsi" w:hAnsiTheme="minorHAnsi" w:cstheme="minorHAnsi"/>
        </w:rPr>
      </w:pPr>
      <w:r w:rsidRPr="000B0CD1">
        <w:rPr>
          <w:rFonts w:asciiTheme="minorHAnsi" w:hAnsiTheme="minorHAnsi" w:cstheme="minorHAnsi"/>
          <w:bCs/>
        </w:rPr>
        <w:t xml:space="preserve">According to the GIHR, children and youth in care institutions are often not made aware of their rights and are rarely consulted on measures that are taken on their behalf, resulting in experiences of dependence and defencelessness that run counter to the asserted aim of installing a sense of safety and </w:t>
      </w:r>
      <w:proofErr w:type="spellStart"/>
      <w:r w:rsidRPr="000B0CD1">
        <w:rPr>
          <w:rFonts w:asciiTheme="minorHAnsi" w:hAnsiTheme="minorHAnsi" w:cstheme="minorHAnsi"/>
          <w:bCs/>
        </w:rPr>
        <w:t>responsibilisation</w:t>
      </w:r>
      <w:proofErr w:type="spellEnd"/>
      <w:r w:rsidRPr="000B0CD1">
        <w:rPr>
          <w:rFonts w:asciiTheme="minorHAnsi" w:hAnsiTheme="minorHAnsi" w:cstheme="minorHAnsi"/>
          <w:bCs/>
        </w:rPr>
        <w:t>.</w:t>
      </w:r>
      <w:r w:rsidRPr="00773CE9">
        <w:rPr>
          <w:rStyle w:val="FootnoteReference"/>
          <w:rFonts w:asciiTheme="minorHAnsi" w:hAnsiTheme="minorHAnsi" w:cstheme="minorHAnsi"/>
          <w:bCs/>
        </w:rPr>
        <w:footnoteReference w:id="22"/>
      </w:r>
      <w:r w:rsidRPr="000B0CD1">
        <w:rPr>
          <w:rFonts w:asciiTheme="minorHAnsi" w:hAnsiTheme="minorHAnsi" w:cstheme="minorHAnsi"/>
          <w:bCs/>
        </w:rPr>
        <w:t xml:space="preserve"> In this context, t</w:t>
      </w:r>
      <w:r>
        <w:t xml:space="preserve">he Commissioner notes with concern the continued reports of children </w:t>
      </w:r>
      <w:r w:rsidRPr="000B0CD1">
        <w:rPr>
          <w:rFonts w:asciiTheme="minorHAnsi" w:hAnsiTheme="minorHAnsi" w:cstheme="minorHAnsi"/>
          <w:bCs/>
        </w:rPr>
        <w:t>facing violence and coercion in alternative care, particularly in closed institutions.</w:t>
      </w:r>
      <w:r>
        <w:rPr>
          <w:rStyle w:val="FootnoteReference"/>
          <w:rFonts w:asciiTheme="minorHAnsi" w:hAnsiTheme="minorHAnsi" w:cstheme="minorHAnsi"/>
          <w:bCs/>
        </w:rPr>
        <w:footnoteReference w:id="23"/>
      </w:r>
      <w:r w:rsidRPr="000B0CD1">
        <w:rPr>
          <w:rFonts w:asciiTheme="minorHAnsi" w:hAnsiTheme="minorHAnsi" w:cstheme="minorHAnsi"/>
          <w:bCs/>
        </w:rPr>
        <w:t xml:space="preserve"> She </w:t>
      </w:r>
      <w:r>
        <w:t xml:space="preserve">was impressed by the clear vision, courage and dedication of the children and youth she met during the country visit and points to their concrete </w:t>
      </w:r>
      <w:r w:rsidRPr="000B0CD1">
        <w:rPr>
          <w:rFonts w:asciiTheme="minorHAnsi" w:hAnsiTheme="minorHAnsi" w:cstheme="minorHAnsi"/>
          <w:bCs/>
          <w:lang w:val="en-US"/>
        </w:rPr>
        <w:t>demands for improved and dignified treatment in welfare and justice institutions.</w:t>
      </w:r>
      <w:r>
        <w:rPr>
          <w:rStyle w:val="FootnoteReference"/>
          <w:rFonts w:asciiTheme="minorHAnsi" w:hAnsiTheme="minorHAnsi" w:cstheme="minorHAnsi"/>
          <w:bCs/>
          <w:lang w:val="fr-FR"/>
        </w:rPr>
        <w:footnoteReference w:id="24"/>
      </w:r>
      <w:r w:rsidRPr="000B0CD1">
        <w:rPr>
          <w:rFonts w:asciiTheme="minorHAnsi" w:hAnsiTheme="minorHAnsi" w:cstheme="minorHAnsi"/>
          <w:bCs/>
          <w:lang w:val="en-US"/>
        </w:rPr>
        <w:t xml:space="preserve"> </w:t>
      </w:r>
      <w:bookmarkStart w:id="26" w:name="_Hlk158151325"/>
      <w:r w:rsidRPr="000B0CD1">
        <w:rPr>
          <w:rFonts w:asciiTheme="minorHAnsi" w:hAnsiTheme="minorHAnsi" w:cstheme="minorHAnsi"/>
          <w:bCs/>
          <w:lang w:val="en-US"/>
        </w:rPr>
        <w:t>S</w:t>
      </w:r>
      <w:r w:rsidRPr="000B0CD1">
        <w:rPr>
          <w:rFonts w:asciiTheme="minorHAnsi" w:hAnsiTheme="minorHAnsi" w:cstheme="minorHAnsi"/>
          <w:bCs/>
        </w:rPr>
        <w:t>he also wel</w:t>
      </w:r>
      <w:r>
        <w:t xml:space="preserve">comes the growing engagement within the child and youth welfare services in raising rights awareness and strengthening the participation of children and youth in institutions, including through the </w:t>
      </w:r>
      <w:r w:rsidRPr="000B0CD1">
        <w:t>Federal Youth Welfare Ombudsman Network</w:t>
      </w:r>
      <w:r>
        <w:t>.</w:t>
      </w:r>
      <w:r>
        <w:rPr>
          <w:rStyle w:val="FootnoteReference"/>
        </w:rPr>
        <w:footnoteReference w:id="25"/>
      </w:r>
      <w:r>
        <w:t xml:space="preserve"> </w:t>
      </w:r>
    </w:p>
    <w:p w14:paraId="66CC9636" w14:textId="77777777" w:rsidR="004A5AEE" w:rsidRPr="00773CE9" w:rsidRDefault="004A5AEE" w:rsidP="00AF1A4D">
      <w:pPr>
        <w:pStyle w:val="Heading2"/>
        <w:numPr>
          <w:ilvl w:val="1"/>
          <w:numId w:val="24"/>
        </w:numPr>
        <w:tabs>
          <w:tab w:val="num" w:pos="765"/>
        </w:tabs>
        <w:ind w:hanging="765"/>
      </w:pPr>
      <w:bookmarkStart w:id="29" w:name="_Toc152669919"/>
      <w:bookmarkStart w:id="30" w:name="_Toc152669950"/>
      <w:bookmarkStart w:id="31" w:name="_Toc158636895"/>
      <w:bookmarkStart w:id="32" w:name="_Toc159582666"/>
      <w:bookmarkEnd w:id="26"/>
      <w:r>
        <w:t xml:space="preserve">The rights </w:t>
      </w:r>
      <w:r w:rsidRPr="00773CE9">
        <w:t>of persons with disabilities</w:t>
      </w:r>
      <w:bookmarkEnd w:id="29"/>
      <w:bookmarkEnd w:id="30"/>
      <w:bookmarkEnd w:id="31"/>
      <w:bookmarkEnd w:id="32"/>
    </w:p>
    <w:p w14:paraId="51AB7812" w14:textId="77777777" w:rsidR="004A5AEE" w:rsidRPr="00D47BD5" w:rsidRDefault="004A5AEE" w:rsidP="004A5AEE">
      <w:pPr>
        <w:pStyle w:val="ListParagraph"/>
        <w:tabs>
          <w:tab w:val="clear" w:pos="567"/>
        </w:tabs>
        <w:rPr>
          <w:rFonts w:asciiTheme="minorHAnsi" w:hAnsiTheme="minorHAnsi" w:cstheme="minorHAnsi"/>
        </w:rPr>
      </w:pPr>
      <w:r w:rsidRPr="00D47BD5">
        <w:rPr>
          <w:rFonts w:asciiTheme="minorHAnsi" w:hAnsiTheme="minorHAnsi" w:cstheme="minorHAnsi"/>
          <w:bCs/>
        </w:rPr>
        <w:t xml:space="preserve">Germany ratified the </w:t>
      </w:r>
      <w:r>
        <w:rPr>
          <w:rFonts w:asciiTheme="minorHAnsi" w:hAnsiTheme="minorHAnsi" w:cstheme="minorHAnsi"/>
          <w:bCs/>
        </w:rPr>
        <w:t>CRPD</w:t>
      </w:r>
      <w:r w:rsidRPr="00D47BD5">
        <w:rPr>
          <w:rFonts w:asciiTheme="minorHAnsi" w:hAnsiTheme="minorHAnsi" w:cstheme="minorHAnsi"/>
          <w:bCs/>
        </w:rPr>
        <w:t xml:space="preserve"> in 2009</w:t>
      </w:r>
      <w:r>
        <w:rPr>
          <w:rFonts w:asciiTheme="minorHAnsi" w:hAnsiTheme="minorHAnsi" w:cstheme="minorHAnsi"/>
          <w:bCs/>
        </w:rPr>
        <w:t xml:space="preserve"> and underwent its periodic evaluation by the CRPD Committee in August 2023. The Commissioner notes the limited </w:t>
      </w:r>
      <w:r w:rsidRPr="00D47BD5">
        <w:rPr>
          <w:rFonts w:asciiTheme="minorHAnsi" w:hAnsiTheme="minorHAnsi" w:cstheme="minorHAnsi"/>
          <w:bCs/>
        </w:rPr>
        <w:t xml:space="preserve">progress in promoting the rights of persons with disabilities in Germany due, among other things, to a lack </w:t>
      </w:r>
      <w:r>
        <w:rPr>
          <w:rFonts w:asciiTheme="minorHAnsi" w:hAnsiTheme="minorHAnsi" w:cstheme="minorHAnsi"/>
          <w:bCs/>
        </w:rPr>
        <w:t>of</w:t>
      </w:r>
      <w:r w:rsidRPr="00D47BD5">
        <w:rPr>
          <w:rFonts w:asciiTheme="minorHAnsi" w:hAnsiTheme="minorHAnsi" w:cstheme="minorHAnsi"/>
          <w:bCs/>
        </w:rPr>
        <w:t xml:space="preserve"> recognition that disability is </w:t>
      </w:r>
      <w:r>
        <w:rPr>
          <w:rFonts w:asciiTheme="minorHAnsi" w:hAnsiTheme="minorHAnsi" w:cstheme="minorHAnsi"/>
          <w:bCs/>
        </w:rPr>
        <w:t>the</w:t>
      </w:r>
      <w:r w:rsidRPr="00D47BD5">
        <w:rPr>
          <w:rFonts w:asciiTheme="minorHAnsi" w:hAnsiTheme="minorHAnsi" w:cstheme="minorHAnsi"/>
          <w:bCs/>
        </w:rPr>
        <w:t xml:space="preserve"> responsibilit</w:t>
      </w:r>
      <w:r>
        <w:rPr>
          <w:rFonts w:asciiTheme="minorHAnsi" w:hAnsiTheme="minorHAnsi" w:cstheme="minorHAnsi"/>
          <w:bCs/>
        </w:rPr>
        <w:t xml:space="preserve">y </w:t>
      </w:r>
      <w:r w:rsidRPr="00D47BD5">
        <w:rPr>
          <w:rFonts w:asciiTheme="minorHAnsi" w:hAnsiTheme="minorHAnsi" w:cstheme="minorHAnsi"/>
          <w:bCs/>
        </w:rPr>
        <w:t>of all government entities</w:t>
      </w:r>
      <w:r>
        <w:rPr>
          <w:rFonts w:asciiTheme="minorHAnsi" w:hAnsiTheme="minorHAnsi" w:cstheme="minorHAnsi"/>
          <w:bCs/>
        </w:rPr>
        <w:t>,</w:t>
      </w:r>
      <w:r w:rsidRPr="00D47BD5">
        <w:rPr>
          <w:rFonts w:asciiTheme="minorHAnsi" w:hAnsiTheme="minorHAnsi" w:cstheme="minorHAnsi"/>
          <w:bCs/>
        </w:rPr>
        <w:t xml:space="preserve"> and an overall approach to disability from a medical</w:t>
      </w:r>
      <w:r>
        <w:rPr>
          <w:rFonts w:asciiTheme="minorHAnsi" w:hAnsiTheme="minorHAnsi" w:cstheme="minorHAnsi"/>
          <w:bCs/>
        </w:rPr>
        <w:t>,</w:t>
      </w:r>
      <w:r w:rsidRPr="00D47BD5">
        <w:rPr>
          <w:rFonts w:asciiTheme="minorHAnsi" w:hAnsiTheme="minorHAnsi" w:cstheme="minorHAnsi"/>
          <w:bCs/>
        </w:rPr>
        <w:t xml:space="preserve"> rather than a human rights</w:t>
      </w:r>
      <w:r>
        <w:rPr>
          <w:rFonts w:asciiTheme="minorHAnsi" w:hAnsiTheme="minorHAnsi" w:cstheme="minorHAnsi"/>
          <w:bCs/>
        </w:rPr>
        <w:t>,</w:t>
      </w:r>
      <w:r w:rsidRPr="00D47BD5">
        <w:rPr>
          <w:rFonts w:asciiTheme="minorHAnsi" w:hAnsiTheme="minorHAnsi" w:cstheme="minorHAnsi"/>
          <w:bCs/>
        </w:rPr>
        <w:t xml:space="preserve"> perspective.</w:t>
      </w:r>
      <w:r w:rsidRPr="00773CE9">
        <w:rPr>
          <w:rStyle w:val="FootnoteReference"/>
          <w:rFonts w:asciiTheme="minorHAnsi" w:hAnsiTheme="minorHAnsi" w:cstheme="minorHAnsi"/>
          <w:bCs/>
        </w:rPr>
        <w:footnoteReference w:id="26"/>
      </w:r>
      <w:r w:rsidRPr="00D47BD5">
        <w:rPr>
          <w:rFonts w:asciiTheme="minorHAnsi" w:hAnsiTheme="minorHAnsi" w:cstheme="minorHAnsi"/>
          <w:bCs/>
        </w:rPr>
        <w:t xml:space="preserve"> </w:t>
      </w:r>
      <w:bookmarkStart w:id="33" w:name="_Hlk150761852"/>
      <w:r w:rsidRPr="00D47BD5">
        <w:rPr>
          <w:rFonts w:asciiTheme="minorHAnsi" w:hAnsiTheme="minorHAnsi" w:cstheme="minorHAnsi"/>
          <w:bCs/>
        </w:rPr>
        <w:t xml:space="preserve">The </w:t>
      </w:r>
      <w:r>
        <w:rPr>
          <w:rFonts w:asciiTheme="minorHAnsi" w:hAnsiTheme="minorHAnsi" w:cstheme="minorHAnsi"/>
          <w:bCs/>
        </w:rPr>
        <w:t xml:space="preserve">CRPD </w:t>
      </w:r>
      <w:r w:rsidRPr="00D47BD5">
        <w:rPr>
          <w:rFonts w:asciiTheme="minorHAnsi" w:hAnsiTheme="minorHAnsi" w:cstheme="minorHAnsi"/>
          <w:bCs/>
        </w:rPr>
        <w:t>Committee called on the government to systematically review the conformity of existing laws, policies and practices with the obligations under the CRPD and to ensure that disability-related mea</w:t>
      </w:r>
      <w:r>
        <w:rPr>
          <w:rFonts w:asciiTheme="minorHAnsi" w:hAnsiTheme="minorHAnsi" w:cstheme="minorHAnsi"/>
          <w:bCs/>
        </w:rPr>
        <w:t>s</w:t>
      </w:r>
      <w:r w:rsidRPr="00D47BD5">
        <w:rPr>
          <w:rFonts w:asciiTheme="minorHAnsi" w:hAnsiTheme="minorHAnsi" w:cstheme="minorHAnsi"/>
          <w:bCs/>
        </w:rPr>
        <w:t xml:space="preserve">ures were mainstreamed as a cross-cutting issue in all areas of law. During her visit, the Commissioner </w:t>
      </w:r>
      <w:r>
        <w:rPr>
          <w:rFonts w:asciiTheme="minorHAnsi" w:hAnsiTheme="minorHAnsi" w:cstheme="minorHAnsi"/>
          <w:bCs/>
        </w:rPr>
        <w:t xml:space="preserve">noted </w:t>
      </w:r>
      <w:r w:rsidRPr="00D47BD5">
        <w:rPr>
          <w:rFonts w:asciiTheme="minorHAnsi" w:hAnsiTheme="minorHAnsi" w:cstheme="minorHAnsi"/>
          <w:bCs/>
        </w:rPr>
        <w:t xml:space="preserve">that </w:t>
      </w:r>
      <w:r>
        <w:rPr>
          <w:rFonts w:asciiTheme="minorHAnsi" w:hAnsiTheme="minorHAnsi" w:cstheme="minorHAnsi"/>
          <w:bCs/>
        </w:rPr>
        <w:t>key</w:t>
      </w:r>
      <w:r w:rsidRPr="00D47BD5">
        <w:rPr>
          <w:rFonts w:asciiTheme="minorHAnsi" w:hAnsiTheme="minorHAnsi" w:cstheme="minorHAnsi"/>
          <w:bCs/>
        </w:rPr>
        <w:t xml:space="preserve"> concepts enshrined in the CRPD </w:t>
      </w:r>
      <w:r>
        <w:rPr>
          <w:rFonts w:asciiTheme="minorHAnsi" w:hAnsiTheme="minorHAnsi" w:cstheme="minorHAnsi"/>
          <w:bCs/>
        </w:rPr>
        <w:t>were not always adequately understood, owing in part to an incorrect official translation of the Convention.</w:t>
      </w:r>
      <w:r>
        <w:rPr>
          <w:rStyle w:val="FootnoteReference"/>
          <w:rFonts w:asciiTheme="minorHAnsi" w:hAnsiTheme="minorHAnsi" w:cstheme="minorHAnsi"/>
          <w:bCs/>
        </w:rPr>
        <w:footnoteReference w:id="27"/>
      </w:r>
      <w:r w:rsidRPr="00D47BD5">
        <w:rPr>
          <w:rFonts w:asciiTheme="minorHAnsi" w:hAnsiTheme="minorHAnsi" w:cstheme="minorHAnsi"/>
          <w:bCs/>
        </w:rPr>
        <w:t xml:space="preserve"> </w:t>
      </w:r>
      <w:bookmarkEnd w:id="33"/>
    </w:p>
    <w:p w14:paraId="3A2A3E4E" w14:textId="77777777" w:rsidR="004A5AEE" w:rsidRPr="00D47BD5" w:rsidRDefault="004A5AEE" w:rsidP="004A5AEE">
      <w:pPr>
        <w:pStyle w:val="ListParagraph"/>
        <w:tabs>
          <w:tab w:val="clear" w:pos="567"/>
        </w:tabs>
        <w:rPr>
          <w:rFonts w:asciiTheme="minorHAnsi" w:hAnsiTheme="minorHAnsi" w:cstheme="minorHAnsi"/>
        </w:rPr>
      </w:pPr>
      <w:r w:rsidRPr="00D47BD5">
        <w:rPr>
          <w:rFonts w:asciiTheme="minorHAnsi" w:hAnsiTheme="minorHAnsi" w:cstheme="minorHAnsi"/>
          <w:bCs/>
        </w:rPr>
        <w:t xml:space="preserve">The </w:t>
      </w:r>
      <w:r>
        <w:rPr>
          <w:rFonts w:asciiTheme="minorHAnsi" w:hAnsiTheme="minorHAnsi" w:cstheme="minorHAnsi"/>
          <w:bCs/>
        </w:rPr>
        <w:t xml:space="preserve">2002 </w:t>
      </w:r>
      <w:r w:rsidRPr="00D47BD5">
        <w:rPr>
          <w:rFonts w:asciiTheme="minorHAnsi" w:hAnsiTheme="minorHAnsi" w:cstheme="minorHAnsi"/>
          <w:bCs/>
        </w:rPr>
        <w:t>Law on Equal Treatment of persons with disabilities (BGG)</w:t>
      </w:r>
      <w:r>
        <w:rPr>
          <w:rFonts w:asciiTheme="minorHAnsi" w:hAnsiTheme="minorHAnsi" w:cstheme="minorHAnsi"/>
          <w:bCs/>
        </w:rPr>
        <w:t>, which</w:t>
      </w:r>
      <w:r w:rsidRPr="00D47BD5">
        <w:rPr>
          <w:rFonts w:asciiTheme="minorHAnsi" w:hAnsiTheme="minorHAnsi" w:cstheme="minorHAnsi"/>
          <w:bCs/>
        </w:rPr>
        <w:t xml:space="preserve"> </w:t>
      </w:r>
      <w:r>
        <w:rPr>
          <w:rFonts w:asciiTheme="minorHAnsi" w:hAnsiTheme="minorHAnsi" w:cstheme="minorHAnsi"/>
          <w:bCs/>
        </w:rPr>
        <w:t xml:space="preserve">has been amended several times since its adoption, was introduced </w:t>
      </w:r>
      <w:r w:rsidRPr="00D47BD5">
        <w:rPr>
          <w:rFonts w:asciiTheme="minorHAnsi" w:hAnsiTheme="minorHAnsi" w:cstheme="minorHAnsi"/>
          <w:bCs/>
        </w:rPr>
        <w:t>to eliminate discrimination against persons with disabilities</w:t>
      </w:r>
      <w:r>
        <w:rPr>
          <w:rFonts w:asciiTheme="minorHAnsi" w:hAnsiTheme="minorHAnsi" w:cstheme="minorHAnsi"/>
          <w:bCs/>
        </w:rPr>
        <w:t>,</w:t>
      </w:r>
      <w:r w:rsidRPr="00D47BD5">
        <w:rPr>
          <w:rFonts w:asciiTheme="minorHAnsi" w:hAnsiTheme="minorHAnsi" w:cstheme="minorHAnsi"/>
          <w:bCs/>
        </w:rPr>
        <w:t xml:space="preserve"> and ensure their self-determin</w:t>
      </w:r>
      <w:r>
        <w:rPr>
          <w:rFonts w:asciiTheme="minorHAnsi" w:hAnsiTheme="minorHAnsi" w:cstheme="minorHAnsi"/>
          <w:bCs/>
        </w:rPr>
        <w:t>ation and</w:t>
      </w:r>
      <w:r w:rsidRPr="006B5CD9">
        <w:rPr>
          <w:rFonts w:asciiTheme="minorHAnsi" w:hAnsiTheme="minorHAnsi" w:cstheme="minorHAnsi"/>
          <w:bCs/>
        </w:rPr>
        <w:t xml:space="preserve"> </w:t>
      </w:r>
      <w:r w:rsidRPr="00D47BD5">
        <w:rPr>
          <w:rFonts w:asciiTheme="minorHAnsi" w:hAnsiTheme="minorHAnsi" w:cstheme="minorHAnsi"/>
          <w:bCs/>
        </w:rPr>
        <w:t>equal participation in society</w:t>
      </w:r>
      <w:r>
        <w:rPr>
          <w:rFonts w:asciiTheme="minorHAnsi" w:hAnsiTheme="minorHAnsi" w:cstheme="minorHAnsi"/>
          <w:bCs/>
        </w:rPr>
        <w:t>.</w:t>
      </w:r>
      <w:r>
        <w:rPr>
          <w:rStyle w:val="FootnoteReference"/>
          <w:rFonts w:asciiTheme="minorHAnsi" w:hAnsiTheme="minorHAnsi" w:cstheme="minorHAnsi"/>
          <w:bCs/>
        </w:rPr>
        <w:footnoteReference w:id="28"/>
      </w:r>
      <w:r w:rsidRPr="00D47BD5">
        <w:rPr>
          <w:rFonts w:asciiTheme="minorHAnsi" w:hAnsiTheme="minorHAnsi" w:cstheme="minorHAnsi"/>
          <w:bCs/>
        </w:rPr>
        <w:t xml:space="preserve"> The Act applies primarily to public authorities at federal level and is complemented </w:t>
      </w:r>
      <w:r>
        <w:rPr>
          <w:rFonts w:asciiTheme="minorHAnsi" w:hAnsiTheme="minorHAnsi" w:cstheme="minorHAnsi"/>
          <w:bCs/>
        </w:rPr>
        <w:t>by</w:t>
      </w:r>
      <w:r w:rsidRPr="00D47BD5">
        <w:rPr>
          <w:rFonts w:asciiTheme="minorHAnsi" w:hAnsiTheme="minorHAnsi" w:cstheme="minorHAnsi"/>
          <w:bCs/>
        </w:rPr>
        <w:t xml:space="preserve"> respective regional equality </w:t>
      </w:r>
      <w:r w:rsidRPr="00D47BD5">
        <w:rPr>
          <w:rFonts w:asciiTheme="minorHAnsi" w:hAnsiTheme="minorHAnsi" w:cstheme="minorHAnsi"/>
          <w:bCs/>
        </w:rPr>
        <w:lastRenderedPageBreak/>
        <w:t xml:space="preserve">laws. </w:t>
      </w:r>
      <w:r w:rsidRPr="00773CE9">
        <w:rPr>
          <w:rFonts w:asciiTheme="minorHAnsi" w:hAnsiTheme="minorHAnsi" w:cstheme="minorHAnsi"/>
          <w:bCs/>
        </w:rPr>
        <w:t xml:space="preserve">In line with Article 1 of the above law, the </w:t>
      </w:r>
      <w:r w:rsidRPr="00D47BD5">
        <w:rPr>
          <w:rFonts w:asciiTheme="minorHAnsi" w:hAnsiTheme="minorHAnsi" w:cstheme="minorHAnsi"/>
          <w:bCs/>
        </w:rPr>
        <w:t>Federal Government Commissioner for Matters relating to Persons with Disabilities</w:t>
      </w:r>
      <w:r>
        <w:rPr>
          <w:rFonts w:asciiTheme="minorHAnsi" w:hAnsiTheme="minorHAnsi" w:cstheme="minorHAnsi"/>
          <w:bCs/>
        </w:rPr>
        <w:t xml:space="preserve">, who </w:t>
      </w:r>
      <w:r w:rsidRPr="00773CE9">
        <w:rPr>
          <w:rFonts w:asciiTheme="minorHAnsi" w:hAnsiTheme="minorHAnsi" w:cstheme="minorHAnsi"/>
          <w:bCs/>
        </w:rPr>
        <w:t xml:space="preserve">cooperates </w:t>
      </w:r>
      <w:r>
        <w:rPr>
          <w:rFonts w:asciiTheme="minorHAnsi" w:hAnsiTheme="minorHAnsi" w:cstheme="minorHAnsi"/>
          <w:bCs/>
        </w:rPr>
        <w:t>w</w:t>
      </w:r>
      <w:r w:rsidRPr="00773CE9">
        <w:rPr>
          <w:rFonts w:asciiTheme="minorHAnsi" w:hAnsiTheme="minorHAnsi" w:cstheme="minorHAnsi"/>
          <w:bCs/>
        </w:rPr>
        <w:t xml:space="preserve">ith </w:t>
      </w:r>
      <w:r w:rsidRPr="00D47BD5">
        <w:rPr>
          <w:rFonts w:asciiTheme="minorHAnsi" w:hAnsiTheme="minorHAnsi" w:cstheme="minorHAnsi"/>
          <w:bCs/>
        </w:rPr>
        <w:t>16 Commissioners</w:t>
      </w:r>
      <w:r w:rsidRPr="00773CE9">
        <w:rPr>
          <w:rFonts w:asciiTheme="minorHAnsi" w:hAnsiTheme="minorHAnsi" w:cstheme="minorHAnsi"/>
          <w:bCs/>
        </w:rPr>
        <w:t xml:space="preserve"> at </w:t>
      </w:r>
      <w:r>
        <w:rPr>
          <w:rFonts w:asciiTheme="minorHAnsi" w:hAnsiTheme="minorHAnsi" w:cstheme="minorHAnsi"/>
          <w:bCs/>
        </w:rPr>
        <w:t>Länder</w:t>
      </w:r>
      <w:r w:rsidRPr="00773CE9">
        <w:rPr>
          <w:rFonts w:asciiTheme="minorHAnsi" w:hAnsiTheme="minorHAnsi" w:cstheme="minorHAnsi"/>
          <w:bCs/>
        </w:rPr>
        <w:t xml:space="preserve"> level</w:t>
      </w:r>
      <w:r>
        <w:rPr>
          <w:rFonts w:asciiTheme="minorHAnsi" w:hAnsiTheme="minorHAnsi" w:cstheme="minorHAnsi"/>
          <w:bCs/>
        </w:rPr>
        <w:t>,</w:t>
      </w:r>
      <w:r>
        <w:rPr>
          <w:rStyle w:val="FootnoteReference"/>
          <w:rFonts w:asciiTheme="minorHAnsi" w:hAnsiTheme="minorHAnsi" w:cstheme="minorHAnsi"/>
          <w:bCs/>
        </w:rPr>
        <w:footnoteReference w:id="29"/>
      </w:r>
      <w:r w:rsidRPr="00773CE9">
        <w:rPr>
          <w:rFonts w:asciiTheme="minorHAnsi" w:hAnsiTheme="minorHAnsi" w:cstheme="minorHAnsi"/>
          <w:bCs/>
        </w:rPr>
        <w:t xml:space="preserve"> shall “ensure that the federal government’s responsibility to ensure equal living conditions for people with and without disabilities is fulfilled in all areas of social life</w:t>
      </w:r>
      <w:r>
        <w:rPr>
          <w:rFonts w:asciiTheme="minorHAnsi" w:hAnsiTheme="minorHAnsi" w:cstheme="minorHAnsi"/>
          <w:bCs/>
        </w:rPr>
        <w:t>”</w:t>
      </w:r>
      <w:r w:rsidRPr="00773CE9">
        <w:rPr>
          <w:rFonts w:asciiTheme="minorHAnsi" w:hAnsiTheme="minorHAnsi" w:cstheme="minorHAnsi"/>
          <w:bCs/>
        </w:rPr>
        <w:t xml:space="preserve">. </w:t>
      </w:r>
      <w:r>
        <w:rPr>
          <w:rFonts w:asciiTheme="minorHAnsi" w:hAnsiTheme="minorHAnsi" w:cstheme="minorHAnsi"/>
          <w:bCs/>
        </w:rPr>
        <w:t xml:space="preserve">Critics have pointed out </w:t>
      </w:r>
      <w:r w:rsidRPr="00D47BD5">
        <w:rPr>
          <w:rFonts w:asciiTheme="minorHAnsi" w:hAnsiTheme="minorHAnsi" w:cstheme="minorHAnsi"/>
          <w:bCs/>
        </w:rPr>
        <w:t>that the law is little</w:t>
      </w:r>
      <w:r>
        <w:rPr>
          <w:rFonts w:asciiTheme="minorHAnsi" w:hAnsiTheme="minorHAnsi" w:cstheme="minorHAnsi"/>
          <w:bCs/>
        </w:rPr>
        <w:t>-</w:t>
      </w:r>
      <w:r w:rsidRPr="00D47BD5">
        <w:rPr>
          <w:rFonts w:asciiTheme="minorHAnsi" w:hAnsiTheme="minorHAnsi" w:cstheme="minorHAnsi"/>
          <w:bCs/>
        </w:rPr>
        <w:t>known among public authorities and often insufficiently implemented. In addition, it does not cover</w:t>
      </w:r>
      <w:r>
        <w:rPr>
          <w:rFonts w:asciiTheme="minorHAnsi" w:hAnsiTheme="minorHAnsi" w:cstheme="minorHAnsi"/>
          <w:bCs/>
        </w:rPr>
        <w:t xml:space="preserve"> areas in which </w:t>
      </w:r>
      <w:r w:rsidRPr="00D47BD5">
        <w:rPr>
          <w:rFonts w:asciiTheme="minorHAnsi" w:hAnsiTheme="minorHAnsi" w:cstheme="minorHAnsi"/>
          <w:bCs/>
        </w:rPr>
        <w:t>most cases of discrimination</w:t>
      </w:r>
      <w:r>
        <w:rPr>
          <w:rFonts w:asciiTheme="minorHAnsi" w:hAnsiTheme="minorHAnsi" w:cstheme="minorHAnsi"/>
          <w:bCs/>
        </w:rPr>
        <w:t xml:space="preserve"> occur, including </w:t>
      </w:r>
      <w:r w:rsidRPr="00D47BD5">
        <w:rPr>
          <w:rFonts w:asciiTheme="minorHAnsi" w:hAnsiTheme="minorHAnsi" w:cstheme="minorHAnsi"/>
          <w:bCs/>
        </w:rPr>
        <w:t>housing, the employment market or public transport</w:t>
      </w:r>
      <w:r>
        <w:rPr>
          <w:rFonts w:asciiTheme="minorHAnsi" w:hAnsiTheme="minorHAnsi" w:cstheme="minorHAnsi"/>
          <w:bCs/>
        </w:rPr>
        <w:t>, as these are regulated through private law</w:t>
      </w:r>
      <w:r w:rsidRPr="00D47BD5">
        <w:rPr>
          <w:rFonts w:asciiTheme="minorHAnsi" w:hAnsiTheme="minorHAnsi" w:cstheme="minorHAnsi"/>
          <w:bCs/>
        </w:rPr>
        <w:t>.</w:t>
      </w:r>
      <w:r w:rsidRPr="00773CE9">
        <w:rPr>
          <w:rStyle w:val="FootnoteReference"/>
          <w:rFonts w:asciiTheme="minorHAnsi" w:hAnsiTheme="minorHAnsi" w:cstheme="minorHAnsi"/>
          <w:bCs/>
        </w:rPr>
        <w:footnoteReference w:id="30"/>
      </w:r>
      <w:r>
        <w:rPr>
          <w:rFonts w:asciiTheme="minorHAnsi" w:hAnsiTheme="minorHAnsi" w:cstheme="minorHAnsi"/>
          <w:bCs/>
        </w:rPr>
        <w:t xml:space="preserve"> In addition, i</w:t>
      </w:r>
      <w:r w:rsidRPr="000779D1">
        <w:t>ndependent monitoring o</w:t>
      </w:r>
      <w:r>
        <w:t>f</w:t>
      </w:r>
      <w:r w:rsidRPr="000779D1">
        <w:t xml:space="preserve"> </w:t>
      </w:r>
      <w:r>
        <w:t xml:space="preserve">access to rights under </w:t>
      </w:r>
      <w:r w:rsidRPr="000779D1">
        <w:t>the CRPD</w:t>
      </w:r>
      <w:r>
        <w:t xml:space="preserve">, which is indispensable for full implementation, is established by law and </w:t>
      </w:r>
      <w:r w:rsidRPr="000779D1">
        <w:t>permanent</w:t>
      </w:r>
      <w:r>
        <w:t>ly</w:t>
      </w:r>
      <w:r w:rsidRPr="000779D1">
        <w:t xml:space="preserve"> fund</w:t>
      </w:r>
      <w:r>
        <w:t>ed</w:t>
      </w:r>
      <w:r w:rsidRPr="000779D1">
        <w:t xml:space="preserve"> only in one region (North Rhine-Westphalia)</w:t>
      </w:r>
      <w:r>
        <w:t>,</w:t>
      </w:r>
      <w:r w:rsidRPr="000779D1">
        <w:t xml:space="preserve"> by means of a long-term</w:t>
      </w:r>
      <w:r>
        <w:t>,</w:t>
      </w:r>
      <w:r w:rsidRPr="000779D1">
        <w:t xml:space="preserve"> contractual agreement</w:t>
      </w:r>
      <w:r>
        <w:t>.</w:t>
      </w:r>
      <w:r>
        <w:rPr>
          <w:rStyle w:val="FootnoteReference"/>
        </w:rPr>
        <w:footnoteReference w:id="31"/>
      </w:r>
    </w:p>
    <w:p w14:paraId="01A5022B" w14:textId="77777777" w:rsidR="004A5AEE" w:rsidRPr="00773CE9" w:rsidRDefault="004A5AEE" w:rsidP="004A5AEE">
      <w:pPr>
        <w:pStyle w:val="ListParagraph"/>
        <w:tabs>
          <w:tab w:val="clear" w:pos="567"/>
        </w:tabs>
        <w:rPr>
          <w:rFonts w:asciiTheme="minorHAnsi" w:hAnsiTheme="minorHAnsi" w:cstheme="minorHAnsi"/>
        </w:rPr>
      </w:pPr>
      <w:r w:rsidRPr="00773CE9">
        <w:rPr>
          <w:rFonts w:asciiTheme="minorHAnsi" w:hAnsiTheme="minorHAnsi" w:cstheme="minorHAnsi"/>
          <w:bCs/>
        </w:rPr>
        <w:t>According to the</w:t>
      </w:r>
      <w:r>
        <w:rPr>
          <w:rFonts w:asciiTheme="minorHAnsi" w:hAnsiTheme="minorHAnsi" w:cstheme="minorHAnsi"/>
          <w:bCs/>
        </w:rPr>
        <w:t xml:space="preserve"> GIHR, which</w:t>
      </w:r>
      <w:r w:rsidRPr="00773CE9">
        <w:rPr>
          <w:rFonts w:asciiTheme="minorHAnsi" w:hAnsiTheme="minorHAnsi" w:cstheme="minorHAnsi"/>
          <w:bCs/>
        </w:rPr>
        <w:t xml:space="preserve"> is the</w:t>
      </w:r>
      <w:r>
        <w:rPr>
          <w:rFonts w:asciiTheme="minorHAnsi" w:hAnsiTheme="minorHAnsi" w:cstheme="minorHAnsi"/>
          <w:bCs/>
        </w:rPr>
        <w:t xml:space="preserve"> national independent body set up to promote and monitor implementation of the </w:t>
      </w:r>
      <w:r w:rsidRPr="00773CE9">
        <w:rPr>
          <w:rFonts w:asciiTheme="minorHAnsi" w:hAnsiTheme="minorHAnsi" w:cstheme="minorHAnsi"/>
          <w:bCs/>
        </w:rPr>
        <w:t>CRPD</w:t>
      </w:r>
      <w:r>
        <w:rPr>
          <w:rFonts w:asciiTheme="minorHAnsi" w:hAnsiTheme="minorHAnsi" w:cstheme="minorHAnsi"/>
          <w:bCs/>
        </w:rPr>
        <w:t xml:space="preserve">, </w:t>
      </w:r>
      <w:r w:rsidRPr="00773CE9">
        <w:rPr>
          <w:rFonts w:asciiTheme="minorHAnsi" w:hAnsiTheme="minorHAnsi" w:cstheme="minorHAnsi"/>
          <w:bCs/>
        </w:rPr>
        <w:t>very little progress has been made since the entry into force of the Convention in terms of creating choices for persons with disabilities and promoting a more enabling environment for them.</w:t>
      </w:r>
      <w:r w:rsidRPr="00773CE9">
        <w:rPr>
          <w:rStyle w:val="FootnoteReference"/>
          <w:rFonts w:asciiTheme="minorHAnsi" w:hAnsiTheme="minorHAnsi" w:cstheme="minorHAnsi"/>
          <w:bCs/>
        </w:rPr>
        <w:footnoteReference w:id="32"/>
      </w:r>
      <w:r w:rsidRPr="00773CE9">
        <w:rPr>
          <w:rFonts w:asciiTheme="minorHAnsi" w:hAnsiTheme="minorHAnsi" w:cstheme="minorHAnsi"/>
          <w:bCs/>
        </w:rPr>
        <w:t xml:space="preserve"> While some action plans on the implementation of the CRPD were adopted and </w:t>
      </w:r>
      <w:r>
        <w:rPr>
          <w:rFonts w:asciiTheme="minorHAnsi" w:hAnsiTheme="minorHAnsi" w:cstheme="minorHAnsi"/>
          <w:bCs/>
        </w:rPr>
        <w:t>some areas of law h</w:t>
      </w:r>
      <w:r w:rsidRPr="00773CE9">
        <w:rPr>
          <w:rFonts w:asciiTheme="minorHAnsi" w:hAnsiTheme="minorHAnsi" w:cstheme="minorHAnsi"/>
          <w:bCs/>
        </w:rPr>
        <w:t xml:space="preserve">ave undergone reform, the CRPD </w:t>
      </w:r>
      <w:r>
        <w:rPr>
          <w:rFonts w:asciiTheme="minorHAnsi" w:hAnsiTheme="minorHAnsi" w:cstheme="minorHAnsi"/>
          <w:bCs/>
        </w:rPr>
        <w:t xml:space="preserve">is viewed as </w:t>
      </w:r>
      <w:r w:rsidRPr="00773CE9">
        <w:rPr>
          <w:rFonts w:asciiTheme="minorHAnsi" w:hAnsiTheme="minorHAnsi" w:cstheme="minorHAnsi"/>
          <w:bCs/>
        </w:rPr>
        <w:t>ha</w:t>
      </w:r>
      <w:r>
        <w:rPr>
          <w:rFonts w:asciiTheme="minorHAnsi" w:hAnsiTheme="minorHAnsi" w:cstheme="minorHAnsi"/>
          <w:bCs/>
        </w:rPr>
        <w:t xml:space="preserve">ving considerably </w:t>
      </w:r>
      <w:r w:rsidRPr="00773CE9">
        <w:rPr>
          <w:rFonts w:asciiTheme="minorHAnsi" w:hAnsiTheme="minorHAnsi" w:cstheme="minorHAnsi"/>
          <w:bCs/>
        </w:rPr>
        <w:t>declined in political</w:t>
      </w:r>
      <w:r>
        <w:rPr>
          <w:rFonts w:asciiTheme="minorHAnsi" w:hAnsiTheme="minorHAnsi" w:cstheme="minorHAnsi"/>
          <w:bCs/>
        </w:rPr>
        <w:t xml:space="preserve"> significance over the years. From discussions with her interlocutors, the Commissioner gained the impression that the CRPD is not afforded the p</w:t>
      </w:r>
      <w:r w:rsidRPr="00773CE9">
        <w:rPr>
          <w:rFonts w:asciiTheme="minorHAnsi" w:hAnsiTheme="minorHAnsi" w:cstheme="minorHAnsi"/>
          <w:bCs/>
        </w:rPr>
        <w:t>olitical prioritisation that i</w:t>
      </w:r>
      <w:r>
        <w:rPr>
          <w:rFonts w:asciiTheme="minorHAnsi" w:hAnsiTheme="minorHAnsi" w:cstheme="minorHAnsi"/>
          <w:bCs/>
        </w:rPr>
        <w:t>t</w:t>
      </w:r>
      <w:r w:rsidRPr="00773CE9">
        <w:rPr>
          <w:rFonts w:asciiTheme="minorHAnsi" w:hAnsiTheme="minorHAnsi" w:cstheme="minorHAnsi"/>
          <w:bCs/>
        </w:rPr>
        <w:t xml:space="preserve"> require</w:t>
      </w:r>
      <w:r>
        <w:rPr>
          <w:rFonts w:asciiTheme="minorHAnsi" w:hAnsiTheme="minorHAnsi" w:cstheme="minorHAnsi"/>
          <w:bCs/>
        </w:rPr>
        <w:t>s, as the key human rights instrument providing specific standards concerning the rights of persons with disabilities, and that any proposal for rights-enhancing measures is met by</w:t>
      </w:r>
      <w:r w:rsidRPr="00773CE9">
        <w:rPr>
          <w:rFonts w:asciiTheme="minorHAnsi" w:hAnsiTheme="minorHAnsi" w:cstheme="minorHAnsi"/>
          <w:bCs/>
        </w:rPr>
        <w:t xml:space="preserve"> reservation</w:t>
      </w:r>
      <w:r>
        <w:rPr>
          <w:rFonts w:asciiTheme="minorHAnsi" w:hAnsiTheme="minorHAnsi" w:cstheme="minorHAnsi"/>
          <w:bCs/>
        </w:rPr>
        <w:t>s</w:t>
      </w:r>
      <w:r w:rsidRPr="00773CE9">
        <w:rPr>
          <w:rFonts w:asciiTheme="minorHAnsi" w:hAnsiTheme="minorHAnsi" w:cstheme="minorHAnsi"/>
          <w:bCs/>
        </w:rPr>
        <w:t xml:space="preserve"> </w:t>
      </w:r>
      <w:r>
        <w:rPr>
          <w:rFonts w:asciiTheme="minorHAnsi" w:hAnsiTheme="minorHAnsi" w:cstheme="minorHAnsi"/>
          <w:bCs/>
        </w:rPr>
        <w:t>relating to</w:t>
      </w:r>
      <w:r w:rsidRPr="00773CE9">
        <w:rPr>
          <w:rFonts w:asciiTheme="minorHAnsi" w:hAnsiTheme="minorHAnsi" w:cstheme="minorHAnsi"/>
          <w:bCs/>
        </w:rPr>
        <w:t xml:space="preserve"> financial feasibility</w:t>
      </w:r>
      <w:r>
        <w:rPr>
          <w:rFonts w:asciiTheme="minorHAnsi" w:hAnsiTheme="minorHAnsi" w:cstheme="minorHAnsi"/>
          <w:bCs/>
        </w:rPr>
        <w:t>, rather than considered a necessary step towards human rights compliance.</w:t>
      </w:r>
      <w:r w:rsidR="004D1559">
        <w:rPr>
          <w:rFonts w:asciiTheme="minorHAnsi" w:hAnsiTheme="minorHAnsi" w:cstheme="minorHAnsi"/>
          <w:bCs/>
        </w:rPr>
        <w:t xml:space="preserve"> </w:t>
      </w:r>
    </w:p>
    <w:p w14:paraId="3250D834" w14:textId="77777777" w:rsidR="004A5AEE" w:rsidRPr="00AF1A4D" w:rsidRDefault="004A5AEE" w:rsidP="004A5AEE">
      <w:pPr>
        <w:pStyle w:val="Heading3"/>
        <w:numPr>
          <w:ilvl w:val="2"/>
          <w:numId w:val="24"/>
        </w:numPr>
        <w:ind w:left="794" w:hanging="794"/>
        <w:rPr>
          <w:rFonts w:eastAsiaTheme="minorEastAsia"/>
          <w:lang w:val="en-GB"/>
        </w:rPr>
      </w:pPr>
      <w:bookmarkStart w:id="34" w:name="_Toc152669920"/>
      <w:bookmarkStart w:id="35" w:name="_Toc152669951"/>
      <w:bookmarkStart w:id="36" w:name="_Toc158636896"/>
      <w:bookmarkStart w:id="37" w:name="_Toc159582667"/>
      <w:r w:rsidRPr="00AF1A4D">
        <w:rPr>
          <w:rFonts w:eastAsiaTheme="minorEastAsia"/>
          <w:lang w:val="en-GB"/>
        </w:rPr>
        <w:t>Segregated stuctures</w:t>
      </w:r>
      <w:bookmarkEnd w:id="34"/>
      <w:bookmarkEnd w:id="35"/>
      <w:bookmarkEnd w:id="36"/>
      <w:bookmarkEnd w:id="37"/>
    </w:p>
    <w:p w14:paraId="62831FA7" w14:textId="77777777" w:rsidR="004A5AEE" w:rsidRPr="00D4136E" w:rsidRDefault="004A5AEE" w:rsidP="004A5AEE">
      <w:pPr>
        <w:pStyle w:val="ListParagraph"/>
        <w:tabs>
          <w:tab w:val="clear" w:pos="567"/>
        </w:tabs>
        <w:rPr>
          <w:rFonts w:asciiTheme="minorHAnsi" w:hAnsiTheme="minorHAnsi" w:cstheme="minorHAnsi"/>
        </w:rPr>
      </w:pPr>
      <w:bookmarkStart w:id="38" w:name="_Hlk155944482"/>
      <w:r w:rsidRPr="00773CE9">
        <w:rPr>
          <w:rFonts w:asciiTheme="minorHAnsi" w:hAnsiTheme="minorHAnsi" w:cstheme="minorHAnsi"/>
          <w:bCs/>
        </w:rPr>
        <w:t>A highly</w:t>
      </w:r>
      <w:r>
        <w:rPr>
          <w:rFonts w:asciiTheme="minorHAnsi" w:hAnsiTheme="minorHAnsi" w:cstheme="minorHAnsi"/>
          <w:bCs/>
        </w:rPr>
        <w:t>-</w:t>
      </w:r>
      <w:r w:rsidRPr="00773CE9">
        <w:rPr>
          <w:rFonts w:asciiTheme="minorHAnsi" w:hAnsiTheme="minorHAnsi" w:cstheme="minorHAnsi"/>
          <w:bCs/>
        </w:rPr>
        <w:t xml:space="preserve">developed system of segregated structures </w:t>
      </w:r>
      <w:r>
        <w:rPr>
          <w:rFonts w:asciiTheme="minorHAnsi" w:hAnsiTheme="minorHAnsi" w:cstheme="minorHAnsi"/>
          <w:bCs/>
        </w:rPr>
        <w:t xml:space="preserve">for persons with disabilities, such as special schools, workshops for persons with disabilities, and special residential facilities, </w:t>
      </w:r>
      <w:r w:rsidRPr="00773CE9">
        <w:rPr>
          <w:rFonts w:asciiTheme="minorHAnsi" w:hAnsiTheme="minorHAnsi" w:cstheme="minorHAnsi"/>
          <w:bCs/>
        </w:rPr>
        <w:t xml:space="preserve">continues to exist </w:t>
      </w:r>
      <w:r>
        <w:rPr>
          <w:rFonts w:asciiTheme="minorHAnsi" w:hAnsiTheme="minorHAnsi" w:cstheme="minorHAnsi"/>
          <w:bCs/>
        </w:rPr>
        <w:t xml:space="preserve">in Germany </w:t>
      </w:r>
      <w:r w:rsidRPr="00773CE9">
        <w:rPr>
          <w:rFonts w:asciiTheme="minorHAnsi" w:hAnsiTheme="minorHAnsi" w:cstheme="minorHAnsi"/>
          <w:bCs/>
        </w:rPr>
        <w:t>and has in some areas even been expanded</w:t>
      </w:r>
      <w:r>
        <w:rPr>
          <w:rFonts w:asciiTheme="minorHAnsi" w:hAnsiTheme="minorHAnsi" w:cstheme="minorHAnsi"/>
          <w:bCs/>
        </w:rPr>
        <w:t>,</w:t>
      </w:r>
      <w:r w:rsidRPr="00DA4818">
        <w:rPr>
          <w:rFonts w:eastAsiaTheme="minorHAnsi"/>
          <w:szCs w:val="22"/>
          <w:lang w:val="en-US" w:eastAsia="en-US"/>
        </w:rPr>
        <w:t xml:space="preserve"> </w:t>
      </w:r>
      <w:r w:rsidRPr="00097B8E">
        <w:rPr>
          <w:rFonts w:asciiTheme="minorHAnsi" w:hAnsiTheme="minorHAnsi" w:cstheme="minorHAnsi"/>
          <w:bCs/>
        </w:rPr>
        <w:t xml:space="preserve">which </w:t>
      </w:r>
      <w:r>
        <w:rPr>
          <w:rFonts w:asciiTheme="minorHAnsi" w:hAnsiTheme="minorHAnsi" w:cstheme="minorHAnsi"/>
          <w:bCs/>
        </w:rPr>
        <w:t>goes against the duty to facilitate the full enjoyment by persons with disabilities of their right to live independently within the community.</w:t>
      </w:r>
      <w:r>
        <w:rPr>
          <w:rStyle w:val="FootnoteReference"/>
          <w:rFonts w:asciiTheme="minorHAnsi" w:hAnsiTheme="minorHAnsi" w:cstheme="minorHAnsi"/>
          <w:bCs/>
        </w:rPr>
        <w:footnoteReference w:id="33"/>
      </w:r>
      <w:r>
        <w:rPr>
          <w:rFonts w:asciiTheme="minorHAnsi" w:hAnsiTheme="minorHAnsi" w:cstheme="minorHAnsi"/>
          <w:bCs/>
        </w:rPr>
        <w:t xml:space="preserve"> </w:t>
      </w:r>
      <w:bookmarkEnd w:id="38"/>
      <w:r w:rsidRPr="00773CE9">
        <w:rPr>
          <w:rFonts w:asciiTheme="minorHAnsi" w:hAnsiTheme="minorHAnsi" w:cstheme="minorHAnsi"/>
          <w:bCs/>
        </w:rPr>
        <w:t>The GIHR has noted a “misguided rhetoric of inclusion, in which different political and social stakeholders refer to segregated structures as part of an inclusive system”</w:t>
      </w:r>
      <w:r>
        <w:rPr>
          <w:rFonts w:asciiTheme="minorHAnsi" w:hAnsiTheme="minorHAnsi" w:cstheme="minorHAnsi"/>
          <w:bCs/>
        </w:rPr>
        <w:t>,</w:t>
      </w:r>
      <w:r w:rsidRPr="00773CE9">
        <w:rPr>
          <w:rFonts w:asciiTheme="minorHAnsi" w:hAnsiTheme="minorHAnsi" w:cstheme="minorHAnsi"/>
          <w:bCs/>
        </w:rPr>
        <w:t xml:space="preserve"> and concluded that the recommendation </w:t>
      </w:r>
      <w:r>
        <w:rPr>
          <w:rFonts w:asciiTheme="minorHAnsi" w:hAnsiTheme="minorHAnsi" w:cstheme="minorHAnsi"/>
          <w:bCs/>
        </w:rPr>
        <w:t xml:space="preserve">by the CRPD Committee in 2015 – </w:t>
      </w:r>
      <w:r w:rsidRPr="00D4136E">
        <w:rPr>
          <w:rFonts w:asciiTheme="minorHAnsi" w:hAnsiTheme="minorHAnsi" w:cstheme="minorHAnsi"/>
          <w:bCs/>
        </w:rPr>
        <w:t>to dismantle segregated structures step</w:t>
      </w:r>
      <w:r>
        <w:rPr>
          <w:rFonts w:asciiTheme="minorHAnsi" w:hAnsiTheme="minorHAnsi" w:cstheme="minorHAnsi"/>
          <w:bCs/>
        </w:rPr>
        <w:t>-</w:t>
      </w:r>
      <w:r w:rsidRPr="00D4136E">
        <w:rPr>
          <w:rFonts w:asciiTheme="minorHAnsi" w:hAnsiTheme="minorHAnsi" w:cstheme="minorHAnsi"/>
          <w:bCs/>
        </w:rPr>
        <w:t>by</w:t>
      </w:r>
      <w:r>
        <w:rPr>
          <w:rFonts w:asciiTheme="minorHAnsi" w:hAnsiTheme="minorHAnsi" w:cstheme="minorHAnsi"/>
          <w:bCs/>
        </w:rPr>
        <w:t>-</w:t>
      </w:r>
      <w:r w:rsidRPr="00D4136E">
        <w:rPr>
          <w:rFonts w:asciiTheme="minorHAnsi" w:hAnsiTheme="minorHAnsi" w:cstheme="minorHAnsi"/>
          <w:bCs/>
        </w:rPr>
        <w:t>step</w:t>
      </w:r>
      <w:r>
        <w:rPr>
          <w:rFonts w:asciiTheme="minorHAnsi" w:hAnsiTheme="minorHAnsi" w:cstheme="minorHAnsi"/>
          <w:bCs/>
        </w:rPr>
        <w:t xml:space="preserve"> –</w:t>
      </w:r>
      <w:r w:rsidRPr="00D4136E">
        <w:rPr>
          <w:rFonts w:asciiTheme="minorHAnsi" w:hAnsiTheme="minorHAnsi" w:cstheme="minorHAnsi"/>
          <w:bCs/>
        </w:rPr>
        <w:t xml:space="preserve"> had “at best been taken up hesitantly and at worst been negated”.</w:t>
      </w:r>
      <w:r w:rsidRPr="00773CE9">
        <w:rPr>
          <w:rStyle w:val="FootnoteReference"/>
          <w:rFonts w:asciiTheme="minorHAnsi" w:hAnsiTheme="minorHAnsi" w:cstheme="minorHAnsi"/>
          <w:bCs/>
        </w:rPr>
        <w:footnoteReference w:id="34"/>
      </w:r>
      <w:r w:rsidRPr="00D4136E">
        <w:rPr>
          <w:rFonts w:asciiTheme="minorHAnsi" w:hAnsiTheme="minorHAnsi" w:cstheme="minorHAnsi"/>
          <w:bCs/>
        </w:rPr>
        <w:t xml:space="preserve"> During her meetings with organisations of</w:t>
      </w:r>
      <w:r w:rsidR="004D1559">
        <w:rPr>
          <w:rFonts w:asciiTheme="minorHAnsi" w:hAnsiTheme="minorHAnsi" w:cstheme="minorHAnsi"/>
          <w:bCs/>
        </w:rPr>
        <w:t xml:space="preserve"> </w:t>
      </w:r>
      <w:r w:rsidRPr="00D4136E">
        <w:rPr>
          <w:rFonts w:asciiTheme="minorHAnsi" w:hAnsiTheme="minorHAnsi" w:cstheme="minorHAnsi"/>
          <w:bCs/>
        </w:rPr>
        <w:t>persons with disabilities, the Commissioner learned that the perpetuation of well-established and -financed exclusionary structures keep the affected persons in situations of dependency and vulnerability that are easy to enter, but very hard to exit.</w:t>
      </w:r>
    </w:p>
    <w:p w14:paraId="5B622A10" w14:textId="77777777" w:rsidR="004A5AEE" w:rsidRPr="00A46719" w:rsidRDefault="004A5AEE" w:rsidP="004A5AEE">
      <w:pPr>
        <w:pStyle w:val="ListParagraph"/>
        <w:tabs>
          <w:tab w:val="clear" w:pos="567"/>
        </w:tabs>
        <w:rPr>
          <w:rFonts w:asciiTheme="minorHAnsi" w:hAnsiTheme="minorHAnsi" w:cstheme="minorHAnsi"/>
        </w:rPr>
      </w:pPr>
      <w:r w:rsidRPr="00BC7C63">
        <w:rPr>
          <w:rFonts w:asciiTheme="minorHAnsi" w:hAnsiTheme="minorHAnsi" w:cstheme="minorHAnsi"/>
          <w:bCs/>
        </w:rPr>
        <w:t xml:space="preserve">The Commissioner is </w:t>
      </w:r>
      <w:r>
        <w:rPr>
          <w:rFonts w:asciiTheme="minorHAnsi" w:hAnsiTheme="minorHAnsi" w:cstheme="minorHAnsi"/>
          <w:bCs/>
        </w:rPr>
        <w:t xml:space="preserve">particularly </w:t>
      </w:r>
      <w:r w:rsidRPr="00BC7C63">
        <w:rPr>
          <w:rFonts w:asciiTheme="minorHAnsi" w:hAnsiTheme="minorHAnsi" w:cstheme="minorHAnsi"/>
          <w:bCs/>
        </w:rPr>
        <w:t>concerned about the number of children with disabilities in special schools</w:t>
      </w:r>
      <w:r>
        <w:rPr>
          <w:rFonts w:asciiTheme="minorHAnsi" w:hAnsiTheme="minorHAnsi" w:cstheme="minorHAnsi"/>
          <w:bCs/>
        </w:rPr>
        <w:t>, which has remained</w:t>
      </w:r>
      <w:r w:rsidRPr="00BC7C63">
        <w:rPr>
          <w:rFonts w:asciiTheme="minorHAnsi" w:hAnsiTheme="minorHAnsi" w:cstheme="minorHAnsi"/>
          <w:bCs/>
        </w:rPr>
        <w:t xml:space="preserve"> very high</w:t>
      </w:r>
      <w:r>
        <w:rPr>
          <w:rFonts w:asciiTheme="minorHAnsi" w:hAnsiTheme="minorHAnsi" w:cstheme="minorHAnsi"/>
          <w:bCs/>
        </w:rPr>
        <w:t xml:space="preserve"> over the years,</w:t>
      </w:r>
      <w:r w:rsidRPr="00BC7C63">
        <w:rPr>
          <w:rFonts w:asciiTheme="minorHAnsi" w:hAnsiTheme="minorHAnsi" w:cstheme="minorHAnsi"/>
          <w:bCs/>
        </w:rPr>
        <w:t xml:space="preserve"> and i</w:t>
      </w:r>
      <w:r>
        <w:rPr>
          <w:rFonts w:asciiTheme="minorHAnsi" w:hAnsiTheme="minorHAnsi" w:cstheme="minorHAnsi"/>
          <w:bCs/>
        </w:rPr>
        <w:t>s</w:t>
      </w:r>
      <w:r w:rsidRPr="00BC7C63">
        <w:rPr>
          <w:rFonts w:asciiTheme="minorHAnsi" w:hAnsiTheme="minorHAnsi" w:cstheme="minorHAnsi"/>
          <w:bCs/>
        </w:rPr>
        <w:t xml:space="preserve"> even </w:t>
      </w:r>
      <w:r>
        <w:rPr>
          <w:rFonts w:asciiTheme="minorHAnsi" w:hAnsiTheme="minorHAnsi" w:cstheme="minorHAnsi"/>
          <w:bCs/>
        </w:rPr>
        <w:t>increasing in some areas</w:t>
      </w:r>
      <w:r w:rsidRPr="00BC7C63">
        <w:rPr>
          <w:rFonts w:asciiTheme="minorHAnsi" w:hAnsiTheme="minorHAnsi" w:cstheme="minorHAnsi"/>
          <w:bCs/>
        </w:rPr>
        <w:t>.</w:t>
      </w:r>
      <w:r>
        <w:rPr>
          <w:rStyle w:val="FootnoteReference"/>
          <w:rFonts w:asciiTheme="minorHAnsi" w:hAnsiTheme="minorHAnsi" w:cstheme="minorHAnsi"/>
          <w:bCs/>
        </w:rPr>
        <w:footnoteReference w:id="35"/>
      </w:r>
      <w:r w:rsidRPr="00BC7C63">
        <w:rPr>
          <w:rFonts w:asciiTheme="minorHAnsi" w:hAnsiTheme="minorHAnsi" w:cstheme="minorHAnsi"/>
          <w:bCs/>
        </w:rPr>
        <w:t xml:space="preserve"> </w:t>
      </w:r>
      <w:r>
        <w:rPr>
          <w:rFonts w:asciiTheme="minorHAnsi" w:hAnsiTheme="minorHAnsi" w:cstheme="minorHAnsi"/>
          <w:bCs/>
        </w:rPr>
        <w:t>While the government referred to growing rates of inclusion in Germany, a</w:t>
      </w:r>
      <w:r w:rsidRPr="00BC7C63">
        <w:rPr>
          <w:rFonts w:asciiTheme="minorHAnsi" w:hAnsiTheme="minorHAnsi" w:cstheme="minorHAnsi"/>
          <w:bCs/>
        </w:rPr>
        <w:t xml:space="preserve">ccording to experts, </w:t>
      </w:r>
      <w:r>
        <w:rPr>
          <w:rFonts w:asciiTheme="minorHAnsi" w:hAnsiTheme="minorHAnsi" w:cstheme="minorHAnsi"/>
          <w:bCs/>
        </w:rPr>
        <w:t>this is</w:t>
      </w:r>
      <w:r w:rsidRPr="00773CE9">
        <w:t xml:space="preserve"> primarily the result of an increasing number of children </w:t>
      </w:r>
      <w:r>
        <w:t xml:space="preserve">being </w:t>
      </w:r>
      <w:r w:rsidRPr="00773CE9">
        <w:t>identified as having special needs</w:t>
      </w:r>
      <w:r>
        <w:t xml:space="preserve"> in the aftermath of </w:t>
      </w:r>
      <w:r w:rsidRPr="00773CE9">
        <w:t>the pandemic</w:t>
      </w:r>
      <w:r>
        <w:t xml:space="preserve">. Meanwhile, </w:t>
      </w:r>
      <w:r w:rsidRPr="00773CE9">
        <w:t xml:space="preserve">the rate of students attending special schools </w:t>
      </w:r>
      <w:r>
        <w:t>has</w:t>
      </w:r>
      <w:r w:rsidRPr="00773CE9">
        <w:t xml:space="preserve"> </w:t>
      </w:r>
      <w:r w:rsidRPr="00773CE9">
        <w:lastRenderedPageBreak/>
        <w:t>increased in s</w:t>
      </w:r>
      <w:r>
        <w:t>everal</w:t>
      </w:r>
      <w:r w:rsidRPr="00773CE9">
        <w:t xml:space="preserve"> regions,</w:t>
      </w:r>
      <w:r>
        <w:t xml:space="preserve"> including</w:t>
      </w:r>
      <w:r w:rsidRPr="00773CE9">
        <w:t xml:space="preserve"> Baden-Württemberg</w:t>
      </w:r>
      <w:r>
        <w:t xml:space="preserve"> and Bavaria</w:t>
      </w:r>
      <w:r w:rsidRPr="00773CE9">
        <w:t>.</w:t>
      </w:r>
      <w:r>
        <w:rPr>
          <w:rStyle w:val="FootnoteReference"/>
        </w:rPr>
        <w:footnoteReference w:id="36"/>
      </w:r>
      <w:r w:rsidRPr="00773CE9">
        <w:t xml:space="preserve"> </w:t>
      </w:r>
      <w:r>
        <w:t>Inclusive education is often still structurally impeded by inconsistent commitment by the L</w:t>
      </w:r>
      <w:r>
        <w:rPr>
          <w:rFonts w:cs="Calibri"/>
        </w:rPr>
        <w:t>ä</w:t>
      </w:r>
      <w:r>
        <w:t xml:space="preserve">nder authorities, the provision of inferior equipment to inclusive schools </w:t>
      </w:r>
      <w:r w:rsidRPr="00773CE9">
        <w:t>compared to special schools</w:t>
      </w:r>
      <w:r>
        <w:t>, and</w:t>
      </w:r>
      <w:r w:rsidRPr="00773CE9">
        <w:t xml:space="preserve"> </w:t>
      </w:r>
      <w:r>
        <w:t xml:space="preserve">the </w:t>
      </w:r>
      <w:r w:rsidRPr="00773CE9">
        <w:t>concentrat</w:t>
      </w:r>
      <w:r>
        <w:t xml:space="preserve">ion of </w:t>
      </w:r>
      <w:r w:rsidRPr="00773CE9">
        <w:t xml:space="preserve">inclusive education opportunities </w:t>
      </w:r>
      <w:r>
        <w:t xml:space="preserve">in only </w:t>
      </w:r>
      <w:r w:rsidRPr="00773CE9">
        <w:t>a few schools</w:t>
      </w:r>
      <w:r>
        <w:t xml:space="preserve">. </w:t>
      </w:r>
    </w:p>
    <w:p w14:paraId="5FF4889E" w14:textId="77777777" w:rsidR="004A5AEE" w:rsidRPr="009127C1" w:rsidRDefault="004A5AEE" w:rsidP="004A5AEE">
      <w:pPr>
        <w:pStyle w:val="ListParagraph"/>
        <w:tabs>
          <w:tab w:val="clear" w:pos="567"/>
        </w:tabs>
        <w:rPr>
          <w:rFonts w:asciiTheme="minorHAnsi" w:hAnsiTheme="minorHAnsi" w:cstheme="minorHAnsi"/>
        </w:rPr>
      </w:pPr>
      <w:r>
        <w:t>Against the background of a lasting and severe shortage of high-quality inclusive schooling opportunities, and persistent barriers against children with disabilities in mainstream schools, parents often succumb to the narrative that their children with disabilities can best be supported in the “protective environment” of special schools. Yet only 27% of children in special schools manage to obtain a basic school leaving certificate, which has adverse effects on their career opportunities and often channels them, from the beginning, into a life of dependence and low levels of vocational engagement.</w:t>
      </w:r>
      <w:r>
        <w:rPr>
          <w:rStyle w:val="FootnoteReference"/>
        </w:rPr>
        <w:footnoteReference w:id="37"/>
      </w:r>
      <w:r>
        <w:t xml:space="preserve"> </w:t>
      </w:r>
    </w:p>
    <w:p w14:paraId="432A0950" w14:textId="77777777" w:rsidR="004A5AEE" w:rsidRPr="009D5454" w:rsidRDefault="004A5AEE" w:rsidP="004A5AEE">
      <w:pPr>
        <w:pStyle w:val="ListParagraph"/>
        <w:tabs>
          <w:tab w:val="clear" w:pos="567"/>
        </w:tabs>
        <w:rPr>
          <w:rFonts w:asciiTheme="minorHAnsi" w:hAnsiTheme="minorHAnsi" w:cstheme="minorHAnsi"/>
        </w:rPr>
      </w:pPr>
      <w:r>
        <w:t>While t</w:t>
      </w:r>
      <w:r w:rsidRPr="00773CE9">
        <w:t>he employment situation of persons with disabilities in Germany has improved since the entry into force of the CRPD</w:t>
      </w:r>
      <w:r>
        <w:t xml:space="preserve">, </w:t>
      </w:r>
      <w:r w:rsidRPr="00773CE9">
        <w:t xml:space="preserve">persons with disabilities </w:t>
      </w:r>
      <w:r w:rsidRPr="009D5454">
        <w:rPr>
          <w:rFonts w:asciiTheme="minorHAnsi" w:hAnsiTheme="minorHAnsi" w:cstheme="minorHAnsi"/>
          <w:bCs/>
        </w:rPr>
        <w:t>continue to be structurally disadvantaged</w:t>
      </w:r>
      <w:r w:rsidRPr="00773CE9">
        <w:t xml:space="preserve"> when accessing the general labour market</w:t>
      </w:r>
      <w:r>
        <w:t>, are l</w:t>
      </w:r>
      <w:r w:rsidRPr="00773CE9">
        <w:t xml:space="preserve">ess likely to be able to sustain themselves on their vocational income </w:t>
      </w:r>
      <w:r>
        <w:t xml:space="preserve">and </w:t>
      </w:r>
      <w:r w:rsidRPr="00773CE9">
        <w:t>almost twice as likely to be unemployed than persons without disabilities</w:t>
      </w:r>
      <w:r>
        <w:t>.</w:t>
      </w:r>
      <w:r w:rsidRPr="00773CE9">
        <w:rPr>
          <w:rStyle w:val="FootnoteReference"/>
          <w:rFonts w:asciiTheme="minorHAnsi" w:hAnsiTheme="minorHAnsi" w:cstheme="minorHAnsi"/>
          <w:bCs/>
        </w:rPr>
        <w:footnoteReference w:id="38"/>
      </w:r>
      <w:r w:rsidRPr="00773CE9">
        <w:t xml:space="preserve"> </w:t>
      </w:r>
      <w:r>
        <w:rPr>
          <w:rFonts w:cstheme="minorHAnsi"/>
          <w:bCs/>
          <w:szCs w:val="18"/>
        </w:rPr>
        <w:t xml:space="preserve">Women with disabilities are less often employed than men and are much more likely to work part-time. </w:t>
      </w:r>
      <w:r w:rsidRPr="00773CE9">
        <w:t xml:space="preserve">Although </w:t>
      </w:r>
      <w:r>
        <w:t xml:space="preserve">young </w:t>
      </w:r>
      <w:r w:rsidRPr="00773CE9">
        <w:t xml:space="preserve">persons with disabilities should, by law, be trained in </w:t>
      </w:r>
      <w:r>
        <w:t>regular</w:t>
      </w:r>
      <w:r w:rsidRPr="00773CE9">
        <w:t xml:space="preserve"> professions, </w:t>
      </w:r>
      <w:r>
        <w:t xml:space="preserve">they </w:t>
      </w:r>
      <w:r w:rsidRPr="00773CE9">
        <w:t xml:space="preserve">are often </w:t>
      </w:r>
      <w:r>
        <w:t xml:space="preserve">steered </w:t>
      </w:r>
      <w:r w:rsidRPr="00773CE9">
        <w:t xml:space="preserve">into </w:t>
      </w:r>
      <w:r>
        <w:t xml:space="preserve">lower-ambition </w:t>
      </w:r>
      <w:r w:rsidRPr="00773CE9">
        <w:t xml:space="preserve">activities that are considered suitable for them. According to the </w:t>
      </w:r>
      <w:r>
        <w:t>BMAS,</w:t>
      </w:r>
      <w:r w:rsidRPr="00773CE9">
        <w:t xml:space="preserve"> 80-90% of all school leavers with disabilities undergo an initial period of at least one year in a so-called ‘transition system’</w:t>
      </w:r>
      <w:r>
        <w:t>,</w:t>
      </w:r>
      <w:r w:rsidRPr="00773CE9">
        <w:t xml:space="preserve"> </w:t>
      </w:r>
      <w:r>
        <w:t xml:space="preserve">while the majority either </w:t>
      </w:r>
      <w:r w:rsidRPr="00773CE9">
        <w:t>begin their vocational training in a sheltered workshop</w:t>
      </w:r>
      <w:r>
        <w:t>,</w:t>
      </w:r>
      <w:r w:rsidRPr="00773CE9">
        <w:t xml:space="preserve"> or do not learn a vocation at all. </w:t>
      </w:r>
      <w:r>
        <w:t>O</w:t>
      </w:r>
      <w:r w:rsidRPr="00773CE9">
        <w:t xml:space="preserve">nly around 10% of school leavers with disabilities in any given year </w:t>
      </w:r>
      <w:r>
        <w:t xml:space="preserve">reach </w:t>
      </w:r>
      <w:r w:rsidRPr="00773CE9">
        <w:t xml:space="preserve">mainstream vocational training for a </w:t>
      </w:r>
      <w:r>
        <w:t xml:space="preserve">regular </w:t>
      </w:r>
      <w:r w:rsidRPr="00773CE9">
        <w:t>occupation</w:t>
      </w:r>
      <w:r>
        <w:t>,</w:t>
      </w:r>
      <w:r w:rsidRPr="00773CE9">
        <w:t xml:space="preserve"> and even </w:t>
      </w:r>
      <w:r>
        <w:t>fewer</w:t>
      </w:r>
      <w:r w:rsidRPr="00773CE9">
        <w:t xml:space="preserve"> aim for the academic sector.</w:t>
      </w:r>
      <w:r w:rsidRPr="00773CE9">
        <w:rPr>
          <w:rStyle w:val="FootnoteReference"/>
          <w:rFonts w:asciiTheme="minorHAnsi" w:hAnsiTheme="minorHAnsi" w:cstheme="minorHAnsi"/>
          <w:bCs/>
        </w:rPr>
        <w:footnoteReference w:id="39"/>
      </w:r>
      <w:r w:rsidRPr="00773CE9">
        <w:t xml:space="preserve"> </w:t>
      </w:r>
    </w:p>
    <w:p w14:paraId="3EB41BD4" w14:textId="77777777" w:rsidR="004A5AEE" w:rsidRPr="00011297" w:rsidRDefault="004A5AEE" w:rsidP="004A5AEE">
      <w:pPr>
        <w:pStyle w:val="ListParagraph"/>
        <w:tabs>
          <w:tab w:val="clear" w:pos="567"/>
        </w:tabs>
        <w:rPr>
          <w:rFonts w:asciiTheme="minorHAnsi" w:hAnsiTheme="minorHAnsi" w:cstheme="minorHAnsi"/>
          <w:b/>
          <w:bCs/>
        </w:rPr>
      </w:pPr>
      <w:r>
        <w:rPr>
          <w:rFonts w:asciiTheme="minorHAnsi" w:hAnsiTheme="minorHAnsi" w:cstheme="minorHAnsi"/>
        </w:rPr>
        <w:t xml:space="preserve">The Commissioner is concerned about the fact that the number of persons employed in segregated “sheltered workshops </w:t>
      </w:r>
      <w:r w:rsidRPr="00773CE9">
        <w:t>for persons with disabilities</w:t>
      </w:r>
      <w:r>
        <w:t>” continues to grow.</w:t>
      </w:r>
      <w:r w:rsidRPr="00773CE9">
        <w:rPr>
          <w:rStyle w:val="FootnoteReference"/>
          <w:rFonts w:asciiTheme="minorHAnsi" w:hAnsiTheme="minorHAnsi" w:cstheme="minorHAnsi"/>
          <w:bCs/>
        </w:rPr>
        <w:footnoteReference w:id="40"/>
      </w:r>
      <w:r w:rsidRPr="00773CE9">
        <w:t xml:space="preserve"> As </w:t>
      </w:r>
      <w:r>
        <w:t xml:space="preserve">the over 300,000 </w:t>
      </w:r>
      <w:r w:rsidRPr="00773CE9">
        <w:t xml:space="preserve">employees </w:t>
      </w:r>
      <w:r>
        <w:t xml:space="preserve">of these workshops </w:t>
      </w:r>
      <w:r w:rsidRPr="00773CE9">
        <w:t>are not considered in employment</w:t>
      </w:r>
      <w:r>
        <w:t>,</w:t>
      </w:r>
      <w:r w:rsidRPr="00773CE9">
        <w:t xml:space="preserve"> but in rehabilitation, labour rights </w:t>
      </w:r>
      <w:r>
        <w:t xml:space="preserve">are not </w:t>
      </w:r>
      <w:r w:rsidRPr="00773CE9">
        <w:t>appl</w:t>
      </w:r>
      <w:r>
        <w:t>ied</w:t>
      </w:r>
      <w:r w:rsidRPr="00773CE9">
        <w:t xml:space="preserve"> </w:t>
      </w:r>
      <w:r>
        <w:t xml:space="preserve">to them </w:t>
      </w:r>
      <w:r w:rsidRPr="00773CE9">
        <w:t xml:space="preserve">and </w:t>
      </w:r>
      <w:r>
        <w:t>wages are</w:t>
      </w:r>
      <w:r w:rsidRPr="00773CE9">
        <w:t xml:space="preserve"> </w:t>
      </w:r>
      <w:r w:rsidRPr="00CE5AE7">
        <w:rPr>
          <w:rFonts w:asciiTheme="minorHAnsi" w:hAnsiTheme="minorHAnsi" w:cstheme="minorHAnsi"/>
          <w:bCs/>
        </w:rPr>
        <w:t>well below the statutory minimum wage</w:t>
      </w:r>
      <w:r w:rsidRPr="00773CE9">
        <w:t>.</w:t>
      </w:r>
      <w:r>
        <w:rPr>
          <w:rStyle w:val="FootnoteReference"/>
        </w:rPr>
        <w:footnoteReference w:id="41"/>
      </w:r>
      <w:r w:rsidRPr="00773CE9">
        <w:t xml:space="preserve"> Although sheltered workshops are supposed to promote transition to the general labour market, the transition rate has</w:t>
      </w:r>
      <w:r>
        <w:t xml:space="preserve"> remained</w:t>
      </w:r>
      <w:r w:rsidRPr="00773CE9">
        <w:t xml:space="preserve"> below </w:t>
      </w:r>
      <w:r>
        <w:t>0.5</w:t>
      </w:r>
      <w:r w:rsidRPr="00773CE9">
        <w:t xml:space="preserve">% for many years. By law, </w:t>
      </w:r>
      <w:r>
        <w:t xml:space="preserve">reasonable accommodation in </w:t>
      </w:r>
      <w:r w:rsidRPr="00773CE9">
        <w:t>workplaces is only mandatory if a person with severe disabilities already works in the company or is hired</w:t>
      </w:r>
      <w:r>
        <w:t xml:space="preserve">, which discourages </w:t>
      </w:r>
      <w:r w:rsidRPr="00773CE9">
        <w:t>many employers from hiring persons with disabilities</w:t>
      </w:r>
      <w:r>
        <w:t xml:space="preserve"> in the first place.</w:t>
      </w:r>
      <w:r w:rsidRPr="00011297">
        <w:t xml:space="preserve"> </w:t>
      </w:r>
      <w:r w:rsidRPr="00773CE9">
        <w:t xml:space="preserve">Since 2018, employers with at least 20 positions must fill at least 5% with persons with </w:t>
      </w:r>
      <w:proofErr w:type="gramStart"/>
      <w:r w:rsidRPr="00773CE9">
        <w:t>disabilities</w:t>
      </w:r>
      <w:r>
        <w:t>,</w:t>
      </w:r>
      <w:r w:rsidRPr="00773CE9">
        <w:t xml:space="preserve"> or</w:t>
      </w:r>
      <w:proofErr w:type="gramEnd"/>
      <w:r w:rsidRPr="00773CE9">
        <w:t xml:space="preserve"> pay</w:t>
      </w:r>
      <w:r>
        <w:t xml:space="preserve"> a monthly </w:t>
      </w:r>
      <w:r w:rsidRPr="00D4136E">
        <w:t xml:space="preserve">levy of </w:t>
      </w:r>
      <w:r>
        <w:t xml:space="preserve">between </w:t>
      </w:r>
      <w:r w:rsidRPr="00D4136E">
        <w:rPr>
          <w:rFonts w:asciiTheme="minorHAnsi" w:hAnsiTheme="minorHAnsi" w:cstheme="minorHAnsi"/>
          <w:bCs/>
          <w:szCs w:val="22"/>
          <w:lang w:eastAsia="fr-FR"/>
        </w:rPr>
        <w:t>€</w:t>
      </w:r>
      <w:r>
        <w:rPr>
          <w:rFonts w:asciiTheme="minorHAnsi" w:hAnsiTheme="minorHAnsi" w:cstheme="minorHAnsi"/>
          <w:bCs/>
          <w:szCs w:val="22"/>
          <w:lang w:eastAsia="fr-FR"/>
        </w:rPr>
        <w:t xml:space="preserve">140 and </w:t>
      </w:r>
      <w:r w:rsidRPr="00D4136E">
        <w:rPr>
          <w:rFonts w:asciiTheme="minorHAnsi" w:hAnsiTheme="minorHAnsi" w:cstheme="minorHAnsi"/>
          <w:bCs/>
          <w:szCs w:val="22"/>
          <w:lang w:eastAsia="fr-FR"/>
        </w:rPr>
        <w:t>€</w:t>
      </w:r>
      <w:r>
        <w:rPr>
          <w:rFonts w:asciiTheme="minorHAnsi" w:hAnsiTheme="minorHAnsi" w:cstheme="minorHAnsi"/>
          <w:bCs/>
          <w:szCs w:val="22"/>
          <w:lang w:eastAsia="fr-FR"/>
        </w:rPr>
        <w:t>360</w:t>
      </w:r>
      <w:r w:rsidRPr="00D4136E">
        <w:rPr>
          <w:rFonts w:asciiTheme="minorHAnsi" w:hAnsiTheme="minorHAnsi" w:cstheme="minorHAnsi"/>
          <w:bCs/>
          <w:szCs w:val="22"/>
          <w:lang w:eastAsia="fr-FR"/>
        </w:rPr>
        <w:t xml:space="preserve"> (</w:t>
      </w:r>
      <w:r>
        <w:rPr>
          <w:rFonts w:asciiTheme="minorHAnsi" w:hAnsiTheme="minorHAnsi" w:cstheme="minorHAnsi"/>
          <w:bCs/>
          <w:szCs w:val="22"/>
          <w:lang w:eastAsia="fr-FR"/>
        </w:rPr>
        <w:t>which is tax deductible) into a fund that promotes the participation of persons with severe disabilities in working life.</w:t>
      </w:r>
      <w:r>
        <w:rPr>
          <w:rStyle w:val="FootnoteReference"/>
        </w:rPr>
        <w:footnoteReference w:id="42"/>
      </w:r>
      <w:r>
        <w:rPr>
          <w:rFonts w:asciiTheme="minorHAnsi" w:hAnsiTheme="minorHAnsi" w:cstheme="minorHAnsi"/>
          <w:bCs/>
          <w:szCs w:val="22"/>
          <w:lang w:eastAsia="fr-FR"/>
        </w:rPr>
        <w:t xml:space="preserve"> Until the end of 2023, an additional fine of </w:t>
      </w:r>
      <w:r>
        <w:t xml:space="preserve">up to </w:t>
      </w:r>
      <w:r w:rsidRPr="00773CE9">
        <w:rPr>
          <w:rFonts w:asciiTheme="minorHAnsi" w:hAnsiTheme="minorHAnsi" w:cstheme="minorHAnsi"/>
          <w:bCs/>
          <w:szCs w:val="22"/>
          <w:lang w:eastAsia="fr-FR"/>
        </w:rPr>
        <w:t>€</w:t>
      </w:r>
      <w:r>
        <w:rPr>
          <w:rFonts w:asciiTheme="minorHAnsi" w:hAnsiTheme="minorHAnsi" w:cstheme="minorHAnsi"/>
          <w:bCs/>
          <w:szCs w:val="22"/>
          <w:lang w:eastAsia="fr-FR"/>
        </w:rPr>
        <w:t xml:space="preserve">10,000 became payable in case no inclusion efforts had been made. This </w:t>
      </w:r>
      <w:r>
        <w:rPr>
          <w:rFonts w:asciiTheme="minorHAnsi" w:hAnsiTheme="minorHAnsi" w:cstheme="minorHAnsi"/>
          <w:bCs/>
          <w:szCs w:val="22"/>
          <w:lang w:eastAsia="fr-FR"/>
        </w:rPr>
        <w:lastRenderedPageBreak/>
        <w:t xml:space="preserve">was very rarely enforced, however, </w:t>
      </w:r>
      <w:proofErr w:type="gramStart"/>
      <w:r>
        <w:rPr>
          <w:rFonts w:asciiTheme="minorHAnsi" w:hAnsiTheme="minorHAnsi" w:cstheme="minorHAnsi"/>
          <w:bCs/>
          <w:szCs w:val="22"/>
          <w:lang w:eastAsia="fr-FR"/>
        </w:rPr>
        <w:t>despite the fact that</w:t>
      </w:r>
      <w:proofErr w:type="gramEnd"/>
      <w:r>
        <w:rPr>
          <w:rFonts w:asciiTheme="minorHAnsi" w:hAnsiTheme="minorHAnsi" w:cstheme="minorHAnsi"/>
          <w:bCs/>
          <w:szCs w:val="22"/>
          <w:lang w:eastAsia="fr-FR"/>
        </w:rPr>
        <w:t xml:space="preserve"> only some 50% of companies fulfil the requirements.</w:t>
      </w:r>
      <w:r>
        <w:rPr>
          <w:rStyle w:val="FootnoteReference"/>
        </w:rPr>
        <w:footnoteReference w:id="43"/>
      </w:r>
      <w:r>
        <w:rPr>
          <w:rStyle w:val="Heading1Char"/>
        </w:rPr>
        <w:t xml:space="preserve"> </w:t>
      </w:r>
    </w:p>
    <w:p w14:paraId="1E9C5EB9" w14:textId="77777777" w:rsidR="004A5AEE" w:rsidRDefault="004A5AEE" w:rsidP="004A5AEE">
      <w:pPr>
        <w:pStyle w:val="ListParagraph"/>
        <w:tabs>
          <w:tab w:val="clear" w:pos="567"/>
        </w:tabs>
      </w:pPr>
      <w:r w:rsidRPr="00C5003B">
        <w:t>In addition to the special structures in the education and labour fields, Germany</w:t>
      </w:r>
      <w:r>
        <w:t>’s housing system</w:t>
      </w:r>
      <w:r w:rsidRPr="00C5003B">
        <w:t xml:space="preserve"> </w:t>
      </w:r>
      <w:r>
        <w:t>includes a</w:t>
      </w:r>
      <w:r w:rsidRPr="00C5003B">
        <w:t xml:space="preserve"> range of </w:t>
      </w:r>
      <w:r>
        <w:t xml:space="preserve">segregated </w:t>
      </w:r>
      <w:r w:rsidRPr="00C5003B">
        <w:t>residential facilities for persons with disabilities. The number of people living in these</w:t>
      </w:r>
      <w:r>
        <w:t xml:space="preserve"> facilities</w:t>
      </w:r>
      <w:r w:rsidRPr="00C5003B">
        <w:t xml:space="preserve"> has increased since 2009, while outpatient and person</w:t>
      </w:r>
      <w:r>
        <w:t>al s</w:t>
      </w:r>
      <w:r w:rsidRPr="00C5003B">
        <w:t>upport services are lacking, especially for persons with intellectual and multiple impairments.</w:t>
      </w:r>
      <w:r w:rsidRPr="00773CE9">
        <w:rPr>
          <w:rStyle w:val="FootnoteReference"/>
          <w:rFonts w:asciiTheme="minorHAnsi" w:hAnsiTheme="minorHAnsi" w:cstheme="minorHAnsi"/>
          <w:bCs/>
        </w:rPr>
        <w:footnoteReference w:id="44"/>
      </w:r>
      <w:r w:rsidRPr="00C5003B">
        <w:t xml:space="preserve"> </w:t>
      </w:r>
      <w:r>
        <w:t>The Commissioner wishes to stress that living in such residential facilities</w:t>
      </w:r>
      <w:r w:rsidRPr="00C5003B">
        <w:t xml:space="preserve"> significantly impacts the right to </w:t>
      </w:r>
      <w:r>
        <w:t>independent living, as enshrined in the CRPD, as well as the rights to privacy, choice regarding support options, participation, and inclusion in the community.</w:t>
      </w:r>
      <w:r w:rsidRPr="00773CE9">
        <w:rPr>
          <w:rStyle w:val="FootnoteReference"/>
          <w:rFonts w:asciiTheme="minorHAnsi" w:hAnsiTheme="minorHAnsi" w:cstheme="minorHAnsi"/>
          <w:bCs/>
        </w:rPr>
        <w:footnoteReference w:id="45"/>
      </w:r>
      <w:r>
        <w:t xml:space="preserve"> </w:t>
      </w:r>
      <w:r w:rsidRPr="00C5003B">
        <w:t>Almost 50% of persons with disabilities who receive housing benefits live in residential facilities (64</w:t>
      </w:r>
      <w:r>
        <w:t>.</w:t>
      </w:r>
      <w:r w:rsidRPr="00C5003B">
        <w:t>4% of those with intellectual impairments)</w:t>
      </w:r>
      <w:r>
        <w:t xml:space="preserve"> and they reportedly encounter difficulties when wishing to transfer their housing assistance to independent lifestyles in their own </w:t>
      </w:r>
      <w:r w:rsidRPr="00C5003B">
        <w:t>home</w:t>
      </w:r>
      <w:r>
        <w:t>s</w:t>
      </w:r>
      <w:r w:rsidRPr="00C5003B">
        <w:t xml:space="preserve"> or </w:t>
      </w:r>
      <w:r>
        <w:t xml:space="preserve">in </w:t>
      </w:r>
      <w:r w:rsidRPr="00C5003B">
        <w:t>foster families</w:t>
      </w:r>
      <w:r>
        <w:t>. Cost considerations are reportedly often cited</w:t>
      </w:r>
      <w:r w:rsidR="004D1559">
        <w:t xml:space="preserve"> </w:t>
      </w:r>
      <w:r>
        <w:t xml:space="preserve">as reasons against such transfers, </w:t>
      </w:r>
      <w:proofErr w:type="gramStart"/>
      <w:r w:rsidRPr="00C5003B">
        <w:t>despite the fact that</w:t>
      </w:r>
      <w:proofErr w:type="gramEnd"/>
      <w:r w:rsidRPr="00C5003B">
        <w:t xml:space="preserve"> </w:t>
      </w:r>
      <w:r>
        <w:t xml:space="preserve">expenditure per person in </w:t>
      </w:r>
      <w:r w:rsidRPr="00C5003B">
        <w:t>residential facilities are</w:t>
      </w:r>
      <w:r>
        <w:t xml:space="preserve"> generally higher.</w:t>
      </w:r>
      <w:r w:rsidRPr="00C5003B">
        <w:t xml:space="preserve"> </w:t>
      </w:r>
    </w:p>
    <w:p w14:paraId="6FEA965A" w14:textId="77777777" w:rsidR="004A5AEE" w:rsidRPr="00C5003B" w:rsidRDefault="004A5AEE" w:rsidP="004A5AEE">
      <w:pPr>
        <w:pStyle w:val="ListParagraph"/>
        <w:tabs>
          <w:tab w:val="clear" w:pos="567"/>
        </w:tabs>
      </w:pPr>
      <w:r>
        <w:rPr>
          <w:rFonts w:asciiTheme="minorHAnsi" w:hAnsiTheme="minorHAnsi" w:cstheme="minorHAnsi"/>
          <w:bCs/>
        </w:rPr>
        <w:t>The Commissioner is particularly concerned about the high rates of violence against persons with disabilities in Germany which continue to be reported, and which disproportionately affect women and girls.</w:t>
      </w:r>
      <w:r>
        <w:rPr>
          <w:rStyle w:val="FootnoteReference"/>
          <w:rFonts w:asciiTheme="minorHAnsi" w:hAnsiTheme="minorHAnsi" w:cstheme="minorHAnsi"/>
          <w:bCs/>
        </w:rPr>
        <w:footnoteReference w:id="46"/>
      </w:r>
      <w:r>
        <w:rPr>
          <w:rFonts w:asciiTheme="minorHAnsi" w:hAnsiTheme="minorHAnsi" w:cstheme="minorHAnsi"/>
          <w:bCs/>
        </w:rPr>
        <w:t xml:space="preserve"> Violence occurs particularly often in segregated structures and care facilities, as the ability of persons with disabilities to seek support is diminished and their exposure to coercion and abuse increased. During her visit, the Commissioner also heard distressing accounts of women and girls being subjected to physical examinations and treatment without consent, and without even being informed about the purposes of the treatment. The Commissioner learned that there are no inde</w:t>
      </w:r>
      <w:r w:rsidRPr="00773CE9">
        <w:rPr>
          <w:rFonts w:asciiTheme="minorHAnsi" w:hAnsiTheme="minorHAnsi" w:cstheme="minorHAnsi"/>
          <w:bCs/>
        </w:rPr>
        <w:t>pendent complaints mechanism</w:t>
      </w:r>
      <w:r>
        <w:rPr>
          <w:rFonts w:asciiTheme="minorHAnsi" w:hAnsiTheme="minorHAnsi" w:cstheme="minorHAnsi"/>
          <w:bCs/>
        </w:rPr>
        <w:t>s</w:t>
      </w:r>
      <w:r w:rsidRPr="00773CE9">
        <w:rPr>
          <w:rFonts w:asciiTheme="minorHAnsi" w:hAnsiTheme="minorHAnsi" w:cstheme="minorHAnsi"/>
          <w:bCs/>
        </w:rPr>
        <w:t xml:space="preserve"> available to persons</w:t>
      </w:r>
      <w:r>
        <w:rPr>
          <w:rFonts w:asciiTheme="minorHAnsi" w:hAnsiTheme="minorHAnsi" w:cstheme="minorHAnsi"/>
          <w:bCs/>
        </w:rPr>
        <w:t xml:space="preserve"> with disabilities </w:t>
      </w:r>
      <w:r w:rsidRPr="00773CE9">
        <w:rPr>
          <w:rFonts w:asciiTheme="minorHAnsi" w:hAnsiTheme="minorHAnsi" w:cstheme="minorHAnsi"/>
          <w:bCs/>
        </w:rPr>
        <w:t>in institutions</w:t>
      </w:r>
      <w:r>
        <w:rPr>
          <w:rFonts w:asciiTheme="minorHAnsi" w:hAnsiTheme="minorHAnsi" w:cstheme="minorHAnsi"/>
          <w:bCs/>
        </w:rPr>
        <w:t>,</w:t>
      </w:r>
      <w:r w:rsidRPr="00773CE9">
        <w:rPr>
          <w:rFonts w:asciiTheme="minorHAnsi" w:hAnsiTheme="minorHAnsi" w:cstheme="minorHAnsi"/>
          <w:bCs/>
        </w:rPr>
        <w:t xml:space="preserve"> and </w:t>
      </w:r>
      <w:r>
        <w:rPr>
          <w:rFonts w:asciiTheme="minorHAnsi" w:hAnsiTheme="minorHAnsi" w:cstheme="minorHAnsi"/>
          <w:bCs/>
        </w:rPr>
        <w:t xml:space="preserve">they are not </w:t>
      </w:r>
      <w:r w:rsidRPr="00773CE9">
        <w:rPr>
          <w:rFonts w:asciiTheme="minorHAnsi" w:hAnsiTheme="minorHAnsi" w:cstheme="minorHAnsi"/>
          <w:bCs/>
        </w:rPr>
        <w:t xml:space="preserve">systematically or effectively included in </w:t>
      </w:r>
      <w:r>
        <w:rPr>
          <w:rFonts w:asciiTheme="minorHAnsi" w:hAnsiTheme="minorHAnsi" w:cstheme="minorHAnsi"/>
          <w:bCs/>
        </w:rPr>
        <w:t xml:space="preserve">the </w:t>
      </w:r>
      <w:r w:rsidRPr="00773CE9">
        <w:rPr>
          <w:rFonts w:asciiTheme="minorHAnsi" w:hAnsiTheme="minorHAnsi" w:cstheme="minorHAnsi"/>
          <w:bCs/>
        </w:rPr>
        <w:t xml:space="preserve">decision-making processes </w:t>
      </w:r>
      <w:r>
        <w:rPr>
          <w:rFonts w:asciiTheme="minorHAnsi" w:hAnsiTheme="minorHAnsi" w:cstheme="minorHAnsi"/>
          <w:bCs/>
        </w:rPr>
        <w:t xml:space="preserve">that </w:t>
      </w:r>
      <w:r w:rsidRPr="00773CE9">
        <w:rPr>
          <w:rFonts w:asciiTheme="minorHAnsi" w:hAnsiTheme="minorHAnsi" w:cstheme="minorHAnsi"/>
          <w:bCs/>
        </w:rPr>
        <w:t>affect them</w:t>
      </w:r>
      <w:r>
        <w:rPr>
          <w:rFonts w:asciiTheme="minorHAnsi" w:hAnsiTheme="minorHAnsi" w:cstheme="minorHAnsi"/>
          <w:bCs/>
        </w:rPr>
        <w:t>, as the concept of supported decision-making remains virtually unknown</w:t>
      </w:r>
      <w:r w:rsidRPr="00773CE9">
        <w:rPr>
          <w:rFonts w:asciiTheme="minorHAnsi" w:hAnsiTheme="minorHAnsi" w:cstheme="minorHAnsi"/>
          <w:bCs/>
        </w:rPr>
        <w:t>.</w:t>
      </w:r>
    </w:p>
    <w:p w14:paraId="1596EEE9" w14:textId="77777777" w:rsidR="004A5AEE" w:rsidRPr="00AF1A4D" w:rsidRDefault="004A5AEE" w:rsidP="004A5AEE">
      <w:pPr>
        <w:pStyle w:val="Heading3"/>
        <w:numPr>
          <w:ilvl w:val="2"/>
          <w:numId w:val="24"/>
        </w:numPr>
        <w:ind w:left="794" w:hanging="794"/>
        <w:rPr>
          <w:rFonts w:eastAsiaTheme="minorEastAsia"/>
          <w:lang w:val="en-GB"/>
        </w:rPr>
      </w:pPr>
      <w:bookmarkStart w:id="43" w:name="_Toc152669921"/>
      <w:bookmarkStart w:id="44" w:name="_Toc152669952"/>
      <w:bookmarkStart w:id="45" w:name="_Toc158636897"/>
      <w:bookmarkStart w:id="46" w:name="_Toc159582668"/>
      <w:r w:rsidRPr="00AF1A4D">
        <w:rPr>
          <w:rFonts w:eastAsiaTheme="minorEastAsia"/>
          <w:lang w:val="en-GB"/>
        </w:rPr>
        <w:t xml:space="preserve">Accessibility and </w:t>
      </w:r>
      <w:bookmarkEnd w:id="43"/>
      <w:bookmarkEnd w:id="44"/>
      <w:r w:rsidRPr="00AF1A4D">
        <w:rPr>
          <w:rFonts w:eastAsiaTheme="minorEastAsia"/>
          <w:lang w:val="en-GB"/>
        </w:rPr>
        <w:t>effective participation</w:t>
      </w:r>
      <w:bookmarkEnd w:id="45"/>
      <w:bookmarkEnd w:id="46"/>
      <w:r w:rsidRPr="00AF1A4D">
        <w:rPr>
          <w:rFonts w:eastAsiaTheme="minorEastAsia"/>
          <w:lang w:val="en-GB"/>
        </w:rPr>
        <w:t xml:space="preserve"> </w:t>
      </w:r>
    </w:p>
    <w:p w14:paraId="5A582FFE" w14:textId="77777777" w:rsidR="004A5AEE" w:rsidRPr="00D04358" w:rsidRDefault="004A5AEE" w:rsidP="004A5AEE">
      <w:pPr>
        <w:pStyle w:val="ListParagraph"/>
        <w:tabs>
          <w:tab w:val="clear" w:pos="567"/>
        </w:tabs>
        <w:rPr>
          <w:rFonts w:asciiTheme="minorHAnsi" w:hAnsiTheme="minorHAnsi" w:cstheme="minorHAnsi"/>
        </w:rPr>
      </w:pPr>
      <w:r>
        <w:rPr>
          <w:rFonts w:asciiTheme="minorHAnsi" w:hAnsiTheme="minorHAnsi" w:cstheme="minorHAnsi"/>
        </w:rPr>
        <w:t>The 2016 Federal Act for the Promotion of Participation and Autonomy of Persons with Disabilities (BTHG), which has progressively entered into force in four reform stages between 2017 and 2023, was adopted to improve the implementation of the CRPD through the more efficient provision of person-centred assistance with a view to promoting inclusion. Persons with disabilities have, however, been critical of the fact that t</w:t>
      </w:r>
      <w:r w:rsidRPr="00D04358">
        <w:rPr>
          <w:rFonts w:asciiTheme="minorHAnsi" w:hAnsiTheme="minorHAnsi" w:cstheme="minorHAnsi"/>
        </w:rPr>
        <w:t xml:space="preserve">he group of people entitled to benefits </w:t>
      </w:r>
      <w:r>
        <w:rPr>
          <w:rFonts w:asciiTheme="minorHAnsi" w:hAnsiTheme="minorHAnsi" w:cstheme="minorHAnsi"/>
        </w:rPr>
        <w:t>under the law is re</w:t>
      </w:r>
      <w:r w:rsidRPr="00D04358">
        <w:rPr>
          <w:rFonts w:asciiTheme="minorHAnsi" w:hAnsiTheme="minorHAnsi" w:cstheme="minorHAnsi"/>
        </w:rPr>
        <w:t xml:space="preserve">stricted, </w:t>
      </w:r>
      <w:r>
        <w:rPr>
          <w:rFonts w:asciiTheme="minorHAnsi" w:hAnsiTheme="minorHAnsi" w:cstheme="minorHAnsi"/>
        </w:rPr>
        <w:t xml:space="preserve">that all measures are subject to resource conditionality, and that an overall patronising approach by the authorities and society at large has been impeding real progress. </w:t>
      </w:r>
      <w:bookmarkStart w:id="47" w:name="_Hlk155944627"/>
      <w:r>
        <w:rPr>
          <w:rFonts w:asciiTheme="minorHAnsi" w:hAnsiTheme="minorHAnsi" w:cstheme="minorHAnsi"/>
        </w:rPr>
        <w:t xml:space="preserve">According to the GIHR, persons with disabilities and their needs continue to be given only scant consideration in decision-making processes, while awareness about </w:t>
      </w:r>
      <w:r w:rsidRPr="00773CE9">
        <w:rPr>
          <w:rFonts w:asciiTheme="minorHAnsi" w:hAnsiTheme="minorHAnsi" w:cstheme="minorHAnsi"/>
          <w:bCs/>
        </w:rPr>
        <w:t xml:space="preserve">accessibility as a basic prerequisite for equal participation </w:t>
      </w:r>
      <w:r>
        <w:rPr>
          <w:rFonts w:asciiTheme="minorHAnsi" w:hAnsiTheme="minorHAnsi" w:cstheme="minorHAnsi"/>
          <w:bCs/>
        </w:rPr>
        <w:t xml:space="preserve">remains limited. </w:t>
      </w:r>
      <w:bookmarkEnd w:id="47"/>
    </w:p>
    <w:p w14:paraId="04360AD4" w14:textId="77777777" w:rsidR="004A5AEE" w:rsidRPr="00D04358" w:rsidRDefault="004A5AEE" w:rsidP="004A5AEE">
      <w:pPr>
        <w:pStyle w:val="ListParagraph"/>
        <w:tabs>
          <w:tab w:val="clear" w:pos="567"/>
        </w:tabs>
        <w:rPr>
          <w:rFonts w:asciiTheme="minorHAnsi" w:hAnsiTheme="minorHAnsi" w:cstheme="minorHAnsi"/>
        </w:rPr>
      </w:pPr>
      <w:r w:rsidRPr="00D04358">
        <w:rPr>
          <w:rFonts w:asciiTheme="minorHAnsi" w:hAnsiTheme="minorHAnsi" w:cstheme="minorHAnsi"/>
          <w:bCs/>
        </w:rPr>
        <w:t xml:space="preserve">Although the federal government’s coalition agreement addresses accessibility and </w:t>
      </w:r>
      <w:r>
        <w:rPr>
          <w:rFonts w:asciiTheme="minorHAnsi" w:hAnsiTheme="minorHAnsi" w:cstheme="minorHAnsi"/>
          <w:bCs/>
        </w:rPr>
        <w:t>establishes</w:t>
      </w:r>
      <w:r w:rsidRPr="00D04358">
        <w:rPr>
          <w:rFonts w:asciiTheme="minorHAnsi" w:hAnsiTheme="minorHAnsi" w:cstheme="minorHAnsi"/>
          <w:bCs/>
        </w:rPr>
        <w:t xml:space="preserve"> a federal accessibility initiative, no concrete legislative projects or funding programmes have been planned</w:t>
      </w:r>
      <w:r>
        <w:rPr>
          <w:rFonts w:asciiTheme="minorHAnsi" w:hAnsiTheme="minorHAnsi" w:cstheme="minorHAnsi"/>
          <w:bCs/>
        </w:rPr>
        <w:t>,</w:t>
      </w:r>
      <w:r w:rsidRPr="00D04358">
        <w:rPr>
          <w:rFonts w:asciiTheme="minorHAnsi" w:hAnsiTheme="minorHAnsi" w:cstheme="minorHAnsi"/>
          <w:bCs/>
        </w:rPr>
        <w:t xml:space="preserve"> </w:t>
      </w:r>
      <w:r>
        <w:rPr>
          <w:rFonts w:asciiTheme="minorHAnsi" w:hAnsiTheme="minorHAnsi" w:cstheme="minorHAnsi"/>
          <w:bCs/>
        </w:rPr>
        <w:t>and n</w:t>
      </w:r>
      <w:r w:rsidRPr="00D04358">
        <w:rPr>
          <w:rFonts w:asciiTheme="minorHAnsi" w:hAnsiTheme="minorHAnsi" w:cstheme="minorHAnsi"/>
          <w:bCs/>
        </w:rPr>
        <w:t xml:space="preserve">one of the municipalities have succeeded in achieving the </w:t>
      </w:r>
      <w:proofErr w:type="gramStart"/>
      <w:r w:rsidRPr="00D04358">
        <w:rPr>
          <w:rFonts w:asciiTheme="minorHAnsi" w:hAnsiTheme="minorHAnsi" w:cstheme="minorHAnsi"/>
          <w:bCs/>
        </w:rPr>
        <w:t>legally</w:t>
      </w:r>
      <w:r>
        <w:rPr>
          <w:rFonts w:asciiTheme="minorHAnsi" w:hAnsiTheme="minorHAnsi" w:cstheme="minorHAnsi"/>
          <w:bCs/>
        </w:rPr>
        <w:t>-</w:t>
      </w:r>
      <w:r w:rsidRPr="00D04358">
        <w:rPr>
          <w:rFonts w:asciiTheme="minorHAnsi" w:hAnsiTheme="minorHAnsi" w:cstheme="minorHAnsi"/>
          <w:bCs/>
        </w:rPr>
        <w:t>defined</w:t>
      </w:r>
      <w:proofErr w:type="gramEnd"/>
      <w:r w:rsidRPr="00D04358">
        <w:rPr>
          <w:rFonts w:asciiTheme="minorHAnsi" w:hAnsiTheme="minorHAnsi" w:cstheme="minorHAnsi"/>
          <w:bCs/>
        </w:rPr>
        <w:t xml:space="preserve"> target of accessible public transport by 2022.</w:t>
      </w:r>
      <w:r>
        <w:rPr>
          <w:rFonts w:asciiTheme="minorHAnsi" w:hAnsiTheme="minorHAnsi" w:cstheme="minorHAnsi"/>
          <w:bCs/>
        </w:rPr>
        <w:t xml:space="preserve"> </w:t>
      </w:r>
      <w:r w:rsidRPr="00D04358">
        <w:rPr>
          <w:rFonts w:asciiTheme="minorHAnsi" w:hAnsiTheme="minorHAnsi" w:cstheme="minorHAnsi"/>
          <w:bCs/>
        </w:rPr>
        <w:t xml:space="preserve">The lack of obligation </w:t>
      </w:r>
      <w:r>
        <w:rPr>
          <w:rFonts w:asciiTheme="minorHAnsi" w:hAnsiTheme="minorHAnsi" w:cstheme="minorHAnsi"/>
          <w:bCs/>
        </w:rPr>
        <w:t xml:space="preserve">for the private sector to </w:t>
      </w:r>
      <w:r w:rsidRPr="00D04358">
        <w:rPr>
          <w:rFonts w:asciiTheme="minorHAnsi" w:hAnsiTheme="minorHAnsi" w:cstheme="minorHAnsi"/>
          <w:bCs/>
        </w:rPr>
        <w:t>provide accessibility</w:t>
      </w:r>
      <w:r>
        <w:rPr>
          <w:rFonts w:asciiTheme="minorHAnsi" w:hAnsiTheme="minorHAnsi" w:cstheme="minorHAnsi"/>
          <w:bCs/>
        </w:rPr>
        <w:t xml:space="preserve"> for persons with disabilities</w:t>
      </w:r>
      <w:r w:rsidRPr="00D04358">
        <w:rPr>
          <w:rFonts w:asciiTheme="minorHAnsi" w:hAnsiTheme="minorHAnsi" w:cstheme="minorHAnsi"/>
          <w:bCs/>
        </w:rPr>
        <w:t xml:space="preserve"> has long been</w:t>
      </w:r>
      <w:r>
        <w:rPr>
          <w:rFonts w:asciiTheme="minorHAnsi" w:hAnsiTheme="minorHAnsi" w:cstheme="minorHAnsi"/>
          <w:bCs/>
        </w:rPr>
        <w:t xml:space="preserve"> acknowledged as </w:t>
      </w:r>
      <w:proofErr w:type="gramStart"/>
      <w:r>
        <w:rPr>
          <w:rFonts w:asciiTheme="minorHAnsi" w:hAnsiTheme="minorHAnsi" w:cstheme="minorHAnsi"/>
          <w:bCs/>
        </w:rPr>
        <w:t>problematic, but</w:t>
      </w:r>
      <w:proofErr w:type="gramEnd"/>
      <w:r>
        <w:rPr>
          <w:rFonts w:asciiTheme="minorHAnsi" w:hAnsiTheme="minorHAnsi" w:cstheme="minorHAnsi"/>
          <w:bCs/>
        </w:rPr>
        <w:t xml:space="preserve"> remains unaddressed.</w:t>
      </w:r>
      <w:r w:rsidRPr="00D04358">
        <w:rPr>
          <w:rFonts w:asciiTheme="minorHAnsi" w:hAnsiTheme="minorHAnsi" w:cstheme="minorHAnsi"/>
          <w:bCs/>
        </w:rPr>
        <w:t xml:space="preserve"> </w:t>
      </w:r>
      <w:r>
        <w:rPr>
          <w:rFonts w:cstheme="minorHAnsi"/>
          <w:bCs/>
          <w:szCs w:val="18"/>
        </w:rPr>
        <w:t xml:space="preserve">The Commissioner learned with interest during her visit that amendments to the BGG </w:t>
      </w:r>
      <w:r>
        <w:rPr>
          <w:rFonts w:cstheme="minorHAnsi"/>
          <w:bCs/>
          <w:szCs w:val="18"/>
        </w:rPr>
        <w:lastRenderedPageBreak/>
        <w:t>are planned, with a view to introducing a legal obligation to commit to accessibility also within the private sector.</w:t>
      </w:r>
      <w:r>
        <w:rPr>
          <w:rFonts w:asciiTheme="minorHAnsi" w:hAnsiTheme="minorHAnsi" w:cstheme="minorHAnsi"/>
          <w:bCs/>
        </w:rPr>
        <w:t xml:space="preserve"> </w:t>
      </w:r>
    </w:p>
    <w:p w14:paraId="284A1B8B" w14:textId="77777777" w:rsidR="004A5AEE" w:rsidRPr="00773CE9" w:rsidRDefault="004A5AEE" w:rsidP="004A5AEE">
      <w:pPr>
        <w:pStyle w:val="ListParagraph"/>
        <w:tabs>
          <w:tab w:val="clear" w:pos="567"/>
        </w:tabs>
        <w:rPr>
          <w:rFonts w:asciiTheme="minorHAnsi" w:hAnsiTheme="minorHAnsi" w:cstheme="minorHAnsi"/>
        </w:rPr>
      </w:pPr>
      <w:bookmarkStart w:id="48" w:name="_Hlk155944656"/>
      <w:r w:rsidRPr="00773CE9">
        <w:rPr>
          <w:rFonts w:asciiTheme="minorHAnsi" w:hAnsiTheme="minorHAnsi" w:cstheme="minorHAnsi"/>
          <w:bCs/>
        </w:rPr>
        <w:t xml:space="preserve">According to </w:t>
      </w:r>
      <w:r>
        <w:rPr>
          <w:rFonts w:asciiTheme="minorHAnsi" w:hAnsiTheme="minorHAnsi" w:cstheme="minorHAnsi"/>
          <w:bCs/>
        </w:rPr>
        <w:t>organisations of persons with disabilities, the</w:t>
      </w:r>
      <w:r w:rsidRPr="00773CE9">
        <w:rPr>
          <w:rFonts w:asciiTheme="minorHAnsi" w:hAnsiTheme="minorHAnsi" w:cstheme="minorHAnsi"/>
          <w:bCs/>
        </w:rPr>
        <w:t xml:space="preserve"> </w:t>
      </w:r>
      <w:r>
        <w:rPr>
          <w:rFonts w:asciiTheme="minorHAnsi" w:hAnsiTheme="minorHAnsi" w:cstheme="minorHAnsi"/>
          <w:bCs/>
        </w:rPr>
        <w:t>BTHG</w:t>
      </w:r>
      <w:r w:rsidRPr="00773CE9">
        <w:rPr>
          <w:rFonts w:asciiTheme="minorHAnsi" w:hAnsiTheme="minorHAnsi" w:cstheme="minorHAnsi"/>
          <w:bCs/>
        </w:rPr>
        <w:t xml:space="preserve"> </w:t>
      </w:r>
      <w:r>
        <w:rPr>
          <w:rFonts w:asciiTheme="minorHAnsi" w:hAnsiTheme="minorHAnsi" w:cstheme="minorHAnsi"/>
          <w:bCs/>
        </w:rPr>
        <w:t xml:space="preserve">has had no discernible positive effect on </w:t>
      </w:r>
      <w:r w:rsidRPr="00773CE9">
        <w:rPr>
          <w:rFonts w:asciiTheme="minorHAnsi" w:hAnsiTheme="minorHAnsi" w:cstheme="minorHAnsi"/>
          <w:bCs/>
        </w:rPr>
        <w:t xml:space="preserve">person-centred services, as all decisions must pass an “appropriateness and reasonableness test”, which significantly limits choice and decision-making options. </w:t>
      </w:r>
      <w:bookmarkEnd w:id="48"/>
      <w:r w:rsidRPr="00461607">
        <w:rPr>
          <w:rFonts w:asciiTheme="minorHAnsi" w:hAnsiTheme="minorHAnsi" w:cstheme="minorHAnsi"/>
          <w:bCs/>
        </w:rPr>
        <w:t xml:space="preserve">Preliminary evaluation processes in the </w:t>
      </w:r>
      <w:r w:rsidRPr="00D4136E">
        <w:rPr>
          <w:rFonts w:asciiTheme="minorHAnsi" w:hAnsiTheme="minorHAnsi" w:cstheme="minorHAnsi"/>
          <w:bCs/>
        </w:rPr>
        <w:t>Bundestag (the Parliament) of the</w:t>
      </w:r>
      <w:r w:rsidRPr="00773CE9">
        <w:rPr>
          <w:rFonts w:asciiTheme="minorHAnsi" w:hAnsiTheme="minorHAnsi" w:cstheme="minorHAnsi"/>
          <w:bCs/>
        </w:rPr>
        <w:t xml:space="preserve"> implementation of the </w:t>
      </w:r>
      <w:r>
        <w:rPr>
          <w:rFonts w:asciiTheme="minorHAnsi" w:hAnsiTheme="minorHAnsi" w:cstheme="minorHAnsi"/>
          <w:bCs/>
        </w:rPr>
        <w:t>law</w:t>
      </w:r>
      <w:r w:rsidRPr="00773CE9">
        <w:rPr>
          <w:rFonts w:asciiTheme="minorHAnsi" w:hAnsiTheme="minorHAnsi" w:cstheme="minorHAnsi"/>
          <w:bCs/>
        </w:rPr>
        <w:t xml:space="preserve"> also point to issues related to the right of choice and preference, as well as to the </w:t>
      </w:r>
      <w:r>
        <w:rPr>
          <w:rFonts w:asciiTheme="minorHAnsi" w:hAnsiTheme="minorHAnsi" w:cstheme="minorHAnsi"/>
          <w:bCs/>
        </w:rPr>
        <w:t xml:space="preserve">quality of </w:t>
      </w:r>
      <w:r w:rsidRPr="00773CE9">
        <w:rPr>
          <w:rFonts w:asciiTheme="minorHAnsi" w:hAnsiTheme="minorHAnsi" w:cstheme="minorHAnsi"/>
          <w:bCs/>
        </w:rPr>
        <w:t xml:space="preserve">participation </w:t>
      </w:r>
      <w:r>
        <w:rPr>
          <w:rFonts w:asciiTheme="minorHAnsi" w:hAnsiTheme="minorHAnsi" w:cstheme="minorHAnsi"/>
          <w:bCs/>
        </w:rPr>
        <w:t>of persons with disabilities and their representative organisations</w:t>
      </w:r>
      <w:r w:rsidRPr="00773CE9">
        <w:rPr>
          <w:rFonts w:asciiTheme="minorHAnsi" w:hAnsiTheme="minorHAnsi" w:cstheme="minorHAnsi"/>
          <w:bCs/>
        </w:rPr>
        <w:t xml:space="preserve"> in the overall planning process.</w:t>
      </w:r>
      <w:r w:rsidRPr="00773CE9">
        <w:rPr>
          <w:rStyle w:val="FootnoteReference"/>
          <w:rFonts w:asciiTheme="minorHAnsi" w:hAnsiTheme="minorHAnsi" w:cstheme="minorHAnsi"/>
          <w:bCs/>
        </w:rPr>
        <w:footnoteReference w:id="47"/>
      </w:r>
      <w:r>
        <w:rPr>
          <w:rFonts w:asciiTheme="minorHAnsi" w:hAnsiTheme="minorHAnsi" w:cstheme="minorHAnsi"/>
          <w:bCs/>
        </w:rPr>
        <w:t xml:space="preserve"> The Commissioner notes in this context that representative organisations h</w:t>
      </w:r>
      <w:r w:rsidRPr="00773CE9">
        <w:rPr>
          <w:rFonts w:asciiTheme="minorHAnsi" w:hAnsiTheme="minorHAnsi" w:cstheme="minorHAnsi"/>
          <w:bCs/>
        </w:rPr>
        <w:t xml:space="preserve">ave </w:t>
      </w:r>
      <w:r>
        <w:rPr>
          <w:rFonts w:asciiTheme="minorHAnsi" w:hAnsiTheme="minorHAnsi" w:cstheme="minorHAnsi"/>
          <w:bCs/>
        </w:rPr>
        <w:t xml:space="preserve">repeatedly </w:t>
      </w:r>
      <w:r w:rsidRPr="00773CE9">
        <w:rPr>
          <w:rFonts w:asciiTheme="minorHAnsi" w:hAnsiTheme="minorHAnsi" w:cstheme="minorHAnsi"/>
          <w:bCs/>
        </w:rPr>
        <w:t>called for the elaboration of participation standards</w:t>
      </w:r>
      <w:r>
        <w:rPr>
          <w:rFonts w:asciiTheme="minorHAnsi" w:hAnsiTheme="minorHAnsi" w:cstheme="minorHAnsi"/>
          <w:bCs/>
        </w:rPr>
        <w:t>,</w:t>
      </w:r>
      <w:r w:rsidRPr="00773CE9">
        <w:rPr>
          <w:rFonts w:asciiTheme="minorHAnsi" w:hAnsiTheme="minorHAnsi" w:cstheme="minorHAnsi"/>
          <w:bCs/>
        </w:rPr>
        <w:t xml:space="preserve"> in order to ensure qualitative rather than quantita</w:t>
      </w:r>
      <w:r>
        <w:rPr>
          <w:rFonts w:asciiTheme="minorHAnsi" w:hAnsiTheme="minorHAnsi" w:cstheme="minorHAnsi"/>
          <w:bCs/>
        </w:rPr>
        <w:t>ti</w:t>
      </w:r>
      <w:r w:rsidRPr="00773CE9">
        <w:rPr>
          <w:rFonts w:asciiTheme="minorHAnsi" w:hAnsiTheme="minorHAnsi" w:cstheme="minorHAnsi"/>
          <w:bCs/>
        </w:rPr>
        <w:t>ve modes of participation</w:t>
      </w:r>
      <w:r>
        <w:rPr>
          <w:rFonts w:asciiTheme="minorHAnsi" w:hAnsiTheme="minorHAnsi" w:cstheme="minorHAnsi"/>
          <w:bCs/>
        </w:rPr>
        <w:t>, as they frequently receive invitations for various forms of consultations at different levels, of which most remain without detectible impact.</w:t>
      </w:r>
    </w:p>
    <w:p w14:paraId="3E0F63A3" w14:textId="77777777" w:rsidR="004A5AEE" w:rsidRPr="00562C96" w:rsidRDefault="004A5AEE" w:rsidP="004A5AEE">
      <w:pPr>
        <w:pStyle w:val="ListParagraph"/>
        <w:tabs>
          <w:tab w:val="clear" w:pos="567"/>
        </w:tabs>
        <w:rPr>
          <w:rFonts w:asciiTheme="minorHAnsi" w:hAnsiTheme="minorHAnsi" w:cstheme="minorHAnsi"/>
        </w:rPr>
      </w:pPr>
      <w:r>
        <w:rPr>
          <w:rFonts w:asciiTheme="minorHAnsi" w:hAnsiTheme="minorHAnsi" w:cstheme="minorHAnsi"/>
          <w:bCs/>
        </w:rPr>
        <w:t xml:space="preserve">The Commissioner is concerned about the lack of progress in creating effective mechanisms for the participation of persons with disabilities in public life, both through reasonable accommodation measures and enhanced accessibility, and through ensuring meaningful involvement of persons with disabilities and their representative organisations in all relevant decision-making. </w:t>
      </w:r>
      <w:bookmarkStart w:id="49" w:name="_Hlk155957217"/>
      <w:r>
        <w:rPr>
          <w:rFonts w:asciiTheme="minorHAnsi" w:hAnsiTheme="minorHAnsi" w:cstheme="minorHAnsi"/>
          <w:bCs/>
        </w:rPr>
        <w:t xml:space="preserve">She stresses that, according to the European Committee of Social Rights (ECSR), </w:t>
      </w:r>
      <w:r w:rsidRPr="00773CE9">
        <w:rPr>
          <w:rFonts w:asciiTheme="minorHAnsi" w:hAnsiTheme="minorHAnsi" w:cstheme="minorHAnsi"/>
          <w:bCs/>
        </w:rPr>
        <w:t>failure to adopt effective measures</w:t>
      </w:r>
      <w:r>
        <w:rPr>
          <w:rFonts w:asciiTheme="minorHAnsi" w:hAnsiTheme="minorHAnsi" w:cstheme="minorHAnsi"/>
          <w:bCs/>
        </w:rPr>
        <w:t>,</w:t>
      </w:r>
      <w:r w:rsidRPr="00773CE9">
        <w:rPr>
          <w:rFonts w:asciiTheme="minorHAnsi" w:hAnsiTheme="minorHAnsi" w:cstheme="minorHAnsi"/>
          <w:bCs/>
        </w:rPr>
        <w:t xml:space="preserve"> within a reasonable timeframe</w:t>
      </w:r>
      <w:r>
        <w:rPr>
          <w:rFonts w:asciiTheme="minorHAnsi" w:hAnsiTheme="minorHAnsi" w:cstheme="minorHAnsi"/>
          <w:bCs/>
        </w:rPr>
        <w:t>,</w:t>
      </w:r>
      <w:r w:rsidRPr="00773CE9">
        <w:rPr>
          <w:rFonts w:asciiTheme="minorHAnsi" w:hAnsiTheme="minorHAnsi" w:cstheme="minorHAnsi"/>
          <w:bCs/>
        </w:rPr>
        <w:t xml:space="preserve"> towards a coordinated policy for social integration and participat</w:t>
      </w:r>
      <w:r>
        <w:rPr>
          <w:rFonts w:asciiTheme="minorHAnsi" w:hAnsiTheme="minorHAnsi" w:cstheme="minorHAnsi"/>
          <w:bCs/>
        </w:rPr>
        <w:t>i</w:t>
      </w:r>
      <w:r w:rsidRPr="00773CE9">
        <w:rPr>
          <w:rFonts w:asciiTheme="minorHAnsi" w:hAnsiTheme="minorHAnsi" w:cstheme="minorHAnsi"/>
          <w:bCs/>
        </w:rPr>
        <w:t>on in the life of the community by persons with disabilities</w:t>
      </w:r>
      <w:r>
        <w:rPr>
          <w:rFonts w:asciiTheme="minorHAnsi" w:hAnsiTheme="minorHAnsi" w:cstheme="minorHAnsi"/>
          <w:bCs/>
        </w:rPr>
        <w:t>,</w:t>
      </w:r>
      <w:r w:rsidRPr="00773CE9">
        <w:rPr>
          <w:rFonts w:asciiTheme="minorHAnsi" w:hAnsiTheme="minorHAnsi" w:cstheme="minorHAnsi"/>
          <w:bCs/>
        </w:rPr>
        <w:t xml:space="preserve"> constitutes a violation of Article 15§3 of the revised European Social Charter.</w:t>
      </w:r>
      <w:r w:rsidRPr="00773CE9">
        <w:rPr>
          <w:rStyle w:val="FootnoteReference"/>
          <w:rFonts w:asciiTheme="minorHAnsi" w:hAnsiTheme="minorHAnsi" w:cstheme="minorHAnsi"/>
          <w:bCs/>
        </w:rPr>
        <w:footnoteReference w:id="48"/>
      </w:r>
      <w:bookmarkEnd w:id="49"/>
      <w:r w:rsidR="004D1559">
        <w:rPr>
          <w:rFonts w:asciiTheme="minorHAnsi" w:hAnsiTheme="minorHAnsi" w:cstheme="minorHAnsi"/>
          <w:bCs/>
        </w:rPr>
        <w:t xml:space="preserve"> </w:t>
      </w:r>
    </w:p>
    <w:p w14:paraId="6F6E2A45" w14:textId="77777777" w:rsidR="004A5AEE" w:rsidRPr="00773CE9" w:rsidRDefault="004A5AEE" w:rsidP="00AF1A4D">
      <w:pPr>
        <w:pStyle w:val="Heading2"/>
        <w:numPr>
          <w:ilvl w:val="1"/>
          <w:numId w:val="24"/>
        </w:numPr>
        <w:tabs>
          <w:tab w:val="num" w:pos="765"/>
        </w:tabs>
        <w:ind w:hanging="765"/>
      </w:pPr>
      <w:bookmarkStart w:id="50" w:name="_Toc158636898"/>
      <w:bookmarkStart w:id="51" w:name="_Toc159582669"/>
      <w:bookmarkStart w:id="52" w:name="_Toc152669925"/>
      <w:bookmarkStart w:id="53" w:name="_Toc152669956"/>
      <w:r>
        <w:t xml:space="preserve">Protection from </w:t>
      </w:r>
      <w:r w:rsidRPr="00773CE9">
        <w:t>discrimination</w:t>
      </w:r>
      <w:bookmarkEnd w:id="50"/>
      <w:bookmarkEnd w:id="51"/>
      <w:r w:rsidRPr="00773CE9">
        <w:t xml:space="preserve"> </w:t>
      </w:r>
      <w:bookmarkEnd w:id="52"/>
      <w:bookmarkEnd w:id="53"/>
    </w:p>
    <w:p w14:paraId="705892E6" w14:textId="77777777" w:rsidR="004A5AEE" w:rsidRPr="00D90B39" w:rsidRDefault="004A5AEE" w:rsidP="004A5AEE">
      <w:pPr>
        <w:pStyle w:val="ListParagraph"/>
        <w:tabs>
          <w:tab w:val="clear" w:pos="567"/>
        </w:tabs>
        <w:rPr>
          <w:rFonts w:asciiTheme="minorHAnsi" w:hAnsiTheme="minorHAnsi" w:cstheme="minorHAnsi"/>
          <w:b/>
          <w:bCs/>
        </w:rPr>
      </w:pPr>
      <w:bookmarkStart w:id="54" w:name="_Hlk148607407"/>
      <w:r>
        <w:rPr>
          <w:rFonts w:asciiTheme="minorHAnsi" w:hAnsiTheme="minorHAnsi" w:cstheme="minorHAnsi"/>
        </w:rPr>
        <w:t xml:space="preserve">According to a survey conducted by the FADA in 2017, one in three persons in Germany considered that they had been discriminated against in the course of the last two years, but only 6% had sought </w:t>
      </w:r>
      <w:r w:rsidRPr="00D4136E">
        <w:rPr>
          <w:rFonts w:asciiTheme="minorHAnsi" w:hAnsiTheme="minorHAnsi" w:cstheme="minorHAnsi"/>
        </w:rPr>
        <w:t>legal</w:t>
      </w:r>
      <w:r>
        <w:rPr>
          <w:rFonts w:asciiTheme="minorHAnsi" w:hAnsiTheme="minorHAnsi" w:cstheme="minorHAnsi"/>
        </w:rPr>
        <w:t xml:space="preserve"> recourse.</w:t>
      </w:r>
      <w:r>
        <w:rPr>
          <w:rStyle w:val="FootnoteReference"/>
          <w:rFonts w:asciiTheme="minorHAnsi" w:hAnsiTheme="minorHAnsi" w:cstheme="minorHAnsi"/>
        </w:rPr>
        <w:footnoteReference w:id="49"/>
      </w:r>
      <w:r>
        <w:rPr>
          <w:rFonts w:asciiTheme="minorHAnsi" w:hAnsiTheme="minorHAnsi" w:cstheme="minorHAnsi"/>
        </w:rPr>
        <w:t xml:space="preserve"> A recent report by the European Union Agency for Fundamental Rights on the experiences of people of African descent concluded that Germany had the highest incidence of discrimination based on skin colour in the 13 surveyed EU member states over the last five years.</w:t>
      </w:r>
      <w:r>
        <w:rPr>
          <w:rStyle w:val="FootnoteReference"/>
          <w:rFonts w:asciiTheme="minorHAnsi" w:hAnsiTheme="minorHAnsi" w:cstheme="minorHAnsi"/>
        </w:rPr>
        <w:footnoteReference w:id="50"/>
      </w:r>
      <w:r>
        <w:rPr>
          <w:rFonts w:asciiTheme="minorHAnsi" w:hAnsiTheme="minorHAnsi" w:cstheme="minorHAnsi"/>
        </w:rPr>
        <w:t xml:space="preserve"> Despite these high figures, and the consistent reports by experts and anti-discrimination advice and community centres regarding the growing frequency of discrimination in Germany, the </w:t>
      </w:r>
      <w:bookmarkStart w:id="55" w:name="_Hlk155957251"/>
      <w:r>
        <w:rPr>
          <w:rFonts w:asciiTheme="minorHAnsi" w:hAnsiTheme="minorHAnsi" w:cstheme="minorHAnsi"/>
        </w:rPr>
        <w:t xml:space="preserve">Commissioner gained the impression during her visit that basic equality and non-discrimination standards remain very little known in Germany, and that there is limited awareness of and reference to </w:t>
      </w:r>
      <w:r>
        <w:t>relevant</w:t>
      </w:r>
      <w:r w:rsidRPr="00773CE9">
        <w:t xml:space="preserve"> international obligations</w:t>
      </w:r>
      <w:r>
        <w:t xml:space="preserve"> </w:t>
      </w:r>
      <w:r w:rsidRPr="00773CE9">
        <w:t>in policymaking and jurisprudence</w:t>
      </w:r>
      <w:bookmarkEnd w:id="55"/>
      <w:r>
        <w:t xml:space="preserve">. One </w:t>
      </w:r>
      <w:r w:rsidRPr="00D4136E">
        <w:t>notable</w:t>
      </w:r>
      <w:r>
        <w:t xml:space="preserve"> exception</w:t>
      </w:r>
      <w:r w:rsidRPr="00773CE9">
        <w:t xml:space="preserve"> </w:t>
      </w:r>
      <w:r>
        <w:t>is</w:t>
      </w:r>
      <w:r w:rsidRPr="00773CE9">
        <w:t xml:space="preserve"> the explicit reference to international obligations </w:t>
      </w:r>
      <w:r>
        <w:t>to protect p</w:t>
      </w:r>
      <w:r w:rsidRPr="00773CE9">
        <w:t>ersons with disabilities</w:t>
      </w:r>
      <w:r>
        <w:t xml:space="preserve"> against discrimination</w:t>
      </w:r>
      <w:r w:rsidRPr="00773CE9">
        <w:t xml:space="preserve"> in the</w:t>
      </w:r>
      <w:r>
        <w:t xml:space="preserve"> December 2021</w:t>
      </w:r>
      <w:r w:rsidRPr="00773CE9">
        <w:t xml:space="preserve"> judgment of the </w:t>
      </w:r>
      <w:r w:rsidRPr="003D5F13">
        <w:rPr>
          <w:rFonts w:asciiTheme="minorHAnsi" w:hAnsiTheme="minorHAnsi" w:cstheme="minorHAnsi"/>
          <w:bCs/>
        </w:rPr>
        <w:t>Constitutional Court</w:t>
      </w:r>
      <w:r>
        <w:rPr>
          <w:rFonts w:asciiTheme="minorHAnsi" w:hAnsiTheme="minorHAnsi" w:cstheme="minorHAnsi"/>
          <w:bCs/>
        </w:rPr>
        <w:t>,</w:t>
      </w:r>
      <w:r w:rsidRPr="00773CE9">
        <w:t xml:space="preserve"> relat</w:t>
      </w:r>
      <w:r>
        <w:t>ing</w:t>
      </w:r>
      <w:r w:rsidRPr="00773CE9">
        <w:t xml:space="preserve"> to medical triage decisions</w:t>
      </w:r>
      <w:r>
        <w:t>.</w:t>
      </w:r>
      <w:r>
        <w:rPr>
          <w:rStyle w:val="FootnoteReference"/>
        </w:rPr>
        <w:footnoteReference w:id="51"/>
      </w:r>
    </w:p>
    <w:p w14:paraId="110868E2" w14:textId="77777777" w:rsidR="004A5AEE" w:rsidRPr="00AF1A4D" w:rsidRDefault="004A5AEE" w:rsidP="004A5AEE">
      <w:pPr>
        <w:pStyle w:val="Heading3"/>
        <w:numPr>
          <w:ilvl w:val="2"/>
          <w:numId w:val="24"/>
        </w:numPr>
        <w:ind w:left="794" w:hanging="794"/>
        <w:rPr>
          <w:rFonts w:eastAsiaTheme="minorEastAsia"/>
          <w:lang w:val="en-GB"/>
        </w:rPr>
      </w:pPr>
      <w:bookmarkStart w:id="56" w:name="_Toc152669926"/>
      <w:bookmarkStart w:id="57" w:name="_Toc152669957"/>
      <w:bookmarkStart w:id="58" w:name="_Toc158636899"/>
      <w:bookmarkStart w:id="59" w:name="_Toc159582670"/>
      <w:r w:rsidRPr="00AF1A4D">
        <w:rPr>
          <w:rFonts w:eastAsiaTheme="minorEastAsia"/>
          <w:lang w:val="en-GB"/>
        </w:rPr>
        <w:t>The legal framework for the protection against discrimination</w:t>
      </w:r>
      <w:bookmarkEnd w:id="56"/>
      <w:bookmarkEnd w:id="57"/>
      <w:bookmarkEnd w:id="58"/>
      <w:bookmarkEnd w:id="59"/>
    </w:p>
    <w:p w14:paraId="0AAC6C2A" w14:textId="77777777" w:rsidR="004A5AEE" w:rsidRPr="00D90B39" w:rsidRDefault="004A5AEE" w:rsidP="004A5AEE">
      <w:pPr>
        <w:pStyle w:val="ListParagraph"/>
        <w:tabs>
          <w:tab w:val="clear" w:pos="567"/>
        </w:tabs>
        <w:rPr>
          <w:rFonts w:asciiTheme="minorHAnsi" w:hAnsiTheme="minorHAnsi" w:cstheme="minorHAnsi"/>
        </w:rPr>
      </w:pPr>
      <w:r w:rsidRPr="00773CE9">
        <w:t>In 2006</w:t>
      </w:r>
      <w:r>
        <w:t>, and after several infringement procedures by the European Commission for failing to transpose the four European Equality Directives</w:t>
      </w:r>
      <w:r w:rsidRPr="00773CE9">
        <w:t>, Germany adopted the General Law on Equal Treatment (AGG)</w:t>
      </w:r>
      <w:r>
        <w:t xml:space="preserve">. </w:t>
      </w:r>
      <w:r w:rsidRPr="00173C8E">
        <w:rPr>
          <w:rFonts w:asciiTheme="minorHAnsi" w:hAnsiTheme="minorHAnsi" w:cstheme="minorHAnsi"/>
          <w:bCs/>
        </w:rPr>
        <w:t xml:space="preserve">An evaluation concluded </w:t>
      </w:r>
      <w:r>
        <w:rPr>
          <w:rFonts w:asciiTheme="minorHAnsi" w:hAnsiTheme="minorHAnsi" w:cstheme="minorHAnsi"/>
          <w:bCs/>
        </w:rPr>
        <w:t xml:space="preserve">in 2016 </w:t>
      </w:r>
      <w:r w:rsidRPr="00173C8E">
        <w:rPr>
          <w:rFonts w:asciiTheme="minorHAnsi" w:hAnsiTheme="minorHAnsi" w:cstheme="minorHAnsi"/>
          <w:bCs/>
        </w:rPr>
        <w:t xml:space="preserve">that important reforms </w:t>
      </w:r>
      <w:r>
        <w:rPr>
          <w:rFonts w:asciiTheme="minorHAnsi" w:hAnsiTheme="minorHAnsi" w:cstheme="minorHAnsi"/>
          <w:bCs/>
        </w:rPr>
        <w:t xml:space="preserve">to the AGG </w:t>
      </w:r>
      <w:r w:rsidRPr="00173C8E">
        <w:rPr>
          <w:rFonts w:asciiTheme="minorHAnsi" w:hAnsiTheme="minorHAnsi" w:cstheme="minorHAnsi"/>
          <w:bCs/>
        </w:rPr>
        <w:t>were required, both from a legal perspective and in terms of its effectiveness and enforceability.</w:t>
      </w:r>
      <w:r w:rsidRPr="00773CE9">
        <w:rPr>
          <w:rStyle w:val="FootnoteReference"/>
          <w:rFonts w:asciiTheme="minorHAnsi" w:hAnsiTheme="minorHAnsi" w:cstheme="minorHAnsi"/>
          <w:bCs/>
        </w:rPr>
        <w:footnoteReference w:id="52"/>
      </w:r>
      <w:r w:rsidRPr="00173C8E">
        <w:rPr>
          <w:rFonts w:asciiTheme="minorHAnsi" w:hAnsiTheme="minorHAnsi" w:cstheme="minorHAnsi"/>
          <w:bCs/>
        </w:rPr>
        <w:t xml:space="preserve"> The main points of criticism include the fact that the AGG is essentially applicable </w:t>
      </w:r>
      <w:r>
        <w:rPr>
          <w:rFonts w:asciiTheme="minorHAnsi" w:hAnsiTheme="minorHAnsi" w:cstheme="minorHAnsi"/>
          <w:bCs/>
        </w:rPr>
        <w:t xml:space="preserve">only </w:t>
      </w:r>
      <w:r w:rsidRPr="00173C8E">
        <w:rPr>
          <w:rFonts w:asciiTheme="minorHAnsi" w:hAnsiTheme="minorHAnsi" w:cstheme="minorHAnsi"/>
          <w:bCs/>
        </w:rPr>
        <w:t>to private</w:t>
      </w:r>
      <w:r>
        <w:rPr>
          <w:rFonts w:asciiTheme="minorHAnsi" w:hAnsiTheme="minorHAnsi" w:cstheme="minorHAnsi"/>
          <w:bCs/>
        </w:rPr>
        <w:t xml:space="preserve"> </w:t>
      </w:r>
      <w:r w:rsidRPr="00173C8E">
        <w:rPr>
          <w:rFonts w:asciiTheme="minorHAnsi" w:hAnsiTheme="minorHAnsi" w:cstheme="minorHAnsi"/>
          <w:bCs/>
        </w:rPr>
        <w:t xml:space="preserve">law </w:t>
      </w:r>
      <w:r w:rsidRPr="00173C8E">
        <w:rPr>
          <w:rFonts w:asciiTheme="minorHAnsi" w:hAnsiTheme="minorHAnsi" w:cstheme="minorHAnsi"/>
          <w:bCs/>
        </w:rPr>
        <w:lastRenderedPageBreak/>
        <w:t>relationships. Except in the field of public</w:t>
      </w:r>
      <w:r>
        <w:rPr>
          <w:rFonts w:asciiTheme="minorHAnsi" w:hAnsiTheme="minorHAnsi" w:cstheme="minorHAnsi"/>
          <w:bCs/>
        </w:rPr>
        <w:t xml:space="preserve"> </w:t>
      </w:r>
      <w:r w:rsidRPr="00173C8E">
        <w:rPr>
          <w:rFonts w:asciiTheme="minorHAnsi" w:hAnsiTheme="minorHAnsi" w:cstheme="minorHAnsi"/>
          <w:bCs/>
        </w:rPr>
        <w:t>law employment</w:t>
      </w:r>
      <w:r>
        <w:rPr>
          <w:rFonts w:asciiTheme="minorHAnsi" w:hAnsiTheme="minorHAnsi" w:cstheme="minorHAnsi"/>
          <w:bCs/>
        </w:rPr>
        <w:t xml:space="preserve">, </w:t>
      </w:r>
      <w:r w:rsidRPr="00173C8E">
        <w:rPr>
          <w:rFonts w:asciiTheme="minorHAnsi" w:hAnsiTheme="minorHAnsi" w:cstheme="minorHAnsi"/>
          <w:bCs/>
        </w:rPr>
        <w:t>persons who consider themselves to have been discriminated against by public authorities must rely on the general prohibition o</w:t>
      </w:r>
      <w:r>
        <w:rPr>
          <w:rFonts w:asciiTheme="minorHAnsi" w:hAnsiTheme="minorHAnsi" w:cstheme="minorHAnsi"/>
          <w:bCs/>
        </w:rPr>
        <w:t>f</w:t>
      </w:r>
      <w:r w:rsidRPr="00173C8E">
        <w:rPr>
          <w:rFonts w:asciiTheme="minorHAnsi" w:hAnsiTheme="minorHAnsi" w:cstheme="minorHAnsi"/>
          <w:bCs/>
        </w:rPr>
        <w:t xml:space="preserve"> discrimination laid down by Article 3 of the Constitution.</w:t>
      </w:r>
      <w:r>
        <w:rPr>
          <w:rFonts w:asciiTheme="minorHAnsi" w:hAnsiTheme="minorHAnsi" w:cstheme="minorHAnsi"/>
          <w:bCs/>
        </w:rPr>
        <w:t xml:space="preserve"> It is also considered problematic that the </w:t>
      </w:r>
      <w:r w:rsidRPr="00256180">
        <w:rPr>
          <w:rFonts w:asciiTheme="minorHAnsi" w:hAnsiTheme="minorHAnsi" w:cstheme="minorHAnsi"/>
          <w:bCs/>
        </w:rPr>
        <w:t xml:space="preserve">AGG expressly </w:t>
      </w:r>
      <w:r>
        <w:rPr>
          <w:rFonts w:asciiTheme="minorHAnsi" w:hAnsiTheme="minorHAnsi" w:cstheme="minorHAnsi"/>
          <w:bCs/>
        </w:rPr>
        <w:t xml:space="preserve">justifies </w:t>
      </w:r>
      <w:r w:rsidRPr="00256180">
        <w:rPr>
          <w:rFonts w:asciiTheme="minorHAnsi" w:hAnsiTheme="minorHAnsi" w:cstheme="minorHAnsi"/>
          <w:bCs/>
        </w:rPr>
        <w:t xml:space="preserve">differential treatment </w:t>
      </w:r>
      <w:r>
        <w:rPr>
          <w:rFonts w:asciiTheme="minorHAnsi" w:hAnsiTheme="minorHAnsi" w:cstheme="minorHAnsi"/>
          <w:bCs/>
        </w:rPr>
        <w:t xml:space="preserve">on any ground in the housing </w:t>
      </w:r>
      <w:proofErr w:type="gramStart"/>
      <w:r>
        <w:rPr>
          <w:rFonts w:asciiTheme="minorHAnsi" w:hAnsiTheme="minorHAnsi" w:cstheme="minorHAnsi"/>
          <w:bCs/>
        </w:rPr>
        <w:t xml:space="preserve">field, </w:t>
      </w:r>
      <w:r w:rsidRPr="00256180">
        <w:rPr>
          <w:rFonts w:asciiTheme="minorHAnsi" w:hAnsiTheme="minorHAnsi" w:cstheme="minorHAnsi"/>
          <w:bCs/>
        </w:rPr>
        <w:t>when</w:t>
      </w:r>
      <w:proofErr w:type="gramEnd"/>
      <w:r w:rsidRPr="00256180">
        <w:rPr>
          <w:rFonts w:asciiTheme="minorHAnsi" w:hAnsiTheme="minorHAnsi" w:cstheme="minorHAnsi"/>
          <w:bCs/>
        </w:rPr>
        <w:t xml:space="preserve"> it serves to create or maintain balanced settlement structures</w:t>
      </w:r>
      <w:r>
        <w:rPr>
          <w:rFonts w:asciiTheme="minorHAnsi" w:hAnsiTheme="minorHAnsi" w:cstheme="minorHAnsi"/>
          <w:bCs/>
        </w:rPr>
        <w:t xml:space="preserve">. </w:t>
      </w:r>
      <w:r w:rsidRPr="00256180">
        <w:rPr>
          <w:rFonts w:asciiTheme="minorHAnsi" w:hAnsiTheme="minorHAnsi" w:cstheme="minorHAnsi"/>
          <w:bCs/>
        </w:rPr>
        <w:t>In addition, the AGG creates only limited obligations to promote equal opportunities</w:t>
      </w:r>
      <w:r>
        <w:rPr>
          <w:rFonts w:asciiTheme="minorHAnsi" w:hAnsiTheme="minorHAnsi" w:cstheme="minorHAnsi"/>
          <w:bCs/>
        </w:rPr>
        <w:t xml:space="preserve"> and </w:t>
      </w:r>
      <w:r w:rsidRPr="00256180">
        <w:rPr>
          <w:rFonts w:asciiTheme="minorHAnsi" w:hAnsiTheme="minorHAnsi" w:cstheme="minorHAnsi"/>
          <w:bCs/>
        </w:rPr>
        <w:t xml:space="preserve">provides protection against discrimination in individual contractual relations only with respect to ethnic </w:t>
      </w:r>
      <w:r>
        <w:rPr>
          <w:rFonts w:asciiTheme="minorHAnsi" w:hAnsiTheme="minorHAnsi" w:cstheme="minorHAnsi"/>
          <w:bCs/>
        </w:rPr>
        <w:t>origin</w:t>
      </w:r>
      <w:r w:rsidRPr="00256180">
        <w:rPr>
          <w:rFonts w:asciiTheme="minorHAnsi" w:hAnsiTheme="minorHAnsi" w:cstheme="minorHAnsi"/>
          <w:bCs/>
        </w:rPr>
        <w:t xml:space="preserve">. For other grounds, such as age, sexual orientation or gender identity, religion or disability, protection is only provided in so-called bulk business, </w:t>
      </w:r>
      <w:proofErr w:type="gramStart"/>
      <w:r w:rsidRPr="00256180">
        <w:rPr>
          <w:rFonts w:asciiTheme="minorHAnsi" w:hAnsiTheme="minorHAnsi" w:cstheme="minorHAnsi"/>
          <w:bCs/>
        </w:rPr>
        <w:t>i.e.</w:t>
      </w:r>
      <w:proofErr w:type="gramEnd"/>
      <w:r w:rsidRPr="00256180">
        <w:rPr>
          <w:rFonts w:asciiTheme="minorHAnsi" w:hAnsiTheme="minorHAnsi" w:cstheme="minorHAnsi"/>
          <w:bCs/>
        </w:rPr>
        <w:t xml:space="preserve"> </w:t>
      </w:r>
      <w:r>
        <w:rPr>
          <w:rFonts w:asciiTheme="minorHAnsi" w:hAnsiTheme="minorHAnsi" w:cstheme="minorHAnsi"/>
          <w:bCs/>
        </w:rPr>
        <w:t>in c</w:t>
      </w:r>
      <w:r w:rsidRPr="00256180">
        <w:rPr>
          <w:rFonts w:asciiTheme="minorHAnsi" w:hAnsiTheme="minorHAnsi" w:cstheme="minorHAnsi"/>
          <w:bCs/>
        </w:rPr>
        <w:t>ontracts that are used in comparable format for an unlimited number of persons</w:t>
      </w:r>
      <w:r>
        <w:rPr>
          <w:rFonts w:asciiTheme="minorHAnsi" w:hAnsiTheme="minorHAnsi" w:cstheme="minorHAnsi"/>
          <w:bCs/>
        </w:rPr>
        <w:t>.</w:t>
      </w:r>
      <w:r w:rsidRPr="00173C8E">
        <w:rPr>
          <w:rFonts w:asciiTheme="minorHAnsi" w:hAnsiTheme="minorHAnsi" w:cstheme="minorHAnsi"/>
          <w:bCs/>
        </w:rPr>
        <w:t xml:space="preserve"> </w:t>
      </w:r>
    </w:p>
    <w:p w14:paraId="13BE345E" w14:textId="77777777" w:rsidR="004A5AEE" w:rsidRPr="00D90B39" w:rsidRDefault="004A5AEE" w:rsidP="004A5AEE">
      <w:pPr>
        <w:pStyle w:val="ListParagraph"/>
        <w:tabs>
          <w:tab w:val="clear" w:pos="567"/>
        </w:tabs>
        <w:rPr>
          <w:rFonts w:asciiTheme="minorHAnsi" w:hAnsiTheme="minorHAnsi" w:cstheme="minorHAnsi"/>
        </w:rPr>
      </w:pPr>
      <w:r w:rsidRPr="00D90B39">
        <w:rPr>
          <w:rFonts w:asciiTheme="minorHAnsi" w:hAnsiTheme="minorHAnsi" w:cstheme="minorHAnsi"/>
          <w:bCs/>
        </w:rPr>
        <w:t>The effectiveness of the AGG is thus limited, including from a procedural point of view. The time</w:t>
      </w:r>
      <w:r>
        <w:rPr>
          <w:rFonts w:asciiTheme="minorHAnsi" w:hAnsiTheme="minorHAnsi" w:cstheme="minorHAnsi"/>
          <w:bCs/>
        </w:rPr>
        <w:t xml:space="preserve"> </w:t>
      </w:r>
      <w:r w:rsidRPr="00D90B39">
        <w:rPr>
          <w:rFonts w:asciiTheme="minorHAnsi" w:hAnsiTheme="minorHAnsi" w:cstheme="minorHAnsi"/>
          <w:bCs/>
        </w:rPr>
        <w:t xml:space="preserve">limit of two months laid down in the law for initiating a complaint </w:t>
      </w:r>
      <w:r>
        <w:rPr>
          <w:rFonts w:asciiTheme="minorHAnsi" w:hAnsiTheme="minorHAnsi" w:cstheme="minorHAnsi"/>
          <w:bCs/>
        </w:rPr>
        <w:t>serves</w:t>
      </w:r>
      <w:r w:rsidRPr="00D90B39">
        <w:rPr>
          <w:rFonts w:asciiTheme="minorHAnsi" w:hAnsiTheme="minorHAnsi" w:cstheme="minorHAnsi"/>
          <w:bCs/>
        </w:rPr>
        <w:t xml:space="preserve"> as important obstacle to accessing justice, considering that many victims, in particular where discrimination on the ground of ethnic origin is at stake, remain unaware of the existence of the AGG or their rights under it, may not immediately know where to turn to</w:t>
      </w:r>
      <w:r>
        <w:rPr>
          <w:rFonts w:asciiTheme="minorHAnsi" w:hAnsiTheme="minorHAnsi" w:cstheme="minorHAnsi"/>
          <w:bCs/>
        </w:rPr>
        <w:t>,</w:t>
      </w:r>
      <w:r w:rsidRPr="00D90B39">
        <w:rPr>
          <w:rFonts w:asciiTheme="minorHAnsi" w:hAnsiTheme="minorHAnsi" w:cstheme="minorHAnsi"/>
          <w:bCs/>
        </w:rPr>
        <w:t xml:space="preserve"> or may initially be reluctant to </w:t>
      </w:r>
      <w:r>
        <w:rPr>
          <w:rFonts w:asciiTheme="minorHAnsi" w:hAnsiTheme="minorHAnsi" w:cstheme="minorHAnsi"/>
          <w:bCs/>
        </w:rPr>
        <w:t>seek legal recourse</w:t>
      </w:r>
      <w:r w:rsidRPr="00D90B39">
        <w:rPr>
          <w:rFonts w:asciiTheme="minorHAnsi" w:hAnsiTheme="minorHAnsi" w:cstheme="minorHAnsi"/>
          <w:bCs/>
        </w:rPr>
        <w:t>.</w:t>
      </w:r>
      <w:r w:rsidRPr="00773CE9">
        <w:rPr>
          <w:rStyle w:val="FootnoteReference"/>
          <w:rFonts w:asciiTheme="minorHAnsi" w:hAnsiTheme="minorHAnsi" w:cstheme="minorHAnsi"/>
          <w:bCs/>
        </w:rPr>
        <w:footnoteReference w:id="53"/>
      </w:r>
      <w:r w:rsidRPr="00D90B39">
        <w:rPr>
          <w:rFonts w:asciiTheme="minorHAnsi" w:hAnsiTheme="minorHAnsi" w:cstheme="minorHAnsi"/>
          <w:bCs/>
        </w:rPr>
        <w:t xml:space="preserve"> In addition, experts </w:t>
      </w:r>
      <w:r>
        <w:rPr>
          <w:rFonts w:asciiTheme="minorHAnsi" w:hAnsiTheme="minorHAnsi" w:cstheme="minorHAnsi"/>
          <w:bCs/>
        </w:rPr>
        <w:t xml:space="preserve">have pointed out </w:t>
      </w:r>
      <w:r w:rsidRPr="00D90B39">
        <w:rPr>
          <w:rFonts w:asciiTheme="minorHAnsi" w:hAnsiTheme="minorHAnsi" w:cstheme="minorHAnsi"/>
          <w:bCs/>
        </w:rPr>
        <w:t xml:space="preserve">that the law establishes barriers to potential claimants by not effectively </w:t>
      </w:r>
      <w:r>
        <w:rPr>
          <w:rFonts w:asciiTheme="minorHAnsi" w:hAnsiTheme="minorHAnsi" w:cstheme="minorHAnsi"/>
          <w:bCs/>
        </w:rPr>
        <w:t>shifting t</w:t>
      </w:r>
      <w:r w:rsidRPr="00D90B39">
        <w:rPr>
          <w:rFonts w:asciiTheme="minorHAnsi" w:hAnsiTheme="minorHAnsi" w:cstheme="minorHAnsi"/>
          <w:bCs/>
        </w:rPr>
        <w:t>he burden of proof</w:t>
      </w:r>
      <w:r>
        <w:rPr>
          <w:rFonts w:asciiTheme="minorHAnsi" w:hAnsiTheme="minorHAnsi" w:cstheme="minorHAnsi"/>
          <w:bCs/>
        </w:rPr>
        <w:t xml:space="preserve"> to the respondent, in line with European standards,</w:t>
      </w:r>
      <w:r>
        <w:rPr>
          <w:rStyle w:val="FootnoteReference"/>
          <w:rFonts w:asciiTheme="minorHAnsi" w:hAnsiTheme="minorHAnsi" w:cstheme="minorHAnsi"/>
          <w:bCs/>
        </w:rPr>
        <w:footnoteReference w:id="54"/>
      </w:r>
      <w:r>
        <w:rPr>
          <w:rFonts w:asciiTheme="minorHAnsi" w:hAnsiTheme="minorHAnsi" w:cstheme="minorHAnsi"/>
          <w:bCs/>
        </w:rPr>
        <w:t xml:space="preserve"> </w:t>
      </w:r>
      <w:r w:rsidRPr="00D90B39">
        <w:rPr>
          <w:rFonts w:asciiTheme="minorHAnsi" w:hAnsiTheme="minorHAnsi" w:cstheme="minorHAnsi"/>
          <w:bCs/>
        </w:rPr>
        <w:t>and by</w:t>
      </w:r>
      <w:r>
        <w:rPr>
          <w:rFonts w:asciiTheme="minorHAnsi" w:hAnsiTheme="minorHAnsi" w:cstheme="minorHAnsi"/>
          <w:bCs/>
        </w:rPr>
        <w:t xml:space="preserve"> only</w:t>
      </w:r>
      <w:r w:rsidRPr="00D90B39">
        <w:rPr>
          <w:rFonts w:asciiTheme="minorHAnsi" w:hAnsiTheme="minorHAnsi" w:cstheme="minorHAnsi"/>
          <w:bCs/>
        </w:rPr>
        <w:t xml:space="preserve"> granting associations the right to provide</w:t>
      </w:r>
      <w:r>
        <w:rPr>
          <w:rFonts w:asciiTheme="minorHAnsi" w:hAnsiTheme="minorHAnsi" w:cstheme="minorHAnsi"/>
          <w:bCs/>
        </w:rPr>
        <w:t xml:space="preserve"> </w:t>
      </w:r>
      <w:r w:rsidRPr="00D90B39">
        <w:rPr>
          <w:rFonts w:asciiTheme="minorHAnsi" w:hAnsiTheme="minorHAnsi" w:cstheme="minorHAnsi"/>
          <w:bCs/>
        </w:rPr>
        <w:t>legal advice</w:t>
      </w:r>
      <w:r>
        <w:rPr>
          <w:rFonts w:asciiTheme="minorHAnsi" w:hAnsiTheme="minorHAnsi" w:cstheme="minorHAnsi"/>
          <w:bCs/>
        </w:rPr>
        <w:t>,</w:t>
      </w:r>
      <w:r w:rsidRPr="00D90B39">
        <w:rPr>
          <w:rFonts w:asciiTheme="minorHAnsi" w:hAnsiTheme="minorHAnsi" w:cstheme="minorHAnsi"/>
          <w:bCs/>
        </w:rPr>
        <w:t xml:space="preserve"> </w:t>
      </w:r>
      <w:r>
        <w:rPr>
          <w:rFonts w:asciiTheme="minorHAnsi" w:hAnsiTheme="minorHAnsi" w:cstheme="minorHAnsi"/>
          <w:bCs/>
        </w:rPr>
        <w:t xml:space="preserve">and </w:t>
      </w:r>
      <w:r w:rsidRPr="00D90B39">
        <w:rPr>
          <w:rFonts w:asciiTheme="minorHAnsi" w:hAnsiTheme="minorHAnsi" w:cstheme="minorHAnsi"/>
          <w:bCs/>
        </w:rPr>
        <w:t>not</w:t>
      </w:r>
      <w:r>
        <w:rPr>
          <w:rFonts w:asciiTheme="minorHAnsi" w:hAnsiTheme="minorHAnsi" w:cstheme="minorHAnsi"/>
          <w:bCs/>
        </w:rPr>
        <w:t xml:space="preserve"> to</w:t>
      </w:r>
      <w:r w:rsidRPr="00D90B39">
        <w:rPr>
          <w:rFonts w:asciiTheme="minorHAnsi" w:hAnsiTheme="minorHAnsi" w:cstheme="minorHAnsi"/>
          <w:bCs/>
        </w:rPr>
        <w:t xml:space="preserve"> bring claims to court. As court proceedings are costly</w:t>
      </w:r>
      <w:r>
        <w:rPr>
          <w:rFonts w:asciiTheme="minorHAnsi" w:hAnsiTheme="minorHAnsi" w:cstheme="minorHAnsi"/>
          <w:bCs/>
        </w:rPr>
        <w:t>,</w:t>
      </w:r>
      <w:r w:rsidRPr="00D90B39">
        <w:rPr>
          <w:rFonts w:asciiTheme="minorHAnsi" w:hAnsiTheme="minorHAnsi" w:cstheme="minorHAnsi"/>
          <w:bCs/>
        </w:rPr>
        <w:t xml:space="preserve"> and </w:t>
      </w:r>
      <w:r>
        <w:rPr>
          <w:rFonts w:asciiTheme="minorHAnsi" w:hAnsiTheme="minorHAnsi" w:cstheme="minorHAnsi"/>
          <w:bCs/>
        </w:rPr>
        <w:t xml:space="preserve">the level of </w:t>
      </w:r>
      <w:r w:rsidRPr="00D90B39">
        <w:rPr>
          <w:rFonts w:asciiTheme="minorHAnsi" w:hAnsiTheme="minorHAnsi" w:cstheme="minorHAnsi"/>
          <w:bCs/>
        </w:rPr>
        <w:t>compensation a</w:t>
      </w:r>
      <w:r>
        <w:rPr>
          <w:rFonts w:asciiTheme="minorHAnsi" w:hAnsiTheme="minorHAnsi" w:cstheme="minorHAnsi"/>
          <w:bCs/>
        </w:rPr>
        <w:t>warded</w:t>
      </w:r>
      <w:r w:rsidRPr="00D90B39">
        <w:rPr>
          <w:rFonts w:asciiTheme="minorHAnsi" w:hAnsiTheme="minorHAnsi" w:cstheme="minorHAnsi"/>
          <w:bCs/>
        </w:rPr>
        <w:t xml:space="preserve"> ha</w:t>
      </w:r>
      <w:r>
        <w:rPr>
          <w:rFonts w:asciiTheme="minorHAnsi" w:hAnsiTheme="minorHAnsi" w:cstheme="minorHAnsi"/>
          <w:bCs/>
        </w:rPr>
        <w:t>s</w:t>
      </w:r>
      <w:r w:rsidRPr="00D90B39">
        <w:rPr>
          <w:rFonts w:asciiTheme="minorHAnsi" w:hAnsiTheme="minorHAnsi" w:cstheme="minorHAnsi"/>
          <w:bCs/>
        </w:rPr>
        <w:t xml:space="preserve"> been low, </w:t>
      </w:r>
      <w:r>
        <w:rPr>
          <w:rFonts w:asciiTheme="minorHAnsi" w:hAnsiTheme="minorHAnsi" w:cstheme="minorHAnsi"/>
          <w:bCs/>
        </w:rPr>
        <w:t>the</w:t>
      </w:r>
      <w:r w:rsidRPr="00D90B39">
        <w:rPr>
          <w:rFonts w:asciiTheme="minorHAnsi" w:hAnsiTheme="minorHAnsi" w:cstheme="minorHAnsi"/>
          <w:bCs/>
        </w:rPr>
        <w:t xml:space="preserve"> field of anti-discrimination </w:t>
      </w:r>
      <w:r>
        <w:rPr>
          <w:rFonts w:asciiTheme="minorHAnsi" w:hAnsiTheme="minorHAnsi" w:cstheme="minorHAnsi"/>
          <w:bCs/>
        </w:rPr>
        <w:t xml:space="preserve">is </w:t>
      </w:r>
      <w:r w:rsidRPr="00D90B39">
        <w:rPr>
          <w:rFonts w:asciiTheme="minorHAnsi" w:hAnsiTheme="minorHAnsi" w:cstheme="minorHAnsi"/>
          <w:bCs/>
        </w:rPr>
        <w:t>unattractive for lawyers</w:t>
      </w:r>
      <w:r>
        <w:rPr>
          <w:rFonts w:asciiTheme="minorHAnsi" w:hAnsiTheme="minorHAnsi" w:cstheme="minorHAnsi"/>
          <w:bCs/>
        </w:rPr>
        <w:t xml:space="preserve"> which</w:t>
      </w:r>
      <w:r w:rsidRPr="00D90B39">
        <w:rPr>
          <w:rFonts w:asciiTheme="minorHAnsi" w:hAnsiTheme="minorHAnsi" w:cstheme="minorHAnsi"/>
          <w:bCs/>
        </w:rPr>
        <w:t xml:space="preserve"> raises the threshold for those affected, </w:t>
      </w:r>
      <w:r>
        <w:rPr>
          <w:rFonts w:asciiTheme="minorHAnsi" w:hAnsiTheme="minorHAnsi" w:cstheme="minorHAnsi"/>
          <w:bCs/>
        </w:rPr>
        <w:t>in addition to</w:t>
      </w:r>
      <w:r w:rsidRPr="00D90B39">
        <w:rPr>
          <w:rFonts w:asciiTheme="minorHAnsi" w:hAnsiTheme="minorHAnsi" w:cstheme="minorHAnsi"/>
          <w:bCs/>
        </w:rPr>
        <w:t xml:space="preserve"> the emotional burden and the long duration of </w:t>
      </w:r>
      <w:r w:rsidRPr="00373019">
        <w:rPr>
          <w:rFonts w:asciiTheme="minorHAnsi" w:hAnsiTheme="minorHAnsi" w:cstheme="minorHAnsi"/>
          <w:bCs/>
        </w:rPr>
        <w:t>litigations.</w:t>
      </w:r>
      <w:r w:rsidRPr="00373019">
        <w:rPr>
          <w:rStyle w:val="FootnoteReference"/>
          <w:rFonts w:asciiTheme="minorHAnsi" w:hAnsiTheme="minorHAnsi" w:cstheme="minorHAnsi"/>
          <w:bCs/>
        </w:rPr>
        <w:footnoteReference w:id="55"/>
      </w:r>
    </w:p>
    <w:p w14:paraId="02EBBAF7" w14:textId="77777777" w:rsidR="004A5AEE" w:rsidRPr="00D90B39" w:rsidRDefault="004A5AEE" w:rsidP="004A5AEE">
      <w:pPr>
        <w:pStyle w:val="ListParagraph"/>
        <w:tabs>
          <w:tab w:val="clear" w:pos="567"/>
        </w:tabs>
        <w:rPr>
          <w:rFonts w:asciiTheme="minorHAnsi" w:hAnsiTheme="minorHAnsi" w:cstheme="minorHAnsi"/>
        </w:rPr>
      </w:pPr>
      <w:r w:rsidRPr="00373019">
        <w:t>As the L</w:t>
      </w:r>
      <w:r w:rsidRPr="00373019">
        <w:rPr>
          <w:rFonts w:cs="Calibri"/>
        </w:rPr>
        <w:t>ä</w:t>
      </w:r>
      <w:r w:rsidRPr="00373019">
        <w:t xml:space="preserve">nder hold competence in </w:t>
      </w:r>
      <w:r>
        <w:t>impo</w:t>
      </w:r>
      <w:r w:rsidRPr="00773CE9">
        <w:t xml:space="preserve">rtant </w:t>
      </w:r>
      <w:r>
        <w:t xml:space="preserve">sectors, such as </w:t>
      </w:r>
      <w:r w:rsidRPr="00773CE9">
        <w:t>education and policing</w:t>
      </w:r>
      <w:r>
        <w:t>, the AGG, as federal law, should be complemented by anti-discrimination laws at L</w:t>
      </w:r>
      <w:r w:rsidRPr="00D90B39">
        <w:rPr>
          <w:rFonts w:cs="Calibri"/>
        </w:rPr>
        <w:t>ä</w:t>
      </w:r>
      <w:r>
        <w:t>nder level.</w:t>
      </w:r>
      <w:r w:rsidRPr="00773CE9">
        <w:t xml:space="preserve"> Most </w:t>
      </w:r>
      <w:r>
        <w:t xml:space="preserve">laws concerning education and schools </w:t>
      </w:r>
      <w:r w:rsidRPr="00773CE9">
        <w:t>have no anti-discrimination provisions</w:t>
      </w:r>
      <w:r>
        <w:t>,</w:t>
      </w:r>
      <w:r w:rsidRPr="00773CE9">
        <w:t xml:space="preserve"> while </w:t>
      </w:r>
      <w:r>
        <w:t xml:space="preserve">research has </w:t>
      </w:r>
      <w:r w:rsidRPr="00773CE9">
        <w:t>revealed a particularly high number of in</w:t>
      </w:r>
      <w:r>
        <w:t xml:space="preserve">cidents of discrimination </w:t>
      </w:r>
      <w:r w:rsidRPr="00773CE9">
        <w:t>in the education field, directed especially against Muslim students.</w:t>
      </w:r>
      <w:r>
        <w:rPr>
          <w:rStyle w:val="FootnoteReference"/>
        </w:rPr>
        <w:footnoteReference w:id="56"/>
      </w:r>
      <w:r w:rsidRPr="00773CE9">
        <w:t xml:space="preserve"> </w:t>
      </w:r>
      <w:r>
        <w:t xml:space="preserve">Thus far, however, </w:t>
      </w:r>
      <w:r w:rsidRPr="00773CE9">
        <w:t>Berlin is the only Land that has adopted comprehensive anti-discrimination legislation, covering public authorities as well as the private sector</w:t>
      </w:r>
      <w:r>
        <w:t>.</w:t>
      </w:r>
      <w:r>
        <w:rPr>
          <w:rStyle w:val="FootnoteReference"/>
        </w:rPr>
        <w:footnoteReference w:id="57"/>
      </w:r>
      <w:r>
        <w:t xml:space="preserve"> </w:t>
      </w:r>
    </w:p>
    <w:p w14:paraId="28704DC7" w14:textId="77777777" w:rsidR="004A5AEE" w:rsidRPr="00D90B39" w:rsidRDefault="004A5AEE" w:rsidP="004A5AEE">
      <w:pPr>
        <w:pStyle w:val="ListParagraph"/>
        <w:tabs>
          <w:tab w:val="clear" w:pos="567"/>
        </w:tabs>
        <w:rPr>
          <w:rFonts w:asciiTheme="minorHAnsi" w:hAnsiTheme="minorHAnsi" w:cstheme="minorHAnsi"/>
        </w:rPr>
      </w:pPr>
      <w:r>
        <w:t>The Commissioner welcomes the federal government’s commitment in the coalition agreement to “</w:t>
      </w:r>
      <w:r w:rsidRPr="00806F92">
        <w:t>evaluate</w:t>
      </w:r>
      <w:r>
        <w:t xml:space="preserve"> the AGG</w:t>
      </w:r>
      <w:r w:rsidRPr="00806F92">
        <w:t xml:space="preserve">, close protection gaps, improve legal protection and extend </w:t>
      </w:r>
      <w:r>
        <w:t>its</w:t>
      </w:r>
      <w:r w:rsidRPr="00806F92">
        <w:t xml:space="preserve"> scope of application</w:t>
      </w:r>
      <w:r>
        <w:t>” and notes the unanimous appeals by civil society, independent experts and international monitoring bodies for a substantive reform of the law.</w:t>
      </w:r>
      <w:r>
        <w:rPr>
          <w:rStyle w:val="FootnoteReference"/>
        </w:rPr>
        <w:footnoteReference w:id="58"/>
      </w:r>
      <w:r>
        <w:t xml:space="preserve"> However, progress on this commitment has been lagging and, according to her interlocutors, the AGG is not expected to undergo reform during this legislative period. Despite the well</w:t>
      </w:r>
      <w:r w:rsidRPr="00D90B39">
        <w:rPr>
          <w:rFonts w:asciiTheme="minorHAnsi" w:hAnsiTheme="minorHAnsi" w:cstheme="minorHAnsi"/>
          <w:bCs/>
        </w:rPr>
        <w:t xml:space="preserve">-known shortcomings of the AGG, the </w:t>
      </w:r>
      <w:r>
        <w:rPr>
          <w:rFonts w:asciiTheme="minorHAnsi" w:hAnsiTheme="minorHAnsi" w:cstheme="minorHAnsi"/>
          <w:bCs/>
        </w:rPr>
        <w:t xml:space="preserve">Ministry of Justice </w:t>
      </w:r>
      <w:r w:rsidRPr="00D90B39">
        <w:rPr>
          <w:rFonts w:asciiTheme="minorHAnsi" w:hAnsiTheme="minorHAnsi" w:cstheme="minorHAnsi"/>
          <w:bCs/>
        </w:rPr>
        <w:t>has not yet initiated the evaluation and amendment process</w:t>
      </w:r>
      <w:r>
        <w:rPr>
          <w:rFonts w:asciiTheme="minorHAnsi" w:hAnsiTheme="minorHAnsi" w:cstheme="minorHAnsi"/>
          <w:bCs/>
        </w:rPr>
        <w:t>es</w:t>
      </w:r>
      <w:r w:rsidRPr="00D678F0">
        <w:rPr>
          <w:rFonts w:asciiTheme="minorHAnsi" w:hAnsiTheme="minorHAnsi" w:cstheme="minorHAnsi"/>
          <w:bCs/>
        </w:rPr>
        <w:t xml:space="preserve">. </w:t>
      </w:r>
    </w:p>
    <w:p w14:paraId="7764A009" w14:textId="77777777" w:rsidR="004A5AEE" w:rsidRPr="001F7107" w:rsidRDefault="004A5AEE" w:rsidP="004A5AEE">
      <w:pPr>
        <w:pStyle w:val="ListParagraph"/>
        <w:tabs>
          <w:tab w:val="clear" w:pos="567"/>
        </w:tabs>
        <w:rPr>
          <w:rFonts w:asciiTheme="minorHAnsi" w:hAnsiTheme="minorHAnsi" w:cstheme="minorHAnsi"/>
        </w:rPr>
      </w:pPr>
      <w:r w:rsidRPr="00773CE9">
        <w:t xml:space="preserve">Germany ratified the </w:t>
      </w:r>
      <w:r w:rsidRPr="001F7107">
        <w:rPr>
          <w:rFonts w:asciiTheme="minorHAnsi" w:hAnsiTheme="minorHAnsi" w:cstheme="minorHAnsi"/>
          <w:bCs/>
        </w:rPr>
        <w:t>UN Convention on the Elimination of all Forms of Racial Discrimination</w:t>
      </w:r>
      <w:r w:rsidRPr="00773CE9">
        <w:t xml:space="preserve"> (CERD) in 1973 and </w:t>
      </w:r>
      <w:r>
        <w:t xml:space="preserve">has recently undergone an </w:t>
      </w:r>
      <w:r w:rsidRPr="00773CE9">
        <w:t xml:space="preserve">evaluation </w:t>
      </w:r>
      <w:r>
        <w:t>on its combined 23</w:t>
      </w:r>
      <w:r w:rsidRPr="001F7107">
        <w:rPr>
          <w:vertAlign w:val="superscript"/>
        </w:rPr>
        <w:t>rd</w:t>
      </w:r>
      <w:r>
        <w:t xml:space="preserve"> to 26</w:t>
      </w:r>
      <w:r w:rsidRPr="001F7107">
        <w:rPr>
          <w:vertAlign w:val="superscript"/>
        </w:rPr>
        <w:t>th</w:t>
      </w:r>
      <w:r>
        <w:t xml:space="preserve"> report to the CERD Committee. The </w:t>
      </w:r>
      <w:r w:rsidRPr="001F7107">
        <w:t>Commissioner</w:t>
      </w:r>
      <w:r>
        <w:t xml:space="preserve"> notes that the lack of disaggregated data in Germany has again </w:t>
      </w:r>
      <w:r>
        <w:lastRenderedPageBreak/>
        <w:t xml:space="preserve">been raised by the Committee as an impediment to the formulation of </w:t>
      </w:r>
      <w:r w:rsidRPr="00173C8E">
        <w:t xml:space="preserve">effective public policies </w:t>
      </w:r>
      <w:r>
        <w:t xml:space="preserve">against </w:t>
      </w:r>
      <w:r w:rsidRPr="00173C8E">
        <w:t>racial discrimination and inequalities in the enjoyment of rights</w:t>
      </w:r>
      <w:r>
        <w:t>.</w:t>
      </w:r>
      <w:r>
        <w:rPr>
          <w:rStyle w:val="FootnoteReference"/>
        </w:rPr>
        <w:footnoteReference w:id="59"/>
      </w:r>
      <w:r w:rsidRPr="00173C8E">
        <w:t xml:space="preserve"> </w:t>
      </w:r>
    </w:p>
    <w:p w14:paraId="6A5C7AD1" w14:textId="77777777" w:rsidR="004A5AEE" w:rsidRPr="00792829" w:rsidRDefault="004A5AEE" w:rsidP="004A5AEE">
      <w:pPr>
        <w:pStyle w:val="ListParagraph"/>
        <w:tabs>
          <w:tab w:val="clear" w:pos="567"/>
        </w:tabs>
        <w:rPr>
          <w:rFonts w:asciiTheme="minorHAnsi" w:hAnsiTheme="minorHAnsi" w:cstheme="minorHAnsi"/>
        </w:rPr>
      </w:pPr>
      <w:bookmarkStart w:id="60" w:name="_Hlk155957276"/>
      <w:r>
        <w:t xml:space="preserve">The Commissioner is concerned about persistent reports </w:t>
      </w:r>
      <w:r w:rsidRPr="00773CE9">
        <w:t xml:space="preserve">of racial profiling </w:t>
      </w:r>
      <w:r>
        <w:t xml:space="preserve">carried out </w:t>
      </w:r>
      <w:r w:rsidRPr="00773CE9">
        <w:t xml:space="preserve">by the federal police </w:t>
      </w:r>
      <w:r>
        <w:t>and</w:t>
      </w:r>
      <w:r w:rsidRPr="00773CE9">
        <w:t xml:space="preserve"> </w:t>
      </w:r>
      <w:r>
        <w:t>at L</w:t>
      </w:r>
      <w:r>
        <w:rPr>
          <w:rFonts w:cs="Calibri"/>
        </w:rPr>
        <w:t>ä</w:t>
      </w:r>
      <w:r>
        <w:t>nder</w:t>
      </w:r>
      <w:r w:rsidRPr="00773CE9">
        <w:t xml:space="preserve"> level</w:t>
      </w:r>
      <w:r>
        <w:t xml:space="preserve">, which, </w:t>
      </w:r>
      <w:r w:rsidRPr="00773CE9">
        <w:t>as a form of racial discrimination by state actors</w:t>
      </w:r>
      <w:r>
        <w:t>,</w:t>
      </w:r>
      <w:r w:rsidRPr="00773CE9">
        <w:t xml:space="preserve"> </w:t>
      </w:r>
      <w:r>
        <w:t>cannot</w:t>
      </w:r>
      <w:r w:rsidRPr="00773CE9">
        <w:t xml:space="preserve"> be effectively litigated in civil and administrative law</w:t>
      </w:r>
      <w:r>
        <w:t>.</w:t>
      </w:r>
      <w:r w:rsidRPr="00773CE9">
        <w:rPr>
          <w:rStyle w:val="FootnoteReference"/>
          <w:rFonts w:asciiTheme="minorHAnsi" w:hAnsiTheme="minorHAnsi" w:cstheme="minorHAnsi"/>
          <w:bCs/>
        </w:rPr>
        <w:footnoteReference w:id="60"/>
      </w:r>
      <w:r>
        <w:t xml:space="preserve"> She notes the low level of rights awareness with respect to racial discrimination in Germany and the lack of progress in implementing international standards. As access to justice remains limited, especially for those groups who are most exposed to discrimination, many violations appear to persist over years until they are eventually corrected by the courts and then, with even further delay, are translated into relevant policy changes</w:t>
      </w:r>
      <w:bookmarkEnd w:id="60"/>
      <w:r>
        <w:t xml:space="preserve">. </w:t>
      </w:r>
      <w:r w:rsidRPr="002A277B">
        <w:t xml:space="preserve">She notes in this context </w:t>
      </w:r>
      <w:r>
        <w:t xml:space="preserve">calls by the CERD Committee for the German authorities to </w:t>
      </w:r>
      <w:r w:rsidRPr="002A277B">
        <w:t>raise awareness and knowledge of the provisions of the C</w:t>
      </w:r>
      <w:r>
        <w:t>ERD</w:t>
      </w:r>
      <w:r w:rsidRPr="002A277B">
        <w:t xml:space="preserve"> and its justiciability among judges, </w:t>
      </w:r>
      <w:proofErr w:type="gramStart"/>
      <w:r w:rsidRPr="002A277B">
        <w:t>lawyers</w:t>
      </w:r>
      <w:proofErr w:type="gramEnd"/>
      <w:r w:rsidRPr="002A277B">
        <w:t xml:space="preserve"> and public officials to ensure that </w:t>
      </w:r>
      <w:r>
        <w:t>it is</w:t>
      </w:r>
      <w:r w:rsidRPr="002A277B">
        <w:t xml:space="preserve"> applied in relevant cases, and to extend these efforts to members of parliament, the </w:t>
      </w:r>
      <w:r>
        <w:t>L</w:t>
      </w:r>
      <w:r>
        <w:rPr>
          <w:rFonts w:cs="Calibri"/>
        </w:rPr>
        <w:t>ä</w:t>
      </w:r>
      <w:r>
        <w:t xml:space="preserve">nder </w:t>
      </w:r>
      <w:r w:rsidRPr="002A277B">
        <w:t>authorities and the general public</w:t>
      </w:r>
      <w:r w:rsidRPr="00DA4818">
        <w:rPr>
          <w:lang w:val="en-US"/>
        </w:rPr>
        <w:t>.</w:t>
      </w:r>
    </w:p>
    <w:p w14:paraId="78E0A65F" w14:textId="77777777" w:rsidR="004A5AEE" w:rsidRPr="00773CE9" w:rsidRDefault="004A5AEE" w:rsidP="00AF1A4D">
      <w:pPr>
        <w:pStyle w:val="Heading3"/>
        <w:numPr>
          <w:ilvl w:val="2"/>
          <w:numId w:val="24"/>
        </w:numPr>
        <w:tabs>
          <w:tab w:val="num" w:pos="765"/>
        </w:tabs>
        <w:ind w:left="794" w:hanging="936"/>
        <w:rPr>
          <w:lang w:val="en-GB"/>
        </w:rPr>
      </w:pPr>
      <w:bookmarkStart w:id="61" w:name="_Toc152669927"/>
      <w:bookmarkStart w:id="62" w:name="_Toc152669958"/>
      <w:bookmarkStart w:id="63" w:name="_Toc158636900"/>
      <w:bookmarkStart w:id="64" w:name="_Toc159582671"/>
      <w:r w:rsidRPr="00AF1A4D">
        <w:rPr>
          <w:rFonts w:eastAsiaTheme="minorEastAsia"/>
          <w:lang w:val="en-GB"/>
        </w:rPr>
        <w:t>The institutional framework for the protection against</w:t>
      </w:r>
      <w:r w:rsidR="00AF1A4D">
        <w:rPr>
          <w:lang w:val="en-GB"/>
        </w:rPr>
        <w:t xml:space="preserve"> </w:t>
      </w:r>
      <w:r w:rsidRPr="00773CE9">
        <w:rPr>
          <w:lang w:val="en-GB"/>
        </w:rPr>
        <w:t>discrimination</w:t>
      </w:r>
      <w:bookmarkEnd w:id="61"/>
      <w:bookmarkEnd w:id="62"/>
      <w:bookmarkEnd w:id="63"/>
      <w:bookmarkEnd w:id="64"/>
    </w:p>
    <w:p w14:paraId="5D5B93C7" w14:textId="77777777" w:rsidR="004A5AEE" w:rsidRDefault="004A5AEE" w:rsidP="004A5AEE">
      <w:pPr>
        <w:pStyle w:val="ListParagraph"/>
        <w:tabs>
          <w:tab w:val="clear" w:pos="567"/>
        </w:tabs>
      </w:pPr>
      <w:r>
        <w:rPr>
          <w:rFonts w:cs="Calibri"/>
        </w:rPr>
        <w:t>The FADA, which was set up at the federal level as the implementing structure under the AGG in 2006, is</w:t>
      </w:r>
      <w:r w:rsidRPr="00773CE9">
        <w:t xml:space="preserve"> mandated to carry out awareness-raising work, take measures to prevent discrimination on any of the grounds covered </w:t>
      </w:r>
      <w:r>
        <w:t>by</w:t>
      </w:r>
      <w:r w:rsidRPr="00773CE9">
        <w:t xml:space="preserve"> the AGG</w:t>
      </w:r>
      <w:r>
        <w:t>,</w:t>
      </w:r>
      <w:r w:rsidRPr="00773CE9">
        <w:t xml:space="preserve"> and conduct academic research. In addition, it </w:t>
      </w:r>
      <w:r>
        <w:t xml:space="preserve">can </w:t>
      </w:r>
      <w:r w:rsidRPr="00773CE9">
        <w:t xml:space="preserve">receive individual complaints and </w:t>
      </w:r>
      <w:r>
        <w:t>provide</w:t>
      </w:r>
      <w:r w:rsidRPr="00773CE9">
        <w:t xml:space="preserve"> independent assistance, information, and referrals</w:t>
      </w:r>
      <w:r>
        <w:t xml:space="preserve">, but does not have the power to </w:t>
      </w:r>
      <w:r w:rsidRPr="00F56C31">
        <w:t>open investigations or bring legal cases</w:t>
      </w:r>
      <w:r>
        <w:t>, nor can it effectively support victims of discrimination in their proceedings (see above)</w:t>
      </w:r>
      <w:r w:rsidRPr="00773CE9">
        <w:t>. According to</w:t>
      </w:r>
      <w:r>
        <w:t xml:space="preserve"> the European Commission against Racism and Intolerance</w:t>
      </w:r>
      <w:r w:rsidRPr="00773CE9">
        <w:t xml:space="preserve"> </w:t>
      </w:r>
      <w:r>
        <w:t>(</w:t>
      </w:r>
      <w:r w:rsidRPr="00773CE9">
        <w:t>ECRI</w:t>
      </w:r>
      <w:r>
        <w:t>)</w:t>
      </w:r>
      <w:r w:rsidRPr="00773CE9">
        <w:t xml:space="preserve">, </w:t>
      </w:r>
      <w:r>
        <w:t xml:space="preserve">the FADA </w:t>
      </w:r>
      <w:r w:rsidRPr="00773CE9">
        <w:t xml:space="preserve">would require a stronger mandate and more resources to carry out all the functions and responsibilities provided in ECRI’s </w:t>
      </w:r>
      <w:r>
        <w:t xml:space="preserve">revised </w:t>
      </w:r>
      <w:r w:rsidRPr="00773CE9">
        <w:t>General Policy Recommendation No</w:t>
      </w:r>
      <w:r>
        <w:t>.</w:t>
      </w:r>
      <w:r w:rsidRPr="00773CE9">
        <w:t xml:space="preserve"> 2</w:t>
      </w:r>
      <w:r>
        <w:t xml:space="preserve"> on Equality Bodies to combat racism and intolerance at national level and </w:t>
      </w:r>
      <w:r w:rsidRPr="00773CE9">
        <w:t>the relevant EU Equality Directives.</w:t>
      </w:r>
      <w:r>
        <w:rPr>
          <w:rStyle w:val="FootnoteReference"/>
        </w:rPr>
        <w:footnoteReference w:id="61"/>
      </w:r>
      <w:r>
        <w:t xml:space="preserve"> </w:t>
      </w:r>
    </w:p>
    <w:p w14:paraId="1D413082" w14:textId="77777777" w:rsidR="004A5AEE" w:rsidRDefault="004A5AEE" w:rsidP="004A5AEE">
      <w:pPr>
        <w:pStyle w:val="ListParagraph"/>
        <w:tabs>
          <w:tab w:val="clear" w:pos="567"/>
        </w:tabs>
      </w:pPr>
      <w:r>
        <w:t>The FADA is headed by the Federal Anti-Discrimination Commissioner who, until 2022, was appointed by</w:t>
      </w:r>
      <w:r w:rsidRPr="00773CE9">
        <w:t xml:space="preserve"> the</w:t>
      </w:r>
      <w:r>
        <w:t xml:space="preserve"> BMFSFJ up</w:t>
      </w:r>
      <w:r w:rsidRPr="00773CE9">
        <w:t xml:space="preserve">on </w:t>
      </w:r>
      <w:r>
        <w:t>a</w:t>
      </w:r>
      <w:r w:rsidRPr="00773CE9">
        <w:t xml:space="preserve"> proposal </w:t>
      </w:r>
      <w:r>
        <w:t>by</w:t>
      </w:r>
      <w:r w:rsidRPr="00773CE9">
        <w:t xml:space="preserve"> the </w:t>
      </w:r>
      <w:r>
        <w:t>f</w:t>
      </w:r>
      <w:r w:rsidRPr="00773CE9">
        <w:t xml:space="preserve">ederal </w:t>
      </w:r>
      <w:proofErr w:type="gramStart"/>
      <w:r>
        <w:t>g</w:t>
      </w:r>
      <w:r w:rsidRPr="00773CE9">
        <w:t>overnment</w:t>
      </w:r>
      <w:r>
        <w:t>,</w:t>
      </w:r>
      <w:r w:rsidRPr="00773CE9">
        <w:t xml:space="preserve"> and</w:t>
      </w:r>
      <w:proofErr w:type="gramEnd"/>
      <w:r w:rsidRPr="00773CE9">
        <w:t xml:space="preserve"> was thus not considered fully independent</w:t>
      </w:r>
      <w:r>
        <w:t>. The Commissioner welcomes the amendment</w:t>
      </w:r>
      <w:r w:rsidRPr="00747A84">
        <w:t xml:space="preserve"> </w:t>
      </w:r>
      <w:r>
        <w:t xml:space="preserve">of </w:t>
      </w:r>
      <w:r w:rsidRPr="00773CE9">
        <w:t>the</w:t>
      </w:r>
      <w:r>
        <w:t xml:space="preserve"> AGG </w:t>
      </w:r>
      <w:r w:rsidRPr="00773CE9">
        <w:t xml:space="preserve">in April 2022 to strengthen the independence of the Federal Commissioner, providing for the head of </w:t>
      </w:r>
      <w:r>
        <w:t>FADA t</w:t>
      </w:r>
      <w:r w:rsidRPr="00773CE9">
        <w:t>o be elected by the Bundestag for a term of five years (with one possib</w:t>
      </w:r>
      <w:r>
        <w:t>le</w:t>
      </w:r>
      <w:r w:rsidRPr="00773CE9">
        <w:t xml:space="preserve"> re-election)</w:t>
      </w:r>
      <w:r>
        <w:t xml:space="preserve">, and the election in July 2022 of the first Independent Federal Anti-Discrimination Commissioner. She notes with appreciation the considerable work accomplished by the Independent Commissioner to raise awareness of the rising prevalence of discrimination in Germany. </w:t>
      </w:r>
      <w:r w:rsidRPr="00773CE9">
        <w:rPr>
          <w:rFonts w:asciiTheme="minorHAnsi" w:hAnsiTheme="minorHAnsi" w:cstheme="minorHAnsi"/>
          <w:bCs/>
        </w:rPr>
        <w:t xml:space="preserve">According to </w:t>
      </w:r>
      <w:r>
        <w:rPr>
          <w:rFonts w:asciiTheme="minorHAnsi" w:hAnsiTheme="minorHAnsi" w:cstheme="minorHAnsi"/>
          <w:bCs/>
        </w:rPr>
        <w:t>FADA’s last</w:t>
      </w:r>
      <w:r w:rsidRPr="00773CE9">
        <w:rPr>
          <w:rFonts w:asciiTheme="minorHAnsi" w:hAnsiTheme="minorHAnsi" w:cstheme="minorHAnsi"/>
          <w:bCs/>
        </w:rPr>
        <w:t xml:space="preserve"> </w:t>
      </w:r>
      <w:r>
        <w:rPr>
          <w:rFonts w:asciiTheme="minorHAnsi" w:hAnsiTheme="minorHAnsi" w:cstheme="minorHAnsi"/>
          <w:bCs/>
        </w:rPr>
        <w:t xml:space="preserve">Annual Report, </w:t>
      </w:r>
      <w:r w:rsidRPr="00773CE9">
        <w:rPr>
          <w:rFonts w:asciiTheme="minorHAnsi" w:hAnsiTheme="minorHAnsi" w:cstheme="minorHAnsi"/>
          <w:bCs/>
        </w:rPr>
        <w:t>there were 8</w:t>
      </w:r>
      <w:r>
        <w:rPr>
          <w:rFonts w:asciiTheme="minorHAnsi" w:hAnsiTheme="minorHAnsi" w:cstheme="minorHAnsi"/>
          <w:bCs/>
        </w:rPr>
        <w:t>,</w:t>
      </w:r>
      <w:r w:rsidRPr="00773CE9">
        <w:rPr>
          <w:rFonts w:asciiTheme="minorHAnsi" w:hAnsiTheme="minorHAnsi" w:cstheme="minorHAnsi"/>
          <w:bCs/>
        </w:rPr>
        <w:t xml:space="preserve">827 submissions in 2022, </w:t>
      </w:r>
      <w:r>
        <w:rPr>
          <w:rFonts w:asciiTheme="minorHAnsi" w:hAnsiTheme="minorHAnsi" w:cstheme="minorHAnsi"/>
          <w:bCs/>
        </w:rPr>
        <w:t>the highest ever number</w:t>
      </w:r>
      <w:r w:rsidRPr="00773CE9">
        <w:rPr>
          <w:rFonts w:asciiTheme="minorHAnsi" w:hAnsiTheme="minorHAnsi" w:cstheme="minorHAnsi"/>
          <w:bCs/>
        </w:rPr>
        <w:t xml:space="preserve"> and more than double </w:t>
      </w:r>
      <w:r>
        <w:rPr>
          <w:rFonts w:asciiTheme="minorHAnsi" w:hAnsiTheme="minorHAnsi" w:cstheme="minorHAnsi"/>
          <w:bCs/>
        </w:rPr>
        <w:t>the number received</w:t>
      </w:r>
      <w:r w:rsidRPr="00773CE9">
        <w:rPr>
          <w:rFonts w:asciiTheme="minorHAnsi" w:hAnsiTheme="minorHAnsi" w:cstheme="minorHAnsi"/>
          <w:bCs/>
        </w:rPr>
        <w:t xml:space="preserve"> in 2019. </w:t>
      </w:r>
      <w:bookmarkStart w:id="65" w:name="_Hlk151030753"/>
      <w:r w:rsidRPr="00773CE9">
        <w:rPr>
          <w:rFonts w:asciiTheme="minorHAnsi" w:hAnsiTheme="minorHAnsi" w:cstheme="minorHAnsi"/>
          <w:bCs/>
        </w:rPr>
        <w:t xml:space="preserve">Submissions most often concerned racial discrimination (43%), </w:t>
      </w:r>
      <w:r>
        <w:rPr>
          <w:rFonts w:asciiTheme="minorHAnsi" w:hAnsiTheme="minorHAnsi" w:cstheme="minorHAnsi"/>
          <w:bCs/>
        </w:rPr>
        <w:t>disability (</w:t>
      </w:r>
      <w:r w:rsidRPr="00773CE9">
        <w:rPr>
          <w:rFonts w:asciiTheme="minorHAnsi" w:hAnsiTheme="minorHAnsi" w:cstheme="minorHAnsi"/>
          <w:bCs/>
        </w:rPr>
        <w:t>27%</w:t>
      </w:r>
      <w:r>
        <w:rPr>
          <w:rFonts w:asciiTheme="minorHAnsi" w:hAnsiTheme="minorHAnsi" w:cstheme="minorHAnsi"/>
          <w:bCs/>
        </w:rPr>
        <w:t xml:space="preserve">) and </w:t>
      </w:r>
      <w:r w:rsidRPr="00773CE9">
        <w:rPr>
          <w:rFonts w:asciiTheme="minorHAnsi" w:hAnsiTheme="minorHAnsi" w:cstheme="minorHAnsi"/>
          <w:bCs/>
        </w:rPr>
        <w:t>gender discrimination</w:t>
      </w:r>
      <w:bookmarkEnd w:id="65"/>
      <w:r>
        <w:rPr>
          <w:rFonts w:asciiTheme="minorHAnsi" w:hAnsiTheme="minorHAnsi" w:cstheme="minorHAnsi"/>
          <w:bCs/>
        </w:rPr>
        <w:t xml:space="preserve"> (21%)</w:t>
      </w:r>
      <w:r w:rsidRPr="00773CE9">
        <w:rPr>
          <w:rFonts w:asciiTheme="minorHAnsi" w:hAnsiTheme="minorHAnsi" w:cstheme="minorHAnsi"/>
          <w:bCs/>
        </w:rPr>
        <w:t>.</w:t>
      </w:r>
      <w:r w:rsidRPr="00773CE9">
        <w:rPr>
          <w:rStyle w:val="FootnoteReference"/>
          <w:rFonts w:asciiTheme="minorHAnsi" w:hAnsiTheme="minorHAnsi" w:cstheme="minorHAnsi"/>
          <w:bCs/>
        </w:rPr>
        <w:footnoteReference w:id="62"/>
      </w:r>
      <w:r>
        <w:rPr>
          <w:rFonts w:asciiTheme="minorHAnsi" w:hAnsiTheme="minorHAnsi" w:cstheme="minorHAnsi"/>
          <w:bCs/>
        </w:rPr>
        <w:t xml:space="preserve"> Approximately</w:t>
      </w:r>
      <w:r w:rsidRPr="00773CE9">
        <w:rPr>
          <w:rFonts w:asciiTheme="minorHAnsi" w:hAnsiTheme="minorHAnsi" w:cstheme="minorHAnsi"/>
          <w:bCs/>
        </w:rPr>
        <w:t xml:space="preserve"> 20% of claimants considered themselves </w:t>
      </w:r>
      <w:r>
        <w:rPr>
          <w:rFonts w:asciiTheme="minorHAnsi" w:hAnsiTheme="minorHAnsi" w:cstheme="minorHAnsi"/>
          <w:bCs/>
        </w:rPr>
        <w:t xml:space="preserve">to have been </w:t>
      </w:r>
      <w:r w:rsidRPr="00773CE9">
        <w:rPr>
          <w:rFonts w:asciiTheme="minorHAnsi" w:hAnsiTheme="minorHAnsi" w:cstheme="minorHAnsi"/>
          <w:bCs/>
        </w:rPr>
        <w:t xml:space="preserve">discriminated against by </w:t>
      </w:r>
      <w:r>
        <w:rPr>
          <w:rFonts w:asciiTheme="minorHAnsi" w:hAnsiTheme="minorHAnsi" w:cstheme="minorHAnsi"/>
          <w:bCs/>
        </w:rPr>
        <w:t xml:space="preserve">a </w:t>
      </w:r>
      <w:r w:rsidRPr="00773CE9">
        <w:rPr>
          <w:rFonts w:asciiTheme="minorHAnsi" w:hAnsiTheme="minorHAnsi" w:cstheme="minorHAnsi"/>
          <w:bCs/>
        </w:rPr>
        <w:t>public authorit</w:t>
      </w:r>
      <w:r>
        <w:rPr>
          <w:rFonts w:asciiTheme="minorHAnsi" w:hAnsiTheme="minorHAnsi" w:cstheme="minorHAnsi"/>
          <w:bCs/>
        </w:rPr>
        <w:t xml:space="preserve">y and thus fell </w:t>
      </w:r>
      <w:r w:rsidRPr="00773CE9">
        <w:rPr>
          <w:rFonts w:asciiTheme="minorHAnsi" w:hAnsiTheme="minorHAnsi" w:cstheme="minorHAnsi"/>
          <w:bCs/>
        </w:rPr>
        <w:t xml:space="preserve">outside the scope of the </w:t>
      </w:r>
      <w:r>
        <w:rPr>
          <w:rFonts w:asciiTheme="minorHAnsi" w:hAnsiTheme="minorHAnsi" w:cstheme="minorHAnsi"/>
          <w:bCs/>
        </w:rPr>
        <w:t>AGG</w:t>
      </w:r>
      <w:r w:rsidRPr="00773CE9">
        <w:rPr>
          <w:rFonts w:asciiTheme="minorHAnsi" w:hAnsiTheme="minorHAnsi" w:cstheme="minorHAnsi"/>
          <w:bCs/>
        </w:rPr>
        <w:t xml:space="preserve"> and </w:t>
      </w:r>
      <w:r>
        <w:rPr>
          <w:rFonts w:asciiTheme="minorHAnsi" w:hAnsiTheme="minorHAnsi" w:cstheme="minorHAnsi"/>
          <w:bCs/>
        </w:rPr>
        <w:t xml:space="preserve">FADA’s mandate. </w:t>
      </w:r>
    </w:p>
    <w:p w14:paraId="68EE9E53" w14:textId="77777777" w:rsidR="004A5AEE" w:rsidRPr="005E6A50" w:rsidRDefault="004A5AEE" w:rsidP="004A5AEE">
      <w:pPr>
        <w:pStyle w:val="ListParagraph"/>
        <w:tabs>
          <w:tab w:val="clear" w:pos="567"/>
        </w:tabs>
      </w:pPr>
      <w:r>
        <w:t>The Commissioner notes the concrete proposals put forward by the Independent Commissioner for amending the AGG, i</w:t>
      </w:r>
      <w:r w:rsidRPr="00773CE9">
        <w:t xml:space="preserve">ncluding </w:t>
      </w:r>
      <w:r>
        <w:t xml:space="preserve">the </w:t>
      </w:r>
      <w:r w:rsidRPr="00773CE9">
        <w:t>extension of the discrimination grounds to include soci</w:t>
      </w:r>
      <w:r>
        <w:t>o-economic</w:t>
      </w:r>
      <w:r w:rsidRPr="00773CE9">
        <w:t xml:space="preserve"> background and citizenship</w:t>
      </w:r>
      <w:r>
        <w:t>,</w:t>
      </w:r>
      <w:r w:rsidRPr="00773CE9">
        <w:t xml:space="preserve"> to expand the scope of application to action</w:t>
      </w:r>
      <w:r>
        <w:t>s</w:t>
      </w:r>
      <w:r w:rsidRPr="00773CE9">
        <w:t xml:space="preserve"> taken by the federal government, to remove the privileges under church law</w:t>
      </w:r>
      <w:r>
        <w:t xml:space="preserve"> and</w:t>
      </w:r>
      <w:r w:rsidRPr="00773CE9">
        <w:t xml:space="preserve"> the possibility for all employers to set minimum and maximum age requirements for employees, and</w:t>
      </w:r>
      <w:r>
        <w:t xml:space="preserve"> to adopt legislation </w:t>
      </w:r>
      <w:r>
        <w:lastRenderedPageBreak/>
        <w:t>recognising</w:t>
      </w:r>
      <w:r w:rsidRPr="00773CE9">
        <w:t xml:space="preserve"> the denial of reasonable accommodation</w:t>
      </w:r>
      <w:r>
        <w:t xml:space="preserve"> as discrimination, which would be in line with the caselaw of the European Court of Human Rights</w:t>
      </w:r>
      <w:r w:rsidRPr="00773CE9">
        <w:t>.</w:t>
      </w:r>
      <w:r w:rsidRPr="00773CE9">
        <w:rPr>
          <w:rStyle w:val="FootnoteReference"/>
          <w:rFonts w:asciiTheme="minorHAnsi" w:hAnsiTheme="minorHAnsi" w:cstheme="minorHAnsi"/>
          <w:bCs/>
        </w:rPr>
        <w:footnoteReference w:id="63"/>
      </w:r>
      <w:r w:rsidRPr="00773CE9">
        <w:t xml:space="preserve"> In addition, </w:t>
      </w:r>
      <w:r>
        <w:t xml:space="preserve">the Independent Commissioner has called for an </w:t>
      </w:r>
      <w:r w:rsidRPr="00773CE9">
        <w:t>exten</w:t>
      </w:r>
      <w:r>
        <w:t>sion of t</w:t>
      </w:r>
      <w:r w:rsidRPr="00773CE9">
        <w:t>he deadline for making claims in cases of discrimination from 2 to 12 months</w:t>
      </w:r>
      <w:r>
        <w:t>,</w:t>
      </w:r>
      <w:r w:rsidRPr="00773CE9">
        <w:t xml:space="preserve"> and </w:t>
      </w:r>
      <w:r>
        <w:t xml:space="preserve">for </w:t>
      </w:r>
      <w:r w:rsidRPr="005E6A50">
        <w:t xml:space="preserve">reducing the burden of proof standard to one on the “balance of probabilities”. </w:t>
      </w:r>
    </w:p>
    <w:p w14:paraId="253CD1B6" w14:textId="77777777" w:rsidR="004A5AEE" w:rsidRDefault="004A5AEE" w:rsidP="004A5AEE">
      <w:pPr>
        <w:pStyle w:val="ListParagraph"/>
        <w:tabs>
          <w:tab w:val="clear" w:pos="567"/>
        </w:tabs>
      </w:pPr>
      <w:r>
        <w:t xml:space="preserve">Since the mandate of FADA is limited to matters falling under federal competencies, it is important for the Länder to establish their own anti-discrimination and equality structures. However, only Berlin has established an independent structure with a comprehensive mandate to address all forms of discrimination in the public and private spheres, in line with its anti-discrimination legislation. While some entities have also been set </w:t>
      </w:r>
      <w:r w:rsidRPr="00DB0D54">
        <w:t>up in other L</w:t>
      </w:r>
      <w:r w:rsidRPr="00DB0D54">
        <w:rPr>
          <w:rFonts w:cs="Calibri"/>
        </w:rPr>
        <w:t>ä</w:t>
      </w:r>
      <w:r w:rsidRPr="00DB0D54">
        <w:t xml:space="preserve">nder, they form part of the administration and </w:t>
      </w:r>
      <w:r>
        <w:t>thus can</w:t>
      </w:r>
      <w:r w:rsidRPr="00DB0D54">
        <w:t>not be considered</w:t>
      </w:r>
      <w:r>
        <w:t xml:space="preserve"> independent.</w:t>
      </w:r>
      <w:r>
        <w:rPr>
          <w:rStyle w:val="FootnoteReference"/>
        </w:rPr>
        <w:footnoteReference w:id="64"/>
      </w:r>
      <w:r>
        <w:t xml:space="preserve"> The Commissioner welcomes the establishment of largely independent police complaints mechanisms in four L</w:t>
      </w:r>
      <w:r w:rsidRPr="006B4A98">
        <w:rPr>
          <w:rFonts w:cs="Calibri"/>
        </w:rPr>
        <w:t>ä</w:t>
      </w:r>
      <w:r>
        <w:t>nder (</w:t>
      </w:r>
      <w:r w:rsidRPr="00D90B39">
        <w:rPr>
          <w:lang w:val="en-US"/>
        </w:rPr>
        <w:t xml:space="preserve">Mecklenburg-West Pomerania, </w:t>
      </w:r>
      <w:r>
        <w:rPr>
          <w:lang w:val="en-US"/>
        </w:rPr>
        <w:t>Rhineland</w:t>
      </w:r>
      <w:r>
        <w:t>-Palatinate, S</w:t>
      </w:r>
      <w:r w:rsidRPr="006B4A98">
        <w:t>chleswig-Holstein</w:t>
      </w:r>
      <w:r>
        <w:t xml:space="preserve"> and Thuringia</w:t>
      </w:r>
      <w:r>
        <w:rPr>
          <w:rFonts w:ascii="Arial" w:hAnsi="Arial" w:cs="Arial"/>
          <w:color w:val="202122"/>
          <w:sz w:val="21"/>
          <w:szCs w:val="21"/>
          <w:shd w:val="clear" w:color="auto" w:fill="FFFFFF"/>
        </w:rPr>
        <w:t>)</w:t>
      </w:r>
      <w:r>
        <w:t xml:space="preserve">, in addition to Berlin, where the Land’s anti-discrimination law (LADG) also allows for complaints against police behaviour, including acts of discrimination. However, she regrets </w:t>
      </w:r>
      <w:r w:rsidRPr="00DB0D54">
        <w:t xml:space="preserve">that </w:t>
      </w:r>
      <w:r>
        <w:t>t</w:t>
      </w:r>
      <w:r w:rsidRPr="00DB0D54">
        <w:t>here is still no independent complaint</w:t>
      </w:r>
      <w:r>
        <w:t>s</w:t>
      </w:r>
      <w:r w:rsidRPr="00DB0D54">
        <w:t xml:space="preserve"> mechanism to turn to in case</w:t>
      </w:r>
      <w:r>
        <w:t>s</w:t>
      </w:r>
      <w:r w:rsidRPr="00DB0D54">
        <w:t xml:space="preserve"> of discriminat</w:t>
      </w:r>
      <w:r>
        <w:t>ion by the federal police, despite a re</w:t>
      </w:r>
      <w:r w:rsidRPr="00DB0D54">
        <w:t>commend</w:t>
      </w:r>
      <w:r>
        <w:t>ation</w:t>
      </w:r>
      <w:r w:rsidRPr="00DB0D54">
        <w:t xml:space="preserve"> </w:t>
      </w:r>
      <w:r>
        <w:t xml:space="preserve">to that effect </w:t>
      </w:r>
      <w:r w:rsidRPr="00DB0D54">
        <w:t>by the Commissioner</w:t>
      </w:r>
      <w:r>
        <w:t>’s predecessor</w:t>
      </w:r>
      <w:r w:rsidRPr="00DB0D54">
        <w:t xml:space="preserve"> in 2015</w:t>
      </w:r>
      <w:r>
        <w:t>.</w:t>
      </w:r>
      <w:r w:rsidRPr="00DB0D54">
        <w:rPr>
          <w:rStyle w:val="FootnoteReference"/>
        </w:rPr>
        <w:footnoteReference w:id="65"/>
      </w:r>
      <w:r w:rsidRPr="00DB0D54">
        <w:t xml:space="preserve"> </w:t>
      </w:r>
    </w:p>
    <w:p w14:paraId="2945FAC0" w14:textId="77777777" w:rsidR="004A5AEE" w:rsidRPr="00930578" w:rsidRDefault="004A5AEE" w:rsidP="004A5AEE">
      <w:pPr>
        <w:pStyle w:val="ListParagraph"/>
        <w:tabs>
          <w:tab w:val="clear" w:pos="567"/>
        </w:tabs>
      </w:pPr>
      <w:r>
        <w:rPr>
          <w:rFonts w:asciiTheme="minorHAnsi" w:hAnsiTheme="minorHAnsi" w:cstheme="minorHAnsi"/>
          <w:bCs/>
        </w:rPr>
        <w:t>P</w:t>
      </w:r>
      <w:r w:rsidRPr="00D90B39">
        <w:rPr>
          <w:rFonts w:asciiTheme="minorHAnsi" w:hAnsiTheme="minorHAnsi" w:cstheme="minorHAnsi"/>
          <w:bCs/>
        </w:rPr>
        <w:t>ublic awareness of the many facets of discrimination, including their intersectional manifestations, remains low</w:t>
      </w:r>
      <w:r>
        <w:rPr>
          <w:rFonts w:asciiTheme="minorHAnsi" w:hAnsiTheme="minorHAnsi" w:cstheme="minorHAnsi"/>
          <w:bCs/>
        </w:rPr>
        <w:t xml:space="preserve"> in Germany,</w:t>
      </w:r>
      <w:r w:rsidRPr="00D90B39">
        <w:rPr>
          <w:rFonts w:asciiTheme="minorHAnsi" w:hAnsiTheme="minorHAnsi" w:cstheme="minorHAnsi"/>
          <w:bCs/>
        </w:rPr>
        <w:t xml:space="preserve"> </w:t>
      </w:r>
      <w:r>
        <w:rPr>
          <w:rFonts w:asciiTheme="minorHAnsi" w:hAnsiTheme="minorHAnsi" w:cstheme="minorHAnsi"/>
          <w:bCs/>
        </w:rPr>
        <w:t xml:space="preserve">which makes it particularly important that </w:t>
      </w:r>
      <w:r w:rsidRPr="00D90B39">
        <w:rPr>
          <w:rFonts w:asciiTheme="minorHAnsi" w:hAnsiTheme="minorHAnsi" w:cstheme="minorHAnsi"/>
          <w:bCs/>
        </w:rPr>
        <w:t xml:space="preserve">affected individuals </w:t>
      </w:r>
      <w:r>
        <w:rPr>
          <w:rFonts w:asciiTheme="minorHAnsi" w:hAnsiTheme="minorHAnsi" w:cstheme="minorHAnsi"/>
          <w:bCs/>
        </w:rPr>
        <w:t xml:space="preserve">have an effective possibility to seek </w:t>
      </w:r>
      <w:r w:rsidRPr="00D90B39">
        <w:rPr>
          <w:rFonts w:asciiTheme="minorHAnsi" w:hAnsiTheme="minorHAnsi" w:cstheme="minorHAnsi"/>
          <w:bCs/>
        </w:rPr>
        <w:t xml:space="preserve">independent advice and information </w:t>
      </w:r>
      <w:r>
        <w:rPr>
          <w:rFonts w:asciiTheme="minorHAnsi" w:hAnsiTheme="minorHAnsi" w:cstheme="minorHAnsi"/>
          <w:bCs/>
        </w:rPr>
        <w:t xml:space="preserve">about their rights. </w:t>
      </w:r>
      <w:r w:rsidRPr="00D90B39">
        <w:rPr>
          <w:rFonts w:asciiTheme="minorHAnsi" w:hAnsiTheme="minorHAnsi" w:cstheme="minorHAnsi"/>
          <w:bCs/>
        </w:rPr>
        <w:t xml:space="preserve">The Commissioner </w:t>
      </w:r>
      <w:r>
        <w:rPr>
          <w:rFonts w:asciiTheme="minorHAnsi" w:hAnsiTheme="minorHAnsi" w:cstheme="minorHAnsi"/>
          <w:bCs/>
        </w:rPr>
        <w:t xml:space="preserve">notes </w:t>
      </w:r>
      <w:r w:rsidRPr="00D90B39">
        <w:rPr>
          <w:rFonts w:asciiTheme="minorHAnsi" w:hAnsiTheme="minorHAnsi" w:cstheme="minorHAnsi"/>
          <w:bCs/>
        </w:rPr>
        <w:t>that an evaluation of the availability of quality advice on the prohibition of discrimination and the applicability of the AGG concluded that there are only some 100 advice centres across the territory of Germany</w:t>
      </w:r>
      <w:r>
        <w:rPr>
          <w:rFonts w:asciiTheme="minorHAnsi" w:hAnsiTheme="minorHAnsi" w:cstheme="minorHAnsi"/>
          <w:bCs/>
        </w:rPr>
        <w:t>,</w:t>
      </w:r>
      <w:r w:rsidRPr="00D90B39">
        <w:rPr>
          <w:rFonts w:asciiTheme="minorHAnsi" w:hAnsiTheme="minorHAnsi" w:cstheme="minorHAnsi"/>
          <w:bCs/>
        </w:rPr>
        <w:t xml:space="preserve"> and</w:t>
      </w:r>
      <w:r>
        <w:rPr>
          <w:rFonts w:asciiTheme="minorHAnsi" w:hAnsiTheme="minorHAnsi" w:cstheme="minorHAnsi"/>
          <w:bCs/>
        </w:rPr>
        <w:t xml:space="preserve"> that their geographic</w:t>
      </w:r>
      <w:r w:rsidRPr="00D90B39">
        <w:rPr>
          <w:rFonts w:asciiTheme="minorHAnsi" w:hAnsiTheme="minorHAnsi" w:cstheme="minorHAnsi"/>
          <w:bCs/>
        </w:rPr>
        <w:t xml:space="preserve"> distribution is uneven.</w:t>
      </w:r>
      <w:r w:rsidRPr="00773CE9">
        <w:rPr>
          <w:rStyle w:val="FootnoteReference"/>
          <w:rFonts w:asciiTheme="minorHAnsi" w:hAnsiTheme="minorHAnsi" w:cstheme="minorHAnsi"/>
          <w:bCs/>
        </w:rPr>
        <w:footnoteReference w:id="66"/>
      </w:r>
      <w:r w:rsidRPr="00D90B39">
        <w:rPr>
          <w:rFonts w:asciiTheme="minorHAnsi" w:hAnsiTheme="minorHAnsi" w:cstheme="minorHAnsi"/>
          <w:bCs/>
        </w:rPr>
        <w:t xml:space="preserve"> Most centres work in bigger cities or in those regions where particular efforts have been made, such as Berlin, </w:t>
      </w:r>
      <w:proofErr w:type="gramStart"/>
      <w:r w:rsidRPr="00D90B39">
        <w:rPr>
          <w:rFonts w:asciiTheme="minorHAnsi" w:hAnsiTheme="minorHAnsi" w:cstheme="minorHAnsi"/>
          <w:bCs/>
        </w:rPr>
        <w:t>Hamburg</w:t>
      </w:r>
      <w:proofErr w:type="gramEnd"/>
      <w:r w:rsidRPr="00D90B39">
        <w:rPr>
          <w:rFonts w:asciiTheme="minorHAnsi" w:hAnsiTheme="minorHAnsi" w:cstheme="minorHAnsi"/>
          <w:bCs/>
        </w:rPr>
        <w:t xml:space="preserve"> or North-Rhine West</w:t>
      </w:r>
      <w:r>
        <w:rPr>
          <w:rFonts w:asciiTheme="minorHAnsi" w:hAnsiTheme="minorHAnsi" w:cstheme="minorHAnsi"/>
          <w:bCs/>
        </w:rPr>
        <w:t>ph</w:t>
      </w:r>
      <w:r w:rsidRPr="00D90B39">
        <w:rPr>
          <w:rFonts w:asciiTheme="minorHAnsi" w:hAnsiTheme="minorHAnsi" w:cstheme="minorHAnsi"/>
          <w:bCs/>
        </w:rPr>
        <w:t>alia. Advice centres are usually small, struggle with inadequate resources, and have often</w:t>
      </w:r>
      <w:r>
        <w:rPr>
          <w:rFonts w:asciiTheme="minorHAnsi" w:hAnsiTheme="minorHAnsi" w:cstheme="minorHAnsi"/>
          <w:bCs/>
        </w:rPr>
        <w:t xml:space="preserve"> only</w:t>
      </w:r>
      <w:r w:rsidRPr="00D90B39">
        <w:rPr>
          <w:rFonts w:asciiTheme="minorHAnsi" w:hAnsiTheme="minorHAnsi" w:cstheme="minorHAnsi"/>
          <w:bCs/>
        </w:rPr>
        <w:t xml:space="preserve"> been functioning for one or two years. While new centres </w:t>
      </w:r>
      <w:r>
        <w:rPr>
          <w:rFonts w:asciiTheme="minorHAnsi" w:hAnsiTheme="minorHAnsi" w:cstheme="minorHAnsi"/>
          <w:bCs/>
        </w:rPr>
        <w:t>have recently been created,</w:t>
      </w:r>
      <w:r w:rsidRPr="00D90B39">
        <w:rPr>
          <w:rFonts w:asciiTheme="minorHAnsi" w:hAnsiTheme="minorHAnsi" w:cstheme="minorHAnsi"/>
          <w:bCs/>
        </w:rPr>
        <w:t xml:space="preserve"> many of them cannot be considered independent from the government. </w:t>
      </w:r>
      <w:r>
        <w:rPr>
          <w:rFonts w:asciiTheme="minorHAnsi" w:hAnsiTheme="minorHAnsi" w:cstheme="minorHAnsi"/>
          <w:bCs/>
        </w:rPr>
        <w:t>In this context, t</w:t>
      </w:r>
      <w:r w:rsidRPr="00D90B39">
        <w:rPr>
          <w:rFonts w:asciiTheme="minorHAnsi" w:hAnsiTheme="minorHAnsi" w:cstheme="minorHAnsi"/>
          <w:bCs/>
        </w:rPr>
        <w:t>he Commissioner welcomes the efforts by the Independent Anti-Discrimination Commissioner to support the work of independent advice centres across Germany.</w:t>
      </w:r>
      <w:r>
        <w:rPr>
          <w:rStyle w:val="FootnoteReference"/>
          <w:rFonts w:asciiTheme="minorHAnsi" w:hAnsiTheme="minorHAnsi" w:cstheme="minorHAnsi"/>
          <w:bCs/>
        </w:rPr>
        <w:footnoteReference w:id="67"/>
      </w:r>
      <w:r w:rsidR="004D1559">
        <w:rPr>
          <w:rFonts w:asciiTheme="minorHAnsi" w:hAnsiTheme="minorHAnsi" w:cstheme="minorHAnsi"/>
          <w:bCs/>
        </w:rPr>
        <w:t xml:space="preserve"> </w:t>
      </w:r>
    </w:p>
    <w:p w14:paraId="7CB16419" w14:textId="77777777" w:rsidR="004A5AEE" w:rsidRPr="0088436E" w:rsidRDefault="004A5AEE" w:rsidP="004A5AEE">
      <w:pPr>
        <w:pStyle w:val="ListParagraph"/>
        <w:tabs>
          <w:tab w:val="clear" w:pos="567"/>
        </w:tabs>
      </w:pPr>
      <w:r>
        <w:t>The Commissioner is particularly concerned about reports regarding growing manifestations of xenophobic attitudes and racism in society.</w:t>
      </w:r>
      <w:r>
        <w:rPr>
          <w:rStyle w:val="FootnoteReference"/>
        </w:rPr>
        <w:footnoteReference w:id="68"/>
      </w:r>
      <w:r>
        <w:t xml:space="preserve"> In her discussions with civil society organisations engaged in </w:t>
      </w:r>
      <w:r w:rsidRPr="00EC52D9">
        <w:t xml:space="preserve">combating racial discrimination, she learned that </w:t>
      </w:r>
      <w:r>
        <w:t xml:space="preserve">their </w:t>
      </w:r>
      <w:r w:rsidRPr="00EC52D9">
        <w:t xml:space="preserve">working conditions have considerably deteriorated. </w:t>
      </w:r>
      <w:r w:rsidRPr="008C5676">
        <w:t xml:space="preserve">Public hostility </w:t>
      </w:r>
      <w:r>
        <w:t xml:space="preserve">against them </w:t>
      </w:r>
      <w:r w:rsidRPr="008C5676">
        <w:t>has increased, sometimes to the point where actors feel at risk of attack, and support from relevant authorities, including financial, has diminished amid an ove</w:t>
      </w:r>
      <w:r>
        <w:t xml:space="preserve">rall polarisation in society. The Commissioner finds particularly worrisome reports by interlocutors that the work of human rights defenders is increasingly seen as political rather than legal which, in the eyes of some politicians, disqualifies relevant organisations from accessing funding for cooperation projects. The Commissioner reiterates that </w:t>
      </w:r>
      <w:r w:rsidRPr="00D90B39">
        <w:rPr>
          <w:lang w:val="en-US"/>
        </w:rPr>
        <w:t>human rights defenders</w:t>
      </w:r>
      <w:r>
        <w:rPr>
          <w:lang w:val="en-US"/>
        </w:rPr>
        <w:t xml:space="preserve"> play a central role in ensuring that</w:t>
      </w:r>
      <w:r w:rsidRPr="00D90B39">
        <w:rPr>
          <w:lang w:val="en-US"/>
        </w:rPr>
        <w:t xml:space="preserve"> state policies</w:t>
      </w:r>
      <w:r>
        <w:rPr>
          <w:lang w:val="en-US"/>
        </w:rPr>
        <w:t xml:space="preserve"> are</w:t>
      </w:r>
      <w:r w:rsidRPr="00D90B39">
        <w:rPr>
          <w:lang w:val="en-US"/>
        </w:rPr>
        <w:t xml:space="preserve"> human rights</w:t>
      </w:r>
      <w:r>
        <w:rPr>
          <w:lang w:val="en-US"/>
        </w:rPr>
        <w:t>-</w:t>
      </w:r>
      <w:r w:rsidRPr="00D90B39">
        <w:rPr>
          <w:lang w:val="en-US"/>
        </w:rPr>
        <w:t>compliant and</w:t>
      </w:r>
      <w:r>
        <w:rPr>
          <w:lang w:val="en-US"/>
        </w:rPr>
        <w:t xml:space="preserve"> in</w:t>
      </w:r>
      <w:r w:rsidRPr="00D90B39">
        <w:rPr>
          <w:lang w:val="en-US"/>
        </w:rPr>
        <w:t xml:space="preserve"> </w:t>
      </w:r>
      <w:r>
        <w:rPr>
          <w:lang w:val="en-US"/>
        </w:rPr>
        <w:t xml:space="preserve">keeping </w:t>
      </w:r>
      <w:r w:rsidRPr="00D90B39">
        <w:rPr>
          <w:lang w:val="en-US"/>
        </w:rPr>
        <w:t>authorities</w:t>
      </w:r>
      <w:r>
        <w:rPr>
          <w:lang w:val="en-US"/>
        </w:rPr>
        <w:t xml:space="preserve"> </w:t>
      </w:r>
      <w:r w:rsidRPr="00D90B39">
        <w:rPr>
          <w:lang w:val="en-US"/>
        </w:rPr>
        <w:t>accountable</w:t>
      </w:r>
      <w:r>
        <w:rPr>
          <w:lang w:val="en-US"/>
        </w:rPr>
        <w:t>, i</w:t>
      </w:r>
      <w:r w:rsidRPr="00D90B39">
        <w:rPr>
          <w:lang w:val="en-US"/>
        </w:rPr>
        <w:t>n line with constitutional protections and</w:t>
      </w:r>
      <w:r>
        <w:rPr>
          <w:lang w:val="en-US"/>
        </w:rPr>
        <w:t xml:space="preserve"> the country’s</w:t>
      </w:r>
      <w:r w:rsidRPr="00D90B39">
        <w:rPr>
          <w:lang w:val="en-US"/>
        </w:rPr>
        <w:t xml:space="preserve"> </w:t>
      </w:r>
      <w:r>
        <w:rPr>
          <w:lang w:val="en-US"/>
        </w:rPr>
        <w:t xml:space="preserve">international human rights obligations. </w:t>
      </w:r>
      <w:bookmarkStart w:id="66" w:name="_Hlk159513517"/>
      <w:r w:rsidRPr="00582339">
        <w:t xml:space="preserve">Germany has been offering support and safety to human </w:t>
      </w:r>
      <w:r w:rsidRPr="00582339">
        <w:lastRenderedPageBreak/>
        <w:t xml:space="preserve">rights defenders coming from abroad and it should continue to do the same for human rights defenders working on issues related to human rights </w:t>
      </w:r>
      <w:r>
        <w:t xml:space="preserve">obligations </w:t>
      </w:r>
      <w:r w:rsidRPr="00582339">
        <w:t>in Germany</w:t>
      </w:r>
      <w:bookmarkEnd w:id="66"/>
      <w:r w:rsidRPr="00AB0DD6">
        <w:rPr>
          <w:lang w:val="en-US"/>
        </w:rPr>
        <w:t>.</w:t>
      </w:r>
    </w:p>
    <w:p w14:paraId="3C5A16CE" w14:textId="77777777" w:rsidR="004A5AEE" w:rsidRPr="00792829" w:rsidRDefault="004A5AEE" w:rsidP="00AF1A4D">
      <w:pPr>
        <w:pStyle w:val="Heading2"/>
        <w:numPr>
          <w:ilvl w:val="1"/>
          <w:numId w:val="24"/>
        </w:numPr>
        <w:tabs>
          <w:tab w:val="num" w:pos="765"/>
        </w:tabs>
        <w:ind w:hanging="765"/>
      </w:pPr>
      <w:bookmarkStart w:id="67" w:name="_Toc158636901"/>
      <w:bookmarkStart w:id="68" w:name="_Toc159582672"/>
      <w:r>
        <w:t>Conclusions and recommendations</w:t>
      </w:r>
      <w:bookmarkEnd w:id="67"/>
      <w:bookmarkEnd w:id="68"/>
    </w:p>
    <w:p w14:paraId="6729C343" w14:textId="77777777" w:rsidR="004A5AEE" w:rsidRDefault="004A5AEE" w:rsidP="004A5AEE">
      <w:pPr>
        <w:pStyle w:val="ListParagraph"/>
        <w:tabs>
          <w:tab w:val="clear" w:pos="567"/>
        </w:tabs>
      </w:pPr>
      <w:r>
        <w:t>The Commissioner notes that awareness of human rights in Germany is still limited, and that a rather minimalistic and textual approach to the implementation of international instruments has been adopted. She further understands that many legal professionals and parts of the judiciary are not fully aware of the applicable international standards. Few structures exist at federal, L</w:t>
      </w:r>
      <w:r>
        <w:rPr>
          <w:rFonts w:cs="Calibri"/>
        </w:rPr>
        <w:t>ä</w:t>
      </w:r>
      <w:r>
        <w:t xml:space="preserve">nder, or local level that could increase awareness of or access to </w:t>
      </w:r>
      <w:proofErr w:type="gramStart"/>
      <w:r>
        <w:t>internationally-guaranteed</w:t>
      </w:r>
      <w:proofErr w:type="gramEnd"/>
      <w:r>
        <w:t xml:space="preserve"> human rights, and the continued lack of disaggregated data on the composition of the population and their respective access to rights is impeding effective human rights monitoring and evaluation. The Commissioner welcomes the increase in resources made available to the GIHR and the amendment of the AGG in July 2022 to strengthen the independence of the head of the </w:t>
      </w:r>
      <w:proofErr w:type="gramStart"/>
      <w:r>
        <w:t>FADA, but</w:t>
      </w:r>
      <w:proofErr w:type="gramEnd"/>
      <w:r>
        <w:t xml:space="preserve"> notes with concern that both the national human rights institution, and the national equality body, have limited powers in comparison to other such structures in Europe. Their competences should be strengthened considerably to enable them to effectively perform their important mandates. </w:t>
      </w:r>
    </w:p>
    <w:p w14:paraId="4834C6CB" w14:textId="77777777" w:rsidR="004A5AEE" w:rsidRDefault="004A5AEE" w:rsidP="004A5AEE">
      <w:pPr>
        <w:pStyle w:val="ListParagraph"/>
        <w:tabs>
          <w:tab w:val="clear" w:pos="567"/>
        </w:tabs>
      </w:pPr>
      <w:r>
        <w:t>T</w:t>
      </w:r>
      <w:r w:rsidRPr="00E97297">
        <w:t xml:space="preserve">he </w:t>
      </w:r>
      <w:r>
        <w:t xml:space="preserve">Commissioner calls on the </w:t>
      </w:r>
      <w:r w:rsidRPr="00E97297">
        <w:t>authorities to strengthen the GIHR in line with international and Council of Europe standards</w:t>
      </w:r>
      <w:r>
        <w:t xml:space="preserve">, and in close </w:t>
      </w:r>
      <w:r w:rsidRPr="00E97297">
        <w:t xml:space="preserve">consultation with the </w:t>
      </w:r>
      <w:r>
        <w:t>GIHR</w:t>
      </w:r>
      <w:r w:rsidRPr="00E97297">
        <w:t xml:space="preserve"> and </w:t>
      </w:r>
      <w:r>
        <w:t xml:space="preserve">relevant civil society actors. The </w:t>
      </w:r>
      <w:r w:rsidRPr="00E97297">
        <w:t xml:space="preserve">GIHR </w:t>
      </w:r>
      <w:r>
        <w:t xml:space="preserve">should be provided </w:t>
      </w:r>
      <w:r w:rsidRPr="00E97297">
        <w:t xml:space="preserve">with stronger protection powers, </w:t>
      </w:r>
      <w:r>
        <w:t xml:space="preserve">granted access to documents and data and to places of deprivation of liberty. It should have the right to be </w:t>
      </w:r>
      <w:r w:rsidRPr="00E97297">
        <w:t xml:space="preserve">consulted on draft laws </w:t>
      </w:r>
      <w:r>
        <w:t>that</w:t>
      </w:r>
      <w:r w:rsidRPr="00E97297">
        <w:t xml:space="preserve"> impact human rights</w:t>
      </w:r>
      <w:r>
        <w:t xml:space="preserve">, be able to bring constitutional complaints, and </w:t>
      </w:r>
      <w:r w:rsidRPr="00E97297">
        <w:t>ha</w:t>
      </w:r>
      <w:r>
        <w:t>ve</w:t>
      </w:r>
      <w:r w:rsidRPr="00E97297">
        <w:t xml:space="preserve"> the power to address recommendations to public authorities. The process of nomination of members of </w:t>
      </w:r>
      <w:r>
        <w:t xml:space="preserve">its governing body </w:t>
      </w:r>
      <w:r w:rsidRPr="00E97297">
        <w:t>should fully preserve the independence of the institution</w:t>
      </w:r>
      <w:r>
        <w:t>.</w:t>
      </w:r>
      <w:r w:rsidRPr="00E97297">
        <w:t xml:space="preserve"> The authorities should</w:t>
      </w:r>
      <w:r w:rsidRPr="00946F50">
        <w:rPr>
          <w:rFonts w:ascii="Segoe UI" w:eastAsiaTheme="minorHAnsi" w:hAnsi="Segoe UI" w:cs="Segoe UI"/>
          <w:sz w:val="18"/>
          <w:szCs w:val="18"/>
          <w:lang w:eastAsia="en-US"/>
        </w:rPr>
        <w:t xml:space="preserve"> </w:t>
      </w:r>
      <w:r w:rsidRPr="00E97297">
        <w:t xml:space="preserve">continue to ensure that any new human rights mandate allocated to the GIHR is </w:t>
      </w:r>
      <w:r>
        <w:t>accompanied by adequate</w:t>
      </w:r>
      <w:r w:rsidRPr="00E97297">
        <w:t xml:space="preserve"> resources to carry out the work.</w:t>
      </w:r>
    </w:p>
    <w:p w14:paraId="2BBB3157" w14:textId="77777777" w:rsidR="004A5AEE" w:rsidRPr="00946F50" w:rsidRDefault="004A5AEE" w:rsidP="004A5AEE">
      <w:pPr>
        <w:pStyle w:val="ListParagraph"/>
        <w:tabs>
          <w:tab w:val="clear" w:pos="567"/>
        </w:tabs>
      </w:pPr>
      <w:r>
        <w:t xml:space="preserve">The Commissioner calls on the authorities to reinforce </w:t>
      </w:r>
      <w:r w:rsidRPr="00946F50">
        <w:t>FADA’s competences</w:t>
      </w:r>
      <w:r>
        <w:t>,</w:t>
      </w:r>
      <w:r w:rsidRPr="00946F50">
        <w:t xml:space="preserve"> </w:t>
      </w:r>
      <w:proofErr w:type="gramStart"/>
      <w:r w:rsidRPr="00946F50">
        <w:t>powers</w:t>
      </w:r>
      <w:proofErr w:type="gramEnd"/>
      <w:r w:rsidRPr="00946F50">
        <w:t xml:space="preserve"> </w:t>
      </w:r>
      <w:r>
        <w:t xml:space="preserve">and resources </w:t>
      </w:r>
      <w:r w:rsidRPr="00946F50">
        <w:t>in line with the relevant standards for equality bodies,</w:t>
      </w:r>
      <w:r w:rsidRPr="00946F50">
        <w:rPr>
          <w:vertAlign w:val="superscript"/>
        </w:rPr>
        <w:footnoteReference w:id="69"/>
      </w:r>
      <w:r w:rsidRPr="00946F50">
        <w:t xml:space="preserve"> particular</w:t>
      </w:r>
      <w:r>
        <w:t>ly</w:t>
      </w:r>
      <w:r w:rsidRPr="00946F50">
        <w:t xml:space="preserve"> by enhancing its status in relevant legislative processes and strengthening its competences to support victims through legal assistance and litigation</w:t>
      </w:r>
      <w:r>
        <w:t>. In addition, the authorities should engage in b</w:t>
      </w:r>
      <w:r w:rsidRPr="00946F50">
        <w:t>road awareness</w:t>
      </w:r>
      <w:r>
        <w:t>-</w:t>
      </w:r>
      <w:r w:rsidRPr="00946F50">
        <w:t>raising</w:t>
      </w:r>
      <w:r>
        <w:t xml:space="preserve"> and education activities regarding the existence and functioning of international human rights and their applicability in Germany as a state party to most of these instruments. The Commissioner further calls on the authorities to </w:t>
      </w:r>
      <w:r w:rsidRPr="00946F50">
        <w:t xml:space="preserve">redouble their efforts, in close cooperation with affected communities and based on the principles of self-identification and anonymity, to collect data and information on the demographic composition of the population and its </w:t>
      </w:r>
      <w:r>
        <w:t>access to rights</w:t>
      </w:r>
      <w:r w:rsidRPr="00946F50">
        <w:t>, disaggregated by ethnic groups, gender, age and regions</w:t>
      </w:r>
      <w:r>
        <w:t>.</w:t>
      </w:r>
    </w:p>
    <w:p w14:paraId="4760970B" w14:textId="77777777" w:rsidR="004A5AEE" w:rsidRDefault="004A5AEE" w:rsidP="004A5AEE">
      <w:pPr>
        <w:pStyle w:val="ListParagraph"/>
        <w:numPr>
          <w:ilvl w:val="0"/>
          <w:numId w:val="0"/>
        </w:numPr>
        <w:ind w:left="284"/>
        <w:rPr>
          <w:b/>
          <w:bCs/>
        </w:rPr>
      </w:pPr>
      <w:r>
        <w:rPr>
          <w:b/>
          <w:bCs/>
        </w:rPr>
        <w:t>With respect to children’s rights</w:t>
      </w:r>
    </w:p>
    <w:p w14:paraId="5F8F62ED" w14:textId="77777777" w:rsidR="004A5AEE" w:rsidRDefault="004A5AEE" w:rsidP="004A5AEE">
      <w:pPr>
        <w:pStyle w:val="ListParagraph"/>
        <w:tabs>
          <w:tab w:val="clear" w:pos="567"/>
        </w:tabs>
        <w:rPr>
          <w:rFonts w:asciiTheme="minorHAnsi" w:hAnsiTheme="minorHAnsi" w:cstheme="minorHAnsi"/>
        </w:rPr>
      </w:pPr>
      <w:r>
        <w:rPr>
          <w:rFonts w:asciiTheme="minorHAnsi" w:hAnsiTheme="minorHAnsi" w:cstheme="minorHAnsi"/>
        </w:rPr>
        <w:t xml:space="preserve">The Commissioner welcomes the commitment of the government to strengthen children’s rights, including by anchoring them in the Constitution, and acknowledges the various steps taken to enhance the effective participation of children and young people in decisions that affect them. However, no tangible progress has been made towards ensuring that relevant authorities at federal, </w:t>
      </w:r>
      <w:proofErr w:type="gramStart"/>
      <w:r>
        <w:rPr>
          <w:rFonts w:asciiTheme="minorHAnsi" w:hAnsiTheme="minorHAnsi" w:cstheme="minorHAnsi"/>
        </w:rPr>
        <w:t>regional</w:t>
      </w:r>
      <w:proofErr w:type="gramEnd"/>
      <w:r>
        <w:rPr>
          <w:rFonts w:asciiTheme="minorHAnsi" w:hAnsiTheme="minorHAnsi" w:cstheme="minorHAnsi"/>
        </w:rPr>
        <w:t xml:space="preserve"> and municipal level are aware of their obligation to give primary consideration to the best interests of the child and notes that there is still no coherent approach to the involvement and standing of children in administrative and judicial proceedings. Germany still has no central authority that would be tasked with the effective coordination of measures aimed at the protection and promotion of children’s rights at all levels and across all </w:t>
      </w:r>
      <w:r w:rsidRPr="005E6A50">
        <w:rPr>
          <w:rFonts w:asciiTheme="minorHAnsi" w:hAnsiTheme="minorHAnsi" w:cstheme="minorHAnsi"/>
        </w:rPr>
        <w:t>relevant ministries</w:t>
      </w:r>
      <w:r>
        <w:rPr>
          <w:rFonts w:asciiTheme="minorHAnsi" w:hAnsiTheme="minorHAnsi" w:cstheme="minorHAnsi"/>
        </w:rPr>
        <w:t xml:space="preserve">, and very few complaints mechanisms where children could seek advice independently from their parents. </w:t>
      </w:r>
      <w:bookmarkStart w:id="69" w:name="_Hlk155957191"/>
    </w:p>
    <w:bookmarkEnd w:id="69"/>
    <w:p w14:paraId="1AD30773" w14:textId="77777777" w:rsidR="004A5AEE" w:rsidRPr="00BB7EE1" w:rsidRDefault="004A5AEE" w:rsidP="004A5AEE">
      <w:pPr>
        <w:pStyle w:val="ListParagraph"/>
        <w:tabs>
          <w:tab w:val="clear" w:pos="567"/>
        </w:tabs>
        <w:rPr>
          <w:rFonts w:asciiTheme="minorHAnsi" w:hAnsiTheme="minorHAnsi" w:cstheme="minorHAnsi"/>
          <w:b/>
          <w:bCs/>
        </w:rPr>
      </w:pPr>
      <w:r>
        <w:rPr>
          <w:rFonts w:asciiTheme="minorHAnsi" w:hAnsiTheme="minorHAnsi" w:cstheme="minorHAnsi"/>
        </w:rPr>
        <w:lastRenderedPageBreak/>
        <w:t xml:space="preserve">The Commissioner calls on the authorities to adopt all necessary measures to strengthen children’s rights within the legal order and ensure that the best interests of the child are systematically </w:t>
      </w:r>
      <w:proofErr w:type="gramStart"/>
      <w:r>
        <w:rPr>
          <w:rFonts w:asciiTheme="minorHAnsi" w:hAnsiTheme="minorHAnsi" w:cstheme="minorHAnsi"/>
        </w:rPr>
        <w:t>taken into account</w:t>
      </w:r>
      <w:proofErr w:type="gramEnd"/>
      <w:r>
        <w:rPr>
          <w:rFonts w:asciiTheme="minorHAnsi" w:hAnsiTheme="minorHAnsi" w:cstheme="minorHAnsi"/>
        </w:rPr>
        <w:t xml:space="preserve"> and given primary consideration in all relevant actions concerning children, whether taken by social welfare institutions, courts, administrative authorities or legislative bodies, in line with Article 3 of the CRC. Binding standards should be adopted to ensure that all proceedings involving children are conducted in a child-friendly manner. </w:t>
      </w:r>
    </w:p>
    <w:p w14:paraId="2CD18917" w14:textId="77777777" w:rsidR="004A5AEE" w:rsidRPr="00DA4818" w:rsidRDefault="004A5AEE" w:rsidP="004A5AEE">
      <w:pPr>
        <w:pStyle w:val="ListParagraph"/>
        <w:tabs>
          <w:tab w:val="clear" w:pos="567"/>
        </w:tabs>
        <w:rPr>
          <w:rFonts w:asciiTheme="minorHAnsi" w:hAnsiTheme="minorHAnsi" w:cstheme="minorHAnsi"/>
        </w:rPr>
      </w:pPr>
      <w:r>
        <w:rPr>
          <w:rFonts w:asciiTheme="minorHAnsi" w:hAnsiTheme="minorHAnsi" w:cstheme="minorHAnsi"/>
          <w:bCs/>
        </w:rPr>
        <w:t>The Commissioner calls on the authorities to create a central structure that can ensure that the interests and concerns of children are given sufficient attention across all ministries and coordinate, through relevant actors at Länder and local level, the necessary policy changes to effectively safeguard the rights of children at all levels. More independent complaints mechanisms should be established, and the existing structures and networks provided with reliable funding to ensure their ability to perform their important mandates independently and effectively, including with respect to combating and preventing violence against children.</w:t>
      </w:r>
      <w:r w:rsidR="004D1559">
        <w:rPr>
          <w:rFonts w:asciiTheme="minorHAnsi" w:hAnsiTheme="minorHAnsi" w:cstheme="minorHAnsi"/>
          <w:bCs/>
        </w:rPr>
        <w:t xml:space="preserve"> </w:t>
      </w:r>
    </w:p>
    <w:p w14:paraId="7D8507AD" w14:textId="77777777" w:rsidR="004A5AEE" w:rsidRPr="00DA4818" w:rsidRDefault="004A5AEE" w:rsidP="004A5AEE">
      <w:pPr>
        <w:pStyle w:val="ListParagraph"/>
        <w:tabs>
          <w:tab w:val="clear" w:pos="567"/>
        </w:tabs>
        <w:rPr>
          <w:rFonts w:asciiTheme="minorHAnsi" w:hAnsiTheme="minorHAnsi" w:cstheme="minorHAnsi"/>
        </w:rPr>
      </w:pPr>
      <w:bookmarkStart w:id="70" w:name="_Hlk158151385"/>
      <w:r w:rsidRPr="00DA4818">
        <w:rPr>
          <w:rFonts w:asciiTheme="minorHAnsi" w:hAnsiTheme="minorHAnsi" w:cstheme="minorHAnsi"/>
          <w:bCs/>
        </w:rPr>
        <w:t xml:space="preserve">The Commissioner calls on the authorities to enhance their engagement in strengthening the effective participation of children and young people at all levels, including through the extension, </w:t>
      </w:r>
      <w:proofErr w:type="gramStart"/>
      <w:r w:rsidRPr="00DA4818">
        <w:rPr>
          <w:rFonts w:asciiTheme="minorHAnsi" w:hAnsiTheme="minorHAnsi" w:cstheme="minorHAnsi"/>
          <w:bCs/>
        </w:rPr>
        <w:t>reinforcement</w:t>
      </w:r>
      <w:proofErr w:type="gramEnd"/>
      <w:r w:rsidRPr="00DA4818">
        <w:rPr>
          <w:rFonts w:asciiTheme="minorHAnsi" w:hAnsiTheme="minorHAnsi" w:cstheme="minorHAnsi"/>
          <w:bCs/>
        </w:rPr>
        <w:t xml:space="preserve"> and reliable funding of existing mechanisms</w:t>
      </w:r>
      <w:bookmarkEnd w:id="70"/>
      <w:r>
        <w:rPr>
          <w:rFonts w:asciiTheme="minorHAnsi" w:hAnsiTheme="minorHAnsi" w:cstheme="minorHAnsi"/>
          <w:bCs/>
        </w:rPr>
        <w:t xml:space="preserve">. </w:t>
      </w:r>
      <w:r w:rsidRPr="00DA4818">
        <w:rPr>
          <w:rFonts w:asciiTheme="minorHAnsi" w:hAnsiTheme="minorHAnsi" w:cstheme="minorHAnsi"/>
          <w:bCs/>
        </w:rPr>
        <w:t>All professionals working with children, particularly in care institutions, should receive advanced training on children’s rights and their right to be heard in line with Article 12 of the CRC, and existing participation mechanism</w:t>
      </w:r>
      <w:r>
        <w:rPr>
          <w:rFonts w:asciiTheme="minorHAnsi" w:hAnsiTheme="minorHAnsi" w:cstheme="minorHAnsi"/>
          <w:bCs/>
        </w:rPr>
        <w:t>s</w:t>
      </w:r>
      <w:r w:rsidRPr="00DA4818">
        <w:rPr>
          <w:rFonts w:asciiTheme="minorHAnsi" w:hAnsiTheme="minorHAnsi" w:cstheme="minorHAnsi"/>
          <w:bCs/>
        </w:rPr>
        <w:t xml:space="preserve"> should undergo regular evaluation by children and young people themselves. The National Action Plan on Participation of Children and Youth should be developed with effective involvement of children and youth </w:t>
      </w:r>
      <w:proofErr w:type="gramStart"/>
      <w:r w:rsidRPr="00DA4818">
        <w:rPr>
          <w:rFonts w:asciiTheme="minorHAnsi" w:hAnsiTheme="minorHAnsi" w:cstheme="minorHAnsi"/>
          <w:bCs/>
        </w:rPr>
        <w:t>representatives</w:t>
      </w:r>
      <w:r>
        <w:rPr>
          <w:rFonts w:asciiTheme="minorHAnsi" w:hAnsiTheme="minorHAnsi" w:cstheme="minorHAnsi"/>
          <w:bCs/>
        </w:rPr>
        <w:t xml:space="preserve">, </w:t>
      </w:r>
      <w:r w:rsidRPr="00DA4818">
        <w:rPr>
          <w:rFonts w:asciiTheme="minorHAnsi" w:hAnsiTheme="minorHAnsi" w:cstheme="minorHAnsi"/>
          <w:bCs/>
        </w:rPr>
        <w:t>and</w:t>
      </w:r>
      <w:proofErr w:type="gramEnd"/>
      <w:r w:rsidRPr="00DA4818">
        <w:rPr>
          <w:rFonts w:asciiTheme="minorHAnsi" w:hAnsiTheme="minorHAnsi" w:cstheme="minorHAnsi"/>
          <w:bCs/>
        </w:rPr>
        <w:t xml:space="preserve"> adopted </w:t>
      </w:r>
      <w:r>
        <w:rPr>
          <w:rFonts w:asciiTheme="minorHAnsi" w:hAnsiTheme="minorHAnsi" w:cstheme="minorHAnsi"/>
          <w:bCs/>
        </w:rPr>
        <w:t>as soon as possible</w:t>
      </w:r>
      <w:r w:rsidRPr="00DA4818">
        <w:rPr>
          <w:rFonts w:asciiTheme="minorHAnsi" w:hAnsiTheme="minorHAnsi" w:cstheme="minorHAnsi"/>
          <w:bCs/>
        </w:rPr>
        <w:t>.</w:t>
      </w:r>
    </w:p>
    <w:p w14:paraId="73846D42" w14:textId="77777777" w:rsidR="004A5AEE" w:rsidRDefault="004A5AEE" w:rsidP="004A5AEE">
      <w:pPr>
        <w:pStyle w:val="ListParagraph"/>
        <w:numPr>
          <w:ilvl w:val="0"/>
          <w:numId w:val="0"/>
        </w:numPr>
        <w:ind w:left="284"/>
        <w:rPr>
          <w:b/>
          <w:bCs/>
        </w:rPr>
      </w:pPr>
      <w:r>
        <w:rPr>
          <w:b/>
          <w:bCs/>
        </w:rPr>
        <w:t>With respect to the rights of persons with disabilities</w:t>
      </w:r>
    </w:p>
    <w:p w14:paraId="3A606F18" w14:textId="77777777" w:rsidR="004A5AEE" w:rsidRDefault="004A5AEE" w:rsidP="004A5AEE">
      <w:pPr>
        <w:pStyle w:val="ListParagraph"/>
        <w:tabs>
          <w:tab w:val="clear" w:pos="567"/>
        </w:tabs>
      </w:pPr>
      <w:r>
        <w:t xml:space="preserve">Progress on ensuring the human rights of persons with disabilities in Germany has been overall limited in recent years. Overprotective attitudes, insufficient political </w:t>
      </w:r>
      <w:proofErr w:type="gramStart"/>
      <w:r>
        <w:t>commitment</w:t>
      </w:r>
      <w:proofErr w:type="gramEnd"/>
      <w:r>
        <w:t xml:space="preserve"> and a persistent resistance to change among the existing, well-financed and segregated structures often channel persons with disabilities from childhood into lifelong dependence and vulnerability, hindering the achievement of an </w:t>
      </w:r>
      <w:r w:rsidRPr="00125EFD">
        <w:t>inde</w:t>
      </w:r>
      <w:r w:rsidRPr="00125EFD">
        <w:rPr>
          <w:bCs/>
        </w:rPr>
        <w:t>pendent and autonomous lifestyle for persons with disabilities that Germany has committed itself to by acceding to the CRPD. D</w:t>
      </w:r>
      <w:r w:rsidRPr="00125EFD">
        <w:t>einstitutionalisation has been regressing in past years, as most professionals</w:t>
      </w:r>
      <w:r>
        <w:t xml:space="preserve"> continue to promote</w:t>
      </w:r>
      <w:r w:rsidRPr="00125EFD">
        <w:t xml:space="preserve"> </w:t>
      </w:r>
      <w:r>
        <w:t>segregated</w:t>
      </w:r>
      <w:r w:rsidRPr="00125EFD">
        <w:t xml:space="preserve"> institutions and so-called “protected spaces”, including special schools, sheltered </w:t>
      </w:r>
      <w:proofErr w:type="gramStart"/>
      <w:r w:rsidRPr="00125EFD">
        <w:t>workshops</w:t>
      </w:r>
      <w:proofErr w:type="gramEnd"/>
      <w:r w:rsidRPr="00125EFD">
        <w:t xml:space="preserve"> and residential facilities for persons with disabilities, </w:t>
      </w:r>
      <w:r>
        <w:t>while</w:t>
      </w:r>
      <w:r w:rsidRPr="00125EFD">
        <w:t xml:space="preserve"> budget considerations at federal, regional, and local level </w:t>
      </w:r>
      <w:r>
        <w:t xml:space="preserve">support </w:t>
      </w:r>
      <w:r w:rsidRPr="00125EFD">
        <w:t>centralised approaches over individual choice.</w:t>
      </w:r>
      <w:r>
        <w:t xml:space="preserve"> </w:t>
      </w:r>
    </w:p>
    <w:p w14:paraId="2092B7C6" w14:textId="77777777" w:rsidR="004A5AEE" w:rsidRDefault="004A5AEE" w:rsidP="004A5AEE">
      <w:pPr>
        <w:pStyle w:val="ListParagraph"/>
        <w:tabs>
          <w:tab w:val="clear" w:pos="567"/>
        </w:tabs>
      </w:pPr>
      <w:r>
        <w:t>While noting efforts by the government to enhance the participation of persons with disabilities, the Commissioner is concerned about the fact that self-representative organisations find themselves occupied with numerous rounds of somewhat burdensome consultations, while often lacking the opportunity to have genuine impact on decisions taken. In addition, accessibility is still elusive in many vital areas, as the private sector has no obligation in this regard, which renders inclusion and participation practically impossible in many cases.</w:t>
      </w:r>
    </w:p>
    <w:p w14:paraId="37A0E86B" w14:textId="77777777" w:rsidR="004A5AEE" w:rsidRDefault="004A5AEE" w:rsidP="004A5AEE">
      <w:pPr>
        <w:pStyle w:val="ListParagraph"/>
        <w:tabs>
          <w:tab w:val="clear" w:pos="567"/>
        </w:tabs>
        <w:rPr>
          <w:rFonts w:asciiTheme="minorHAnsi" w:hAnsiTheme="minorHAnsi" w:cstheme="minorHAnsi"/>
        </w:rPr>
      </w:pPr>
      <w:r>
        <w:t xml:space="preserve">The Commissioner encourages the authorities to redouble their efforts towards ensuring that persons with disabilities have effective opportunities to lead independent lives, fully included in the community. </w:t>
      </w:r>
      <w:r w:rsidRPr="00A556C8">
        <w:t xml:space="preserve">She </w:t>
      </w:r>
      <w:r>
        <w:t>calls on them t</w:t>
      </w:r>
      <w:r w:rsidRPr="00A556C8">
        <w:t xml:space="preserve">o develop a </w:t>
      </w:r>
      <w:r w:rsidRPr="00125EFD">
        <w:rPr>
          <w:rFonts w:asciiTheme="minorHAnsi" w:hAnsiTheme="minorHAnsi" w:cstheme="minorHAnsi"/>
        </w:rPr>
        <w:t>comprehensive deinstitutionalisation strategy to</w:t>
      </w:r>
      <w:r>
        <w:rPr>
          <w:rFonts w:asciiTheme="minorHAnsi" w:hAnsiTheme="minorHAnsi" w:cstheme="minorHAnsi"/>
        </w:rPr>
        <w:t xml:space="preserve"> prevent further institutionalisation and</w:t>
      </w:r>
      <w:r w:rsidRPr="00125EFD">
        <w:rPr>
          <w:rFonts w:asciiTheme="minorHAnsi" w:hAnsiTheme="minorHAnsi" w:cstheme="minorHAnsi"/>
        </w:rPr>
        <w:t xml:space="preserve"> accelerate the transition for affected persons from life in segregated structures (including special schools, sheltered </w:t>
      </w:r>
      <w:proofErr w:type="gramStart"/>
      <w:r w:rsidRPr="00125EFD">
        <w:rPr>
          <w:rFonts w:asciiTheme="minorHAnsi" w:hAnsiTheme="minorHAnsi" w:cstheme="minorHAnsi"/>
        </w:rPr>
        <w:t>workshops</w:t>
      </w:r>
      <w:proofErr w:type="gramEnd"/>
      <w:r w:rsidRPr="00125EFD">
        <w:rPr>
          <w:rFonts w:asciiTheme="minorHAnsi" w:hAnsiTheme="minorHAnsi" w:cstheme="minorHAnsi"/>
        </w:rPr>
        <w:t xml:space="preserve"> and special residential facilities) to inclusion in high-quality </w:t>
      </w:r>
      <w:r>
        <w:rPr>
          <w:rFonts w:asciiTheme="minorHAnsi" w:hAnsiTheme="minorHAnsi" w:cstheme="minorHAnsi"/>
        </w:rPr>
        <w:t>mainstream</w:t>
      </w:r>
      <w:r w:rsidRPr="00125EFD">
        <w:rPr>
          <w:rFonts w:asciiTheme="minorHAnsi" w:hAnsiTheme="minorHAnsi" w:cstheme="minorHAnsi"/>
        </w:rPr>
        <w:t xml:space="preserve"> settings, and to invest in </w:t>
      </w:r>
      <w:r>
        <w:rPr>
          <w:rFonts w:asciiTheme="minorHAnsi" w:hAnsiTheme="minorHAnsi" w:cstheme="minorHAnsi"/>
        </w:rPr>
        <w:t xml:space="preserve">human rights </w:t>
      </w:r>
      <w:r w:rsidRPr="00125EFD">
        <w:rPr>
          <w:rFonts w:asciiTheme="minorHAnsi" w:hAnsiTheme="minorHAnsi" w:cstheme="minorHAnsi"/>
        </w:rPr>
        <w:t>compliance as a priority.</w:t>
      </w:r>
      <w:r>
        <w:t xml:space="preserve"> The av</w:t>
      </w:r>
      <w:r w:rsidRPr="00125EFD">
        <w:rPr>
          <w:rFonts w:asciiTheme="minorHAnsi" w:hAnsiTheme="minorHAnsi" w:cstheme="minorHAnsi"/>
        </w:rPr>
        <w:t xml:space="preserve">ailable funding </w:t>
      </w:r>
      <w:r>
        <w:rPr>
          <w:rFonts w:asciiTheme="minorHAnsi" w:hAnsiTheme="minorHAnsi" w:cstheme="minorHAnsi"/>
        </w:rPr>
        <w:t xml:space="preserve">should be channelled </w:t>
      </w:r>
      <w:r w:rsidRPr="00125EFD">
        <w:rPr>
          <w:rFonts w:asciiTheme="minorHAnsi" w:hAnsiTheme="minorHAnsi" w:cstheme="minorHAnsi"/>
        </w:rPr>
        <w:t>into inclusive</w:t>
      </w:r>
      <w:r>
        <w:rPr>
          <w:rFonts w:asciiTheme="minorHAnsi" w:hAnsiTheme="minorHAnsi" w:cstheme="minorHAnsi"/>
        </w:rPr>
        <w:t>,</w:t>
      </w:r>
      <w:r w:rsidRPr="00125EFD">
        <w:rPr>
          <w:rFonts w:asciiTheme="minorHAnsi" w:hAnsiTheme="minorHAnsi" w:cstheme="minorHAnsi"/>
        </w:rPr>
        <w:t xml:space="preserve"> rather than exclusionary</w:t>
      </w:r>
      <w:r>
        <w:rPr>
          <w:rFonts w:asciiTheme="minorHAnsi" w:hAnsiTheme="minorHAnsi" w:cstheme="minorHAnsi"/>
        </w:rPr>
        <w:t>,</w:t>
      </w:r>
      <w:r w:rsidRPr="00125EFD">
        <w:rPr>
          <w:rFonts w:asciiTheme="minorHAnsi" w:hAnsiTheme="minorHAnsi" w:cstheme="minorHAnsi"/>
        </w:rPr>
        <w:t xml:space="preserve"> </w:t>
      </w:r>
      <w:r>
        <w:rPr>
          <w:rFonts w:asciiTheme="minorHAnsi" w:hAnsiTheme="minorHAnsi" w:cstheme="minorHAnsi"/>
        </w:rPr>
        <w:t>structures.</w:t>
      </w:r>
    </w:p>
    <w:p w14:paraId="33012145" w14:textId="77777777" w:rsidR="004A5AEE" w:rsidRPr="00125EFD" w:rsidRDefault="004A5AEE" w:rsidP="004A5AEE">
      <w:pPr>
        <w:pStyle w:val="ListParagraph"/>
        <w:tabs>
          <w:tab w:val="clear" w:pos="567"/>
        </w:tabs>
        <w:rPr>
          <w:rFonts w:asciiTheme="minorHAnsi" w:hAnsiTheme="minorHAnsi" w:cstheme="minorHAnsi"/>
        </w:rPr>
      </w:pPr>
      <w:r>
        <w:rPr>
          <w:rFonts w:asciiTheme="minorHAnsi" w:hAnsiTheme="minorHAnsi" w:cstheme="minorHAnsi"/>
          <w:bCs/>
        </w:rPr>
        <w:lastRenderedPageBreak/>
        <w:t>T</w:t>
      </w:r>
      <w:r w:rsidRPr="00773CE9">
        <w:t xml:space="preserve">he </w:t>
      </w:r>
      <w:r>
        <w:t xml:space="preserve">Commissioner calls on the authorities to take urgent steps towards the creation of a comprehensive violence prevention and response strategy to protect persons with disabilities against all forms of violence in public and private settings. To be effective, this strategy must be developed in close consultation with persons with disabilities and their representative </w:t>
      </w:r>
      <w:proofErr w:type="gramStart"/>
      <w:r>
        <w:t>organisations, and</w:t>
      </w:r>
      <w:proofErr w:type="gramEnd"/>
      <w:r>
        <w:t xml:space="preserve"> must be accompanied by a significant enhancement of independent monitoring in all institutional settings, in line with Article 16.3 of the CRPD. </w:t>
      </w:r>
    </w:p>
    <w:p w14:paraId="4D662A15" w14:textId="77777777" w:rsidR="004A5AEE" w:rsidRPr="00BF0D38" w:rsidRDefault="004A5AEE" w:rsidP="004A5AEE">
      <w:pPr>
        <w:pStyle w:val="ListParagraph"/>
        <w:tabs>
          <w:tab w:val="clear" w:pos="567"/>
        </w:tabs>
        <w:rPr>
          <w:rFonts w:asciiTheme="minorHAnsi" w:hAnsiTheme="minorHAnsi" w:cstheme="minorHAnsi"/>
        </w:rPr>
      </w:pPr>
      <w:r>
        <w:t>The Commissioner encourages the authorities to make progress in removing the barriers that persons with disabilities face in daily life, including in schools and on the labour and housing markets, and engage in comprehensive awareness-raising and education activities regarding the rights of persons with disabilities among persons with disabilities themselves, as well as relevant professionals and society at large, providing information on their right to inclusion and the available opportunities.</w:t>
      </w:r>
    </w:p>
    <w:p w14:paraId="6369558C" w14:textId="77777777" w:rsidR="004A5AEE" w:rsidRPr="006D66DE" w:rsidRDefault="004A5AEE" w:rsidP="004A5AEE">
      <w:pPr>
        <w:pStyle w:val="ListParagraph"/>
        <w:tabs>
          <w:tab w:val="clear" w:pos="567"/>
        </w:tabs>
      </w:pPr>
      <w:r>
        <w:t xml:space="preserve">The Commissioner calls on the authorities to redouble their efforts to promote the effective participation of persons with disabilities in all relevant processes through systematic and active involvement of self-representative organisations, including those representing children and youth, and to develop, in close consultation with persons with disabilities, participation standards to ensure, for instance, that consultations occur with sufficient time being allocated and in accessible formats. </w:t>
      </w:r>
      <w:bookmarkStart w:id="71" w:name="_Hlk156818515"/>
      <w:r w:rsidRPr="006D66DE">
        <w:t xml:space="preserve">She further calls on them to institute an obligation for the </w:t>
      </w:r>
      <w:r>
        <w:t xml:space="preserve">application of accessibility standards both in the public and private sector and to take all necessary measures, including relevant sanctions, to ensure their implementation. Barriers to equal access should be removed in a continuous and systematic way and statutory requirements established for </w:t>
      </w:r>
      <w:r w:rsidRPr="006D66DE">
        <w:t>the provision of reasonable accommodation in the public</w:t>
      </w:r>
      <w:r>
        <w:t xml:space="preserve"> and private</w:t>
      </w:r>
      <w:r w:rsidRPr="006D66DE">
        <w:t xml:space="preserve"> sector</w:t>
      </w:r>
      <w:r>
        <w:t xml:space="preserve">, in line with Articles 4.1(e) and 5.3 of the CRPD. </w:t>
      </w:r>
    </w:p>
    <w:bookmarkEnd w:id="71"/>
    <w:p w14:paraId="5B03C79B" w14:textId="77777777" w:rsidR="004A5AEE" w:rsidRPr="00792829" w:rsidRDefault="004A5AEE" w:rsidP="004A5AEE">
      <w:pPr>
        <w:pStyle w:val="ListParagraph"/>
        <w:numPr>
          <w:ilvl w:val="0"/>
          <w:numId w:val="0"/>
        </w:numPr>
        <w:ind w:left="284"/>
        <w:rPr>
          <w:b/>
          <w:bCs/>
        </w:rPr>
      </w:pPr>
      <w:r>
        <w:rPr>
          <w:b/>
          <w:bCs/>
        </w:rPr>
        <w:t>With respect to protection from discrimination</w:t>
      </w:r>
    </w:p>
    <w:bookmarkEnd w:id="54"/>
    <w:p w14:paraId="3B0D66CA" w14:textId="77777777" w:rsidR="004A5AEE" w:rsidRDefault="004A5AEE" w:rsidP="004A5AEE">
      <w:pPr>
        <w:pStyle w:val="ListParagraph"/>
        <w:tabs>
          <w:tab w:val="clear" w:pos="567"/>
        </w:tabs>
      </w:pPr>
      <w:r w:rsidRPr="00AB0DD6">
        <w:rPr>
          <w:lang w:val="en-US"/>
        </w:rPr>
        <w:t xml:space="preserve">The Commissioner </w:t>
      </w:r>
      <w:r w:rsidRPr="0069199C">
        <w:t xml:space="preserve">is concerned about the reportedly low level of awareness of international non-discrimination and equality concepts and standards in Germany, including among holders of public office and members of the legal profession. </w:t>
      </w:r>
      <w:bookmarkStart w:id="72" w:name="_Hlk155957321"/>
      <w:r w:rsidRPr="0069199C">
        <w:t>Despite the growing numbers of reported cases of discrimination, not enough political attention and resources appear to be</w:t>
      </w:r>
      <w:r>
        <w:t xml:space="preserve"> devoted to the promotion of full and effective equality across all sectors. No inter-ministerial strategy has been formulated for that purpose and no specialised departments have been created in line ministries to enhance awareness of and compliance with relevant standards. While welcoming the government’s commitment to reviewing the AGG and closing existing protection gaps, the Commissioner notes that no tangible progress has been made in this regard. </w:t>
      </w:r>
    </w:p>
    <w:bookmarkEnd w:id="72"/>
    <w:p w14:paraId="0C2D394A" w14:textId="77777777" w:rsidR="004A5AEE" w:rsidRPr="00773CE9" w:rsidRDefault="004A5AEE" w:rsidP="004A5AEE">
      <w:pPr>
        <w:pStyle w:val="ListParagraph"/>
        <w:tabs>
          <w:tab w:val="clear" w:pos="567"/>
        </w:tabs>
      </w:pPr>
      <w:r>
        <w:t xml:space="preserve">The Commissioner is further concerned about </w:t>
      </w:r>
      <w:r w:rsidRPr="00773CE9">
        <w:t>racial profiling</w:t>
      </w:r>
      <w:r>
        <w:t>,</w:t>
      </w:r>
      <w:r w:rsidRPr="00773CE9">
        <w:t xml:space="preserve"> </w:t>
      </w:r>
      <w:r>
        <w:t xml:space="preserve">which reportedly persists at the levels of </w:t>
      </w:r>
      <w:r w:rsidRPr="00773CE9">
        <w:t xml:space="preserve">the federal </w:t>
      </w:r>
      <w:r>
        <w:t>and L</w:t>
      </w:r>
      <w:r>
        <w:rPr>
          <w:rFonts w:cs="Calibri"/>
        </w:rPr>
        <w:t>ä</w:t>
      </w:r>
      <w:r>
        <w:t xml:space="preserve">nder </w:t>
      </w:r>
      <w:r w:rsidRPr="00773CE9">
        <w:t>police</w:t>
      </w:r>
      <w:r>
        <w:t>,</w:t>
      </w:r>
      <w:r w:rsidRPr="00773CE9">
        <w:t xml:space="preserve"> a</w:t>
      </w:r>
      <w:r>
        <w:t>nd</w:t>
      </w:r>
      <w:r w:rsidRPr="00773CE9">
        <w:t xml:space="preserve"> </w:t>
      </w:r>
      <w:r>
        <w:t>by the limited progress in ensuring that independent complaints mechanisms against discriminatory police action exist at all levels. While welcoming amendments to the AGG in 2022 to render the head of the FADA independent, and noting the substantial work accomplished by the Independent Commissioner since her election in July 2022, the Commissioner notes that FADA’s competences remain inadequate to carry out all the important functions of an equality body, and that, at L</w:t>
      </w:r>
      <w:r>
        <w:rPr>
          <w:rFonts w:cs="Calibri"/>
        </w:rPr>
        <w:t>ä</w:t>
      </w:r>
      <w:r>
        <w:t xml:space="preserve">nder level, only Berlin </w:t>
      </w:r>
      <w:r w:rsidRPr="00125EFD">
        <w:t>has established an independent structure with a comprehensive mandate to address all forms of discrimination. She is further concerned about the lack of accessibility of independent information and advice</w:t>
      </w:r>
      <w:r>
        <w:t xml:space="preserve"> for possible victims of discrimination across Germany, as well as the many obstacles faced by civil society organisations engaged in combating discrimination.</w:t>
      </w:r>
      <w:r w:rsidR="004D1559">
        <w:t xml:space="preserve"> </w:t>
      </w:r>
    </w:p>
    <w:p w14:paraId="3DFB808F" w14:textId="77777777" w:rsidR="004A5AEE" w:rsidRDefault="004A5AEE" w:rsidP="004A5AEE">
      <w:pPr>
        <w:pStyle w:val="ListParagraph"/>
        <w:tabs>
          <w:tab w:val="clear" w:pos="567"/>
        </w:tabs>
      </w:pPr>
      <w:r>
        <w:t xml:space="preserve">The Commissioner calls on the authorities to accelerate the reform of the AGG, in close consultation with communities, relevant civil society organisations and the FADA, to extend its scope in line with international standards and make it fully effective in protecting individuals from all forms of discrimination, including by introducing </w:t>
      </w:r>
      <w:r w:rsidRPr="00125EFD">
        <w:t>a generally</w:t>
      </w:r>
      <w:r>
        <w:t>-</w:t>
      </w:r>
      <w:r w:rsidRPr="00125EFD">
        <w:t xml:space="preserve">applicable right for associations to </w:t>
      </w:r>
      <w:r w:rsidRPr="00125EFD">
        <w:lastRenderedPageBreak/>
        <w:t xml:space="preserve">take legal action and by </w:t>
      </w:r>
      <w:r>
        <w:t>ensuring that European standards regarding the shifting of the burden of proof in discrimination cases are effectively applied. Legislation should be adopted that clearly defines and prohibits discriminatory profiling.</w:t>
      </w:r>
      <w:r>
        <w:rPr>
          <w:rStyle w:val="FootnoteReference"/>
        </w:rPr>
        <w:footnoteReference w:id="70"/>
      </w:r>
      <w:r w:rsidRPr="00125EFD">
        <w:t xml:space="preserve"> </w:t>
      </w:r>
      <w:r>
        <w:t xml:space="preserve">The Commissioner </w:t>
      </w:r>
      <w:r w:rsidRPr="00125EFD">
        <w:t>further calls on the</w:t>
      </w:r>
      <w:r>
        <w:t xml:space="preserve"> authorities</w:t>
      </w:r>
      <w:r w:rsidRPr="00125EFD">
        <w:t xml:space="preserve"> to engage in comprehensive awareness-raising and training activities, including among</w:t>
      </w:r>
      <w:r>
        <w:t xml:space="preserve"> legal professionals and holders of public offices, of applicable international and national standards on anti-discrimination and equality. To that end, the network of independent information and advice centres which provide vital legal support to possible victims of discrimination should be supported and further extended, notably through the provision of sustainable funding. </w:t>
      </w:r>
    </w:p>
    <w:p w14:paraId="747FBC06" w14:textId="77777777" w:rsidR="004A5AEE" w:rsidRPr="00BB736D" w:rsidRDefault="004A5AEE" w:rsidP="004A5AEE">
      <w:pPr>
        <w:pStyle w:val="ListParagraph"/>
        <w:tabs>
          <w:tab w:val="clear" w:pos="567"/>
        </w:tabs>
        <w:rPr>
          <w:rFonts w:asciiTheme="minorHAnsi" w:hAnsiTheme="minorHAnsi" w:cstheme="minorHAnsi"/>
          <w:color w:val="000000"/>
        </w:rPr>
      </w:pPr>
      <w:r>
        <w:t>The Commission calls on the authorities to give political priority to addressing the growing cases of discrimination experienced in Germany, paying particular attention to the mounting levels of xenophobia and racism, which have the potential to undermine social cohesion and destabilise democratic institutions. A</w:t>
      </w:r>
      <w:r w:rsidRPr="00E32045">
        <w:t>ll necessary steps</w:t>
      </w:r>
      <w:r>
        <w:t xml:space="preserve"> should be</w:t>
      </w:r>
      <w:r w:rsidRPr="00E32045">
        <w:t xml:space="preserve"> tak</w:t>
      </w:r>
      <w:r>
        <w:t xml:space="preserve">en </w:t>
      </w:r>
      <w:r w:rsidRPr="00125EFD">
        <w:t>to establish independent anti-discrimination structures at L</w:t>
      </w:r>
      <w:r w:rsidRPr="00125EFD">
        <w:rPr>
          <w:rFonts w:cs="Calibri"/>
        </w:rPr>
        <w:t>ä</w:t>
      </w:r>
      <w:r w:rsidRPr="00125EFD">
        <w:t xml:space="preserve">nder level, and </w:t>
      </w:r>
      <w:r>
        <w:t>th</w:t>
      </w:r>
      <w:r w:rsidRPr="00125EFD">
        <w:t xml:space="preserve">e visibility and accessibility of all available anti-discrimination bodies </w:t>
      </w:r>
      <w:r>
        <w:t xml:space="preserve">should be expanded </w:t>
      </w:r>
      <w:r w:rsidRPr="00125EFD">
        <w:t xml:space="preserve">by providing them with adequate human, technical and financial resources. In addition, the authorities should formulate a cross-government strategy to enhance the level of awareness of anti-discrimination and equality standards across all ministries. </w:t>
      </w:r>
    </w:p>
    <w:p w14:paraId="635D165B" w14:textId="77777777" w:rsidR="004A5AEE" w:rsidRPr="00AF1A4D" w:rsidRDefault="004A5AEE" w:rsidP="00AF1A4D">
      <w:pPr>
        <w:pStyle w:val="Heading1"/>
        <w:numPr>
          <w:ilvl w:val="0"/>
          <w:numId w:val="24"/>
        </w:numPr>
        <w:rPr>
          <w:lang w:val="en-GB"/>
        </w:rPr>
      </w:pPr>
      <w:bookmarkStart w:id="73" w:name="_Toc158636902"/>
      <w:bookmarkStart w:id="74" w:name="_Toc159582673"/>
      <w:bookmarkStart w:id="75" w:name="_Toc413833140"/>
      <w:bookmarkStart w:id="76" w:name="_Toc419987546"/>
      <w:bookmarkStart w:id="77" w:name="_Toc29999675"/>
      <w:r w:rsidRPr="00AF1A4D">
        <w:rPr>
          <w:lang w:val="en-GB"/>
        </w:rPr>
        <w:t>access to SOCIAL RIGHTS</w:t>
      </w:r>
      <w:bookmarkEnd w:id="73"/>
      <w:bookmarkEnd w:id="74"/>
      <w:r w:rsidRPr="00AF1A4D">
        <w:rPr>
          <w:lang w:val="en-GB"/>
        </w:rPr>
        <w:t xml:space="preserve"> </w:t>
      </w:r>
      <w:bookmarkEnd w:id="75"/>
      <w:bookmarkEnd w:id="76"/>
      <w:bookmarkEnd w:id="77"/>
    </w:p>
    <w:p w14:paraId="052F9BB8" w14:textId="77777777" w:rsidR="004A5AEE" w:rsidRPr="00EB591F" w:rsidRDefault="004A5AEE" w:rsidP="004A5AEE">
      <w:pPr>
        <w:pStyle w:val="ListParagraph"/>
        <w:tabs>
          <w:tab w:val="clear" w:pos="567"/>
        </w:tabs>
        <w:rPr>
          <w:b/>
        </w:rPr>
      </w:pPr>
      <w:bookmarkStart w:id="78" w:name="_Toc413833141"/>
      <w:bookmarkStart w:id="79" w:name="_Toc419987547"/>
      <w:r w:rsidRPr="00773CE9">
        <w:t xml:space="preserve">The Commissioner notes that Germany ratified the revised European Social Charter on 29 March 2021, accepting 88 of </w:t>
      </w:r>
      <w:r>
        <w:t xml:space="preserve">its </w:t>
      </w:r>
      <w:r w:rsidRPr="00773CE9">
        <w:t>98 paragraphs</w:t>
      </w:r>
      <w:r>
        <w:t>,</w:t>
      </w:r>
      <w:r w:rsidRPr="00773CE9">
        <w:t xml:space="preserve"> but neither Article 30 (right to protection against poverty and social exclusion)</w:t>
      </w:r>
      <w:r>
        <w:t xml:space="preserve">, </w:t>
      </w:r>
      <w:r w:rsidRPr="00773CE9">
        <w:t>nor Article 31 (right to housing).</w:t>
      </w:r>
      <w:r w:rsidRPr="00773CE9">
        <w:rPr>
          <w:rStyle w:val="FootnoteReference"/>
        </w:rPr>
        <w:footnoteReference w:id="71"/>
      </w:r>
      <w:r w:rsidRPr="00773CE9">
        <w:t xml:space="preserve"> </w:t>
      </w:r>
      <w:r>
        <w:t xml:space="preserve">Germany </w:t>
      </w:r>
      <w:r w:rsidRPr="0052110E">
        <w:t xml:space="preserve">is one </w:t>
      </w:r>
      <w:r w:rsidRPr="005E6A50">
        <w:t>of only four</w:t>
      </w:r>
      <w:r w:rsidRPr="0052110E">
        <w:t xml:space="preserve"> states parties that have not ratified the 1991 Protocol amending the European Social Charter to improve its effectiveness</w:t>
      </w:r>
      <w:r>
        <w:t>,</w:t>
      </w:r>
      <w:r w:rsidRPr="0052110E">
        <w:t xml:space="preserve"> and has not a</w:t>
      </w:r>
      <w:r w:rsidRPr="00773CE9">
        <w:t>ccepted to be bound by the Collective Complaints Procedure of the European Social Charter</w:t>
      </w:r>
      <w:r>
        <w:t>, which was</w:t>
      </w:r>
      <w:r w:rsidRPr="00773CE9">
        <w:t xml:space="preserve"> introduced in 1995 </w:t>
      </w:r>
      <w:r>
        <w:t>to i</w:t>
      </w:r>
      <w:r w:rsidRPr="00773CE9">
        <w:t>ncreas</w:t>
      </w:r>
      <w:r>
        <w:t>e</w:t>
      </w:r>
      <w:r w:rsidRPr="00773CE9">
        <w:t xml:space="preserve"> the speed and impact of the implementation of the Charter.</w:t>
      </w:r>
      <w:r w:rsidRPr="00EB591F">
        <w:t xml:space="preserve"> </w:t>
      </w:r>
    </w:p>
    <w:p w14:paraId="0E75A296" w14:textId="77777777" w:rsidR="004A5AEE" w:rsidRPr="0099151C" w:rsidRDefault="004A5AEE" w:rsidP="004A5AEE">
      <w:pPr>
        <w:pStyle w:val="ListParagraph"/>
        <w:tabs>
          <w:tab w:val="clear" w:pos="567"/>
        </w:tabs>
        <w:rPr>
          <w:b/>
        </w:rPr>
      </w:pPr>
      <w:r w:rsidRPr="00773CE9">
        <w:t>The Commissioner welcomes that</w:t>
      </w:r>
      <w:r>
        <w:t>,</w:t>
      </w:r>
      <w:r w:rsidRPr="00773CE9">
        <w:t xml:space="preserve"> on 20 April 2023, Germany ratified the Optional Protocol to the International Covenant on Economic, Social and Cultural Rights</w:t>
      </w:r>
      <w:r>
        <w:t xml:space="preserve"> (ICESCR)</w:t>
      </w:r>
      <w:r w:rsidRPr="00773CE9">
        <w:t xml:space="preserve">, resulting, as of 20 July 2023, in the possibility of individual complaints to be submitted to the UN Committee on Economic, Social and Cultural Rights </w:t>
      </w:r>
      <w:r>
        <w:t xml:space="preserve">(CESCR) </w:t>
      </w:r>
      <w:r w:rsidRPr="00773CE9">
        <w:t xml:space="preserve">by either individuals or civil society organisations. Thus far, however, the Optional Protocol remains widely unknown in Germany. </w:t>
      </w:r>
    </w:p>
    <w:p w14:paraId="51EB0592" w14:textId="77777777" w:rsidR="004A5AEE" w:rsidRPr="00773CE9" w:rsidRDefault="004A5AEE" w:rsidP="004A5AEE">
      <w:pPr>
        <w:pStyle w:val="ListParagraph"/>
        <w:tabs>
          <w:tab w:val="clear" w:pos="567"/>
        </w:tabs>
        <w:rPr>
          <w:b/>
        </w:rPr>
      </w:pPr>
      <w:r w:rsidRPr="00773CE9">
        <w:t>Th</w:t>
      </w:r>
      <w:r>
        <w:t xml:space="preserve">rough </w:t>
      </w:r>
      <w:r w:rsidRPr="00773CE9">
        <w:t xml:space="preserve">the discussions held during </w:t>
      </w:r>
      <w:r>
        <w:t>her</w:t>
      </w:r>
      <w:r w:rsidRPr="00773CE9">
        <w:t xml:space="preserve"> visit</w:t>
      </w:r>
      <w:r>
        <w:t>, the Commissioner learned</w:t>
      </w:r>
      <w:r w:rsidRPr="00773CE9">
        <w:t xml:space="preserve"> that social rights are </w:t>
      </w:r>
      <w:r>
        <w:t>often</w:t>
      </w:r>
      <w:r w:rsidRPr="00773CE9">
        <w:t xml:space="preserve"> not considered legally binding</w:t>
      </w:r>
      <w:r>
        <w:t>,</w:t>
      </w:r>
      <w:r w:rsidRPr="00773CE9">
        <w:t xml:space="preserve"> but </w:t>
      </w:r>
      <w:r>
        <w:t xml:space="preserve">rather </w:t>
      </w:r>
      <w:r w:rsidRPr="00773CE9">
        <w:t xml:space="preserve">subject </w:t>
      </w:r>
      <w:r>
        <w:t xml:space="preserve">to the </w:t>
      </w:r>
      <w:r w:rsidRPr="00773CE9">
        <w:t>availability of resources. Civil society actors and the G</w:t>
      </w:r>
      <w:r>
        <w:t>IHR</w:t>
      </w:r>
      <w:r w:rsidRPr="00773CE9">
        <w:t xml:space="preserve"> observe that the general discourse pertaining to social rights, including protection from poverty and the right to adequate housing, is disconnected from discussions of human rights and entitlements</w:t>
      </w:r>
      <w:r>
        <w:t>,</w:t>
      </w:r>
      <w:r w:rsidRPr="00773CE9">
        <w:t xml:space="preserve"> and that the German Constitution, w</w:t>
      </w:r>
      <w:r>
        <w:t>ith its focus on</w:t>
      </w:r>
      <w:r w:rsidRPr="00773CE9">
        <w:t xml:space="preserve"> civil and political rights, is not often referred to as basis for state obligations</w:t>
      </w:r>
      <w:r>
        <w:t xml:space="preserve"> in the field of social rights</w:t>
      </w:r>
      <w:r w:rsidRPr="00773CE9">
        <w:t xml:space="preserve">. </w:t>
      </w:r>
      <w:r>
        <w:t xml:space="preserve">The Commissioner notes a </w:t>
      </w:r>
      <w:r w:rsidRPr="00773CE9">
        <w:t>lack of</w:t>
      </w:r>
      <w:r>
        <w:t xml:space="preserve"> recognition </w:t>
      </w:r>
      <w:r w:rsidRPr="00773CE9">
        <w:t xml:space="preserve">of the indivisibility of human rights, including among Parliamentarians and government </w:t>
      </w:r>
      <w:r>
        <w:t xml:space="preserve">officials. In this context, she notes that </w:t>
      </w:r>
      <w:r w:rsidRPr="00773CE9">
        <w:rPr>
          <w:rFonts w:asciiTheme="minorHAnsi" w:hAnsiTheme="minorHAnsi" w:cstheme="minorHAnsi"/>
          <w:bCs/>
          <w:szCs w:val="22"/>
        </w:rPr>
        <w:t>the Constitutional Court</w:t>
      </w:r>
      <w:r w:rsidRPr="00773CE9">
        <w:rPr>
          <w:szCs w:val="22"/>
        </w:rPr>
        <w:t xml:space="preserve"> clarif</w:t>
      </w:r>
      <w:r>
        <w:rPr>
          <w:szCs w:val="22"/>
        </w:rPr>
        <w:t>ied in 2010 t</w:t>
      </w:r>
      <w:r w:rsidRPr="00773CE9">
        <w:rPr>
          <w:szCs w:val="22"/>
        </w:rPr>
        <w:t>hat the protection of the inherent dignity of all human beings</w:t>
      </w:r>
      <w:r>
        <w:rPr>
          <w:szCs w:val="22"/>
        </w:rPr>
        <w:t xml:space="preserve">, </w:t>
      </w:r>
      <w:r w:rsidRPr="00773CE9">
        <w:rPr>
          <w:szCs w:val="22"/>
        </w:rPr>
        <w:t>enshrined in Article 1 of the Constitution</w:t>
      </w:r>
      <w:r w:rsidRPr="00773CE9">
        <w:t xml:space="preserve"> in combination with the reference to Germany as a social state in Article 20</w:t>
      </w:r>
      <w:r>
        <w:t>,</w:t>
      </w:r>
      <w:r w:rsidRPr="00773CE9">
        <w:t xml:space="preserve"> oblige</w:t>
      </w:r>
      <w:r>
        <w:t>s</w:t>
      </w:r>
      <w:r w:rsidRPr="00773CE9">
        <w:t xml:space="preserve"> the state to provide a level of social assistance that enable</w:t>
      </w:r>
      <w:r>
        <w:t>s</w:t>
      </w:r>
      <w:r w:rsidRPr="00773CE9">
        <w:t xml:space="preserve"> beneficiaries not only to cover material needs</w:t>
      </w:r>
      <w:r>
        <w:t>,</w:t>
      </w:r>
      <w:r w:rsidRPr="00773CE9">
        <w:t xml:space="preserve"> but also enjoy a minimum level of participation in society.</w:t>
      </w:r>
      <w:r w:rsidRPr="00773CE9">
        <w:rPr>
          <w:rStyle w:val="FootnoteReference"/>
        </w:rPr>
        <w:footnoteReference w:id="72"/>
      </w:r>
      <w:r w:rsidRPr="00773CE9">
        <w:t xml:space="preserve"> </w:t>
      </w:r>
    </w:p>
    <w:p w14:paraId="40418AE8" w14:textId="77777777" w:rsidR="004A5AEE" w:rsidRPr="00773CE9" w:rsidRDefault="004A5AEE" w:rsidP="004A5AEE">
      <w:pPr>
        <w:pStyle w:val="ListParagraph"/>
        <w:tabs>
          <w:tab w:val="clear" w:pos="567"/>
        </w:tabs>
        <w:rPr>
          <w:b/>
        </w:rPr>
      </w:pPr>
      <w:bookmarkStart w:id="80" w:name="_Hlk156554653"/>
      <w:r w:rsidRPr="00773CE9">
        <w:lastRenderedPageBreak/>
        <w:t>The Commissioner wishes to reiterate the importance of social rights as</w:t>
      </w:r>
      <w:r>
        <w:t xml:space="preserve"> a</w:t>
      </w:r>
      <w:r w:rsidRPr="00773CE9">
        <w:t xml:space="preserve"> precondition for the dignified exercise of all human rights. </w:t>
      </w:r>
      <w:r>
        <w:t xml:space="preserve">She </w:t>
      </w:r>
      <w:r w:rsidRPr="00773CE9">
        <w:t>notes that the high levels of poverty and social exclusion in Germany are disproportionate to the wealth of the country as Europe’s largest economy</w:t>
      </w:r>
      <w:r>
        <w:t>,</w:t>
      </w:r>
      <w:r w:rsidRPr="00773CE9">
        <w:t xml:space="preserve"> and that the persistent narrative in political discourse and the media that poverty or homelessness are caused by the affected </w:t>
      </w:r>
      <w:r>
        <w:t xml:space="preserve">individuals </w:t>
      </w:r>
      <w:r w:rsidRPr="00773CE9">
        <w:t xml:space="preserve">themselves, due to their choice, </w:t>
      </w:r>
      <w:proofErr w:type="gramStart"/>
      <w:r w:rsidRPr="00773CE9">
        <w:t>i</w:t>
      </w:r>
      <w:r>
        <w:t>ndolence</w:t>
      </w:r>
      <w:proofErr w:type="gramEnd"/>
      <w:r>
        <w:t xml:space="preserve"> </w:t>
      </w:r>
      <w:r w:rsidRPr="00773CE9">
        <w:t>or negl</w:t>
      </w:r>
      <w:r>
        <w:t>igence</w:t>
      </w:r>
      <w:r w:rsidRPr="00773CE9">
        <w:t xml:space="preserve">, </w:t>
      </w:r>
      <w:r>
        <w:t>hinders progress in</w:t>
      </w:r>
      <w:r w:rsidRPr="00773CE9">
        <w:t xml:space="preserve"> </w:t>
      </w:r>
      <w:r>
        <w:t xml:space="preserve">ensuring </w:t>
      </w:r>
      <w:r w:rsidRPr="00773CE9">
        <w:t xml:space="preserve">effective access to social rights. </w:t>
      </w:r>
      <w:r>
        <w:t xml:space="preserve">She is further concerned about the growing levels of inequality in Germany, that threaten social cohesion. The Commissioner noted unanimous and serious concern among her interlocutors regarding the rise of the far-right in the political sphere, which, as many fear, threatens democracy in Germany. </w:t>
      </w:r>
      <w:r w:rsidRPr="00773CE9">
        <w:t>The issues raised below should be seen within this overall context</w:t>
      </w:r>
      <w:bookmarkEnd w:id="80"/>
      <w:r w:rsidRPr="00773CE9">
        <w:t>.</w:t>
      </w:r>
      <w:r>
        <w:rPr>
          <w:rStyle w:val="FootnoteReference"/>
        </w:rPr>
        <w:footnoteReference w:id="73"/>
      </w:r>
      <w:r w:rsidRPr="00773CE9">
        <w:t xml:space="preserve"> </w:t>
      </w:r>
    </w:p>
    <w:p w14:paraId="2D7AAA18" w14:textId="77777777" w:rsidR="004A5AEE" w:rsidRPr="00773CE9" w:rsidRDefault="004A5AEE" w:rsidP="00AF1A4D">
      <w:pPr>
        <w:pStyle w:val="Heading2"/>
        <w:numPr>
          <w:ilvl w:val="1"/>
          <w:numId w:val="24"/>
        </w:numPr>
        <w:tabs>
          <w:tab w:val="num" w:pos="765"/>
        </w:tabs>
        <w:ind w:hanging="765"/>
      </w:pPr>
      <w:bookmarkStart w:id="81" w:name="_Toc29999676"/>
      <w:bookmarkStart w:id="82" w:name="_Toc158636903"/>
      <w:bookmarkStart w:id="83" w:name="_Toc159582674"/>
      <w:bookmarkEnd w:id="78"/>
      <w:bookmarkEnd w:id="79"/>
      <w:r w:rsidRPr="00773CE9">
        <w:t>Protection from poverty</w:t>
      </w:r>
      <w:bookmarkEnd w:id="81"/>
      <w:bookmarkEnd w:id="82"/>
      <w:bookmarkEnd w:id="83"/>
    </w:p>
    <w:p w14:paraId="55DC1CF4" w14:textId="77777777" w:rsidR="004A5AEE" w:rsidRPr="00773CE9" w:rsidRDefault="004A5AEE" w:rsidP="004A5AEE">
      <w:pPr>
        <w:pStyle w:val="ListParagraph"/>
        <w:tabs>
          <w:tab w:val="clear" w:pos="567"/>
        </w:tabs>
        <w:rPr>
          <w:rFonts w:asciiTheme="minorHAnsi" w:hAnsiTheme="minorHAnsi" w:cstheme="minorHAnsi"/>
          <w:szCs w:val="22"/>
        </w:rPr>
      </w:pPr>
      <w:r w:rsidRPr="00773CE9">
        <w:rPr>
          <w:rFonts w:asciiTheme="minorHAnsi" w:hAnsiTheme="minorHAnsi" w:cstheme="minorHAnsi"/>
          <w:bCs/>
          <w:szCs w:val="22"/>
          <w:lang w:eastAsia="fr-FR"/>
        </w:rPr>
        <w:t>Poverty and income inequality have considerably increased in Germany over</w:t>
      </w:r>
      <w:r>
        <w:rPr>
          <w:rFonts w:asciiTheme="minorHAnsi" w:hAnsiTheme="minorHAnsi" w:cstheme="minorHAnsi"/>
          <w:bCs/>
          <w:szCs w:val="22"/>
          <w:lang w:eastAsia="fr-FR"/>
        </w:rPr>
        <w:t xml:space="preserve"> the</w:t>
      </w:r>
      <w:r w:rsidRPr="00773CE9">
        <w:rPr>
          <w:rFonts w:asciiTheme="minorHAnsi" w:hAnsiTheme="minorHAnsi" w:cstheme="minorHAnsi"/>
          <w:bCs/>
          <w:szCs w:val="22"/>
          <w:lang w:eastAsia="fr-FR"/>
        </w:rPr>
        <w:t xml:space="preserve"> past years, with a record level of almost 21% of the population at risk of poverty in 2022</w:t>
      </w:r>
      <w:bookmarkStart w:id="84" w:name="_Hlk152679212"/>
      <w:r w:rsidRPr="00773CE9">
        <w:rPr>
          <w:rFonts w:asciiTheme="minorHAnsi" w:hAnsiTheme="minorHAnsi" w:cstheme="minorHAnsi"/>
          <w:bCs/>
          <w:szCs w:val="22"/>
          <w:lang w:eastAsia="fr-FR"/>
        </w:rPr>
        <w:t>.</w:t>
      </w:r>
      <w:r w:rsidRPr="00773CE9">
        <w:rPr>
          <w:rFonts w:asciiTheme="minorHAnsi" w:hAnsiTheme="minorHAnsi" w:cstheme="minorHAnsi"/>
          <w:szCs w:val="22"/>
          <w:vertAlign w:val="superscript"/>
        </w:rPr>
        <w:footnoteReference w:id="74"/>
      </w:r>
      <w:r w:rsidRPr="00773CE9">
        <w:rPr>
          <w:rFonts w:asciiTheme="minorHAnsi" w:hAnsiTheme="minorHAnsi" w:cstheme="minorHAnsi"/>
          <w:bCs/>
          <w:szCs w:val="22"/>
          <w:lang w:eastAsia="fr-FR"/>
        </w:rPr>
        <w:t xml:space="preserve"> </w:t>
      </w:r>
      <w:bookmarkEnd w:id="84"/>
      <w:r w:rsidRPr="00773CE9">
        <w:rPr>
          <w:rFonts w:asciiTheme="minorHAnsi" w:hAnsiTheme="minorHAnsi" w:cstheme="minorHAnsi"/>
          <w:bCs/>
          <w:szCs w:val="22"/>
          <w:lang w:eastAsia="fr-FR"/>
        </w:rPr>
        <w:t>According to a study of the Institute for Economic and Social Science, poor</w:t>
      </w:r>
      <w:r>
        <w:rPr>
          <w:rFonts w:asciiTheme="minorHAnsi" w:hAnsiTheme="minorHAnsi" w:cstheme="minorHAnsi"/>
          <w:bCs/>
          <w:szCs w:val="22"/>
          <w:lang w:eastAsia="fr-FR"/>
        </w:rPr>
        <w:t>er</w:t>
      </w:r>
      <w:r w:rsidRPr="00773CE9">
        <w:rPr>
          <w:rFonts w:asciiTheme="minorHAnsi" w:hAnsiTheme="minorHAnsi" w:cstheme="minorHAnsi"/>
          <w:bCs/>
          <w:szCs w:val="22"/>
          <w:lang w:eastAsia="fr-FR"/>
        </w:rPr>
        <w:t xml:space="preserve"> households ha</w:t>
      </w:r>
      <w:r>
        <w:rPr>
          <w:rFonts w:asciiTheme="minorHAnsi" w:hAnsiTheme="minorHAnsi" w:cstheme="minorHAnsi"/>
          <w:bCs/>
          <w:szCs w:val="22"/>
          <w:lang w:eastAsia="fr-FR"/>
        </w:rPr>
        <w:t>ve</w:t>
      </w:r>
      <w:r w:rsidRPr="00773CE9">
        <w:rPr>
          <w:rFonts w:asciiTheme="minorHAnsi" w:hAnsiTheme="minorHAnsi" w:cstheme="minorHAnsi"/>
          <w:bCs/>
          <w:szCs w:val="22"/>
          <w:lang w:eastAsia="fr-FR"/>
        </w:rPr>
        <w:t xml:space="preserve"> not benefited from the overall positive economic development and declining </w:t>
      </w:r>
      <w:r>
        <w:rPr>
          <w:rFonts w:asciiTheme="minorHAnsi" w:hAnsiTheme="minorHAnsi" w:cstheme="minorHAnsi"/>
          <w:bCs/>
          <w:szCs w:val="22"/>
          <w:lang w:eastAsia="fr-FR"/>
        </w:rPr>
        <w:t xml:space="preserve">rate of </w:t>
      </w:r>
      <w:r w:rsidRPr="00773CE9">
        <w:rPr>
          <w:rFonts w:asciiTheme="minorHAnsi" w:hAnsiTheme="minorHAnsi" w:cstheme="minorHAnsi"/>
          <w:bCs/>
          <w:szCs w:val="22"/>
          <w:lang w:eastAsia="fr-FR"/>
        </w:rPr>
        <w:t>unemployment</w:t>
      </w:r>
      <w:r>
        <w:rPr>
          <w:rFonts w:asciiTheme="minorHAnsi" w:hAnsiTheme="minorHAnsi" w:cstheme="minorHAnsi"/>
          <w:bCs/>
          <w:szCs w:val="22"/>
          <w:lang w:eastAsia="fr-FR"/>
        </w:rPr>
        <w:t xml:space="preserve"> </w:t>
      </w:r>
      <w:r w:rsidRPr="00773CE9">
        <w:rPr>
          <w:rFonts w:asciiTheme="minorHAnsi" w:hAnsiTheme="minorHAnsi" w:cstheme="minorHAnsi"/>
          <w:bCs/>
          <w:szCs w:val="22"/>
          <w:lang w:eastAsia="fr-FR"/>
        </w:rPr>
        <w:t>over the past decade</w:t>
      </w:r>
      <w:r>
        <w:rPr>
          <w:rFonts w:asciiTheme="minorHAnsi" w:hAnsiTheme="minorHAnsi" w:cstheme="minorHAnsi"/>
          <w:bCs/>
          <w:szCs w:val="22"/>
          <w:lang w:eastAsia="fr-FR"/>
        </w:rPr>
        <w:t>,</w:t>
      </w:r>
      <w:r w:rsidRPr="00773CE9">
        <w:rPr>
          <w:rFonts w:asciiTheme="minorHAnsi" w:hAnsiTheme="minorHAnsi" w:cstheme="minorHAnsi"/>
          <w:bCs/>
          <w:szCs w:val="22"/>
          <w:lang w:eastAsia="fr-FR"/>
        </w:rPr>
        <w:t xml:space="preserve"> but </w:t>
      </w:r>
      <w:r>
        <w:rPr>
          <w:rFonts w:asciiTheme="minorHAnsi" w:hAnsiTheme="minorHAnsi" w:cstheme="minorHAnsi"/>
          <w:bCs/>
          <w:szCs w:val="22"/>
          <w:lang w:eastAsia="fr-FR"/>
        </w:rPr>
        <w:t xml:space="preserve">have </w:t>
      </w:r>
      <w:r w:rsidRPr="00773CE9">
        <w:rPr>
          <w:rFonts w:asciiTheme="minorHAnsi" w:hAnsiTheme="minorHAnsi" w:cstheme="minorHAnsi"/>
          <w:bCs/>
          <w:szCs w:val="22"/>
          <w:lang w:eastAsia="fr-FR"/>
        </w:rPr>
        <w:t>fallen further behind</w:t>
      </w:r>
      <w:r>
        <w:rPr>
          <w:rFonts w:asciiTheme="minorHAnsi" w:hAnsiTheme="minorHAnsi" w:cstheme="minorHAnsi"/>
          <w:bCs/>
          <w:szCs w:val="22"/>
          <w:lang w:eastAsia="fr-FR"/>
        </w:rPr>
        <w:t>: between 2010 and 2019,t</w:t>
      </w:r>
      <w:r w:rsidRPr="00DA4818">
        <w:rPr>
          <w:rFonts w:asciiTheme="minorHAnsi" w:hAnsiTheme="minorHAnsi" w:cstheme="minorHAnsi"/>
          <w:bCs/>
          <w:szCs w:val="22"/>
          <w:lang w:val="en-US" w:eastAsia="fr-FR"/>
        </w:rPr>
        <w:t>he proportion of very poor people, with less than 50% of the medium income at their disposal, increased by 40%.</w:t>
      </w:r>
      <w:bookmarkStart w:id="85" w:name="_Hlk152679419"/>
      <w:r w:rsidRPr="00773CE9">
        <w:rPr>
          <w:rFonts w:asciiTheme="minorHAnsi" w:hAnsiTheme="minorHAnsi" w:cstheme="minorHAnsi"/>
          <w:szCs w:val="22"/>
          <w:vertAlign w:val="superscript"/>
        </w:rPr>
        <w:footnoteReference w:id="75"/>
      </w:r>
      <w:bookmarkEnd w:id="85"/>
      <w:r w:rsidRPr="00773CE9">
        <w:rPr>
          <w:rFonts w:asciiTheme="minorHAnsi" w:hAnsiTheme="minorHAnsi" w:cstheme="minorHAnsi"/>
          <w:bCs/>
          <w:szCs w:val="22"/>
          <w:lang w:eastAsia="fr-FR"/>
        </w:rPr>
        <w:t xml:space="preserve"> As a result of growing poverty</w:t>
      </w:r>
      <w:r>
        <w:rPr>
          <w:rFonts w:asciiTheme="minorHAnsi" w:hAnsiTheme="minorHAnsi" w:cstheme="minorHAnsi"/>
          <w:bCs/>
          <w:szCs w:val="22"/>
          <w:lang w:eastAsia="fr-FR"/>
        </w:rPr>
        <w:t>,</w:t>
      </w:r>
      <w:r w:rsidRPr="00773CE9">
        <w:rPr>
          <w:rFonts w:asciiTheme="minorHAnsi" w:hAnsiTheme="minorHAnsi" w:cstheme="minorHAnsi"/>
          <w:bCs/>
          <w:szCs w:val="22"/>
          <w:lang w:eastAsia="fr-FR"/>
        </w:rPr>
        <w:t xml:space="preserve"> and an increase in food costs by 15% since 2022, the number of beneficiaries of food banks in Germany has al</w:t>
      </w:r>
      <w:r>
        <w:rPr>
          <w:rFonts w:asciiTheme="minorHAnsi" w:hAnsiTheme="minorHAnsi" w:cstheme="minorHAnsi"/>
          <w:bCs/>
          <w:szCs w:val="22"/>
          <w:lang w:eastAsia="fr-FR"/>
        </w:rPr>
        <w:t>most</w:t>
      </w:r>
      <w:r w:rsidRPr="00773CE9">
        <w:rPr>
          <w:rFonts w:asciiTheme="minorHAnsi" w:hAnsiTheme="minorHAnsi" w:cstheme="minorHAnsi"/>
          <w:bCs/>
          <w:szCs w:val="22"/>
          <w:lang w:eastAsia="fr-FR"/>
        </w:rPr>
        <w:t xml:space="preserve"> doubled over the </w:t>
      </w:r>
      <w:r>
        <w:rPr>
          <w:rFonts w:asciiTheme="minorHAnsi" w:hAnsiTheme="minorHAnsi" w:cstheme="minorHAnsi"/>
          <w:bCs/>
          <w:szCs w:val="22"/>
          <w:lang w:eastAsia="fr-FR"/>
        </w:rPr>
        <w:t>p</w:t>
      </w:r>
      <w:r w:rsidRPr="00773CE9">
        <w:rPr>
          <w:rFonts w:asciiTheme="minorHAnsi" w:hAnsiTheme="minorHAnsi" w:cstheme="minorHAnsi"/>
          <w:bCs/>
          <w:szCs w:val="22"/>
          <w:lang w:eastAsia="fr-FR"/>
        </w:rPr>
        <w:t xml:space="preserve">ast two years, from 1.1 million in 2020 to 2 million in 2022, of </w:t>
      </w:r>
      <w:r>
        <w:rPr>
          <w:rFonts w:asciiTheme="minorHAnsi" w:hAnsiTheme="minorHAnsi" w:cstheme="minorHAnsi"/>
          <w:bCs/>
          <w:szCs w:val="22"/>
          <w:lang w:eastAsia="fr-FR"/>
        </w:rPr>
        <w:t>which</w:t>
      </w:r>
      <w:r w:rsidRPr="00773CE9">
        <w:rPr>
          <w:rFonts w:asciiTheme="minorHAnsi" w:hAnsiTheme="minorHAnsi" w:cstheme="minorHAnsi"/>
          <w:bCs/>
          <w:szCs w:val="22"/>
          <w:lang w:eastAsia="fr-FR"/>
        </w:rPr>
        <w:t xml:space="preserve"> 28%</w:t>
      </w:r>
      <w:r w:rsidR="004D1559">
        <w:rPr>
          <w:rFonts w:asciiTheme="minorHAnsi" w:hAnsiTheme="minorHAnsi" w:cstheme="minorHAnsi"/>
          <w:bCs/>
          <w:szCs w:val="22"/>
          <w:lang w:eastAsia="fr-FR"/>
        </w:rPr>
        <w:t xml:space="preserve"> </w:t>
      </w:r>
      <w:r>
        <w:rPr>
          <w:rFonts w:asciiTheme="minorHAnsi" w:hAnsiTheme="minorHAnsi" w:cstheme="minorHAnsi"/>
          <w:bCs/>
          <w:szCs w:val="22"/>
          <w:lang w:eastAsia="fr-FR"/>
        </w:rPr>
        <w:t>are</w:t>
      </w:r>
      <w:r w:rsidRPr="00773CE9">
        <w:rPr>
          <w:rFonts w:asciiTheme="minorHAnsi" w:hAnsiTheme="minorHAnsi" w:cstheme="minorHAnsi"/>
          <w:bCs/>
          <w:szCs w:val="22"/>
          <w:lang w:eastAsia="fr-FR"/>
        </w:rPr>
        <w:t xml:space="preserve"> children and young people</w:t>
      </w:r>
      <w:r>
        <w:rPr>
          <w:rFonts w:asciiTheme="minorHAnsi" w:hAnsiTheme="minorHAnsi" w:cstheme="minorHAnsi"/>
          <w:bCs/>
          <w:szCs w:val="22"/>
          <w:lang w:eastAsia="fr-FR"/>
        </w:rPr>
        <w:t>,</w:t>
      </w:r>
      <w:r w:rsidRPr="00773CE9">
        <w:rPr>
          <w:rFonts w:asciiTheme="minorHAnsi" w:hAnsiTheme="minorHAnsi" w:cstheme="minorHAnsi"/>
          <w:bCs/>
          <w:szCs w:val="22"/>
          <w:lang w:eastAsia="fr-FR"/>
        </w:rPr>
        <w:t xml:space="preserve"> and almost a quarter </w:t>
      </w:r>
      <w:r>
        <w:rPr>
          <w:rFonts w:asciiTheme="minorHAnsi" w:hAnsiTheme="minorHAnsi" w:cstheme="minorHAnsi"/>
          <w:bCs/>
          <w:szCs w:val="22"/>
          <w:lang w:eastAsia="fr-FR"/>
        </w:rPr>
        <w:t xml:space="preserve">are </w:t>
      </w:r>
      <w:r w:rsidRPr="00773CE9">
        <w:rPr>
          <w:rFonts w:asciiTheme="minorHAnsi" w:hAnsiTheme="minorHAnsi" w:cstheme="minorHAnsi"/>
          <w:bCs/>
          <w:szCs w:val="22"/>
          <w:lang w:eastAsia="fr-FR"/>
        </w:rPr>
        <w:t>older people.</w:t>
      </w:r>
      <w:r w:rsidRPr="00773CE9">
        <w:rPr>
          <w:rStyle w:val="FootnoteReference"/>
          <w:rFonts w:asciiTheme="minorHAnsi" w:hAnsiTheme="minorHAnsi" w:cstheme="minorHAnsi"/>
          <w:bCs/>
          <w:szCs w:val="22"/>
          <w:lang w:eastAsia="fr-FR"/>
        </w:rPr>
        <w:footnoteReference w:id="76"/>
      </w:r>
    </w:p>
    <w:p w14:paraId="784FAC5B" w14:textId="77777777" w:rsidR="004A5AEE" w:rsidRPr="00AF1A4D" w:rsidRDefault="004A5AEE" w:rsidP="00AF1A4D">
      <w:pPr>
        <w:pStyle w:val="Heading3"/>
        <w:numPr>
          <w:ilvl w:val="2"/>
          <w:numId w:val="24"/>
        </w:numPr>
        <w:ind w:left="794" w:hanging="794"/>
        <w:rPr>
          <w:rFonts w:eastAsiaTheme="minorEastAsia"/>
          <w:lang w:val="en-GB"/>
        </w:rPr>
      </w:pPr>
      <w:bookmarkStart w:id="86" w:name="_Toc158636904"/>
      <w:bookmarkStart w:id="87" w:name="_Toc159582675"/>
      <w:r w:rsidRPr="00AF1A4D">
        <w:rPr>
          <w:rFonts w:eastAsiaTheme="minorEastAsia"/>
          <w:lang w:val="en-GB"/>
        </w:rPr>
        <w:t>Access to benefits</w:t>
      </w:r>
      <w:bookmarkEnd w:id="86"/>
      <w:bookmarkEnd w:id="87"/>
      <w:r w:rsidRPr="00AF1A4D">
        <w:rPr>
          <w:rFonts w:eastAsiaTheme="minorEastAsia"/>
          <w:lang w:val="en-GB"/>
        </w:rPr>
        <w:t xml:space="preserve"> </w:t>
      </w:r>
    </w:p>
    <w:p w14:paraId="23941898" w14:textId="77777777" w:rsidR="004A5AEE" w:rsidRPr="00773CE9" w:rsidRDefault="004A5AEE" w:rsidP="004A5AEE">
      <w:pPr>
        <w:pStyle w:val="ListParagraph"/>
        <w:tabs>
          <w:tab w:val="clear" w:pos="567"/>
        </w:tabs>
        <w:rPr>
          <w:rFonts w:asciiTheme="minorHAnsi" w:hAnsiTheme="minorHAnsi" w:cstheme="minorHAnsi"/>
          <w:szCs w:val="22"/>
        </w:rPr>
      </w:pPr>
      <w:r w:rsidRPr="00773CE9">
        <w:rPr>
          <w:rFonts w:asciiTheme="minorHAnsi" w:hAnsiTheme="minorHAnsi" w:cstheme="minorHAnsi"/>
          <w:bCs/>
          <w:szCs w:val="22"/>
          <w:lang w:eastAsia="fr-FR"/>
        </w:rPr>
        <w:t>The Commissioner welcomes the federal government’s comprehensive reform of the welfare system in January 2023</w:t>
      </w:r>
      <w:r>
        <w:rPr>
          <w:rFonts w:asciiTheme="minorHAnsi" w:hAnsiTheme="minorHAnsi" w:cstheme="minorHAnsi"/>
          <w:bCs/>
          <w:szCs w:val="22"/>
          <w:lang w:eastAsia="fr-FR"/>
        </w:rPr>
        <w:t>,</w:t>
      </w:r>
      <w:r w:rsidRPr="00773CE9">
        <w:rPr>
          <w:rFonts w:asciiTheme="minorHAnsi" w:hAnsiTheme="minorHAnsi" w:cstheme="minorHAnsi"/>
          <w:bCs/>
          <w:szCs w:val="22"/>
          <w:lang w:eastAsia="fr-FR"/>
        </w:rPr>
        <w:t xml:space="preserve"> which introduced a </w:t>
      </w:r>
      <w:r>
        <w:rPr>
          <w:rFonts w:asciiTheme="minorHAnsi" w:hAnsiTheme="minorHAnsi" w:cstheme="minorHAnsi"/>
          <w:bCs/>
          <w:szCs w:val="22"/>
          <w:lang w:eastAsia="fr-FR"/>
        </w:rPr>
        <w:t xml:space="preserve">notable </w:t>
      </w:r>
      <w:r w:rsidRPr="00773CE9">
        <w:rPr>
          <w:rFonts w:asciiTheme="minorHAnsi" w:hAnsiTheme="minorHAnsi" w:cstheme="minorHAnsi"/>
          <w:bCs/>
          <w:szCs w:val="22"/>
          <w:lang w:eastAsia="fr-FR"/>
        </w:rPr>
        <w:t>increase in basic social security provision (now called “</w:t>
      </w:r>
      <w:proofErr w:type="spellStart"/>
      <w:r w:rsidRPr="00773CE9">
        <w:rPr>
          <w:rFonts w:asciiTheme="minorHAnsi" w:hAnsiTheme="minorHAnsi" w:cstheme="minorHAnsi"/>
          <w:bCs/>
          <w:szCs w:val="22"/>
          <w:lang w:eastAsia="fr-FR"/>
        </w:rPr>
        <w:t>Bürgergeld</w:t>
      </w:r>
      <w:proofErr w:type="spellEnd"/>
      <w:r w:rsidRPr="00773CE9">
        <w:rPr>
          <w:rFonts w:asciiTheme="minorHAnsi" w:hAnsiTheme="minorHAnsi" w:cstheme="minorHAnsi"/>
          <w:bCs/>
          <w:szCs w:val="22"/>
          <w:lang w:eastAsia="fr-FR"/>
        </w:rPr>
        <w:t xml:space="preserve">”) to persons with low or no </w:t>
      </w:r>
      <w:proofErr w:type="gramStart"/>
      <w:r w:rsidRPr="00773CE9">
        <w:rPr>
          <w:rFonts w:asciiTheme="minorHAnsi" w:hAnsiTheme="minorHAnsi" w:cstheme="minorHAnsi"/>
          <w:bCs/>
          <w:szCs w:val="22"/>
          <w:lang w:eastAsia="fr-FR"/>
        </w:rPr>
        <w:t>income</w:t>
      </w:r>
      <w:r>
        <w:rPr>
          <w:rFonts w:asciiTheme="minorHAnsi" w:hAnsiTheme="minorHAnsi" w:cstheme="minorHAnsi"/>
          <w:bCs/>
          <w:szCs w:val="22"/>
          <w:lang w:eastAsia="fr-FR"/>
        </w:rPr>
        <w:t>,</w:t>
      </w:r>
      <w:r w:rsidRPr="00773CE9">
        <w:rPr>
          <w:rFonts w:asciiTheme="minorHAnsi" w:hAnsiTheme="minorHAnsi" w:cstheme="minorHAnsi"/>
          <w:bCs/>
          <w:szCs w:val="22"/>
          <w:lang w:eastAsia="fr-FR"/>
        </w:rPr>
        <w:t xml:space="preserve"> and</w:t>
      </w:r>
      <w:proofErr w:type="gramEnd"/>
      <w:r w:rsidRPr="00773CE9">
        <w:rPr>
          <w:rFonts w:asciiTheme="minorHAnsi" w:hAnsiTheme="minorHAnsi" w:cstheme="minorHAnsi"/>
          <w:bCs/>
          <w:szCs w:val="22"/>
          <w:lang w:eastAsia="fr-FR"/>
        </w:rPr>
        <w:t xml:space="preserve"> aims to facilitate </w:t>
      </w:r>
      <w:r>
        <w:rPr>
          <w:rFonts w:asciiTheme="minorHAnsi" w:hAnsiTheme="minorHAnsi" w:cstheme="minorHAnsi"/>
          <w:bCs/>
          <w:szCs w:val="22"/>
          <w:lang w:eastAsia="fr-FR"/>
        </w:rPr>
        <w:t xml:space="preserve">entry </w:t>
      </w:r>
      <w:r w:rsidRPr="008C5676">
        <w:rPr>
          <w:rFonts w:asciiTheme="minorHAnsi" w:hAnsiTheme="minorHAnsi" w:cstheme="minorHAnsi"/>
          <w:bCs/>
          <w:szCs w:val="22"/>
          <w:lang w:eastAsia="fr-FR"/>
        </w:rPr>
        <w:t>to the labour market for those currently unemployed through more training opportunities, among other things. Owing to the substantial rise in the cost of living</w:t>
      </w:r>
      <w:r w:rsidRPr="00773CE9">
        <w:rPr>
          <w:rFonts w:asciiTheme="minorHAnsi" w:hAnsiTheme="minorHAnsi" w:cstheme="minorHAnsi"/>
          <w:bCs/>
          <w:szCs w:val="22"/>
          <w:lang w:eastAsia="fr-FR"/>
        </w:rPr>
        <w:t xml:space="preserve">, the </w:t>
      </w:r>
      <w:proofErr w:type="spellStart"/>
      <w:r w:rsidRPr="00773CE9">
        <w:rPr>
          <w:rFonts w:asciiTheme="minorHAnsi" w:hAnsiTheme="minorHAnsi" w:cstheme="minorHAnsi"/>
          <w:bCs/>
          <w:szCs w:val="22"/>
          <w:lang w:eastAsia="fr-FR"/>
        </w:rPr>
        <w:t>Bürgergeld</w:t>
      </w:r>
      <w:proofErr w:type="spellEnd"/>
      <w:r w:rsidRPr="00773CE9">
        <w:rPr>
          <w:rFonts w:asciiTheme="minorHAnsi" w:hAnsiTheme="minorHAnsi" w:cstheme="minorHAnsi"/>
          <w:bCs/>
          <w:szCs w:val="22"/>
          <w:lang w:eastAsia="fr-FR"/>
        </w:rPr>
        <w:t xml:space="preserve"> was increased again, as of January 2024, to €561 per single adult. While welcome, the allowance </w:t>
      </w:r>
      <w:proofErr w:type="gramStart"/>
      <w:r w:rsidRPr="00773CE9">
        <w:rPr>
          <w:rFonts w:asciiTheme="minorHAnsi" w:hAnsiTheme="minorHAnsi" w:cstheme="minorHAnsi"/>
          <w:bCs/>
          <w:szCs w:val="22"/>
          <w:lang w:eastAsia="fr-FR"/>
        </w:rPr>
        <w:t>still remains</w:t>
      </w:r>
      <w:proofErr w:type="gramEnd"/>
      <w:r w:rsidRPr="00773CE9">
        <w:rPr>
          <w:rFonts w:asciiTheme="minorHAnsi" w:hAnsiTheme="minorHAnsi" w:cstheme="minorHAnsi"/>
          <w:bCs/>
          <w:szCs w:val="22"/>
          <w:lang w:eastAsia="fr-FR"/>
        </w:rPr>
        <w:t xml:space="preserve"> significantly below the €725 considered </w:t>
      </w:r>
      <w:r>
        <w:rPr>
          <w:rFonts w:asciiTheme="minorHAnsi" w:hAnsiTheme="minorHAnsi" w:cstheme="minorHAnsi"/>
          <w:bCs/>
          <w:szCs w:val="22"/>
          <w:lang w:eastAsia="fr-FR"/>
        </w:rPr>
        <w:t>necessary</w:t>
      </w:r>
      <w:r w:rsidRPr="00773CE9">
        <w:rPr>
          <w:rFonts w:asciiTheme="minorHAnsi" w:hAnsiTheme="minorHAnsi" w:cstheme="minorHAnsi"/>
          <w:bCs/>
          <w:szCs w:val="22"/>
          <w:lang w:eastAsia="fr-FR"/>
        </w:rPr>
        <w:t xml:space="preserve"> by rights organisations and experts.</w:t>
      </w:r>
      <w:r w:rsidRPr="00773CE9">
        <w:rPr>
          <w:szCs w:val="22"/>
          <w:vertAlign w:val="superscript"/>
        </w:rPr>
        <w:footnoteReference w:id="77"/>
      </w:r>
      <w:r w:rsidRPr="00773CE9">
        <w:rPr>
          <w:rFonts w:asciiTheme="minorHAnsi" w:hAnsiTheme="minorHAnsi" w:cstheme="minorHAnsi"/>
          <w:bCs/>
          <w:szCs w:val="22"/>
          <w:lang w:eastAsia="fr-FR"/>
        </w:rPr>
        <w:t xml:space="preserve"> For instance, only €5 per person per day </w:t>
      </w:r>
      <w:r>
        <w:rPr>
          <w:rFonts w:asciiTheme="minorHAnsi" w:hAnsiTheme="minorHAnsi" w:cstheme="minorHAnsi"/>
          <w:bCs/>
          <w:szCs w:val="22"/>
          <w:lang w:eastAsia="fr-FR"/>
        </w:rPr>
        <w:t>is</w:t>
      </w:r>
      <w:r w:rsidRPr="00773CE9">
        <w:rPr>
          <w:rFonts w:asciiTheme="minorHAnsi" w:hAnsiTheme="minorHAnsi" w:cstheme="minorHAnsi"/>
          <w:bCs/>
          <w:szCs w:val="22"/>
          <w:lang w:eastAsia="fr-FR"/>
        </w:rPr>
        <w:t xml:space="preserve"> earmarked for food, </w:t>
      </w:r>
      <w:r>
        <w:rPr>
          <w:rFonts w:asciiTheme="minorHAnsi" w:hAnsiTheme="minorHAnsi" w:cstheme="minorHAnsi"/>
          <w:bCs/>
          <w:szCs w:val="22"/>
          <w:lang w:eastAsia="fr-FR"/>
        </w:rPr>
        <w:t>with</w:t>
      </w:r>
      <w:r w:rsidRPr="00773CE9">
        <w:rPr>
          <w:rFonts w:asciiTheme="minorHAnsi" w:hAnsiTheme="minorHAnsi" w:cstheme="minorHAnsi"/>
          <w:bCs/>
          <w:szCs w:val="22"/>
          <w:lang w:eastAsia="fr-FR"/>
        </w:rPr>
        <w:t xml:space="preserve"> even less for children. While an additional allowance is provided for housing and heating costs up to what is considered an “adequate level”, this support does not take account of the substantial increases in market rates for both throughout Germany.</w:t>
      </w:r>
    </w:p>
    <w:p w14:paraId="03804AAD" w14:textId="77777777" w:rsidR="004A5AEE" w:rsidRPr="00773CE9" w:rsidRDefault="004A5AEE" w:rsidP="004A5AEE">
      <w:pPr>
        <w:pStyle w:val="ListParagraph"/>
        <w:tabs>
          <w:tab w:val="clear" w:pos="567"/>
        </w:tabs>
      </w:pPr>
      <w:r w:rsidRPr="00773CE9">
        <w:t xml:space="preserve">In 2017, the </w:t>
      </w:r>
      <w:r>
        <w:t>ECSR concluded that Germany was not in</w:t>
      </w:r>
      <w:r w:rsidRPr="00773CE9">
        <w:t xml:space="preserve"> conformity with Article 13</w:t>
      </w:r>
      <w:r>
        <w:t>.</w:t>
      </w:r>
      <w:r w:rsidRPr="00773CE9">
        <w:t>1 of the revised Charter, considering that the total level of social assistance</w:t>
      </w:r>
      <w:r w:rsidRPr="00CA0E53">
        <w:t xml:space="preserve"> </w:t>
      </w:r>
      <w:r w:rsidRPr="00773CE9">
        <w:t xml:space="preserve">available to every person in need, including basic and additional </w:t>
      </w:r>
      <w:r w:rsidRPr="008C5676">
        <w:t>benefits,</w:t>
      </w:r>
      <w:r w:rsidR="004D1559">
        <w:t xml:space="preserve"> </w:t>
      </w:r>
      <w:r w:rsidRPr="008C5676">
        <w:t>fell below</w:t>
      </w:r>
      <w:r w:rsidRPr="00773CE9">
        <w:t xml:space="preserve"> the poverty threshold.</w:t>
      </w:r>
      <w:r w:rsidRPr="00773CE9">
        <w:rPr>
          <w:vertAlign w:val="superscript"/>
        </w:rPr>
        <w:footnoteReference w:id="78"/>
      </w:r>
      <w:r w:rsidRPr="00773CE9">
        <w:t xml:space="preserve"> </w:t>
      </w:r>
      <w:r>
        <w:t>For years, e</w:t>
      </w:r>
      <w:r w:rsidRPr="00773CE9">
        <w:t>xperts have criticised the applied method of calculating allowances in Germany a</w:t>
      </w:r>
      <w:r>
        <w:t>s</w:t>
      </w:r>
      <w:r w:rsidRPr="00773CE9">
        <w:t xml:space="preserve"> outdated and based on an unrealistic needs assessment that does not take due account of the precarity of life experienced by parts of the population. Instead of committing to a</w:t>
      </w:r>
      <w:r>
        <w:t xml:space="preserve"> minimum level of</w:t>
      </w:r>
      <w:r w:rsidRPr="00773CE9">
        <w:t xml:space="preserve"> existence of 60% of the median income, as recommended by the ECSR, benefits are counted based on the average expenditure of 15% of the poorest households, of which a further 25% is deducted. While </w:t>
      </w:r>
      <w:r w:rsidRPr="00773CE9">
        <w:lastRenderedPageBreak/>
        <w:t>alternative methods of calculation</w:t>
      </w:r>
      <w:r>
        <w:t>,</w:t>
      </w:r>
      <w:r w:rsidRPr="00773CE9">
        <w:t xml:space="preserve"> that reflect real needs</w:t>
      </w:r>
      <w:r>
        <w:t>,</w:t>
      </w:r>
      <w:r w:rsidRPr="00773CE9">
        <w:t xml:space="preserve"> have been prepared,</w:t>
      </w:r>
      <w:r w:rsidRPr="00773CE9">
        <w:rPr>
          <w:vertAlign w:val="superscript"/>
        </w:rPr>
        <w:footnoteReference w:id="79"/>
      </w:r>
      <w:r w:rsidRPr="00773CE9">
        <w:t xml:space="preserve"> the amount of </w:t>
      </w:r>
      <w:r>
        <w:t xml:space="preserve">the </w:t>
      </w:r>
      <w:proofErr w:type="spellStart"/>
      <w:r w:rsidRPr="00773CE9">
        <w:t>B</w:t>
      </w:r>
      <w:r w:rsidRPr="00773CE9">
        <w:rPr>
          <w:rFonts w:cs="Calibri"/>
        </w:rPr>
        <w:t>ü</w:t>
      </w:r>
      <w:r w:rsidRPr="00773CE9">
        <w:t>rgergeld</w:t>
      </w:r>
      <w:proofErr w:type="spellEnd"/>
      <w:r w:rsidRPr="00773CE9">
        <w:t xml:space="preserve"> is still defined through this outdated method, </w:t>
      </w:r>
      <w:r>
        <w:t>thereby failing to</w:t>
      </w:r>
      <w:r w:rsidRPr="00773CE9">
        <w:t xml:space="preserve"> guarantee an adequate standard of living.</w:t>
      </w:r>
    </w:p>
    <w:p w14:paraId="6BBD7EF3" w14:textId="77777777" w:rsidR="004A5AEE" w:rsidRPr="00773CE9" w:rsidRDefault="004A5AEE" w:rsidP="004A5AEE">
      <w:pPr>
        <w:pStyle w:val="ListParagraph"/>
        <w:tabs>
          <w:tab w:val="clear" w:pos="567"/>
        </w:tabs>
      </w:pPr>
      <w:r w:rsidRPr="00773CE9">
        <w:rPr>
          <w:rFonts w:asciiTheme="minorHAnsi" w:hAnsiTheme="minorHAnsi" w:cstheme="minorHAnsi"/>
          <w:bCs/>
          <w:szCs w:val="22"/>
          <w:lang w:eastAsia="fr-FR"/>
        </w:rPr>
        <w:t>The Commissioner notes the persistent narrative by parts of the political spectrum in Germany</w:t>
      </w:r>
      <w:r>
        <w:rPr>
          <w:rFonts w:asciiTheme="minorHAnsi" w:hAnsiTheme="minorHAnsi" w:cstheme="minorHAnsi"/>
          <w:bCs/>
          <w:szCs w:val="22"/>
          <w:lang w:eastAsia="fr-FR"/>
        </w:rPr>
        <w:t>,</w:t>
      </w:r>
      <w:r w:rsidRPr="00773CE9">
        <w:rPr>
          <w:rFonts w:asciiTheme="minorHAnsi" w:hAnsiTheme="minorHAnsi" w:cstheme="minorHAnsi"/>
          <w:bCs/>
          <w:szCs w:val="22"/>
          <w:lang w:eastAsia="fr-FR"/>
        </w:rPr>
        <w:t xml:space="preserve"> and supported by the media, that the </w:t>
      </w:r>
      <w:proofErr w:type="spellStart"/>
      <w:r w:rsidRPr="00773CE9">
        <w:rPr>
          <w:rFonts w:asciiTheme="minorHAnsi" w:hAnsiTheme="minorHAnsi" w:cstheme="minorHAnsi"/>
          <w:bCs/>
          <w:szCs w:val="22"/>
          <w:lang w:eastAsia="fr-FR"/>
        </w:rPr>
        <w:t>Bürgergeld</w:t>
      </w:r>
      <w:proofErr w:type="spellEnd"/>
      <w:r w:rsidRPr="00773CE9">
        <w:rPr>
          <w:rFonts w:asciiTheme="minorHAnsi" w:hAnsiTheme="minorHAnsi" w:cstheme="minorHAnsi"/>
          <w:bCs/>
          <w:szCs w:val="22"/>
          <w:lang w:eastAsia="fr-FR"/>
        </w:rPr>
        <w:t xml:space="preserve"> should be significantly below the minimum wage income</w:t>
      </w:r>
      <w:r>
        <w:rPr>
          <w:rFonts w:asciiTheme="minorHAnsi" w:hAnsiTheme="minorHAnsi" w:cstheme="minorHAnsi"/>
          <w:bCs/>
          <w:szCs w:val="22"/>
          <w:lang w:eastAsia="fr-FR"/>
        </w:rPr>
        <w:t>,</w:t>
      </w:r>
      <w:r w:rsidRPr="00773CE9">
        <w:rPr>
          <w:rFonts w:asciiTheme="minorHAnsi" w:hAnsiTheme="minorHAnsi" w:cstheme="minorHAnsi"/>
          <w:bCs/>
          <w:szCs w:val="22"/>
          <w:lang w:eastAsia="fr-FR"/>
        </w:rPr>
        <w:t xml:space="preserve"> to ensure that employment remains desirable and </w:t>
      </w:r>
      <w:r>
        <w:rPr>
          <w:rFonts w:asciiTheme="minorHAnsi" w:hAnsiTheme="minorHAnsi" w:cstheme="minorHAnsi"/>
          <w:bCs/>
          <w:szCs w:val="22"/>
          <w:lang w:eastAsia="fr-FR"/>
        </w:rPr>
        <w:t xml:space="preserve">that </w:t>
      </w:r>
      <w:r w:rsidRPr="00773CE9">
        <w:rPr>
          <w:rFonts w:asciiTheme="minorHAnsi" w:hAnsiTheme="minorHAnsi" w:cstheme="minorHAnsi"/>
          <w:bCs/>
          <w:szCs w:val="22"/>
          <w:lang w:eastAsia="fr-FR"/>
        </w:rPr>
        <w:t>beneficiaries have an incentive to become independent from social services. This argument overlooks, however, that the minimum wage in Germany remains, even after gradual increases effected by the current government, below 60% of the median income</w:t>
      </w:r>
      <w:r>
        <w:rPr>
          <w:rFonts w:asciiTheme="minorHAnsi" w:hAnsiTheme="minorHAnsi" w:cstheme="minorHAnsi"/>
          <w:bCs/>
          <w:szCs w:val="22"/>
          <w:lang w:eastAsia="fr-FR"/>
        </w:rPr>
        <w:t>,</w:t>
      </w:r>
      <w:r w:rsidRPr="00773CE9">
        <w:rPr>
          <w:rFonts w:asciiTheme="minorHAnsi" w:hAnsiTheme="minorHAnsi" w:cstheme="minorHAnsi"/>
          <w:bCs/>
          <w:szCs w:val="22"/>
          <w:lang w:eastAsia="fr-FR"/>
        </w:rPr>
        <w:t xml:space="preserve"> and that Germany has a particularly large low-income economy in which workers still depend on social support even while in employment.</w:t>
      </w:r>
      <w:r w:rsidRPr="00773CE9">
        <w:rPr>
          <w:rStyle w:val="FootnoteReference"/>
          <w:rFonts w:asciiTheme="minorHAnsi" w:hAnsiTheme="minorHAnsi" w:cstheme="minorHAnsi"/>
          <w:bCs/>
          <w:szCs w:val="22"/>
          <w:lang w:eastAsia="fr-FR"/>
        </w:rPr>
        <w:footnoteReference w:id="80"/>
      </w:r>
      <w:r w:rsidRPr="00773CE9">
        <w:rPr>
          <w:rFonts w:asciiTheme="minorHAnsi" w:hAnsiTheme="minorHAnsi" w:cstheme="minorHAnsi"/>
          <w:bCs/>
          <w:szCs w:val="22"/>
          <w:lang w:eastAsia="fr-FR"/>
        </w:rPr>
        <w:t xml:space="preserve"> In </w:t>
      </w:r>
      <w:r w:rsidRPr="001221D6">
        <w:rPr>
          <w:rFonts w:asciiTheme="minorHAnsi" w:hAnsiTheme="minorHAnsi" w:cstheme="minorHAnsi"/>
          <w:bCs/>
          <w:szCs w:val="22"/>
          <w:lang w:eastAsia="fr-FR"/>
        </w:rPr>
        <w:t>March 2023,</w:t>
      </w:r>
      <w:r w:rsidRPr="00773CE9">
        <w:rPr>
          <w:rFonts w:asciiTheme="minorHAnsi" w:hAnsiTheme="minorHAnsi" w:cstheme="minorHAnsi"/>
          <w:bCs/>
          <w:szCs w:val="22"/>
          <w:lang w:eastAsia="fr-FR"/>
        </w:rPr>
        <w:t xml:space="preserve"> the ECSR concluded </w:t>
      </w:r>
      <w:r>
        <w:rPr>
          <w:rFonts w:asciiTheme="minorHAnsi" w:hAnsiTheme="minorHAnsi" w:cstheme="minorHAnsi"/>
          <w:bCs/>
          <w:szCs w:val="22"/>
          <w:lang w:eastAsia="fr-FR"/>
        </w:rPr>
        <w:t xml:space="preserve">that Germany was not in </w:t>
      </w:r>
      <w:r w:rsidRPr="00773CE9">
        <w:rPr>
          <w:rFonts w:asciiTheme="minorHAnsi" w:hAnsiTheme="minorHAnsi" w:cstheme="minorHAnsi"/>
          <w:bCs/>
          <w:szCs w:val="22"/>
          <w:lang w:eastAsia="fr-FR"/>
        </w:rPr>
        <w:t>conformity with Article 4</w:t>
      </w:r>
      <w:r>
        <w:rPr>
          <w:rFonts w:asciiTheme="minorHAnsi" w:hAnsiTheme="minorHAnsi" w:cstheme="minorHAnsi"/>
          <w:bCs/>
          <w:szCs w:val="22"/>
          <w:lang w:eastAsia="fr-FR"/>
        </w:rPr>
        <w:t>.</w:t>
      </w:r>
      <w:r w:rsidRPr="00773CE9">
        <w:rPr>
          <w:rFonts w:asciiTheme="minorHAnsi" w:hAnsiTheme="minorHAnsi" w:cstheme="minorHAnsi"/>
          <w:bCs/>
          <w:szCs w:val="22"/>
          <w:lang w:eastAsia="fr-FR"/>
        </w:rPr>
        <w:t>3 of the Charter</w:t>
      </w:r>
      <w:r>
        <w:rPr>
          <w:rFonts w:asciiTheme="minorHAnsi" w:hAnsiTheme="minorHAnsi" w:cstheme="minorHAnsi"/>
          <w:bCs/>
          <w:szCs w:val="22"/>
          <w:lang w:eastAsia="fr-FR"/>
        </w:rPr>
        <w:t>,</w:t>
      </w:r>
      <w:r w:rsidRPr="00773CE9">
        <w:rPr>
          <w:rFonts w:asciiTheme="minorHAnsi" w:hAnsiTheme="minorHAnsi" w:cstheme="minorHAnsi"/>
          <w:bCs/>
          <w:szCs w:val="22"/>
          <w:lang w:eastAsia="fr-FR"/>
        </w:rPr>
        <w:t xml:space="preserve"> due to the continuously very high gender pay gap</w:t>
      </w:r>
      <w:r>
        <w:rPr>
          <w:rFonts w:asciiTheme="minorHAnsi" w:hAnsiTheme="minorHAnsi" w:cstheme="minorHAnsi"/>
          <w:bCs/>
          <w:szCs w:val="22"/>
          <w:lang w:eastAsia="fr-FR"/>
        </w:rPr>
        <w:t>,</w:t>
      </w:r>
      <w:r w:rsidRPr="00773CE9">
        <w:rPr>
          <w:rFonts w:asciiTheme="minorHAnsi" w:hAnsiTheme="minorHAnsi" w:cstheme="minorHAnsi"/>
          <w:bCs/>
          <w:szCs w:val="22"/>
          <w:lang w:eastAsia="fr-FR"/>
        </w:rPr>
        <w:t xml:space="preserve"> and considered that the absence of information requested in relation to Article 4</w:t>
      </w:r>
      <w:r>
        <w:rPr>
          <w:rFonts w:asciiTheme="minorHAnsi" w:hAnsiTheme="minorHAnsi" w:cstheme="minorHAnsi"/>
          <w:bCs/>
          <w:szCs w:val="22"/>
          <w:lang w:eastAsia="fr-FR"/>
        </w:rPr>
        <w:t>.</w:t>
      </w:r>
      <w:r w:rsidRPr="00773CE9">
        <w:rPr>
          <w:rFonts w:asciiTheme="minorHAnsi" w:hAnsiTheme="minorHAnsi" w:cstheme="minorHAnsi"/>
          <w:bCs/>
          <w:szCs w:val="22"/>
          <w:lang w:eastAsia="fr-FR"/>
        </w:rPr>
        <w:t xml:space="preserve">1, enshrining the right of workers to a remuneration </w:t>
      </w:r>
      <w:r>
        <w:rPr>
          <w:rFonts w:asciiTheme="minorHAnsi" w:hAnsiTheme="minorHAnsi" w:cstheme="minorHAnsi"/>
          <w:bCs/>
          <w:szCs w:val="22"/>
          <w:lang w:eastAsia="fr-FR"/>
        </w:rPr>
        <w:t>that</w:t>
      </w:r>
      <w:r w:rsidRPr="00773CE9">
        <w:rPr>
          <w:rFonts w:asciiTheme="minorHAnsi" w:hAnsiTheme="minorHAnsi" w:cstheme="minorHAnsi"/>
          <w:bCs/>
          <w:szCs w:val="22"/>
          <w:lang w:eastAsia="fr-FR"/>
        </w:rPr>
        <w:t xml:space="preserve"> will give them and their families a decent standard of living, amounted to a breach of </w:t>
      </w:r>
      <w:r>
        <w:rPr>
          <w:rFonts w:asciiTheme="minorHAnsi" w:hAnsiTheme="minorHAnsi" w:cstheme="minorHAnsi"/>
          <w:bCs/>
          <w:szCs w:val="22"/>
          <w:lang w:eastAsia="fr-FR"/>
        </w:rPr>
        <w:t>Germany’s reporting obligations</w:t>
      </w:r>
      <w:r w:rsidRPr="00773CE9">
        <w:rPr>
          <w:rFonts w:asciiTheme="minorHAnsi" w:hAnsiTheme="minorHAnsi" w:cstheme="minorHAnsi"/>
          <w:bCs/>
          <w:szCs w:val="22"/>
          <w:lang w:eastAsia="fr-FR"/>
        </w:rPr>
        <w:t>.</w:t>
      </w:r>
      <w:r w:rsidRPr="00773CE9">
        <w:rPr>
          <w:rStyle w:val="FootnoteReference"/>
          <w:rFonts w:asciiTheme="minorHAnsi" w:hAnsiTheme="minorHAnsi" w:cstheme="minorHAnsi"/>
          <w:bCs/>
          <w:szCs w:val="22"/>
          <w:lang w:eastAsia="fr-FR"/>
        </w:rPr>
        <w:footnoteReference w:id="81"/>
      </w:r>
      <w:r w:rsidR="004D1559">
        <w:rPr>
          <w:rFonts w:asciiTheme="minorHAnsi" w:hAnsiTheme="minorHAnsi" w:cstheme="minorHAnsi"/>
          <w:bCs/>
          <w:szCs w:val="22"/>
          <w:lang w:eastAsia="fr-FR"/>
        </w:rPr>
        <w:t xml:space="preserve"> </w:t>
      </w:r>
    </w:p>
    <w:p w14:paraId="5FBC21A4" w14:textId="77777777" w:rsidR="004A5AEE" w:rsidRPr="00773CE9" w:rsidRDefault="004A5AEE" w:rsidP="004A5AEE">
      <w:pPr>
        <w:pStyle w:val="ListParagraph"/>
        <w:tabs>
          <w:tab w:val="clear" w:pos="567"/>
        </w:tabs>
        <w:rPr>
          <w:szCs w:val="22"/>
        </w:rPr>
      </w:pPr>
      <w:r w:rsidRPr="00773CE9">
        <w:rPr>
          <w:rFonts w:asciiTheme="minorHAnsi" w:hAnsiTheme="minorHAnsi" w:cstheme="minorHAnsi"/>
          <w:bCs/>
          <w:lang w:eastAsia="fr-FR"/>
        </w:rPr>
        <w:t>The Commissioner is concerned by the negative impact of this narrative on the well-being of low-income workers and unemployed persons</w:t>
      </w:r>
      <w:r>
        <w:rPr>
          <w:rFonts w:asciiTheme="minorHAnsi" w:hAnsiTheme="minorHAnsi" w:cstheme="minorHAnsi"/>
          <w:bCs/>
          <w:lang w:eastAsia="fr-FR"/>
        </w:rPr>
        <w:t>,</w:t>
      </w:r>
      <w:r w:rsidRPr="00773CE9">
        <w:rPr>
          <w:rFonts w:asciiTheme="minorHAnsi" w:hAnsiTheme="minorHAnsi" w:cstheme="minorHAnsi"/>
          <w:bCs/>
          <w:lang w:eastAsia="fr-FR"/>
        </w:rPr>
        <w:t xml:space="preserve"> who are experiencing shame and </w:t>
      </w:r>
      <w:r>
        <w:rPr>
          <w:rFonts w:asciiTheme="minorHAnsi" w:hAnsiTheme="minorHAnsi" w:cstheme="minorHAnsi"/>
          <w:bCs/>
          <w:lang w:eastAsia="fr-FR"/>
        </w:rPr>
        <w:t>stigma</w:t>
      </w:r>
      <w:r w:rsidRPr="00773CE9">
        <w:rPr>
          <w:rFonts w:asciiTheme="minorHAnsi" w:hAnsiTheme="minorHAnsi" w:cstheme="minorHAnsi"/>
          <w:bCs/>
          <w:lang w:eastAsia="fr-FR"/>
        </w:rPr>
        <w:t xml:space="preserve"> </w:t>
      </w:r>
      <w:proofErr w:type="gramStart"/>
      <w:r w:rsidRPr="00773CE9">
        <w:rPr>
          <w:rFonts w:asciiTheme="minorHAnsi" w:hAnsiTheme="minorHAnsi" w:cstheme="minorHAnsi"/>
          <w:bCs/>
          <w:lang w:eastAsia="fr-FR"/>
        </w:rPr>
        <w:t>as a result of</w:t>
      </w:r>
      <w:proofErr w:type="gramEnd"/>
      <w:r w:rsidRPr="00773CE9">
        <w:rPr>
          <w:rFonts w:asciiTheme="minorHAnsi" w:hAnsiTheme="minorHAnsi" w:cstheme="minorHAnsi"/>
          <w:bCs/>
          <w:lang w:eastAsia="fr-FR"/>
        </w:rPr>
        <w:t xml:space="preserve"> their poverty. While in Dresden, the Commissioner spoke to affected persons who had worked hard for years without being able to extract themselves from </w:t>
      </w:r>
      <w:proofErr w:type="gramStart"/>
      <w:r w:rsidRPr="00773CE9">
        <w:rPr>
          <w:rFonts w:asciiTheme="minorHAnsi" w:hAnsiTheme="minorHAnsi" w:cstheme="minorHAnsi"/>
          <w:bCs/>
          <w:lang w:eastAsia="fr-FR"/>
        </w:rPr>
        <w:t>poverty</w:t>
      </w:r>
      <w:r>
        <w:rPr>
          <w:rFonts w:asciiTheme="minorHAnsi" w:hAnsiTheme="minorHAnsi" w:cstheme="minorHAnsi"/>
          <w:bCs/>
          <w:lang w:eastAsia="fr-FR"/>
        </w:rPr>
        <w:t>,</w:t>
      </w:r>
      <w:r w:rsidRPr="00773CE9">
        <w:rPr>
          <w:rFonts w:asciiTheme="minorHAnsi" w:hAnsiTheme="minorHAnsi" w:cstheme="minorHAnsi"/>
          <w:bCs/>
          <w:lang w:eastAsia="fr-FR"/>
        </w:rPr>
        <w:t xml:space="preserve"> but</w:t>
      </w:r>
      <w:proofErr w:type="gramEnd"/>
      <w:r w:rsidRPr="00773CE9">
        <w:rPr>
          <w:rFonts w:asciiTheme="minorHAnsi" w:hAnsiTheme="minorHAnsi" w:cstheme="minorHAnsi"/>
          <w:bCs/>
          <w:lang w:eastAsia="fr-FR"/>
        </w:rPr>
        <w:t xml:space="preserve"> had delayed requesting social support due to their fear of </w:t>
      </w:r>
      <w:r>
        <w:rPr>
          <w:rFonts w:asciiTheme="minorHAnsi" w:hAnsiTheme="minorHAnsi" w:cstheme="minorHAnsi"/>
          <w:bCs/>
          <w:lang w:eastAsia="fr-FR"/>
        </w:rPr>
        <w:t xml:space="preserve">the </w:t>
      </w:r>
      <w:r w:rsidRPr="00773CE9">
        <w:rPr>
          <w:rFonts w:asciiTheme="minorHAnsi" w:hAnsiTheme="minorHAnsi" w:cstheme="minorHAnsi"/>
          <w:bCs/>
          <w:lang w:eastAsia="fr-FR"/>
        </w:rPr>
        <w:t xml:space="preserve">resulting hostility and discrimination. Indeed, experts and rights organisations have estimated that over 50% </w:t>
      </w:r>
      <w:r w:rsidRPr="00773CE9">
        <w:rPr>
          <w:rFonts w:asciiTheme="minorHAnsi" w:hAnsiTheme="minorHAnsi" w:cstheme="minorHAnsi"/>
          <w:bCs/>
          <w:szCs w:val="22"/>
          <w:lang w:eastAsia="fr-FR"/>
        </w:rPr>
        <w:t>of people entitled to social protection support in Germany do not claim it.</w:t>
      </w:r>
      <w:r w:rsidRPr="00773CE9">
        <w:rPr>
          <w:rStyle w:val="FootnoteReference"/>
          <w:rFonts w:asciiTheme="minorHAnsi" w:hAnsiTheme="minorHAnsi" w:cstheme="minorHAnsi"/>
          <w:bCs/>
          <w:szCs w:val="22"/>
          <w:lang w:eastAsia="fr-FR"/>
        </w:rPr>
        <w:footnoteReference w:id="82"/>
      </w:r>
      <w:r w:rsidRPr="00773CE9">
        <w:rPr>
          <w:rFonts w:asciiTheme="minorHAnsi" w:hAnsiTheme="minorHAnsi" w:cstheme="minorHAnsi"/>
          <w:bCs/>
          <w:szCs w:val="22"/>
          <w:lang w:eastAsia="fr-FR"/>
        </w:rPr>
        <w:t xml:space="preserve"> While exact information on the non-take-up of rights and benefits is scarce, the introduction of the </w:t>
      </w:r>
      <w:proofErr w:type="spellStart"/>
      <w:r w:rsidRPr="00773CE9">
        <w:rPr>
          <w:rFonts w:asciiTheme="minorHAnsi" w:hAnsiTheme="minorHAnsi" w:cstheme="minorHAnsi"/>
          <w:bCs/>
          <w:szCs w:val="22"/>
          <w:lang w:eastAsia="fr-FR"/>
        </w:rPr>
        <w:t>Bürgergeld</w:t>
      </w:r>
      <w:proofErr w:type="spellEnd"/>
      <w:r w:rsidRPr="00773CE9">
        <w:rPr>
          <w:rFonts w:asciiTheme="minorHAnsi" w:hAnsiTheme="minorHAnsi" w:cstheme="minorHAnsi"/>
          <w:bCs/>
          <w:szCs w:val="22"/>
          <w:lang w:eastAsia="fr-FR"/>
        </w:rPr>
        <w:t xml:space="preserve"> is generally viewed as an improvement in comparison to the previous welfare model (called “Hartz IV”)</w:t>
      </w:r>
      <w:r>
        <w:rPr>
          <w:rFonts w:asciiTheme="minorHAnsi" w:hAnsiTheme="minorHAnsi" w:cstheme="minorHAnsi"/>
          <w:bCs/>
          <w:szCs w:val="22"/>
          <w:lang w:eastAsia="fr-FR"/>
        </w:rPr>
        <w:t>.</w:t>
      </w:r>
      <w:r w:rsidRPr="00773CE9">
        <w:rPr>
          <w:rFonts w:asciiTheme="minorHAnsi" w:hAnsiTheme="minorHAnsi" w:cstheme="minorHAnsi"/>
          <w:bCs/>
          <w:szCs w:val="22"/>
          <w:lang w:eastAsia="fr-FR"/>
        </w:rPr>
        <w:t xml:space="preserve"> </w:t>
      </w:r>
    </w:p>
    <w:p w14:paraId="4F638A09" w14:textId="64E02DD2" w:rsidR="004A5AEE" w:rsidRPr="00D90B39" w:rsidRDefault="004A5AEE" w:rsidP="004A5AEE">
      <w:pPr>
        <w:pStyle w:val="ListParagraph"/>
        <w:tabs>
          <w:tab w:val="clear" w:pos="567"/>
        </w:tabs>
        <w:rPr>
          <w:szCs w:val="22"/>
        </w:rPr>
      </w:pPr>
      <w:r w:rsidRPr="00773CE9">
        <w:rPr>
          <w:rFonts w:asciiTheme="minorHAnsi" w:hAnsiTheme="minorHAnsi" w:cstheme="minorHAnsi"/>
          <w:bCs/>
          <w:lang w:eastAsia="fr-FR"/>
        </w:rPr>
        <w:t>In addition, the Commissioner learned during her visit that access to social benefits continues to be hindered by lack of awareness among rights</w:t>
      </w:r>
      <w:r>
        <w:rPr>
          <w:rFonts w:asciiTheme="minorHAnsi" w:hAnsiTheme="minorHAnsi" w:cstheme="minorHAnsi"/>
          <w:bCs/>
          <w:lang w:eastAsia="fr-FR"/>
        </w:rPr>
        <w:t>-</w:t>
      </w:r>
      <w:r w:rsidRPr="00773CE9">
        <w:rPr>
          <w:rFonts w:asciiTheme="minorHAnsi" w:hAnsiTheme="minorHAnsi" w:cstheme="minorHAnsi"/>
          <w:bCs/>
          <w:lang w:eastAsia="fr-FR"/>
        </w:rPr>
        <w:t>holders, complex application procedures, and lacking coordination between the various levels of administration</w:t>
      </w:r>
      <w:r>
        <w:rPr>
          <w:rFonts w:asciiTheme="minorHAnsi" w:hAnsiTheme="minorHAnsi" w:cstheme="minorHAnsi"/>
          <w:bCs/>
          <w:lang w:eastAsia="fr-FR"/>
        </w:rPr>
        <w:t xml:space="preserve"> and responsibilities.</w:t>
      </w:r>
      <w:r w:rsidRPr="00773CE9">
        <w:rPr>
          <w:rFonts w:asciiTheme="minorHAnsi" w:hAnsiTheme="minorHAnsi" w:cstheme="minorHAnsi"/>
          <w:bCs/>
          <w:lang w:eastAsia="fr-FR"/>
        </w:rPr>
        <w:t xml:space="preserve"> Many of the responsible offices at municipal level have not returned to normal opening hours after the </w:t>
      </w:r>
      <w:r>
        <w:rPr>
          <w:rFonts w:asciiTheme="minorHAnsi" w:hAnsiTheme="minorHAnsi" w:cstheme="minorHAnsi"/>
          <w:bCs/>
          <w:lang w:eastAsia="fr-FR"/>
        </w:rPr>
        <w:t xml:space="preserve">COVID-19 </w:t>
      </w:r>
      <w:r w:rsidRPr="00773CE9">
        <w:rPr>
          <w:rFonts w:asciiTheme="minorHAnsi" w:hAnsiTheme="minorHAnsi" w:cstheme="minorHAnsi"/>
          <w:bCs/>
          <w:lang w:eastAsia="fr-FR"/>
        </w:rPr>
        <w:t xml:space="preserve">pandemic, rendering it </w:t>
      </w:r>
      <w:r>
        <w:rPr>
          <w:rFonts w:asciiTheme="minorHAnsi" w:hAnsiTheme="minorHAnsi" w:cstheme="minorHAnsi"/>
          <w:bCs/>
          <w:lang w:eastAsia="fr-FR"/>
        </w:rPr>
        <w:t xml:space="preserve">very difficult </w:t>
      </w:r>
      <w:r w:rsidRPr="00773CE9">
        <w:rPr>
          <w:rFonts w:asciiTheme="minorHAnsi" w:hAnsiTheme="minorHAnsi" w:cstheme="minorHAnsi"/>
          <w:bCs/>
          <w:lang w:eastAsia="fr-FR"/>
        </w:rPr>
        <w:t>to obtain advice or submit applications in person. This places persons with limited access to digital devices</w:t>
      </w:r>
      <w:r>
        <w:rPr>
          <w:rFonts w:asciiTheme="minorHAnsi" w:hAnsiTheme="minorHAnsi" w:cstheme="minorHAnsi"/>
          <w:bCs/>
          <w:lang w:eastAsia="fr-FR"/>
        </w:rPr>
        <w:t>,</w:t>
      </w:r>
      <w:r w:rsidRPr="00773CE9">
        <w:rPr>
          <w:rFonts w:asciiTheme="minorHAnsi" w:hAnsiTheme="minorHAnsi" w:cstheme="minorHAnsi"/>
          <w:bCs/>
          <w:lang w:eastAsia="fr-FR"/>
        </w:rPr>
        <w:t xml:space="preserve"> or lacking </w:t>
      </w:r>
      <w:r>
        <w:rPr>
          <w:rFonts w:asciiTheme="minorHAnsi" w:hAnsiTheme="minorHAnsi" w:cstheme="minorHAnsi"/>
          <w:bCs/>
          <w:lang w:eastAsia="fr-FR"/>
        </w:rPr>
        <w:t>digital skills,</w:t>
      </w:r>
      <w:r w:rsidRPr="00773CE9">
        <w:rPr>
          <w:rFonts w:asciiTheme="minorHAnsi" w:hAnsiTheme="minorHAnsi" w:cstheme="minorHAnsi"/>
          <w:bCs/>
          <w:lang w:eastAsia="fr-FR"/>
        </w:rPr>
        <w:t xml:space="preserve"> in a position o</w:t>
      </w:r>
      <w:r>
        <w:rPr>
          <w:rFonts w:asciiTheme="minorHAnsi" w:hAnsiTheme="minorHAnsi" w:cstheme="minorHAnsi"/>
          <w:bCs/>
          <w:lang w:eastAsia="fr-FR"/>
        </w:rPr>
        <w:t>f</w:t>
      </w:r>
      <w:r w:rsidRPr="00773CE9">
        <w:rPr>
          <w:rFonts w:asciiTheme="minorHAnsi" w:hAnsiTheme="minorHAnsi" w:cstheme="minorHAnsi"/>
          <w:bCs/>
          <w:lang w:eastAsia="fr-FR"/>
        </w:rPr>
        <w:t xml:space="preserve"> acute </w:t>
      </w:r>
      <w:r>
        <w:rPr>
          <w:rFonts w:asciiTheme="minorHAnsi" w:hAnsiTheme="minorHAnsi" w:cstheme="minorHAnsi"/>
          <w:bCs/>
          <w:lang w:eastAsia="fr-FR"/>
        </w:rPr>
        <w:t>d</w:t>
      </w:r>
      <w:r w:rsidRPr="00773CE9">
        <w:rPr>
          <w:rFonts w:asciiTheme="minorHAnsi" w:hAnsiTheme="minorHAnsi" w:cstheme="minorHAnsi"/>
          <w:bCs/>
          <w:lang w:eastAsia="fr-FR"/>
        </w:rPr>
        <w:t>isadvantage. The Commissioner learned that charity organisations working across the country to provide advice to those in need are overwhelmed with requests</w:t>
      </w:r>
      <w:r>
        <w:rPr>
          <w:rFonts w:asciiTheme="minorHAnsi" w:hAnsiTheme="minorHAnsi" w:cstheme="minorHAnsi"/>
          <w:bCs/>
          <w:lang w:eastAsia="fr-FR"/>
        </w:rPr>
        <w:t>,</w:t>
      </w:r>
      <w:r w:rsidRPr="00773CE9">
        <w:rPr>
          <w:rFonts w:asciiTheme="minorHAnsi" w:hAnsiTheme="minorHAnsi" w:cstheme="minorHAnsi"/>
          <w:bCs/>
          <w:lang w:eastAsia="fr-FR"/>
        </w:rPr>
        <w:t xml:space="preserve"> and that municipalities tend to send beneficiaries to those advice centres rather than trying to respond to </w:t>
      </w:r>
      <w:r>
        <w:rPr>
          <w:rFonts w:asciiTheme="minorHAnsi" w:hAnsiTheme="minorHAnsi" w:cstheme="minorHAnsi"/>
          <w:bCs/>
          <w:lang w:eastAsia="fr-FR"/>
        </w:rPr>
        <w:t>requests</w:t>
      </w:r>
      <w:r w:rsidRPr="00773CE9">
        <w:rPr>
          <w:rFonts w:asciiTheme="minorHAnsi" w:hAnsiTheme="minorHAnsi" w:cstheme="minorHAnsi"/>
          <w:bCs/>
          <w:lang w:eastAsia="fr-FR"/>
        </w:rPr>
        <w:t xml:space="preserve"> themselves</w:t>
      </w:r>
      <w:r>
        <w:rPr>
          <w:rFonts w:asciiTheme="minorHAnsi" w:hAnsiTheme="minorHAnsi" w:cstheme="minorHAnsi"/>
          <w:bCs/>
          <w:lang w:eastAsia="fr-FR"/>
        </w:rPr>
        <w:t>, as they are often understaffed and struggling to keep up with the rising number of applications.</w:t>
      </w:r>
      <w:r w:rsidRPr="00AB0DD6">
        <w:rPr>
          <w:rFonts w:ascii="Segoe UI" w:eastAsiaTheme="minorHAnsi" w:hAnsi="Segoe UI" w:cs="Segoe UI"/>
          <w:sz w:val="18"/>
          <w:szCs w:val="18"/>
          <w:lang w:val="en-US" w:eastAsia="en-US"/>
        </w:rPr>
        <w:t xml:space="preserve"> </w:t>
      </w:r>
      <w:r w:rsidRPr="0069199C">
        <w:rPr>
          <w:rFonts w:asciiTheme="minorHAnsi" w:hAnsiTheme="minorHAnsi" w:cstheme="minorHAnsi"/>
          <w:bCs/>
          <w:lang w:eastAsia="fr-FR"/>
        </w:rPr>
        <w:t>In addition, the Commissioner learned from her interlocutors that relevant authorities often lack a sufficiently wholistic approach to help applicants navigate between the various offices who are responsible for them, resulting in delays and accountability gaps.</w:t>
      </w:r>
    </w:p>
    <w:p w14:paraId="38B365F8" w14:textId="77777777" w:rsidR="004A5AEE" w:rsidRPr="00AF1A4D" w:rsidRDefault="004A5AEE" w:rsidP="00AF1A4D">
      <w:pPr>
        <w:pStyle w:val="Heading3"/>
        <w:numPr>
          <w:ilvl w:val="2"/>
          <w:numId w:val="24"/>
        </w:numPr>
        <w:ind w:left="794" w:hanging="794"/>
        <w:rPr>
          <w:rFonts w:eastAsiaTheme="minorEastAsia"/>
          <w:lang w:val="en-GB"/>
        </w:rPr>
      </w:pPr>
      <w:bookmarkStart w:id="88" w:name="_Toc152669908"/>
      <w:bookmarkStart w:id="89" w:name="_Toc152669939"/>
      <w:bookmarkStart w:id="90" w:name="_Toc158636905"/>
      <w:bookmarkStart w:id="91" w:name="_Toc159582676"/>
      <w:r w:rsidRPr="00AF1A4D">
        <w:rPr>
          <w:rFonts w:eastAsiaTheme="minorEastAsia"/>
          <w:lang w:val="en-GB"/>
        </w:rPr>
        <w:lastRenderedPageBreak/>
        <w:t>Particularly affected groups</w:t>
      </w:r>
      <w:bookmarkEnd w:id="88"/>
      <w:bookmarkEnd w:id="89"/>
      <w:bookmarkEnd w:id="90"/>
      <w:bookmarkEnd w:id="91"/>
    </w:p>
    <w:p w14:paraId="555BA7BF" w14:textId="77777777" w:rsidR="004A5AEE" w:rsidRPr="00773CE9" w:rsidRDefault="004A5AEE" w:rsidP="004A5AEE">
      <w:pPr>
        <w:pStyle w:val="ListParagraph"/>
        <w:tabs>
          <w:tab w:val="clear" w:pos="567"/>
        </w:tabs>
        <w:rPr>
          <w:b/>
        </w:rPr>
      </w:pPr>
      <w:r w:rsidRPr="00D90B39">
        <w:t>According to the European Commission 2023 Country Report, Germany is moving away from the European average in terms of reducing social inequalities.</w:t>
      </w:r>
      <w:r w:rsidRPr="0033194B">
        <w:rPr>
          <w:rStyle w:val="FootnoteReference"/>
          <w:rFonts w:asciiTheme="minorHAnsi" w:hAnsiTheme="minorHAnsi" w:cstheme="minorHAnsi"/>
          <w:bCs/>
          <w:szCs w:val="22"/>
          <w:lang w:eastAsia="fr-FR"/>
        </w:rPr>
        <w:footnoteReference w:id="83"/>
      </w:r>
      <w:r w:rsidRPr="0033194B">
        <w:rPr>
          <w:rStyle w:val="FootnoteReference"/>
          <w:rFonts w:asciiTheme="minorHAnsi" w:hAnsiTheme="minorHAnsi" w:cstheme="minorHAnsi"/>
          <w:bCs/>
          <w:szCs w:val="22"/>
          <w:lang w:eastAsia="fr-FR"/>
        </w:rPr>
        <w:t xml:space="preserve"> </w:t>
      </w:r>
      <w:r w:rsidRPr="00D90B39">
        <w:t xml:space="preserve">The </w:t>
      </w:r>
      <w:r w:rsidRPr="00773CE9">
        <w:t>urban-rural gap for people at risk of poverty or social exclusion is more than ten times</w:t>
      </w:r>
      <w:r>
        <w:t xml:space="preserve"> higher than</w:t>
      </w:r>
      <w:r w:rsidRPr="00773CE9">
        <w:t xml:space="preserve"> the EU average (</w:t>
      </w:r>
      <w:r w:rsidRPr="00D90B39">
        <w:t>7.8 percentage points in 2021</w:t>
      </w:r>
      <w:r>
        <w:t xml:space="preserve">, compared to </w:t>
      </w:r>
      <w:r w:rsidRPr="00D90B39">
        <w:t xml:space="preserve">0.6 in the EU) </w:t>
      </w:r>
      <w:r w:rsidRPr="00773CE9">
        <w:t xml:space="preserve">and </w:t>
      </w:r>
      <w:r>
        <w:t xml:space="preserve">has been </w:t>
      </w:r>
      <w:r w:rsidRPr="00773CE9">
        <w:t xml:space="preserve">continuously increasing since 2016. The number of children at risk of poverty is growing steadily. According to figures published by the Federal Office of Statistics in July 2023, </w:t>
      </w:r>
      <w:r>
        <w:t>approximately</w:t>
      </w:r>
      <w:r w:rsidRPr="00773CE9">
        <w:t xml:space="preserve"> 25% of children and young people in Germany live in poverty or at risk of poverty, placing Germany in the </w:t>
      </w:r>
      <w:r>
        <w:t>top</w:t>
      </w:r>
      <w:r w:rsidRPr="00773CE9">
        <w:t xml:space="preserve"> third of EU countries in terms of</w:t>
      </w:r>
      <w:r>
        <w:t xml:space="preserve"> prevalence of</w:t>
      </w:r>
      <w:r w:rsidRPr="00773CE9">
        <w:t xml:space="preserve"> child poverty.</w:t>
      </w:r>
      <w:r w:rsidRPr="00773CE9">
        <w:rPr>
          <w:rStyle w:val="FootnoteReference"/>
          <w:rFonts w:asciiTheme="minorHAnsi" w:hAnsiTheme="minorHAnsi" w:cstheme="minorHAnsi"/>
          <w:bCs/>
        </w:rPr>
        <w:footnoteReference w:id="84"/>
      </w:r>
      <w:r w:rsidRPr="00773CE9">
        <w:t xml:space="preserve"> Young people from disadvantaged socio-economic background</w:t>
      </w:r>
      <w:r>
        <w:t>s</w:t>
      </w:r>
      <w:r w:rsidRPr="00773CE9">
        <w:t xml:space="preserve"> are three times less likely to be in higher education.</w:t>
      </w:r>
      <w:r w:rsidRPr="00773CE9">
        <w:rPr>
          <w:rStyle w:val="FootnoteReference"/>
          <w:rFonts w:asciiTheme="minorHAnsi" w:hAnsiTheme="minorHAnsi" w:cstheme="minorHAnsi"/>
          <w:bCs/>
          <w:szCs w:val="22"/>
          <w:lang w:eastAsia="fr-FR"/>
        </w:rPr>
        <w:footnoteReference w:id="85"/>
      </w:r>
      <w:r w:rsidRPr="00773CE9">
        <w:t xml:space="preserve"> Among children of parents with lower education, 37</w:t>
      </w:r>
      <w:r>
        <w:t>.</w:t>
      </w:r>
      <w:r w:rsidRPr="00773CE9">
        <w:t>6%</w:t>
      </w:r>
      <w:r>
        <w:t xml:space="preserve"> are at risk of poverty</w:t>
      </w:r>
      <w:r w:rsidRPr="00773CE9">
        <w:t>,</w:t>
      </w:r>
      <w:r>
        <w:t xml:space="preserve"> compared to</w:t>
      </w:r>
      <w:r w:rsidRPr="00773CE9">
        <w:t xml:space="preserve"> 6</w:t>
      </w:r>
      <w:r>
        <w:t>.</w:t>
      </w:r>
      <w:r w:rsidRPr="00773CE9">
        <w:t>7% among those with parents with higher education.</w:t>
      </w:r>
    </w:p>
    <w:p w14:paraId="383F1D42" w14:textId="77777777" w:rsidR="004A5AEE" w:rsidRPr="00D90B39" w:rsidRDefault="004A5AEE" w:rsidP="004A5AEE">
      <w:pPr>
        <w:pStyle w:val="ListParagraph"/>
        <w:tabs>
          <w:tab w:val="clear" w:pos="567"/>
        </w:tabs>
        <w:rPr>
          <w:szCs w:val="22"/>
        </w:rPr>
      </w:pPr>
      <w:r w:rsidRPr="00773CE9">
        <w:t>According to the German Children</w:t>
      </w:r>
      <w:r>
        <w:t>’s</w:t>
      </w:r>
      <w:r w:rsidRPr="00773CE9">
        <w:t xml:space="preserve"> Fund, over two thirds of poor children in Germany have lived in poverty for five or more years.</w:t>
      </w:r>
      <w:r w:rsidRPr="00773CE9">
        <w:rPr>
          <w:rStyle w:val="FootnoteReference"/>
          <w:rFonts w:asciiTheme="minorHAnsi" w:hAnsiTheme="minorHAnsi" w:cstheme="minorHAnsi"/>
          <w:bCs/>
        </w:rPr>
        <w:footnoteReference w:id="86"/>
      </w:r>
      <w:r w:rsidRPr="00773CE9">
        <w:t xml:space="preserve"> </w:t>
      </w:r>
      <w:r>
        <w:t>C</w:t>
      </w:r>
      <w:r w:rsidRPr="00773CE9">
        <w:t>hildren of single parents and those growing up in households of three or more children</w:t>
      </w:r>
      <w:r w:rsidR="004D1559">
        <w:t xml:space="preserve"> </w:t>
      </w:r>
      <w:r>
        <w:t>are particularly affected (with rates of 41% and 31%, respectively)</w:t>
      </w:r>
      <w:r w:rsidRPr="00773CE9">
        <w:t xml:space="preserve">. Child poverty is </w:t>
      </w:r>
      <w:r>
        <w:t>increasingly</w:t>
      </w:r>
      <w:r w:rsidRPr="00773CE9">
        <w:t xml:space="preserve"> dependent on the locality in which children grow up, as social segregation has increased sharply. </w:t>
      </w:r>
      <w:r>
        <w:t>In September 2022,</w:t>
      </w:r>
      <w:r w:rsidRPr="00773CE9">
        <w:t xml:space="preserve"> </w:t>
      </w:r>
      <w:r>
        <w:t>the UNCRC e</w:t>
      </w:r>
      <w:r w:rsidRPr="00773CE9">
        <w:t>xpressed concern about the high number of children living in poverty in Germany and called on the authorities to develop a national strategy against child poverty that addresses the root c</w:t>
      </w:r>
      <w:r>
        <w:t>au</w:t>
      </w:r>
      <w:r w:rsidRPr="00773CE9">
        <w:t>ses. It further called for a reform of the social benefits system</w:t>
      </w:r>
      <w:r>
        <w:t>,</w:t>
      </w:r>
      <w:r w:rsidRPr="00773CE9">
        <w:t xml:space="preserve"> “based on an adequate subsistence level and a stronger method of calculation (…) with a particular focus on children from disadvantaged families, including migrant children, children without a regular residence status and children of single parents.”</w:t>
      </w:r>
      <w:r w:rsidRPr="00773CE9">
        <w:rPr>
          <w:rStyle w:val="FootnoteReference"/>
          <w:rFonts w:asciiTheme="minorHAnsi" w:hAnsiTheme="minorHAnsi" w:cstheme="minorHAnsi"/>
          <w:bCs/>
        </w:rPr>
        <w:footnoteReference w:id="87"/>
      </w:r>
      <w:r w:rsidRPr="00773CE9">
        <w:t xml:space="preserve"> </w:t>
      </w:r>
    </w:p>
    <w:p w14:paraId="685242C4" w14:textId="77777777" w:rsidR="004A5AEE" w:rsidRPr="003819A9" w:rsidRDefault="004A5AEE" w:rsidP="004A5AEE">
      <w:pPr>
        <w:pStyle w:val="ListParagraph"/>
        <w:tabs>
          <w:tab w:val="clear" w:pos="567"/>
        </w:tabs>
        <w:rPr>
          <w:szCs w:val="22"/>
        </w:rPr>
      </w:pPr>
      <w:r w:rsidRPr="00D90B39">
        <w:rPr>
          <w:rFonts w:asciiTheme="minorHAnsi" w:hAnsiTheme="minorHAnsi" w:cstheme="minorHAnsi"/>
          <w:bCs/>
        </w:rPr>
        <w:t xml:space="preserve">In this context, the Commissioner welcomes the commitment by the federal government </w:t>
      </w:r>
      <w:r>
        <w:rPr>
          <w:rFonts w:asciiTheme="minorHAnsi" w:hAnsiTheme="minorHAnsi" w:cstheme="minorHAnsi"/>
          <w:bCs/>
        </w:rPr>
        <w:t>to</w:t>
      </w:r>
      <w:r w:rsidRPr="00D90B39">
        <w:rPr>
          <w:rFonts w:asciiTheme="minorHAnsi" w:hAnsiTheme="minorHAnsi" w:cstheme="minorHAnsi"/>
          <w:bCs/>
        </w:rPr>
        <w:t xml:space="preserve"> introduc</w:t>
      </w:r>
      <w:r>
        <w:rPr>
          <w:rFonts w:asciiTheme="minorHAnsi" w:hAnsiTheme="minorHAnsi" w:cstheme="minorHAnsi"/>
          <w:bCs/>
        </w:rPr>
        <w:t>e</w:t>
      </w:r>
      <w:r w:rsidRPr="00D90B39">
        <w:rPr>
          <w:rFonts w:asciiTheme="minorHAnsi" w:hAnsiTheme="minorHAnsi" w:cstheme="minorHAnsi"/>
          <w:bCs/>
        </w:rPr>
        <w:t xml:space="preserve"> a basic child safeguard (called </w:t>
      </w:r>
      <w:proofErr w:type="spellStart"/>
      <w:r w:rsidRPr="00D90B39">
        <w:rPr>
          <w:rFonts w:asciiTheme="minorHAnsi" w:hAnsiTheme="minorHAnsi" w:cstheme="minorHAnsi"/>
          <w:bCs/>
        </w:rPr>
        <w:t>Kindergrundsicherung</w:t>
      </w:r>
      <w:proofErr w:type="spellEnd"/>
      <w:r>
        <w:rPr>
          <w:rFonts w:asciiTheme="minorHAnsi" w:hAnsiTheme="minorHAnsi" w:cstheme="minorHAnsi"/>
          <w:bCs/>
        </w:rPr>
        <w:t xml:space="preserve">, </w:t>
      </w:r>
      <w:r w:rsidRPr="00D90B39">
        <w:rPr>
          <w:rFonts w:asciiTheme="minorHAnsi" w:hAnsiTheme="minorHAnsi" w:cstheme="minorHAnsi"/>
          <w:bCs/>
        </w:rPr>
        <w:t>KGS) which is meant to combine five different types of entitlements into one centralised and unbureaucratic</w:t>
      </w:r>
      <w:r>
        <w:rPr>
          <w:rFonts w:asciiTheme="minorHAnsi" w:hAnsiTheme="minorHAnsi" w:cstheme="minorHAnsi"/>
          <w:bCs/>
        </w:rPr>
        <w:t xml:space="preserve"> </w:t>
      </w:r>
      <w:r w:rsidRPr="00B616DB">
        <w:rPr>
          <w:rFonts w:asciiTheme="minorHAnsi" w:hAnsiTheme="minorHAnsi" w:cstheme="minorHAnsi"/>
          <w:bCs/>
        </w:rPr>
        <w:t xml:space="preserve">form of support for all children, thereby streamlining efforts to combat child poverty in Germany. She </w:t>
      </w:r>
      <w:r>
        <w:rPr>
          <w:rFonts w:asciiTheme="minorHAnsi" w:hAnsiTheme="minorHAnsi" w:cstheme="minorHAnsi"/>
          <w:bCs/>
        </w:rPr>
        <w:t>notes with concern</w:t>
      </w:r>
      <w:r w:rsidRPr="00B616DB">
        <w:rPr>
          <w:rFonts w:asciiTheme="minorHAnsi" w:hAnsiTheme="minorHAnsi" w:cstheme="minorHAnsi"/>
          <w:bCs/>
        </w:rPr>
        <w:t xml:space="preserve"> that the KGS excludes the children of asylum seekers, who will even see a reduction of benefits by </w:t>
      </w:r>
      <w:r w:rsidRPr="00B616DB">
        <w:rPr>
          <w:rFonts w:asciiTheme="minorHAnsi" w:hAnsiTheme="minorHAnsi" w:cstheme="minorHAnsi"/>
          <w:bCs/>
          <w:szCs w:val="22"/>
          <w:lang w:eastAsia="fr-FR"/>
        </w:rPr>
        <w:t xml:space="preserve">€20. </w:t>
      </w:r>
      <w:r>
        <w:rPr>
          <w:rFonts w:asciiTheme="minorHAnsi" w:hAnsiTheme="minorHAnsi" w:cstheme="minorHAnsi"/>
          <w:bCs/>
          <w:szCs w:val="22"/>
          <w:lang w:eastAsia="fr-FR"/>
        </w:rPr>
        <w:t>T</w:t>
      </w:r>
      <w:r w:rsidRPr="00B616DB">
        <w:rPr>
          <w:rFonts w:asciiTheme="minorHAnsi" w:hAnsiTheme="minorHAnsi" w:cstheme="minorHAnsi"/>
          <w:bCs/>
        </w:rPr>
        <w:t xml:space="preserve">he </w:t>
      </w:r>
      <w:r w:rsidRPr="00B616DB">
        <w:t xml:space="preserve">KGS </w:t>
      </w:r>
      <w:r>
        <w:t xml:space="preserve">is expected to </w:t>
      </w:r>
      <w:r w:rsidRPr="00B616DB">
        <w:t>take effect from 1 January</w:t>
      </w:r>
      <w:r w:rsidRPr="00773CE9">
        <w:t xml:space="preserve"> 2025. Child experts and charities have called for this support to constitute </w:t>
      </w:r>
      <w:r w:rsidRPr="00EC2DF5">
        <w:rPr>
          <w:lang w:val="en-US"/>
        </w:rPr>
        <w:t xml:space="preserve">a minimum of €350 and up to €754, </w:t>
      </w:r>
      <w:r w:rsidRPr="00773CE9">
        <w:t xml:space="preserve">depending on </w:t>
      </w:r>
      <w:r>
        <w:t>parental income</w:t>
      </w:r>
      <w:r w:rsidRPr="00773CE9">
        <w:t>, while the current child subsidy</w:t>
      </w:r>
      <w:r>
        <w:t xml:space="preserve"> </w:t>
      </w:r>
      <w:r w:rsidRPr="00773CE9">
        <w:t xml:space="preserve">minimum lies at </w:t>
      </w:r>
      <w:r w:rsidRPr="00D90B39">
        <w:rPr>
          <w:rFonts w:asciiTheme="minorHAnsi" w:hAnsiTheme="minorHAnsi" w:cstheme="minorHAnsi"/>
          <w:bCs/>
          <w:szCs w:val="22"/>
          <w:lang w:eastAsia="fr-FR"/>
        </w:rPr>
        <w:t>€</w:t>
      </w:r>
      <w:r w:rsidRPr="00773CE9">
        <w:t>250 per child.</w:t>
      </w:r>
      <w:r w:rsidRPr="00773CE9">
        <w:rPr>
          <w:rStyle w:val="FootnoteReference"/>
          <w:rFonts w:asciiTheme="minorHAnsi" w:hAnsiTheme="minorHAnsi" w:cstheme="minorHAnsi"/>
          <w:bCs/>
        </w:rPr>
        <w:footnoteReference w:id="88"/>
      </w:r>
      <w:r w:rsidRPr="00773CE9">
        <w:t xml:space="preserve"> </w:t>
      </w:r>
      <w:r>
        <w:t xml:space="preserve">The Commissioner has </w:t>
      </w:r>
      <w:r w:rsidRPr="00773CE9">
        <w:t>learned that the ensuing benefits</w:t>
      </w:r>
      <w:r>
        <w:t xml:space="preserve"> will be </w:t>
      </w:r>
      <w:r w:rsidRPr="00773CE9">
        <w:t>significantly lower than originally</w:t>
      </w:r>
      <w:r>
        <w:t xml:space="preserve"> envisioned and, due to applicable tax deductions, disproportionately advantageous for wealthier families. In addition, </w:t>
      </w:r>
      <w:r w:rsidRPr="00773CE9">
        <w:t xml:space="preserve">only basic payments will be automated, meaning that </w:t>
      </w:r>
      <w:r>
        <w:t xml:space="preserve">the </w:t>
      </w:r>
      <w:r w:rsidRPr="00773CE9">
        <w:t>families most affected by poverty will still have to reapply every six months.</w:t>
      </w:r>
      <w:r w:rsidRPr="00773CE9">
        <w:rPr>
          <w:rStyle w:val="FootnoteReference"/>
        </w:rPr>
        <w:footnoteReference w:id="89"/>
      </w:r>
      <w:r>
        <w:t xml:space="preserve"> Child rights experts </w:t>
      </w:r>
      <w:r w:rsidRPr="00773CE9">
        <w:t xml:space="preserve">also insist that the law on the KGS should </w:t>
      </w:r>
      <w:r>
        <w:t>foresee</w:t>
      </w:r>
      <w:r w:rsidRPr="00773CE9">
        <w:t xml:space="preserve"> ongoing monitoring, evaluation</w:t>
      </w:r>
      <w:r>
        <w:t>,</w:t>
      </w:r>
      <w:r w:rsidRPr="00773CE9">
        <w:t xml:space="preserve"> and adaptation processes</w:t>
      </w:r>
      <w:r>
        <w:t>,</w:t>
      </w:r>
      <w:r w:rsidRPr="00773CE9">
        <w:t xml:space="preserve"> to ensure that the allowance remains proportionate to inflation and other cost developments and constitutes an effective tool to interrupt inter-generational cycles of poverty. </w:t>
      </w:r>
    </w:p>
    <w:p w14:paraId="36D85895" w14:textId="77777777" w:rsidR="004A5AEE" w:rsidRPr="00773CE9" w:rsidRDefault="004A5AEE" w:rsidP="004A5AEE">
      <w:pPr>
        <w:pStyle w:val="ListParagraph"/>
        <w:tabs>
          <w:tab w:val="clear" w:pos="567"/>
        </w:tabs>
        <w:rPr>
          <w:b/>
        </w:rPr>
      </w:pPr>
      <w:r w:rsidRPr="00773CE9">
        <w:t xml:space="preserve">Older people are </w:t>
      </w:r>
      <w:r>
        <w:t xml:space="preserve">particularly </w:t>
      </w:r>
      <w:r w:rsidRPr="00773CE9">
        <w:t>affected by poverty</w:t>
      </w:r>
      <w:r>
        <w:t xml:space="preserve">, since </w:t>
      </w:r>
      <w:r w:rsidRPr="00773CE9">
        <w:t xml:space="preserve">pensions are often inadequate to meet the elevated cost of living, even </w:t>
      </w:r>
      <w:r>
        <w:t xml:space="preserve">for individuals who have </w:t>
      </w:r>
      <w:r w:rsidRPr="00773CE9">
        <w:t xml:space="preserve">worked full-time </w:t>
      </w:r>
      <w:r>
        <w:t>throughout their</w:t>
      </w:r>
      <w:r w:rsidR="004D1559">
        <w:t xml:space="preserve"> </w:t>
      </w:r>
      <w:r>
        <w:t>working</w:t>
      </w:r>
      <w:r w:rsidRPr="00773CE9">
        <w:t xml:space="preserve"> </w:t>
      </w:r>
      <w:r w:rsidRPr="00773CE9">
        <w:lastRenderedPageBreak/>
        <w:t>life.</w:t>
      </w:r>
      <w:r w:rsidRPr="00773CE9">
        <w:rPr>
          <w:rStyle w:val="FootnoteReference"/>
        </w:rPr>
        <w:footnoteReference w:id="90"/>
      </w:r>
      <w:r w:rsidRPr="00773CE9">
        <w:t xml:space="preserve"> The situation is especially alarming for single women</w:t>
      </w:r>
      <w:r>
        <w:t>,</w:t>
      </w:r>
      <w:r w:rsidRPr="00773CE9">
        <w:t xml:space="preserve"> because the contribution-based pension system undervalues</w:t>
      </w:r>
      <w:r>
        <w:t xml:space="preserve"> child-rearing and other care activities that have often prevented them from being in </w:t>
      </w:r>
      <w:r w:rsidRPr="0052110E">
        <w:t>formal</w:t>
      </w:r>
      <w:r>
        <w:t xml:space="preserve"> and/or </w:t>
      </w:r>
      <w:r w:rsidRPr="0052110E">
        <w:t>full-time employment over years.</w:t>
      </w:r>
      <w:r w:rsidRPr="00773CE9">
        <w:t xml:space="preserve"> In addition, the above-mentioned gender pay gap translate</w:t>
      </w:r>
      <w:r>
        <w:t>d</w:t>
      </w:r>
      <w:r w:rsidRPr="00773CE9">
        <w:t xml:space="preserve"> into a gender pension gap of over 40% in 2020, the highest in the </w:t>
      </w:r>
      <w:r>
        <w:t xml:space="preserve">OECD </w:t>
      </w:r>
      <w:r w:rsidRPr="00773CE9">
        <w:t>area.</w:t>
      </w:r>
      <w:r w:rsidRPr="00773CE9">
        <w:rPr>
          <w:rStyle w:val="FootnoteReference"/>
        </w:rPr>
        <w:footnoteReference w:id="91"/>
      </w:r>
      <w:r w:rsidRPr="00773CE9">
        <w:t xml:space="preserve"> </w:t>
      </w:r>
      <w:r>
        <w:t>Since 2003, p</w:t>
      </w:r>
      <w:r w:rsidRPr="00773CE9">
        <w:t xml:space="preserve">ensioners </w:t>
      </w:r>
      <w:r>
        <w:t xml:space="preserve">have </w:t>
      </w:r>
      <w:r w:rsidRPr="00773CE9">
        <w:t>also suffer</w:t>
      </w:r>
      <w:r>
        <w:t>ed</w:t>
      </w:r>
      <w:r w:rsidRPr="00773CE9">
        <w:t xml:space="preserve"> from </w:t>
      </w:r>
      <w:r>
        <w:t xml:space="preserve">the </w:t>
      </w:r>
      <w:r w:rsidRPr="00773CE9">
        <w:t>decreas</w:t>
      </w:r>
      <w:r>
        <w:t>ed</w:t>
      </w:r>
      <w:r w:rsidRPr="00773CE9">
        <w:t xml:space="preserve"> rates of </w:t>
      </w:r>
      <w:r>
        <w:t xml:space="preserve">national health insurance </w:t>
      </w:r>
      <w:r w:rsidRPr="00773CE9">
        <w:t>coverage for</w:t>
      </w:r>
      <w:r>
        <w:t xml:space="preserve"> vision</w:t>
      </w:r>
      <w:r w:rsidRPr="00773CE9">
        <w:t xml:space="preserve">, hearing </w:t>
      </w:r>
      <w:r>
        <w:t>and mobility aids, among others,</w:t>
      </w:r>
      <w:r w:rsidR="004D1559">
        <w:t xml:space="preserve"> </w:t>
      </w:r>
      <w:r>
        <w:rPr>
          <w:lang w:val="en-US"/>
        </w:rPr>
        <w:t xml:space="preserve">which often </w:t>
      </w:r>
      <w:r w:rsidRPr="00773CE9">
        <w:t>mak</w:t>
      </w:r>
      <w:r>
        <w:t>e</w:t>
      </w:r>
      <w:r w:rsidRPr="00773CE9">
        <w:t xml:space="preserve"> these necessary </w:t>
      </w:r>
      <w:r>
        <w:t>items</w:t>
      </w:r>
      <w:r w:rsidRPr="00773CE9">
        <w:t xml:space="preserve"> unaffordable. </w:t>
      </w:r>
    </w:p>
    <w:p w14:paraId="24CB1DE1" w14:textId="77777777" w:rsidR="004A5AEE" w:rsidRPr="00D90B39" w:rsidRDefault="004A5AEE" w:rsidP="004A5AEE">
      <w:pPr>
        <w:pStyle w:val="ListParagraph"/>
        <w:tabs>
          <w:tab w:val="clear" w:pos="567"/>
        </w:tabs>
        <w:rPr>
          <w:b/>
        </w:rPr>
      </w:pPr>
      <w:r w:rsidRPr="00773CE9">
        <w:t xml:space="preserve">Persons with disabilities are also disproportionately affected by poverty because they are far more likely to be in part-time and low-income employment (see </w:t>
      </w:r>
      <w:r>
        <w:t>above, para. 25</w:t>
      </w:r>
      <w:r w:rsidRPr="00773CE9">
        <w:t xml:space="preserve">) and because they are, even if in good employment, less likely to </w:t>
      </w:r>
      <w:r>
        <w:t xml:space="preserve">accrue </w:t>
      </w:r>
      <w:r w:rsidRPr="00773CE9">
        <w:t>wealth</w:t>
      </w:r>
      <w:r>
        <w:t>,</w:t>
      </w:r>
      <w:r w:rsidRPr="00773CE9">
        <w:t xml:space="preserve"> </w:t>
      </w:r>
      <w:r>
        <w:t>due</w:t>
      </w:r>
      <w:r w:rsidRPr="00773CE9">
        <w:t xml:space="preserve"> </w:t>
      </w:r>
      <w:r>
        <w:t xml:space="preserve">to </w:t>
      </w:r>
      <w:r w:rsidRPr="00773CE9">
        <w:t>the high costs they incur for personal assistance and other support measures</w:t>
      </w:r>
      <w:r>
        <w:t>,</w:t>
      </w:r>
      <w:r w:rsidRPr="00773CE9">
        <w:t xml:space="preserve"> for which allowances are </w:t>
      </w:r>
      <w:proofErr w:type="gramStart"/>
      <w:r>
        <w:t>income-</w:t>
      </w:r>
      <w:r w:rsidRPr="00773CE9">
        <w:t>dependent</w:t>
      </w:r>
      <w:proofErr w:type="gramEnd"/>
      <w:r>
        <w:t>.</w:t>
      </w:r>
      <w:r w:rsidRPr="00773CE9">
        <w:t xml:space="preserve"> According to self-representative organisations, women with disabilities are particularly threatened with poverty and often live in highly precarious conditions</w:t>
      </w:r>
      <w:r>
        <w:t>,</w:t>
      </w:r>
      <w:r w:rsidRPr="00773CE9">
        <w:t xml:space="preserve"> </w:t>
      </w:r>
      <w:r>
        <w:t xml:space="preserve">owing to the </w:t>
      </w:r>
      <w:r w:rsidRPr="00773CE9">
        <w:t>intersecti</w:t>
      </w:r>
      <w:r>
        <w:t>ng</w:t>
      </w:r>
      <w:r w:rsidRPr="00773CE9">
        <w:t xml:space="preserve"> forms of discrimination they experience</w:t>
      </w:r>
      <w:r>
        <w:t xml:space="preserve"> in the labour market</w:t>
      </w:r>
      <w:r w:rsidRPr="00773CE9">
        <w:t>.</w:t>
      </w:r>
    </w:p>
    <w:p w14:paraId="1F45FABC" w14:textId="77777777" w:rsidR="004A5AEE" w:rsidRPr="00773CE9" w:rsidRDefault="004A5AEE" w:rsidP="00AF1A4D">
      <w:pPr>
        <w:pStyle w:val="Heading2"/>
        <w:numPr>
          <w:ilvl w:val="1"/>
          <w:numId w:val="24"/>
        </w:numPr>
        <w:tabs>
          <w:tab w:val="num" w:pos="765"/>
        </w:tabs>
        <w:ind w:hanging="765"/>
      </w:pPr>
      <w:bookmarkStart w:id="92" w:name="_Toc152669910"/>
      <w:bookmarkStart w:id="93" w:name="_Toc152669941"/>
      <w:bookmarkStart w:id="94" w:name="_Toc158636906"/>
      <w:bookmarkStart w:id="95" w:name="_Toc159582677"/>
      <w:r w:rsidRPr="00773CE9">
        <w:t>Right to adequate housing</w:t>
      </w:r>
      <w:bookmarkEnd w:id="92"/>
      <w:bookmarkEnd w:id="93"/>
      <w:bookmarkEnd w:id="94"/>
      <w:bookmarkEnd w:id="95"/>
      <w:r w:rsidRPr="00773CE9">
        <w:t xml:space="preserve"> </w:t>
      </w:r>
    </w:p>
    <w:p w14:paraId="5AB0C866" w14:textId="77777777" w:rsidR="004A5AEE" w:rsidRPr="00D90B39" w:rsidRDefault="004A5AEE" w:rsidP="004A5AEE">
      <w:pPr>
        <w:pStyle w:val="ListParagraph"/>
        <w:tabs>
          <w:tab w:val="clear" w:pos="567"/>
        </w:tabs>
        <w:rPr>
          <w:b/>
        </w:rPr>
      </w:pPr>
      <w:r w:rsidRPr="00773CE9">
        <w:t xml:space="preserve">The German Constitution does not contain an explicit right to adequate housing. The Constitutional Court has, however, </w:t>
      </w:r>
      <w:r>
        <w:t>held</w:t>
      </w:r>
      <w:r w:rsidRPr="00773CE9">
        <w:t xml:space="preserve"> that the right to a minimal subsistence, drawn from the inherent human dignity in a social state, also implies a right to shelter.</w:t>
      </w:r>
      <w:r>
        <w:rPr>
          <w:rStyle w:val="FootnoteReference"/>
        </w:rPr>
        <w:footnoteReference w:id="92"/>
      </w:r>
      <w:r w:rsidRPr="00773CE9">
        <w:t xml:space="preserve"> The constitutions of some Länder, such as Bavaria, </w:t>
      </w:r>
      <w:r>
        <w:t xml:space="preserve">Berlin, </w:t>
      </w:r>
      <w:proofErr w:type="gramStart"/>
      <w:r>
        <w:t>Bremen</w:t>
      </w:r>
      <w:proofErr w:type="gramEnd"/>
      <w:r>
        <w:t xml:space="preserve"> and </w:t>
      </w:r>
      <w:r w:rsidRPr="00773CE9">
        <w:t>Saxony</w:t>
      </w:r>
      <w:r>
        <w:t>,</w:t>
      </w:r>
      <w:r w:rsidRPr="00773CE9">
        <w:t xml:space="preserve"> contain an explicit </w:t>
      </w:r>
      <w:r>
        <w:t xml:space="preserve">reference to the </w:t>
      </w:r>
      <w:r w:rsidRPr="00773CE9">
        <w:t>right to adequate housing.</w:t>
      </w:r>
      <w:r w:rsidRPr="00773CE9">
        <w:rPr>
          <w:rStyle w:val="FootnoteReference"/>
          <w:rFonts w:asciiTheme="minorHAnsi" w:hAnsiTheme="minorHAnsi" w:cstheme="minorHAnsi"/>
          <w:bCs/>
        </w:rPr>
        <w:footnoteReference w:id="93"/>
      </w:r>
      <w:r w:rsidRPr="00773CE9">
        <w:t xml:space="preserve"> </w:t>
      </w:r>
    </w:p>
    <w:p w14:paraId="4B04E38B" w14:textId="77777777" w:rsidR="004A5AEE" w:rsidRPr="00AF1A4D" w:rsidRDefault="004A5AEE" w:rsidP="00AF1A4D">
      <w:pPr>
        <w:pStyle w:val="Heading3"/>
        <w:numPr>
          <w:ilvl w:val="2"/>
          <w:numId w:val="24"/>
        </w:numPr>
        <w:ind w:left="794" w:hanging="794"/>
        <w:rPr>
          <w:rFonts w:eastAsiaTheme="minorEastAsia"/>
          <w:lang w:val="en-GB"/>
        </w:rPr>
      </w:pPr>
      <w:bookmarkStart w:id="97" w:name="_Toc152669911"/>
      <w:bookmarkStart w:id="98" w:name="_Toc152669942"/>
      <w:bookmarkStart w:id="99" w:name="_Toc158636907"/>
      <w:bookmarkStart w:id="100" w:name="_Toc159582678"/>
      <w:r w:rsidRPr="00AF1A4D">
        <w:rPr>
          <w:rFonts w:eastAsiaTheme="minorEastAsia"/>
          <w:lang w:val="en-GB"/>
        </w:rPr>
        <w:t>Affordability of housing</w:t>
      </w:r>
      <w:bookmarkEnd w:id="97"/>
      <w:bookmarkEnd w:id="98"/>
      <w:bookmarkEnd w:id="99"/>
      <w:bookmarkEnd w:id="100"/>
    </w:p>
    <w:p w14:paraId="159A3A51" w14:textId="485806C3" w:rsidR="004A5AEE" w:rsidRPr="00773CE9" w:rsidRDefault="004A5AEE" w:rsidP="004A5AEE">
      <w:pPr>
        <w:pStyle w:val="ListParagraph"/>
        <w:tabs>
          <w:tab w:val="clear" w:pos="567"/>
        </w:tabs>
      </w:pPr>
      <w:r w:rsidRPr="00773CE9">
        <w:t>Germany has experienced a significant reduction in the size of its social housing stock over the past 25 years,</w:t>
      </w:r>
      <w:r>
        <w:t xml:space="preserve"> down</w:t>
      </w:r>
      <w:r w:rsidRPr="00773CE9">
        <w:t xml:space="preserve"> from </w:t>
      </w:r>
      <w:r>
        <w:t>approximately</w:t>
      </w:r>
      <w:r w:rsidRPr="00773CE9">
        <w:t xml:space="preserve"> 3 million </w:t>
      </w:r>
      <w:r>
        <w:t xml:space="preserve">dwellings </w:t>
      </w:r>
      <w:r w:rsidRPr="00773CE9">
        <w:t xml:space="preserve">to just over </w:t>
      </w:r>
      <w:r>
        <w:t>1</w:t>
      </w:r>
      <w:r w:rsidRPr="00773CE9">
        <w:t xml:space="preserve"> million.</w:t>
      </w:r>
      <w:r w:rsidRPr="00773CE9">
        <w:rPr>
          <w:rStyle w:val="FootnoteReference"/>
          <w:rFonts w:asciiTheme="minorHAnsi" w:hAnsiTheme="minorHAnsi" w:cstheme="minorHAnsi"/>
          <w:bCs/>
        </w:rPr>
        <w:footnoteReference w:id="94"/>
      </w:r>
      <w:r w:rsidRPr="00773CE9">
        <w:t xml:space="preserve"> According to the OECD, Germany’s social housing stock stood at 2.7% of all dwellings</w:t>
      </w:r>
      <w:r>
        <w:t xml:space="preserve"> in 2020</w:t>
      </w:r>
      <w:r w:rsidRPr="00773CE9">
        <w:t>, well below the OECD average of 6.9%.</w:t>
      </w:r>
      <w:r w:rsidRPr="00773CE9">
        <w:rPr>
          <w:rStyle w:val="FootnoteReference"/>
          <w:rFonts w:asciiTheme="minorHAnsi" w:hAnsiTheme="minorHAnsi" w:cstheme="minorHAnsi"/>
          <w:bCs/>
        </w:rPr>
        <w:footnoteReference w:id="95"/>
      </w:r>
      <w:r w:rsidRPr="00773CE9">
        <w:t xml:space="preserve"> The decline over the last decades is partly due to a slowdown in new social housing construction</w:t>
      </w:r>
      <w:r>
        <w:t>,</w:t>
      </w:r>
      <w:r w:rsidRPr="00773CE9">
        <w:t xml:space="preserve"> </w:t>
      </w:r>
      <w:r>
        <w:t>as well as</w:t>
      </w:r>
      <w:r w:rsidRPr="00773CE9">
        <w:t xml:space="preserve"> the privatisation of existing stock, whereby social dwellings </w:t>
      </w:r>
      <w:r>
        <w:t>have been</w:t>
      </w:r>
      <w:r w:rsidRPr="00773CE9">
        <w:t xml:space="preserve"> converted into market-rate rental housing. Social housing </w:t>
      </w:r>
      <w:r>
        <w:t xml:space="preserve">contracts, </w:t>
      </w:r>
      <w:r w:rsidRPr="00773CE9">
        <w:t>usually established for a period of 30 years</w:t>
      </w:r>
      <w:r>
        <w:t>,</w:t>
      </w:r>
      <w:r w:rsidRPr="00773CE9">
        <w:t xml:space="preserve"> </w:t>
      </w:r>
      <w:r>
        <w:t>often</w:t>
      </w:r>
      <w:r w:rsidRPr="00773CE9">
        <w:t xml:space="preserve"> have not been </w:t>
      </w:r>
      <w:r>
        <w:t>renewed upon expiry</w:t>
      </w:r>
      <w:r w:rsidRPr="00773CE9">
        <w:t>. As a result, Germany has a significant scarcity of affordable housing, particularly in Berlin and other large cities. In 20</w:t>
      </w:r>
      <w:r w:rsidR="00AB20EC">
        <w:t>18</w:t>
      </w:r>
      <w:r w:rsidRPr="00773CE9">
        <w:t>, the percentage of people living in households with housing costs above 40% of their</w:t>
      </w:r>
      <w:r>
        <w:t xml:space="preserve"> disposable</w:t>
      </w:r>
      <w:r w:rsidRPr="00773CE9">
        <w:t xml:space="preserve"> income was higher in Germany (14.2%) than the EU average (9.6%),</w:t>
      </w:r>
      <w:r w:rsidRPr="00773CE9">
        <w:rPr>
          <w:rStyle w:val="FootnoteReference"/>
          <w:rFonts w:asciiTheme="minorHAnsi" w:hAnsiTheme="minorHAnsi" w:cstheme="minorHAnsi"/>
          <w:bCs/>
        </w:rPr>
        <w:footnoteReference w:id="96"/>
      </w:r>
      <w:r w:rsidRPr="00773CE9">
        <w:t xml:space="preserve"> and is </w:t>
      </w:r>
      <w:r>
        <w:t xml:space="preserve">reported </w:t>
      </w:r>
      <w:r w:rsidRPr="00773CE9">
        <w:t>to have risen further to 16% in 202</w:t>
      </w:r>
      <w:r w:rsidR="00AB20EC">
        <w:t>2</w:t>
      </w:r>
      <w:r w:rsidRPr="00773CE9">
        <w:t>.</w:t>
      </w:r>
      <w:r w:rsidRPr="00773CE9">
        <w:rPr>
          <w:rStyle w:val="FootnoteReference"/>
          <w:rFonts w:asciiTheme="minorHAnsi" w:hAnsiTheme="minorHAnsi" w:cstheme="minorHAnsi"/>
          <w:bCs/>
        </w:rPr>
        <w:footnoteReference w:id="97"/>
      </w:r>
      <w:r w:rsidRPr="00773CE9">
        <w:t xml:space="preserve"> </w:t>
      </w:r>
    </w:p>
    <w:p w14:paraId="58BC01B4" w14:textId="77777777" w:rsidR="004A5AEE" w:rsidRPr="00773CE9" w:rsidRDefault="004A5AEE" w:rsidP="004A5AEE">
      <w:pPr>
        <w:pStyle w:val="ListParagraph"/>
        <w:tabs>
          <w:tab w:val="clear" w:pos="567"/>
        </w:tabs>
      </w:pPr>
      <w:r w:rsidRPr="00773CE9">
        <w:t>Already in November 2018, the</w:t>
      </w:r>
      <w:r w:rsidR="004D1559">
        <w:t xml:space="preserve"> </w:t>
      </w:r>
      <w:r>
        <w:rPr>
          <w:rFonts w:asciiTheme="minorHAnsi" w:hAnsiTheme="minorHAnsi" w:cstheme="minorHAnsi"/>
          <w:bCs/>
        </w:rPr>
        <w:t>CESCR</w:t>
      </w:r>
      <w:r w:rsidRPr="00773CE9">
        <w:rPr>
          <w:rFonts w:asciiTheme="minorHAnsi" w:hAnsiTheme="minorHAnsi" w:cstheme="minorHAnsi"/>
          <w:bCs/>
        </w:rPr>
        <w:t xml:space="preserve"> had expressed concern about the very high level of rent</w:t>
      </w:r>
      <w:r>
        <w:rPr>
          <w:rFonts w:asciiTheme="minorHAnsi" w:hAnsiTheme="minorHAnsi" w:cstheme="minorHAnsi"/>
          <w:bCs/>
        </w:rPr>
        <w:t>al prices</w:t>
      </w:r>
      <w:r w:rsidRPr="00773CE9">
        <w:rPr>
          <w:rFonts w:asciiTheme="minorHAnsi" w:hAnsiTheme="minorHAnsi" w:cstheme="minorHAnsi"/>
          <w:bCs/>
        </w:rPr>
        <w:t xml:space="preserve"> and rent increases</w:t>
      </w:r>
      <w:r>
        <w:rPr>
          <w:rFonts w:asciiTheme="minorHAnsi" w:hAnsiTheme="minorHAnsi" w:cstheme="minorHAnsi"/>
          <w:bCs/>
        </w:rPr>
        <w:t>, and</w:t>
      </w:r>
      <w:r w:rsidRPr="00773CE9">
        <w:rPr>
          <w:rFonts w:asciiTheme="minorHAnsi" w:hAnsiTheme="minorHAnsi" w:cstheme="minorHAnsi"/>
          <w:bCs/>
        </w:rPr>
        <w:t xml:space="preserve"> the acute shortage of affordable housing, coupled with the </w:t>
      </w:r>
      <w:r w:rsidRPr="00773CE9">
        <w:rPr>
          <w:rFonts w:asciiTheme="minorHAnsi" w:hAnsiTheme="minorHAnsi" w:cstheme="minorHAnsi"/>
          <w:bCs/>
        </w:rPr>
        <w:lastRenderedPageBreak/>
        <w:t>decreased number of apartments available as social housing</w:t>
      </w:r>
      <w:r>
        <w:rPr>
          <w:rFonts w:asciiTheme="minorHAnsi" w:hAnsiTheme="minorHAnsi" w:cstheme="minorHAnsi"/>
          <w:bCs/>
        </w:rPr>
        <w:t xml:space="preserve"> in Germany</w:t>
      </w:r>
      <w:r w:rsidRPr="00773CE9">
        <w:rPr>
          <w:rFonts w:asciiTheme="minorHAnsi" w:hAnsiTheme="minorHAnsi" w:cstheme="minorHAnsi"/>
          <w:bCs/>
        </w:rPr>
        <w:t>.</w:t>
      </w:r>
      <w:r w:rsidRPr="00773CE9">
        <w:rPr>
          <w:rStyle w:val="FootnoteReference"/>
          <w:rFonts w:asciiTheme="minorHAnsi" w:hAnsiTheme="minorHAnsi" w:cstheme="minorHAnsi"/>
          <w:bCs/>
        </w:rPr>
        <w:footnoteReference w:id="98"/>
      </w:r>
      <w:r w:rsidRPr="00773CE9">
        <w:t xml:space="preserve"> According to a recent study, the estimated housing shortage, including social and affordable housing, </w:t>
      </w:r>
      <w:r>
        <w:t>had reached 910,</w:t>
      </w:r>
      <w:r w:rsidRPr="00773CE9">
        <w:t xml:space="preserve">000 dwellings </w:t>
      </w:r>
      <w:r>
        <w:t>at</w:t>
      </w:r>
      <w:r w:rsidRPr="00773CE9">
        <w:t xml:space="preserve"> the end of 202</w:t>
      </w:r>
      <w:r>
        <w:t>2</w:t>
      </w:r>
      <w:r w:rsidRPr="00773CE9">
        <w:t>.</w:t>
      </w:r>
      <w:r w:rsidRPr="00773CE9">
        <w:rPr>
          <w:vertAlign w:val="superscript"/>
        </w:rPr>
        <w:footnoteReference w:id="99"/>
      </w:r>
      <w:r>
        <w:t xml:space="preserve"> </w:t>
      </w:r>
      <w:r w:rsidRPr="00773CE9">
        <w:t>During her visit, the Commissioner learned of the direct impacts of this shortage in affordable housing</w:t>
      </w:r>
      <w:r>
        <w:t>: while</w:t>
      </w:r>
      <w:r w:rsidRPr="00773CE9">
        <w:t xml:space="preserve"> </w:t>
      </w:r>
      <w:r w:rsidRPr="00652A7C">
        <w:t>lower-income</w:t>
      </w:r>
      <w:r>
        <w:t xml:space="preserve"> </w:t>
      </w:r>
      <w:r w:rsidRPr="00773CE9">
        <w:t>families find themselves increasingly unable to</w:t>
      </w:r>
      <w:r>
        <w:t xml:space="preserve"> pay</w:t>
      </w:r>
      <w:r w:rsidRPr="00773CE9">
        <w:t xml:space="preserve"> their rent</w:t>
      </w:r>
      <w:r>
        <w:t>,</w:t>
      </w:r>
      <w:r w:rsidRPr="00773CE9">
        <w:t xml:space="preserve"> moving to smaller or </w:t>
      </w:r>
      <w:r>
        <w:t>cheaper</w:t>
      </w:r>
      <w:r w:rsidRPr="00773CE9">
        <w:t xml:space="preserve"> apartments is often impossible</w:t>
      </w:r>
      <w:r>
        <w:t>,</w:t>
      </w:r>
      <w:r w:rsidRPr="00773CE9">
        <w:t xml:space="preserve"> due to the very tight market and the unwillingness of many landlords to accept them as tenants.</w:t>
      </w:r>
    </w:p>
    <w:p w14:paraId="3F9A2CC9" w14:textId="77777777" w:rsidR="004A5AEE" w:rsidRPr="00D90B39" w:rsidRDefault="004A5AEE" w:rsidP="004A5AEE">
      <w:pPr>
        <w:pStyle w:val="ListParagraph"/>
        <w:tabs>
          <w:tab w:val="clear" w:pos="567"/>
        </w:tabs>
      </w:pPr>
      <w:r w:rsidRPr="00773CE9">
        <w:rPr>
          <w:rFonts w:asciiTheme="minorHAnsi" w:hAnsiTheme="minorHAnsi" w:cstheme="minorHAnsi"/>
          <w:bCs/>
        </w:rPr>
        <w:t xml:space="preserve">The Commissioner </w:t>
      </w:r>
      <w:r>
        <w:rPr>
          <w:rFonts w:asciiTheme="minorHAnsi" w:hAnsiTheme="minorHAnsi" w:cstheme="minorHAnsi"/>
          <w:bCs/>
        </w:rPr>
        <w:t xml:space="preserve">notes </w:t>
      </w:r>
      <w:r w:rsidRPr="00773CE9">
        <w:rPr>
          <w:rFonts w:asciiTheme="minorHAnsi" w:hAnsiTheme="minorHAnsi" w:cstheme="minorHAnsi"/>
          <w:bCs/>
        </w:rPr>
        <w:t xml:space="preserve">the recognition by the federal government of the </w:t>
      </w:r>
      <w:r>
        <w:rPr>
          <w:rFonts w:asciiTheme="minorHAnsi" w:hAnsiTheme="minorHAnsi" w:cstheme="minorHAnsi"/>
          <w:bCs/>
        </w:rPr>
        <w:t xml:space="preserve">existence of a </w:t>
      </w:r>
      <w:r w:rsidRPr="00773CE9">
        <w:rPr>
          <w:rFonts w:asciiTheme="minorHAnsi" w:hAnsiTheme="minorHAnsi" w:cstheme="minorHAnsi"/>
          <w:bCs/>
        </w:rPr>
        <w:t>housing crisis</w:t>
      </w:r>
      <w:r>
        <w:rPr>
          <w:rFonts w:asciiTheme="minorHAnsi" w:hAnsiTheme="minorHAnsi" w:cstheme="minorHAnsi"/>
          <w:bCs/>
        </w:rPr>
        <w:t>. She welcomes</w:t>
      </w:r>
      <w:r w:rsidRPr="00773CE9">
        <w:rPr>
          <w:rFonts w:asciiTheme="minorHAnsi" w:hAnsiTheme="minorHAnsi" w:cstheme="minorHAnsi"/>
          <w:bCs/>
        </w:rPr>
        <w:t xml:space="preserve"> the creation of a separate Ministry for Housing, Urban Development and Building in December 2021 and the commitment in the coalition agreement to a revised target of building 400</w:t>
      </w:r>
      <w:r>
        <w:rPr>
          <w:rFonts w:asciiTheme="minorHAnsi" w:hAnsiTheme="minorHAnsi" w:cstheme="minorHAnsi"/>
          <w:bCs/>
        </w:rPr>
        <w:t>,</w:t>
      </w:r>
      <w:r w:rsidRPr="00773CE9">
        <w:rPr>
          <w:rFonts w:asciiTheme="minorHAnsi" w:hAnsiTheme="minorHAnsi" w:cstheme="minorHAnsi"/>
          <w:bCs/>
        </w:rPr>
        <w:t>000 new housing units every year, including 100</w:t>
      </w:r>
      <w:r>
        <w:rPr>
          <w:rFonts w:asciiTheme="minorHAnsi" w:hAnsiTheme="minorHAnsi" w:cstheme="minorHAnsi"/>
          <w:bCs/>
        </w:rPr>
        <w:t>,</w:t>
      </w:r>
      <w:r w:rsidRPr="00773CE9">
        <w:rPr>
          <w:rFonts w:asciiTheme="minorHAnsi" w:hAnsiTheme="minorHAnsi" w:cstheme="minorHAnsi"/>
          <w:bCs/>
        </w:rPr>
        <w:t>000 social housing units in the 2021-2025 legislative period.</w:t>
      </w:r>
      <w:r>
        <w:rPr>
          <w:rFonts w:asciiTheme="minorHAnsi" w:hAnsiTheme="minorHAnsi" w:cstheme="minorHAnsi"/>
          <w:bCs/>
        </w:rPr>
        <w:t xml:space="preserve"> </w:t>
      </w:r>
      <w:r w:rsidRPr="00773CE9">
        <w:rPr>
          <w:rFonts w:asciiTheme="minorHAnsi" w:hAnsiTheme="minorHAnsi" w:cstheme="minorHAnsi"/>
          <w:bCs/>
        </w:rPr>
        <w:t xml:space="preserve">However, </w:t>
      </w:r>
      <w:r>
        <w:rPr>
          <w:rFonts w:asciiTheme="minorHAnsi" w:hAnsiTheme="minorHAnsi" w:cstheme="minorHAnsi"/>
          <w:bCs/>
        </w:rPr>
        <w:t xml:space="preserve">only about 60% of the general construction target has been reached so far and the number of available social housing stock has diminished even further </w:t>
      </w:r>
      <w:r w:rsidRPr="00652A7C">
        <w:rPr>
          <w:rFonts w:asciiTheme="minorHAnsi" w:hAnsiTheme="minorHAnsi" w:cstheme="minorHAnsi"/>
          <w:bCs/>
        </w:rPr>
        <w:t>during the past year.</w:t>
      </w:r>
      <w:r w:rsidRPr="00652A7C">
        <w:rPr>
          <w:rStyle w:val="FootnoteReference"/>
          <w:rFonts w:asciiTheme="minorHAnsi" w:hAnsiTheme="minorHAnsi" w:cstheme="minorHAnsi"/>
          <w:bCs/>
        </w:rPr>
        <w:footnoteReference w:id="100"/>
      </w:r>
      <w:r w:rsidRPr="00773CE9">
        <w:rPr>
          <w:rFonts w:asciiTheme="minorHAnsi" w:hAnsiTheme="minorHAnsi" w:cstheme="minorHAnsi"/>
          <w:bCs/>
        </w:rPr>
        <w:t xml:space="preserve"> </w:t>
      </w:r>
      <w:r>
        <w:rPr>
          <w:rFonts w:asciiTheme="minorHAnsi" w:hAnsiTheme="minorHAnsi" w:cstheme="minorHAnsi"/>
          <w:bCs/>
        </w:rPr>
        <w:t>M</w:t>
      </w:r>
      <w:r w:rsidRPr="00773CE9">
        <w:rPr>
          <w:rFonts w:asciiTheme="minorHAnsi" w:hAnsiTheme="minorHAnsi" w:cstheme="minorHAnsi"/>
          <w:bCs/>
        </w:rPr>
        <w:t xml:space="preserve">oreover, other measures foreseen in the coalition agreement, such as </w:t>
      </w:r>
      <w:r>
        <w:rPr>
          <w:rFonts w:asciiTheme="minorHAnsi" w:hAnsiTheme="minorHAnsi" w:cstheme="minorHAnsi"/>
          <w:bCs/>
        </w:rPr>
        <w:t>the imposition of a limit on permissible rent increases i</w:t>
      </w:r>
      <w:r w:rsidRPr="00773CE9">
        <w:rPr>
          <w:rFonts w:asciiTheme="minorHAnsi" w:hAnsiTheme="minorHAnsi" w:cstheme="minorHAnsi"/>
          <w:bCs/>
        </w:rPr>
        <w:t xml:space="preserve">n </w:t>
      </w:r>
      <w:r w:rsidRPr="00CF6D93">
        <w:rPr>
          <w:rFonts w:asciiTheme="minorHAnsi" w:hAnsiTheme="minorHAnsi" w:cstheme="minorHAnsi"/>
          <w:bCs/>
        </w:rPr>
        <w:t>particularly tense</w:t>
      </w:r>
      <w:r w:rsidRPr="00773CE9">
        <w:rPr>
          <w:rFonts w:asciiTheme="minorHAnsi" w:hAnsiTheme="minorHAnsi" w:cstheme="minorHAnsi"/>
          <w:bCs/>
        </w:rPr>
        <w:t xml:space="preserve"> housing markets</w:t>
      </w:r>
      <w:r>
        <w:rPr>
          <w:rFonts w:asciiTheme="minorHAnsi" w:hAnsiTheme="minorHAnsi" w:cstheme="minorHAnsi"/>
          <w:bCs/>
        </w:rPr>
        <w:t>,</w:t>
      </w:r>
      <w:r w:rsidRPr="00773CE9">
        <w:rPr>
          <w:rFonts w:asciiTheme="minorHAnsi" w:hAnsiTheme="minorHAnsi" w:cstheme="minorHAnsi"/>
          <w:bCs/>
        </w:rPr>
        <w:t xml:space="preserve"> or t</w:t>
      </w:r>
      <w:r>
        <w:rPr>
          <w:rFonts w:asciiTheme="minorHAnsi" w:hAnsiTheme="minorHAnsi" w:cstheme="minorHAnsi"/>
          <w:bCs/>
        </w:rPr>
        <w:t>he</w:t>
      </w:r>
      <w:r w:rsidRPr="00773CE9">
        <w:rPr>
          <w:rFonts w:asciiTheme="minorHAnsi" w:hAnsiTheme="minorHAnsi" w:cstheme="minorHAnsi"/>
          <w:bCs/>
        </w:rPr>
        <w:t xml:space="preserve"> prolong</w:t>
      </w:r>
      <w:r>
        <w:rPr>
          <w:rFonts w:asciiTheme="minorHAnsi" w:hAnsiTheme="minorHAnsi" w:cstheme="minorHAnsi"/>
          <w:bCs/>
        </w:rPr>
        <w:t>ation of</w:t>
      </w:r>
      <w:r w:rsidRPr="00773CE9">
        <w:rPr>
          <w:rFonts w:asciiTheme="minorHAnsi" w:hAnsiTheme="minorHAnsi" w:cstheme="minorHAnsi"/>
          <w:bCs/>
        </w:rPr>
        <w:t xml:space="preserve"> rent control measures to protect the right to a</w:t>
      </w:r>
      <w:r>
        <w:rPr>
          <w:rFonts w:asciiTheme="minorHAnsi" w:hAnsiTheme="minorHAnsi" w:cstheme="minorHAnsi"/>
          <w:bCs/>
        </w:rPr>
        <w:t>ffordable</w:t>
      </w:r>
      <w:r w:rsidRPr="00773CE9">
        <w:rPr>
          <w:rFonts w:asciiTheme="minorHAnsi" w:hAnsiTheme="minorHAnsi" w:cstheme="minorHAnsi"/>
          <w:bCs/>
        </w:rPr>
        <w:t xml:space="preserve"> housing of lower-income families</w:t>
      </w:r>
      <w:r>
        <w:rPr>
          <w:rFonts w:asciiTheme="minorHAnsi" w:hAnsiTheme="minorHAnsi" w:cstheme="minorHAnsi"/>
          <w:bCs/>
        </w:rPr>
        <w:t xml:space="preserve"> have not been followed through</w:t>
      </w:r>
      <w:r w:rsidRPr="00773CE9">
        <w:rPr>
          <w:rFonts w:asciiTheme="minorHAnsi" w:hAnsiTheme="minorHAnsi" w:cstheme="minorHAnsi"/>
          <w:bCs/>
        </w:rPr>
        <w:t xml:space="preserve">. </w:t>
      </w:r>
    </w:p>
    <w:p w14:paraId="18B4DF0F" w14:textId="77777777" w:rsidR="004A5AEE" w:rsidRPr="00D90B39" w:rsidRDefault="004A5AEE" w:rsidP="004A5AEE">
      <w:pPr>
        <w:pStyle w:val="ListParagraph"/>
        <w:tabs>
          <w:tab w:val="clear" w:pos="567"/>
        </w:tabs>
      </w:pPr>
      <w:r w:rsidRPr="00D90B39">
        <w:rPr>
          <w:rFonts w:asciiTheme="minorHAnsi" w:hAnsiTheme="minorHAnsi" w:cstheme="minorHAnsi"/>
          <w:bCs/>
        </w:rPr>
        <w:t xml:space="preserve">Given the fact that the construction of more social housing </w:t>
      </w:r>
      <w:r>
        <w:rPr>
          <w:rFonts w:asciiTheme="minorHAnsi" w:hAnsiTheme="minorHAnsi" w:cstheme="minorHAnsi"/>
          <w:bCs/>
        </w:rPr>
        <w:t xml:space="preserve">units </w:t>
      </w:r>
      <w:r w:rsidRPr="00D90B39">
        <w:rPr>
          <w:rFonts w:asciiTheme="minorHAnsi" w:hAnsiTheme="minorHAnsi" w:cstheme="minorHAnsi"/>
          <w:bCs/>
        </w:rPr>
        <w:t>can only offer solutions in the</w:t>
      </w:r>
      <w:r>
        <w:rPr>
          <w:rFonts w:asciiTheme="minorHAnsi" w:hAnsiTheme="minorHAnsi" w:cstheme="minorHAnsi"/>
          <w:bCs/>
        </w:rPr>
        <w:t xml:space="preserve"> mid- to </w:t>
      </w:r>
      <w:r w:rsidRPr="00D90B39">
        <w:rPr>
          <w:rFonts w:asciiTheme="minorHAnsi" w:hAnsiTheme="minorHAnsi" w:cstheme="minorHAnsi"/>
          <w:bCs/>
        </w:rPr>
        <w:t>long</w:t>
      </w:r>
      <w:r>
        <w:rPr>
          <w:rFonts w:asciiTheme="minorHAnsi" w:hAnsiTheme="minorHAnsi" w:cstheme="minorHAnsi"/>
          <w:bCs/>
        </w:rPr>
        <w:t>-</w:t>
      </w:r>
      <w:r w:rsidRPr="00D90B39">
        <w:rPr>
          <w:rFonts w:asciiTheme="minorHAnsi" w:hAnsiTheme="minorHAnsi" w:cstheme="minorHAnsi"/>
          <w:bCs/>
        </w:rPr>
        <w:t>term, urgent steps are required</w:t>
      </w:r>
      <w:r>
        <w:rPr>
          <w:rFonts w:asciiTheme="minorHAnsi" w:hAnsiTheme="minorHAnsi" w:cstheme="minorHAnsi"/>
          <w:bCs/>
        </w:rPr>
        <w:t xml:space="preserve"> now </w:t>
      </w:r>
      <w:r w:rsidRPr="00D90B39">
        <w:rPr>
          <w:rFonts w:asciiTheme="minorHAnsi" w:hAnsiTheme="minorHAnsi" w:cstheme="minorHAnsi"/>
          <w:bCs/>
        </w:rPr>
        <w:t xml:space="preserve">to address the </w:t>
      </w:r>
      <w:r>
        <w:rPr>
          <w:rFonts w:asciiTheme="minorHAnsi" w:hAnsiTheme="minorHAnsi" w:cstheme="minorHAnsi"/>
          <w:bCs/>
        </w:rPr>
        <w:t xml:space="preserve">acute </w:t>
      </w:r>
      <w:r w:rsidRPr="00D90B39">
        <w:rPr>
          <w:rFonts w:asciiTheme="minorHAnsi" w:hAnsiTheme="minorHAnsi" w:cstheme="minorHAnsi"/>
          <w:bCs/>
        </w:rPr>
        <w:t xml:space="preserve">lack of affordable housing in Germany. </w:t>
      </w:r>
      <w:r>
        <w:rPr>
          <w:rFonts w:asciiTheme="minorHAnsi" w:hAnsiTheme="minorHAnsi" w:cstheme="minorHAnsi"/>
          <w:bCs/>
        </w:rPr>
        <w:t xml:space="preserve">In this context, the </w:t>
      </w:r>
      <w:r w:rsidRPr="00D90B39">
        <w:rPr>
          <w:rFonts w:asciiTheme="minorHAnsi" w:hAnsiTheme="minorHAnsi" w:cstheme="minorHAnsi"/>
          <w:bCs/>
        </w:rPr>
        <w:t xml:space="preserve">Commissioner </w:t>
      </w:r>
      <w:r>
        <w:rPr>
          <w:rFonts w:asciiTheme="minorHAnsi" w:hAnsiTheme="minorHAnsi" w:cstheme="minorHAnsi"/>
          <w:bCs/>
        </w:rPr>
        <w:t xml:space="preserve">refers to the recent </w:t>
      </w:r>
      <w:r w:rsidRPr="00DA4818">
        <w:rPr>
          <w:rFonts w:asciiTheme="minorHAnsi" w:hAnsiTheme="minorHAnsi" w:cstheme="minorHAnsi"/>
          <w:bCs/>
          <w:lang w:val="en-US"/>
        </w:rPr>
        <w:t xml:space="preserve">report by the UN </w:t>
      </w:r>
      <w:r w:rsidRPr="00125EFD">
        <w:rPr>
          <w:rFonts w:asciiTheme="minorHAnsi" w:hAnsiTheme="minorHAnsi" w:cstheme="minorHAnsi"/>
          <w:bCs/>
        </w:rPr>
        <w:t>Special Rapporteur on adequate housing as a component of the right to an adequate standard of living, according to which all available options should be considered to counteract the adverse</w:t>
      </w:r>
      <w:r w:rsidRPr="00D90B39">
        <w:rPr>
          <w:rFonts w:asciiTheme="minorHAnsi" w:hAnsiTheme="minorHAnsi" w:cstheme="minorHAnsi"/>
          <w:bCs/>
        </w:rPr>
        <w:t xml:space="preserve"> repercussions of the escalating housing unaffordability, including interventions in the housing market </w:t>
      </w:r>
      <w:r>
        <w:rPr>
          <w:rFonts w:asciiTheme="minorHAnsi" w:hAnsiTheme="minorHAnsi" w:cstheme="minorHAnsi"/>
          <w:bCs/>
        </w:rPr>
        <w:t xml:space="preserve">such as </w:t>
      </w:r>
      <w:r w:rsidRPr="00D90B39">
        <w:rPr>
          <w:rFonts w:asciiTheme="minorHAnsi" w:hAnsiTheme="minorHAnsi" w:cstheme="minorHAnsi"/>
          <w:bCs/>
        </w:rPr>
        <w:t>rent ceilings and rent containment measures, the reduction of vacant housing, and the conversion of vacant buildings into housing units.</w:t>
      </w:r>
      <w:r w:rsidRPr="00773CE9">
        <w:rPr>
          <w:rStyle w:val="FootnoteReference"/>
          <w:rFonts w:asciiTheme="minorHAnsi" w:hAnsiTheme="minorHAnsi" w:cstheme="minorHAnsi"/>
          <w:bCs/>
        </w:rPr>
        <w:footnoteReference w:id="101"/>
      </w:r>
      <w:r w:rsidRPr="00D90B39">
        <w:rPr>
          <w:rFonts w:asciiTheme="minorHAnsi" w:hAnsiTheme="minorHAnsi" w:cstheme="minorHAnsi"/>
          <w:bCs/>
        </w:rPr>
        <w:t xml:space="preserve"> </w:t>
      </w:r>
    </w:p>
    <w:p w14:paraId="6DDDF33A" w14:textId="77777777" w:rsidR="004A5AEE" w:rsidRPr="00AF1A4D" w:rsidRDefault="004A5AEE" w:rsidP="00AF1A4D">
      <w:pPr>
        <w:pStyle w:val="Heading3"/>
        <w:numPr>
          <w:ilvl w:val="2"/>
          <w:numId w:val="24"/>
        </w:numPr>
        <w:ind w:left="794" w:hanging="794"/>
        <w:rPr>
          <w:rFonts w:eastAsiaTheme="minorEastAsia"/>
          <w:lang w:val="en-GB"/>
        </w:rPr>
      </w:pPr>
      <w:bookmarkStart w:id="101" w:name="_Toc152669912"/>
      <w:bookmarkStart w:id="102" w:name="_Toc152669943"/>
      <w:bookmarkStart w:id="103" w:name="_Toc158636908"/>
      <w:bookmarkStart w:id="104" w:name="_Toc159582679"/>
      <w:r w:rsidRPr="00AF1A4D">
        <w:rPr>
          <w:rFonts w:eastAsiaTheme="minorEastAsia"/>
          <w:lang w:val="en-GB"/>
        </w:rPr>
        <w:t>Homelessness</w:t>
      </w:r>
      <w:bookmarkEnd w:id="101"/>
      <w:bookmarkEnd w:id="102"/>
      <w:r w:rsidRPr="00AF1A4D">
        <w:rPr>
          <w:rFonts w:eastAsiaTheme="minorEastAsia"/>
          <w:lang w:val="en-GB"/>
        </w:rPr>
        <w:t xml:space="preserve"> and protection from eviction</w:t>
      </w:r>
      <w:bookmarkEnd w:id="103"/>
      <w:bookmarkEnd w:id="104"/>
    </w:p>
    <w:p w14:paraId="76C8DB6C" w14:textId="77777777" w:rsidR="004A5AEE" w:rsidRDefault="004A5AEE" w:rsidP="004A5AEE">
      <w:pPr>
        <w:pStyle w:val="ListParagraph"/>
        <w:tabs>
          <w:tab w:val="clear" w:pos="567"/>
        </w:tabs>
      </w:pPr>
      <w:r>
        <w:t>Reflecting a wider European trend, h</w:t>
      </w:r>
      <w:r w:rsidRPr="00773CE9">
        <w:t xml:space="preserve">omelessness in Germany has increased sharply in recent years, including among families with children and youth. </w:t>
      </w:r>
      <w:r>
        <w:t>The Commissioner welcomes the commitment of the federal government to de</w:t>
      </w:r>
      <w:r w:rsidRPr="00773CE9">
        <w:t xml:space="preserve">velop a </w:t>
      </w:r>
      <w:r>
        <w:t>N</w:t>
      </w:r>
      <w:r w:rsidRPr="00773CE9">
        <w:t xml:space="preserve">ational </w:t>
      </w:r>
      <w:r>
        <w:t>A</w:t>
      </w:r>
      <w:r w:rsidRPr="00773CE9">
        <w:t xml:space="preserve">ction </w:t>
      </w:r>
      <w:r>
        <w:t>P</w:t>
      </w:r>
      <w:r w:rsidRPr="00773CE9">
        <w:t xml:space="preserve">lan on </w:t>
      </w:r>
      <w:r>
        <w:t>E</w:t>
      </w:r>
      <w:r w:rsidRPr="00773CE9">
        <w:t xml:space="preserve">radicating </w:t>
      </w:r>
      <w:r>
        <w:t>H</w:t>
      </w:r>
      <w:r w:rsidRPr="00773CE9">
        <w:t>omelessness by 2030</w:t>
      </w:r>
      <w:r>
        <w:t>, but notes delays in its preparation.</w:t>
      </w:r>
      <w:r w:rsidRPr="00D43B1D">
        <w:t xml:space="preserve"> </w:t>
      </w:r>
      <w:r w:rsidRPr="00773CE9">
        <w:t xml:space="preserve">In December 2022, the </w:t>
      </w:r>
      <w:r>
        <w:t>BMAS</w:t>
      </w:r>
      <w:r w:rsidRPr="00773CE9">
        <w:t xml:space="preserve"> published for the first time a </w:t>
      </w:r>
      <w:r w:rsidRPr="00773CE9">
        <w:rPr>
          <w:rFonts w:asciiTheme="minorHAnsi" w:hAnsiTheme="minorHAnsi" w:cstheme="minorHAnsi"/>
          <w:bCs/>
        </w:rPr>
        <w:t>comprehensive report</w:t>
      </w:r>
      <w:r w:rsidRPr="00773CE9">
        <w:t xml:space="preserve"> on the number and living conditions of </w:t>
      </w:r>
      <w:r>
        <w:t xml:space="preserve">people experiencing </w:t>
      </w:r>
      <w:r w:rsidRPr="00773CE9">
        <w:t>homeless</w:t>
      </w:r>
      <w:r>
        <w:t>ness</w:t>
      </w:r>
      <w:r w:rsidRPr="00773CE9">
        <w:t xml:space="preserve"> in Germany.</w:t>
      </w:r>
      <w:r w:rsidRPr="00773CE9">
        <w:rPr>
          <w:rStyle w:val="FootnoteReference"/>
          <w:rFonts w:asciiTheme="minorHAnsi" w:hAnsiTheme="minorHAnsi" w:cstheme="minorHAnsi"/>
          <w:bCs/>
        </w:rPr>
        <w:footnoteReference w:id="102"/>
      </w:r>
      <w:r w:rsidRPr="00773CE9">
        <w:t xml:space="preserve"> According to the report, 262</w:t>
      </w:r>
      <w:r>
        <w:t>,</w:t>
      </w:r>
      <w:r w:rsidRPr="00773CE9">
        <w:t>600 persons were homeless at the end of January 2022, of whom 178</w:t>
      </w:r>
      <w:r>
        <w:t>,</w:t>
      </w:r>
      <w:r w:rsidRPr="00773CE9">
        <w:t>000 lived in emergency shelters</w:t>
      </w:r>
      <w:r>
        <w:t xml:space="preserve">, </w:t>
      </w:r>
      <w:r w:rsidRPr="00773CE9">
        <w:t>37</w:t>
      </w:r>
      <w:r>
        <w:t>,</w:t>
      </w:r>
      <w:r w:rsidRPr="00773CE9">
        <w:t xml:space="preserve">500 lived </w:t>
      </w:r>
      <w:r>
        <w:t>on the street, and the remainder lived in so-called hidden homelessness, i.e., they could not afford their own home and were moving between short-term arrangements. One year later, in January 2023, there were 372,000 people reported to be living in emergency shelters, including 130,000 Ukrainians.</w:t>
      </w:r>
      <w:r>
        <w:rPr>
          <w:rStyle w:val="FootnoteReference"/>
        </w:rPr>
        <w:footnoteReference w:id="103"/>
      </w:r>
      <w:r w:rsidRPr="00773CE9">
        <w:t xml:space="preserve"> </w:t>
      </w:r>
      <w:r w:rsidRPr="00652A7C">
        <w:t>With the number of homeless families growing, over a quarter of the homeless persons in shelters are children.</w:t>
      </w:r>
      <w:r w:rsidRPr="00773CE9">
        <w:t xml:space="preserve"> </w:t>
      </w:r>
    </w:p>
    <w:p w14:paraId="1296B90C" w14:textId="77777777" w:rsidR="004A5AEE" w:rsidRDefault="004A5AEE" w:rsidP="004A5AEE">
      <w:pPr>
        <w:pStyle w:val="ListParagraph"/>
        <w:tabs>
          <w:tab w:val="clear" w:pos="567"/>
        </w:tabs>
      </w:pPr>
      <w:r>
        <w:t>As h</w:t>
      </w:r>
      <w:r w:rsidRPr="00773CE9">
        <w:t xml:space="preserve">omelessness is considered a matter of </w:t>
      </w:r>
      <w:r>
        <w:t xml:space="preserve">public </w:t>
      </w:r>
      <w:r w:rsidRPr="00773CE9">
        <w:t>order in Germany</w:t>
      </w:r>
      <w:r>
        <w:t>,</w:t>
      </w:r>
      <w:r w:rsidRPr="00773CE9">
        <w:t xml:space="preserve"> the accommodation of persons </w:t>
      </w:r>
      <w:r>
        <w:t xml:space="preserve">experiencing homelessness </w:t>
      </w:r>
      <w:r w:rsidRPr="00773CE9">
        <w:t xml:space="preserve">in emergency shelters falls under the competency of the local </w:t>
      </w:r>
      <w:r w:rsidRPr="00773CE9">
        <w:lastRenderedPageBreak/>
        <w:t xml:space="preserve">authorities. </w:t>
      </w:r>
      <w:r>
        <w:t>According to the GIHR, s</w:t>
      </w:r>
      <w:r w:rsidRPr="00773CE9">
        <w:t>tandards in these shelters vary</w:t>
      </w:r>
      <w:r>
        <w:t>,</w:t>
      </w:r>
      <w:r w:rsidRPr="00773CE9">
        <w:t xml:space="preserve"> but are generally deplorable, with little respect for privacy, no </w:t>
      </w:r>
      <w:r>
        <w:t>dedicated</w:t>
      </w:r>
      <w:r w:rsidRPr="00773CE9">
        <w:t xml:space="preserve"> rooms for women or families, and inadequate sanitary conditions.</w:t>
      </w:r>
      <w:r w:rsidRPr="00773CE9">
        <w:rPr>
          <w:rStyle w:val="FootnoteReference"/>
          <w:rFonts w:asciiTheme="minorHAnsi" w:hAnsiTheme="minorHAnsi" w:cstheme="minorHAnsi"/>
          <w:bCs/>
        </w:rPr>
        <w:footnoteReference w:id="104"/>
      </w:r>
      <w:r w:rsidRPr="00773CE9">
        <w:t xml:space="preserve"> The number of available places is</w:t>
      </w:r>
      <w:r>
        <w:t xml:space="preserve"> also</w:t>
      </w:r>
      <w:r w:rsidRPr="00773CE9">
        <w:t xml:space="preserve"> limited</w:t>
      </w:r>
      <w:r>
        <w:t>. Although t</w:t>
      </w:r>
      <w:r w:rsidRPr="00773CE9">
        <w:t>he shelters are meant as temporary emergency solution</w:t>
      </w:r>
      <w:r>
        <w:t xml:space="preserve">s, </w:t>
      </w:r>
      <w:r w:rsidRPr="008951B5">
        <w:t xml:space="preserve">most of the people stay </w:t>
      </w:r>
      <w:r w:rsidRPr="00652A7C">
        <w:t>there for long periods of time</w:t>
      </w:r>
      <w:r>
        <w:t>,</w:t>
      </w:r>
      <w:r w:rsidRPr="008951B5">
        <w:t xml:space="preserve"> </w:t>
      </w:r>
      <w:r>
        <w:t xml:space="preserve">with </w:t>
      </w:r>
      <w:r w:rsidRPr="008951B5">
        <w:t xml:space="preserve">the majority </w:t>
      </w:r>
      <w:r>
        <w:t xml:space="preserve">staying </w:t>
      </w:r>
      <w:r w:rsidRPr="008951B5">
        <w:t>over two year</w:t>
      </w:r>
      <w:r>
        <w:t>s</w:t>
      </w:r>
      <w:r w:rsidRPr="00773CE9">
        <w:t xml:space="preserve">. </w:t>
      </w:r>
      <w:r>
        <w:t>During her visit, t</w:t>
      </w:r>
      <w:r w:rsidRPr="00773CE9">
        <w:t xml:space="preserve">he Commissioner spoke to individuals who had become homeless because they were unable to keep up </w:t>
      </w:r>
      <w:r>
        <w:t xml:space="preserve">with </w:t>
      </w:r>
      <w:r w:rsidRPr="00773CE9">
        <w:t>rent</w:t>
      </w:r>
      <w:r>
        <w:t>al</w:t>
      </w:r>
      <w:r w:rsidRPr="00773CE9">
        <w:t xml:space="preserve"> payments</w:t>
      </w:r>
      <w:r>
        <w:t xml:space="preserve">, despite being in paid </w:t>
      </w:r>
      <w:r w:rsidRPr="00773CE9">
        <w:t xml:space="preserve">employment. </w:t>
      </w:r>
      <w:r>
        <w:t>Once homeless, however, it is very hard to find an apartment, as many landlords are reluctant to accept people experiencing homelessness as renters and usually require a certificate to prove the absence of rent arrears</w:t>
      </w:r>
      <w:r w:rsidRPr="00AA5876">
        <w:t>.</w:t>
      </w:r>
      <w:r>
        <w:t xml:space="preserve"> The latter </w:t>
      </w:r>
      <w:r w:rsidRPr="00036D19">
        <w:t>requirement</w:t>
      </w:r>
      <w:r>
        <w:t xml:space="preserve"> is considered one of the main obstacles to finding an apartment for people experiencing precarious housing situations.</w:t>
      </w:r>
      <w:r>
        <w:rPr>
          <w:rStyle w:val="FootnoteReference"/>
        </w:rPr>
        <w:footnoteReference w:id="105"/>
      </w:r>
      <w:r>
        <w:t xml:space="preserve"> </w:t>
      </w:r>
    </w:p>
    <w:p w14:paraId="3B45A9BF" w14:textId="77777777" w:rsidR="004A5AEE" w:rsidRPr="00773CE9" w:rsidRDefault="004A5AEE" w:rsidP="004A5AEE">
      <w:pPr>
        <w:pStyle w:val="ListParagraph"/>
        <w:tabs>
          <w:tab w:val="clear" w:pos="567"/>
        </w:tabs>
      </w:pPr>
      <w:r>
        <w:t>The Commissioner learned that homelessness is also caused by a lack of coordination between the various care systems, for instance, when people are r</w:t>
      </w:r>
      <w:r w:rsidRPr="00773CE9">
        <w:t xml:space="preserve">eleased from care institutions, </w:t>
      </w:r>
      <w:r>
        <w:t xml:space="preserve">such as clinics </w:t>
      </w:r>
      <w:r w:rsidRPr="00773CE9">
        <w:t>or youth welfare services, into homelessness</w:t>
      </w:r>
      <w:r>
        <w:t>.</w:t>
      </w:r>
      <w:r>
        <w:rPr>
          <w:rStyle w:val="FootnoteReference"/>
        </w:rPr>
        <w:footnoteReference w:id="106"/>
      </w:r>
      <w:r>
        <w:t xml:space="preserve"> </w:t>
      </w:r>
      <w:r w:rsidRPr="00773CE9">
        <w:t>Some municipalities have created special</w:t>
      </w:r>
      <w:r>
        <w:t>ist</w:t>
      </w:r>
      <w:r w:rsidRPr="00773CE9">
        <w:t xml:space="preserve"> offices</w:t>
      </w:r>
      <w:r>
        <w:t>,</w:t>
      </w:r>
      <w:r w:rsidRPr="00773CE9">
        <w:t xml:space="preserve"> where </w:t>
      </w:r>
      <w:r>
        <w:t>persons in precarious housing situations can seek advice and be</w:t>
      </w:r>
      <w:r w:rsidRPr="00773CE9">
        <w:t xml:space="preserve"> referred to the relevant </w:t>
      </w:r>
      <w:r>
        <w:t>entity</w:t>
      </w:r>
      <w:r w:rsidRPr="00773CE9">
        <w:t xml:space="preserve"> </w:t>
      </w:r>
      <w:r>
        <w:t xml:space="preserve">that </w:t>
      </w:r>
      <w:r w:rsidRPr="00773CE9">
        <w:t xml:space="preserve">can provide rental support or help </w:t>
      </w:r>
      <w:r>
        <w:t xml:space="preserve">to </w:t>
      </w:r>
      <w:r w:rsidRPr="00773CE9">
        <w:t>identify short-term housing solutions</w:t>
      </w:r>
      <w:r>
        <w:t>, with a view to preventing homelessness</w:t>
      </w:r>
      <w:r w:rsidRPr="00773CE9">
        <w:t>.</w:t>
      </w:r>
      <w:r w:rsidRPr="00773CE9">
        <w:rPr>
          <w:rStyle w:val="FootnoteReference"/>
        </w:rPr>
        <w:footnoteReference w:id="107"/>
      </w:r>
      <w:r w:rsidRPr="00773CE9">
        <w:t xml:space="preserve"> This is a promising initiative</w:t>
      </w:r>
      <w:r>
        <w:t xml:space="preserve">, but its effects are limited </w:t>
      </w:r>
      <w:r w:rsidRPr="00773CE9">
        <w:t xml:space="preserve">by the continued lack of rights-awareness among the affected, </w:t>
      </w:r>
      <w:r>
        <w:t xml:space="preserve">often </w:t>
      </w:r>
      <w:r w:rsidRPr="00773CE9">
        <w:t xml:space="preserve">resulting in help being sought </w:t>
      </w:r>
      <w:r>
        <w:t>at a late stage</w:t>
      </w:r>
      <w:r w:rsidRPr="00773CE9">
        <w:t xml:space="preserve">, </w:t>
      </w:r>
      <w:r>
        <w:t xml:space="preserve">when </w:t>
      </w:r>
      <w:r w:rsidRPr="00773CE9">
        <w:t xml:space="preserve">eviction is already imminent. </w:t>
      </w:r>
    </w:p>
    <w:p w14:paraId="7A8DDA8D" w14:textId="77777777" w:rsidR="004A5AEE" w:rsidRPr="00206C94" w:rsidRDefault="004A5AEE" w:rsidP="004A5AEE">
      <w:pPr>
        <w:pStyle w:val="ListParagraph"/>
        <w:tabs>
          <w:tab w:val="clear" w:pos="567"/>
        </w:tabs>
        <w:rPr>
          <w:b/>
        </w:rPr>
      </w:pPr>
      <w:r w:rsidRPr="00206C94">
        <w:rPr>
          <w:rFonts w:asciiTheme="minorHAnsi" w:hAnsiTheme="minorHAnsi" w:cstheme="minorHAnsi"/>
          <w:bCs/>
        </w:rPr>
        <w:t>The Commissioner notes with concern that evictions still regularly result in homelessness</w:t>
      </w:r>
      <w:r>
        <w:rPr>
          <w:rFonts w:asciiTheme="minorHAnsi" w:hAnsiTheme="minorHAnsi" w:cstheme="minorHAnsi"/>
          <w:bCs/>
        </w:rPr>
        <w:t>. R</w:t>
      </w:r>
      <w:r w:rsidRPr="00206C94">
        <w:rPr>
          <w:rFonts w:asciiTheme="minorHAnsi" w:hAnsiTheme="minorHAnsi" w:cstheme="minorHAnsi"/>
          <w:bCs/>
        </w:rPr>
        <w:t>elevant standards developed by the CESCR, according to which</w:t>
      </w:r>
      <w:r>
        <w:rPr>
          <w:rFonts w:asciiTheme="minorHAnsi" w:hAnsiTheme="minorHAnsi" w:cstheme="minorHAnsi"/>
          <w:bCs/>
        </w:rPr>
        <w:t>,</w:t>
      </w:r>
      <w:r w:rsidRPr="00206C94">
        <w:rPr>
          <w:rFonts w:asciiTheme="minorHAnsi" w:hAnsiTheme="minorHAnsi" w:cstheme="minorHAnsi"/>
          <w:bCs/>
        </w:rPr>
        <w:t xml:space="preserve"> evictions should be carried out in line with legal guarantees and never result in individuals being rendered homeless or vulnerable to the violation of other human rights,</w:t>
      </w:r>
      <w:r w:rsidRPr="00773CE9">
        <w:rPr>
          <w:rStyle w:val="FootnoteReference"/>
          <w:rFonts w:asciiTheme="minorHAnsi" w:hAnsiTheme="minorHAnsi" w:cstheme="minorHAnsi"/>
          <w:bCs/>
        </w:rPr>
        <w:footnoteReference w:id="108"/>
      </w:r>
      <w:r w:rsidRPr="00206C94">
        <w:rPr>
          <w:rFonts w:asciiTheme="minorHAnsi" w:hAnsiTheme="minorHAnsi" w:cstheme="minorHAnsi"/>
          <w:bCs/>
        </w:rPr>
        <w:t> have not been translated into national law and remain little</w:t>
      </w:r>
      <w:r>
        <w:rPr>
          <w:rFonts w:asciiTheme="minorHAnsi" w:hAnsiTheme="minorHAnsi" w:cstheme="minorHAnsi"/>
          <w:bCs/>
        </w:rPr>
        <w:t>-</w:t>
      </w:r>
      <w:r w:rsidRPr="00206C94">
        <w:rPr>
          <w:rFonts w:asciiTheme="minorHAnsi" w:hAnsiTheme="minorHAnsi" w:cstheme="minorHAnsi"/>
          <w:bCs/>
        </w:rPr>
        <w:t xml:space="preserve">known, including among legal professionals. According to German tenancy law, the owner is allowed to issue an extraordinary termination of the rental contract in case of non-payment of rent. While the tenant can refuse that termination and seek recourse and retroactive payment of rent arrears, including through the social welfare office, </w:t>
      </w:r>
      <w:r>
        <w:rPr>
          <w:rFonts w:asciiTheme="minorHAnsi" w:hAnsiTheme="minorHAnsi" w:cstheme="minorHAnsi"/>
          <w:bCs/>
        </w:rPr>
        <w:t xml:space="preserve">the </w:t>
      </w:r>
      <w:r w:rsidRPr="00206C94">
        <w:rPr>
          <w:rFonts w:asciiTheme="minorHAnsi" w:hAnsiTheme="minorHAnsi" w:cstheme="minorHAnsi"/>
          <w:bCs/>
        </w:rPr>
        <w:t>jurisprudence of the Federal Supreme Court</w:t>
      </w:r>
      <w:r>
        <w:rPr>
          <w:rFonts w:asciiTheme="minorHAnsi" w:hAnsiTheme="minorHAnsi" w:cstheme="minorHAnsi"/>
          <w:bCs/>
        </w:rPr>
        <w:t xml:space="preserve"> provides that this will</w:t>
      </w:r>
      <w:r w:rsidRPr="00206C94">
        <w:rPr>
          <w:rFonts w:asciiTheme="minorHAnsi" w:hAnsiTheme="minorHAnsi" w:cstheme="minorHAnsi"/>
          <w:bCs/>
        </w:rPr>
        <w:t xml:space="preserve"> only annul the extraordinary termination of the contract.</w:t>
      </w:r>
      <w:r w:rsidRPr="00773CE9">
        <w:rPr>
          <w:rStyle w:val="FootnoteReference"/>
          <w:rFonts w:asciiTheme="minorHAnsi" w:hAnsiTheme="minorHAnsi" w:cstheme="minorHAnsi"/>
          <w:bCs/>
        </w:rPr>
        <w:footnoteReference w:id="109"/>
      </w:r>
      <w:r w:rsidRPr="00206C94">
        <w:rPr>
          <w:rFonts w:asciiTheme="minorHAnsi" w:hAnsiTheme="minorHAnsi" w:cstheme="minorHAnsi"/>
          <w:bCs/>
        </w:rPr>
        <w:t xml:space="preserve"> It will not, however, prevent the owner from issuing a regular termination, which may then lead to eviction even if it results in homelessness. While welcoming the commitment of the federal government in the coalition agreement to eradicate the causes of homelessness, </w:t>
      </w:r>
      <w:r w:rsidRPr="00036D19">
        <w:rPr>
          <w:rFonts w:asciiTheme="minorHAnsi" w:hAnsiTheme="minorHAnsi" w:cstheme="minorHAnsi"/>
          <w:bCs/>
          <w:i/>
          <w:iCs/>
        </w:rPr>
        <w:t>inter alia</w:t>
      </w:r>
      <w:r w:rsidRPr="00206C94">
        <w:rPr>
          <w:rFonts w:asciiTheme="minorHAnsi" w:hAnsiTheme="minorHAnsi" w:cstheme="minorHAnsi"/>
          <w:bCs/>
        </w:rPr>
        <w:t xml:space="preserve"> by reviewing relevant parts of </w:t>
      </w:r>
      <w:r>
        <w:rPr>
          <w:rFonts w:asciiTheme="minorHAnsi" w:hAnsiTheme="minorHAnsi" w:cstheme="minorHAnsi"/>
          <w:bCs/>
        </w:rPr>
        <w:t>national</w:t>
      </w:r>
      <w:r w:rsidRPr="00206C94">
        <w:rPr>
          <w:rFonts w:asciiTheme="minorHAnsi" w:hAnsiTheme="minorHAnsi" w:cstheme="minorHAnsi"/>
          <w:bCs/>
        </w:rPr>
        <w:t xml:space="preserve"> tenancy law, the Commissioner </w:t>
      </w:r>
      <w:r>
        <w:rPr>
          <w:rFonts w:asciiTheme="minorHAnsi" w:hAnsiTheme="minorHAnsi" w:cstheme="minorHAnsi"/>
          <w:bCs/>
        </w:rPr>
        <w:t>has</w:t>
      </w:r>
      <w:r w:rsidRPr="00206C94">
        <w:rPr>
          <w:rFonts w:asciiTheme="minorHAnsi" w:hAnsiTheme="minorHAnsi" w:cstheme="minorHAnsi"/>
          <w:bCs/>
        </w:rPr>
        <w:t xml:space="preserve"> learned during the visit that no </w:t>
      </w:r>
      <w:r>
        <w:rPr>
          <w:rFonts w:asciiTheme="minorHAnsi" w:hAnsiTheme="minorHAnsi" w:cstheme="minorHAnsi"/>
          <w:bCs/>
        </w:rPr>
        <w:t>progress has been made thus far</w:t>
      </w:r>
      <w:r w:rsidRPr="00206C94">
        <w:rPr>
          <w:rFonts w:asciiTheme="minorHAnsi" w:hAnsiTheme="minorHAnsi" w:cstheme="minorHAnsi"/>
          <w:bCs/>
        </w:rPr>
        <w:t>.</w:t>
      </w:r>
      <w:r w:rsidR="004D1559">
        <w:rPr>
          <w:rFonts w:asciiTheme="minorHAnsi" w:hAnsiTheme="minorHAnsi" w:cstheme="minorHAnsi"/>
          <w:bCs/>
        </w:rPr>
        <w:t xml:space="preserve"> </w:t>
      </w:r>
    </w:p>
    <w:p w14:paraId="2F064F15" w14:textId="77777777" w:rsidR="004A5AEE" w:rsidRPr="00332174" w:rsidRDefault="004A5AEE" w:rsidP="00AF1A4D">
      <w:pPr>
        <w:pStyle w:val="Heading2"/>
        <w:numPr>
          <w:ilvl w:val="1"/>
          <w:numId w:val="24"/>
        </w:numPr>
        <w:tabs>
          <w:tab w:val="num" w:pos="765"/>
        </w:tabs>
        <w:ind w:hanging="765"/>
      </w:pPr>
      <w:bookmarkStart w:id="108" w:name="_Toc158636909"/>
      <w:bookmarkStart w:id="109" w:name="_Toc159582680"/>
      <w:r>
        <w:t>C</w:t>
      </w:r>
      <w:r w:rsidRPr="00773CE9">
        <w:t>onclusions and recommendations</w:t>
      </w:r>
      <w:bookmarkEnd w:id="108"/>
      <w:bookmarkEnd w:id="109"/>
    </w:p>
    <w:p w14:paraId="201495D9" w14:textId="77777777" w:rsidR="004A5AEE" w:rsidRPr="00682D48" w:rsidRDefault="004A5AEE" w:rsidP="004A5AEE">
      <w:pPr>
        <w:pStyle w:val="ListParagraph"/>
        <w:tabs>
          <w:tab w:val="clear" w:pos="567"/>
        </w:tabs>
        <w:rPr>
          <w:b/>
        </w:rPr>
      </w:pPr>
      <w:bookmarkStart w:id="110" w:name="_Hlk156562662"/>
      <w:r>
        <w:t xml:space="preserve">While welcoming steps taken by the federal government to reform the social welfare system, making it more accessible, increasing social security provisions and providing more training opportunities for the unemployed, the Commissioner is concerned about the persistent lack of awareness and recognition that social rights are human rights </w:t>
      </w:r>
      <w:r w:rsidRPr="005B7914">
        <w:t>trigger</w:t>
      </w:r>
      <w:r>
        <w:t>ing</w:t>
      </w:r>
      <w:r w:rsidRPr="005B7914">
        <w:t xml:space="preserve"> state obligations</w:t>
      </w:r>
      <w:r>
        <w:t xml:space="preserve">, and that </w:t>
      </w:r>
      <w:r>
        <w:lastRenderedPageBreak/>
        <w:t>individual entitlements must not be made dependent on the availability of resources.</w:t>
      </w:r>
      <w:r>
        <w:rPr>
          <w:rStyle w:val="FootnoteReference"/>
        </w:rPr>
        <w:footnoteReference w:id="110"/>
      </w:r>
      <w:r>
        <w:t xml:space="preserve"> The Commissioner regrets that social benefits are still calculated according to outdated statistical methods, rather than based on a needs assessment that pays particular attention to the most vulnerable. She is concerned by the growing inequality in Germany and considers that urgent attention must be paid to devising effective redistribution mechanisms to minimise the negative long-term impacts on individual health, education and employment prospects caused by entrenched poverty. The persistent narrative that persons become dependent on social support </w:t>
      </w:r>
      <w:proofErr w:type="gramStart"/>
      <w:r>
        <w:t>as a result of</w:t>
      </w:r>
      <w:proofErr w:type="gramEnd"/>
      <w:r>
        <w:t xml:space="preserve"> indolence, incompetence and </w:t>
      </w:r>
      <w:r w:rsidRPr="00036D19">
        <w:t>negligence r</w:t>
      </w:r>
      <w:r>
        <w:t xml:space="preserve">ather than due to structural and inter-generational disadvantage and exclusion, continues to impede effective progress and should be proactively addressed. </w:t>
      </w:r>
    </w:p>
    <w:bookmarkEnd w:id="110"/>
    <w:p w14:paraId="50C568AB" w14:textId="77777777" w:rsidR="004A5AEE" w:rsidRPr="00D54376" w:rsidRDefault="004A5AEE" w:rsidP="004A5AEE">
      <w:pPr>
        <w:pStyle w:val="ListParagraph"/>
        <w:tabs>
          <w:tab w:val="clear" w:pos="567"/>
        </w:tabs>
        <w:rPr>
          <w:b/>
        </w:rPr>
      </w:pPr>
      <w:r>
        <w:t>The Commissioner calls on the German authorities to a</w:t>
      </w:r>
      <w:r w:rsidRPr="00773CE9">
        <w:t xml:space="preserve">ccept all provisions </w:t>
      </w:r>
      <w:r>
        <w:t xml:space="preserve">of the European Social Charter. She further calls on them to accept to be bound by the Collective Complaints Procedure </w:t>
      </w:r>
      <w:r w:rsidRPr="00125EFD">
        <w:t>introduced by the Additional Protocol of 1995</w:t>
      </w:r>
      <w:r>
        <w:t xml:space="preserve"> and, g</w:t>
      </w:r>
      <w:r w:rsidRPr="00125EFD">
        <w:t>iven the lack of awareness related to social rights among rights-holders</w:t>
      </w:r>
      <w:r>
        <w:t>, grant the right to lodge complaints to national NGOs. S</w:t>
      </w:r>
      <w:r w:rsidRPr="00125EFD">
        <w:t>ocial policy development and implementation</w:t>
      </w:r>
      <w:r>
        <w:t xml:space="preserve"> should be informed by t</w:t>
      </w:r>
      <w:r w:rsidRPr="00125EFD">
        <w:t>he decisions and conclusions of the ECSR a</w:t>
      </w:r>
      <w:r>
        <w:t>nd the available guidance from the CESCR</w:t>
      </w:r>
      <w:r w:rsidRPr="00125EFD">
        <w:t>, including as regards the applicable methods used for the calculation of basic and additional social security benefits</w:t>
      </w:r>
      <w:r w:rsidRPr="00DA4818">
        <w:rPr>
          <w:lang w:val="en-US"/>
        </w:rPr>
        <w:t xml:space="preserve">. </w:t>
      </w:r>
    </w:p>
    <w:p w14:paraId="404D42DC" w14:textId="77777777" w:rsidR="004A5AEE" w:rsidRDefault="004A5AEE" w:rsidP="004A5AEE">
      <w:pPr>
        <w:pStyle w:val="ListParagraph"/>
        <w:tabs>
          <w:tab w:val="clear" w:pos="567"/>
        </w:tabs>
      </w:pPr>
      <w:r>
        <w:t xml:space="preserve">The Commissioner calls on the authorities to take all necessary steps to remove existing barriers to accessing social rights, including by ensuring that rights-holders have effective and timely access to information and advice regarding their entitlements and that applications can be submitted in person and in </w:t>
      </w:r>
      <w:r w:rsidRPr="00DA153F">
        <w:t>non-digital format</w:t>
      </w:r>
      <w:r>
        <w:t xml:space="preserve">. In addition, all relevant actors should cooperate at inter-agency and inter-ministerial level in the interest of the rights-holder and should be equipped with the necessary human and financial resources required to ensure prompt and effective </w:t>
      </w:r>
      <w:r w:rsidRPr="00DA153F">
        <w:t>assistance</w:t>
      </w:r>
      <w:r>
        <w:t xml:space="preserve"> where necessary. </w:t>
      </w:r>
    </w:p>
    <w:p w14:paraId="6F0ACA7C" w14:textId="77777777" w:rsidR="004A5AEE" w:rsidRPr="00BB736D" w:rsidRDefault="004A5AEE" w:rsidP="004A5AEE">
      <w:pPr>
        <w:pStyle w:val="ListParagraph"/>
        <w:numPr>
          <w:ilvl w:val="0"/>
          <w:numId w:val="0"/>
        </w:numPr>
        <w:ind w:left="284"/>
        <w:rPr>
          <w:b/>
          <w:bCs/>
        </w:rPr>
      </w:pPr>
      <w:r>
        <w:rPr>
          <w:b/>
          <w:bCs/>
        </w:rPr>
        <w:t>With respect to protection from poverty</w:t>
      </w:r>
    </w:p>
    <w:p w14:paraId="0C06EBB7" w14:textId="77777777" w:rsidR="004A5AEE" w:rsidRPr="009661AE" w:rsidRDefault="004A5AEE" w:rsidP="004A5AEE">
      <w:pPr>
        <w:pStyle w:val="ListParagraph"/>
        <w:tabs>
          <w:tab w:val="clear" w:pos="567"/>
        </w:tabs>
        <w:rPr>
          <w:lang w:val="en-US"/>
        </w:rPr>
      </w:pPr>
      <w:r>
        <w:t xml:space="preserve">The Commissioner calls on the authorities to take determined steps to </w:t>
      </w:r>
      <w:r w:rsidRPr="00773CE9">
        <w:t>break the cycle of growing child poverty</w:t>
      </w:r>
      <w:r>
        <w:t>,</w:t>
      </w:r>
      <w:r w:rsidRPr="00773CE9">
        <w:t xml:space="preserve"> through targeted measures that </w:t>
      </w:r>
      <w:r>
        <w:t xml:space="preserve">focus the attention and resources on children and families who are at increased risk of precarious life </w:t>
      </w:r>
      <w:proofErr w:type="gramStart"/>
      <w:r>
        <w:t>situations, and</w:t>
      </w:r>
      <w:proofErr w:type="gramEnd"/>
      <w:r>
        <w:t xml:space="preserve"> investing in expanding the available infrastructure for children in or at risk of poverty, including with regard to free school meals, transport and cultural participation. The level of the KGS should be increased to guarantee the </w:t>
      </w:r>
      <w:r w:rsidRPr="00DA153F">
        <w:t>minimum</w:t>
      </w:r>
      <w:r>
        <w:t xml:space="preserve"> level of</w:t>
      </w:r>
      <w:r w:rsidRPr="00DA153F">
        <w:t xml:space="preserve"> subsistence</w:t>
      </w:r>
      <w:r>
        <w:t xml:space="preserve"> for all children, particularly those living in poorest households, which includes asylum seekers. </w:t>
      </w:r>
    </w:p>
    <w:p w14:paraId="008D77EB" w14:textId="77777777" w:rsidR="004A5AEE" w:rsidRPr="0084623E" w:rsidRDefault="004A5AEE" w:rsidP="004A5AEE">
      <w:pPr>
        <w:pStyle w:val="ListParagraph"/>
        <w:tabs>
          <w:tab w:val="clear" w:pos="567"/>
        </w:tabs>
      </w:pPr>
      <w:r>
        <w:t xml:space="preserve">The Commissioner calls on the authorities to address the high rates of poverty among older persons and ensure that basic pension benefits guarantee the rights to food, affordable </w:t>
      </w:r>
      <w:proofErr w:type="gramStart"/>
      <w:r>
        <w:t>energy</w:t>
      </w:r>
      <w:proofErr w:type="gramEnd"/>
      <w:r>
        <w:t xml:space="preserve"> and an adequate standard of living, and that </w:t>
      </w:r>
      <w:r w:rsidRPr="00AA5876">
        <w:t xml:space="preserve">the </w:t>
      </w:r>
      <w:r w:rsidRPr="0084623E">
        <w:t>particular disadvantages experienced by older women are effectively addressed. Necessary aids such as glasses, hearing</w:t>
      </w:r>
      <w:r>
        <w:t xml:space="preserve"> and mobility aids, </w:t>
      </w:r>
      <w:r w:rsidRPr="0084623E">
        <w:t xml:space="preserve">should be made affordable for all older persons. </w:t>
      </w:r>
    </w:p>
    <w:p w14:paraId="4E3E1AD5" w14:textId="77777777" w:rsidR="004A5AEE" w:rsidRPr="00BB736D" w:rsidRDefault="004A5AEE" w:rsidP="004A5AEE">
      <w:pPr>
        <w:pStyle w:val="ListParagraph"/>
        <w:tabs>
          <w:tab w:val="clear" w:pos="567"/>
        </w:tabs>
        <w:rPr>
          <w:b/>
          <w:bCs/>
          <w:lang w:val="en-US"/>
        </w:rPr>
      </w:pPr>
      <w:r>
        <w:t xml:space="preserve"> The Commissioner calls on the authorities to </w:t>
      </w:r>
      <w:r w:rsidRPr="00206C94">
        <w:t xml:space="preserve">take </w:t>
      </w:r>
      <w:r w:rsidRPr="00E715AE">
        <w:rPr>
          <w:lang w:val="en-US"/>
        </w:rPr>
        <w:t>all necessary measures to address the increased risk of poverty among persons with disabilities, including by</w:t>
      </w:r>
      <w:r>
        <w:rPr>
          <w:lang w:val="en-US"/>
        </w:rPr>
        <w:t xml:space="preserve"> paying increased attention to the intersection between poverty and disability in poverty reduction policies, and by </w:t>
      </w:r>
      <w:r w:rsidRPr="00E715AE">
        <w:rPr>
          <w:lang w:val="en-US"/>
        </w:rPr>
        <w:t xml:space="preserve">ensuring that the requirements for individual support and personal assistance measures for persons with disabilities are revised to enable them to save earnings and guarantee their </w:t>
      </w:r>
      <w:r w:rsidRPr="00DA153F">
        <w:rPr>
          <w:lang w:val="en-US"/>
        </w:rPr>
        <w:t>financial security in later life,</w:t>
      </w:r>
      <w:r w:rsidRPr="00E715AE">
        <w:rPr>
          <w:lang w:val="en-US"/>
        </w:rPr>
        <w:t xml:space="preserve"> on a similar footing </w:t>
      </w:r>
      <w:r>
        <w:rPr>
          <w:lang w:val="en-US"/>
        </w:rPr>
        <w:t>to</w:t>
      </w:r>
      <w:r w:rsidRPr="00E715AE">
        <w:rPr>
          <w:lang w:val="en-US"/>
        </w:rPr>
        <w:t xml:space="preserve"> persons without disabilities. </w:t>
      </w:r>
    </w:p>
    <w:p w14:paraId="4E09B6CA" w14:textId="77777777" w:rsidR="004A5AEE" w:rsidRPr="00BB736D" w:rsidRDefault="004A5AEE" w:rsidP="004A5AEE">
      <w:pPr>
        <w:pStyle w:val="ListParagraph"/>
        <w:numPr>
          <w:ilvl w:val="0"/>
          <w:numId w:val="0"/>
        </w:numPr>
        <w:ind w:left="284"/>
        <w:rPr>
          <w:b/>
          <w:bCs/>
          <w:lang w:val="en-US"/>
        </w:rPr>
      </w:pPr>
      <w:r w:rsidRPr="00BB736D">
        <w:rPr>
          <w:b/>
          <w:bCs/>
          <w:lang w:val="en-US"/>
        </w:rPr>
        <w:lastRenderedPageBreak/>
        <w:t>With respect to the right to adequate housing</w:t>
      </w:r>
    </w:p>
    <w:p w14:paraId="65B63F3E" w14:textId="77777777" w:rsidR="004A5AEE" w:rsidRDefault="004A5AEE" w:rsidP="004A5AEE">
      <w:pPr>
        <w:pStyle w:val="ListParagraph"/>
        <w:tabs>
          <w:tab w:val="clear" w:pos="567"/>
        </w:tabs>
        <w:rPr>
          <w:bCs/>
        </w:rPr>
      </w:pPr>
      <w:r>
        <w:rPr>
          <w:bCs/>
        </w:rPr>
        <w:t xml:space="preserve">The Commissioner welcomes the commitment by the government to address the existing housing crisis and the lack of affordable housing stock, particularly in larger cities. However, there is limited recognition of the </w:t>
      </w:r>
      <w:r w:rsidRPr="00D22C50">
        <w:rPr>
          <w:bCs/>
        </w:rPr>
        <w:t>right to housing as an individual and justiciable human right</w:t>
      </w:r>
      <w:r>
        <w:rPr>
          <w:bCs/>
        </w:rPr>
        <w:t xml:space="preserve"> that should be </w:t>
      </w:r>
      <w:r w:rsidRPr="00D22C50">
        <w:rPr>
          <w:bCs/>
        </w:rPr>
        <w:t>accessible for all</w:t>
      </w:r>
      <w:r>
        <w:rPr>
          <w:bCs/>
        </w:rPr>
        <w:t>.</w:t>
      </w:r>
      <w:r>
        <w:rPr>
          <w:rStyle w:val="FootnoteReference"/>
          <w:bCs/>
        </w:rPr>
        <w:footnoteReference w:id="111"/>
      </w:r>
      <w:r>
        <w:rPr>
          <w:bCs/>
        </w:rPr>
        <w:t xml:space="preserve"> She stresses that the fulfilment of the right to adequate housing and the eradication of homelessness are key societal objectives that should be advanced through a </w:t>
      </w:r>
      <w:r w:rsidRPr="0084623E">
        <w:rPr>
          <w:bCs/>
        </w:rPr>
        <w:t>human rights</w:t>
      </w:r>
      <w:r>
        <w:rPr>
          <w:bCs/>
        </w:rPr>
        <w:t>-</w:t>
      </w:r>
      <w:r w:rsidRPr="0084623E">
        <w:rPr>
          <w:bCs/>
        </w:rPr>
        <w:t>based housing strategy</w:t>
      </w:r>
      <w:r w:rsidRPr="00AA5876">
        <w:rPr>
          <w:bCs/>
        </w:rPr>
        <w:t xml:space="preserve"> and the close </w:t>
      </w:r>
      <w:r>
        <w:rPr>
          <w:bCs/>
        </w:rPr>
        <w:t>cooperation of all concerned ministries, including the Ministry of Justice, the BMFSFJ, as well as the L</w:t>
      </w:r>
      <w:r>
        <w:rPr>
          <w:rFonts w:cs="Calibri"/>
          <w:bCs/>
        </w:rPr>
        <w:t>ä</w:t>
      </w:r>
      <w:r>
        <w:rPr>
          <w:bCs/>
        </w:rPr>
        <w:t xml:space="preserve">nder and municipal authorities. Housing legislation at all levels should foresee </w:t>
      </w:r>
      <w:r w:rsidRPr="00D22C50">
        <w:rPr>
          <w:bCs/>
        </w:rPr>
        <w:t xml:space="preserve">adequate opportunities for </w:t>
      </w:r>
      <w:r>
        <w:rPr>
          <w:bCs/>
        </w:rPr>
        <w:t xml:space="preserve">people experiencing precarious housing situations to </w:t>
      </w:r>
      <w:r w:rsidRPr="00D22C50">
        <w:rPr>
          <w:bCs/>
        </w:rPr>
        <w:t xml:space="preserve">participate </w:t>
      </w:r>
      <w:r>
        <w:rPr>
          <w:bCs/>
        </w:rPr>
        <w:t xml:space="preserve">meaningfully </w:t>
      </w:r>
      <w:r w:rsidRPr="00D22C50">
        <w:rPr>
          <w:bCs/>
        </w:rPr>
        <w:t>in the design, implementation, and monitoring of housing policies and decisions</w:t>
      </w:r>
      <w:r>
        <w:rPr>
          <w:bCs/>
        </w:rPr>
        <w:t>,</w:t>
      </w:r>
      <w:r w:rsidRPr="00D22C50">
        <w:rPr>
          <w:bCs/>
        </w:rPr>
        <w:t xml:space="preserve"> in line with the UN Guidelines for the </w:t>
      </w:r>
      <w:r>
        <w:rPr>
          <w:bCs/>
        </w:rPr>
        <w:t>i</w:t>
      </w:r>
      <w:r w:rsidRPr="00D22C50">
        <w:rPr>
          <w:bCs/>
        </w:rPr>
        <w:t xml:space="preserve">mplementation of the </w:t>
      </w:r>
      <w:r>
        <w:rPr>
          <w:bCs/>
        </w:rPr>
        <w:t>r</w:t>
      </w:r>
      <w:r w:rsidRPr="00D22C50">
        <w:rPr>
          <w:bCs/>
        </w:rPr>
        <w:t>ight to adequate housing.</w:t>
      </w:r>
      <w:r>
        <w:rPr>
          <w:rStyle w:val="FootnoteReference"/>
          <w:bCs/>
        </w:rPr>
        <w:footnoteReference w:id="112"/>
      </w:r>
      <w:r w:rsidRPr="00D22C50">
        <w:rPr>
          <w:bCs/>
        </w:rPr>
        <w:t xml:space="preserve"> </w:t>
      </w:r>
    </w:p>
    <w:p w14:paraId="1BA521E4" w14:textId="77777777" w:rsidR="004A5AEE" w:rsidRPr="00C450A4" w:rsidRDefault="004A5AEE" w:rsidP="004A5AEE">
      <w:pPr>
        <w:pStyle w:val="ListParagraph"/>
        <w:tabs>
          <w:tab w:val="clear" w:pos="567"/>
        </w:tabs>
        <w:rPr>
          <w:b/>
          <w:bCs/>
        </w:rPr>
      </w:pPr>
      <w:r w:rsidRPr="004F3C8F">
        <w:rPr>
          <w:bCs/>
        </w:rPr>
        <w:t xml:space="preserve">The Commissioner is concerned about the </w:t>
      </w:r>
      <w:r>
        <w:rPr>
          <w:bCs/>
        </w:rPr>
        <w:t>rise in</w:t>
      </w:r>
      <w:r w:rsidRPr="004F3C8F">
        <w:rPr>
          <w:bCs/>
        </w:rPr>
        <w:t xml:space="preserve"> homelessness in Germany, affecting</w:t>
      </w:r>
      <w:r>
        <w:rPr>
          <w:bCs/>
        </w:rPr>
        <w:t xml:space="preserve"> a growing number of </w:t>
      </w:r>
      <w:r w:rsidRPr="004F3C8F">
        <w:rPr>
          <w:bCs/>
        </w:rPr>
        <w:t>families</w:t>
      </w:r>
      <w:r>
        <w:rPr>
          <w:bCs/>
        </w:rPr>
        <w:t xml:space="preserve"> with children and young people</w:t>
      </w:r>
      <w:r w:rsidRPr="004F3C8F">
        <w:rPr>
          <w:bCs/>
        </w:rPr>
        <w:t>.</w:t>
      </w:r>
      <w:r>
        <w:rPr>
          <w:bCs/>
        </w:rPr>
        <w:t xml:space="preserve"> </w:t>
      </w:r>
      <w:r w:rsidRPr="004F3C8F">
        <w:rPr>
          <w:bCs/>
        </w:rPr>
        <w:t xml:space="preserve">The fact that </w:t>
      </w:r>
      <w:r>
        <w:rPr>
          <w:bCs/>
        </w:rPr>
        <w:t xml:space="preserve">it is </w:t>
      </w:r>
      <w:r w:rsidRPr="004F3C8F">
        <w:rPr>
          <w:bCs/>
        </w:rPr>
        <w:t>considered a</w:t>
      </w:r>
      <w:r>
        <w:rPr>
          <w:bCs/>
        </w:rPr>
        <w:t>n issue of public order, rather th</w:t>
      </w:r>
      <w:r w:rsidRPr="004F3C8F">
        <w:rPr>
          <w:bCs/>
        </w:rPr>
        <w:t xml:space="preserve">an a </w:t>
      </w:r>
      <w:r>
        <w:rPr>
          <w:bCs/>
        </w:rPr>
        <w:t>human rights violation, and that it is handled by</w:t>
      </w:r>
      <w:r w:rsidRPr="004F3C8F">
        <w:rPr>
          <w:bCs/>
        </w:rPr>
        <w:t xml:space="preserve"> local authorities, </w:t>
      </w:r>
      <w:r w:rsidRPr="00C450A4">
        <w:rPr>
          <w:bCs/>
        </w:rPr>
        <w:t>results in significant differences in treatment of persons experiencing homelessness across the territory. Very often, available emergency shelters lack basic</w:t>
      </w:r>
      <w:r w:rsidRPr="00DA153F">
        <w:rPr>
          <w:bCs/>
        </w:rPr>
        <w:t>, dignified conditions and</w:t>
      </w:r>
      <w:r w:rsidRPr="00C450A4">
        <w:rPr>
          <w:bCs/>
        </w:rPr>
        <w:t xml:space="preserve"> do not effectively protect their users from violence or violations of their human rights. </w:t>
      </w:r>
      <w:r>
        <w:rPr>
          <w:bCs/>
        </w:rPr>
        <w:t>E</w:t>
      </w:r>
      <w:r w:rsidRPr="00C450A4">
        <w:rPr>
          <w:bCs/>
        </w:rPr>
        <w:t xml:space="preserve">victions still regularly result in homelessness, conflicting with available guidance from the CESCR. </w:t>
      </w:r>
    </w:p>
    <w:p w14:paraId="2911DEAD" w14:textId="77777777" w:rsidR="004A5AEE" w:rsidRPr="00125EFD" w:rsidRDefault="004A5AEE" w:rsidP="004A5AEE">
      <w:pPr>
        <w:pStyle w:val="ListParagraph"/>
        <w:tabs>
          <w:tab w:val="clear" w:pos="567"/>
        </w:tabs>
        <w:rPr>
          <w:bCs/>
        </w:rPr>
      </w:pPr>
      <w:r w:rsidRPr="00C450A4">
        <w:rPr>
          <w:bCs/>
        </w:rPr>
        <w:t>The Commissioner calls on the authorities</w:t>
      </w:r>
      <w:r>
        <w:rPr>
          <w:bCs/>
        </w:rPr>
        <w:t xml:space="preserve"> to take urgent steps to address the acute </w:t>
      </w:r>
      <w:r w:rsidRPr="00125EFD">
        <w:rPr>
          <w:bCs/>
        </w:rPr>
        <w:t xml:space="preserve">affordable housing deficit through all available measures, including </w:t>
      </w:r>
      <w:r>
        <w:rPr>
          <w:bCs/>
        </w:rPr>
        <w:t xml:space="preserve">targeted investment in social housing and appropriate </w:t>
      </w:r>
      <w:r w:rsidRPr="00125EFD">
        <w:rPr>
          <w:bCs/>
        </w:rPr>
        <w:t>interventions in the private housing market</w:t>
      </w:r>
      <w:r>
        <w:rPr>
          <w:bCs/>
        </w:rPr>
        <w:t xml:space="preserve">, </w:t>
      </w:r>
      <w:r w:rsidRPr="00125EFD">
        <w:rPr>
          <w:bCs/>
        </w:rPr>
        <w:t>to improve access for lower-income families.</w:t>
      </w:r>
      <w:r w:rsidRPr="00DA4818">
        <w:rPr>
          <w:rFonts w:ascii="Open Sans" w:eastAsiaTheme="minorHAnsi" w:hAnsi="Open Sans" w:cs="Open Sans"/>
          <w:b/>
          <w:bCs/>
          <w:color w:val="161616"/>
          <w:sz w:val="23"/>
          <w:szCs w:val="23"/>
          <w:shd w:val="clear" w:color="auto" w:fill="FFFFFF"/>
          <w:lang w:val="en-US" w:eastAsia="en-US"/>
        </w:rPr>
        <w:t xml:space="preserve"> </w:t>
      </w:r>
    </w:p>
    <w:p w14:paraId="2D986B31" w14:textId="77777777" w:rsidR="004A5AEE" w:rsidRPr="00125EFD" w:rsidRDefault="004A5AEE" w:rsidP="004A5AEE">
      <w:pPr>
        <w:pStyle w:val="ListParagraph"/>
        <w:tabs>
          <w:tab w:val="clear" w:pos="567"/>
        </w:tabs>
        <w:rPr>
          <w:bCs/>
        </w:rPr>
      </w:pPr>
      <w:r w:rsidRPr="00125EFD">
        <w:rPr>
          <w:bCs/>
        </w:rPr>
        <w:t xml:space="preserve">She further </w:t>
      </w:r>
      <w:r>
        <w:rPr>
          <w:bCs/>
        </w:rPr>
        <w:t xml:space="preserve">calls on </w:t>
      </w:r>
      <w:r w:rsidRPr="00125EFD">
        <w:rPr>
          <w:bCs/>
        </w:rPr>
        <w:t xml:space="preserve">the authorities to develop, in close consultation with </w:t>
      </w:r>
      <w:r>
        <w:rPr>
          <w:bCs/>
        </w:rPr>
        <w:t>p</w:t>
      </w:r>
      <w:r w:rsidRPr="00125EFD">
        <w:rPr>
          <w:bCs/>
        </w:rPr>
        <w:t>ersons</w:t>
      </w:r>
      <w:r>
        <w:rPr>
          <w:bCs/>
        </w:rPr>
        <w:t xml:space="preserve"> experiencing homelessness</w:t>
      </w:r>
      <w:r w:rsidRPr="00125EFD">
        <w:rPr>
          <w:bCs/>
        </w:rPr>
        <w:t>, relevant civil society organisations and the GIHR, binding minimal standards for the conditions of emergency shelters</w:t>
      </w:r>
      <w:r>
        <w:rPr>
          <w:bCs/>
        </w:rPr>
        <w:t>,</w:t>
      </w:r>
      <w:r w:rsidRPr="00125EFD">
        <w:rPr>
          <w:bCs/>
        </w:rPr>
        <w:t xml:space="preserve"> which should be </w:t>
      </w:r>
      <w:r>
        <w:rPr>
          <w:bCs/>
        </w:rPr>
        <w:t xml:space="preserve">based on </w:t>
      </w:r>
      <w:r w:rsidRPr="00125EFD">
        <w:rPr>
          <w:bCs/>
        </w:rPr>
        <w:t>human rights</w:t>
      </w:r>
      <w:r>
        <w:rPr>
          <w:bCs/>
        </w:rPr>
        <w:t xml:space="preserve"> </w:t>
      </w:r>
      <w:r w:rsidRPr="00125EFD">
        <w:rPr>
          <w:bCs/>
        </w:rPr>
        <w:t>and children’s right</w:t>
      </w:r>
      <w:r>
        <w:rPr>
          <w:bCs/>
        </w:rPr>
        <w:t>s, gender-sensitive,</w:t>
      </w:r>
      <w:r w:rsidRPr="00125EFD">
        <w:rPr>
          <w:bCs/>
        </w:rPr>
        <w:t xml:space="preserve"> and prepared with due attention to equality and non-discrimination standards.</w:t>
      </w:r>
      <w:r>
        <w:rPr>
          <w:bCs/>
        </w:rPr>
        <w:t xml:space="preserve"> As a rule, children should be moved into more permanent housing solutions without delay.</w:t>
      </w:r>
      <w:r w:rsidR="004D1559">
        <w:rPr>
          <w:bCs/>
        </w:rPr>
        <w:t xml:space="preserve"> </w:t>
      </w:r>
    </w:p>
    <w:p w14:paraId="4B54F032" w14:textId="77777777" w:rsidR="004A5AEE" w:rsidRPr="00BB736D" w:rsidRDefault="004A5AEE" w:rsidP="004A5AEE">
      <w:pPr>
        <w:pStyle w:val="ListParagraph"/>
        <w:tabs>
          <w:tab w:val="clear" w:pos="567"/>
        </w:tabs>
        <w:rPr>
          <w:b/>
        </w:rPr>
      </w:pPr>
      <w:r w:rsidRPr="00BB736D">
        <w:rPr>
          <w:bCs/>
        </w:rPr>
        <w:t xml:space="preserve">The Commissioner further calls on the authorities to engage in comprehensive and long-term measures to prevent and eradicate homelessness, </w:t>
      </w:r>
      <w:r>
        <w:rPr>
          <w:bCs/>
        </w:rPr>
        <w:t>parti</w:t>
      </w:r>
      <w:r w:rsidRPr="00BB736D">
        <w:rPr>
          <w:bCs/>
        </w:rPr>
        <w:t>cular</w:t>
      </w:r>
      <w:r>
        <w:rPr>
          <w:bCs/>
        </w:rPr>
        <w:t>ly</w:t>
      </w:r>
      <w:r w:rsidRPr="00BB736D">
        <w:rPr>
          <w:bCs/>
        </w:rPr>
        <w:t xml:space="preserve"> among children, women, older persons, families</w:t>
      </w:r>
      <w:r>
        <w:rPr>
          <w:bCs/>
        </w:rPr>
        <w:t>,</w:t>
      </w:r>
      <w:r w:rsidRPr="00BB736D">
        <w:rPr>
          <w:bCs/>
        </w:rPr>
        <w:t xml:space="preserve"> and other vulnerable groups. Homelessness advice and prevention work should be expanded at all levels and the National Action Plan </w:t>
      </w:r>
      <w:r>
        <w:rPr>
          <w:bCs/>
        </w:rPr>
        <w:t xml:space="preserve">on Eradicating Homelessness by 2030 </w:t>
      </w:r>
      <w:r w:rsidRPr="00BB736D">
        <w:rPr>
          <w:bCs/>
        </w:rPr>
        <w:t>adopted without delay</w:t>
      </w:r>
      <w:r>
        <w:rPr>
          <w:bCs/>
        </w:rPr>
        <w:t>, with close coordination of all involved competences and levels of administration</w:t>
      </w:r>
      <w:r w:rsidRPr="00BB736D">
        <w:rPr>
          <w:bCs/>
        </w:rPr>
        <w:t xml:space="preserve">. In addition, amendments to the tenancy law should be considered </w:t>
      </w:r>
      <w:r>
        <w:rPr>
          <w:bCs/>
        </w:rPr>
        <w:t xml:space="preserve">promptly </w:t>
      </w:r>
      <w:r w:rsidRPr="00BB736D">
        <w:rPr>
          <w:bCs/>
        </w:rPr>
        <w:t xml:space="preserve">and effective safeguards put in place to ensure that evictions do not result in homelessness. </w:t>
      </w:r>
    </w:p>
    <w:p w14:paraId="148F8D40" w14:textId="77777777" w:rsidR="00596709" w:rsidRPr="004A5AEE" w:rsidRDefault="00596709" w:rsidP="004A5AEE">
      <w:pPr>
        <w:rPr>
          <w:lang w:val="en-GB" w:eastAsia="ja-JP"/>
        </w:rPr>
      </w:pPr>
    </w:p>
    <w:sectPr w:rsidR="00596709" w:rsidRPr="004A5AEE" w:rsidSect="00643875">
      <w:footerReference w:type="default" r:id="rId8"/>
      <w:headerReference w:type="first" r:id="rId9"/>
      <w:footerReference w:type="first" r:id="rId10"/>
      <w:pgSz w:w="11906" w:h="16838"/>
      <w:pgMar w:top="1418" w:right="1416" w:bottom="1440" w:left="1440" w:header="4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85FD" w14:textId="77777777" w:rsidR="00033B1A" w:rsidRDefault="00033B1A" w:rsidP="00133003">
      <w:r>
        <w:separator/>
      </w:r>
    </w:p>
  </w:endnote>
  <w:endnote w:type="continuationSeparator" w:id="0">
    <w:p w14:paraId="21AD134B" w14:textId="77777777" w:rsidR="00033B1A" w:rsidRDefault="00033B1A" w:rsidP="0013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rporateS-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NeueLTPro-BdEx">
    <w:altName w:val="Arial"/>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286602"/>
      <w:docPartObj>
        <w:docPartGallery w:val="Page Numbers (Bottom of Page)"/>
        <w:docPartUnique/>
      </w:docPartObj>
    </w:sdtPr>
    <w:sdtEndPr>
      <w:rPr>
        <w:sz w:val="18"/>
        <w:szCs w:val="18"/>
      </w:rPr>
    </w:sdtEndPr>
    <w:sdtContent>
      <w:p w14:paraId="577A15F6" w14:textId="77777777" w:rsidR="00AA3720" w:rsidRPr="005C47C3" w:rsidRDefault="00AA3720">
        <w:pPr>
          <w:pStyle w:val="Footer"/>
          <w:jc w:val="center"/>
          <w:rPr>
            <w:sz w:val="18"/>
            <w:szCs w:val="18"/>
          </w:rPr>
        </w:pPr>
        <w:r w:rsidRPr="005C47C3">
          <w:rPr>
            <w:sz w:val="18"/>
            <w:szCs w:val="18"/>
          </w:rPr>
          <w:fldChar w:fldCharType="begin"/>
        </w:r>
        <w:r w:rsidRPr="005C47C3">
          <w:rPr>
            <w:sz w:val="18"/>
            <w:szCs w:val="18"/>
          </w:rPr>
          <w:instrText>PAGE   \* MERGEFORMAT</w:instrText>
        </w:r>
        <w:r w:rsidRPr="005C47C3">
          <w:rPr>
            <w:sz w:val="18"/>
            <w:szCs w:val="18"/>
          </w:rPr>
          <w:fldChar w:fldCharType="separate"/>
        </w:r>
        <w:r w:rsidRPr="005C47C3">
          <w:rPr>
            <w:sz w:val="18"/>
            <w:szCs w:val="18"/>
          </w:rPr>
          <w:t>2</w:t>
        </w:r>
        <w:r w:rsidRPr="005C47C3">
          <w:rPr>
            <w:sz w:val="18"/>
            <w:szCs w:val="18"/>
          </w:rPr>
          <w:fldChar w:fldCharType="end"/>
        </w:r>
      </w:p>
    </w:sdtContent>
  </w:sdt>
  <w:p w14:paraId="01A95F54" w14:textId="77777777" w:rsidR="00AA3720" w:rsidRPr="00580AE3" w:rsidRDefault="00AA3720">
    <w:pPr>
      <w:pStyle w:val="Footer"/>
      <w:rPr>
        <w:szCs w:val="24"/>
        <w:lang w:val="en-US"/>
      </w:rPr>
    </w:pPr>
  </w:p>
  <w:p w14:paraId="59BACEA3" w14:textId="77777777" w:rsidR="002012D7" w:rsidRDefault="002012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67" w:type="dxa"/>
      <w:tblLayout w:type="fixed"/>
      <w:tblLook w:val="0000" w:firstRow="0" w:lastRow="0" w:firstColumn="0" w:lastColumn="0" w:noHBand="0" w:noVBand="0"/>
    </w:tblPr>
    <w:tblGrid>
      <w:gridCol w:w="4785"/>
      <w:gridCol w:w="5280"/>
    </w:tblGrid>
    <w:tr w:rsidR="004D1559" w:rsidRPr="005C47C3" w14:paraId="0260C041" w14:textId="77777777" w:rsidTr="00D970CD">
      <w:trPr>
        <w:trHeight w:val="745"/>
      </w:trPr>
      <w:tc>
        <w:tcPr>
          <w:tcW w:w="4785" w:type="dxa"/>
          <w:shd w:val="clear" w:color="auto" w:fill="auto"/>
        </w:tcPr>
        <w:p w14:paraId="164B62C3" w14:textId="77777777" w:rsidR="004D1559" w:rsidRPr="005C47C3" w:rsidRDefault="004D1559" w:rsidP="004D1559">
          <w:pPr>
            <w:spacing w:before="120" w:after="120"/>
            <w:ind w:left="360" w:hanging="360"/>
            <w:rPr>
              <w:rFonts w:asciiTheme="minorHAnsi" w:hAnsiTheme="minorHAnsi" w:cstheme="minorHAnsi"/>
              <w:sz w:val="20"/>
              <w:szCs w:val="20"/>
              <w:lang w:val="en-GB" w:eastAsia="en-US"/>
            </w:rPr>
          </w:pPr>
          <w:r w:rsidRPr="005C47C3">
            <w:rPr>
              <w:rFonts w:asciiTheme="minorHAnsi" w:hAnsiTheme="minorHAnsi" w:cstheme="minorHAnsi"/>
              <w:sz w:val="20"/>
              <w:szCs w:val="20"/>
              <w:lang w:val="tr-TR" w:eastAsia="en-US"/>
            </w:rPr>
            <w:t>Strasbourg, 23 February 2024</w:t>
          </w:r>
        </w:p>
      </w:tc>
      <w:tc>
        <w:tcPr>
          <w:tcW w:w="5280" w:type="dxa"/>
          <w:shd w:val="clear" w:color="auto" w:fill="auto"/>
        </w:tcPr>
        <w:p w14:paraId="6518A290" w14:textId="77777777" w:rsidR="004D1559" w:rsidRPr="005C47C3" w:rsidRDefault="00C8697C" w:rsidP="004D1559">
          <w:pPr>
            <w:spacing w:before="120" w:after="120"/>
            <w:ind w:left="360" w:hanging="360"/>
            <w:jc w:val="right"/>
            <w:rPr>
              <w:rFonts w:asciiTheme="minorHAnsi" w:hAnsiTheme="minorHAnsi" w:cstheme="minorHAnsi"/>
              <w:sz w:val="20"/>
              <w:szCs w:val="20"/>
              <w:lang w:val="en-GB" w:eastAsia="en-US"/>
            </w:rPr>
          </w:pPr>
          <w:proofErr w:type="spellStart"/>
          <w:proofErr w:type="gramStart"/>
          <w:r w:rsidRPr="005C47C3">
            <w:rPr>
              <w:rFonts w:asciiTheme="minorHAnsi" w:hAnsiTheme="minorHAnsi" w:cstheme="minorHAnsi"/>
              <w:sz w:val="20"/>
              <w:szCs w:val="20"/>
              <w:lang w:val="en-GB" w:eastAsia="en-US"/>
            </w:rPr>
            <w:t>CommHR</w:t>
          </w:r>
          <w:proofErr w:type="spellEnd"/>
          <w:r w:rsidRPr="005C47C3">
            <w:rPr>
              <w:rFonts w:asciiTheme="minorHAnsi" w:hAnsiTheme="minorHAnsi" w:cstheme="minorHAnsi"/>
              <w:sz w:val="20"/>
              <w:szCs w:val="20"/>
              <w:lang w:val="en-GB" w:eastAsia="en-US"/>
            </w:rPr>
            <w:t>(</w:t>
          </w:r>
          <w:proofErr w:type="gramEnd"/>
          <w:r w:rsidRPr="005C47C3">
            <w:rPr>
              <w:rFonts w:asciiTheme="minorHAnsi" w:hAnsiTheme="minorHAnsi" w:cstheme="minorHAnsi"/>
              <w:sz w:val="20"/>
              <w:szCs w:val="20"/>
              <w:lang w:val="en-GB" w:eastAsia="en-US"/>
            </w:rPr>
            <w:t>2024)13</w:t>
          </w:r>
        </w:p>
        <w:p w14:paraId="7D215257" w14:textId="77777777" w:rsidR="004D1559" w:rsidRPr="005C47C3" w:rsidRDefault="004D1559" w:rsidP="004D1559">
          <w:pPr>
            <w:spacing w:before="120" w:after="120"/>
            <w:ind w:left="360" w:hanging="360"/>
            <w:jc w:val="right"/>
            <w:rPr>
              <w:rFonts w:asciiTheme="minorHAnsi" w:hAnsiTheme="minorHAnsi" w:cstheme="minorHAnsi"/>
              <w:sz w:val="20"/>
              <w:szCs w:val="20"/>
              <w:lang w:val="en-GB" w:eastAsia="en-US"/>
            </w:rPr>
          </w:pPr>
          <w:r w:rsidRPr="005C47C3">
            <w:rPr>
              <w:rFonts w:asciiTheme="minorHAnsi" w:hAnsiTheme="minorHAnsi" w:cstheme="minorHAnsi"/>
              <w:sz w:val="20"/>
              <w:szCs w:val="20"/>
              <w:lang w:val="en-GB" w:eastAsia="en-US"/>
            </w:rPr>
            <w:t>Original version</w:t>
          </w:r>
        </w:p>
      </w:tc>
    </w:tr>
  </w:tbl>
  <w:p w14:paraId="54BC3FC6" w14:textId="77777777" w:rsidR="004D1559" w:rsidRPr="005C47C3" w:rsidRDefault="004D1559">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E57F" w14:textId="77777777" w:rsidR="00033B1A" w:rsidRDefault="00033B1A" w:rsidP="00133003">
      <w:r>
        <w:separator/>
      </w:r>
    </w:p>
  </w:footnote>
  <w:footnote w:type="continuationSeparator" w:id="0">
    <w:p w14:paraId="433A69C5" w14:textId="77777777" w:rsidR="00033B1A" w:rsidRDefault="00033B1A" w:rsidP="00133003">
      <w:r>
        <w:continuationSeparator/>
      </w:r>
    </w:p>
  </w:footnote>
  <w:footnote w:id="1">
    <w:p w14:paraId="65A8EE7F" w14:textId="77777777" w:rsidR="004A5AEE" w:rsidRPr="007C434F" w:rsidRDefault="004A5AEE" w:rsidP="004A5AEE">
      <w:pPr>
        <w:pStyle w:val="FootnoteText"/>
        <w:rPr>
          <w:lang w:val="en-GB"/>
        </w:rPr>
      </w:pPr>
      <w:r>
        <w:rPr>
          <w:rStyle w:val="FootnoteReference"/>
        </w:rPr>
        <w:footnoteRef/>
      </w:r>
      <w:r w:rsidRPr="00EC2DF5">
        <w:rPr>
          <w:lang w:val="en-US"/>
        </w:rPr>
        <w:t xml:space="preserve"> </w:t>
      </w:r>
      <w:r w:rsidRPr="007C434F">
        <w:rPr>
          <w:lang w:val="en-GB"/>
        </w:rPr>
        <w:t xml:space="preserve">This report was finalised on </w:t>
      </w:r>
      <w:r>
        <w:rPr>
          <w:lang w:val="en-GB"/>
        </w:rPr>
        <w:t xml:space="preserve">22 February </w:t>
      </w:r>
      <w:r w:rsidRPr="007C434F">
        <w:rPr>
          <w:lang w:val="en-GB"/>
        </w:rPr>
        <w:t>202</w:t>
      </w:r>
      <w:r>
        <w:rPr>
          <w:lang w:val="en-GB"/>
        </w:rPr>
        <w:t>4</w:t>
      </w:r>
      <w:r w:rsidRPr="007C434F">
        <w:rPr>
          <w:lang w:val="en-GB"/>
        </w:rPr>
        <w:t>. All online documents quoted in the report were last accessed on that date.</w:t>
      </w:r>
      <w:r w:rsidR="004D1559">
        <w:rPr>
          <w:lang w:val="en-GB"/>
        </w:rPr>
        <w:t xml:space="preserve"> </w:t>
      </w:r>
    </w:p>
  </w:footnote>
  <w:footnote w:id="2">
    <w:p w14:paraId="1CD26BAF"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w:t>
      </w:r>
      <w:r w:rsidRPr="00773CE9">
        <w:rPr>
          <w:bCs/>
          <w:lang w:val="en-GB"/>
        </w:rPr>
        <w:t>The position of Federal Government Commissioner for Human Rights Policy and Humanitarian Assistance was established in 1998 as part of the Federal Foreign Office</w:t>
      </w:r>
      <w:r>
        <w:rPr>
          <w:bCs/>
          <w:lang w:val="en-GB"/>
        </w:rPr>
        <w:t>,</w:t>
      </w:r>
      <w:r w:rsidRPr="00773CE9">
        <w:rPr>
          <w:bCs/>
          <w:lang w:val="en-GB"/>
        </w:rPr>
        <w:t xml:space="preserve"> with the </w:t>
      </w:r>
      <w:hyperlink r:id="rId1" w:anchor=":~:text=The%20Commissioner%20for%20Human%20Rights%20Policy%20and%20Humanitarian%20Assistance,-05.01.2022%20%2D%20Article&amp;text=Since%20January%202022%2C%20Luise%20Amtsberg,Rights%20Policy%20and%20Humanitarian%20Assistance.&amp;text=Protecting%20human%20rights%20and%20promoting,cornerstone%20of%20German%20foreign%20policy." w:history="1">
        <w:r w:rsidRPr="00773CE9">
          <w:rPr>
            <w:rStyle w:val="Hyperlink"/>
            <w:bCs/>
            <w:lang w:val="en-GB"/>
          </w:rPr>
          <w:t>mandate</w:t>
        </w:r>
      </w:hyperlink>
      <w:r w:rsidRPr="00773CE9">
        <w:rPr>
          <w:bCs/>
          <w:lang w:val="en-GB"/>
        </w:rPr>
        <w:t xml:space="preserve"> to help shape human rights policy in Germany’s external relations, while the protection of individual human rights in Germany is considered the responsibility of the courts, as guaranteed by Article 19(4) of the Constitution.</w:t>
      </w:r>
    </w:p>
  </w:footnote>
  <w:footnote w:id="3">
    <w:p w14:paraId="4F79E17B" w14:textId="77777777" w:rsidR="004A5AEE" w:rsidRPr="0097244E" w:rsidRDefault="004A5AEE" w:rsidP="004A5AEE">
      <w:pPr>
        <w:pStyle w:val="FootnoteText"/>
        <w:rPr>
          <w:lang w:val="en-GB"/>
        </w:rPr>
      </w:pPr>
      <w:r>
        <w:rPr>
          <w:rStyle w:val="FootnoteReference"/>
        </w:rPr>
        <w:footnoteRef/>
      </w:r>
      <w:r w:rsidRPr="00DA4818">
        <w:rPr>
          <w:lang w:val="en-US"/>
        </w:rPr>
        <w:t xml:space="preserve"> </w:t>
      </w:r>
      <w:r>
        <w:rPr>
          <w:lang w:val="en-GB"/>
        </w:rPr>
        <w:t xml:space="preserve">See, for instance, Interim report of the project </w:t>
      </w:r>
      <w:hyperlink r:id="rId2" w:history="1">
        <w:r w:rsidRPr="00067E45">
          <w:rPr>
            <w:rStyle w:val="Hyperlink"/>
            <w:i/>
            <w:iCs/>
            <w:lang w:val="en-GB"/>
          </w:rPr>
          <w:t>Is access to justice equal</w:t>
        </w:r>
      </w:hyperlink>
      <w:r>
        <w:rPr>
          <w:i/>
          <w:iCs/>
          <w:lang w:val="en-GB"/>
        </w:rPr>
        <w:t xml:space="preserve">?, </w:t>
      </w:r>
      <w:r>
        <w:rPr>
          <w:lang w:val="en-GB"/>
        </w:rPr>
        <w:t xml:space="preserve">Berlin Social Science Centre, July 2022. </w:t>
      </w:r>
    </w:p>
  </w:footnote>
  <w:footnote w:id="4">
    <w:p w14:paraId="11CBFB69" w14:textId="77777777" w:rsidR="004A5AEE" w:rsidRPr="00C617F8" w:rsidRDefault="004A5AEE" w:rsidP="004A5AEE">
      <w:pPr>
        <w:pStyle w:val="FootnoteText"/>
        <w:rPr>
          <w:lang w:val="en-GB"/>
        </w:rPr>
      </w:pPr>
      <w:r>
        <w:rPr>
          <w:rStyle w:val="FootnoteReference"/>
        </w:rPr>
        <w:footnoteRef/>
      </w:r>
      <w:r w:rsidRPr="00DA4818">
        <w:rPr>
          <w:lang w:val="en-US"/>
        </w:rPr>
        <w:t xml:space="preserve"> </w:t>
      </w:r>
      <w:r>
        <w:rPr>
          <w:lang w:val="en-GB"/>
        </w:rPr>
        <w:t xml:space="preserve">See </w:t>
      </w:r>
      <w:hyperlink r:id="rId3" w:history="1">
        <w:r w:rsidRPr="00E97297">
          <w:rPr>
            <w:rStyle w:val="Hyperlink"/>
            <w:lang w:val="en-GB"/>
          </w:rPr>
          <w:t>Report by the Commissioner for Human Rights</w:t>
        </w:r>
      </w:hyperlink>
      <w:r>
        <w:rPr>
          <w:lang w:val="en-GB"/>
        </w:rPr>
        <w:t xml:space="preserve"> following his country visit to Germany in April/May 2015.</w:t>
      </w:r>
    </w:p>
  </w:footnote>
  <w:footnote w:id="5">
    <w:p w14:paraId="5978A8CF" w14:textId="77777777" w:rsidR="004A5AEE" w:rsidRPr="00326223" w:rsidRDefault="004A5AEE" w:rsidP="004A5AEE">
      <w:pPr>
        <w:pStyle w:val="FootnoteText"/>
        <w:rPr>
          <w:lang w:val="en-GB"/>
        </w:rPr>
      </w:pPr>
      <w:r>
        <w:rPr>
          <w:rStyle w:val="FootnoteReference"/>
        </w:rPr>
        <w:footnoteRef/>
      </w:r>
      <w:r w:rsidRPr="00DA4818">
        <w:rPr>
          <w:lang w:val="en-US"/>
        </w:rPr>
        <w:t xml:space="preserve"> </w:t>
      </w:r>
      <w:r>
        <w:rPr>
          <w:lang w:val="en-GB"/>
        </w:rPr>
        <w:t xml:space="preserve">See </w:t>
      </w:r>
      <w:hyperlink r:id="rId4" w:history="1">
        <w:r w:rsidRPr="00326223">
          <w:rPr>
            <w:rStyle w:val="Hyperlink"/>
            <w:lang w:val="en-GB"/>
          </w:rPr>
          <w:t>Report by Sub-Committee on Accreditation</w:t>
        </w:r>
      </w:hyperlink>
      <w:r>
        <w:rPr>
          <w:lang w:val="en-GB"/>
        </w:rPr>
        <w:t xml:space="preserve"> of the Global Alliance of National Human Rights Institutions relating to the NHRI of Germany, September &amp; October 2023.</w:t>
      </w:r>
      <w:r w:rsidR="004D1559">
        <w:rPr>
          <w:lang w:val="en-GB"/>
        </w:rPr>
        <w:t xml:space="preserve"> </w:t>
      </w:r>
    </w:p>
  </w:footnote>
  <w:footnote w:id="6">
    <w:p w14:paraId="04F0F9D9" w14:textId="77777777" w:rsidR="004A5AEE" w:rsidRPr="00257B37" w:rsidRDefault="004A5AEE" w:rsidP="004A5AEE">
      <w:pPr>
        <w:pStyle w:val="FootnoteText"/>
        <w:rPr>
          <w:lang w:val="en-GB"/>
        </w:rPr>
      </w:pPr>
      <w:r>
        <w:rPr>
          <w:rStyle w:val="FootnoteReference"/>
        </w:rPr>
        <w:footnoteRef/>
      </w:r>
      <w:r w:rsidRPr="00DA4818">
        <w:rPr>
          <w:lang w:val="en-US"/>
        </w:rPr>
        <w:t xml:space="preserve"> </w:t>
      </w:r>
      <w:r>
        <w:rPr>
          <w:lang w:val="en-GB"/>
        </w:rPr>
        <w:t xml:space="preserve">See European Network of National Human Rights Institutions </w:t>
      </w:r>
      <w:hyperlink r:id="rId5" w:history="1">
        <w:r w:rsidRPr="00257B37">
          <w:rPr>
            <w:rStyle w:val="Hyperlink"/>
            <w:lang w:val="en-GB"/>
          </w:rPr>
          <w:t>Baseline study</w:t>
        </w:r>
      </w:hyperlink>
      <w:r w:rsidRPr="00257B37">
        <w:rPr>
          <w:lang w:val="en-GB"/>
        </w:rPr>
        <w:t xml:space="preserve"> on implementation of the Council of Europe Recommendation on NHRIs.</w:t>
      </w:r>
      <w:r w:rsidRPr="00DA4818">
        <w:rPr>
          <w:lang w:val="en-US"/>
        </w:rPr>
        <w:t xml:space="preserve"> </w:t>
      </w:r>
    </w:p>
  </w:footnote>
  <w:footnote w:id="7">
    <w:p w14:paraId="2BADBBD8" w14:textId="77777777" w:rsidR="004A5AEE" w:rsidRPr="00930578" w:rsidRDefault="004A5AEE" w:rsidP="004A5AEE">
      <w:pPr>
        <w:pStyle w:val="FootnoteText"/>
        <w:rPr>
          <w:lang w:val="en-GB"/>
        </w:rPr>
      </w:pPr>
      <w:r>
        <w:rPr>
          <w:rStyle w:val="FootnoteReference"/>
        </w:rPr>
        <w:footnoteRef/>
      </w:r>
      <w:r w:rsidRPr="00D90B39">
        <w:rPr>
          <w:lang w:val="en-US"/>
        </w:rPr>
        <w:t xml:space="preserve"> </w:t>
      </w:r>
      <w:r>
        <w:rPr>
          <w:lang w:val="en-GB"/>
        </w:rPr>
        <w:t xml:space="preserve">See an </w:t>
      </w:r>
      <w:hyperlink r:id="rId6" w:history="1">
        <w:r w:rsidRPr="00440120">
          <w:rPr>
            <w:rStyle w:val="Hyperlink"/>
            <w:lang w:val="en-GB"/>
          </w:rPr>
          <w:t>overview of mandates of European equality bodies</w:t>
        </w:r>
      </w:hyperlink>
      <w:r>
        <w:rPr>
          <w:lang w:val="en-GB"/>
        </w:rPr>
        <w:t xml:space="preserve"> provided by the European Network of Equality Bodies, </w:t>
      </w:r>
      <w:proofErr w:type="spellStart"/>
      <w:r>
        <w:rPr>
          <w:lang w:val="en-GB"/>
        </w:rPr>
        <w:t>Equinet</w:t>
      </w:r>
      <w:proofErr w:type="spellEnd"/>
      <w:r>
        <w:rPr>
          <w:lang w:val="en-GB"/>
        </w:rPr>
        <w:t>.</w:t>
      </w:r>
      <w:r w:rsidR="004D1559">
        <w:rPr>
          <w:lang w:val="en-GB"/>
        </w:rPr>
        <w:t xml:space="preserve"> </w:t>
      </w:r>
    </w:p>
  </w:footnote>
  <w:footnote w:id="8">
    <w:p w14:paraId="430C2848" w14:textId="77777777" w:rsidR="004A5AEE" w:rsidRPr="0087789E" w:rsidRDefault="004A5AEE" w:rsidP="004A5AEE">
      <w:pPr>
        <w:pStyle w:val="FootnoteText"/>
        <w:rPr>
          <w:lang w:val="en-GB"/>
        </w:rPr>
      </w:pPr>
      <w:r w:rsidRPr="00773CE9">
        <w:rPr>
          <w:rStyle w:val="FootnoteReference"/>
          <w:lang w:val="en-GB"/>
        </w:rPr>
        <w:footnoteRef/>
      </w:r>
      <w:r w:rsidRPr="00773CE9">
        <w:rPr>
          <w:lang w:val="en-GB"/>
        </w:rPr>
        <w:t xml:space="preserve"> Germany was, for example, not in a position to provide information on the </w:t>
      </w:r>
      <w:r w:rsidRPr="00773CE9">
        <w:rPr>
          <w:bCs/>
          <w:lang w:val="en-GB"/>
        </w:rPr>
        <w:t xml:space="preserve">number of minors in custody </w:t>
      </w:r>
      <w:hyperlink r:id="rId7" w:history="1">
        <w:r w:rsidRPr="00773CE9">
          <w:rPr>
            <w:rStyle w:val="Hyperlink"/>
            <w:bCs/>
            <w:lang w:val="en-GB"/>
          </w:rPr>
          <w:t>awaiting deportation</w:t>
        </w:r>
      </w:hyperlink>
      <w:r w:rsidRPr="00773CE9">
        <w:rPr>
          <w:bCs/>
          <w:lang w:val="en-GB"/>
        </w:rPr>
        <w:t xml:space="preserve"> to the UN Committee on the Rights of the Child</w:t>
      </w:r>
      <w:r>
        <w:rPr>
          <w:bCs/>
          <w:lang w:val="en-GB"/>
        </w:rPr>
        <w:t xml:space="preserve">, nor could it </w:t>
      </w:r>
      <w:hyperlink r:id="rId8" w:history="1">
        <w:r w:rsidRPr="0087789E">
          <w:rPr>
            <w:rStyle w:val="Hyperlink"/>
            <w:bCs/>
            <w:lang w:val="en-GB"/>
          </w:rPr>
          <w:t>submit figures</w:t>
        </w:r>
      </w:hyperlink>
      <w:r>
        <w:rPr>
          <w:bCs/>
          <w:lang w:val="en-GB"/>
        </w:rPr>
        <w:t xml:space="preserve"> on </w:t>
      </w:r>
      <w:r w:rsidRPr="0087789E">
        <w:rPr>
          <w:lang w:val="en-GB"/>
        </w:rPr>
        <w:t xml:space="preserve">the various types of housing support </w:t>
      </w:r>
      <w:r>
        <w:rPr>
          <w:lang w:val="en-GB"/>
        </w:rPr>
        <w:t xml:space="preserve">(social housing and housing allowances) for </w:t>
      </w:r>
      <w:r w:rsidRPr="0087789E">
        <w:rPr>
          <w:lang w:val="en-GB"/>
        </w:rPr>
        <w:t>vulnerable families</w:t>
      </w:r>
      <w:r>
        <w:rPr>
          <w:lang w:val="en-GB"/>
        </w:rPr>
        <w:t xml:space="preserve"> to the ECSR.</w:t>
      </w:r>
      <w:r w:rsidR="004D1559">
        <w:rPr>
          <w:lang w:val="en-GB"/>
        </w:rPr>
        <w:t xml:space="preserve"> </w:t>
      </w:r>
    </w:p>
  </w:footnote>
  <w:footnote w:id="9">
    <w:p w14:paraId="447231B1"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w:t>
      </w:r>
      <w:r>
        <w:rPr>
          <w:lang w:val="en-GB"/>
        </w:rPr>
        <w:t>See t</w:t>
      </w:r>
      <w:r w:rsidRPr="00773CE9">
        <w:rPr>
          <w:bCs/>
          <w:lang w:val="en-GB"/>
        </w:rPr>
        <w:t xml:space="preserve">he </w:t>
      </w:r>
      <w:r>
        <w:rPr>
          <w:bCs/>
          <w:lang w:val="en-GB"/>
        </w:rPr>
        <w:t>f</w:t>
      </w:r>
      <w:r w:rsidRPr="00773CE9">
        <w:rPr>
          <w:bCs/>
          <w:lang w:val="en-GB"/>
        </w:rPr>
        <w:t xml:space="preserve">ederal </w:t>
      </w:r>
      <w:r>
        <w:rPr>
          <w:bCs/>
          <w:lang w:val="en-GB"/>
        </w:rPr>
        <w:t>g</w:t>
      </w:r>
      <w:r w:rsidRPr="00773CE9">
        <w:rPr>
          <w:bCs/>
          <w:lang w:val="en-GB"/>
        </w:rPr>
        <w:t xml:space="preserve">overnment’s </w:t>
      </w:r>
      <w:r w:rsidR="00000000">
        <w:fldChar w:fldCharType="begin"/>
      </w:r>
      <w:r w:rsidR="00000000" w:rsidRPr="005751D1">
        <w:rPr>
          <w:lang w:val="en-GB"/>
        </w:rPr>
        <w:instrText>HYPERLINK "https://tbinternet.ohchr.org/_layouts/15/treatybodyexternal/Download.aspx?symbolno=CRC%2FC%2FDEU%2F5-6&amp;Lang=en"</w:instrText>
      </w:r>
      <w:r w:rsidR="00000000">
        <w:fldChar w:fldCharType="separate"/>
      </w:r>
      <w:r w:rsidRPr="0005186F">
        <w:rPr>
          <w:rStyle w:val="Hyperlink"/>
          <w:bCs/>
          <w:lang w:val="en-GB"/>
        </w:rPr>
        <w:t>combined fifth and sixth reports to the UNCRC</w:t>
      </w:r>
      <w:r w:rsidR="00000000">
        <w:rPr>
          <w:rStyle w:val="Hyperlink"/>
          <w:bCs/>
          <w:lang w:val="en-GB"/>
        </w:rPr>
        <w:fldChar w:fldCharType="end"/>
      </w:r>
      <w:r>
        <w:rPr>
          <w:bCs/>
          <w:lang w:val="en-GB"/>
        </w:rPr>
        <w:t xml:space="preserve">, 5 April 2019. </w:t>
      </w:r>
    </w:p>
  </w:footnote>
  <w:footnote w:id="10">
    <w:p w14:paraId="6BE91D7A" w14:textId="77777777" w:rsidR="004A5AEE" w:rsidRPr="00D4136E" w:rsidRDefault="004A5AEE" w:rsidP="004A5AEE">
      <w:pPr>
        <w:pStyle w:val="FootnoteText"/>
        <w:rPr>
          <w:lang w:val="en-GB"/>
        </w:rPr>
      </w:pPr>
      <w:r>
        <w:rPr>
          <w:rStyle w:val="FootnoteReference"/>
        </w:rPr>
        <w:footnoteRef/>
      </w:r>
      <w:r w:rsidRPr="00FB0620">
        <w:rPr>
          <w:lang w:val="en-GB"/>
        </w:rPr>
        <w:t xml:space="preserve"> As a federal system, the German Federal Republic consists of 16 federal states (L</w:t>
      </w:r>
      <w:r w:rsidRPr="00FB0620">
        <w:rPr>
          <w:rFonts w:cs="Calibri"/>
          <w:lang w:val="en-GB"/>
        </w:rPr>
        <w:t>ä</w:t>
      </w:r>
      <w:r w:rsidRPr="00FB0620">
        <w:rPr>
          <w:lang w:val="en-GB"/>
        </w:rPr>
        <w:t>nder) whose state governments have</w:t>
      </w:r>
      <w:r>
        <w:rPr>
          <w:lang w:val="en-GB"/>
        </w:rPr>
        <w:t xml:space="preserve"> </w:t>
      </w:r>
      <w:r w:rsidRPr="00FB0620">
        <w:rPr>
          <w:lang w:val="en-GB"/>
        </w:rPr>
        <w:t>their own competences.</w:t>
      </w:r>
    </w:p>
  </w:footnote>
  <w:footnote w:id="11">
    <w:p w14:paraId="691CCAC7" w14:textId="77777777" w:rsidR="004D1559" w:rsidRPr="004D1559" w:rsidRDefault="004D1559">
      <w:pPr>
        <w:pStyle w:val="FootnoteText"/>
        <w:rPr>
          <w:lang w:val="en-US"/>
        </w:rPr>
      </w:pPr>
      <w:r>
        <w:rPr>
          <w:rStyle w:val="FootnoteReference"/>
        </w:rPr>
        <w:footnoteRef/>
      </w:r>
      <w:r w:rsidRPr="004D1559">
        <w:rPr>
          <w:lang w:val="en-US"/>
        </w:rPr>
        <w:t xml:space="preserve"> See the </w:t>
      </w:r>
      <w:r w:rsidR="00000000">
        <w:fldChar w:fldCharType="begin"/>
      </w:r>
      <w:r w:rsidR="00000000" w:rsidRPr="005751D1">
        <w:rPr>
          <w:lang w:val="en-GB"/>
        </w:rPr>
        <w:instrText>HYPERLINK "https://www.coe.int/en/web/commissioner/-/germany-should-pursue-efforts-to-fully-ensure-children-s-rights"</w:instrText>
      </w:r>
      <w:r w:rsidR="00000000">
        <w:fldChar w:fldCharType="separate"/>
      </w:r>
      <w:r w:rsidRPr="004D1559">
        <w:rPr>
          <w:rStyle w:val="Hyperlink"/>
          <w:lang w:val="en-US"/>
        </w:rPr>
        <w:t>letter</w:t>
      </w:r>
      <w:r w:rsidR="00000000">
        <w:rPr>
          <w:rStyle w:val="Hyperlink"/>
          <w:lang w:val="en-US"/>
        </w:rPr>
        <w:fldChar w:fldCharType="end"/>
      </w:r>
      <w:r w:rsidRPr="004D1559">
        <w:rPr>
          <w:lang w:val="en-US"/>
        </w:rPr>
        <w:t xml:space="preserve"> addressed by the Commissioner for Human Rights to the Federal Minister of Justice and Consumer Protection and Federal Minister for Family Affairs, Senior Citizens, Women and Youth, 21 July 2021.</w:t>
      </w:r>
    </w:p>
  </w:footnote>
  <w:footnote w:id="12">
    <w:p w14:paraId="109C1F12"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w:t>
      </w:r>
      <w:r w:rsidRPr="00773CE9">
        <w:rPr>
          <w:rFonts w:cstheme="minorHAnsi"/>
          <w:bCs/>
          <w:szCs w:val="18"/>
          <w:lang w:val="en-GB"/>
        </w:rPr>
        <w:t xml:space="preserve">See UN Committee on the Rights of the Child, Concluding Observations on the combined fifth and sixth periodic reports of Germany, </w:t>
      </w:r>
      <w:r w:rsidR="00000000">
        <w:fldChar w:fldCharType="begin"/>
      </w:r>
      <w:r w:rsidR="00000000" w:rsidRPr="005751D1">
        <w:rPr>
          <w:lang w:val="en-GB"/>
        </w:rPr>
        <w:instrText>HYPERLINK "https://tbinternet.ohchr.org/_layouts/15/treatybodyexternal/Download.aspx?symbolno=CRC%2FC%2FDEU%2FCO%2F5-6&amp;Lang=en"</w:instrText>
      </w:r>
      <w:r w:rsidR="00000000">
        <w:fldChar w:fldCharType="separate"/>
      </w:r>
      <w:r w:rsidRPr="00482D55">
        <w:rPr>
          <w:rStyle w:val="Hyperlink"/>
          <w:rFonts w:cstheme="minorHAnsi"/>
          <w:bCs/>
          <w:szCs w:val="18"/>
          <w:lang w:val="en-GB"/>
        </w:rPr>
        <w:t>CRC/C/DEU/CO/5-6</w:t>
      </w:r>
      <w:r w:rsidR="00000000">
        <w:rPr>
          <w:rStyle w:val="Hyperlink"/>
          <w:rFonts w:cstheme="minorHAnsi"/>
          <w:bCs/>
          <w:szCs w:val="18"/>
          <w:lang w:val="en-GB"/>
        </w:rPr>
        <w:fldChar w:fldCharType="end"/>
      </w:r>
      <w:r w:rsidRPr="00773CE9">
        <w:rPr>
          <w:rFonts w:cstheme="minorHAnsi"/>
          <w:bCs/>
          <w:szCs w:val="18"/>
          <w:lang w:val="en-GB"/>
        </w:rPr>
        <w:t>, 13 October 2022.</w:t>
      </w:r>
    </w:p>
  </w:footnote>
  <w:footnote w:id="13">
    <w:p w14:paraId="5060A2CC" w14:textId="77777777" w:rsidR="004A5AEE" w:rsidRPr="00002713" w:rsidRDefault="004A5AEE" w:rsidP="004A5AEE">
      <w:pPr>
        <w:pStyle w:val="FootnoteText"/>
        <w:rPr>
          <w:lang w:val="en-GB"/>
        </w:rPr>
      </w:pPr>
      <w:r>
        <w:rPr>
          <w:rStyle w:val="FootnoteReference"/>
        </w:rPr>
        <w:footnoteRef/>
      </w:r>
      <w:r w:rsidRPr="00AA5876">
        <w:rPr>
          <w:lang w:val="en-GB"/>
        </w:rPr>
        <w:t xml:space="preserve"> </w:t>
      </w:r>
      <w:r w:rsidRPr="00773CE9">
        <w:rPr>
          <w:lang w:val="en-GB"/>
        </w:rPr>
        <w:t xml:space="preserve">See the coalition agreement entered into by three governing parties on 7 December 2021, at </w:t>
      </w:r>
      <w:r w:rsidR="00000000">
        <w:fldChar w:fldCharType="begin"/>
      </w:r>
      <w:r w:rsidR="00000000" w:rsidRPr="005751D1">
        <w:rPr>
          <w:lang w:val="en-GB"/>
        </w:rPr>
        <w:instrText>HYPERLINK "https://www.bundesregierung.de/breg-de/service/gesetzesvorhaben/koalitionsvertrag-2021-1990800"</w:instrText>
      </w:r>
      <w:r w:rsidR="00000000">
        <w:fldChar w:fldCharType="separate"/>
      </w:r>
      <w:proofErr w:type="spellStart"/>
      <w:r w:rsidRPr="00773CE9">
        <w:rPr>
          <w:rStyle w:val="Hyperlink"/>
          <w:lang w:val="en-GB"/>
        </w:rPr>
        <w:t>Koalitionsvertrag</w:t>
      </w:r>
      <w:proofErr w:type="spellEnd"/>
      <w:r w:rsidRPr="00773CE9">
        <w:rPr>
          <w:rStyle w:val="Hyperlink"/>
          <w:lang w:val="en-GB"/>
        </w:rPr>
        <w:t xml:space="preserve"> 2021 (bundesregierung.de)</w:t>
      </w:r>
      <w:r w:rsidR="00000000">
        <w:rPr>
          <w:rStyle w:val="Hyperlink"/>
          <w:lang w:val="en-GB"/>
        </w:rPr>
        <w:fldChar w:fldCharType="end"/>
      </w:r>
      <w:r w:rsidRPr="00773CE9">
        <w:rPr>
          <w:lang w:val="en-GB"/>
        </w:rPr>
        <w:t>.</w:t>
      </w:r>
    </w:p>
  </w:footnote>
  <w:footnote w:id="14">
    <w:p w14:paraId="26523ADC"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See Map of available Child</w:t>
      </w:r>
      <w:r>
        <w:rPr>
          <w:lang w:val="en-GB"/>
        </w:rPr>
        <w:t>ren’s</w:t>
      </w:r>
      <w:r w:rsidRPr="00773CE9">
        <w:rPr>
          <w:lang w:val="en-GB"/>
        </w:rPr>
        <w:t xml:space="preserve"> Commissioners at L</w:t>
      </w:r>
      <w:r w:rsidRPr="00773CE9">
        <w:rPr>
          <w:rFonts w:cs="Calibri"/>
          <w:lang w:val="en-GB"/>
        </w:rPr>
        <w:t>ä</w:t>
      </w:r>
      <w:r w:rsidRPr="00773CE9">
        <w:rPr>
          <w:lang w:val="en-GB"/>
        </w:rPr>
        <w:t xml:space="preserve">nder level at </w:t>
      </w:r>
      <w:r w:rsidR="00000000">
        <w:fldChar w:fldCharType="begin"/>
      </w:r>
      <w:r w:rsidR="00000000" w:rsidRPr="005751D1">
        <w:rPr>
          <w:lang w:val="en-GB"/>
        </w:rPr>
        <w:instrText>HYPERLINK "https://landkarte-kinderrechte.de/kinderbeauftragte-auf-landesebene-in-deutschland/"</w:instrText>
      </w:r>
      <w:r w:rsidR="00000000">
        <w:fldChar w:fldCharType="separate"/>
      </w:r>
      <w:proofErr w:type="spellStart"/>
      <w:r w:rsidRPr="00773CE9">
        <w:rPr>
          <w:rStyle w:val="Hyperlink"/>
          <w:lang w:val="en-GB"/>
        </w:rPr>
        <w:t>Kinderbeauftragte</w:t>
      </w:r>
      <w:proofErr w:type="spellEnd"/>
      <w:r w:rsidRPr="00773CE9">
        <w:rPr>
          <w:rStyle w:val="Hyperlink"/>
          <w:lang w:val="en-GB"/>
        </w:rPr>
        <w:t xml:space="preserve"> auf </w:t>
      </w:r>
      <w:proofErr w:type="spellStart"/>
      <w:r w:rsidRPr="00773CE9">
        <w:rPr>
          <w:rStyle w:val="Hyperlink"/>
          <w:lang w:val="en-GB"/>
        </w:rPr>
        <w:t>Landesebene</w:t>
      </w:r>
      <w:proofErr w:type="spellEnd"/>
      <w:r w:rsidRPr="00773CE9">
        <w:rPr>
          <w:rStyle w:val="Hyperlink"/>
          <w:lang w:val="en-GB"/>
        </w:rPr>
        <w:t xml:space="preserve"> in Deutschland 2022 – </w:t>
      </w:r>
      <w:proofErr w:type="spellStart"/>
      <w:r w:rsidRPr="00773CE9">
        <w:rPr>
          <w:rStyle w:val="Hyperlink"/>
          <w:lang w:val="en-GB"/>
        </w:rPr>
        <w:t>Landkarte</w:t>
      </w:r>
      <w:proofErr w:type="spellEnd"/>
      <w:r w:rsidRPr="00773CE9">
        <w:rPr>
          <w:rStyle w:val="Hyperlink"/>
          <w:lang w:val="en-GB"/>
        </w:rPr>
        <w:t xml:space="preserve"> </w:t>
      </w:r>
      <w:proofErr w:type="spellStart"/>
      <w:r w:rsidRPr="00773CE9">
        <w:rPr>
          <w:rStyle w:val="Hyperlink"/>
          <w:lang w:val="en-GB"/>
        </w:rPr>
        <w:t>Kinderrechte</w:t>
      </w:r>
      <w:proofErr w:type="spellEnd"/>
      <w:r w:rsidRPr="00773CE9">
        <w:rPr>
          <w:rStyle w:val="Hyperlink"/>
          <w:lang w:val="en-GB"/>
        </w:rPr>
        <w:t xml:space="preserve"> (landkarte-kinderrechte.de)</w:t>
      </w:r>
      <w:r w:rsidR="00000000">
        <w:rPr>
          <w:rStyle w:val="Hyperlink"/>
          <w:lang w:val="en-GB"/>
        </w:rPr>
        <w:fldChar w:fldCharType="end"/>
      </w:r>
      <w:r>
        <w:rPr>
          <w:rStyle w:val="Hyperlink"/>
          <w:lang w:val="en-GB"/>
        </w:rPr>
        <w:t>.</w:t>
      </w:r>
      <w:r w:rsidRPr="00773CE9">
        <w:rPr>
          <w:lang w:val="en-GB"/>
        </w:rPr>
        <w:t xml:space="preserve"> </w:t>
      </w:r>
    </w:p>
  </w:footnote>
  <w:footnote w:id="15">
    <w:p w14:paraId="3BA8E017" w14:textId="77777777" w:rsidR="004A5AEE" w:rsidRPr="00773CE9" w:rsidRDefault="004A5AEE" w:rsidP="004A5AEE">
      <w:pPr>
        <w:pStyle w:val="FootnoteText"/>
        <w:rPr>
          <w:rStyle w:val="FootnoteReference"/>
          <w:rFonts w:cstheme="minorHAnsi"/>
          <w:b/>
          <w:bCs/>
          <w:szCs w:val="18"/>
          <w:lang w:val="en-GB"/>
        </w:rPr>
      </w:pPr>
      <w:r w:rsidRPr="00773CE9">
        <w:rPr>
          <w:rStyle w:val="FootnoteReference"/>
          <w:rFonts w:cstheme="minorHAnsi"/>
          <w:bCs/>
          <w:szCs w:val="18"/>
          <w:lang w:val="en-GB"/>
        </w:rPr>
        <w:footnoteRef/>
      </w:r>
      <w:r w:rsidRPr="00773CE9">
        <w:rPr>
          <w:rStyle w:val="FootnoteReference"/>
          <w:rFonts w:cstheme="minorHAnsi"/>
          <w:szCs w:val="18"/>
          <w:lang w:val="en-GB"/>
        </w:rPr>
        <w:t xml:space="preserve"> </w:t>
      </w:r>
      <w:r w:rsidRPr="00773CE9">
        <w:rPr>
          <w:rFonts w:cstheme="minorHAnsi"/>
          <w:bCs/>
          <w:szCs w:val="18"/>
          <w:lang w:val="en-GB"/>
        </w:rPr>
        <w:t xml:space="preserve">See </w:t>
      </w:r>
      <w:r w:rsidR="00000000">
        <w:fldChar w:fldCharType="begin"/>
      </w:r>
      <w:r w:rsidR="00000000" w:rsidRPr="005751D1">
        <w:rPr>
          <w:lang w:val="en-GB"/>
        </w:rPr>
        <w:instrText>HYPERLINK "https://rm.coe.int/16804b2cf3"</w:instrText>
      </w:r>
      <w:r w:rsidR="00000000">
        <w:fldChar w:fldCharType="separate"/>
      </w:r>
      <w:r w:rsidRPr="00482D55">
        <w:rPr>
          <w:rStyle w:val="Hyperlink"/>
          <w:rFonts w:cstheme="minorHAnsi"/>
          <w:bCs/>
          <w:szCs w:val="18"/>
          <w:lang w:val="en-GB"/>
        </w:rPr>
        <w:t>Guidelines of the Committee of Ministers of the Council of Europe on child friendly justice</w:t>
      </w:r>
      <w:r w:rsidR="00000000">
        <w:rPr>
          <w:rStyle w:val="Hyperlink"/>
          <w:rFonts w:cstheme="minorHAnsi"/>
          <w:bCs/>
          <w:szCs w:val="18"/>
          <w:lang w:val="en-GB"/>
        </w:rPr>
        <w:fldChar w:fldCharType="end"/>
      </w:r>
      <w:r w:rsidRPr="00773CE9">
        <w:rPr>
          <w:rFonts w:cstheme="minorHAnsi"/>
          <w:bCs/>
          <w:szCs w:val="18"/>
          <w:lang w:val="en-GB"/>
        </w:rPr>
        <w:t>, adopted by the Committee of Ministers on 17 November 2010.</w:t>
      </w:r>
    </w:p>
  </w:footnote>
  <w:footnote w:id="16">
    <w:p w14:paraId="58A9A7D9" w14:textId="77777777" w:rsidR="004A5AEE" w:rsidRPr="00773CE9" w:rsidRDefault="004A5AEE" w:rsidP="004A5AEE">
      <w:pPr>
        <w:pStyle w:val="FootnoteText"/>
        <w:rPr>
          <w:rFonts w:cstheme="minorHAnsi"/>
          <w:b/>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GIHR, </w:t>
      </w:r>
      <w:r w:rsidR="00000000">
        <w:fldChar w:fldCharType="begin"/>
      </w:r>
      <w:r w:rsidR="00000000" w:rsidRPr="005751D1">
        <w:rPr>
          <w:lang w:val="en-GB"/>
        </w:rPr>
        <w:instrText>HYPERLINK "https://tbinternet.ohchr.org/_layouts/15/treatybodyexternal/Download.aspx?symbolno=CRC%2FC%2FDEU%2FQ%2F5-6&amp;Lang=en"</w:instrText>
      </w:r>
      <w:r w:rsidR="00000000">
        <w:fldChar w:fldCharType="separate"/>
      </w:r>
      <w:r w:rsidRPr="00482D55">
        <w:rPr>
          <w:rStyle w:val="Hyperlink"/>
          <w:rFonts w:cstheme="minorHAnsi"/>
          <w:szCs w:val="18"/>
          <w:lang w:val="en-GB"/>
        </w:rPr>
        <w:t>List of Issues submitted by the National CRC Monitoring Mechanism</w:t>
      </w:r>
      <w:r w:rsidR="00000000">
        <w:rPr>
          <w:rStyle w:val="Hyperlink"/>
          <w:rFonts w:cstheme="minorHAnsi"/>
          <w:szCs w:val="18"/>
          <w:lang w:val="en-GB"/>
        </w:rPr>
        <w:fldChar w:fldCharType="end"/>
      </w:r>
      <w:r w:rsidRPr="00773CE9">
        <w:rPr>
          <w:rFonts w:cstheme="minorHAnsi"/>
          <w:szCs w:val="18"/>
          <w:lang w:val="en-GB"/>
        </w:rPr>
        <w:t>, 11 February 2021.</w:t>
      </w:r>
    </w:p>
  </w:footnote>
  <w:footnote w:id="17">
    <w:p w14:paraId="7F991355" w14:textId="77777777" w:rsidR="004A5AEE" w:rsidRPr="00773CE9" w:rsidRDefault="004A5AEE" w:rsidP="004A5AEE">
      <w:pPr>
        <w:pStyle w:val="FootnoteText"/>
        <w:rPr>
          <w:rFonts w:cstheme="minorHAnsi"/>
          <w:b/>
          <w:bCs/>
          <w:i/>
          <w:i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Deutscher Bundestag, Press release, </w:t>
      </w:r>
      <w:r w:rsidR="00000000">
        <w:fldChar w:fldCharType="begin"/>
      </w:r>
      <w:r w:rsidR="00000000" w:rsidRPr="005751D1">
        <w:rPr>
          <w:lang w:val="en-GB"/>
        </w:rPr>
        <w:instrText>HYPERLINK "https://www.bundestag.de/dokumente/textarchiv/2022/kw45-de-europawahlgesetz-917458" \l ":~:text=Das%20Mindestwahlalter%20f%C3%BCr%20das%20aktive,auf%2016%20Jahre%20abgesenkt%20werden."</w:instrText>
      </w:r>
      <w:r w:rsidR="00000000">
        <w:fldChar w:fldCharType="separate"/>
      </w:r>
      <w:proofErr w:type="spellStart"/>
      <w:r w:rsidRPr="00482D55">
        <w:rPr>
          <w:rStyle w:val="Hyperlink"/>
          <w:rFonts w:cstheme="minorHAnsi"/>
          <w:bCs/>
          <w:i/>
          <w:iCs/>
          <w:szCs w:val="18"/>
          <w:lang w:val="en-GB"/>
        </w:rPr>
        <w:t>Wahlalter</w:t>
      </w:r>
      <w:proofErr w:type="spellEnd"/>
      <w:r w:rsidRPr="00482D55">
        <w:rPr>
          <w:rStyle w:val="Hyperlink"/>
          <w:rFonts w:cstheme="minorHAnsi"/>
          <w:bCs/>
          <w:i/>
          <w:iCs/>
          <w:szCs w:val="18"/>
          <w:lang w:val="en-GB"/>
        </w:rPr>
        <w:t xml:space="preserve"> </w:t>
      </w:r>
      <w:proofErr w:type="spellStart"/>
      <w:r w:rsidRPr="00482D55">
        <w:rPr>
          <w:rStyle w:val="Hyperlink"/>
          <w:rFonts w:cstheme="minorHAnsi"/>
          <w:bCs/>
          <w:i/>
          <w:iCs/>
          <w:szCs w:val="18"/>
          <w:lang w:val="en-GB"/>
        </w:rPr>
        <w:t>bei</w:t>
      </w:r>
      <w:proofErr w:type="spellEnd"/>
      <w:r w:rsidRPr="00482D55">
        <w:rPr>
          <w:rStyle w:val="Hyperlink"/>
          <w:rFonts w:cstheme="minorHAnsi"/>
          <w:bCs/>
          <w:i/>
          <w:iCs/>
          <w:szCs w:val="18"/>
          <w:lang w:val="en-GB"/>
        </w:rPr>
        <w:t xml:space="preserve"> </w:t>
      </w:r>
      <w:proofErr w:type="spellStart"/>
      <w:r w:rsidRPr="00482D55">
        <w:rPr>
          <w:rStyle w:val="Hyperlink"/>
          <w:rFonts w:cstheme="minorHAnsi"/>
          <w:bCs/>
          <w:i/>
          <w:iCs/>
          <w:szCs w:val="18"/>
          <w:lang w:val="en-GB"/>
        </w:rPr>
        <w:t>Europawahl</w:t>
      </w:r>
      <w:proofErr w:type="spellEnd"/>
      <w:r w:rsidRPr="00482D55">
        <w:rPr>
          <w:rStyle w:val="Hyperlink"/>
          <w:rFonts w:cstheme="minorHAnsi"/>
          <w:bCs/>
          <w:i/>
          <w:iCs/>
          <w:szCs w:val="18"/>
          <w:lang w:val="en-GB"/>
        </w:rPr>
        <w:t xml:space="preserve"> auf 16 Jahre </w:t>
      </w:r>
      <w:proofErr w:type="spellStart"/>
      <w:r w:rsidRPr="00482D55">
        <w:rPr>
          <w:rStyle w:val="Hyperlink"/>
          <w:rFonts w:cstheme="minorHAnsi"/>
          <w:bCs/>
          <w:i/>
          <w:iCs/>
          <w:szCs w:val="18"/>
          <w:lang w:val="en-GB"/>
        </w:rPr>
        <w:t>abgesenkt</w:t>
      </w:r>
      <w:proofErr w:type="spellEnd"/>
      <w:r w:rsidR="00000000">
        <w:rPr>
          <w:rStyle w:val="Hyperlink"/>
          <w:rFonts w:cstheme="minorHAnsi"/>
          <w:bCs/>
          <w:i/>
          <w:iCs/>
          <w:szCs w:val="18"/>
          <w:lang w:val="en-GB"/>
        </w:rPr>
        <w:fldChar w:fldCharType="end"/>
      </w:r>
      <w:r w:rsidRPr="00773CE9">
        <w:rPr>
          <w:rFonts w:cstheme="minorHAnsi"/>
          <w:bCs/>
          <w:szCs w:val="18"/>
          <w:lang w:val="en-GB"/>
        </w:rPr>
        <w:t>, 10 November 2022.</w:t>
      </w:r>
    </w:p>
  </w:footnote>
  <w:footnote w:id="18">
    <w:p w14:paraId="2E87AC79" w14:textId="77777777" w:rsidR="004A5AEE" w:rsidRPr="00BD4EC0" w:rsidRDefault="004A5AEE" w:rsidP="004A5AEE">
      <w:pPr>
        <w:pStyle w:val="FootnoteText"/>
        <w:rPr>
          <w:lang w:val="en-GB"/>
        </w:rPr>
      </w:pPr>
      <w:r>
        <w:rPr>
          <w:rStyle w:val="FootnoteReference"/>
        </w:rPr>
        <w:footnoteRef/>
      </w:r>
      <w:r w:rsidRPr="00D90B39">
        <w:rPr>
          <w:lang w:val="en-US"/>
        </w:rPr>
        <w:t xml:space="preserve"> </w:t>
      </w:r>
      <w:r>
        <w:rPr>
          <w:lang w:val="en-GB"/>
        </w:rPr>
        <w:t xml:space="preserve">See </w:t>
      </w:r>
      <w:r w:rsidR="00000000">
        <w:fldChar w:fldCharType="begin"/>
      </w:r>
      <w:r w:rsidR="00000000" w:rsidRPr="005751D1">
        <w:rPr>
          <w:lang w:val="en-GB"/>
        </w:rPr>
        <w:instrText>HYPERLINK "https://www.rbb24.de/politik/beitrag/2023/12/berlin-wahlalter-16-jahre-verfassung-aenderung-abgeordnetenhaus.html"</w:instrText>
      </w:r>
      <w:r w:rsidR="00000000">
        <w:fldChar w:fldCharType="separate"/>
      </w:r>
      <w:proofErr w:type="spellStart"/>
      <w:r w:rsidRPr="00482D55">
        <w:rPr>
          <w:rStyle w:val="Hyperlink"/>
          <w:i/>
          <w:iCs/>
          <w:lang w:val="en-GB"/>
        </w:rPr>
        <w:t>Wahlalter</w:t>
      </w:r>
      <w:proofErr w:type="spellEnd"/>
      <w:r w:rsidRPr="00482D55">
        <w:rPr>
          <w:rStyle w:val="Hyperlink"/>
          <w:i/>
          <w:iCs/>
          <w:lang w:val="en-GB"/>
        </w:rPr>
        <w:t xml:space="preserve"> f</w:t>
      </w:r>
      <w:r w:rsidRPr="00482D55">
        <w:rPr>
          <w:rStyle w:val="Hyperlink"/>
          <w:rFonts w:cs="Calibri"/>
          <w:i/>
          <w:iCs/>
          <w:lang w:val="en-GB"/>
        </w:rPr>
        <w:t>ü</w:t>
      </w:r>
      <w:r w:rsidRPr="00482D55">
        <w:rPr>
          <w:rStyle w:val="Hyperlink"/>
          <w:i/>
          <w:iCs/>
          <w:lang w:val="en-GB"/>
        </w:rPr>
        <w:t xml:space="preserve">r Berliner </w:t>
      </w:r>
      <w:proofErr w:type="spellStart"/>
      <w:r w:rsidRPr="00482D55">
        <w:rPr>
          <w:rStyle w:val="Hyperlink"/>
          <w:i/>
          <w:iCs/>
          <w:lang w:val="en-GB"/>
        </w:rPr>
        <w:t>Landesparlament</w:t>
      </w:r>
      <w:proofErr w:type="spellEnd"/>
      <w:r w:rsidRPr="00482D55">
        <w:rPr>
          <w:rStyle w:val="Hyperlink"/>
          <w:i/>
          <w:iCs/>
          <w:lang w:val="en-GB"/>
        </w:rPr>
        <w:t xml:space="preserve"> </w:t>
      </w:r>
      <w:proofErr w:type="spellStart"/>
      <w:r w:rsidRPr="00482D55">
        <w:rPr>
          <w:rStyle w:val="Hyperlink"/>
          <w:i/>
          <w:iCs/>
          <w:lang w:val="en-GB"/>
        </w:rPr>
        <w:t>wird</w:t>
      </w:r>
      <w:proofErr w:type="spellEnd"/>
      <w:r w:rsidRPr="00482D55">
        <w:rPr>
          <w:rStyle w:val="Hyperlink"/>
          <w:i/>
          <w:iCs/>
          <w:lang w:val="en-GB"/>
        </w:rPr>
        <w:t xml:space="preserve"> auf 16 Jahre </w:t>
      </w:r>
      <w:proofErr w:type="spellStart"/>
      <w:r w:rsidRPr="00482D55">
        <w:rPr>
          <w:rStyle w:val="Hyperlink"/>
          <w:i/>
          <w:iCs/>
          <w:lang w:val="en-GB"/>
        </w:rPr>
        <w:t>gesenkt</w:t>
      </w:r>
      <w:proofErr w:type="spellEnd"/>
      <w:r w:rsidR="00000000">
        <w:rPr>
          <w:rStyle w:val="Hyperlink"/>
          <w:i/>
          <w:iCs/>
          <w:lang w:val="en-GB"/>
        </w:rPr>
        <w:fldChar w:fldCharType="end"/>
      </w:r>
      <w:r>
        <w:rPr>
          <w:i/>
          <w:iCs/>
          <w:lang w:val="en-GB"/>
        </w:rPr>
        <w:t xml:space="preserve">, </w:t>
      </w:r>
      <w:r>
        <w:rPr>
          <w:lang w:val="en-GB"/>
        </w:rPr>
        <w:t xml:space="preserve">14 December 2023. </w:t>
      </w:r>
    </w:p>
  </w:footnote>
  <w:footnote w:id="19">
    <w:p w14:paraId="25F07CE5"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proofErr w:type="spellStart"/>
      <w:r w:rsidRPr="00773CE9">
        <w:rPr>
          <w:rFonts w:cstheme="minorHAnsi"/>
          <w:bCs/>
          <w:szCs w:val="18"/>
          <w:lang w:val="en-GB"/>
        </w:rPr>
        <w:t>Gesetz</w:t>
      </w:r>
      <w:proofErr w:type="spellEnd"/>
      <w:r w:rsidRPr="00773CE9">
        <w:rPr>
          <w:rFonts w:cstheme="minorHAnsi"/>
          <w:bCs/>
          <w:szCs w:val="18"/>
          <w:lang w:val="en-GB"/>
        </w:rPr>
        <w:t xml:space="preserve"> </w:t>
      </w:r>
      <w:proofErr w:type="spellStart"/>
      <w:r w:rsidRPr="00773CE9">
        <w:rPr>
          <w:rFonts w:cstheme="minorHAnsi"/>
          <w:bCs/>
          <w:szCs w:val="18"/>
          <w:lang w:val="en-GB"/>
        </w:rPr>
        <w:t>zur</w:t>
      </w:r>
      <w:proofErr w:type="spellEnd"/>
      <w:r w:rsidRPr="00773CE9">
        <w:rPr>
          <w:rFonts w:cstheme="minorHAnsi"/>
          <w:bCs/>
          <w:szCs w:val="18"/>
          <w:lang w:val="en-GB"/>
        </w:rPr>
        <w:t xml:space="preserve"> </w:t>
      </w:r>
      <w:proofErr w:type="spellStart"/>
      <w:r w:rsidRPr="00773CE9">
        <w:rPr>
          <w:rFonts w:cstheme="minorHAnsi"/>
          <w:bCs/>
          <w:szCs w:val="18"/>
          <w:lang w:val="en-GB"/>
        </w:rPr>
        <w:t>Stärkung</w:t>
      </w:r>
      <w:proofErr w:type="spellEnd"/>
      <w:r w:rsidRPr="00773CE9">
        <w:rPr>
          <w:rFonts w:cstheme="minorHAnsi"/>
          <w:bCs/>
          <w:szCs w:val="18"/>
          <w:lang w:val="en-GB"/>
        </w:rPr>
        <w:t xml:space="preserve"> von </w:t>
      </w:r>
      <w:proofErr w:type="spellStart"/>
      <w:r w:rsidRPr="00773CE9">
        <w:rPr>
          <w:rFonts w:cstheme="minorHAnsi"/>
          <w:bCs/>
          <w:szCs w:val="18"/>
          <w:lang w:val="en-GB"/>
        </w:rPr>
        <w:t>Kindern</w:t>
      </w:r>
      <w:proofErr w:type="spellEnd"/>
      <w:r w:rsidRPr="00773CE9">
        <w:rPr>
          <w:rFonts w:cstheme="minorHAnsi"/>
          <w:bCs/>
          <w:szCs w:val="18"/>
          <w:lang w:val="en-GB"/>
        </w:rPr>
        <w:t xml:space="preserve"> und </w:t>
      </w:r>
      <w:proofErr w:type="spellStart"/>
      <w:r w:rsidRPr="00773CE9">
        <w:rPr>
          <w:rFonts w:cstheme="minorHAnsi"/>
          <w:bCs/>
          <w:szCs w:val="18"/>
          <w:lang w:val="en-GB"/>
        </w:rPr>
        <w:t>Jugendlichen</w:t>
      </w:r>
      <w:proofErr w:type="spellEnd"/>
      <w:r w:rsidRPr="00773CE9">
        <w:rPr>
          <w:rFonts w:cstheme="minorHAnsi"/>
          <w:bCs/>
          <w:szCs w:val="18"/>
          <w:lang w:val="en-GB"/>
        </w:rPr>
        <w:t xml:space="preserve"> (</w:t>
      </w:r>
      <w:r w:rsidR="00000000">
        <w:fldChar w:fldCharType="begin"/>
      </w:r>
      <w:r w:rsidR="00000000" w:rsidRPr="005751D1">
        <w:rPr>
          <w:lang w:val="en-GB"/>
        </w:rPr>
        <w:instrText>HYPERLINK "https://www.bmfsfj.de/bmfsfj/service/gesetze/neues-kinder-und-jugendstaerkungsgesetz-162860"</w:instrText>
      </w:r>
      <w:r w:rsidR="00000000">
        <w:fldChar w:fldCharType="separate"/>
      </w:r>
      <w:r w:rsidRPr="00482D55">
        <w:rPr>
          <w:rStyle w:val="Hyperlink"/>
          <w:rFonts w:cstheme="minorHAnsi"/>
          <w:bCs/>
          <w:szCs w:val="18"/>
          <w:lang w:val="en-GB"/>
        </w:rPr>
        <w:t xml:space="preserve">Kinder- und </w:t>
      </w:r>
      <w:proofErr w:type="spellStart"/>
      <w:r w:rsidRPr="00482D55">
        <w:rPr>
          <w:rStyle w:val="Hyperlink"/>
          <w:rFonts w:cstheme="minorHAnsi"/>
          <w:bCs/>
          <w:szCs w:val="18"/>
          <w:lang w:val="en-GB"/>
        </w:rPr>
        <w:t>Jugendstärkungsgesetz</w:t>
      </w:r>
      <w:proofErr w:type="spellEnd"/>
      <w:r w:rsidRPr="00482D55">
        <w:rPr>
          <w:rStyle w:val="Hyperlink"/>
          <w:rFonts w:cstheme="minorHAnsi"/>
          <w:bCs/>
          <w:szCs w:val="18"/>
          <w:lang w:val="en-GB"/>
        </w:rPr>
        <w:t xml:space="preserve"> - KJSG</w:t>
      </w:r>
      <w:r w:rsidR="00000000">
        <w:rPr>
          <w:rStyle w:val="Hyperlink"/>
          <w:rFonts w:cstheme="minorHAnsi"/>
          <w:bCs/>
          <w:szCs w:val="18"/>
          <w:lang w:val="en-GB"/>
        </w:rPr>
        <w:fldChar w:fldCharType="end"/>
      </w:r>
      <w:r w:rsidRPr="00773CE9">
        <w:rPr>
          <w:rFonts w:cstheme="minorHAnsi"/>
          <w:bCs/>
          <w:szCs w:val="18"/>
          <w:lang w:val="en-GB"/>
        </w:rPr>
        <w:t>), adopted 15 June 2021.</w:t>
      </w:r>
    </w:p>
  </w:footnote>
  <w:footnote w:id="20">
    <w:p w14:paraId="15F415FD" w14:textId="77777777" w:rsidR="004A5AEE" w:rsidRPr="00E7025C" w:rsidRDefault="004A5AEE" w:rsidP="004A5AEE">
      <w:pPr>
        <w:pStyle w:val="FootnoteText"/>
        <w:rPr>
          <w:lang w:val="en-GB"/>
        </w:rPr>
      </w:pPr>
      <w:r>
        <w:rPr>
          <w:rStyle w:val="FootnoteReference"/>
        </w:rPr>
        <w:footnoteRef/>
      </w:r>
      <w:r w:rsidRPr="00D90B39">
        <w:rPr>
          <w:lang w:val="en-US"/>
        </w:rPr>
        <w:t xml:space="preserve"> </w:t>
      </w:r>
      <w:r w:rsidRPr="00773CE9">
        <w:rPr>
          <w:rFonts w:cstheme="minorHAnsi"/>
          <w:szCs w:val="18"/>
          <w:lang w:val="en-GB"/>
        </w:rPr>
        <w:t xml:space="preserve">See </w:t>
      </w:r>
      <w:r>
        <w:rPr>
          <w:rFonts w:cstheme="minorHAnsi"/>
          <w:szCs w:val="18"/>
          <w:lang w:val="en-GB"/>
        </w:rPr>
        <w:t xml:space="preserve">also </w:t>
      </w:r>
      <w:r w:rsidR="00000000">
        <w:fldChar w:fldCharType="begin"/>
      </w:r>
      <w:r w:rsidR="00000000" w:rsidRPr="005751D1">
        <w:rPr>
          <w:lang w:val="en-GB"/>
        </w:rPr>
        <w:instrText>HYPERLINK "https://tbinternet.ohchr.org/_layouts/15/treatybodyexternal/Download.aspx?symbolno=INT%2FCRC%2FIFN%2FDEU%2F43729&amp;Lang=en"</w:instrText>
      </w:r>
      <w:r w:rsidR="00000000">
        <w:fldChar w:fldCharType="separate"/>
      </w:r>
      <w:r w:rsidRPr="00946F50">
        <w:rPr>
          <w:rStyle w:val="Hyperlink"/>
          <w:rFonts w:cstheme="minorHAnsi"/>
          <w:szCs w:val="18"/>
          <w:lang w:val="en-GB"/>
        </w:rPr>
        <w:t>the Parallel Report submitted by the National CRC Monitoring Mechanism</w:t>
      </w:r>
      <w:r w:rsidR="00000000">
        <w:rPr>
          <w:rStyle w:val="Hyperlink"/>
          <w:rFonts w:cstheme="minorHAnsi"/>
          <w:szCs w:val="18"/>
          <w:lang w:val="en-GB"/>
        </w:rPr>
        <w:fldChar w:fldCharType="end"/>
      </w:r>
      <w:r>
        <w:rPr>
          <w:rFonts w:cstheme="minorHAnsi"/>
          <w:szCs w:val="18"/>
          <w:lang w:val="en-GB"/>
        </w:rPr>
        <w:t xml:space="preserve"> to the</w:t>
      </w:r>
      <w:r>
        <w:rPr>
          <w:rFonts w:ascii="CorporateS-Regular" w:hAnsi="CorporateS-Regular" w:cs="CorporateS-Regular"/>
          <w:color w:val="7A6857"/>
          <w:sz w:val="28"/>
          <w:szCs w:val="28"/>
          <w:lang w:val="en-GB"/>
        </w:rPr>
        <w:t xml:space="preserve"> </w:t>
      </w:r>
      <w:r w:rsidRPr="00E7025C">
        <w:rPr>
          <w:rFonts w:cstheme="minorHAnsi"/>
          <w:szCs w:val="18"/>
          <w:lang w:val="en-GB"/>
        </w:rPr>
        <w:t>Committee on the Rights of the Child</w:t>
      </w:r>
      <w:r>
        <w:rPr>
          <w:rFonts w:cstheme="minorHAnsi"/>
          <w:szCs w:val="18"/>
          <w:lang w:val="en-GB"/>
        </w:rPr>
        <w:t xml:space="preserve"> </w:t>
      </w:r>
      <w:r w:rsidRPr="00E7025C">
        <w:rPr>
          <w:rFonts w:cstheme="minorHAnsi"/>
          <w:szCs w:val="18"/>
          <w:lang w:val="en-GB"/>
        </w:rPr>
        <w:t>on the Combined 5th and 6th Periodic Reports</w:t>
      </w:r>
      <w:r>
        <w:rPr>
          <w:rFonts w:cstheme="minorHAnsi"/>
          <w:szCs w:val="18"/>
          <w:lang w:val="en-GB"/>
        </w:rPr>
        <w:t xml:space="preserve"> </w:t>
      </w:r>
      <w:r w:rsidRPr="00E7025C">
        <w:rPr>
          <w:rFonts w:cstheme="minorHAnsi"/>
          <w:szCs w:val="18"/>
          <w:lang w:val="en-GB"/>
        </w:rPr>
        <w:t>of the Federal Republic of Germany</w:t>
      </w:r>
      <w:r>
        <w:rPr>
          <w:rFonts w:cstheme="minorHAnsi"/>
          <w:szCs w:val="18"/>
          <w:lang w:val="en-GB"/>
        </w:rPr>
        <w:t>, October 2020.</w:t>
      </w:r>
    </w:p>
  </w:footnote>
  <w:footnote w:id="21">
    <w:p w14:paraId="4FFC589C" w14:textId="77777777" w:rsidR="004A5AEE" w:rsidRPr="00773CE9" w:rsidRDefault="004A5AEE" w:rsidP="004A5AEE">
      <w:pPr>
        <w:pStyle w:val="FootnoteText"/>
        <w:rPr>
          <w:rFonts w:cstheme="minorHAnsi"/>
          <w:b/>
          <w:bCs/>
          <w:szCs w:val="18"/>
          <w:lang w:val="en-GB"/>
        </w:rPr>
      </w:pPr>
      <w:r w:rsidRPr="00773CE9">
        <w:rPr>
          <w:rStyle w:val="FootnoteReference"/>
          <w:rFonts w:cstheme="minorHAnsi"/>
          <w:szCs w:val="18"/>
          <w:lang w:val="en-GB"/>
        </w:rPr>
        <w:footnoteRef/>
      </w:r>
      <w:r>
        <w:rPr>
          <w:rFonts w:cstheme="minorHAnsi"/>
          <w:szCs w:val="18"/>
          <w:lang w:val="en-GB"/>
        </w:rPr>
        <w:t xml:space="preserve"> </w:t>
      </w:r>
      <w:r w:rsidRPr="00D4136E">
        <w:rPr>
          <w:rFonts w:cstheme="minorHAnsi"/>
          <w:szCs w:val="18"/>
          <w:lang w:val="en-GB"/>
        </w:rPr>
        <w:t xml:space="preserve">See </w:t>
      </w:r>
      <w:r w:rsidR="00000000">
        <w:fldChar w:fldCharType="begin"/>
      </w:r>
      <w:r w:rsidR="00000000" w:rsidRPr="005751D1">
        <w:rPr>
          <w:lang w:val="en-GB"/>
        </w:rPr>
        <w:instrText>HYPERLINK "https://tbinternet.ohchr.org/_layouts/15/treatybodyexternal/Download.aspx?symbolno=INT%2FCRC%2FNGO%2FDEU%2F44342&amp;Lang=en"</w:instrText>
      </w:r>
      <w:r w:rsidR="00000000">
        <w:fldChar w:fldCharType="separate"/>
      </w:r>
      <w:r w:rsidRPr="00D4136E">
        <w:rPr>
          <w:rStyle w:val="Hyperlink"/>
          <w:rFonts w:cstheme="minorHAnsi"/>
          <w:bCs/>
          <w:szCs w:val="18"/>
          <w:lang w:val="en-GB"/>
        </w:rPr>
        <w:t xml:space="preserve">National </w:t>
      </w:r>
      <w:proofErr w:type="spellStart"/>
      <w:r w:rsidRPr="00D4136E">
        <w:rPr>
          <w:rStyle w:val="Hyperlink"/>
          <w:rFonts w:cstheme="minorHAnsi"/>
          <w:bCs/>
          <w:szCs w:val="18"/>
          <w:lang w:val="en-GB"/>
        </w:rPr>
        <w:t>Coalition_NGO</w:t>
      </w:r>
      <w:proofErr w:type="spellEnd"/>
      <w:r w:rsidRPr="00D4136E">
        <w:rPr>
          <w:rStyle w:val="Hyperlink"/>
          <w:rFonts w:cstheme="minorHAnsi"/>
          <w:bCs/>
          <w:szCs w:val="18"/>
          <w:lang w:val="en-GB"/>
        </w:rPr>
        <w:t xml:space="preserve"> Germany</w:t>
      </w:r>
      <w:r w:rsidR="00000000">
        <w:rPr>
          <w:rStyle w:val="Hyperlink"/>
          <w:rFonts w:cstheme="minorHAnsi"/>
          <w:bCs/>
          <w:szCs w:val="18"/>
          <w:lang w:val="en-GB"/>
        </w:rPr>
        <w:fldChar w:fldCharType="end"/>
      </w:r>
      <w:r w:rsidRPr="00D4136E">
        <w:rPr>
          <w:rStyle w:val="Hyperlink"/>
          <w:rFonts w:cstheme="minorHAnsi"/>
          <w:bCs/>
          <w:szCs w:val="18"/>
          <w:lang w:val="en-GB"/>
        </w:rPr>
        <w:t xml:space="preserve"> Written Supplement</w:t>
      </w:r>
      <w:r w:rsidRPr="00D4136E">
        <w:rPr>
          <w:rFonts w:cstheme="minorHAnsi"/>
          <w:bCs/>
          <w:szCs w:val="18"/>
          <w:lang w:val="en-GB"/>
        </w:rPr>
        <w:t xml:space="preserve"> (8 February 2021 - 12 February 2021).</w:t>
      </w:r>
      <w:r w:rsidRPr="00773CE9">
        <w:rPr>
          <w:rFonts w:cstheme="minorHAnsi"/>
          <w:bCs/>
          <w:szCs w:val="18"/>
          <w:lang w:val="en-GB"/>
        </w:rPr>
        <w:t xml:space="preserve"> </w:t>
      </w:r>
      <w:r w:rsidRPr="00E03441">
        <w:rPr>
          <w:rFonts w:asciiTheme="minorHAnsi" w:hAnsiTheme="minorHAnsi" w:cstheme="minorHAnsi"/>
          <w:lang w:val="en-GB"/>
        </w:rPr>
        <w:t xml:space="preserve">According to a UNICEF study, optimism and general satisfaction among children and young people in Germany decreased substantially in 2022, making Germany one of the EU countries with the lowest satisfaction rate. The report suggests that this may be linked to a lack of regard for the concerns of young people in public debate. </w:t>
      </w:r>
      <w:r w:rsidRPr="00E03441">
        <w:rPr>
          <w:lang w:val="en-GB"/>
        </w:rPr>
        <w:t xml:space="preserve">See </w:t>
      </w:r>
      <w:r w:rsidR="00000000">
        <w:fldChar w:fldCharType="begin"/>
      </w:r>
      <w:r w:rsidR="00000000" w:rsidRPr="005751D1">
        <w:rPr>
          <w:lang w:val="en-GB"/>
        </w:rPr>
        <w:instrText>HYPERLINK "https://www.unicef.de/_cae/resource/blob/339326/ae9e86519028efb77e1a35f561ec4d9b/unicef-studie-ein-versprechen-an-die-jugend-sperrfrist-14-9-11-uhr-data.pdf"</w:instrText>
      </w:r>
      <w:r w:rsidR="00000000">
        <w:fldChar w:fldCharType="separate"/>
      </w:r>
      <w:r w:rsidRPr="00E03441">
        <w:rPr>
          <w:rStyle w:val="Hyperlink"/>
          <w:i/>
          <w:iCs/>
          <w:lang w:val="en-GB"/>
        </w:rPr>
        <w:t xml:space="preserve">Ein </w:t>
      </w:r>
      <w:proofErr w:type="spellStart"/>
      <w:r w:rsidRPr="00E03441">
        <w:rPr>
          <w:rStyle w:val="Hyperlink"/>
          <w:i/>
          <w:iCs/>
          <w:lang w:val="en-GB"/>
        </w:rPr>
        <w:t>Versprechen</w:t>
      </w:r>
      <w:proofErr w:type="spellEnd"/>
      <w:r w:rsidRPr="00E03441">
        <w:rPr>
          <w:rStyle w:val="Hyperlink"/>
          <w:i/>
          <w:iCs/>
          <w:lang w:val="en-GB"/>
        </w:rPr>
        <w:t xml:space="preserve"> an die </w:t>
      </w:r>
      <w:proofErr w:type="spellStart"/>
      <w:r w:rsidRPr="00E03441">
        <w:rPr>
          <w:rStyle w:val="Hyperlink"/>
          <w:i/>
          <w:iCs/>
          <w:lang w:val="en-GB"/>
        </w:rPr>
        <w:t>Jugend</w:t>
      </w:r>
      <w:proofErr w:type="spellEnd"/>
      <w:r w:rsidR="00000000">
        <w:rPr>
          <w:rStyle w:val="Hyperlink"/>
          <w:i/>
          <w:iCs/>
          <w:lang w:val="en-GB"/>
        </w:rPr>
        <w:fldChar w:fldCharType="end"/>
      </w:r>
      <w:r w:rsidRPr="00E03441">
        <w:rPr>
          <w:i/>
          <w:iCs/>
          <w:lang w:val="en-GB"/>
        </w:rPr>
        <w:t xml:space="preserve">, </w:t>
      </w:r>
      <w:r w:rsidRPr="00E03441">
        <w:rPr>
          <w:lang w:val="en-GB"/>
        </w:rPr>
        <w:t>UNICEF Report</w:t>
      </w:r>
      <w:r w:rsidRPr="00DA4818">
        <w:rPr>
          <w:lang w:val="en-US"/>
        </w:rPr>
        <w:t xml:space="preserve"> on the situation of children in Germany 2023, UNICEF Germany, September 2023</w:t>
      </w:r>
      <w:r>
        <w:rPr>
          <w:lang w:val="en-US"/>
        </w:rPr>
        <w:t>.</w:t>
      </w:r>
    </w:p>
  </w:footnote>
  <w:footnote w:id="22">
    <w:p w14:paraId="1EE04060" w14:textId="77777777" w:rsidR="004A5AEE" w:rsidRPr="00773CE9" w:rsidRDefault="004A5AEE" w:rsidP="004A5AEE">
      <w:pPr>
        <w:pStyle w:val="FootnoteText"/>
        <w:rPr>
          <w:rFonts w:cstheme="minorHAnsi"/>
          <w:b/>
          <w:bCs/>
          <w:i/>
          <w:i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r w:rsidR="00000000">
        <w:fldChar w:fldCharType="begin"/>
      </w:r>
      <w:r w:rsidR="00000000" w:rsidRPr="005751D1">
        <w:rPr>
          <w:lang w:val="en-GB"/>
        </w:rPr>
        <w:instrText>HYPERLINK "https://www.institut-fuer-menschenrechte.de/publikationen/detail/zwangsmassnahmen-in-der-kinder-und-jugendhilfe" \l ":~:text=Eine%20kinderrechtliche%20Perspektive&amp;text=Die%20UN%2DKinderrechtskonvention%20statuiert%2C%20dass,k%C3%BCrzeste%20angemessene%20Zeit%20vorgenommen%20werden."</w:instrText>
      </w:r>
      <w:r w:rsidR="00000000">
        <w:fldChar w:fldCharType="separate"/>
      </w:r>
      <w:proofErr w:type="spellStart"/>
      <w:r w:rsidRPr="00946F50">
        <w:rPr>
          <w:rStyle w:val="Hyperlink"/>
          <w:rFonts w:cstheme="minorHAnsi"/>
          <w:bCs/>
          <w:i/>
          <w:iCs/>
          <w:szCs w:val="18"/>
          <w:lang w:val="en-GB"/>
        </w:rPr>
        <w:t>Zwangsmaßnahmen</w:t>
      </w:r>
      <w:proofErr w:type="spellEnd"/>
      <w:r w:rsidRPr="00946F50">
        <w:rPr>
          <w:rStyle w:val="Hyperlink"/>
          <w:rFonts w:cstheme="minorHAnsi"/>
          <w:bCs/>
          <w:i/>
          <w:iCs/>
          <w:szCs w:val="18"/>
          <w:lang w:val="en-GB"/>
        </w:rPr>
        <w:t xml:space="preserve"> in der Kinder- und </w:t>
      </w:r>
      <w:proofErr w:type="spellStart"/>
      <w:r w:rsidRPr="00946F50">
        <w:rPr>
          <w:rStyle w:val="Hyperlink"/>
          <w:rFonts w:cstheme="minorHAnsi"/>
          <w:bCs/>
          <w:i/>
          <w:iCs/>
          <w:szCs w:val="18"/>
          <w:lang w:val="en-GB"/>
        </w:rPr>
        <w:t>Jugendhilfe</w:t>
      </w:r>
      <w:proofErr w:type="spellEnd"/>
      <w:r w:rsidRPr="00946F50">
        <w:rPr>
          <w:rStyle w:val="Hyperlink"/>
          <w:rFonts w:cstheme="minorHAnsi"/>
          <w:bCs/>
          <w:i/>
          <w:iCs/>
          <w:szCs w:val="18"/>
          <w:lang w:val="en-GB"/>
        </w:rPr>
        <w:t xml:space="preserve"> - Eine </w:t>
      </w:r>
      <w:proofErr w:type="spellStart"/>
      <w:r w:rsidRPr="00946F50">
        <w:rPr>
          <w:rStyle w:val="Hyperlink"/>
          <w:rFonts w:cstheme="minorHAnsi"/>
          <w:bCs/>
          <w:i/>
          <w:iCs/>
          <w:szCs w:val="18"/>
          <w:lang w:val="en-GB"/>
        </w:rPr>
        <w:t>kinderrechtliche</w:t>
      </w:r>
      <w:proofErr w:type="spellEnd"/>
      <w:r w:rsidRPr="00946F50">
        <w:rPr>
          <w:rStyle w:val="Hyperlink"/>
          <w:rFonts w:cstheme="minorHAnsi"/>
          <w:bCs/>
          <w:i/>
          <w:iCs/>
          <w:szCs w:val="18"/>
          <w:lang w:val="en-GB"/>
        </w:rPr>
        <w:t xml:space="preserve"> </w:t>
      </w:r>
      <w:proofErr w:type="spellStart"/>
      <w:r w:rsidRPr="00946F50">
        <w:rPr>
          <w:rStyle w:val="Hyperlink"/>
          <w:rFonts w:cstheme="minorHAnsi"/>
          <w:bCs/>
          <w:i/>
          <w:iCs/>
          <w:szCs w:val="18"/>
          <w:lang w:val="en-GB"/>
        </w:rPr>
        <w:t>Perspektive</w:t>
      </w:r>
      <w:proofErr w:type="spellEnd"/>
      <w:r w:rsidR="00000000">
        <w:rPr>
          <w:rStyle w:val="Hyperlink"/>
          <w:rFonts w:cstheme="minorHAnsi"/>
          <w:bCs/>
          <w:i/>
          <w:iCs/>
          <w:szCs w:val="18"/>
          <w:lang w:val="en-GB"/>
        </w:rPr>
        <w:fldChar w:fldCharType="end"/>
      </w:r>
      <w:r w:rsidRPr="00773CE9">
        <w:rPr>
          <w:rFonts w:cstheme="minorHAnsi"/>
          <w:bCs/>
          <w:i/>
          <w:iCs/>
          <w:szCs w:val="18"/>
          <w:lang w:val="en-GB"/>
        </w:rPr>
        <w:t xml:space="preserve">, </w:t>
      </w:r>
      <w:r w:rsidRPr="00773CE9">
        <w:rPr>
          <w:rFonts w:cstheme="minorHAnsi"/>
          <w:bCs/>
          <w:szCs w:val="18"/>
          <w:lang w:val="en-GB"/>
        </w:rPr>
        <w:t>German Institute for Human Rights, May 2021.</w:t>
      </w:r>
    </w:p>
  </w:footnote>
  <w:footnote w:id="23">
    <w:p w14:paraId="1C126557" w14:textId="77777777" w:rsidR="004A5AEE" w:rsidRPr="00AD507E" w:rsidRDefault="004A5AEE" w:rsidP="004A5AEE">
      <w:pPr>
        <w:pStyle w:val="FootnoteText"/>
        <w:rPr>
          <w:lang w:val="en-GB"/>
        </w:rPr>
      </w:pPr>
      <w:r>
        <w:rPr>
          <w:rStyle w:val="FootnoteReference"/>
        </w:rPr>
        <w:footnoteRef/>
      </w:r>
      <w:r w:rsidRPr="00D90B39">
        <w:rPr>
          <w:lang w:val="en-US"/>
        </w:rPr>
        <w:t xml:space="preserve"> </w:t>
      </w:r>
      <w:r>
        <w:rPr>
          <w:lang w:val="en-GB"/>
        </w:rPr>
        <w:t>See CRC Concluding observations, above, footnote 12.</w:t>
      </w:r>
    </w:p>
  </w:footnote>
  <w:footnote w:id="24">
    <w:p w14:paraId="08C67281" w14:textId="77777777" w:rsidR="004A5AEE" w:rsidRPr="002A7D7D" w:rsidRDefault="004A5AEE" w:rsidP="004A5AEE">
      <w:pPr>
        <w:pStyle w:val="FootnoteText"/>
        <w:rPr>
          <w:lang w:val="en-GB"/>
        </w:rPr>
      </w:pPr>
      <w:r>
        <w:rPr>
          <w:rStyle w:val="FootnoteReference"/>
        </w:rPr>
        <w:footnoteRef/>
      </w:r>
      <w:r w:rsidRPr="00D90B39">
        <w:rPr>
          <w:lang w:val="en-US"/>
        </w:rPr>
        <w:t xml:space="preserve"> </w:t>
      </w:r>
      <w:r>
        <w:rPr>
          <w:lang w:val="en-GB"/>
        </w:rPr>
        <w:t xml:space="preserve">See the demands formulated by the Youth Conference Saxony, September 2023, at </w:t>
      </w:r>
      <w:r w:rsidR="00000000">
        <w:fldChar w:fldCharType="begin"/>
      </w:r>
      <w:r w:rsidR="00000000" w:rsidRPr="005751D1">
        <w:rPr>
          <w:lang w:val="en-GB"/>
        </w:rPr>
        <w:instrText>HYPERLINK "https://www.landesjugendkonferenz.de/eine-neue-starke-stimme-sachsen-hat-eine-vertretung-der-jungen-menschen-aus-wohngruppen-der-jugendhilfe/"</w:instrText>
      </w:r>
      <w:r w:rsidR="00000000">
        <w:fldChar w:fldCharType="separate"/>
      </w:r>
      <w:r w:rsidRPr="00F806AE">
        <w:rPr>
          <w:rStyle w:val="Hyperlink"/>
          <w:lang w:val="en-GB"/>
        </w:rPr>
        <w:t>https://www.landesjugendkonferenz.de/eine-neue-starke-stimme-sachsen-hat-eine-vertretung-der-jungen-menschen-aus-wohngruppen-der-jugendhilfe/</w:t>
      </w:r>
      <w:r w:rsidR="00000000">
        <w:rPr>
          <w:rStyle w:val="Hyperlink"/>
          <w:lang w:val="en-GB"/>
        </w:rPr>
        <w:fldChar w:fldCharType="end"/>
      </w:r>
      <w:r>
        <w:rPr>
          <w:lang w:val="en-GB"/>
        </w:rPr>
        <w:t xml:space="preserve">. </w:t>
      </w:r>
    </w:p>
  </w:footnote>
  <w:footnote w:id="25">
    <w:p w14:paraId="402385AC" w14:textId="77777777" w:rsidR="004A5AEE" w:rsidRPr="00AA5876" w:rsidRDefault="004A5AEE" w:rsidP="004A5AEE">
      <w:pPr>
        <w:pStyle w:val="FootnoteText"/>
        <w:rPr>
          <w:lang w:val="da-DK"/>
        </w:rPr>
      </w:pPr>
      <w:bookmarkStart w:id="27" w:name="_Hlk158151350"/>
      <w:r>
        <w:rPr>
          <w:rStyle w:val="FootnoteReference"/>
        </w:rPr>
        <w:footnoteRef/>
      </w:r>
      <w:r w:rsidRPr="00AA5876">
        <w:rPr>
          <w:lang w:val="da-DK"/>
        </w:rPr>
        <w:t xml:space="preserve"> </w:t>
      </w:r>
      <w:bookmarkStart w:id="28" w:name="_Hlk158151341"/>
      <w:r w:rsidRPr="00AA5876">
        <w:rPr>
          <w:lang w:val="da-DK"/>
        </w:rPr>
        <w:t xml:space="preserve">See </w:t>
      </w:r>
      <w:r>
        <w:fldChar w:fldCharType="begin"/>
      </w:r>
      <w:r w:rsidRPr="00AB20EC">
        <w:rPr>
          <w:lang w:val="en-GB"/>
        </w:rPr>
        <w:instrText>HYPERLINK "https://www.ombudschaft-jugendhilfe.de/"</w:instrText>
      </w:r>
      <w:r>
        <w:fldChar w:fldCharType="separate"/>
      </w:r>
      <w:r w:rsidRPr="00AA5876">
        <w:rPr>
          <w:rStyle w:val="Hyperlink"/>
          <w:lang w:val="da-DK"/>
        </w:rPr>
        <w:t>Bundesnetzwerk Ombudschaft in der Kinder- und Jugendhilfe e.V. (ombudschaft-jugendhilfe.de)</w:t>
      </w:r>
      <w:r>
        <w:rPr>
          <w:rStyle w:val="Hyperlink"/>
          <w:lang w:val="da-DK"/>
        </w:rPr>
        <w:fldChar w:fldCharType="end"/>
      </w:r>
      <w:r w:rsidRPr="00AA5876">
        <w:rPr>
          <w:lang w:val="da-DK"/>
        </w:rPr>
        <w:t xml:space="preserve">. </w:t>
      </w:r>
      <w:bookmarkEnd w:id="27"/>
    </w:p>
    <w:bookmarkEnd w:id="28"/>
  </w:footnote>
  <w:footnote w:id="26">
    <w:p w14:paraId="2DCBE3EA"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w:t>
      </w:r>
      <w:r>
        <w:rPr>
          <w:rFonts w:cstheme="minorHAnsi"/>
          <w:bCs/>
          <w:szCs w:val="18"/>
          <w:lang w:val="en-GB"/>
        </w:rPr>
        <w:t xml:space="preserve"> also</w:t>
      </w:r>
      <w:r w:rsidRPr="00773CE9">
        <w:rPr>
          <w:rFonts w:cstheme="minorHAnsi"/>
          <w:bCs/>
          <w:szCs w:val="18"/>
          <w:lang w:val="en-GB"/>
        </w:rPr>
        <w:t xml:space="preserve"> Committee on the Rights of Persons with Disabilities, Concluding observations on the combined second and third periodic reports of Germany, </w:t>
      </w:r>
      <w:r w:rsidR="00000000">
        <w:fldChar w:fldCharType="begin"/>
      </w:r>
      <w:r w:rsidR="00000000" w:rsidRPr="005751D1">
        <w:rPr>
          <w:lang w:val="en-GB"/>
        </w:rPr>
        <w:instrText>HYPERLINK "https://tbinternet.ohchr.org/_layouts/15/treatybodyexternal/Download.aspx?symbolno=CRPD%2FC%2FDEU%2FCO%2F2-3&amp;Lang=en"</w:instrText>
      </w:r>
      <w:r w:rsidR="00000000">
        <w:fldChar w:fldCharType="separate"/>
      </w:r>
      <w:r w:rsidRPr="005612E5">
        <w:rPr>
          <w:rStyle w:val="Hyperlink"/>
          <w:rFonts w:cstheme="minorHAnsi"/>
          <w:bCs/>
          <w:szCs w:val="18"/>
          <w:lang w:val="en-GB"/>
        </w:rPr>
        <w:t>CRPD/C/DEU/CO/2-3</w:t>
      </w:r>
      <w:r w:rsidR="00000000">
        <w:rPr>
          <w:rStyle w:val="Hyperlink"/>
          <w:rFonts w:cstheme="minorHAnsi"/>
          <w:bCs/>
          <w:szCs w:val="18"/>
          <w:lang w:val="en-GB"/>
        </w:rPr>
        <w:fldChar w:fldCharType="end"/>
      </w:r>
      <w:r w:rsidRPr="00773CE9">
        <w:rPr>
          <w:rFonts w:cstheme="minorHAnsi"/>
          <w:bCs/>
          <w:szCs w:val="18"/>
          <w:lang w:val="en-GB"/>
        </w:rPr>
        <w:t>, 8 September 2023.</w:t>
      </w:r>
    </w:p>
  </w:footnote>
  <w:footnote w:id="27">
    <w:p w14:paraId="01F345FA" w14:textId="77777777" w:rsidR="004A5AEE" w:rsidRPr="00D47BD5" w:rsidRDefault="004A5AEE" w:rsidP="004A5AEE">
      <w:pPr>
        <w:pStyle w:val="FootnoteText"/>
        <w:rPr>
          <w:lang w:val="en-GB"/>
        </w:rPr>
      </w:pPr>
      <w:r>
        <w:rPr>
          <w:rStyle w:val="FootnoteReference"/>
        </w:rPr>
        <w:footnoteRef/>
      </w:r>
      <w:r w:rsidRPr="00D90B39">
        <w:rPr>
          <w:lang w:val="en-US"/>
        </w:rPr>
        <w:t xml:space="preserve"> </w:t>
      </w:r>
      <w:r>
        <w:rPr>
          <w:lang w:val="en-GB"/>
        </w:rPr>
        <w:t xml:space="preserve">The </w:t>
      </w:r>
      <w:r w:rsidRPr="00D90B39">
        <w:rPr>
          <w:rFonts w:asciiTheme="minorHAnsi" w:hAnsiTheme="minorHAnsi" w:cstheme="minorHAnsi"/>
          <w:bCs/>
          <w:lang w:val="en-US"/>
        </w:rPr>
        <w:t xml:space="preserve">term ‘inclusion’, for instance, has been translated as ‘integration’, which has not been corrected despite repeated efforts by </w:t>
      </w:r>
      <w:proofErr w:type="spellStart"/>
      <w:r w:rsidRPr="00D90B39">
        <w:rPr>
          <w:rFonts w:asciiTheme="minorHAnsi" w:hAnsiTheme="minorHAnsi" w:cstheme="minorHAnsi"/>
          <w:bCs/>
          <w:lang w:val="en-US"/>
        </w:rPr>
        <w:t>organisations</w:t>
      </w:r>
      <w:proofErr w:type="spellEnd"/>
      <w:r w:rsidRPr="00D90B39">
        <w:rPr>
          <w:rFonts w:asciiTheme="minorHAnsi" w:hAnsiTheme="minorHAnsi" w:cstheme="minorHAnsi"/>
          <w:bCs/>
          <w:lang w:val="en-US"/>
        </w:rPr>
        <w:t xml:space="preserve"> of persons with disabilities. </w:t>
      </w:r>
      <w:r>
        <w:rPr>
          <w:rFonts w:asciiTheme="minorHAnsi" w:hAnsiTheme="minorHAnsi" w:cstheme="minorHAnsi"/>
          <w:bCs/>
          <w:lang w:val="en-US"/>
        </w:rPr>
        <w:t xml:space="preserve">See </w:t>
      </w:r>
      <w:r w:rsidR="00000000">
        <w:fldChar w:fldCharType="begin"/>
      </w:r>
      <w:r w:rsidR="00000000" w:rsidRPr="005751D1">
        <w:rPr>
          <w:lang w:val="en-GB"/>
        </w:rPr>
        <w:instrText>HYPERLINK "https://www.nw3.de/attachments/article/130/BRK-Schattenuebersetzung-3-Auflage-2018.pdf"</w:instrText>
      </w:r>
      <w:r w:rsidR="00000000">
        <w:fldChar w:fldCharType="separate"/>
      </w:r>
      <w:r w:rsidRPr="00E44094">
        <w:rPr>
          <w:rStyle w:val="Hyperlink"/>
          <w:rFonts w:asciiTheme="minorHAnsi" w:hAnsiTheme="minorHAnsi" w:cstheme="minorHAnsi"/>
          <w:bCs/>
          <w:lang w:val="en-US"/>
        </w:rPr>
        <w:t>shadow translation</w:t>
      </w:r>
      <w:r w:rsidR="00000000">
        <w:rPr>
          <w:rStyle w:val="Hyperlink"/>
          <w:rFonts w:asciiTheme="minorHAnsi" w:hAnsiTheme="minorHAnsi" w:cstheme="minorHAnsi"/>
          <w:bCs/>
          <w:lang w:val="en-US"/>
        </w:rPr>
        <w:fldChar w:fldCharType="end"/>
      </w:r>
      <w:r>
        <w:rPr>
          <w:rFonts w:asciiTheme="minorHAnsi" w:hAnsiTheme="minorHAnsi" w:cstheme="minorHAnsi"/>
          <w:bCs/>
          <w:lang w:val="en-US"/>
        </w:rPr>
        <w:t xml:space="preserve"> into German, which is now used also in Austria. </w:t>
      </w:r>
    </w:p>
  </w:footnote>
  <w:footnote w:id="28">
    <w:p w14:paraId="6CD0439C" w14:textId="77777777" w:rsidR="004A5AEE" w:rsidRPr="00D47BD5" w:rsidRDefault="004A5AEE" w:rsidP="004A5AEE">
      <w:pPr>
        <w:pStyle w:val="FootnoteText"/>
        <w:rPr>
          <w:lang w:val="en-GB"/>
        </w:rPr>
      </w:pPr>
      <w:r>
        <w:rPr>
          <w:rStyle w:val="FootnoteReference"/>
        </w:rPr>
        <w:footnoteRef/>
      </w:r>
      <w:r w:rsidRPr="00D90B39">
        <w:rPr>
          <w:lang w:val="en-US"/>
        </w:rPr>
        <w:t xml:space="preserve"> </w:t>
      </w:r>
      <w:r>
        <w:rPr>
          <w:lang w:val="en-GB"/>
        </w:rPr>
        <w:t>See Ge</w:t>
      </w:r>
      <w:proofErr w:type="spellStart"/>
      <w:r w:rsidRPr="00D90B39">
        <w:rPr>
          <w:lang w:val="en-US"/>
        </w:rPr>
        <w:t>setz</w:t>
      </w:r>
      <w:proofErr w:type="spellEnd"/>
      <w:r w:rsidRPr="00D90B39">
        <w:rPr>
          <w:lang w:val="en-US"/>
        </w:rPr>
        <w:t xml:space="preserve"> </w:t>
      </w:r>
      <w:proofErr w:type="spellStart"/>
      <w:r w:rsidRPr="00D90B39">
        <w:rPr>
          <w:lang w:val="en-US"/>
        </w:rPr>
        <w:t>zur</w:t>
      </w:r>
      <w:proofErr w:type="spellEnd"/>
      <w:r w:rsidRPr="00D90B39">
        <w:rPr>
          <w:lang w:val="en-US"/>
        </w:rPr>
        <w:t xml:space="preserve"> </w:t>
      </w:r>
      <w:proofErr w:type="spellStart"/>
      <w:r w:rsidRPr="00D90B39">
        <w:rPr>
          <w:lang w:val="en-US"/>
        </w:rPr>
        <w:t>Gleichstellung</w:t>
      </w:r>
      <w:proofErr w:type="spellEnd"/>
      <w:r w:rsidRPr="00D90B39">
        <w:rPr>
          <w:lang w:val="en-US"/>
        </w:rPr>
        <w:t xml:space="preserve"> von Menschen </w:t>
      </w:r>
      <w:proofErr w:type="spellStart"/>
      <w:r w:rsidRPr="00D90B39">
        <w:rPr>
          <w:lang w:val="en-US"/>
        </w:rPr>
        <w:t>mit</w:t>
      </w:r>
      <w:proofErr w:type="spellEnd"/>
      <w:r w:rsidRPr="00D90B39">
        <w:rPr>
          <w:lang w:val="en-US"/>
        </w:rPr>
        <w:t xml:space="preserve"> </w:t>
      </w:r>
      <w:proofErr w:type="spellStart"/>
      <w:r w:rsidRPr="00D90B39">
        <w:rPr>
          <w:lang w:val="en-US"/>
        </w:rPr>
        <w:t>Behinderungen</w:t>
      </w:r>
      <w:proofErr w:type="spellEnd"/>
      <w:r w:rsidRPr="00D90B39">
        <w:rPr>
          <w:lang w:val="en-US"/>
        </w:rPr>
        <w:t> (</w:t>
      </w:r>
      <w:r w:rsidR="00000000">
        <w:fldChar w:fldCharType="begin"/>
      </w:r>
      <w:r w:rsidR="00000000" w:rsidRPr="005751D1">
        <w:rPr>
          <w:lang w:val="en-GB"/>
        </w:rPr>
        <w:instrText>HYPERLINK "https://www.barrierefreiheit-dienstekonsolidierung.bund.de/Webs/PB/DE/gesetze-und-richtlinien/bgg/bgg-artikel.html" \l ":~:text=Das%20Behindertengleichstellungsgesetz%20hat%20das%20Ziel,eine%20selbstbestimmte%20Lebensf%C3%BChrung%20zu%20erm%C3%B6glichen."</w:instrText>
      </w:r>
      <w:r w:rsidR="00000000">
        <w:fldChar w:fldCharType="separate"/>
      </w:r>
      <w:r w:rsidRPr="00BE638D">
        <w:rPr>
          <w:rStyle w:val="Hyperlink"/>
          <w:lang w:val="en-US"/>
        </w:rPr>
        <w:t>BGG</w:t>
      </w:r>
      <w:r w:rsidR="00000000">
        <w:rPr>
          <w:rStyle w:val="Hyperlink"/>
          <w:lang w:val="en-US"/>
        </w:rPr>
        <w:fldChar w:fldCharType="end"/>
      </w:r>
      <w:r w:rsidRPr="00D90B39">
        <w:rPr>
          <w:lang w:val="en-US"/>
        </w:rPr>
        <w:t>), adopted 27 April 2002.</w:t>
      </w:r>
    </w:p>
  </w:footnote>
  <w:footnote w:id="29">
    <w:p w14:paraId="0CBEB5EF" w14:textId="77777777" w:rsidR="004A5AEE" w:rsidRPr="00D47BD5" w:rsidRDefault="004A5AEE" w:rsidP="004A5AEE">
      <w:pPr>
        <w:pStyle w:val="FootnoteText"/>
        <w:rPr>
          <w:lang w:val="en-GB"/>
        </w:rPr>
      </w:pPr>
      <w:r>
        <w:rPr>
          <w:rStyle w:val="FootnoteReference"/>
        </w:rPr>
        <w:footnoteRef/>
      </w:r>
      <w:r w:rsidRPr="00D90B39">
        <w:rPr>
          <w:lang w:val="en-US"/>
        </w:rPr>
        <w:t xml:space="preserve"> </w:t>
      </w:r>
      <w:r>
        <w:rPr>
          <w:lang w:val="en-GB"/>
        </w:rPr>
        <w:t>See the list of Commissioners for matters relating to persons with disabilities at L</w:t>
      </w:r>
      <w:r>
        <w:rPr>
          <w:rFonts w:cs="Calibri"/>
          <w:lang w:val="en-GB"/>
        </w:rPr>
        <w:t>ä</w:t>
      </w:r>
      <w:r>
        <w:rPr>
          <w:lang w:val="en-GB"/>
        </w:rPr>
        <w:t xml:space="preserve">nder level at </w:t>
      </w:r>
      <w:r w:rsidR="00000000">
        <w:fldChar w:fldCharType="begin"/>
      </w:r>
      <w:r w:rsidR="00000000" w:rsidRPr="005751D1">
        <w:rPr>
          <w:lang w:val="en-GB"/>
        </w:rPr>
        <w:instrText>HYPERLINK "https://www.behindertenbeauftragter.de/DE/AS/der-beauftragte/behindertenbeauftragte-in-bundeslaendern/behindertenbeauftragte-in-bundeslaendern-node.html"</w:instrText>
      </w:r>
      <w:r w:rsidR="00000000">
        <w:fldChar w:fldCharType="separate"/>
      </w:r>
      <w:r w:rsidRPr="00D90B39">
        <w:rPr>
          <w:rStyle w:val="Hyperlink"/>
          <w:lang w:val="en-US"/>
        </w:rPr>
        <w:t xml:space="preserve">Der </w:t>
      </w:r>
      <w:proofErr w:type="spellStart"/>
      <w:r w:rsidRPr="00D90B39">
        <w:rPr>
          <w:rStyle w:val="Hyperlink"/>
          <w:lang w:val="en-US"/>
        </w:rPr>
        <w:t>Beauftragte</w:t>
      </w:r>
      <w:proofErr w:type="spellEnd"/>
      <w:r w:rsidRPr="00D90B39">
        <w:rPr>
          <w:rStyle w:val="Hyperlink"/>
          <w:lang w:val="en-US"/>
        </w:rPr>
        <w:t xml:space="preserve"> der </w:t>
      </w:r>
      <w:proofErr w:type="spellStart"/>
      <w:r w:rsidRPr="00D90B39">
        <w:rPr>
          <w:rStyle w:val="Hyperlink"/>
          <w:lang w:val="en-US"/>
        </w:rPr>
        <w:t>Bundesregierung</w:t>
      </w:r>
      <w:proofErr w:type="spellEnd"/>
      <w:r w:rsidRPr="00D90B39">
        <w:rPr>
          <w:rStyle w:val="Hyperlink"/>
          <w:lang w:val="en-US"/>
        </w:rPr>
        <w:t xml:space="preserve"> für die </w:t>
      </w:r>
      <w:proofErr w:type="spellStart"/>
      <w:r w:rsidRPr="00D90B39">
        <w:rPr>
          <w:rStyle w:val="Hyperlink"/>
          <w:lang w:val="en-US"/>
        </w:rPr>
        <w:t>Belange</w:t>
      </w:r>
      <w:proofErr w:type="spellEnd"/>
      <w:r w:rsidRPr="00D90B39">
        <w:rPr>
          <w:rStyle w:val="Hyperlink"/>
          <w:lang w:val="en-US"/>
        </w:rPr>
        <w:t xml:space="preserve"> von Menschen </w:t>
      </w:r>
      <w:proofErr w:type="spellStart"/>
      <w:r w:rsidRPr="00D90B39">
        <w:rPr>
          <w:rStyle w:val="Hyperlink"/>
          <w:lang w:val="en-US"/>
        </w:rPr>
        <w:t>mit</w:t>
      </w:r>
      <w:proofErr w:type="spellEnd"/>
      <w:r w:rsidRPr="00D90B39">
        <w:rPr>
          <w:rStyle w:val="Hyperlink"/>
          <w:lang w:val="en-US"/>
        </w:rPr>
        <w:t xml:space="preserve"> </w:t>
      </w:r>
      <w:proofErr w:type="spellStart"/>
      <w:r w:rsidRPr="00D90B39">
        <w:rPr>
          <w:rStyle w:val="Hyperlink"/>
          <w:lang w:val="en-US"/>
        </w:rPr>
        <w:t>Behinderungen</w:t>
      </w:r>
      <w:proofErr w:type="spellEnd"/>
      <w:r w:rsidRPr="00D90B39">
        <w:rPr>
          <w:rStyle w:val="Hyperlink"/>
          <w:lang w:val="en-US"/>
        </w:rPr>
        <w:t xml:space="preserve"> - </w:t>
      </w:r>
      <w:proofErr w:type="spellStart"/>
      <w:r w:rsidRPr="00D90B39">
        <w:rPr>
          <w:rStyle w:val="Hyperlink"/>
          <w:lang w:val="en-US"/>
        </w:rPr>
        <w:t>Behindertenbeauftragte</w:t>
      </w:r>
      <w:proofErr w:type="spellEnd"/>
      <w:r w:rsidRPr="00D90B39">
        <w:rPr>
          <w:rStyle w:val="Hyperlink"/>
          <w:lang w:val="en-US"/>
        </w:rPr>
        <w:t xml:space="preserve"> in den </w:t>
      </w:r>
      <w:proofErr w:type="spellStart"/>
      <w:r w:rsidRPr="00D90B39">
        <w:rPr>
          <w:rStyle w:val="Hyperlink"/>
          <w:lang w:val="en-US"/>
        </w:rPr>
        <w:t>Bundesländern</w:t>
      </w:r>
      <w:proofErr w:type="spellEnd"/>
      <w:r w:rsidRPr="00D90B39">
        <w:rPr>
          <w:rStyle w:val="Hyperlink"/>
          <w:lang w:val="en-US"/>
        </w:rPr>
        <w:t xml:space="preserve"> (behindertenbeauftragter.de)</w:t>
      </w:r>
      <w:r w:rsidR="00000000">
        <w:rPr>
          <w:rStyle w:val="Hyperlink"/>
          <w:lang w:val="en-US"/>
        </w:rPr>
        <w:fldChar w:fldCharType="end"/>
      </w:r>
      <w:r w:rsidRPr="00D90B39">
        <w:rPr>
          <w:lang w:val="en-US"/>
        </w:rPr>
        <w:t xml:space="preserve">. </w:t>
      </w:r>
    </w:p>
  </w:footnote>
  <w:footnote w:id="30">
    <w:p w14:paraId="0B56386A"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r>
        <w:rPr>
          <w:rFonts w:cstheme="minorHAnsi"/>
          <w:bCs/>
          <w:szCs w:val="18"/>
          <w:lang w:val="en-GB"/>
        </w:rPr>
        <w:t xml:space="preserve">also </w:t>
      </w:r>
      <w:r w:rsidRPr="00773CE9">
        <w:rPr>
          <w:rFonts w:cstheme="minorHAnsi"/>
          <w:bCs/>
          <w:szCs w:val="18"/>
          <w:lang w:val="en-GB"/>
        </w:rPr>
        <w:t xml:space="preserve">Hans </w:t>
      </w:r>
      <w:proofErr w:type="spellStart"/>
      <w:r w:rsidRPr="00773CE9">
        <w:rPr>
          <w:rFonts w:cstheme="minorHAnsi"/>
          <w:bCs/>
          <w:szCs w:val="18"/>
          <w:lang w:val="en-GB"/>
        </w:rPr>
        <w:t>Böckler</w:t>
      </w:r>
      <w:proofErr w:type="spellEnd"/>
      <w:r>
        <w:rPr>
          <w:rFonts w:cstheme="minorHAnsi"/>
          <w:bCs/>
          <w:szCs w:val="18"/>
          <w:lang w:val="en-GB"/>
        </w:rPr>
        <w:t xml:space="preserve"> S</w:t>
      </w:r>
      <w:r w:rsidRPr="00773CE9">
        <w:rPr>
          <w:rFonts w:cstheme="minorHAnsi"/>
          <w:bCs/>
          <w:szCs w:val="18"/>
          <w:lang w:val="en-GB"/>
        </w:rPr>
        <w:t>tiftung, Press release</w:t>
      </w:r>
      <w:r w:rsidRPr="00773CE9">
        <w:rPr>
          <w:rFonts w:cstheme="minorHAnsi"/>
          <w:bCs/>
          <w:i/>
          <w:iCs/>
          <w:szCs w:val="18"/>
          <w:lang w:val="en-GB"/>
        </w:rPr>
        <w:t>,</w:t>
      </w:r>
      <w:r w:rsidRPr="00773CE9">
        <w:rPr>
          <w:rFonts w:cstheme="minorHAnsi"/>
          <w:bCs/>
          <w:szCs w:val="18"/>
          <w:lang w:val="en-GB"/>
        </w:rPr>
        <w:t xml:space="preserve"> </w:t>
      </w:r>
      <w:r w:rsidR="00000000">
        <w:fldChar w:fldCharType="begin"/>
      </w:r>
      <w:r w:rsidR="00000000" w:rsidRPr="005751D1">
        <w:rPr>
          <w:lang w:val="en-GB"/>
        </w:rPr>
        <w:instrText>HYPERLINK "https://www.boeckler.de/de/context.htm?page=hsi/pressemitteilungen-1904-bundesbehorden-sind-haufig-nicht-barrierefrei-44810.htm"</w:instrText>
      </w:r>
      <w:r w:rsidR="00000000">
        <w:fldChar w:fldCharType="separate"/>
      </w:r>
      <w:proofErr w:type="spellStart"/>
      <w:r w:rsidRPr="008E34ED">
        <w:rPr>
          <w:rStyle w:val="Hyperlink"/>
          <w:rFonts w:cstheme="minorHAnsi"/>
          <w:bCs/>
          <w:i/>
          <w:iCs/>
          <w:szCs w:val="18"/>
          <w:lang w:val="en-GB"/>
        </w:rPr>
        <w:t>Gesetzesevaluierung</w:t>
      </w:r>
      <w:proofErr w:type="spellEnd"/>
      <w:r w:rsidRPr="008E34ED">
        <w:rPr>
          <w:rStyle w:val="Hyperlink"/>
          <w:rFonts w:cstheme="minorHAnsi"/>
          <w:bCs/>
          <w:i/>
          <w:iCs/>
          <w:szCs w:val="18"/>
          <w:lang w:val="en-GB"/>
        </w:rPr>
        <w:t xml:space="preserve"> </w:t>
      </w:r>
      <w:proofErr w:type="spellStart"/>
      <w:r w:rsidRPr="008E34ED">
        <w:rPr>
          <w:rStyle w:val="Hyperlink"/>
          <w:rFonts w:cstheme="minorHAnsi"/>
          <w:bCs/>
          <w:i/>
          <w:iCs/>
          <w:szCs w:val="18"/>
          <w:lang w:val="en-GB"/>
        </w:rPr>
        <w:t>unter</w:t>
      </w:r>
      <w:proofErr w:type="spellEnd"/>
      <w:r w:rsidRPr="008E34ED">
        <w:rPr>
          <w:rStyle w:val="Hyperlink"/>
          <w:rFonts w:cstheme="minorHAnsi"/>
          <w:bCs/>
          <w:i/>
          <w:iCs/>
          <w:szCs w:val="18"/>
          <w:lang w:val="en-GB"/>
        </w:rPr>
        <w:t xml:space="preserve"> </w:t>
      </w:r>
      <w:proofErr w:type="spellStart"/>
      <w:r w:rsidRPr="008E34ED">
        <w:rPr>
          <w:rStyle w:val="Hyperlink"/>
          <w:rFonts w:cstheme="minorHAnsi"/>
          <w:bCs/>
          <w:i/>
          <w:iCs/>
          <w:szCs w:val="18"/>
          <w:lang w:val="en-GB"/>
        </w:rPr>
        <w:t>Beteiligung</w:t>
      </w:r>
      <w:proofErr w:type="spellEnd"/>
      <w:r w:rsidRPr="008E34ED">
        <w:rPr>
          <w:rStyle w:val="Hyperlink"/>
          <w:rFonts w:cstheme="minorHAnsi"/>
          <w:bCs/>
          <w:i/>
          <w:iCs/>
          <w:szCs w:val="18"/>
          <w:lang w:val="en-GB"/>
        </w:rPr>
        <w:t xml:space="preserve"> des H</w:t>
      </w:r>
      <w:r>
        <w:rPr>
          <w:rStyle w:val="Hyperlink"/>
          <w:rFonts w:cstheme="minorHAnsi"/>
          <w:bCs/>
          <w:i/>
          <w:iCs/>
          <w:szCs w:val="18"/>
          <w:lang w:val="en-GB"/>
        </w:rPr>
        <w:t>S</w:t>
      </w:r>
      <w:r w:rsidRPr="008E34ED">
        <w:rPr>
          <w:rStyle w:val="Hyperlink"/>
          <w:rFonts w:cstheme="minorHAnsi"/>
          <w:bCs/>
          <w:i/>
          <w:iCs/>
          <w:szCs w:val="18"/>
          <w:lang w:val="en-GB"/>
        </w:rPr>
        <w:t>I</w:t>
      </w:r>
      <w:r w:rsidR="00000000">
        <w:rPr>
          <w:rStyle w:val="Hyperlink"/>
          <w:rFonts w:cstheme="minorHAnsi"/>
          <w:bCs/>
          <w:i/>
          <w:iCs/>
          <w:szCs w:val="18"/>
          <w:lang w:val="en-GB"/>
        </w:rPr>
        <w:fldChar w:fldCharType="end"/>
      </w:r>
      <w:r w:rsidRPr="00773CE9">
        <w:rPr>
          <w:rFonts w:cstheme="minorHAnsi"/>
          <w:bCs/>
          <w:szCs w:val="18"/>
          <w:lang w:val="en-GB"/>
        </w:rPr>
        <w:t>, 21 November 2022.</w:t>
      </w:r>
    </w:p>
  </w:footnote>
  <w:footnote w:id="31">
    <w:p w14:paraId="05BF02E4" w14:textId="77777777" w:rsidR="004A5AEE" w:rsidRPr="00F94E42" w:rsidRDefault="004A5AEE" w:rsidP="004A5AEE">
      <w:pPr>
        <w:pStyle w:val="FootnoteText"/>
        <w:rPr>
          <w:lang w:val="en-GB"/>
        </w:rPr>
      </w:pPr>
      <w:r>
        <w:rPr>
          <w:rStyle w:val="FootnoteReference"/>
        </w:rPr>
        <w:footnoteRef/>
      </w:r>
      <w:r w:rsidRPr="00DA4818">
        <w:rPr>
          <w:lang w:val="en-US"/>
        </w:rPr>
        <w:t xml:space="preserve"> </w:t>
      </w:r>
      <w:r w:rsidRPr="008E34ED">
        <w:rPr>
          <w:lang w:val="en-GB"/>
        </w:rPr>
        <w:t>Thus far, independent monitoring of access to rights in line with Article 33.2 of the CRPD at L</w:t>
      </w:r>
      <w:r w:rsidRPr="008E34ED">
        <w:rPr>
          <w:rFonts w:cs="Calibri"/>
          <w:lang w:val="en-GB"/>
        </w:rPr>
        <w:t>ä</w:t>
      </w:r>
      <w:r w:rsidRPr="008E34ED">
        <w:rPr>
          <w:lang w:val="en-GB"/>
        </w:rPr>
        <w:t xml:space="preserve">nder level </w:t>
      </w:r>
      <w:r>
        <w:rPr>
          <w:lang w:val="en-GB"/>
        </w:rPr>
        <w:t>has been</w:t>
      </w:r>
      <w:r w:rsidRPr="008E34ED">
        <w:rPr>
          <w:lang w:val="en-GB"/>
        </w:rPr>
        <w:t xml:space="preserve"> </w:t>
      </w:r>
      <w:r>
        <w:rPr>
          <w:lang w:val="en-GB"/>
        </w:rPr>
        <w:t xml:space="preserve">established by law only </w:t>
      </w:r>
      <w:r w:rsidRPr="008E34ED">
        <w:rPr>
          <w:lang w:val="en-GB"/>
        </w:rPr>
        <w:t>in only four L</w:t>
      </w:r>
      <w:r w:rsidRPr="008E34ED">
        <w:rPr>
          <w:rFonts w:cs="Calibri"/>
          <w:lang w:val="en-GB"/>
        </w:rPr>
        <w:t>ä</w:t>
      </w:r>
      <w:r w:rsidRPr="008E34ED">
        <w:rPr>
          <w:lang w:val="en-GB"/>
        </w:rPr>
        <w:t>nder (Berlin, North Rhine-Westphalia, Rhineland-Palatinate and Saarland).</w:t>
      </w:r>
      <w:r>
        <w:rPr>
          <w:lang w:val="en-GB"/>
        </w:rPr>
        <w:t xml:space="preserve"> See GIHR </w:t>
      </w:r>
      <w:r w:rsidR="00000000">
        <w:fldChar w:fldCharType="begin"/>
      </w:r>
      <w:r w:rsidR="00000000" w:rsidRPr="005751D1">
        <w:rPr>
          <w:lang w:val="en-GB"/>
        </w:rPr>
        <w:instrText>HYPERLINK "https://www.institut-fuer-menschenrechte.de/publikationen/detail/regelungen-zu-unabhaengige-monitoringstelle"</w:instrText>
      </w:r>
      <w:r w:rsidR="00000000">
        <w:fldChar w:fldCharType="separate"/>
      </w:r>
      <w:r w:rsidRPr="009012F1">
        <w:rPr>
          <w:rStyle w:val="Hyperlink"/>
          <w:lang w:val="en-GB"/>
        </w:rPr>
        <w:t>Factsheet on Independent Monitoring</w:t>
      </w:r>
      <w:r w:rsidR="00000000">
        <w:rPr>
          <w:rStyle w:val="Hyperlink"/>
          <w:lang w:val="en-GB"/>
        </w:rPr>
        <w:fldChar w:fldCharType="end"/>
      </w:r>
      <w:r>
        <w:rPr>
          <w:lang w:val="en-GB"/>
        </w:rPr>
        <w:t xml:space="preserve">, June 2023. </w:t>
      </w:r>
    </w:p>
  </w:footnote>
  <w:footnote w:id="32">
    <w:p w14:paraId="0BDEAA24"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GI</w:t>
      </w:r>
      <w:r>
        <w:rPr>
          <w:rFonts w:cstheme="minorHAnsi"/>
          <w:bCs/>
          <w:szCs w:val="18"/>
          <w:lang w:val="en-GB"/>
        </w:rPr>
        <w:t>HR</w:t>
      </w:r>
      <w:r w:rsidRPr="00773CE9">
        <w:rPr>
          <w:rFonts w:cstheme="minorHAnsi"/>
          <w:bCs/>
          <w:szCs w:val="18"/>
          <w:lang w:val="en-GB"/>
        </w:rPr>
        <w:t xml:space="preserve">, </w:t>
      </w:r>
      <w:r w:rsidR="00000000">
        <w:fldChar w:fldCharType="begin"/>
      </w:r>
      <w:r w:rsidR="00000000" w:rsidRPr="005751D1">
        <w:rPr>
          <w:lang w:val="en-GB"/>
        </w:rPr>
        <w:instrText>HYPERLINK "https://tbinternet.ohchr.org/_layouts/15/treatybodyexternal/Download.aspx?symbolno=INT%2FCRPD%2FNHS%2FDEU%2F53205&amp;Lang=en"</w:instrText>
      </w:r>
      <w:r w:rsidR="00000000">
        <w:fldChar w:fldCharType="separate"/>
      </w:r>
      <w:r w:rsidRPr="008E34ED">
        <w:rPr>
          <w:rStyle w:val="Hyperlink"/>
          <w:rFonts w:cstheme="minorHAnsi"/>
          <w:bCs/>
          <w:i/>
          <w:szCs w:val="18"/>
          <w:lang w:val="en-GB"/>
        </w:rPr>
        <w:t>National CRPD Monitoring Mechanism Parallel Report</w:t>
      </w:r>
      <w:r w:rsidR="00000000">
        <w:rPr>
          <w:rStyle w:val="Hyperlink"/>
          <w:rFonts w:cstheme="minorHAnsi"/>
          <w:bCs/>
          <w:i/>
          <w:szCs w:val="18"/>
          <w:lang w:val="en-GB"/>
        </w:rPr>
        <w:fldChar w:fldCharType="end"/>
      </w:r>
      <w:r w:rsidRPr="00773CE9">
        <w:rPr>
          <w:rFonts w:cstheme="minorHAnsi"/>
          <w:bCs/>
          <w:i/>
          <w:szCs w:val="18"/>
          <w:lang w:val="en-GB"/>
        </w:rPr>
        <w:t xml:space="preserve"> to the UN Committee on the Rights of Persons with Disabilities for Germany’s 2nd/3rd State Party review procedure</w:t>
      </w:r>
      <w:r w:rsidRPr="00773CE9">
        <w:rPr>
          <w:rFonts w:cstheme="minorHAnsi"/>
          <w:bCs/>
          <w:iCs/>
          <w:szCs w:val="18"/>
          <w:lang w:val="en-GB"/>
        </w:rPr>
        <w:t>, July 2023.</w:t>
      </w:r>
    </w:p>
  </w:footnote>
  <w:footnote w:id="33">
    <w:p w14:paraId="7831DB3A" w14:textId="77777777" w:rsidR="004A5AEE" w:rsidRPr="00176F70" w:rsidRDefault="004A5AEE" w:rsidP="004A5AEE">
      <w:pPr>
        <w:pStyle w:val="FootnoteText"/>
        <w:rPr>
          <w:lang w:val="en-GB"/>
        </w:rPr>
      </w:pPr>
      <w:r>
        <w:rPr>
          <w:rStyle w:val="FootnoteReference"/>
        </w:rPr>
        <w:footnoteRef/>
      </w:r>
      <w:r w:rsidRPr="00DA4818">
        <w:rPr>
          <w:lang w:val="en-US"/>
        </w:rPr>
        <w:t xml:space="preserve"> </w:t>
      </w:r>
      <w:r>
        <w:rPr>
          <w:lang w:val="en-GB"/>
        </w:rPr>
        <w:t xml:space="preserve">See Article 19 of the CRPD. </w:t>
      </w:r>
    </w:p>
  </w:footnote>
  <w:footnote w:id="34">
    <w:p w14:paraId="2BB42A18" w14:textId="3B1F565F" w:rsidR="004A5AEE" w:rsidRPr="00773CE9" w:rsidRDefault="004A5AEE" w:rsidP="004A5AEE">
      <w:pPr>
        <w:pStyle w:val="FootnoteText"/>
        <w:rPr>
          <w:rFonts w:cstheme="minorHAnsi"/>
          <w:b/>
          <w:bCs/>
          <w:szCs w:val="18"/>
          <w:lang w:val="en-GB"/>
        </w:rPr>
      </w:pPr>
      <w:r w:rsidRPr="00D4136E">
        <w:rPr>
          <w:rStyle w:val="FootnoteReference"/>
          <w:rFonts w:cstheme="minorHAnsi"/>
          <w:bCs/>
          <w:szCs w:val="18"/>
          <w:lang w:val="en-GB"/>
        </w:rPr>
        <w:footnoteRef/>
      </w:r>
      <w:r w:rsidRPr="00D4136E">
        <w:rPr>
          <w:rFonts w:cstheme="minorHAnsi"/>
          <w:bCs/>
          <w:szCs w:val="18"/>
          <w:lang w:val="en-GB"/>
        </w:rPr>
        <w:t xml:space="preserve"> See above, footnote 3</w:t>
      </w:r>
      <w:r w:rsidR="005751D1">
        <w:rPr>
          <w:rFonts w:cstheme="minorHAnsi"/>
          <w:bCs/>
          <w:szCs w:val="18"/>
          <w:lang w:val="en-GB"/>
        </w:rPr>
        <w:t>2</w:t>
      </w:r>
      <w:r w:rsidRPr="00D4136E">
        <w:rPr>
          <w:rFonts w:cstheme="minorHAnsi"/>
          <w:bCs/>
          <w:szCs w:val="18"/>
          <w:lang w:val="en-GB"/>
        </w:rPr>
        <w:t>.</w:t>
      </w:r>
    </w:p>
  </w:footnote>
  <w:footnote w:id="35">
    <w:p w14:paraId="39BFB575" w14:textId="77777777" w:rsidR="004A5AEE" w:rsidRPr="00D55F77" w:rsidRDefault="004A5AEE" w:rsidP="004A5AEE">
      <w:pPr>
        <w:pStyle w:val="FootnoteText"/>
        <w:rPr>
          <w:lang w:val="en-GB"/>
        </w:rPr>
      </w:pPr>
      <w:r>
        <w:rPr>
          <w:rStyle w:val="FootnoteReference"/>
        </w:rPr>
        <w:footnoteRef/>
      </w:r>
      <w:r w:rsidRPr="00DA4818">
        <w:rPr>
          <w:lang w:val="en-US"/>
        </w:rPr>
        <w:t xml:space="preserve"> </w:t>
      </w:r>
      <w:r w:rsidRPr="00773CE9">
        <w:rPr>
          <w:rFonts w:cstheme="minorHAnsi"/>
          <w:bCs/>
          <w:szCs w:val="18"/>
          <w:lang w:val="en-GB"/>
        </w:rPr>
        <w:t xml:space="preserve">See </w:t>
      </w:r>
      <w:r w:rsidR="00000000">
        <w:fldChar w:fldCharType="begin"/>
      </w:r>
      <w:r w:rsidR="00000000" w:rsidRPr="005751D1">
        <w:rPr>
          <w:lang w:val="en-GB"/>
        </w:rPr>
        <w:instrText>HYPERLINK "https://www.bertelsmann-stiftung.de/de/publikationen/publikation/did/inklusion-in-deutschlands-schulen-eine-bildungsstatistische-momentaufnahme-202021-all"</w:instrText>
      </w:r>
      <w:r w:rsidR="00000000">
        <w:fldChar w:fldCharType="separate"/>
      </w:r>
      <w:proofErr w:type="spellStart"/>
      <w:r w:rsidRPr="008E34ED">
        <w:rPr>
          <w:rStyle w:val="Hyperlink"/>
          <w:rFonts w:cstheme="minorHAnsi"/>
          <w:bCs/>
          <w:i/>
          <w:iCs/>
          <w:szCs w:val="18"/>
          <w:lang w:val="en-GB"/>
        </w:rPr>
        <w:t>Inklusion</w:t>
      </w:r>
      <w:proofErr w:type="spellEnd"/>
      <w:r w:rsidRPr="008E34ED">
        <w:rPr>
          <w:rStyle w:val="Hyperlink"/>
          <w:rFonts w:cstheme="minorHAnsi"/>
          <w:bCs/>
          <w:i/>
          <w:iCs/>
          <w:szCs w:val="18"/>
          <w:lang w:val="en-GB"/>
        </w:rPr>
        <w:t xml:space="preserve"> in </w:t>
      </w:r>
      <w:proofErr w:type="spellStart"/>
      <w:r w:rsidRPr="008E34ED">
        <w:rPr>
          <w:rStyle w:val="Hyperlink"/>
          <w:rFonts w:cstheme="minorHAnsi"/>
          <w:bCs/>
          <w:i/>
          <w:iCs/>
          <w:szCs w:val="18"/>
          <w:lang w:val="en-GB"/>
        </w:rPr>
        <w:t>Deutschlands</w:t>
      </w:r>
      <w:proofErr w:type="spellEnd"/>
      <w:r w:rsidRPr="008E34ED">
        <w:rPr>
          <w:rStyle w:val="Hyperlink"/>
          <w:rFonts w:cstheme="minorHAnsi"/>
          <w:bCs/>
          <w:i/>
          <w:iCs/>
          <w:szCs w:val="18"/>
          <w:lang w:val="en-GB"/>
        </w:rPr>
        <w:t xml:space="preserve"> </w:t>
      </w:r>
      <w:proofErr w:type="spellStart"/>
      <w:r w:rsidRPr="008E34ED">
        <w:rPr>
          <w:rStyle w:val="Hyperlink"/>
          <w:rFonts w:cstheme="minorHAnsi"/>
          <w:bCs/>
          <w:i/>
          <w:iCs/>
          <w:szCs w:val="18"/>
          <w:lang w:val="en-GB"/>
        </w:rPr>
        <w:t>Schulen</w:t>
      </w:r>
      <w:proofErr w:type="spellEnd"/>
      <w:r w:rsidRPr="008E34ED">
        <w:rPr>
          <w:rStyle w:val="Hyperlink"/>
          <w:rFonts w:cstheme="minorHAnsi"/>
          <w:bCs/>
          <w:i/>
          <w:iCs/>
          <w:szCs w:val="18"/>
          <w:lang w:val="en-GB"/>
        </w:rPr>
        <w:t xml:space="preserve">: Eine </w:t>
      </w:r>
      <w:proofErr w:type="spellStart"/>
      <w:r w:rsidRPr="008E34ED">
        <w:rPr>
          <w:rStyle w:val="Hyperlink"/>
          <w:rFonts w:cstheme="minorHAnsi"/>
          <w:bCs/>
          <w:i/>
          <w:iCs/>
          <w:szCs w:val="18"/>
          <w:lang w:val="en-GB"/>
        </w:rPr>
        <w:t>bildungsstatistische</w:t>
      </w:r>
      <w:proofErr w:type="spellEnd"/>
      <w:r w:rsidRPr="008E34ED">
        <w:rPr>
          <w:rStyle w:val="Hyperlink"/>
          <w:rFonts w:cstheme="minorHAnsi"/>
          <w:bCs/>
          <w:i/>
          <w:iCs/>
          <w:szCs w:val="18"/>
          <w:lang w:val="en-GB"/>
        </w:rPr>
        <w:t xml:space="preserve"> </w:t>
      </w:r>
      <w:proofErr w:type="spellStart"/>
      <w:r w:rsidRPr="008E34ED">
        <w:rPr>
          <w:rStyle w:val="Hyperlink"/>
          <w:rFonts w:cstheme="minorHAnsi"/>
          <w:bCs/>
          <w:i/>
          <w:iCs/>
          <w:szCs w:val="18"/>
          <w:lang w:val="en-GB"/>
        </w:rPr>
        <w:t>Momentaufnahme</w:t>
      </w:r>
      <w:proofErr w:type="spellEnd"/>
      <w:r w:rsidR="00000000">
        <w:rPr>
          <w:rStyle w:val="Hyperlink"/>
          <w:rFonts w:cstheme="minorHAnsi"/>
          <w:bCs/>
          <w:i/>
          <w:iCs/>
          <w:szCs w:val="18"/>
          <w:lang w:val="en-GB"/>
        </w:rPr>
        <w:fldChar w:fldCharType="end"/>
      </w:r>
      <w:r w:rsidRPr="00773CE9">
        <w:rPr>
          <w:rFonts w:cstheme="minorHAnsi"/>
          <w:bCs/>
          <w:i/>
          <w:iCs/>
          <w:szCs w:val="18"/>
          <w:lang w:val="en-GB"/>
        </w:rPr>
        <w:t xml:space="preserve"> 2020/21, </w:t>
      </w:r>
      <w:r w:rsidRPr="00773CE9">
        <w:rPr>
          <w:rFonts w:cstheme="minorHAnsi"/>
          <w:bCs/>
          <w:szCs w:val="18"/>
          <w:lang w:val="en-GB"/>
        </w:rPr>
        <w:t>Bertelsmann Stiftung</w:t>
      </w:r>
      <w:r>
        <w:rPr>
          <w:rFonts w:cstheme="minorHAnsi"/>
          <w:bCs/>
          <w:szCs w:val="18"/>
          <w:lang w:val="en-GB"/>
        </w:rPr>
        <w:t>.</w:t>
      </w:r>
    </w:p>
  </w:footnote>
  <w:footnote w:id="36">
    <w:p w14:paraId="0AA12213" w14:textId="77777777" w:rsidR="004A5AEE" w:rsidRPr="00C161EB" w:rsidRDefault="004A5AEE" w:rsidP="004A5AEE">
      <w:pPr>
        <w:pStyle w:val="FootnoteText"/>
        <w:rPr>
          <w:lang w:val="en-GB"/>
        </w:rPr>
      </w:pPr>
      <w:r>
        <w:rPr>
          <w:rStyle w:val="FootnoteReference"/>
        </w:rPr>
        <w:footnoteRef/>
      </w:r>
      <w:r w:rsidRPr="00D90B39">
        <w:rPr>
          <w:lang w:val="en-US"/>
        </w:rPr>
        <w:t xml:space="preserve"> See </w:t>
      </w:r>
      <w:r w:rsidR="00000000">
        <w:fldChar w:fldCharType="begin"/>
      </w:r>
      <w:r w:rsidR="00000000" w:rsidRPr="005751D1">
        <w:rPr>
          <w:lang w:val="en-GB"/>
        </w:rPr>
        <w:instrText>HYPERLINK "https://tbinternet.ohchr.org/_layouts/15/treatybodyexternal/Download.aspx?symbolno=INT%2FCRPD%2FCSS%2FDEU%2F53325&amp;Lang=en"</w:instrText>
      </w:r>
      <w:r w:rsidR="00000000">
        <w:fldChar w:fldCharType="separate"/>
      </w:r>
      <w:r w:rsidRPr="008E34ED">
        <w:rPr>
          <w:rStyle w:val="Hyperlink"/>
          <w:rFonts w:cstheme="minorHAnsi"/>
          <w:szCs w:val="18"/>
          <w:lang w:val="en-GB"/>
        </w:rPr>
        <w:t>NGO Submission to the 2</w:t>
      </w:r>
      <w:r w:rsidRPr="00D4136E">
        <w:rPr>
          <w:rStyle w:val="Hyperlink"/>
          <w:rFonts w:cstheme="minorHAnsi"/>
          <w:szCs w:val="18"/>
          <w:vertAlign w:val="superscript"/>
          <w:lang w:val="en-GB"/>
        </w:rPr>
        <w:t>nd</w:t>
      </w:r>
      <w:r w:rsidRPr="008E34ED">
        <w:rPr>
          <w:rStyle w:val="Hyperlink"/>
          <w:rFonts w:cstheme="minorHAnsi"/>
          <w:szCs w:val="18"/>
          <w:lang w:val="en-GB"/>
        </w:rPr>
        <w:t xml:space="preserve"> and 3</w:t>
      </w:r>
      <w:r w:rsidRPr="00D4136E">
        <w:rPr>
          <w:rStyle w:val="Hyperlink"/>
          <w:rFonts w:cstheme="minorHAnsi"/>
          <w:szCs w:val="18"/>
          <w:vertAlign w:val="superscript"/>
          <w:lang w:val="en-GB"/>
        </w:rPr>
        <w:t>rd</w:t>
      </w:r>
      <w:r w:rsidRPr="008E34ED">
        <w:rPr>
          <w:rStyle w:val="Hyperlink"/>
          <w:rFonts w:cstheme="minorHAnsi"/>
          <w:szCs w:val="18"/>
          <w:lang w:val="en-GB"/>
        </w:rPr>
        <w:t xml:space="preserve"> Periodic Report of Germany on the CRPD focused on Article 24 (Education</w:t>
      </w:r>
      <w:r w:rsidR="00000000">
        <w:rPr>
          <w:rStyle w:val="Hyperlink"/>
          <w:rFonts w:cstheme="minorHAnsi"/>
          <w:szCs w:val="18"/>
          <w:lang w:val="en-GB"/>
        </w:rPr>
        <w:fldChar w:fldCharType="end"/>
      </w:r>
      <w:r w:rsidRPr="00773CE9">
        <w:rPr>
          <w:rFonts w:cstheme="minorHAnsi"/>
          <w:szCs w:val="18"/>
          <w:lang w:val="en-GB"/>
        </w:rPr>
        <w:t>), July 2023</w:t>
      </w:r>
      <w:r>
        <w:rPr>
          <w:rFonts w:cstheme="minorHAnsi"/>
          <w:szCs w:val="18"/>
          <w:lang w:val="en-GB"/>
        </w:rPr>
        <w:t xml:space="preserve">. </w:t>
      </w:r>
      <w:r w:rsidRPr="00C161EB">
        <w:rPr>
          <w:lang w:val="en-GB"/>
        </w:rPr>
        <w:t>In some cities, such as Cologne, there has been a 60% increase of children with intellectual disabilities, with the percentage</w:t>
      </w:r>
      <w:r>
        <w:rPr>
          <w:lang w:val="en-GB"/>
        </w:rPr>
        <w:t xml:space="preserve"> being twice as high</w:t>
      </w:r>
      <w:r w:rsidRPr="00C161EB">
        <w:rPr>
          <w:lang w:val="en-GB"/>
        </w:rPr>
        <w:t xml:space="preserve"> </w:t>
      </w:r>
      <w:r>
        <w:rPr>
          <w:lang w:val="en-GB"/>
        </w:rPr>
        <w:t>for</w:t>
      </w:r>
      <w:r w:rsidRPr="00C161EB">
        <w:rPr>
          <w:lang w:val="en-GB"/>
        </w:rPr>
        <w:t xml:space="preserve"> children without German </w:t>
      </w:r>
      <w:r>
        <w:rPr>
          <w:lang w:val="en-GB"/>
        </w:rPr>
        <w:t>citizenship</w:t>
      </w:r>
      <w:r w:rsidRPr="00C161EB">
        <w:rPr>
          <w:lang w:val="en-GB"/>
        </w:rPr>
        <w:t>.</w:t>
      </w:r>
    </w:p>
  </w:footnote>
  <w:footnote w:id="37">
    <w:p w14:paraId="62A4DAD6" w14:textId="77777777" w:rsidR="004A5AEE" w:rsidRPr="000E1F75" w:rsidRDefault="004A5AEE" w:rsidP="004A5AEE">
      <w:pPr>
        <w:pStyle w:val="FootnoteText"/>
        <w:rPr>
          <w:i/>
          <w:iCs/>
          <w:lang w:val="en-GB"/>
        </w:rPr>
      </w:pPr>
      <w:r>
        <w:rPr>
          <w:rStyle w:val="FootnoteReference"/>
        </w:rPr>
        <w:footnoteRef/>
      </w:r>
      <w:r w:rsidRPr="00DA4818">
        <w:rPr>
          <w:lang w:val="en-US"/>
        </w:rPr>
        <w:t xml:space="preserve"> </w:t>
      </w:r>
      <w:r>
        <w:rPr>
          <w:lang w:val="en-GB"/>
        </w:rPr>
        <w:t xml:space="preserve">See information provided by the </w:t>
      </w:r>
      <w:r w:rsidR="00000000">
        <w:fldChar w:fldCharType="begin"/>
      </w:r>
      <w:r w:rsidR="00000000" w:rsidRPr="005751D1">
        <w:rPr>
          <w:lang w:val="en-GB"/>
        </w:rPr>
        <w:instrText>HYPERLINK "https://www.familienratgeber.de/lebensbereiche/kita-schule/foerderschulen" \l ":~:text=Nur%20wenige%20Jugendliche%20(27%20Prozent,Fachabitur%20(0%2C3%20Prozent)"</w:instrText>
      </w:r>
      <w:r w:rsidR="00000000">
        <w:fldChar w:fldCharType="separate"/>
      </w:r>
      <w:r w:rsidRPr="006D68E1">
        <w:rPr>
          <w:rStyle w:val="Hyperlink"/>
          <w:lang w:val="en-GB"/>
        </w:rPr>
        <w:t>Family Advice Centre for Persons with Disabilities and their families</w:t>
      </w:r>
      <w:r w:rsidR="00000000">
        <w:rPr>
          <w:rStyle w:val="Hyperlink"/>
          <w:lang w:val="en-GB"/>
        </w:rPr>
        <w:fldChar w:fldCharType="end"/>
      </w:r>
      <w:r>
        <w:rPr>
          <w:lang w:val="en-GB"/>
        </w:rPr>
        <w:t>, last updated on 8 December 2023.</w:t>
      </w:r>
    </w:p>
  </w:footnote>
  <w:footnote w:id="38">
    <w:p w14:paraId="696C3CD3"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r w:rsidR="00000000">
        <w:fldChar w:fldCharType="begin"/>
      </w:r>
      <w:r w:rsidR="00000000" w:rsidRPr="005751D1">
        <w:rPr>
          <w:lang w:val="en-GB"/>
        </w:rPr>
        <w:instrText>HYPERLINK "https://www.bmas.de/DE/Service/Publikationen/Broschueren/a125-21-teilhabebericht.html"</w:instrText>
      </w:r>
      <w:r w:rsidR="00000000">
        <w:fldChar w:fldCharType="separate"/>
      </w:r>
      <w:r w:rsidRPr="00176888">
        <w:rPr>
          <w:rStyle w:val="Hyperlink"/>
          <w:rFonts w:cstheme="minorHAnsi"/>
          <w:bCs/>
          <w:szCs w:val="18"/>
          <w:lang w:val="en-GB"/>
        </w:rPr>
        <w:t xml:space="preserve">Third Report of the BMAS, </w:t>
      </w:r>
      <w:r w:rsidRPr="00176888">
        <w:rPr>
          <w:rStyle w:val="Hyperlink"/>
          <w:rFonts w:cstheme="minorHAnsi"/>
          <w:bCs/>
          <w:i/>
          <w:iCs/>
          <w:szCs w:val="18"/>
          <w:lang w:val="en-GB"/>
        </w:rPr>
        <w:t>Participation – Impairment – Disability</w:t>
      </w:r>
      <w:r w:rsidR="00000000">
        <w:rPr>
          <w:rStyle w:val="Hyperlink"/>
          <w:rFonts w:cstheme="minorHAnsi"/>
          <w:bCs/>
          <w:i/>
          <w:iCs/>
          <w:szCs w:val="18"/>
          <w:lang w:val="en-GB"/>
        </w:rPr>
        <w:fldChar w:fldCharType="end"/>
      </w:r>
      <w:r w:rsidRPr="00773CE9">
        <w:rPr>
          <w:rFonts w:cstheme="minorHAnsi"/>
          <w:bCs/>
          <w:i/>
          <w:iCs/>
          <w:szCs w:val="18"/>
          <w:lang w:val="en-GB"/>
        </w:rPr>
        <w:t xml:space="preserve">, </w:t>
      </w:r>
      <w:r w:rsidRPr="00773CE9">
        <w:rPr>
          <w:rFonts w:cstheme="minorHAnsi"/>
          <w:bCs/>
          <w:szCs w:val="18"/>
          <w:lang w:val="en-GB"/>
        </w:rPr>
        <w:t>2021.</w:t>
      </w:r>
      <w:r>
        <w:rPr>
          <w:rFonts w:cstheme="minorHAnsi"/>
          <w:bCs/>
          <w:szCs w:val="18"/>
          <w:lang w:val="en-GB"/>
        </w:rPr>
        <w:t xml:space="preserve"> In 2018, the unemploy</w:t>
      </w:r>
      <w:r w:rsidRPr="00A95C61">
        <w:rPr>
          <w:rFonts w:cstheme="minorHAnsi"/>
          <w:bCs/>
          <w:szCs w:val="18"/>
          <w:lang w:val="en-GB"/>
        </w:rPr>
        <w:t xml:space="preserve">ment rate of persons with disabilities </w:t>
      </w:r>
      <w:r>
        <w:rPr>
          <w:rFonts w:cstheme="minorHAnsi"/>
          <w:bCs/>
          <w:szCs w:val="18"/>
          <w:lang w:val="en-GB"/>
        </w:rPr>
        <w:t>was 11.2%, compared to 6.5</w:t>
      </w:r>
      <w:r w:rsidRPr="00A95C61">
        <w:rPr>
          <w:rFonts w:cstheme="minorHAnsi"/>
          <w:bCs/>
          <w:szCs w:val="18"/>
          <w:lang w:val="en-GB"/>
        </w:rPr>
        <w:t>2</w:t>
      </w:r>
      <w:r>
        <w:rPr>
          <w:rFonts w:cstheme="minorHAnsi"/>
          <w:bCs/>
          <w:szCs w:val="18"/>
          <w:lang w:val="en-GB"/>
        </w:rPr>
        <w:t xml:space="preserve">% for persons without disabilities. </w:t>
      </w:r>
    </w:p>
  </w:footnote>
  <w:footnote w:id="39">
    <w:p w14:paraId="786658DE"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GIHR </w:t>
      </w:r>
      <w:r w:rsidR="00000000">
        <w:fldChar w:fldCharType="begin"/>
      </w:r>
      <w:r w:rsidR="00000000" w:rsidRPr="005751D1">
        <w:rPr>
          <w:lang w:val="en-GB"/>
        </w:rPr>
        <w:instrText>HYPERLINK "https://www.institut-fuer-menschenrechte.de/fileadmin/Redaktion/Publikationen/Jahresbericht/Annual_Report_2020.pdf"</w:instrText>
      </w:r>
      <w:r w:rsidR="00000000">
        <w:fldChar w:fldCharType="separate"/>
      </w:r>
      <w:r w:rsidRPr="00176888">
        <w:rPr>
          <w:rStyle w:val="Hyperlink"/>
          <w:rFonts w:cstheme="minorHAnsi"/>
          <w:bCs/>
          <w:szCs w:val="18"/>
          <w:lang w:val="en-GB"/>
        </w:rPr>
        <w:t>Annual Report 2020</w:t>
      </w:r>
      <w:r w:rsidR="00000000">
        <w:rPr>
          <w:rStyle w:val="Hyperlink"/>
          <w:rFonts w:cstheme="minorHAnsi"/>
          <w:bCs/>
          <w:szCs w:val="18"/>
          <w:lang w:val="en-GB"/>
        </w:rPr>
        <w:fldChar w:fldCharType="end"/>
      </w:r>
      <w:r w:rsidRPr="00773CE9">
        <w:rPr>
          <w:rFonts w:cstheme="minorHAnsi"/>
          <w:bCs/>
          <w:szCs w:val="18"/>
          <w:lang w:val="en-GB"/>
        </w:rPr>
        <w:t>.</w:t>
      </w:r>
      <w:r>
        <w:rPr>
          <w:rFonts w:cstheme="minorHAnsi"/>
          <w:bCs/>
          <w:szCs w:val="18"/>
          <w:lang w:val="en-GB"/>
        </w:rPr>
        <w:t xml:space="preserve"> </w:t>
      </w:r>
    </w:p>
  </w:footnote>
  <w:footnote w:id="40">
    <w:p w14:paraId="096C4446"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GIHR, </w:t>
      </w:r>
      <w:r w:rsidR="00000000">
        <w:fldChar w:fldCharType="begin"/>
      </w:r>
      <w:r w:rsidR="00000000" w:rsidRPr="005751D1">
        <w:rPr>
          <w:lang w:val="en-GB"/>
        </w:rPr>
        <w:instrText>HYPERLINK "https://www.institut-fuer-menschenrechte.de/aktuelles/detail/beschaeftigung-unterhalb-des-mindestlohns-unzulaessig" \l ":~:text=Damit%20steht%20unmissverst%C3%A4ndlich%20fest%3A%20Die,des%20geltenden%20Mindestlohns%20zu%20entlohnen."</w:instrText>
      </w:r>
      <w:r w:rsidR="00000000">
        <w:fldChar w:fldCharType="separate"/>
      </w:r>
      <w:proofErr w:type="spellStart"/>
      <w:r w:rsidRPr="00CE3A08">
        <w:rPr>
          <w:rStyle w:val="Hyperlink"/>
          <w:rFonts w:cstheme="minorHAnsi"/>
          <w:bCs/>
          <w:szCs w:val="18"/>
          <w:lang w:val="en-GB"/>
        </w:rPr>
        <w:t>B</w:t>
      </w:r>
      <w:r w:rsidRPr="00CE3A08">
        <w:rPr>
          <w:rStyle w:val="Hyperlink"/>
          <w:rFonts w:cstheme="minorHAnsi"/>
          <w:bCs/>
          <w:i/>
          <w:iCs/>
          <w:szCs w:val="18"/>
          <w:lang w:val="en-GB"/>
        </w:rPr>
        <w:t>eschäftigung</w:t>
      </w:r>
      <w:proofErr w:type="spellEnd"/>
      <w:r w:rsidRPr="00CE3A08">
        <w:rPr>
          <w:rStyle w:val="Hyperlink"/>
          <w:rFonts w:cstheme="minorHAnsi"/>
          <w:bCs/>
          <w:i/>
          <w:iCs/>
          <w:szCs w:val="18"/>
          <w:lang w:val="en-GB"/>
        </w:rPr>
        <w:t xml:space="preserve"> </w:t>
      </w:r>
      <w:proofErr w:type="spellStart"/>
      <w:r w:rsidRPr="00CE3A08">
        <w:rPr>
          <w:rStyle w:val="Hyperlink"/>
          <w:rFonts w:cstheme="minorHAnsi"/>
          <w:bCs/>
          <w:i/>
          <w:iCs/>
          <w:szCs w:val="18"/>
          <w:lang w:val="en-GB"/>
        </w:rPr>
        <w:t>unterhalb</w:t>
      </w:r>
      <w:proofErr w:type="spellEnd"/>
      <w:r w:rsidRPr="00CE3A08">
        <w:rPr>
          <w:rStyle w:val="Hyperlink"/>
          <w:rFonts w:cstheme="minorHAnsi"/>
          <w:bCs/>
          <w:i/>
          <w:iCs/>
          <w:szCs w:val="18"/>
          <w:lang w:val="en-GB"/>
        </w:rPr>
        <w:t xml:space="preserve"> des </w:t>
      </w:r>
      <w:proofErr w:type="spellStart"/>
      <w:r w:rsidRPr="00CE3A08">
        <w:rPr>
          <w:rStyle w:val="Hyperlink"/>
          <w:rFonts w:cstheme="minorHAnsi"/>
          <w:bCs/>
          <w:i/>
          <w:iCs/>
          <w:szCs w:val="18"/>
          <w:lang w:val="en-GB"/>
        </w:rPr>
        <w:t>Mindestlohns</w:t>
      </w:r>
      <w:proofErr w:type="spellEnd"/>
      <w:r w:rsidRPr="00CE3A08">
        <w:rPr>
          <w:rStyle w:val="Hyperlink"/>
          <w:rFonts w:cstheme="minorHAnsi"/>
          <w:bCs/>
          <w:i/>
          <w:iCs/>
          <w:szCs w:val="18"/>
          <w:lang w:val="en-GB"/>
        </w:rPr>
        <w:t xml:space="preserve"> </w:t>
      </w:r>
      <w:proofErr w:type="spellStart"/>
      <w:r w:rsidRPr="00CE3A08">
        <w:rPr>
          <w:rStyle w:val="Hyperlink"/>
          <w:rFonts w:cstheme="minorHAnsi"/>
          <w:bCs/>
          <w:i/>
          <w:iCs/>
          <w:szCs w:val="18"/>
          <w:lang w:val="en-GB"/>
        </w:rPr>
        <w:t>unzulässig</w:t>
      </w:r>
      <w:proofErr w:type="spellEnd"/>
      <w:r w:rsidR="00000000">
        <w:rPr>
          <w:rStyle w:val="Hyperlink"/>
          <w:rFonts w:cstheme="minorHAnsi"/>
          <w:bCs/>
          <w:i/>
          <w:iCs/>
          <w:szCs w:val="18"/>
          <w:lang w:val="en-GB"/>
        </w:rPr>
        <w:fldChar w:fldCharType="end"/>
      </w:r>
      <w:r w:rsidRPr="00773CE9">
        <w:rPr>
          <w:rFonts w:cstheme="minorHAnsi"/>
          <w:bCs/>
          <w:i/>
          <w:iCs/>
          <w:szCs w:val="18"/>
          <w:lang w:val="en-GB"/>
        </w:rPr>
        <w:t xml:space="preserve">, </w:t>
      </w:r>
      <w:r w:rsidRPr="00773CE9">
        <w:rPr>
          <w:rFonts w:cstheme="minorHAnsi"/>
          <w:bCs/>
          <w:szCs w:val="18"/>
          <w:lang w:val="en-GB"/>
        </w:rPr>
        <w:t>June 2023.</w:t>
      </w:r>
    </w:p>
  </w:footnote>
  <w:footnote w:id="41">
    <w:p w14:paraId="1983DC37" w14:textId="77777777" w:rsidR="004A5AEE" w:rsidRPr="00CE5AE7" w:rsidRDefault="004A5AEE" w:rsidP="004A5AEE">
      <w:pPr>
        <w:pStyle w:val="FootnoteText"/>
        <w:rPr>
          <w:lang w:val="en-GB"/>
        </w:rPr>
      </w:pPr>
      <w:r>
        <w:rPr>
          <w:rStyle w:val="FootnoteReference"/>
        </w:rPr>
        <w:footnoteRef/>
      </w:r>
      <w:r w:rsidRPr="00D90B39">
        <w:rPr>
          <w:lang w:val="en-US"/>
        </w:rPr>
        <w:t xml:space="preserve"> </w:t>
      </w:r>
      <w:r>
        <w:rPr>
          <w:lang w:val="en-GB"/>
        </w:rPr>
        <w:t xml:space="preserve">People working in sheltered workshops receive remuneration according to a complex system, with a salary of, on average, </w:t>
      </w:r>
      <w:r w:rsidRPr="00D90B39">
        <w:rPr>
          <w:lang w:val="en-US"/>
        </w:rPr>
        <w:t>€</w:t>
      </w:r>
      <w:r>
        <w:rPr>
          <w:lang w:val="en-GB"/>
        </w:rPr>
        <w:t>212 per month. According to the organisation of women with disabilities ‘</w:t>
      </w:r>
      <w:proofErr w:type="spellStart"/>
      <w:r>
        <w:fldChar w:fldCharType="begin"/>
      </w:r>
      <w:r w:rsidRPr="00AB20EC">
        <w:rPr>
          <w:lang w:val="en-GB"/>
        </w:rPr>
        <w:instrText>HYPERLINK "https://www.weibernetz.de/p/gender-pay-gap-auch-in-werkstaetten-fuer-behinderte-menschen.html."</w:instrText>
      </w:r>
      <w:r>
        <w:fldChar w:fldCharType="separate"/>
      </w:r>
      <w:r w:rsidRPr="000E1F75">
        <w:rPr>
          <w:rStyle w:val="Hyperlink"/>
          <w:lang w:val="en-GB"/>
        </w:rPr>
        <w:t>Weibernetz</w:t>
      </w:r>
      <w:proofErr w:type="spellEnd"/>
      <w:r>
        <w:rPr>
          <w:rStyle w:val="Hyperlink"/>
          <w:lang w:val="en-GB"/>
        </w:rPr>
        <w:fldChar w:fldCharType="end"/>
      </w:r>
      <w:r>
        <w:rPr>
          <w:lang w:val="en-GB"/>
        </w:rPr>
        <w:t xml:space="preserve">’, women in workshops experience a gender pay gap of some 7%. Transport to and from the workshops is provided (unlike transport to regular employment). Workshop employees may also be recipients of other social support benefits. </w:t>
      </w:r>
    </w:p>
  </w:footnote>
  <w:footnote w:id="42">
    <w:p w14:paraId="72A3F8F4" w14:textId="77777777" w:rsidR="004A5AEE" w:rsidRPr="00011297" w:rsidRDefault="004A5AEE" w:rsidP="004A5AEE">
      <w:pPr>
        <w:pStyle w:val="FootnoteText"/>
        <w:rPr>
          <w:lang w:val="en-GB"/>
        </w:rPr>
      </w:pPr>
      <w:r>
        <w:rPr>
          <w:rStyle w:val="FootnoteReference"/>
        </w:rPr>
        <w:footnoteRef/>
      </w:r>
      <w:r>
        <w:rPr>
          <w:lang w:val="en-US"/>
        </w:rPr>
        <w:t xml:space="preserve"> As of 1 January 2024, the </w:t>
      </w:r>
      <w:r w:rsidR="00000000">
        <w:fldChar w:fldCharType="begin"/>
      </w:r>
      <w:r w:rsidR="00000000" w:rsidRPr="005751D1">
        <w:rPr>
          <w:lang w:val="en-GB"/>
        </w:rPr>
        <w:instrText>HYPERLINK "https://arbeitsmarkt-und-sozialpolitik.verdi.de/ueber-uns/nachrichten/++co++9804c268-1f29-11ee-82cd-001a4a160129"</w:instrText>
      </w:r>
      <w:r w:rsidR="00000000">
        <w:fldChar w:fldCharType="separate"/>
      </w:r>
      <w:r w:rsidRPr="00D90B39">
        <w:rPr>
          <w:rStyle w:val="Hyperlink"/>
          <w:bCs/>
          <w:lang w:val="en-US"/>
        </w:rPr>
        <w:t xml:space="preserve">Law for the promotion of an inclusive </w:t>
      </w:r>
      <w:proofErr w:type="spellStart"/>
      <w:r w:rsidRPr="00D90B39">
        <w:rPr>
          <w:rStyle w:val="Hyperlink"/>
          <w:bCs/>
          <w:lang w:val="en-US"/>
        </w:rPr>
        <w:t>labour</w:t>
      </w:r>
      <w:proofErr w:type="spellEnd"/>
      <w:r w:rsidRPr="00D90B39">
        <w:rPr>
          <w:rStyle w:val="Hyperlink"/>
          <w:bCs/>
          <w:lang w:val="en-US"/>
        </w:rPr>
        <w:t xml:space="preserve"> market</w:t>
      </w:r>
      <w:r w:rsidR="00000000">
        <w:rPr>
          <w:rStyle w:val="Hyperlink"/>
          <w:bCs/>
          <w:lang w:val="en-US"/>
        </w:rPr>
        <w:fldChar w:fldCharType="end"/>
      </w:r>
      <w:r w:rsidRPr="00D90B39">
        <w:rPr>
          <w:lang w:val="en-US"/>
        </w:rPr>
        <w:t xml:space="preserve"> </w:t>
      </w:r>
      <w:r>
        <w:rPr>
          <w:lang w:val="en-US"/>
        </w:rPr>
        <w:t xml:space="preserve">increased </w:t>
      </w:r>
      <w:r w:rsidRPr="00D90B39">
        <w:rPr>
          <w:lang w:val="en-US"/>
        </w:rPr>
        <w:t xml:space="preserve">the </w:t>
      </w:r>
      <w:r>
        <w:rPr>
          <w:lang w:val="en-US"/>
        </w:rPr>
        <w:t xml:space="preserve">levy to </w:t>
      </w:r>
      <w:r w:rsidRPr="00D4136E">
        <w:rPr>
          <w:lang w:val="en-US"/>
        </w:rPr>
        <w:t>approximately</w:t>
      </w:r>
      <w:r>
        <w:rPr>
          <w:lang w:val="en-US"/>
        </w:rPr>
        <w:t xml:space="preserve"> €700</w:t>
      </w:r>
      <w:r w:rsidRPr="00D90B39">
        <w:rPr>
          <w:lang w:val="en-US"/>
        </w:rPr>
        <w:t xml:space="preserve">. </w:t>
      </w:r>
    </w:p>
  </w:footnote>
  <w:footnote w:id="43">
    <w:p w14:paraId="179293B7" w14:textId="77777777" w:rsidR="004A5AEE" w:rsidRPr="00CE3A08" w:rsidRDefault="004A5AEE" w:rsidP="004A5AEE">
      <w:pPr>
        <w:pStyle w:val="FootnoteText"/>
        <w:rPr>
          <w:lang w:val="en-GB"/>
        </w:rPr>
      </w:pPr>
      <w:r>
        <w:rPr>
          <w:rStyle w:val="FootnoteReference"/>
        </w:rPr>
        <w:footnoteRef/>
      </w:r>
      <w:r w:rsidRPr="00DA4818">
        <w:rPr>
          <w:lang w:val="en-US"/>
        </w:rPr>
        <w:t xml:space="preserve"> </w:t>
      </w:r>
      <w:r>
        <w:rPr>
          <w:lang w:val="en-US"/>
        </w:rPr>
        <w:t xml:space="preserve">In 2022, not </w:t>
      </w:r>
      <w:r w:rsidRPr="00D4136E">
        <w:rPr>
          <w:lang w:val="en-US"/>
        </w:rPr>
        <w:t xml:space="preserve">one company was </w:t>
      </w:r>
      <w:r>
        <w:rPr>
          <w:lang w:val="en-US"/>
        </w:rPr>
        <w:t>fined</w:t>
      </w:r>
      <w:r w:rsidRPr="00D4136E">
        <w:rPr>
          <w:lang w:val="en-GB"/>
        </w:rPr>
        <w:t xml:space="preserve">. See </w:t>
      </w:r>
      <w:r w:rsidR="00000000">
        <w:fldChar w:fldCharType="begin"/>
      </w:r>
      <w:r w:rsidR="00000000" w:rsidRPr="005751D1">
        <w:rPr>
          <w:lang w:val="en-GB"/>
        </w:rPr>
        <w:instrText>HYPERLINK "https://www.zeit.de/2023/54/behinderung-menschen-unternehmen-einstellungskriterien-inklusion"</w:instrText>
      </w:r>
      <w:r w:rsidR="00000000">
        <w:fldChar w:fldCharType="separate"/>
      </w:r>
      <w:proofErr w:type="spellStart"/>
      <w:r w:rsidRPr="00D4136E">
        <w:rPr>
          <w:rStyle w:val="Hyperlink"/>
          <w:i/>
          <w:iCs/>
          <w:lang w:val="en-US"/>
        </w:rPr>
        <w:t>Inklusion</w:t>
      </w:r>
      <w:proofErr w:type="spellEnd"/>
      <w:r w:rsidR="00000000">
        <w:rPr>
          <w:rStyle w:val="Hyperlink"/>
          <w:i/>
          <w:iCs/>
          <w:lang w:val="en-US"/>
        </w:rPr>
        <w:fldChar w:fldCharType="end"/>
      </w:r>
      <w:r>
        <w:rPr>
          <w:i/>
          <w:iCs/>
          <w:lang w:val="en-US"/>
        </w:rPr>
        <w:t xml:space="preserve">, </w:t>
      </w:r>
      <w:r>
        <w:rPr>
          <w:lang w:val="en-US"/>
        </w:rPr>
        <w:t>Die Zeit, 20 December 2023.</w:t>
      </w:r>
      <w:r w:rsidR="004D1559">
        <w:rPr>
          <w:lang w:val="en-US"/>
        </w:rPr>
        <w:t xml:space="preserve"> </w:t>
      </w:r>
    </w:p>
  </w:footnote>
  <w:footnote w:id="44">
    <w:p w14:paraId="6D399CAF"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r w:rsidR="00000000">
        <w:fldChar w:fldCharType="begin"/>
      </w:r>
      <w:r w:rsidR="00000000" w:rsidRPr="005751D1">
        <w:rPr>
          <w:lang w:val="en-GB"/>
        </w:rPr>
        <w:instrText>HYPERLINK "https://op.europa.eu/en/publication-detail/-/publication/6a5726b5-a70a-11eb-9585-01aa75ed71a1"</w:instrText>
      </w:r>
      <w:r w:rsidR="00000000">
        <w:fldChar w:fldCharType="separate"/>
      </w:r>
      <w:r w:rsidRPr="00CE3A08">
        <w:rPr>
          <w:rStyle w:val="Hyperlink"/>
          <w:rFonts w:cstheme="minorHAnsi"/>
          <w:bCs/>
          <w:szCs w:val="18"/>
          <w:lang w:val="en-GB"/>
        </w:rPr>
        <w:t>European Semester 2020-2021 country fiche on disability equality Germany</w:t>
      </w:r>
      <w:r w:rsidR="00000000">
        <w:rPr>
          <w:rStyle w:val="Hyperlink"/>
          <w:rFonts w:cstheme="minorHAnsi"/>
          <w:bCs/>
          <w:szCs w:val="18"/>
          <w:lang w:val="en-GB"/>
        </w:rPr>
        <w:fldChar w:fldCharType="end"/>
      </w:r>
      <w:r w:rsidRPr="00773CE9">
        <w:rPr>
          <w:rFonts w:cstheme="minorHAnsi"/>
          <w:bCs/>
          <w:szCs w:val="18"/>
          <w:lang w:val="en-GB"/>
        </w:rPr>
        <w:t>, February 2021.</w:t>
      </w:r>
    </w:p>
  </w:footnote>
  <w:footnote w:id="45">
    <w:p w14:paraId="563CD12C"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w:t>
      </w:r>
      <w:r>
        <w:rPr>
          <w:rFonts w:cstheme="minorHAnsi"/>
          <w:bCs/>
          <w:szCs w:val="18"/>
          <w:lang w:val="en-GB"/>
        </w:rPr>
        <w:t xml:space="preserve"> also</w:t>
      </w:r>
      <w:r w:rsidRPr="00773CE9">
        <w:rPr>
          <w:rFonts w:cstheme="minorHAnsi"/>
          <w:bCs/>
          <w:szCs w:val="18"/>
          <w:lang w:val="en-GB"/>
        </w:rPr>
        <w:t xml:space="preserve"> </w:t>
      </w:r>
      <w:r w:rsidR="00000000">
        <w:fldChar w:fldCharType="begin"/>
      </w:r>
      <w:r w:rsidR="00000000" w:rsidRPr="005751D1">
        <w:rPr>
          <w:lang w:val="en-GB"/>
        </w:rPr>
        <w:instrText>HYPERLINK "https://www.institut-fuer-menschenrechte.de/publikationen/detail/wer-inklusion-will-sucht-wege" \l ":~:text=%E2%80%9EWer%20Inklusion%20will%2C%20sucht%20Wege,UN%2DBRK%20in%20Deutschland%20charakterisieren."</w:instrText>
      </w:r>
      <w:r w:rsidR="00000000">
        <w:fldChar w:fldCharType="separate"/>
      </w:r>
      <w:proofErr w:type="spellStart"/>
      <w:r w:rsidRPr="00176888">
        <w:rPr>
          <w:rStyle w:val="Hyperlink"/>
          <w:rFonts w:cstheme="minorHAnsi"/>
          <w:bCs/>
          <w:i/>
          <w:iCs/>
          <w:szCs w:val="18"/>
          <w:lang w:val="en-GB"/>
        </w:rPr>
        <w:t>Wer</w:t>
      </w:r>
      <w:proofErr w:type="spellEnd"/>
      <w:r w:rsidRPr="00176888">
        <w:rPr>
          <w:rStyle w:val="Hyperlink"/>
          <w:rFonts w:cstheme="minorHAnsi"/>
          <w:bCs/>
          <w:i/>
          <w:iCs/>
          <w:szCs w:val="18"/>
          <w:lang w:val="en-GB"/>
        </w:rPr>
        <w:t xml:space="preserve"> </w:t>
      </w:r>
      <w:proofErr w:type="spellStart"/>
      <w:r w:rsidRPr="00176888">
        <w:rPr>
          <w:rStyle w:val="Hyperlink"/>
          <w:rFonts w:cstheme="minorHAnsi"/>
          <w:bCs/>
          <w:i/>
          <w:iCs/>
          <w:szCs w:val="18"/>
          <w:lang w:val="en-GB"/>
        </w:rPr>
        <w:t>Inklusion</w:t>
      </w:r>
      <w:proofErr w:type="spellEnd"/>
      <w:r w:rsidRPr="00176888">
        <w:rPr>
          <w:rStyle w:val="Hyperlink"/>
          <w:rFonts w:cstheme="minorHAnsi"/>
          <w:bCs/>
          <w:i/>
          <w:iCs/>
          <w:szCs w:val="18"/>
          <w:lang w:val="en-GB"/>
        </w:rPr>
        <w:t xml:space="preserve"> will, </w:t>
      </w:r>
      <w:proofErr w:type="spellStart"/>
      <w:r w:rsidRPr="00176888">
        <w:rPr>
          <w:rStyle w:val="Hyperlink"/>
          <w:rFonts w:cstheme="minorHAnsi"/>
          <w:bCs/>
          <w:i/>
          <w:iCs/>
          <w:szCs w:val="18"/>
          <w:lang w:val="en-GB"/>
        </w:rPr>
        <w:t>sucht</w:t>
      </w:r>
      <w:proofErr w:type="spellEnd"/>
      <w:r w:rsidRPr="00176888">
        <w:rPr>
          <w:rStyle w:val="Hyperlink"/>
          <w:rFonts w:cstheme="minorHAnsi"/>
          <w:bCs/>
          <w:i/>
          <w:iCs/>
          <w:szCs w:val="18"/>
          <w:lang w:val="en-GB"/>
        </w:rPr>
        <w:t xml:space="preserve"> </w:t>
      </w:r>
      <w:proofErr w:type="spellStart"/>
      <w:r w:rsidRPr="00176888">
        <w:rPr>
          <w:rStyle w:val="Hyperlink"/>
          <w:rFonts w:cstheme="minorHAnsi"/>
          <w:bCs/>
          <w:i/>
          <w:iCs/>
          <w:szCs w:val="18"/>
          <w:lang w:val="en-GB"/>
        </w:rPr>
        <w:t>Wege</w:t>
      </w:r>
      <w:proofErr w:type="spellEnd"/>
      <w:r w:rsidR="00000000">
        <w:rPr>
          <w:rStyle w:val="Hyperlink"/>
          <w:rFonts w:cstheme="minorHAnsi"/>
          <w:bCs/>
          <w:i/>
          <w:iCs/>
          <w:szCs w:val="18"/>
          <w:lang w:val="en-GB"/>
        </w:rPr>
        <w:fldChar w:fldCharType="end"/>
      </w:r>
      <w:r w:rsidRPr="00773CE9">
        <w:rPr>
          <w:rFonts w:cstheme="minorHAnsi"/>
          <w:bCs/>
          <w:i/>
          <w:iCs/>
          <w:szCs w:val="18"/>
          <w:lang w:val="en-GB"/>
        </w:rPr>
        <w:t xml:space="preserve"> </w:t>
      </w:r>
      <w:r>
        <w:rPr>
          <w:rFonts w:cstheme="minorHAnsi"/>
          <w:bCs/>
          <w:i/>
          <w:iCs/>
          <w:szCs w:val="18"/>
          <w:lang w:val="en-GB"/>
        </w:rPr>
        <w:t>–</w:t>
      </w:r>
      <w:r w:rsidRPr="00773CE9">
        <w:rPr>
          <w:rFonts w:cstheme="minorHAnsi"/>
          <w:bCs/>
          <w:i/>
          <w:iCs/>
          <w:szCs w:val="18"/>
          <w:lang w:val="en-GB"/>
        </w:rPr>
        <w:t xml:space="preserve"> </w:t>
      </w:r>
      <w:proofErr w:type="spellStart"/>
      <w:r w:rsidRPr="00773CE9">
        <w:rPr>
          <w:rFonts w:cstheme="minorHAnsi"/>
          <w:bCs/>
          <w:i/>
          <w:iCs/>
          <w:szCs w:val="18"/>
          <w:lang w:val="en-GB"/>
        </w:rPr>
        <w:t>Zehn</w:t>
      </w:r>
      <w:proofErr w:type="spellEnd"/>
      <w:r w:rsidRPr="00773CE9">
        <w:rPr>
          <w:rFonts w:cstheme="minorHAnsi"/>
          <w:bCs/>
          <w:i/>
          <w:iCs/>
          <w:szCs w:val="18"/>
          <w:lang w:val="en-GB"/>
        </w:rPr>
        <w:t xml:space="preserve"> Jahre UN-</w:t>
      </w:r>
      <w:proofErr w:type="spellStart"/>
      <w:r w:rsidRPr="00773CE9">
        <w:rPr>
          <w:rFonts w:cstheme="minorHAnsi"/>
          <w:bCs/>
          <w:i/>
          <w:iCs/>
          <w:szCs w:val="18"/>
          <w:lang w:val="en-GB"/>
        </w:rPr>
        <w:t>Behindertenrechtskonvention</w:t>
      </w:r>
      <w:proofErr w:type="spellEnd"/>
      <w:r w:rsidRPr="00773CE9">
        <w:rPr>
          <w:rFonts w:cstheme="minorHAnsi"/>
          <w:bCs/>
          <w:i/>
          <w:iCs/>
          <w:szCs w:val="18"/>
          <w:lang w:val="en-GB"/>
        </w:rPr>
        <w:t xml:space="preserve"> in Deutschland, </w:t>
      </w:r>
      <w:r w:rsidRPr="00773CE9">
        <w:rPr>
          <w:rFonts w:cstheme="minorHAnsi"/>
          <w:bCs/>
          <w:szCs w:val="18"/>
          <w:lang w:val="en-GB"/>
        </w:rPr>
        <w:t>GI</w:t>
      </w:r>
      <w:r>
        <w:rPr>
          <w:rFonts w:cstheme="minorHAnsi"/>
          <w:bCs/>
          <w:szCs w:val="18"/>
          <w:lang w:val="en-GB"/>
        </w:rPr>
        <w:t>H</w:t>
      </w:r>
      <w:r w:rsidRPr="00773CE9">
        <w:rPr>
          <w:rFonts w:cstheme="minorHAnsi"/>
          <w:bCs/>
          <w:szCs w:val="18"/>
          <w:lang w:val="en-GB"/>
        </w:rPr>
        <w:t>R, March 2019.</w:t>
      </w:r>
    </w:p>
  </w:footnote>
  <w:footnote w:id="46">
    <w:p w14:paraId="76315887" w14:textId="77777777" w:rsidR="004A5AEE" w:rsidRPr="00E2778F" w:rsidRDefault="004A5AEE" w:rsidP="004A5AEE">
      <w:pPr>
        <w:pStyle w:val="FootnoteText"/>
        <w:rPr>
          <w:lang w:val="en-GB"/>
        </w:rPr>
      </w:pPr>
      <w:r>
        <w:rPr>
          <w:rStyle w:val="FootnoteReference"/>
        </w:rPr>
        <w:footnoteRef/>
      </w:r>
      <w:r w:rsidRPr="00DA4818">
        <w:rPr>
          <w:lang w:val="en-US"/>
        </w:rPr>
        <w:t xml:space="preserve"> </w:t>
      </w:r>
      <w:r w:rsidRPr="00BB736D">
        <w:rPr>
          <w:lang w:val="en-GB"/>
        </w:rPr>
        <w:t>See, among others</w:t>
      </w:r>
      <w:r w:rsidRPr="00DA4818">
        <w:rPr>
          <w:lang w:val="en-US"/>
        </w:rPr>
        <w:t xml:space="preserve">, </w:t>
      </w:r>
      <w:bookmarkStart w:id="39" w:name="_Toc140652861"/>
      <w:bookmarkStart w:id="40" w:name="_Toc140770530"/>
      <w:r>
        <w:rPr>
          <w:rFonts w:cstheme="minorHAnsi"/>
          <w:bCs/>
          <w:i/>
          <w:iCs/>
          <w:szCs w:val="18"/>
          <w:lang w:val="en-GB"/>
        </w:rPr>
        <w:fldChar w:fldCharType="begin"/>
      </w:r>
      <w:r>
        <w:rPr>
          <w:rFonts w:cstheme="minorHAnsi"/>
          <w:bCs/>
          <w:i/>
          <w:iCs/>
          <w:szCs w:val="18"/>
          <w:lang w:val="en-GB"/>
        </w:rPr>
        <w:instrText>HYPERLINK "https://vdk.mmcm-on.de/deutscher-behindertenrat/mime/00134313D1692034152.pdf"</w:instrText>
      </w:r>
      <w:r>
        <w:rPr>
          <w:rFonts w:cstheme="minorHAnsi"/>
          <w:bCs/>
          <w:i/>
          <w:iCs/>
          <w:szCs w:val="18"/>
          <w:lang w:val="en-GB"/>
        </w:rPr>
      </w:r>
      <w:r>
        <w:rPr>
          <w:rFonts w:cstheme="minorHAnsi"/>
          <w:bCs/>
          <w:i/>
          <w:iCs/>
          <w:szCs w:val="18"/>
          <w:lang w:val="en-GB"/>
        </w:rPr>
        <w:fldChar w:fldCharType="separate"/>
      </w:r>
      <w:r w:rsidRPr="00176888">
        <w:rPr>
          <w:rStyle w:val="Hyperlink"/>
          <w:rFonts w:cstheme="minorHAnsi"/>
          <w:bCs/>
          <w:i/>
          <w:iCs/>
          <w:szCs w:val="18"/>
          <w:lang w:val="en-GB"/>
        </w:rPr>
        <w:t>Human Rights Now!</w:t>
      </w:r>
      <w:bookmarkStart w:id="41" w:name="_Toc140652862"/>
      <w:bookmarkStart w:id="42" w:name="_Toc140770532"/>
      <w:bookmarkEnd w:id="39"/>
      <w:bookmarkEnd w:id="40"/>
      <w:r>
        <w:rPr>
          <w:rFonts w:cstheme="minorHAnsi"/>
          <w:bCs/>
          <w:i/>
          <w:iCs/>
          <w:szCs w:val="18"/>
          <w:lang w:val="en-GB"/>
        </w:rPr>
        <w:fldChar w:fldCharType="end"/>
      </w:r>
      <w:r w:rsidRPr="00773CE9">
        <w:rPr>
          <w:rFonts w:cstheme="minorHAnsi"/>
          <w:bCs/>
          <w:i/>
          <w:iCs/>
          <w:szCs w:val="18"/>
          <w:lang w:val="en-GB"/>
        </w:rPr>
        <w:t xml:space="preserve"> </w:t>
      </w:r>
      <w:r w:rsidRPr="00773CE9">
        <w:rPr>
          <w:rFonts w:cstheme="minorHAnsi"/>
          <w:bCs/>
          <w:szCs w:val="18"/>
          <w:lang w:val="en-GB"/>
        </w:rPr>
        <w:t>Joint Civil Society Report on the 2</w:t>
      </w:r>
      <w:r w:rsidRPr="00D4136E">
        <w:rPr>
          <w:rFonts w:cstheme="minorHAnsi"/>
          <w:bCs/>
          <w:szCs w:val="18"/>
          <w:vertAlign w:val="superscript"/>
          <w:lang w:val="en-GB"/>
        </w:rPr>
        <w:t>nd</w:t>
      </w:r>
      <w:r w:rsidRPr="00773CE9">
        <w:rPr>
          <w:rFonts w:cstheme="minorHAnsi"/>
          <w:bCs/>
          <w:szCs w:val="18"/>
          <w:lang w:val="en-GB"/>
        </w:rPr>
        <w:t xml:space="preserve"> and 3</w:t>
      </w:r>
      <w:r w:rsidRPr="00D4136E">
        <w:rPr>
          <w:rFonts w:cstheme="minorHAnsi"/>
          <w:bCs/>
          <w:szCs w:val="18"/>
          <w:vertAlign w:val="superscript"/>
          <w:lang w:val="en-GB"/>
        </w:rPr>
        <w:t>rd</w:t>
      </w:r>
      <w:r w:rsidRPr="00773CE9">
        <w:rPr>
          <w:rFonts w:cstheme="minorHAnsi"/>
          <w:bCs/>
          <w:szCs w:val="18"/>
          <w:lang w:val="en-GB"/>
        </w:rPr>
        <w:t xml:space="preserve"> State Report</w:t>
      </w:r>
      <w:r>
        <w:rPr>
          <w:rFonts w:cstheme="minorHAnsi"/>
          <w:bCs/>
          <w:szCs w:val="18"/>
          <w:lang w:val="en-GB"/>
        </w:rPr>
        <w:t>s</w:t>
      </w:r>
      <w:r w:rsidRPr="00773CE9">
        <w:rPr>
          <w:rFonts w:cstheme="minorHAnsi"/>
          <w:bCs/>
          <w:szCs w:val="18"/>
          <w:lang w:val="en-GB"/>
        </w:rPr>
        <w:t xml:space="preserve"> of the German Federal Government on the Implementation of the United Nations Convention on the Rights of Persons with Disabilities by Germany</w:t>
      </w:r>
      <w:bookmarkEnd w:id="41"/>
      <w:bookmarkEnd w:id="42"/>
      <w:r w:rsidRPr="00773CE9">
        <w:rPr>
          <w:rFonts w:cstheme="minorHAnsi"/>
          <w:bCs/>
          <w:szCs w:val="18"/>
          <w:lang w:val="en-GB"/>
        </w:rPr>
        <w:t xml:space="preserve">, </w:t>
      </w:r>
      <w:r>
        <w:rPr>
          <w:rFonts w:cstheme="minorHAnsi"/>
          <w:bCs/>
          <w:szCs w:val="18"/>
          <w:lang w:val="en-GB"/>
        </w:rPr>
        <w:t>s</w:t>
      </w:r>
      <w:r w:rsidRPr="00773CE9">
        <w:rPr>
          <w:rFonts w:cstheme="minorHAnsi"/>
          <w:bCs/>
          <w:szCs w:val="18"/>
          <w:lang w:val="en-GB"/>
        </w:rPr>
        <w:t>ubmitted by the Alliance of German Non-Governmental Organisations on the CRPD, July 2023</w:t>
      </w:r>
      <w:r>
        <w:rPr>
          <w:rFonts w:cstheme="minorHAnsi"/>
          <w:bCs/>
          <w:szCs w:val="18"/>
          <w:lang w:val="en-GB"/>
        </w:rPr>
        <w:t>.</w:t>
      </w:r>
    </w:p>
  </w:footnote>
  <w:footnote w:id="47">
    <w:p w14:paraId="5E1E2130"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r w:rsidR="00000000">
        <w:fldChar w:fldCharType="begin"/>
      </w:r>
      <w:r w:rsidR="00000000" w:rsidRPr="005751D1">
        <w:rPr>
          <w:lang w:val="en-GB"/>
        </w:rPr>
        <w:instrText>HYPERLINK "https://dserver.bundestag.de/btd/20/051/2005150.pdf"</w:instrText>
      </w:r>
      <w:r w:rsidR="00000000">
        <w:fldChar w:fldCharType="separate"/>
      </w:r>
      <w:r w:rsidRPr="00DC1F2B">
        <w:rPr>
          <w:rStyle w:val="Hyperlink"/>
          <w:rFonts w:cstheme="minorHAnsi"/>
          <w:bCs/>
          <w:szCs w:val="18"/>
          <w:lang w:val="en-GB"/>
        </w:rPr>
        <w:t>Report on the state and results of measures taken according to Article 25II – IV BTHG</w:t>
      </w:r>
      <w:r w:rsidR="00000000">
        <w:rPr>
          <w:rStyle w:val="Hyperlink"/>
          <w:rFonts w:cstheme="minorHAnsi"/>
          <w:bCs/>
          <w:szCs w:val="18"/>
          <w:lang w:val="en-GB"/>
        </w:rPr>
        <w:fldChar w:fldCharType="end"/>
      </w:r>
      <w:r w:rsidRPr="00773CE9">
        <w:rPr>
          <w:rFonts w:cstheme="minorHAnsi"/>
          <w:bCs/>
          <w:szCs w:val="18"/>
          <w:lang w:val="en-GB"/>
        </w:rPr>
        <w:t>, 23 December 2022.</w:t>
      </w:r>
    </w:p>
  </w:footnote>
  <w:footnote w:id="48">
    <w:p w14:paraId="44EC08E0"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w:t>
      </w:r>
      <w:r>
        <w:rPr>
          <w:rFonts w:cstheme="minorHAnsi"/>
          <w:bCs/>
          <w:szCs w:val="18"/>
          <w:lang w:val="en-GB"/>
        </w:rPr>
        <w:t xml:space="preserve"> </w:t>
      </w:r>
      <w:r w:rsidR="00000000">
        <w:fldChar w:fldCharType="begin"/>
      </w:r>
      <w:r w:rsidR="00000000" w:rsidRPr="005751D1">
        <w:rPr>
          <w:lang w:val="en-GB"/>
        </w:rPr>
        <w:instrText>HYPERLINK "https://www.coe.int/en/web/european-social-charter/pending-complaints/-/asset_publisher/lf8ufoBY2Thr/content/no-168-2018-european-disability-forum-and-inclusion-europe-v-france"</w:instrText>
      </w:r>
      <w:r w:rsidR="00000000">
        <w:fldChar w:fldCharType="separate"/>
      </w:r>
      <w:r w:rsidRPr="00D4136E">
        <w:rPr>
          <w:rStyle w:val="Hyperlink"/>
          <w:rFonts w:cstheme="minorHAnsi"/>
          <w:bCs/>
          <w:szCs w:val="18"/>
          <w:lang w:val="en-GB"/>
        </w:rPr>
        <w:t>European Disability Forum (EDF) and Inclusion Europe v. France</w:t>
      </w:r>
      <w:r w:rsidR="00000000">
        <w:rPr>
          <w:rStyle w:val="Hyperlink"/>
          <w:rFonts w:cstheme="minorHAnsi"/>
          <w:bCs/>
          <w:szCs w:val="18"/>
          <w:lang w:val="en-GB"/>
        </w:rPr>
        <w:fldChar w:fldCharType="end"/>
      </w:r>
      <w:r>
        <w:rPr>
          <w:rFonts w:cstheme="minorHAnsi"/>
          <w:bCs/>
          <w:szCs w:val="18"/>
          <w:lang w:val="en-GB"/>
        </w:rPr>
        <w:t xml:space="preserve">, Complaint No. 168/2018, </w:t>
      </w:r>
      <w:r w:rsidRPr="00773CE9">
        <w:rPr>
          <w:rFonts w:cstheme="minorHAnsi"/>
          <w:szCs w:val="18"/>
          <w:lang w:val="en-GB"/>
        </w:rPr>
        <w:t>adopted on 19 October 2022.</w:t>
      </w:r>
    </w:p>
  </w:footnote>
  <w:footnote w:id="49">
    <w:p w14:paraId="2E1D5C6E" w14:textId="77777777" w:rsidR="004A5AEE" w:rsidRPr="00AA5876" w:rsidRDefault="004A5AEE" w:rsidP="004A5AEE">
      <w:pPr>
        <w:pStyle w:val="FootnoteText"/>
        <w:rPr>
          <w:lang w:val="da-DK"/>
        </w:rPr>
      </w:pPr>
      <w:r>
        <w:rPr>
          <w:rStyle w:val="FootnoteReference"/>
        </w:rPr>
        <w:footnoteRef/>
      </w:r>
      <w:r w:rsidRPr="00AA5876">
        <w:rPr>
          <w:lang w:val="da-DK"/>
        </w:rPr>
        <w:t xml:space="preserve"> </w:t>
      </w:r>
      <w:r w:rsidRPr="00AA5876">
        <w:rPr>
          <w:lang w:val="da-DK"/>
        </w:rPr>
        <w:t xml:space="preserve">See </w:t>
      </w:r>
      <w:hyperlink r:id="rId9" w:history="1">
        <w:r w:rsidRPr="00AA5876">
          <w:rPr>
            <w:rStyle w:val="Hyperlink"/>
            <w:i/>
            <w:iCs/>
            <w:lang w:val="da-DK"/>
          </w:rPr>
          <w:t xml:space="preserve">Diskriminierungserfahrungen in Deutschland </w:t>
        </w:r>
        <w:r>
          <w:rPr>
            <w:rStyle w:val="Hyperlink"/>
            <w:i/>
            <w:iCs/>
            <w:lang w:val="da-DK"/>
          </w:rPr>
          <w:t>–</w:t>
        </w:r>
        <w:r w:rsidRPr="00AA5876">
          <w:rPr>
            <w:rStyle w:val="Hyperlink"/>
            <w:i/>
            <w:iCs/>
            <w:lang w:val="da-DK"/>
          </w:rPr>
          <w:t xml:space="preserve"> Ergebnisse einer Repräsentativ- und einer Betroffenenbefragung</w:t>
        </w:r>
      </w:hyperlink>
      <w:r w:rsidRPr="00AA5876">
        <w:rPr>
          <w:lang w:val="da-DK"/>
        </w:rPr>
        <w:t>, 2017.</w:t>
      </w:r>
    </w:p>
  </w:footnote>
  <w:footnote w:id="50">
    <w:p w14:paraId="376FC6BF" w14:textId="77777777" w:rsidR="004A5AEE" w:rsidRPr="00253D00" w:rsidRDefault="004A5AEE" w:rsidP="004A5AEE">
      <w:pPr>
        <w:pStyle w:val="FootnoteText"/>
        <w:rPr>
          <w:lang w:val="en-GB"/>
        </w:rPr>
      </w:pPr>
      <w:r>
        <w:rPr>
          <w:rStyle w:val="FootnoteReference"/>
        </w:rPr>
        <w:footnoteRef/>
      </w:r>
      <w:r w:rsidRPr="00D90B39">
        <w:rPr>
          <w:lang w:val="en-US"/>
        </w:rPr>
        <w:t xml:space="preserve"> </w:t>
      </w:r>
      <w:r>
        <w:rPr>
          <w:lang w:val="en-GB"/>
        </w:rPr>
        <w:t xml:space="preserve">See </w:t>
      </w:r>
      <w:r w:rsidR="00000000">
        <w:fldChar w:fldCharType="begin"/>
      </w:r>
      <w:r w:rsidR="00000000" w:rsidRPr="005751D1">
        <w:rPr>
          <w:lang w:val="en-GB"/>
        </w:rPr>
        <w:instrText>HYPERLINK "http://fra.europa.eu/en/publication/2023/being-black-eu"</w:instrText>
      </w:r>
      <w:r w:rsidR="00000000">
        <w:fldChar w:fldCharType="separate"/>
      </w:r>
      <w:r w:rsidRPr="00DC1F2B">
        <w:rPr>
          <w:rStyle w:val="Hyperlink"/>
          <w:lang w:val="en-GB"/>
        </w:rPr>
        <w:t>Being Black in the EU – Experiences of People of African Descent</w:t>
      </w:r>
      <w:r w:rsidR="00000000">
        <w:rPr>
          <w:rStyle w:val="Hyperlink"/>
          <w:lang w:val="en-GB"/>
        </w:rPr>
        <w:fldChar w:fldCharType="end"/>
      </w:r>
      <w:r>
        <w:rPr>
          <w:lang w:val="en-GB"/>
        </w:rPr>
        <w:t xml:space="preserve">, EU Survey on Immigrants and Descendants of Immigrants, EU Agency for Fundamental Rights, 2023. </w:t>
      </w:r>
    </w:p>
  </w:footnote>
  <w:footnote w:id="51">
    <w:p w14:paraId="56285E9C" w14:textId="77777777" w:rsidR="004A5AEE" w:rsidRPr="003D5F13" w:rsidRDefault="004A5AEE" w:rsidP="004A5AEE">
      <w:pPr>
        <w:pStyle w:val="FootnoteText"/>
        <w:rPr>
          <w:lang w:val="en-GB"/>
        </w:rPr>
      </w:pPr>
      <w:r>
        <w:rPr>
          <w:rStyle w:val="FootnoteReference"/>
        </w:rPr>
        <w:footnoteRef/>
      </w:r>
      <w:r w:rsidRPr="00D90B39">
        <w:rPr>
          <w:lang w:val="en-US"/>
        </w:rPr>
        <w:t xml:space="preserve"> </w:t>
      </w:r>
      <w:r>
        <w:rPr>
          <w:lang w:val="en-GB"/>
        </w:rPr>
        <w:t xml:space="preserve">See </w:t>
      </w:r>
      <w:r w:rsidR="00000000">
        <w:fldChar w:fldCharType="begin"/>
      </w:r>
      <w:r w:rsidR="00000000" w:rsidRPr="005751D1">
        <w:rPr>
          <w:lang w:val="en-GB"/>
        </w:rPr>
        <w:instrText>HYPERLINK "https://www.bundesverfassungsgericht.de/SharedDocs/Entscheidungen/EN/2021/12/rs20211216_1bvr154120en.html"</w:instrText>
      </w:r>
      <w:r w:rsidR="00000000">
        <w:fldChar w:fldCharType="separate"/>
      </w:r>
      <w:r w:rsidRPr="00DC1F2B">
        <w:rPr>
          <w:rStyle w:val="Hyperlink"/>
          <w:lang w:val="en-GB"/>
        </w:rPr>
        <w:t xml:space="preserve">Decision of the First Senate of the Federal Constitutional Court, 1 </w:t>
      </w:r>
      <w:proofErr w:type="spellStart"/>
      <w:r w:rsidRPr="00DC1F2B">
        <w:rPr>
          <w:rStyle w:val="Hyperlink"/>
          <w:lang w:val="en-GB"/>
        </w:rPr>
        <w:t>BvR</w:t>
      </w:r>
      <w:proofErr w:type="spellEnd"/>
      <w:r w:rsidRPr="00DC1F2B">
        <w:rPr>
          <w:rStyle w:val="Hyperlink"/>
          <w:lang w:val="en-GB"/>
        </w:rPr>
        <w:t xml:space="preserve"> 1541/20</w:t>
      </w:r>
      <w:r w:rsidR="00000000">
        <w:rPr>
          <w:rStyle w:val="Hyperlink"/>
          <w:lang w:val="en-GB"/>
        </w:rPr>
        <w:fldChar w:fldCharType="end"/>
      </w:r>
      <w:r>
        <w:rPr>
          <w:lang w:val="en-GB"/>
        </w:rPr>
        <w:t xml:space="preserve">, of 16 December 2021. </w:t>
      </w:r>
    </w:p>
  </w:footnote>
  <w:footnote w:id="52">
    <w:p w14:paraId="65C25C9D" w14:textId="77777777" w:rsidR="004A5AEE" w:rsidRPr="00AA5876" w:rsidRDefault="004A5AEE" w:rsidP="004A5AEE">
      <w:pPr>
        <w:pStyle w:val="FootnoteText"/>
        <w:rPr>
          <w:rFonts w:cstheme="minorHAnsi"/>
          <w:b/>
          <w:bCs/>
          <w:szCs w:val="18"/>
          <w:lang w:val="da-DK"/>
        </w:rPr>
      </w:pPr>
      <w:r w:rsidRPr="00773CE9">
        <w:rPr>
          <w:rStyle w:val="FootnoteReference"/>
          <w:rFonts w:cstheme="minorHAnsi"/>
          <w:bCs/>
          <w:szCs w:val="18"/>
          <w:lang w:val="en-GB"/>
        </w:rPr>
        <w:footnoteRef/>
      </w:r>
      <w:r w:rsidRPr="00AA5876">
        <w:rPr>
          <w:rFonts w:cstheme="minorHAnsi"/>
          <w:bCs/>
          <w:szCs w:val="18"/>
          <w:lang w:val="da-DK"/>
        </w:rPr>
        <w:t xml:space="preserve"> </w:t>
      </w:r>
      <w:r w:rsidRPr="00AA5876">
        <w:rPr>
          <w:rFonts w:cstheme="minorHAnsi"/>
          <w:bCs/>
          <w:szCs w:val="18"/>
          <w:lang w:val="da-DK"/>
        </w:rPr>
        <w:t xml:space="preserve">See </w:t>
      </w:r>
      <w:hyperlink r:id="rId10" w:history="1">
        <w:r w:rsidRPr="00AA5876">
          <w:rPr>
            <w:rStyle w:val="Hyperlink"/>
            <w:rFonts w:cstheme="minorHAnsi"/>
            <w:bCs/>
            <w:szCs w:val="18"/>
            <w:lang w:val="da-DK"/>
          </w:rPr>
          <w:t>Evaluation des AGG, erstellt im Auftrag der Antidiskriminierungsstelle des Bundes</w:t>
        </w:r>
      </w:hyperlink>
      <w:r w:rsidRPr="00AA5876">
        <w:rPr>
          <w:rFonts w:cstheme="minorHAnsi"/>
          <w:bCs/>
          <w:szCs w:val="18"/>
          <w:lang w:val="da-DK"/>
        </w:rPr>
        <w:t>, O</w:t>
      </w:r>
      <w:r>
        <w:rPr>
          <w:rFonts w:cstheme="minorHAnsi"/>
          <w:bCs/>
          <w:szCs w:val="18"/>
          <w:lang w:val="da-DK"/>
        </w:rPr>
        <w:t>c</w:t>
      </w:r>
      <w:r w:rsidRPr="00AA5876">
        <w:rPr>
          <w:rFonts w:cstheme="minorHAnsi"/>
          <w:bCs/>
          <w:szCs w:val="18"/>
          <w:lang w:val="da-DK"/>
        </w:rPr>
        <w:t xml:space="preserve">tober 2016. </w:t>
      </w:r>
    </w:p>
  </w:footnote>
  <w:footnote w:id="53">
    <w:p w14:paraId="6C67D9FC"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r>
        <w:rPr>
          <w:rFonts w:cstheme="minorHAnsi"/>
          <w:bCs/>
          <w:szCs w:val="18"/>
          <w:lang w:val="en-GB"/>
        </w:rPr>
        <w:t xml:space="preserve">also </w:t>
      </w:r>
      <w:r w:rsidR="00000000">
        <w:fldChar w:fldCharType="begin"/>
      </w:r>
      <w:r w:rsidR="00000000" w:rsidRPr="005751D1">
        <w:rPr>
          <w:lang w:val="en-GB"/>
        </w:rPr>
        <w:instrText>HYPERLINK "https://rm.coe.int/ecri-report-on-germany-sixth-monitoring-cycle-/16809ce4be"</w:instrText>
      </w:r>
      <w:r w:rsidR="00000000">
        <w:fldChar w:fldCharType="separate"/>
      </w:r>
      <w:r w:rsidRPr="00D05653">
        <w:rPr>
          <w:rStyle w:val="Hyperlink"/>
          <w:rFonts w:cstheme="minorHAnsi"/>
          <w:bCs/>
          <w:szCs w:val="18"/>
          <w:lang w:val="en-GB"/>
        </w:rPr>
        <w:t>ECRI Report on Germany</w:t>
      </w:r>
      <w:r w:rsidR="00000000">
        <w:rPr>
          <w:rStyle w:val="Hyperlink"/>
          <w:rFonts w:cstheme="minorHAnsi"/>
          <w:bCs/>
          <w:szCs w:val="18"/>
          <w:lang w:val="en-GB"/>
        </w:rPr>
        <w:fldChar w:fldCharType="end"/>
      </w:r>
      <w:r>
        <w:rPr>
          <w:rFonts w:cstheme="minorHAnsi"/>
          <w:bCs/>
          <w:szCs w:val="18"/>
          <w:lang w:val="en-GB"/>
        </w:rPr>
        <w:t xml:space="preserve"> (sixth monitoring cycle), </w:t>
      </w:r>
      <w:r w:rsidRPr="00773CE9">
        <w:rPr>
          <w:rFonts w:cstheme="minorHAnsi"/>
          <w:bCs/>
          <w:szCs w:val="18"/>
          <w:lang w:val="en-GB"/>
        </w:rPr>
        <w:t>adopted on 10 December 2019.</w:t>
      </w:r>
    </w:p>
  </w:footnote>
  <w:footnote w:id="54">
    <w:p w14:paraId="6722886A" w14:textId="77777777" w:rsidR="004A5AEE" w:rsidRPr="00DD3E53" w:rsidRDefault="004A5AEE" w:rsidP="004A5AEE">
      <w:pPr>
        <w:pStyle w:val="FootnoteText"/>
        <w:rPr>
          <w:lang w:val="en-GB"/>
        </w:rPr>
      </w:pPr>
      <w:r>
        <w:rPr>
          <w:rStyle w:val="FootnoteReference"/>
        </w:rPr>
        <w:footnoteRef/>
      </w:r>
      <w:r w:rsidRPr="00DA4818">
        <w:rPr>
          <w:lang w:val="en-US"/>
        </w:rPr>
        <w:t xml:space="preserve"> </w:t>
      </w:r>
      <w:r>
        <w:rPr>
          <w:lang w:val="en-GB"/>
        </w:rPr>
        <w:t xml:space="preserve">See </w:t>
      </w:r>
      <w:r w:rsidR="00000000">
        <w:fldChar w:fldCharType="begin"/>
      </w:r>
      <w:r w:rsidR="00000000" w:rsidRPr="005751D1">
        <w:rPr>
          <w:lang w:val="en-GB"/>
        </w:rPr>
        <w:instrText>HYPERLINK "http://rm.coe.int/ecri-general-policy-recommendation-no-7-revised-on-national-legislatio/16808b5aae"</w:instrText>
      </w:r>
      <w:r w:rsidR="00000000">
        <w:fldChar w:fldCharType="separate"/>
      </w:r>
      <w:r w:rsidRPr="00DD3E53">
        <w:rPr>
          <w:rStyle w:val="Hyperlink"/>
          <w:lang w:val="en-GB"/>
        </w:rPr>
        <w:t>ECR</w:t>
      </w:r>
      <w:r>
        <w:rPr>
          <w:rStyle w:val="Hyperlink"/>
          <w:lang w:val="en-GB"/>
        </w:rPr>
        <w:t>I</w:t>
      </w:r>
      <w:r w:rsidRPr="00DD3E53">
        <w:rPr>
          <w:rStyle w:val="Hyperlink"/>
          <w:lang w:val="en-GB"/>
        </w:rPr>
        <w:t xml:space="preserve"> GPR no. 7</w:t>
      </w:r>
      <w:r w:rsidR="00000000">
        <w:rPr>
          <w:rStyle w:val="Hyperlink"/>
          <w:lang w:val="en-GB"/>
        </w:rPr>
        <w:fldChar w:fldCharType="end"/>
      </w:r>
      <w:r>
        <w:rPr>
          <w:lang w:val="en-GB"/>
        </w:rPr>
        <w:t>,</w:t>
      </w:r>
      <w:r w:rsidRPr="00DD3E53">
        <w:rPr>
          <w:lang w:val="en-GB"/>
        </w:rPr>
        <w:t xml:space="preserve"> paragraph 11</w:t>
      </w:r>
      <w:r>
        <w:rPr>
          <w:lang w:val="en-GB"/>
        </w:rPr>
        <w:t xml:space="preserve">; </w:t>
      </w:r>
      <w:r w:rsidR="00000000">
        <w:fldChar w:fldCharType="begin"/>
      </w:r>
      <w:r w:rsidR="00000000" w:rsidRPr="005751D1">
        <w:rPr>
          <w:lang w:val="en-GB"/>
        </w:rPr>
        <w:instrText>HYPERLINK "https://eur-lex.europa.eu/legal-content/EN/TXT/?uri=CELEX%3A32000L0043"</w:instrText>
      </w:r>
      <w:r w:rsidR="00000000">
        <w:fldChar w:fldCharType="separate"/>
      </w:r>
      <w:r w:rsidRPr="00DD3E53">
        <w:rPr>
          <w:rStyle w:val="Hyperlink"/>
          <w:lang w:val="en-GB"/>
        </w:rPr>
        <w:t>EU Directive 2000/43/EC</w:t>
      </w:r>
      <w:r w:rsidR="00000000">
        <w:rPr>
          <w:rStyle w:val="Hyperlink"/>
          <w:lang w:val="en-GB"/>
        </w:rPr>
        <w:fldChar w:fldCharType="end"/>
      </w:r>
      <w:r w:rsidRPr="00DD3E53">
        <w:rPr>
          <w:lang w:val="en-GB"/>
        </w:rPr>
        <w:t xml:space="preserve"> implementing the principle of equal treatment between persons irrespective of ra</w:t>
      </w:r>
      <w:r>
        <w:rPr>
          <w:lang w:val="en-GB"/>
        </w:rPr>
        <w:t>c</w:t>
      </w:r>
      <w:r w:rsidRPr="00DD3E53">
        <w:rPr>
          <w:lang w:val="en-GB"/>
        </w:rPr>
        <w:t xml:space="preserve">ial or ethnic origin, recital 21 and </w:t>
      </w:r>
      <w:r>
        <w:rPr>
          <w:lang w:val="en-GB"/>
        </w:rPr>
        <w:t>a</w:t>
      </w:r>
      <w:r w:rsidRPr="00DD3E53">
        <w:rPr>
          <w:lang w:val="en-GB"/>
        </w:rPr>
        <w:t>rt</w:t>
      </w:r>
      <w:r>
        <w:rPr>
          <w:lang w:val="en-GB"/>
        </w:rPr>
        <w:t>.</w:t>
      </w:r>
      <w:r w:rsidRPr="00DD3E53">
        <w:rPr>
          <w:lang w:val="en-GB"/>
        </w:rPr>
        <w:t xml:space="preserve"> 8;</w:t>
      </w:r>
      <w:r>
        <w:rPr>
          <w:lang w:val="en-GB"/>
        </w:rPr>
        <w:t xml:space="preserve"> and </w:t>
      </w:r>
      <w:r w:rsidR="00000000">
        <w:fldChar w:fldCharType="begin"/>
      </w:r>
      <w:r w:rsidR="00000000" w:rsidRPr="005751D1">
        <w:rPr>
          <w:lang w:val="en-GB"/>
        </w:rPr>
        <w:instrText>HYPERLINK "https://eur-lex.europa.eu/legal-content/EN/TXT/?uri=CELEX%3A32006L0054"</w:instrText>
      </w:r>
      <w:r w:rsidR="00000000">
        <w:fldChar w:fldCharType="separate"/>
      </w:r>
      <w:r w:rsidRPr="00DD3E53">
        <w:rPr>
          <w:rStyle w:val="Hyperlink"/>
          <w:lang w:val="en-GB"/>
        </w:rPr>
        <w:t>EU Directive 2006/54/EC</w:t>
      </w:r>
      <w:r w:rsidR="00000000">
        <w:rPr>
          <w:rStyle w:val="Hyperlink"/>
          <w:lang w:val="en-GB"/>
        </w:rPr>
        <w:fldChar w:fldCharType="end"/>
      </w:r>
      <w:r w:rsidRPr="00DD3E53">
        <w:rPr>
          <w:lang w:val="en-GB"/>
        </w:rPr>
        <w:t xml:space="preserve"> implement</w:t>
      </w:r>
      <w:r>
        <w:rPr>
          <w:lang w:val="en-GB"/>
        </w:rPr>
        <w:t>ing</w:t>
      </w:r>
      <w:r w:rsidRPr="00DD3E53">
        <w:rPr>
          <w:lang w:val="en-GB"/>
        </w:rPr>
        <w:t xml:space="preserve"> the principle of equal opportunities and equal treatment of men and women in matters of employment and occupation, recital 30 and art 19</w:t>
      </w:r>
      <w:r>
        <w:rPr>
          <w:lang w:val="en-GB"/>
        </w:rPr>
        <w:t>.</w:t>
      </w:r>
    </w:p>
  </w:footnote>
  <w:footnote w:id="55">
    <w:p w14:paraId="32D82BB1"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AA5876">
        <w:rPr>
          <w:rFonts w:cstheme="minorHAnsi"/>
          <w:bCs/>
          <w:szCs w:val="18"/>
          <w:lang w:val="da-DK"/>
        </w:rPr>
        <w:t xml:space="preserve"> </w:t>
      </w:r>
      <w:r w:rsidRPr="00AA5876">
        <w:rPr>
          <w:rFonts w:cstheme="minorHAnsi"/>
          <w:bCs/>
          <w:szCs w:val="18"/>
          <w:lang w:val="da-DK"/>
        </w:rPr>
        <w:t xml:space="preserve">See </w:t>
      </w:r>
      <w:hyperlink r:id="rId11" w:history="1">
        <w:r w:rsidRPr="00AA5876">
          <w:rPr>
            <w:rStyle w:val="Hyperlink"/>
            <w:rFonts w:cstheme="minorHAnsi"/>
            <w:bCs/>
            <w:i/>
            <w:iCs/>
            <w:szCs w:val="18"/>
            <w:lang w:val="da-DK"/>
          </w:rPr>
          <w:t>Deutschland nach vorne bringen</w:t>
        </w:r>
      </w:hyperlink>
      <w:r w:rsidRPr="00AA5876">
        <w:rPr>
          <w:rFonts w:cstheme="minorHAnsi"/>
          <w:bCs/>
          <w:i/>
          <w:iCs/>
          <w:szCs w:val="18"/>
          <w:lang w:val="da-DK"/>
        </w:rPr>
        <w:t xml:space="preserve">: </w:t>
      </w:r>
      <w:r>
        <w:rPr>
          <w:rFonts w:cstheme="minorHAnsi"/>
          <w:bCs/>
          <w:szCs w:val="18"/>
          <w:lang w:val="da-DK"/>
        </w:rPr>
        <w:t xml:space="preserve">Dokumention zur </w:t>
      </w:r>
      <w:r w:rsidRPr="00AA5876">
        <w:rPr>
          <w:rFonts w:cstheme="minorHAnsi"/>
          <w:bCs/>
          <w:i/>
          <w:iCs/>
          <w:szCs w:val="18"/>
          <w:lang w:val="da-DK"/>
        </w:rPr>
        <w:t xml:space="preserve">Fachtagung zur Reform des Allgemeinen Gleichbehandlungsgesetzes der Antidiskriminierungsstelle des Bundes, </w:t>
      </w:r>
      <w:r w:rsidRPr="00AA5876">
        <w:rPr>
          <w:rFonts w:cstheme="minorHAnsi"/>
          <w:bCs/>
          <w:szCs w:val="18"/>
          <w:lang w:val="da-DK"/>
        </w:rPr>
        <w:t xml:space="preserve">Dokumentation vom 20. </w:t>
      </w:r>
      <w:r w:rsidRPr="00773CE9">
        <w:rPr>
          <w:rFonts w:cstheme="minorHAnsi"/>
          <w:bCs/>
          <w:szCs w:val="18"/>
          <w:lang w:val="en-GB"/>
        </w:rPr>
        <w:t>April 2023 in Berlin.</w:t>
      </w:r>
      <w:r>
        <w:rPr>
          <w:rFonts w:cstheme="minorHAnsi"/>
          <w:bCs/>
          <w:szCs w:val="18"/>
          <w:lang w:val="en-GB"/>
        </w:rPr>
        <w:t xml:space="preserve"> </w:t>
      </w:r>
    </w:p>
  </w:footnote>
  <w:footnote w:id="56">
    <w:p w14:paraId="2A10EF55" w14:textId="77777777" w:rsidR="004A5AEE" w:rsidRPr="002E0688" w:rsidRDefault="004A5AEE" w:rsidP="004A5AEE">
      <w:pPr>
        <w:pStyle w:val="FootnoteText"/>
        <w:rPr>
          <w:lang w:val="en-GB"/>
        </w:rPr>
      </w:pPr>
      <w:r>
        <w:rPr>
          <w:rStyle w:val="FootnoteReference"/>
        </w:rPr>
        <w:footnoteRef/>
      </w:r>
      <w:r w:rsidRPr="00D90B39">
        <w:rPr>
          <w:lang w:val="en-US"/>
        </w:rPr>
        <w:t xml:space="preserve"> </w:t>
      </w:r>
      <w:r>
        <w:rPr>
          <w:lang w:val="en-GB"/>
        </w:rPr>
        <w:t>See FADA study, above, footnote 50.</w:t>
      </w:r>
    </w:p>
  </w:footnote>
  <w:footnote w:id="57">
    <w:p w14:paraId="66BA5509" w14:textId="77777777" w:rsidR="004A5AEE" w:rsidRPr="002E0688" w:rsidRDefault="004A5AEE" w:rsidP="004A5AEE">
      <w:pPr>
        <w:pStyle w:val="FootnoteText"/>
        <w:rPr>
          <w:lang w:val="en-GB"/>
        </w:rPr>
      </w:pPr>
      <w:r>
        <w:rPr>
          <w:rStyle w:val="FootnoteReference"/>
        </w:rPr>
        <w:footnoteRef/>
      </w:r>
      <w:r w:rsidRPr="00D90B39">
        <w:rPr>
          <w:lang w:val="en-US"/>
        </w:rPr>
        <w:t xml:space="preserve"> </w:t>
      </w:r>
      <w:r>
        <w:rPr>
          <w:lang w:val="en-GB"/>
        </w:rPr>
        <w:t xml:space="preserve">See </w:t>
      </w:r>
      <w:r w:rsidR="00000000">
        <w:fldChar w:fldCharType="begin"/>
      </w:r>
      <w:r w:rsidR="00000000" w:rsidRPr="005751D1">
        <w:rPr>
          <w:lang w:val="en-GB"/>
        </w:rPr>
        <w:instrText>HYPERLINK "https://www.berlin.de/sen/lads/recht/ladg/"</w:instrText>
      </w:r>
      <w:r w:rsidR="00000000">
        <w:fldChar w:fldCharType="separate"/>
      </w:r>
      <w:proofErr w:type="spellStart"/>
      <w:r w:rsidRPr="0067512F">
        <w:rPr>
          <w:rStyle w:val="Hyperlink"/>
          <w:lang w:val="en-GB"/>
        </w:rPr>
        <w:t>Landesantidiskriminierungsgesetz</w:t>
      </w:r>
      <w:proofErr w:type="spellEnd"/>
      <w:r w:rsidRPr="0067512F">
        <w:rPr>
          <w:rStyle w:val="Hyperlink"/>
          <w:lang w:val="en-GB"/>
        </w:rPr>
        <w:t xml:space="preserve"> (LADG)</w:t>
      </w:r>
      <w:r w:rsidR="00000000">
        <w:rPr>
          <w:rStyle w:val="Hyperlink"/>
          <w:lang w:val="en-GB"/>
        </w:rPr>
        <w:fldChar w:fldCharType="end"/>
      </w:r>
      <w:r>
        <w:rPr>
          <w:lang w:val="en-GB"/>
        </w:rPr>
        <w:t xml:space="preserve">, adopted on 11 June 2020. </w:t>
      </w:r>
    </w:p>
  </w:footnote>
  <w:footnote w:id="58">
    <w:p w14:paraId="155D2D36" w14:textId="77777777" w:rsidR="004A5AEE" w:rsidRPr="008D34DF" w:rsidRDefault="004A5AEE" w:rsidP="004A5AEE">
      <w:pPr>
        <w:pStyle w:val="FootnoteText"/>
        <w:rPr>
          <w:lang w:val="en-GB"/>
        </w:rPr>
      </w:pPr>
      <w:r>
        <w:rPr>
          <w:rStyle w:val="FootnoteReference"/>
        </w:rPr>
        <w:footnoteRef/>
      </w:r>
      <w:r w:rsidRPr="00D90B39">
        <w:rPr>
          <w:lang w:val="en-US"/>
        </w:rPr>
        <w:t xml:space="preserve"> </w:t>
      </w:r>
      <w:r>
        <w:rPr>
          <w:lang w:val="en-GB"/>
        </w:rPr>
        <w:t xml:space="preserve">See, among others, the </w:t>
      </w:r>
      <w:r w:rsidR="00000000">
        <w:fldChar w:fldCharType="begin"/>
      </w:r>
      <w:r w:rsidR="00000000" w:rsidRPr="005751D1">
        <w:rPr>
          <w:lang w:val="en-GB"/>
        </w:rPr>
        <w:instrText>HYPERLINK "https://agg-reform.jetzt/"</w:instrText>
      </w:r>
      <w:r w:rsidR="00000000">
        <w:fldChar w:fldCharType="separate"/>
      </w:r>
      <w:proofErr w:type="spellStart"/>
      <w:r w:rsidRPr="0067512F">
        <w:rPr>
          <w:rStyle w:val="Hyperlink"/>
          <w:lang w:val="en-GB"/>
        </w:rPr>
        <w:t>B</w:t>
      </w:r>
      <w:r w:rsidRPr="0067512F">
        <w:rPr>
          <w:rStyle w:val="Hyperlink"/>
          <w:rFonts w:cs="Calibri"/>
          <w:lang w:val="en-GB"/>
        </w:rPr>
        <w:t>ü</w:t>
      </w:r>
      <w:r w:rsidRPr="0067512F">
        <w:rPr>
          <w:rStyle w:val="Hyperlink"/>
          <w:lang w:val="en-GB"/>
        </w:rPr>
        <w:t>ndnis</w:t>
      </w:r>
      <w:proofErr w:type="spellEnd"/>
      <w:r w:rsidRPr="0067512F">
        <w:rPr>
          <w:rStyle w:val="Hyperlink"/>
          <w:lang w:val="en-GB"/>
        </w:rPr>
        <w:t xml:space="preserve"> AGG Reform </w:t>
      </w:r>
      <w:proofErr w:type="spellStart"/>
      <w:r w:rsidRPr="0067512F">
        <w:rPr>
          <w:rStyle w:val="Hyperlink"/>
          <w:lang w:val="en-GB"/>
        </w:rPr>
        <w:t>jetzt</w:t>
      </w:r>
      <w:proofErr w:type="spellEnd"/>
      <w:r w:rsidR="00000000">
        <w:rPr>
          <w:rStyle w:val="Hyperlink"/>
          <w:lang w:val="en-GB"/>
        </w:rPr>
        <w:fldChar w:fldCharType="end"/>
      </w:r>
      <w:r>
        <w:rPr>
          <w:lang w:val="en-GB"/>
        </w:rPr>
        <w:t xml:space="preserve"> and ECRI, above, footnote 54. </w:t>
      </w:r>
    </w:p>
  </w:footnote>
  <w:footnote w:id="59">
    <w:p w14:paraId="329C3C85" w14:textId="77777777" w:rsidR="004A5AEE" w:rsidRPr="00BD6E37" w:rsidRDefault="004A5AEE" w:rsidP="004A5AEE">
      <w:pPr>
        <w:pStyle w:val="FootnoteText"/>
        <w:rPr>
          <w:bCs/>
          <w:lang w:val="en-GB"/>
        </w:rPr>
      </w:pPr>
      <w:r>
        <w:rPr>
          <w:rStyle w:val="FootnoteReference"/>
        </w:rPr>
        <w:footnoteRef/>
      </w:r>
      <w:r w:rsidRPr="00D90B39">
        <w:rPr>
          <w:lang w:val="en-US"/>
        </w:rPr>
        <w:t xml:space="preserve"> </w:t>
      </w:r>
      <w:r>
        <w:rPr>
          <w:lang w:val="en-GB"/>
        </w:rPr>
        <w:t xml:space="preserve">See Committee on the Elimination of Racial Discrimination, Concluding Observations </w:t>
      </w:r>
      <w:r w:rsidRPr="00BD6E37">
        <w:rPr>
          <w:bCs/>
          <w:lang w:val="en-GB"/>
        </w:rPr>
        <w:t>on the combined 23</w:t>
      </w:r>
      <w:r w:rsidRPr="00D05653">
        <w:rPr>
          <w:bCs/>
          <w:vertAlign w:val="superscript"/>
          <w:lang w:val="en-GB"/>
        </w:rPr>
        <w:t>rd</w:t>
      </w:r>
      <w:r w:rsidRPr="00BD6E37">
        <w:rPr>
          <w:bCs/>
          <w:lang w:val="en-GB"/>
        </w:rPr>
        <w:t xml:space="preserve"> to 26</w:t>
      </w:r>
      <w:r w:rsidRPr="00D05653">
        <w:rPr>
          <w:bCs/>
          <w:vertAlign w:val="superscript"/>
          <w:lang w:val="en-GB"/>
        </w:rPr>
        <w:t>th</w:t>
      </w:r>
      <w:r w:rsidRPr="00BD6E37">
        <w:rPr>
          <w:bCs/>
          <w:lang w:val="en-GB"/>
        </w:rPr>
        <w:t xml:space="preserve"> reports of Germany</w:t>
      </w:r>
      <w:r w:rsidR="00000000">
        <w:fldChar w:fldCharType="begin"/>
      </w:r>
      <w:r w:rsidR="00000000" w:rsidRPr="005751D1">
        <w:rPr>
          <w:lang w:val="en-GB"/>
        </w:rPr>
        <w:instrText>HYPERLINK "https://tbinternet.ohchr.org/_layouts/15/treatybodyexternal/Download.aspx?symbolno=CERD%2FC%2FDEU%2FCO%2F23-26&amp;Lang=en"</w:instrText>
      </w:r>
      <w:r w:rsidR="00000000">
        <w:fldChar w:fldCharType="separate"/>
      </w:r>
      <w:r w:rsidRPr="0067512F">
        <w:rPr>
          <w:rStyle w:val="Hyperlink"/>
          <w:bCs/>
          <w:lang w:val="en-GB"/>
        </w:rPr>
        <w:t>, CERD/C/DEU/CO/23-26</w:t>
      </w:r>
      <w:r w:rsidR="00000000">
        <w:rPr>
          <w:rStyle w:val="Hyperlink"/>
          <w:bCs/>
          <w:lang w:val="en-GB"/>
        </w:rPr>
        <w:fldChar w:fldCharType="end"/>
      </w:r>
      <w:r>
        <w:rPr>
          <w:bCs/>
          <w:lang w:val="en-GB"/>
        </w:rPr>
        <w:t xml:space="preserve">, 8 December 2023. </w:t>
      </w:r>
    </w:p>
  </w:footnote>
  <w:footnote w:id="60">
    <w:p w14:paraId="2ECA943B"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r>
        <w:rPr>
          <w:rFonts w:cstheme="minorHAnsi"/>
          <w:bCs/>
          <w:szCs w:val="18"/>
          <w:lang w:val="en-GB"/>
        </w:rPr>
        <w:t xml:space="preserve">among other reports </w:t>
      </w:r>
      <w:r w:rsidRPr="00773CE9">
        <w:rPr>
          <w:rFonts w:cstheme="minorHAnsi"/>
          <w:bCs/>
          <w:szCs w:val="18"/>
          <w:lang w:val="en-GB"/>
        </w:rPr>
        <w:t xml:space="preserve">BUG, </w:t>
      </w:r>
      <w:r w:rsidR="00000000">
        <w:fldChar w:fldCharType="begin"/>
      </w:r>
      <w:r w:rsidR="00000000" w:rsidRPr="005751D1">
        <w:rPr>
          <w:lang w:val="en-GB"/>
        </w:rPr>
        <w:instrText>HYPERLINK "https://tbinternet.ohchr.org/_layouts/15/treatybodyexternal/Download.aspx?symbolno=INT%2FCERD%2FNGO%2FDEU%2F56321&amp;Lang=en"</w:instrText>
      </w:r>
      <w:r w:rsidR="00000000">
        <w:fldChar w:fldCharType="separate"/>
      </w:r>
      <w:r w:rsidRPr="00552604">
        <w:rPr>
          <w:rStyle w:val="Hyperlink"/>
          <w:rFonts w:cstheme="minorHAnsi"/>
          <w:bCs/>
          <w:i/>
          <w:iCs/>
          <w:szCs w:val="18"/>
          <w:lang w:val="en-GB"/>
        </w:rPr>
        <w:t>Alternative report to the UN Committee on the Elimination of Racial Discrimination</w:t>
      </w:r>
      <w:r w:rsidR="00000000">
        <w:rPr>
          <w:rStyle w:val="Hyperlink"/>
          <w:rFonts w:cstheme="minorHAnsi"/>
          <w:bCs/>
          <w:i/>
          <w:iCs/>
          <w:szCs w:val="18"/>
          <w:lang w:val="en-GB"/>
        </w:rPr>
        <w:fldChar w:fldCharType="end"/>
      </w:r>
      <w:r w:rsidRPr="00773CE9">
        <w:rPr>
          <w:rFonts w:cstheme="minorHAnsi"/>
          <w:bCs/>
          <w:i/>
          <w:iCs/>
          <w:szCs w:val="18"/>
          <w:lang w:val="en-GB"/>
        </w:rPr>
        <w:t xml:space="preserve"> CERD concerning the German governmental report during the 111</w:t>
      </w:r>
      <w:r w:rsidRPr="00773CE9">
        <w:rPr>
          <w:rFonts w:cstheme="minorHAnsi"/>
          <w:bCs/>
          <w:i/>
          <w:iCs/>
          <w:szCs w:val="18"/>
          <w:vertAlign w:val="superscript"/>
          <w:lang w:val="en-GB"/>
        </w:rPr>
        <w:t>th</w:t>
      </w:r>
      <w:r w:rsidRPr="00773CE9">
        <w:rPr>
          <w:rFonts w:cstheme="minorHAnsi"/>
          <w:bCs/>
          <w:i/>
          <w:iCs/>
          <w:szCs w:val="18"/>
          <w:lang w:val="en-GB"/>
        </w:rPr>
        <w:t xml:space="preserve"> session, </w:t>
      </w:r>
      <w:r w:rsidRPr="00773CE9">
        <w:rPr>
          <w:rFonts w:cstheme="minorHAnsi"/>
          <w:bCs/>
          <w:szCs w:val="18"/>
          <w:lang w:val="en-GB"/>
        </w:rPr>
        <w:t>11 September 2023.</w:t>
      </w:r>
    </w:p>
  </w:footnote>
  <w:footnote w:id="61">
    <w:p w14:paraId="2CA57413" w14:textId="77777777" w:rsidR="004A5AEE" w:rsidRPr="006F5DA8" w:rsidRDefault="004A5AEE" w:rsidP="004A5AEE">
      <w:pPr>
        <w:pStyle w:val="FootnoteText"/>
        <w:rPr>
          <w:lang w:val="en-GB"/>
        </w:rPr>
      </w:pPr>
      <w:r>
        <w:rPr>
          <w:rStyle w:val="FootnoteReference"/>
        </w:rPr>
        <w:footnoteRef/>
      </w:r>
      <w:r w:rsidRPr="00DA4818">
        <w:rPr>
          <w:lang w:val="en-US"/>
        </w:rPr>
        <w:t xml:space="preserve"> </w:t>
      </w:r>
      <w:r>
        <w:rPr>
          <w:lang w:val="en-GB"/>
        </w:rPr>
        <w:t xml:space="preserve">See above, footnote </w:t>
      </w:r>
      <w:r w:rsidRPr="00D05653">
        <w:rPr>
          <w:lang w:val="en-GB"/>
        </w:rPr>
        <w:t>5</w:t>
      </w:r>
      <w:r>
        <w:rPr>
          <w:lang w:val="en-GB"/>
        </w:rPr>
        <w:t>5</w:t>
      </w:r>
      <w:r w:rsidRPr="00D05653">
        <w:rPr>
          <w:lang w:val="en-GB"/>
        </w:rPr>
        <w:t>.</w:t>
      </w:r>
    </w:p>
  </w:footnote>
  <w:footnote w:id="62">
    <w:p w14:paraId="6262D22B"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r w:rsidR="00000000">
        <w:fldChar w:fldCharType="begin"/>
      </w:r>
      <w:r w:rsidR="00000000" w:rsidRPr="005751D1">
        <w:rPr>
          <w:lang w:val="en-GB"/>
        </w:rPr>
        <w:instrText>HYPERLINK "https://www.antidiskriminierungsstelle.de/SharedDocs/downloads/DE/publikationen/Jahresberichte/2022.pdf?__blob=publicationFile&amp;v=9"</w:instrText>
      </w:r>
      <w:r w:rsidR="00000000">
        <w:fldChar w:fldCharType="separate"/>
      </w:r>
      <w:r w:rsidRPr="00DD2950">
        <w:rPr>
          <w:rStyle w:val="Hyperlink"/>
          <w:rFonts w:cstheme="minorHAnsi"/>
          <w:bCs/>
          <w:szCs w:val="18"/>
          <w:lang w:val="en-GB"/>
        </w:rPr>
        <w:t>Annual Report 2022</w:t>
      </w:r>
      <w:r w:rsidR="00000000">
        <w:rPr>
          <w:rStyle w:val="Hyperlink"/>
          <w:rFonts w:cstheme="minorHAnsi"/>
          <w:bCs/>
          <w:szCs w:val="18"/>
          <w:lang w:val="en-GB"/>
        </w:rPr>
        <w:fldChar w:fldCharType="end"/>
      </w:r>
      <w:r w:rsidRPr="00773CE9">
        <w:rPr>
          <w:rFonts w:cstheme="minorHAnsi"/>
          <w:bCs/>
          <w:szCs w:val="18"/>
          <w:lang w:val="en-GB"/>
        </w:rPr>
        <w:t>,</w:t>
      </w:r>
      <w:r w:rsidRPr="00773CE9">
        <w:rPr>
          <w:rFonts w:cstheme="minorHAnsi"/>
          <w:bCs/>
          <w:sz w:val="22"/>
          <w:lang w:val="en-GB"/>
        </w:rPr>
        <w:t xml:space="preserve"> </w:t>
      </w:r>
      <w:r w:rsidRPr="00773CE9">
        <w:rPr>
          <w:rFonts w:cstheme="minorHAnsi"/>
          <w:bCs/>
          <w:szCs w:val="18"/>
          <w:lang w:val="en-GB"/>
        </w:rPr>
        <w:t>Federal Anti</w:t>
      </w:r>
      <w:r>
        <w:rPr>
          <w:rFonts w:cstheme="minorHAnsi"/>
          <w:bCs/>
          <w:szCs w:val="18"/>
          <w:lang w:val="en-GB"/>
        </w:rPr>
        <w:t>-D</w:t>
      </w:r>
      <w:r w:rsidRPr="00773CE9">
        <w:rPr>
          <w:rFonts w:cstheme="minorHAnsi"/>
          <w:bCs/>
          <w:szCs w:val="18"/>
          <w:lang w:val="en-GB"/>
        </w:rPr>
        <w:t xml:space="preserve">iscrimination Commissioner, June 2023. </w:t>
      </w:r>
    </w:p>
  </w:footnote>
  <w:footnote w:id="63">
    <w:p w14:paraId="0425B097"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AA5876">
        <w:rPr>
          <w:rFonts w:cstheme="minorHAnsi"/>
          <w:bCs/>
          <w:szCs w:val="18"/>
          <w:lang w:val="da-DK"/>
        </w:rPr>
        <w:t xml:space="preserve"> </w:t>
      </w:r>
      <w:r w:rsidRPr="00AA5876">
        <w:rPr>
          <w:rFonts w:cstheme="minorHAnsi"/>
          <w:bCs/>
          <w:szCs w:val="18"/>
          <w:lang w:val="da-DK"/>
        </w:rPr>
        <w:t xml:space="preserve">See </w:t>
      </w:r>
      <w:r w:rsidR="00000000">
        <w:fldChar w:fldCharType="begin"/>
      </w:r>
      <w:r w:rsidR="00000000" w:rsidRPr="005751D1">
        <w:rPr>
          <w:lang w:val="en-GB"/>
        </w:rPr>
        <w:instrText>HYPERLINK "https://www.antidiskriminierungsstelle.de/SharedDocs/downloads/DE/Sonstiges/20230718_AGG_Reform.html" \l ":~:text=Im%20Koalitionsvertrag%202021%2D2025%20zwischen,Juli%202023%20ein%20Grundlagenpapier%20vorgelegt."</w:instrText>
      </w:r>
      <w:r w:rsidR="00000000">
        <w:fldChar w:fldCharType="separate"/>
      </w:r>
      <w:r w:rsidRPr="00AA5876">
        <w:rPr>
          <w:rStyle w:val="Hyperlink"/>
          <w:rFonts w:cstheme="minorHAnsi"/>
          <w:bCs/>
          <w:szCs w:val="18"/>
          <w:lang w:val="da-DK"/>
        </w:rPr>
        <w:t>Grundlagenpapier zur Reform des Allgemeinen Gleichbehandlungsgesetzes</w:t>
      </w:r>
      <w:r w:rsidR="00000000">
        <w:rPr>
          <w:rStyle w:val="Hyperlink"/>
          <w:rFonts w:cstheme="minorHAnsi"/>
          <w:bCs/>
          <w:szCs w:val="18"/>
          <w:lang w:val="da-DK"/>
        </w:rPr>
        <w:fldChar w:fldCharType="end"/>
      </w:r>
      <w:r w:rsidRPr="00AA5876">
        <w:rPr>
          <w:rFonts w:cstheme="minorHAnsi"/>
          <w:bCs/>
          <w:szCs w:val="18"/>
          <w:lang w:val="da-DK"/>
        </w:rPr>
        <w:t xml:space="preserve">, Antidiskriminierungsstelle, 8 July 2023. </w:t>
      </w:r>
      <w:r>
        <w:rPr>
          <w:rFonts w:cstheme="minorHAnsi"/>
          <w:bCs/>
          <w:szCs w:val="18"/>
          <w:lang w:val="en-GB"/>
        </w:rPr>
        <w:t xml:space="preserve">See also European Court of Human Rights, </w:t>
      </w:r>
      <w:r w:rsidR="00000000">
        <w:fldChar w:fldCharType="begin"/>
      </w:r>
      <w:r w:rsidR="00000000" w:rsidRPr="005751D1">
        <w:rPr>
          <w:lang w:val="en-GB"/>
        </w:rPr>
        <w:instrText>HYPERLINK "https://hudoc.echr.coe.int/eng?i=001-161149"</w:instrText>
      </w:r>
      <w:r w:rsidR="00000000">
        <w:fldChar w:fldCharType="separate"/>
      </w:r>
      <w:proofErr w:type="spellStart"/>
      <w:r w:rsidRPr="005745AC">
        <w:rPr>
          <w:rStyle w:val="Hyperlink"/>
          <w:rFonts w:cstheme="minorHAnsi"/>
          <w:bCs/>
          <w:szCs w:val="18"/>
          <w:lang w:val="en-GB"/>
        </w:rPr>
        <w:t>Ç</w:t>
      </w:r>
      <w:r>
        <w:rPr>
          <w:rStyle w:val="Hyperlink"/>
          <w:rFonts w:cstheme="minorHAnsi"/>
          <w:bCs/>
          <w:szCs w:val="18"/>
          <w:lang w:val="en-GB"/>
        </w:rPr>
        <w:t>am</w:t>
      </w:r>
      <w:proofErr w:type="spellEnd"/>
      <w:r>
        <w:rPr>
          <w:rStyle w:val="Hyperlink"/>
          <w:rFonts w:cstheme="minorHAnsi"/>
          <w:bCs/>
          <w:szCs w:val="18"/>
          <w:lang w:val="en-GB"/>
        </w:rPr>
        <w:t xml:space="preserve"> v. Turkey</w:t>
      </w:r>
      <w:r w:rsidR="00000000">
        <w:rPr>
          <w:rStyle w:val="Hyperlink"/>
          <w:rFonts w:cstheme="minorHAnsi"/>
          <w:bCs/>
          <w:szCs w:val="18"/>
          <w:lang w:val="en-GB"/>
        </w:rPr>
        <w:fldChar w:fldCharType="end"/>
      </w:r>
      <w:r>
        <w:rPr>
          <w:rFonts w:cstheme="minorHAnsi"/>
          <w:bCs/>
          <w:szCs w:val="18"/>
          <w:lang w:val="en-GB"/>
        </w:rPr>
        <w:t>, Judgment of 23 February 2016, Application no.51500/08</w:t>
      </w:r>
      <w:r w:rsidRPr="005745AC">
        <w:rPr>
          <w:rFonts w:cstheme="minorHAnsi"/>
          <w:bCs/>
          <w:szCs w:val="18"/>
          <w:lang w:val="en-GB"/>
        </w:rPr>
        <w:t>.</w:t>
      </w:r>
      <w:r w:rsidRPr="00773CE9">
        <w:rPr>
          <w:rFonts w:cstheme="minorHAnsi"/>
          <w:bCs/>
          <w:szCs w:val="18"/>
          <w:lang w:val="en-GB"/>
        </w:rPr>
        <w:t xml:space="preserve"> </w:t>
      </w:r>
    </w:p>
  </w:footnote>
  <w:footnote w:id="64">
    <w:p w14:paraId="34F432B9" w14:textId="77777777" w:rsidR="004A5AEE" w:rsidRPr="006B4A98" w:rsidRDefault="004A5AEE" w:rsidP="004A5AEE">
      <w:pPr>
        <w:pStyle w:val="FootnoteText"/>
        <w:rPr>
          <w:lang w:val="en-GB"/>
        </w:rPr>
      </w:pPr>
      <w:r>
        <w:rPr>
          <w:rStyle w:val="FootnoteReference"/>
        </w:rPr>
        <w:footnoteRef/>
      </w:r>
      <w:r w:rsidRPr="00D90B39">
        <w:rPr>
          <w:lang w:val="en-US"/>
        </w:rPr>
        <w:t xml:space="preserve"> </w:t>
      </w:r>
      <w:r>
        <w:rPr>
          <w:lang w:val="en-GB"/>
        </w:rPr>
        <w:t xml:space="preserve">See </w:t>
      </w:r>
      <w:r w:rsidRPr="00C8130D">
        <w:rPr>
          <w:lang w:val="en-GB"/>
        </w:rPr>
        <w:t>European Court for</w:t>
      </w:r>
      <w:r>
        <w:rPr>
          <w:lang w:val="en-GB"/>
        </w:rPr>
        <w:t xml:space="preserve"> Hum</w:t>
      </w:r>
      <w:r w:rsidRPr="00C8130D">
        <w:rPr>
          <w:lang w:val="en-GB"/>
        </w:rPr>
        <w:t>an Rights</w:t>
      </w:r>
      <w:r>
        <w:rPr>
          <w:lang w:val="en-GB"/>
        </w:rPr>
        <w:t>,</w:t>
      </w:r>
      <w:r w:rsidRPr="00C8130D">
        <w:rPr>
          <w:lang w:val="en-GB"/>
        </w:rPr>
        <w:t xml:space="preserve"> </w:t>
      </w:r>
      <w:r w:rsidR="00000000">
        <w:fldChar w:fldCharType="begin"/>
      </w:r>
      <w:r w:rsidR="00000000" w:rsidRPr="005751D1">
        <w:rPr>
          <w:lang w:val="en-GB"/>
        </w:rPr>
        <w:instrText>HYPERLINK "https://hudoc.echr.coe.int/fre" \l "{%22itemid%22:[%22001-220007%22]}"</w:instrText>
      </w:r>
      <w:r w:rsidR="00000000">
        <w:fldChar w:fldCharType="separate"/>
      </w:r>
      <w:r w:rsidRPr="002A277B">
        <w:rPr>
          <w:rStyle w:val="Hyperlink"/>
          <w:lang w:val="en-GB"/>
        </w:rPr>
        <w:t>Basu v. Germany</w:t>
      </w:r>
      <w:r w:rsidR="00000000">
        <w:rPr>
          <w:rStyle w:val="Hyperlink"/>
          <w:lang w:val="en-GB"/>
        </w:rPr>
        <w:fldChar w:fldCharType="end"/>
      </w:r>
      <w:r>
        <w:rPr>
          <w:lang w:val="en-GB"/>
        </w:rPr>
        <w:t>,</w:t>
      </w:r>
      <w:r w:rsidRPr="00C8130D">
        <w:rPr>
          <w:lang w:val="en-GB"/>
        </w:rPr>
        <w:t xml:space="preserve"> Judgment</w:t>
      </w:r>
      <w:r>
        <w:rPr>
          <w:lang w:val="en-GB"/>
        </w:rPr>
        <w:t xml:space="preserve"> of</w:t>
      </w:r>
      <w:r w:rsidRPr="00C8130D">
        <w:rPr>
          <w:lang w:val="en-GB"/>
        </w:rPr>
        <w:t xml:space="preserve"> 18 October 2022, Applic</w:t>
      </w:r>
      <w:r>
        <w:rPr>
          <w:lang w:val="en-GB"/>
        </w:rPr>
        <w:t>ation</w:t>
      </w:r>
      <w:r w:rsidRPr="00C8130D">
        <w:rPr>
          <w:lang w:val="en-GB"/>
        </w:rPr>
        <w:t xml:space="preserve"> no.</w:t>
      </w:r>
      <w:r>
        <w:rPr>
          <w:lang w:val="en-GB"/>
        </w:rPr>
        <w:t xml:space="preserve"> </w:t>
      </w:r>
      <w:r w:rsidRPr="00C8130D">
        <w:rPr>
          <w:lang w:val="en-GB"/>
        </w:rPr>
        <w:t>215/19</w:t>
      </w:r>
      <w:r>
        <w:rPr>
          <w:lang w:val="en-GB"/>
        </w:rPr>
        <w:t xml:space="preserve">, </w:t>
      </w:r>
      <w:r w:rsidRPr="004C088C">
        <w:rPr>
          <w:lang w:val="en-GB"/>
        </w:rPr>
        <w:t>which also raises issues with respect to the way in which the authorities examine allegations of racial discrimination (burden of proof).</w:t>
      </w:r>
      <w:r w:rsidR="004D1559">
        <w:rPr>
          <w:lang w:val="en-GB"/>
        </w:rPr>
        <w:t xml:space="preserve"> </w:t>
      </w:r>
    </w:p>
  </w:footnote>
  <w:footnote w:id="65">
    <w:p w14:paraId="174AC0F2" w14:textId="77777777" w:rsidR="004A5AEE" w:rsidRPr="006E7620" w:rsidRDefault="004A5AEE" w:rsidP="004A5AEE">
      <w:pPr>
        <w:pStyle w:val="FootnoteText"/>
        <w:rPr>
          <w:lang w:val="en-GB"/>
        </w:rPr>
      </w:pPr>
      <w:r>
        <w:rPr>
          <w:rStyle w:val="FootnoteReference"/>
        </w:rPr>
        <w:footnoteRef/>
      </w:r>
      <w:r w:rsidRPr="00D90B39">
        <w:rPr>
          <w:lang w:val="en-US"/>
        </w:rPr>
        <w:t xml:space="preserve"> </w:t>
      </w:r>
      <w:r>
        <w:rPr>
          <w:lang w:val="en-GB"/>
        </w:rPr>
        <w:t xml:space="preserve">See above, footnote 4. </w:t>
      </w:r>
    </w:p>
  </w:footnote>
  <w:footnote w:id="66">
    <w:p w14:paraId="29D8C04F"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FB0620">
        <w:rPr>
          <w:rFonts w:cstheme="minorHAnsi"/>
          <w:bCs/>
          <w:szCs w:val="18"/>
          <w:lang w:val="en-GB"/>
        </w:rPr>
        <w:t xml:space="preserve"> See </w:t>
      </w:r>
      <w:r w:rsidR="00000000">
        <w:fldChar w:fldCharType="begin"/>
      </w:r>
      <w:r w:rsidR="00000000" w:rsidRPr="005751D1">
        <w:rPr>
          <w:lang w:val="en-GB"/>
        </w:rPr>
        <w:instrText>HYPERLINK "https://www.antidiskriminierungsstelle.de/SharedDocs/downloads/DE/publikationen/Expertisen/gut_beraten_flaechendeckende_antidiskrimberatung.html"</w:instrText>
      </w:r>
      <w:r w:rsidR="00000000">
        <w:fldChar w:fldCharType="separate"/>
      </w:r>
      <w:r w:rsidRPr="00FB0620">
        <w:rPr>
          <w:rStyle w:val="Hyperlink"/>
          <w:rFonts w:cstheme="minorHAnsi"/>
          <w:bCs/>
          <w:i/>
          <w:iCs/>
          <w:szCs w:val="18"/>
          <w:lang w:val="en-GB"/>
        </w:rPr>
        <w:t xml:space="preserve">Gut </w:t>
      </w:r>
      <w:proofErr w:type="spellStart"/>
      <w:r w:rsidRPr="00FB0620">
        <w:rPr>
          <w:rStyle w:val="Hyperlink"/>
          <w:rFonts w:cstheme="minorHAnsi"/>
          <w:bCs/>
          <w:i/>
          <w:iCs/>
          <w:szCs w:val="18"/>
          <w:lang w:val="en-GB"/>
        </w:rPr>
        <w:t>beraten</w:t>
      </w:r>
      <w:proofErr w:type="spellEnd"/>
      <w:r w:rsidRPr="00FB0620">
        <w:rPr>
          <w:rStyle w:val="Hyperlink"/>
          <w:rFonts w:cstheme="minorHAnsi"/>
          <w:bCs/>
          <w:i/>
          <w:iCs/>
          <w:szCs w:val="18"/>
          <w:lang w:val="en-GB"/>
        </w:rPr>
        <w:t xml:space="preserve">! Auf </w:t>
      </w:r>
      <w:proofErr w:type="spellStart"/>
      <w:r w:rsidRPr="00FB0620">
        <w:rPr>
          <w:rStyle w:val="Hyperlink"/>
          <w:rFonts w:cstheme="minorHAnsi"/>
          <w:bCs/>
          <w:i/>
          <w:iCs/>
          <w:szCs w:val="18"/>
          <w:lang w:val="en-GB"/>
        </w:rPr>
        <w:t>dem</w:t>
      </w:r>
      <w:proofErr w:type="spellEnd"/>
      <w:r w:rsidRPr="00FB0620">
        <w:rPr>
          <w:rStyle w:val="Hyperlink"/>
          <w:rFonts w:cstheme="minorHAnsi"/>
          <w:bCs/>
          <w:i/>
          <w:iCs/>
          <w:szCs w:val="18"/>
          <w:lang w:val="en-GB"/>
        </w:rPr>
        <w:t xml:space="preserve"> Weg </w:t>
      </w:r>
      <w:proofErr w:type="spellStart"/>
      <w:r w:rsidRPr="00FB0620">
        <w:rPr>
          <w:rStyle w:val="Hyperlink"/>
          <w:rFonts w:cstheme="minorHAnsi"/>
          <w:bCs/>
          <w:i/>
          <w:iCs/>
          <w:szCs w:val="18"/>
          <w:lang w:val="en-GB"/>
        </w:rPr>
        <w:t>zu</w:t>
      </w:r>
      <w:proofErr w:type="spellEnd"/>
      <w:r w:rsidRPr="00FB0620">
        <w:rPr>
          <w:rStyle w:val="Hyperlink"/>
          <w:rFonts w:cstheme="minorHAnsi"/>
          <w:bCs/>
          <w:i/>
          <w:iCs/>
          <w:szCs w:val="18"/>
          <w:lang w:val="en-GB"/>
        </w:rPr>
        <w:t xml:space="preserve"> </w:t>
      </w:r>
      <w:proofErr w:type="spellStart"/>
      <w:r w:rsidRPr="00FB0620">
        <w:rPr>
          <w:rStyle w:val="Hyperlink"/>
          <w:rFonts w:cstheme="minorHAnsi"/>
          <w:bCs/>
          <w:i/>
          <w:iCs/>
          <w:szCs w:val="18"/>
          <w:lang w:val="en-GB"/>
        </w:rPr>
        <w:t>einer</w:t>
      </w:r>
      <w:proofErr w:type="spellEnd"/>
      <w:r w:rsidRPr="00FB0620">
        <w:rPr>
          <w:rStyle w:val="Hyperlink"/>
          <w:rFonts w:cstheme="minorHAnsi"/>
          <w:bCs/>
          <w:i/>
          <w:iCs/>
          <w:szCs w:val="18"/>
          <w:lang w:val="en-GB"/>
        </w:rPr>
        <w:t xml:space="preserve"> </w:t>
      </w:r>
      <w:proofErr w:type="spellStart"/>
      <w:r w:rsidRPr="00FB0620">
        <w:rPr>
          <w:rStyle w:val="Hyperlink"/>
          <w:rFonts w:cstheme="minorHAnsi"/>
          <w:bCs/>
          <w:i/>
          <w:iCs/>
          <w:szCs w:val="18"/>
          <w:lang w:val="en-GB"/>
        </w:rPr>
        <w:t>flächendeckenden</w:t>
      </w:r>
      <w:proofErr w:type="spellEnd"/>
      <w:r w:rsidRPr="00FB0620">
        <w:rPr>
          <w:rStyle w:val="Hyperlink"/>
          <w:rFonts w:cstheme="minorHAnsi"/>
          <w:bCs/>
          <w:i/>
          <w:iCs/>
          <w:szCs w:val="18"/>
          <w:lang w:val="en-GB"/>
        </w:rPr>
        <w:t xml:space="preserve"> </w:t>
      </w:r>
      <w:proofErr w:type="spellStart"/>
      <w:r w:rsidRPr="00FB0620">
        <w:rPr>
          <w:rStyle w:val="Hyperlink"/>
          <w:rFonts w:cstheme="minorHAnsi"/>
          <w:bCs/>
          <w:i/>
          <w:iCs/>
          <w:szCs w:val="18"/>
          <w:lang w:val="en-GB"/>
        </w:rPr>
        <w:t>Antidiskriminierungsberatung</w:t>
      </w:r>
      <w:proofErr w:type="spellEnd"/>
      <w:r w:rsidR="00000000">
        <w:rPr>
          <w:rStyle w:val="Hyperlink"/>
          <w:rFonts w:cstheme="minorHAnsi"/>
          <w:bCs/>
          <w:i/>
          <w:iCs/>
          <w:szCs w:val="18"/>
          <w:lang w:val="en-GB"/>
        </w:rPr>
        <w:fldChar w:fldCharType="end"/>
      </w:r>
      <w:r w:rsidRPr="00FB0620">
        <w:rPr>
          <w:rFonts w:cstheme="minorHAnsi"/>
          <w:bCs/>
          <w:i/>
          <w:iCs/>
          <w:szCs w:val="18"/>
          <w:lang w:val="en-GB"/>
        </w:rPr>
        <w:t xml:space="preserve">. </w:t>
      </w:r>
      <w:r>
        <w:rPr>
          <w:rFonts w:cstheme="minorHAnsi"/>
          <w:bCs/>
          <w:i/>
          <w:iCs/>
          <w:szCs w:val="18"/>
          <w:lang w:val="en-GB"/>
        </w:rPr>
        <w:t xml:space="preserve">FADA, </w:t>
      </w:r>
      <w:r w:rsidRPr="00773CE9">
        <w:rPr>
          <w:rFonts w:cstheme="minorHAnsi"/>
          <w:bCs/>
          <w:szCs w:val="18"/>
          <w:lang w:val="en-GB"/>
        </w:rPr>
        <w:t>O</w:t>
      </w:r>
      <w:r>
        <w:rPr>
          <w:rFonts w:cstheme="minorHAnsi"/>
          <w:bCs/>
          <w:szCs w:val="18"/>
          <w:lang w:val="en-GB"/>
        </w:rPr>
        <w:t>c</w:t>
      </w:r>
      <w:r w:rsidRPr="00773CE9">
        <w:rPr>
          <w:rFonts w:cstheme="minorHAnsi"/>
          <w:bCs/>
          <w:szCs w:val="18"/>
          <w:lang w:val="en-GB"/>
        </w:rPr>
        <w:t xml:space="preserve">tober 2022. </w:t>
      </w:r>
    </w:p>
  </w:footnote>
  <w:footnote w:id="67">
    <w:p w14:paraId="7B56599B" w14:textId="77777777" w:rsidR="004A5AEE" w:rsidRPr="00C8130D" w:rsidRDefault="004A5AEE" w:rsidP="004A5AEE">
      <w:pPr>
        <w:pStyle w:val="FootnoteText"/>
        <w:rPr>
          <w:lang w:val="en-GB"/>
        </w:rPr>
      </w:pPr>
      <w:r>
        <w:rPr>
          <w:rStyle w:val="FootnoteReference"/>
        </w:rPr>
        <w:footnoteRef/>
      </w:r>
      <w:r w:rsidRPr="00D90B39">
        <w:rPr>
          <w:lang w:val="en-US"/>
        </w:rPr>
        <w:t xml:space="preserve"> </w:t>
      </w:r>
      <w:r>
        <w:rPr>
          <w:lang w:val="en-GB"/>
        </w:rPr>
        <w:t xml:space="preserve">See </w:t>
      </w:r>
      <w:r w:rsidR="00000000">
        <w:fldChar w:fldCharType="begin"/>
      </w:r>
      <w:r w:rsidR="00000000" w:rsidRPr="005751D1">
        <w:rPr>
          <w:lang w:val="en-GB"/>
        </w:rPr>
        <w:instrText>HYPERLINK "https://www.antidiskriminierungsstelle.de/DE/was-wir-machen/respektland/respektland-node.html"</w:instrText>
      </w:r>
      <w:r w:rsidR="00000000">
        <w:fldChar w:fldCharType="separate"/>
      </w:r>
      <w:r w:rsidRPr="00AC777E">
        <w:rPr>
          <w:rStyle w:val="Hyperlink"/>
          <w:lang w:val="en-GB"/>
        </w:rPr>
        <w:t>information on activities by FADA</w:t>
      </w:r>
      <w:r w:rsidR="00000000">
        <w:rPr>
          <w:rStyle w:val="Hyperlink"/>
          <w:lang w:val="en-GB"/>
        </w:rPr>
        <w:fldChar w:fldCharType="end"/>
      </w:r>
      <w:r>
        <w:rPr>
          <w:lang w:val="en-GB"/>
        </w:rPr>
        <w:t xml:space="preserve"> to promote the accessibility of independent advice and information. </w:t>
      </w:r>
    </w:p>
  </w:footnote>
  <w:footnote w:id="68">
    <w:p w14:paraId="3AB89761" w14:textId="77777777" w:rsidR="004A5AEE" w:rsidRPr="00D705DF" w:rsidRDefault="004A5AEE" w:rsidP="004A5AEE">
      <w:pPr>
        <w:pStyle w:val="FootnoteText"/>
        <w:rPr>
          <w:lang w:val="en-GB"/>
        </w:rPr>
      </w:pPr>
      <w:r>
        <w:rPr>
          <w:rStyle w:val="FootnoteReference"/>
        </w:rPr>
        <w:footnoteRef/>
      </w:r>
      <w:r w:rsidRPr="00DA4818">
        <w:rPr>
          <w:lang w:val="en-US"/>
        </w:rPr>
        <w:t xml:space="preserve"> </w:t>
      </w:r>
      <w:r w:rsidRPr="00773CE9">
        <w:rPr>
          <w:rFonts w:cstheme="minorHAnsi"/>
          <w:bCs/>
          <w:szCs w:val="18"/>
          <w:lang w:val="en-GB"/>
        </w:rPr>
        <w:t>See</w:t>
      </w:r>
      <w:r>
        <w:rPr>
          <w:rFonts w:cstheme="minorHAnsi"/>
          <w:bCs/>
          <w:szCs w:val="18"/>
          <w:lang w:val="en-GB"/>
        </w:rPr>
        <w:t xml:space="preserve"> </w:t>
      </w:r>
      <w:r w:rsidR="00000000">
        <w:fldChar w:fldCharType="begin"/>
      </w:r>
      <w:r w:rsidR="00000000" w:rsidRPr="005751D1">
        <w:rPr>
          <w:lang w:val="en-GB"/>
        </w:rPr>
        <w:instrText>HYPERLINK "https://www.raa-sachsen.de/support/statistik"</w:instrText>
      </w:r>
      <w:r w:rsidR="00000000">
        <w:fldChar w:fldCharType="separate"/>
      </w:r>
      <w:proofErr w:type="spellStart"/>
      <w:r w:rsidRPr="00AC777E">
        <w:rPr>
          <w:rStyle w:val="Hyperlink"/>
          <w:rFonts w:cstheme="minorHAnsi"/>
          <w:bCs/>
          <w:i/>
          <w:iCs/>
          <w:szCs w:val="18"/>
          <w:lang w:val="en-GB"/>
        </w:rPr>
        <w:t>Rechtsmotivierte</w:t>
      </w:r>
      <w:proofErr w:type="spellEnd"/>
      <w:r w:rsidRPr="00AC777E">
        <w:rPr>
          <w:rStyle w:val="Hyperlink"/>
          <w:rFonts w:cstheme="minorHAnsi"/>
          <w:bCs/>
          <w:i/>
          <w:iCs/>
          <w:szCs w:val="18"/>
          <w:lang w:val="en-GB"/>
        </w:rPr>
        <w:t xml:space="preserve"> </w:t>
      </w:r>
      <w:proofErr w:type="spellStart"/>
      <w:r w:rsidRPr="00AC777E">
        <w:rPr>
          <w:rStyle w:val="Hyperlink"/>
          <w:rFonts w:cstheme="minorHAnsi"/>
          <w:bCs/>
          <w:i/>
          <w:iCs/>
          <w:szCs w:val="18"/>
          <w:lang w:val="en-GB"/>
        </w:rPr>
        <w:t>rassistische</w:t>
      </w:r>
      <w:proofErr w:type="spellEnd"/>
      <w:r w:rsidRPr="00AC777E">
        <w:rPr>
          <w:rStyle w:val="Hyperlink"/>
          <w:rFonts w:cstheme="minorHAnsi"/>
          <w:bCs/>
          <w:i/>
          <w:iCs/>
          <w:szCs w:val="18"/>
          <w:lang w:val="en-GB"/>
        </w:rPr>
        <w:t xml:space="preserve"> und </w:t>
      </w:r>
      <w:proofErr w:type="spellStart"/>
      <w:r w:rsidRPr="00AC777E">
        <w:rPr>
          <w:rStyle w:val="Hyperlink"/>
          <w:rFonts w:cstheme="minorHAnsi"/>
          <w:bCs/>
          <w:i/>
          <w:iCs/>
          <w:szCs w:val="18"/>
          <w:lang w:val="en-GB"/>
        </w:rPr>
        <w:t>antisemitische</w:t>
      </w:r>
      <w:proofErr w:type="spellEnd"/>
      <w:r w:rsidRPr="00AC777E">
        <w:rPr>
          <w:rStyle w:val="Hyperlink"/>
          <w:rFonts w:cstheme="minorHAnsi"/>
          <w:bCs/>
          <w:i/>
          <w:iCs/>
          <w:szCs w:val="18"/>
          <w:lang w:val="en-GB"/>
        </w:rPr>
        <w:t xml:space="preserve"> </w:t>
      </w:r>
      <w:proofErr w:type="spellStart"/>
      <w:r w:rsidRPr="00AC777E">
        <w:rPr>
          <w:rStyle w:val="Hyperlink"/>
          <w:rFonts w:cstheme="minorHAnsi"/>
          <w:bCs/>
          <w:i/>
          <w:iCs/>
          <w:szCs w:val="18"/>
          <w:lang w:val="en-GB"/>
        </w:rPr>
        <w:t>Gewalt</w:t>
      </w:r>
      <w:proofErr w:type="spellEnd"/>
      <w:r w:rsidRPr="00AC777E">
        <w:rPr>
          <w:rStyle w:val="Hyperlink"/>
          <w:rFonts w:cstheme="minorHAnsi"/>
          <w:bCs/>
          <w:i/>
          <w:iCs/>
          <w:szCs w:val="18"/>
          <w:lang w:val="en-GB"/>
        </w:rPr>
        <w:t xml:space="preserve"> in Sachsen</w:t>
      </w:r>
      <w:r w:rsidR="00000000">
        <w:rPr>
          <w:rStyle w:val="Hyperlink"/>
          <w:rFonts w:cstheme="minorHAnsi"/>
          <w:bCs/>
          <w:i/>
          <w:iCs/>
          <w:szCs w:val="18"/>
          <w:lang w:val="en-GB"/>
        </w:rPr>
        <w:fldChar w:fldCharType="end"/>
      </w:r>
      <w:r>
        <w:rPr>
          <w:rFonts w:cstheme="minorHAnsi"/>
          <w:bCs/>
          <w:i/>
          <w:iCs/>
          <w:szCs w:val="18"/>
          <w:lang w:val="en-GB"/>
        </w:rPr>
        <w:t xml:space="preserve"> 2022 </w:t>
      </w:r>
      <w:r w:rsidRPr="00AC777E">
        <w:rPr>
          <w:rFonts w:cstheme="minorHAnsi"/>
          <w:bCs/>
          <w:szCs w:val="18"/>
          <w:lang w:val="en-GB"/>
        </w:rPr>
        <w:t xml:space="preserve">and </w:t>
      </w:r>
      <w:r w:rsidR="00000000">
        <w:fldChar w:fldCharType="begin"/>
      </w:r>
      <w:r w:rsidR="00000000" w:rsidRPr="005751D1">
        <w:rPr>
          <w:lang w:val="en-GB"/>
        </w:rPr>
        <w:instrText>HYPERLINK "https://www.dezim-institut.de/publikationen/publikation-detail/diskriminierungserfahrungen-in-sachsen/"</w:instrText>
      </w:r>
      <w:r w:rsidR="00000000">
        <w:fldChar w:fldCharType="separate"/>
      </w:r>
      <w:proofErr w:type="spellStart"/>
      <w:r w:rsidRPr="00AC777E">
        <w:rPr>
          <w:rStyle w:val="Hyperlink"/>
          <w:i/>
          <w:iCs/>
          <w:lang w:val="en-GB"/>
        </w:rPr>
        <w:t>Diskriminierungserfahrungen</w:t>
      </w:r>
      <w:proofErr w:type="spellEnd"/>
      <w:r w:rsidRPr="00AC777E">
        <w:rPr>
          <w:rStyle w:val="Hyperlink"/>
          <w:i/>
          <w:iCs/>
          <w:lang w:val="en-GB"/>
        </w:rPr>
        <w:t xml:space="preserve"> in Sachsen</w:t>
      </w:r>
      <w:r w:rsidR="00000000">
        <w:rPr>
          <w:rStyle w:val="Hyperlink"/>
          <w:i/>
          <w:iCs/>
          <w:lang w:val="en-GB"/>
        </w:rPr>
        <w:fldChar w:fldCharType="end"/>
      </w:r>
      <w:r>
        <w:rPr>
          <w:i/>
          <w:iCs/>
          <w:lang w:val="en-GB"/>
        </w:rPr>
        <w:t xml:space="preserve">, </w:t>
      </w:r>
      <w:proofErr w:type="spellStart"/>
      <w:r>
        <w:rPr>
          <w:lang w:val="en-GB"/>
        </w:rPr>
        <w:t>DeZIM</w:t>
      </w:r>
      <w:proofErr w:type="spellEnd"/>
      <w:r>
        <w:rPr>
          <w:lang w:val="en-GB"/>
        </w:rPr>
        <w:t xml:space="preserve"> </w:t>
      </w:r>
      <w:proofErr w:type="spellStart"/>
      <w:r>
        <w:rPr>
          <w:lang w:val="en-GB"/>
        </w:rPr>
        <w:t>Institut</w:t>
      </w:r>
      <w:proofErr w:type="spellEnd"/>
      <w:r>
        <w:rPr>
          <w:lang w:val="en-GB"/>
        </w:rPr>
        <w:t>, 2022.</w:t>
      </w:r>
    </w:p>
  </w:footnote>
  <w:footnote w:id="69">
    <w:p w14:paraId="569438AE" w14:textId="77777777" w:rsidR="004A5AEE" w:rsidRPr="0061638F" w:rsidRDefault="004A5AEE" w:rsidP="004A5AEE">
      <w:pPr>
        <w:pStyle w:val="FootnoteText"/>
        <w:rPr>
          <w:lang w:val="en-GB"/>
        </w:rPr>
      </w:pPr>
      <w:r>
        <w:rPr>
          <w:rStyle w:val="FootnoteReference"/>
        </w:rPr>
        <w:footnoteRef/>
      </w:r>
      <w:r w:rsidRPr="00DA4818">
        <w:rPr>
          <w:lang w:val="en-US"/>
        </w:rPr>
        <w:t xml:space="preserve"> </w:t>
      </w:r>
      <w:r>
        <w:rPr>
          <w:lang w:val="en-GB"/>
        </w:rPr>
        <w:t xml:space="preserve">See ECRI GPR no. 2 and ongoing negotiations on two new </w:t>
      </w:r>
      <w:r w:rsidR="00000000">
        <w:fldChar w:fldCharType="begin"/>
      </w:r>
      <w:r w:rsidR="00000000" w:rsidRPr="005751D1">
        <w:rPr>
          <w:lang w:val="en-GB"/>
        </w:rPr>
        <w:instrText>HYPERLINK "https://equineteurope.org/what-are-equality-bodies/standards-for-equality-bodies/"</w:instrText>
      </w:r>
      <w:r w:rsidR="00000000">
        <w:fldChar w:fldCharType="separate"/>
      </w:r>
      <w:r w:rsidRPr="003E4E90">
        <w:rPr>
          <w:rStyle w:val="Hyperlink"/>
          <w:lang w:val="en-GB"/>
        </w:rPr>
        <w:t>EU Directives on binding standards</w:t>
      </w:r>
      <w:r w:rsidR="00000000">
        <w:rPr>
          <w:rStyle w:val="Hyperlink"/>
          <w:lang w:val="en-GB"/>
        </w:rPr>
        <w:fldChar w:fldCharType="end"/>
      </w:r>
      <w:r>
        <w:rPr>
          <w:lang w:val="en-GB"/>
        </w:rPr>
        <w:t xml:space="preserve">. </w:t>
      </w:r>
    </w:p>
  </w:footnote>
  <w:footnote w:id="70">
    <w:p w14:paraId="0F4F6041" w14:textId="77777777" w:rsidR="004A5AEE" w:rsidRPr="002640C9" w:rsidRDefault="004A5AEE" w:rsidP="004A5AEE">
      <w:pPr>
        <w:pStyle w:val="FootnoteText"/>
        <w:rPr>
          <w:lang w:val="en-GB"/>
        </w:rPr>
      </w:pPr>
      <w:r>
        <w:rPr>
          <w:rStyle w:val="FootnoteReference"/>
        </w:rPr>
        <w:footnoteRef/>
      </w:r>
      <w:r w:rsidRPr="00DA4818">
        <w:rPr>
          <w:lang w:val="en-US"/>
        </w:rPr>
        <w:t xml:space="preserve"> </w:t>
      </w:r>
      <w:r>
        <w:rPr>
          <w:lang w:val="en-GB"/>
        </w:rPr>
        <w:t xml:space="preserve">See </w:t>
      </w:r>
      <w:r w:rsidR="00000000">
        <w:fldChar w:fldCharType="begin"/>
      </w:r>
      <w:r w:rsidR="00000000" w:rsidRPr="005751D1">
        <w:rPr>
          <w:lang w:val="en-GB"/>
        </w:rPr>
        <w:instrText>HYPERLINK "https://www.coe.int/en/web/european-commission-against-racism-and-intolerance/recommendation-no.11"</w:instrText>
      </w:r>
      <w:r w:rsidR="00000000">
        <w:fldChar w:fldCharType="separate"/>
      </w:r>
      <w:r w:rsidRPr="002640C9">
        <w:rPr>
          <w:rStyle w:val="Hyperlink"/>
          <w:lang w:val="en-GB"/>
        </w:rPr>
        <w:t>ECRI GPR no. 11</w:t>
      </w:r>
      <w:r w:rsidR="00000000">
        <w:rPr>
          <w:rStyle w:val="Hyperlink"/>
          <w:lang w:val="en-GB"/>
        </w:rPr>
        <w:fldChar w:fldCharType="end"/>
      </w:r>
      <w:r>
        <w:rPr>
          <w:lang w:val="en-GB"/>
        </w:rPr>
        <w:t>, PACE Resolution</w:t>
      </w:r>
      <w:r w:rsidRPr="002640C9">
        <w:rPr>
          <w:sz w:val="22"/>
          <w:lang w:val="en-GB"/>
        </w:rPr>
        <w:t xml:space="preserve"> </w:t>
      </w:r>
      <w:r w:rsidR="00000000">
        <w:fldChar w:fldCharType="begin"/>
      </w:r>
      <w:r w:rsidR="00000000" w:rsidRPr="005751D1">
        <w:rPr>
          <w:lang w:val="en-GB"/>
        </w:rPr>
        <w:instrText>HYPERLINK "https://pace.coe.int/en/files/29023/html"</w:instrText>
      </w:r>
      <w:r w:rsidR="00000000">
        <w:fldChar w:fldCharType="separate"/>
      </w:r>
      <w:r w:rsidRPr="002640C9">
        <w:rPr>
          <w:rStyle w:val="Hyperlink"/>
          <w:lang w:val="en-GB"/>
        </w:rPr>
        <w:t>2364 (2021</w:t>
      </w:r>
      <w:r w:rsidR="00000000">
        <w:rPr>
          <w:rStyle w:val="Hyperlink"/>
          <w:lang w:val="en-GB"/>
        </w:rPr>
        <w:fldChar w:fldCharType="end"/>
      </w:r>
      <w:r>
        <w:rPr>
          <w:lang w:val="en-GB"/>
        </w:rPr>
        <w:t xml:space="preserve">). See also Commissioner for Human Rights, </w:t>
      </w:r>
      <w:r w:rsidR="00000000">
        <w:fldChar w:fldCharType="begin"/>
      </w:r>
      <w:r w:rsidR="00000000" w:rsidRPr="005751D1">
        <w:rPr>
          <w:lang w:val="en-GB"/>
        </w:rPr>
        <w:instrText>HYPERLINK "https://www.coe.int/en/web/commissioner/-/ethnic-profiling-a-persisting-practice-in-europe"</w:instrText>
      </w:r>
      <w:r w:rsidR="00000000">
        <w:fldChar w:fldCharType="separate"/>
      </w:r>
      <w:r w:rsidRPr="002640C9">
        <w:rPr>
          <w:rStyle w:val="Hyperlink"/>
          <w:i/>
          <w:iCs/>
          <w:lang w:val="en-GB"/>
        </w:rPr>
        <w:t>Ethnic profiling a persisting practice in Europe</w:t>
      </w:r>
      <w:r w:rsidR="00000000">
        <w:rPr>
          <w:rStyle w:val="Hyperlink"/>
          <w:i/>
          <w:iCs/>
          <w:lang w:val="en-GB"/>
        </w:rPr>
        <w:fldChar w:fldCharType="end"/>
      </w:r>
      <w:r>
        <w:rPr>
          <w:i/>
          <w:iCs/>
          <w:lang w:val="en-GB"/>
        </w:rPr>
        <w:t xml:space="preserve">, </w:t>
      </w:r>
      <w:r>
        <w:rPr>
          <w:lang w:val="en-GB"/>
        </w:rPr>
        <w:t>9 May 2019.</w:t>
      </w:r>
      <w:r w:rsidR="004D1559">
        <w:rPr>
          <w:lang w:val="en-GB"/>
        </w:rPr>
        <w:t xml:space="preserve"> </w:t>
      </w:r>
    </w:p>
  </w:footnote>
  <w:footnote w:id="71">
    <w:p w14:paraId="732C4672"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See </w:t>
      </w:r>
      <w:r w:rsidR="00000000">
        <w:fldChar w:fldCharType="begin"/>
      </w:r>
      <w:r w:rsidR="00000000" w:rsidRPr="005751D1">
        <w:rPr>
          <w:lang w:val="en-GB"/>
        </w:rPr>
        <w:instrText>HYPERLINK "https://www.coe.int/en/web/european-social-charter/signatures-ratifications"</w:instrText>
      </w:r>
      <w:r w:rsidR="00000000">
        <w:fldChar w:fldCharType="separate"/>
      </w:r>
      <w:r w:rsidRPr="00F807E2">
        <w:rPr>
          <w:rStyle w:val="Hyperlink"/>
          <w:lang w:val="en-GB"/>
        </w:rPr>
        <w:t>list of signatures and ratifications</w:t>
      </w:r>
      <w:r w:rsidR="00000000">
        <w:rPr>
          <w:rStyle w:val="Hyperlink"/>
          <w:lang w:val="en-GB"/>
        </w:rPr>
        <w:fldChar w:fldCharType="end"/>
      </w:r>
      <w:r w:rsidRPr="00773CE9">
        <w:rPr>
          <w:lang w:val="en-GB"/>
        </w:rPr>
        <w:t xml:space="preserve"> related to the European Social Charter</w:t>
      </w:r>
      <w:r>
        <w:rPr>
          <w:lang w:val="en-GB"/>
        </w:rPr>
        <w:t>.</w:t>
      </w:r>
      <w:r w:rsidRPr="00773CE9">
        <w:rPr>
          <w:lang w:val="en-GB"/>
        </w:rPr>
        <w:t xml:space="preserve"> </w:t>
      </w:r>
    </w:p>
  </w:footnote>
  <w:footnote w:id="72">
    <w:p w14:paraId="04978365"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See </w:t>
      </w:r>
      <w:proofErr w:type="spellStart"/>
      <w:r w:rsidRPr="00773CE9">
        <w:rPr>
          <w:lang w:val="en-GB"/>
        </w:rPr>
        <w:t>BverfG</w:t>
      </w:r>
      <w:proofErr w:type="spellEnd"/>
      <w:r w:rsidRPr="00773CE9">
        <w:rPr>
          <w:lang w:val="en-GB"/>
        </w:rPr>
        <w:t xml:space="preserve">, </w:t>
      </w:r>
      <w:r>
        <w:rPr>
          <w:lang w:val="en-GB"/>
        </w:rPr>
        <w:t>Judgment by the First Senate</w:t>
      </w:r>
      <w:r w:rsidRPr="00773CE9">
        <w:rPr>
          <w:lang w:val="en-GB"/>
        </w:rPr>
        <w:t xml:space="preserve">, </w:t>
      </w:r>
      <w:r w:rsidR="00000000">
        <w:fldChar w:fldCharType="begin"/>
      </w:r>
      <w:r w:rsidR="00000000" w:rsidRPr="005751D1">
        <w:rPr>
          <w:lang w:val="en-GB"/>
        </w:rPr>
        <w:instrText>HYPERLINK "https://www.bundesverfassungsgericht.de/SharedDocs/Entscheidungen/EN/2010/02/ls20100209_1bvl000109en.html"</w:instrText>
      </w:r>
      <w:r w:rsidR="00000000">
        <w:fldChar w:fldCharType="separate"/>
      </w:r>
      <w:r w:rsidRPr="00F807E2">
        <w:rPr>
          <w:rStyle w:val="Hyperlink"/>
          <w:lang w:val="en-GB"/>
        </w:rPr>
        <w:t xml:space="preserve">1 </w:t>
      </w:r>
      <w:proofErr w:type="spellStart"/>
      <w:r w:rsidRPr="00F807E2">
        <w:rPr>
          <w:rStyle w:val="Hyperlink"/>
          <w:lang w:val="en-GB"/>
        </w:rPr>
        <w:t>BvL</w:t>
      </w:r>
      <w:proofErr w:type="spellEnd"/>
      <w:r w:rsidRPr="00F807E2">
        <w:rPr>
          <w:rStyle w:val="Hyperlink"/>
          <w:lang w:val="en-GB"/>
        </w:rPr>
        <w:t xml:space="preserve"> 1/09, 9 February 2010</w:t>
      </w:r>
      <w:r w:rsidR="00000000">
        <w:rPr>
          <w:rStyle w:val="Hyperlink"/>
          <w:lang w:val="en-GB"/>
        </w:rPr>
        <w:fldChar w:fldCharType="end"/>
      </w:r>
      <w:r w:rsidRPr="00773CE9">
        <w:rPr>
          <w:lang w:val="en-GB"/>
        </w:rPr>
        <w:t>.</w:t>
      </w:r>
      <w:r>
        <w:rPr>
          <w:lang w:val="en-GB"/>
        </w:rPr>
        <w:t xml:space="preserve"> </w:t>
      </w:r>
    </w:p>
  </w:footnote>
  <w:footnote w:id="73">
    <w:p w14:paraId="43987675" w14:textId="77777777" w:rsidR="004A5AEE" w:rsidRPr="00553339" w:rsidRDefault="004A5AEE" w:rsidP="004A5AEE">
      <w:pPr>
        <w:pStyle w:val="FootnoteText"/>
        <w:rPr>
          <w:lang w:val="en-GB"/>
        </w:rPr>
      </w:pPr>
      <w:r>
        <w:rPr>
          <w:rStyle w:val="FootnoteReference"/>
        </w:rPr>
        <w:footnoteRef/>
      </w:r>
      <w:r w:rsidRPr="00DA4818">
        <w:rPr>
          <w:lang w:val="en-US"/>
        </w:rPr>
        <w:t xml:space="preserve"> </w:t>
      </w:r>
      <w:hyperlink r:id="rId12" w:history="1">
        <w:r w:rsidRPr="00DB1902">
          <w:rPr>
            <w:rStyle w:val="Hyperlink"/>
            <w:lang w:val="en-US"/>
          </w:rPr>
          <w:t>Polls</w:t>
        </w:r>
      </w:hyperlink>
      <w:r>
        <w:rPr>
          <w:lang w:val="en-US"/>
        </w:rPr>
        <w:t xml:space="preserve"> consistently indicate a comfortable lead for the </w:t>
      </w:r>
      <w:r w:rsidRPr="00D1271C">
        <w:rPr>
          <w:lang w:val="en-US"/>
        </w:rPr>
        <w:t>Alternative for Germany (</w:t>
      </w:r>
      <w:proofErr w:type="spellStart"/>
      <w:r w:rsidRPr="00D1271C">
        <w:rPr>
          <w:lang w:val="en-US"/>
        </w:rPr>
        <w:t>AfD</w:t>
      </w:r>
      <w:proofErr w:type="spellEnd"/>
      <w:r w:rsidRPr="00D1271C">
        <w:rPr>
          <w:lang w:val="en-US"/>
        </w:rPr>
        <w:t xml:space="preserve">) </w:t>
      </w:r>
      <w:r>
        <w:rPr>
          <w:lang w:val="en-US"/>
        </w:rPr>
        <w:t>in the three L</w:t>
      </w:r>
      <w:r>
        <w:rPr>
          <w:rFonts w:cs="Calibri"/>
          <w:lang w:val="en-US"/>
        </w:rPr>
        <w:t>ä</w:t>
      </w:r>
      <w:r>
        <w:rPr>
          <w:lang w:val="en-US"/>
        </w:rPr>
        <w:t>nder (Th</w:t>
      </w:r>
      <w:r>
        <w:rPr>
          <w:rFonts w:cs="Calibri"/>
          <w:lang w:val="en-US"/>
        </w:rPr>
        <w:t>ü</w:t>
      </w:r>
      <w:r>
        <w:rPr>
          <w:lang w:val="en-US"/>
        </w:rPr>
        <w:t xml:space="preserve">ringen, </w:t>
      </w:r>
      <w:proofErr w:type="gramStart"/>
      <w:r>
        <w:rPr>
          <w:lang w:val="en-US"/>
        </w:rPr>
        <w:t>Saxony</w:t>
      </w:r>
      <w:proofErr w:type="gramEnd"/>
      <w:r>
        <w:rPr>
          <w:lang w:val="en-US"/>
        </w:rPr>
        <w:t xml:space="preserve"> and Brandenburg) that will hold parliamentary elections in September 2024. </w:t>
      </w:r>
    </w:p>
  </w:footnote>
  <w:footnote w:id="74">
    <w:p w14:paraId="4B054C42" w14:textId="77777777" w:rsidR="004A5AEE" w:rsidRPr="00773CE9" w:rsidRDefault="004A5AEE" w:rsidP="004A5AEE">
      <w:pPr>
        <w:pStyle w:val="FootnoteText"/>
        <w:rPr>
          <w:rFonts w:cstheme="minorHAnsi"/>
          <w:b/>
          <w:bCs/>
          <w:i/>
          <w:i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Federal Office of Statistics, </w:t>
      </w:r>
      <w:r w:rsidR="00000000">
        <w:fldChar w:fldCharType="begin"/>
      </w:r>
      <w:r w:rsidR="00000000" w:rsidRPr="005751D1">
        <w:rPr>
          <w:lang w:val="en-GB"/>
        </w:rPr>
        <w:instrText>HYPERLINK "https://www.destatis.de/DE/Presse/Pressemitteilungen/2023/05/PD23_190_63.html"</w:instrText>
      </w:r>
      <w:r w:rsidR="00000000">
        <w:fldChar w:fldCharType="separate"/>
      </w:r>
      <w:r w:rsidRPr="003B49D6">
        <w:rPr>
          <w:rStyle w:val="Hyperlink"/>
          <w:rFonts w:cstheme="minorHAnsi"/>
          <w:bCs/>
          <w:i/>
          <w:iCs/>
          <w:szCs w:val="18"/>
          <w:lang w:val="en-GB"/>
        </w:rPr>
        <w:t xml:space="preserve">Gut </w:t>
      </w:r>
      <w:proofErr w:type="spellStart"/>
      <w:r w:rsidRPr="003B49D6">
        <w:rPr>
          <w:rStyle w:val="Hyperlink"/>
          <w:rFonts w:cstheme="minorHAnsi"/>
          <w:bCs/>
          <w:i/>
          <w:iCs/>
          <w:szCs w:val="18"/>
          <w:lang w:val="en-GB"/>
        </w:rPr>
        <w:t>ein</w:t>
      </w:r>
      <w:proofErr w:type="spellEnd"/>
      <w:r w:rsidRPr="003B49D6">
        <w:rPr>
          <w:rStyle w:val="Hyperlink"/>
          <w:rFonts w:cstheme="minorHAnsi"/>
          <w:bCs/>
          <w:i/>
          <w:iCs/>
          <w:szCs w:val="18"/>
          <w:lang w:val="en-GB"/>
        </w:rPr>
        <w:t xml:space="preserve"> </w:t>
      </w:r>
      <w:proofErr w:type="spellStart"/>
      <w:r w:rsidRPr="003B49D6">
        <w:rPr>
          <w:rStyle w:val="Hyperlink"/>
          <w:rFonts w:cstheme="minorHAnsi"/>
          <w:bCs/>
          <w:i/>
          <w:iCs/>
          <w:szCs w:val="18"/>
          <w:lang w:val="en-GB"/>
        </w:rPr>
        <w:t>Fünftel</w:t>
      </w:r>
      <w:proofErr w:type="spellEnd"/>
      <w:r w:rsidRPr="003B49D6">
        <w:rPr>
          <w:rStyle w:val="Hyperlink"/>
          <w:rFonts w:cstheme="minorHAnsi"/>
          <w:bCs/>
          <w:i/>
          <w:iCs/>
          <w:szCs w:val="18"/>
          <w:lang w:val="en-GB"/>
        </w:rPr>
        <w:t xml:space="preserve"> der </w:t>
      </w:r>
      <w:proofErr w:type="spellStart"/>
      <w:r w:rsidRPr="003B49D6">
        <w:rPr>
          <w:rStyle w:val="Hyperlink"/>
          <w:rFonts w:cstheme="minorHAnsi"/>
          <w:bCs/>
          <w:i/>
          <w:iCs/>
          <w:szCs w:val="18"/>
          <w:lang w:val="en-GB"/>
        </w:rPr>
        <w:t>Bevölkerung</w:t>
      </w:r>
      <w:proofErr w:type="spellEnd"/>
      <w:r w:rsidRPr="003B49D6">
        <w:rPr>
          <w:rStyle w:val="Hyperlink"/>
          <w:rFonts w:cstheme="minorHAnsi"/>
          <w:bCs/>
          <w:i/>
          <w:iCs/>
          <w:szCs w:val="18"/>
          <w:lang w:val="en-GB"/>
        </w:rPr>
        <w:t xml:space="preserve"> </w:t>
      </w:r>
      <w:proofErr w:type="spellStart"/>
      <w:r w:rsidRPr="003B49D6">
        <w:rPr>
          <w:rStyle w:val="Hyperlink"/>
          <w:rFonts w:cstheme="minorHAnsi"/>
          <w:bCs/>
          <w:i/>
          <w:iCs/>
          <w:szCs w:val="18"/>
          <w:lang w:val="en-GB"/>
        </w:rPr>
        <w:t>Deutschlands</w:t>
      </w:r>
      <w:proofErr w:type="spellEnd"/>
      <w:r w:rsidRPr="003B49D6">
        <w:rPr>
          <w:rStyle w:val="Hyperlink"/>
          <w:rFonts w:cstheme="minorHAnsi"/>
          <w:bCs/>
          <w:i/>
          <w:iCs/>
          <w:szCs w:val="18"/>
          <w:lang w:val="en-GB"/>
        </w:rPr>
        <w:t xml:space="preserve"> von </w:t>
      </w:r>
      <w:proofErr w:type="spellStart"/>
      <w:r w:rsidRPr="003B49D6">
        <w:rPr>
          <w:rStyle w:val="Hyperlink"/>
          <w:rFonts w:cstheme="minorHAnsi"/>
          <w:bCs/>
          <w:i/>
          <w:iCs/>
          <w:szCs w:val="18"/>
          <w:lang w:val="en-GB"/>
        </w:rPr>
        <w:t>Armut</w:t>
      </w:r>
      <w:proofErr w:type="spellEnd"/>
      <w:r w:rsidRPr="003B49D6">
        <w:rPr>
          <w:rStyle w:val="Hyperlink"/>
          <w:rFonts w:cstheme="minorHAnsi"/>
          <w:bCs/>
          <w:i/>
          <w:iCs/>
          <w:szCs w:val="18"/>
          <w:lang w:val="en-GB"/>
        </w:rPr>
        <w:t xml:space="preserve"> </w:t>
      </w:r>
      <w:proofErr w:type="spellStart"/>
      <w:r w:rsidRPr="003B49D6">
        <w:rPr>
          <w:rStyle w:val="Hyperlink"/>
          <w:rFonts w:cstheme="minorHAnsi"/>
          <w:bCs/>
          <w:i/>
          <w:iCs/>
          <w:szCs w:val="18"/>
          <w:lang w:val="en-GB"/>
        </w:rPr>
        <w:t>oder</w:t>
      </w:r>
      <w:proofErr w:type="spellEnd"/>
      <w:r w:rsidRPr="003B49D6">
        <w:rPr>
          <w:rStyle w:val="Hyperlink"/>
          <w:rFonts w:cstheme="minorHAnsi"/>
          <w:bCs/>
          <w:i/>
          <w:iCs/>
          <w:szCs w:val="18"/>
          <w:lang w:val="en-GB"/>
        </w:rPr>
        <w:t xml:space="preserve"> </w:t>
      </w:r>
      <w:proofErr w:type="spellStart"/>
      <w:r w:rsidRPr="003B49D6">
        <w:rPr>
          <w:rStyle w:val="Hyperlink"/>
          <w:rFonts w:cstheme="minorHAnsi"/>
          <w:bCs/>
          <w:i/>
          <w:iCs/>
          <w:szCs w:val="18"/>
          <w:lang w:val="en-GB"/>
        </w:rPr>
        <w:t>sozialer</w:t>
      </w:r>
      <w:proofErr w:type="spellEnd"/>
      <w:r w:rsidRPr="003B49D6">
        <w:rPr>
          <w:rStyle w:val="Hyperlink"/>
          <w:rFonts w:cstheme="minorHAnsi"/>
          <w:bCs/>
          <w:i/>
          <w:iCs/>
          <w:szCs w:val="18"/>
          <w:lang w:val="en-GB"/>
        </w:rPr>
        <w:t xml:space="preserve"> </w:t>
      </w:r>
      <w:proofErr w:type="spellStart"/>
      <w:r w:rsidRPr="003B49D6">
        <w:rPr>
          <w:rStyle w:val="Hyperlink"/>
          <w:rFonts w:cstheme="minorHAnsi"/>
          <w:bCs/>
          <w:i/>
          <w:iCs/>
          <w:szCs w:val="18"/>
          <w:lang w:val="en-GB"/>
        </w:rPr>
        <w:t>Ausgrenzung</w:t>
      </w:r>
      <w:proofErr w:type="spellEnd"/>
      <w:r w:rsidRPr="003B49D6">
        <w:rPr>
          <w:rStyle w:val="Hyperlink"/>
          <w:rFonts w:cstheme="minorHAnsi"/>
          <w:bCs/>
          <w:i/>
          <w:iCs/>
          <w:szCs w:val="18"/>
          <w:lang w:val="en-GB"/>
        </w:rPr>
        <w:t xml:space="preserve"> </w:t>
      </w:r>
      <w:proofErr w:type="spellStart"/>
      <w:r w:rsidRPr="003B49D6">
        <w:rPr>
          <w:rStyle w:val="Hyperlink"/>
          <w:rFonts w:cstheme="minorHAnsi"/>
          <w:bCs/>
          <w:i/>
          <w:iCs/>
          <w:szCs w:val="18"/>
          <w:lang w:val="en-GB"/>
        </w:rPr>
        <w:t>bedroht</w:t>
      </w:r>
      <w:proofErr w:type="spellEnd"/>
      <w:r w:rsidR="00000000">
        <w:rPr>
          <w:rStyle w:val="Hyperlink"/>
          <w:rFonts w:cstheme="minorHAnsi"/>
          <w:bCs/>
          <w:i/>
          <w:iCs/>
          <w:szCs w:val="18"/>
          <w:lang w:val="en-GB"/>
        </w:rPr>
        <w:fldChar w:fldCharType="end"/>
      </w:r>
      <w:r w:rsidRPr="00773CE9">
        <w:rPr>
          <w:rFonts w:cstheme="minorHAnsi"/>
          <w:bCs/>
          <w:i/>
          <w:iCs/>
          <w:szCs w:val="18"/>
          <w:lang w:val="en-GB"/>
        </w:rPr>
        <w:t xml:space="preserve">, </w:t>
      </w:r>
      <w:r w:rsidRPr="00773CE9">
        <w:rPr>
          <w:rFonts w:cstheme="minorHAnsi"/>
          <w:bCs/>
          <w:szCs w:val="18"/>
          <w:lang w:val="en-GB"/>
        </w:rPr>
        <w:t>16 May 2023.</w:t>
      </w:r>
    </w:p>
  </w:footnote>
  <w:footnote w:id="75">
    <w:p w14:paraId="254B4D14"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proofErr w:type="spellStart"/>
      <w:r>
        <w:fldChar w:fldCharType="begin"/>
      </w:r>
      <w:r w:rsidRPr="00AB20EC">
        <w:rPr>
          <w:lang w:val="en-GB"/>
        </w:rPr>
        <w:instrText>HYPERLINK "https://www.wsi.de/de/faust-detail.htm?sync_id=HBS-008464"</w:instrText>
      </w:r>
      <w:r>
        <w:fldChar w:fldCharType="separate"/>
      </w:r>
      <w:r w:rsidRPr="003B49D6">
        <w:rPr>
          <w:rStyle w:val="Hyperlink"/>
          <w:rFonts w:cstheme="minorHAnsi"/>
          <w:bCs/>
          <w:szCs w:val="18"/>
          <w:lang w:val="en-GB"/>
        </w:rPr>
        <w:t>Armut</w:t>
      </w:r>
      <w:proofErr w:type="spellEnd"/>
      <w:r w:rsidRPr="003B49D6">
        <w:rPr>
          <w:rStyle w:val="Hyperlink"/>
          <w:rFonts w:cstheme="minorHAnsi"/>
          <w:bCs/>
          <w:szCs w:val="18"/>
          <w:lang w:val="en-GB"/>
        </w:rPr>
        <w:t xml:space="preserve"> </w:t>
      </w:r>
      <w:proofErr w:type="spellStart"/>
      <w:r w:rsidRPr="003B49D6">
        <w:rPr>
          <w:rStyle w:val="Hyperlink"/>
          <w:rFonts w:cstheme="minorHAnsi"/>
          <w:bCs/>
          <w:szCs w:val="18"/>
          <w:lang w:val="en-GB"/>
        </w:rPr>
        <w:t>grenzt</w:t>
      </w:r>
      <w:proofErr w:type="spellEnd"/>
      <w:r w:rsidRPr="003B49D6">
        <w:rPr>
          <w:rStyle w:val="Hyperlink"/>
          <w:rFonts w:cstheme="minorHAnsi"/>
          <w:bCs/>
          <w:szCs w:val="18"/>
          <w:lang w:val="en-GB"/>
        </w:rPr>
        <w:t xml:space="preserve"> </w:t>
      </w:r>
      <w:proofErr w:type="spellStart"/>
      <w:r w:rsidRPr="003B49D6">
        <w:rPr>
          <w:rStyle w:val="Hyperlink"/>
          <w:rFonts w:cstheme="minorHAnsi"/>
          <w:bCs/>
          <w:szCs w:val="18"/>
          <w:lang w:val="en-GB"/>
        </w:rPr>
        <w:t>aus</w:t>
      </w:r>
      <w:proofErr w:type="spellEnd"/>
      <w:r w:rsidRPr="003B49D6">
        <w:rPr>
          <w:rStyle w:val="Hyperlink"/>
          <w:rFonts w:cstheme="minorHAnsi"/>
          <w:bCs/>
          <w:szCs w:val="18"/>
          <w:lang w:val="en-GB"/>
        </w:rPr>
        <w:t xml:space="preserve">’, </w:t>
      </w:r>
      <w:proofErr w:type="spellStart"/>
      <w:r w:rsidRPr="003B49D6">
        <w:rPr>
          <w:rStyle w:val="Hyperlink"/>
          <w:rFonts w:cstheme="minorHAnsi"/>
          <w:bCs/>
          <w:szCs w:val="18"/>
          <w:lang w:val="en-GB"/>
        </w:rPr>
        <w:t>Bericht</w:t>
      </w:r>
      <w:proofErr w:type="spellEnd"/>
      <w:r w:rsidRPr="003B49D6">
        <w:rPr>
          <w:rStyle w:val="Hyperlink"/>
          <w:rFonts w:cstheme="minorHAnsi"/>
          <w:bCs/>
          <w:szCs w:val="18"/>
          <w:lang w:val="en-GB"/>
        </w:rPr>
        <w:t xml:space="preserve"> des WSI</w:t>
      </w:r>
      <w:r>
        <w:rPr>
          <w:rStyle w:val="Hyperlink"/>
          <w:rFonts w:cstheme="minorHAnsi"/>
          <w:bCs/>
          <w:szCs w:val="18"/>
          <w:lang w:val="en-GB"/>
        </w:rPr>
        <w:fldChar w:fldCharType="end"/>
      </w:r>
      <w:r w:rsidRPr="00773CE9">
        <w:rPr>
          <w:rFonts w:cstheme="minorHAnsi"/>
          <w:bCs/>
          <w:szCs w:val="18"/>
          <w:lang w:val="en-GB"/>
        </w:rPr>
        <w:t xml:space="preserve"> (</w:t>
      </w:r>
      <w:proofErr w:type="spellStart"/>
      <w:r w:rsidRPr="00773CE9">
        <w:rPr>
          <w:rFonts w:cstheme="minorHAnsi"/>
          <w:bCs/>
          <w:szCs w:val="18"/>
          <w:lang w:val="en-GB"/>
        </w:rPr>
        <w:t>Wirtschafts</w:t>
      </w:r>
      <w:proofErr w:type="spellEnd"/>
      <w:r w:rsidRPr="00773CE9">
        <w:rPr>
          <w:rFonts w:cstheme="minorHAnsi"/>
          <w:bCs/>
          <w:szCs w:val="18"/>
          <w:lang w:val="en-GB"/>
        </w:rPr>
        <w:t xml:space="preserve">- und </w:t>
      </w:r>
      <w:proofErr w:type="spellStart"/>
      <w:r w:rsidRPr="00773CE9">
        <w:rPr>
          <w:rFonts w:cstheme="minorHAnsi"/>
          <w:bCs/>
          <w:szCs w:val="18"/>
          <w:lang w:val="en-GB"/>
        </w:rPr>
        <w:t>Sozialwissenschaftliches</w:t>
      </w:r>
      <w:proofErr w:type="spellEnd"/>
      <w:r w:rsidRPr="00773CE9">
        <w:rPr>
          <w:rFonts w:cstheme="minorHAnsi"/>
          <w:bCs/>
          <w:szCs w:val="18"/>
          <w:lang w:val="en-GB"/>
        </w:rPr>
        <w:t xml:space="preserve"> </w:t>
      </w:r>
      <w:proofErr w:type="spellStart"/>
      <w:r w:rsidRPr="00773CE9">
        <w:rPr>
          <w:rFonts w:cstheme="minorHAnsi"/>
          <w:bCs/>
          <w:szCs w:val="18"/>
          <w:lang w:val="en-GB"/>
        </w:rPr>
        <w:t>Institut</w:t>
      </w:r>
      <w:proofErr w:type="spellEnd"/>
      <w:r w:rsidRPr="00773CE9">
        <w:rPr>
          <w:rFonts w:cstheme="minorHAnsi"/>
          <w:bCs/>
          <w:szCs w:val="18"/>
          <w:lang w:val="en-GB"/>
        </w:rPr>
        <w:t>), November 2022.</w:t>
      </w:r>
      <w:r>
        <w:rPr>
          <w:rFonts w:cstheme="minorHAnsi"/>
          <w:bCs/>
          <w:szCs w:val="18"/>
          <w:lang w:val="en-GB"/>
        </w:rPr>
        <w:t xml:space="preserve"> </w:t>
      </w:r>
    </w:p>
  </w:footnote>
  <w:footnote w:id="76">
    <w:p w14:paraId="54D8CE95"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See ‘</w:t>
      </w:r>
      <w:proofErr w:type="spellStart"/>
      <w:r>
        <w:fldChar w:fldCharType="begin"/>
      </w:r>
      <w:r w:rsidRPr="00AB20EC">
        <w:rPr>
          <w:lang w:val="en-GB"/>
        </w:rPr>
        <w:instrText>HYPERLINK "https://www.tafel.de/presse/zahlen-fakten"</w:instrText>
      </w:r>
      <w:r>
        <w:fldChar w:fldCharType="separate"/>
      </w:r>
      <w:r w:rsidRPr="003B49D6">
        <w:rPr>
          <w:rStyle w:val="Hyperlink"/>
          <w:lang w:val="en-GB"/>
        </w:rPr>
        <w:t>Zahlen</w:t>
      </w:r>
      <w:proofErr w:type="spellEnd"/>
      <w:r w:rsidRPr="003B49D6">
        <w:rPr>
          <w:rStyle w:val="Hyperlink"/>
          <w:lang w:val="en-GB"/>
        </w:rPr>
        <w:t xml:space="preserve"> und </w:t>
      </w:r>
      <w:proofErr w:type="spellStart"/>
      <w:r w:rsidRPr="003B49D6">
        <w:rPr>
          <w:rStyle w:val="Hyperlink"/>
          <w:lang w:val="en-GB"/>
        </w:rPr>
        <w:t>Fakten</w:t>
      </w:r>
      <w:proofErr w:type="spellEnd"/>
      <w:r w:rsidRPr="003B49D6">
        <w:rPr>
          <w:rStyle w:val="Hyperlink"/>
          <w:lang w:val="en-GB"/>
        </w:rPr>
        <w:t>’, Tafel Deutschland</w:t>
      </w:r>
      <w:r>
        <w:rPr>
          <w:rStyle w:val="Hyperlink"/>
          <w:lang w:val="en-GB"/>
        </w:rPr>
        <w:fldChar w:fldCharType="end"/>
      </w:r>
      <w:r w:rsidRPr="00773CE9">
        <w:rPr>
          <w:lang w:val="en-GB"/>
        </w:rPr>
        <w:t xml:space="preserve">, Stand November 2023. </w:t>
      </w:r>
    </w:p>
  </w:footnote>
  <w:footnote w:id="77">
    <w:p w14:paraId="1C7A0D90" w14:textId="77777777" w:rsidR="004A5AEE" w:rsidRPr="008C5676"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8C5676">
        <w:rPr>
          <w:rFonts w:cstheme="minorHAnsi"/>
          <w:bCs/>
          <w:szCs w:val="18"/>
          <w:lang w:val="en-GB"/>
        </w:rPr>
        <w:t xml:space="preserve"> See </w:t>
      </w:r>
      <w:proofErr w:type="spellStart"/>
      <w:r w:rsidRPr="008C5676">
        <w:rPr>
          <w:rFonts w:cstheme="minorHAnsi"/>
          <w:bCs/>
          <w:szCs w:val="18"/>
          <w:lang w:val="en-GB"/>
        </w:rPr>
        <w:t>Paritätischer</w:t>
      </w:r>
      <w:proofErr w:type="spellEnd"/>
      <w:r w:rsidRPr="008C5676">
        <w:rPr>
          <w:rFonts w:cstheme="minorHAnsi"/>
          <w:bCs/>
          <w:szCs w:val="18"/>
          <w:lang w:val="en-GB"/>
        </w:rPr>
        <w:t xml:space="preserve"> </w:t>
      </w:r>
      <w:proofErr w:type="spellStart"/>
      <w:r w:rsidRPr="008C5676">
        <w:rPr>
          <w:rFonts w:cstheme="minorHAnsi"/>
          <w:bCs/>
          <w:szCs w:val="18"/>
          <w:lang w:val="en-GB"/>
        </w:rPr>
        <w:t>Gesamtverband</w:t>
      </w:r>
      <w:proofErr w:type="spellEnd"/>
      <w:r w:rsidRPr="008C5676">
        <w:rPr>
          <w:rFonts w:cstheme="minorHAnsi"/>
          <w:bCs/>
          <w:szCs w:val="18"/>
          <w:lang w:val="en-GB"/>
        </w:rPr>
        <w:t xml:space="preserve">, </w:t>
      </w:r>
      <w:r w:rsidR="00000000">
        <w:fldChar w:fldCharType="begin"/>
      </w:r>
      <w:r w:rsidR="00000000" w:rsidRPr="005751D1">
        <w:rPr>
          <w:lang w:val="en-GB"/>
        </w:rPr>
        <w:instrText>HYPERLINK "https://www.der-paritaetische.de/alle-meldungen/buergergeld-zu-niedrig-paritaetischer-fordert-armutsfesten-regelsatz-von-725-euro/"</w:instrText>
      </w:r>
      <w:r w:rsidR="00000000">
        <w:fldChar w:fldCharType="separate"/>
      </w:r>
      <w:proofErr w:type="spellStart"/>
      <w:r w:rsidRPr="008C5676">
        <w:rPr>
          <w:rStyle w:val="Hyperlink"/>
          <w:rFonts w:cstheme="minorHAnsi"/>
          <w:bCs/>
          <w:i/>
          <w:iCs/>
          <w:szCs w:val="18"/>
          <w:lang w:val="en-GB"/>
        </w:rPr>
        <w:t>Bürgergeld</w:t>
      </w:r>
      <w:proofErr w:type="spellEnd"/>
      <w:r w:rsidRPr="008C5676">
        <w:rPr>
          <w:rStyle w:val="Hyperlink"/>
          <w:rFonts w:cstheme="minorHAnsi"/>
          <w:bCs/>
          <w:i/>
          <w:iCs/>
          <w:szCs w:val="18"/>
          <w:lang w:val="en-GB"/>
        </w:rPr>
        <w:t xml:space="preserve"> zu </w:t>
      </w:r>
      <w:proofErr w:type="spellStart"/>
      <w:r w:rsidRPr="008C5676">
        <w:rPr>
          <w:rStyle w:val="Hyperlink"/>
          <w:rFonts w:cstheme="minorHAnsi"/>
          <w:bCs/>
          <w:i/>
          <w:iCs/>
          <w:szCs w:val="18"/>
          <w:lang w:val="en-GB"/>
        </w:rPr>
        <w:t>niedrig</w:t>
      </w:r>
      <w:proofErr w:type="spellEnd"/>
      <w:r w:rsidRPr="008C5676">
        <w:rPr>
          <w:rStyle w:val="Hyperlink"/>
          <w:rFonts w:cstheme="minorHAnsi"/>
          <w:bCs/>
          <w:i/>
          <w:iCs/>
          <w:szCs w:val="18"/>
          <w:lang w:val="en-GB"/>
        </w:rPr>
        <w:t xml:space="preserve">: </w:t>
      </w:r>
      <w:proofErr w:type="spellStart"/>
      <w:r w:rsidRPr="008C5676">
        <w:rPr>
          <w:rStyle w:val="Hyperlink"/>
          <w:rFonts w:cstheme="minorHAnsi"/>
          <w:bCs/>
          <w:i/>
          <w:iCs/>
          <w:szCs w:val="18"/>
          <w:lang w:val="en-GB"/>
        </w:rPr>
        <w:t>Paritätischer</w:t>
      </w:r>
      <w:proofErr w:type="spellEnd"/>
      <w:r w:rsidRPr="008C5676">
        <w:rPr>
          <w:rStyle w:val="Hyperlink"/>
          <w:rFonts w:cstheme="minorHAnsi"/>
          <w:bCs/>
          <w:i/>
          <w:iCs/>
          <w:szCs w:val="18"/>
          <w:lang w:val="en-GB"/>
        </w:rPr>
        <w:t xml:space="preserve"> </w:t>
      </w:r>
      <w:proofErr w:type="spellStart"/>
      <w:r w:rsidRPr="008C5676">
        <w:rPr>
          <w:rStyle w:val="Hyperlink"/>
          <w:rFonts w:cstheme="minorHAnsi"/>
          <w:bCs/>
          <w:i/>
          <w:iCs/>
          <w:szCs w:val="18"/>
          <w:lang w:val="en-GB"/>
        </w:rPr>
        <w:t>fordert</w:t>
      </w:r>
      <w:proofErr w:type="spellEnd"/>
      <w:r w:rsidRPr="008C5676">
        <w:rPr>
          <w:rStyle w:val="Hyperlink"/>
          <w:rFonts w:cstheme="minorHAnsi"/>
          <w:bCs/>
          <w:i/>
          <w:iCs/>
          <w:szCs w:val="18"/>
          <w:lang w:val="en-GB"/>
        </w:rPr>
        <w:t xml:space="preserve"> </w:t>
      </w:r>
      <w:proofErr w:type="spellStart"/>
      <w:r w:rsidRPr="008C5676">
        <w:rPr>
          <w:rStyle w:val="Hyperlink"/>
          <w:rFonts w:cstheme="minorHAnsi"/>
          <w:bCs/>
          <w:i/>
          <w:iCs/>
          <w:szCs w:val="18"/>
          <w:lang w:val="en-GB"/>
        </w:rPr>
        <w:t>armutsfesten</w:t>
      </w:r>
      <w:proofErr w:type="spellEnd"/>
      <w:r w:rsidRPr="008C5676">
        <w:rPr>
          <w:rStyle w:val="Hyperlink"/>
          <w:rFonts w:cstheme="minorHAnsi"/>
          <w:bCs/>
          <w:i/>
          <w:iCs/>
          <w:szCs w:val="18"/>
          <w:lang w:val="en-GB"/>
        </w:rPr>
        <w:t xml:space="preserve"> </w:t>
      </w:r>
      <w:proofErr w:type="spellStart"/>
      <w:r w:rsidRPr="008C5676">
        <w:rPr>
          <w:rStyle w:val="Hyperlink"/>
          <w:rFonts w:cstheme="minorHAnsi"/>
          <w:bCs/>
          <w:i/>
          <w:iCs/>
          <w:szCs w:val="18"/>
          <w:lang w:val="en-GB"/>
        </w:rPr>
        <w:t>Regelsatz</w:t>
      </w:r>
      <w:proofErr w:type="spellEnd"/>
      <w:r w:rsidR="00000000">
        <w:rPr>
          <w:rStyle w:val="Hyperlink"/>
          <w:rFonts w:cstheme="minorHAnsi"/>
          <w:bCs/>
          <w:i/>
          <w:iCs/>
          <w:szCs w:val="18"/>
          <w:lang w:val="en-GB"/>
        </w:rPr>
        <w:fldChar w:fldCharType="end"/>
      </w:r>
      <w:r w:rsidRPr="008C5676">
        <w:rPr>
          <w:rFonts w:cstheme="minorHAnsi"/>
          <w:bCs/>
          <w:i/>
          <w:iCs/>
          <w:szCs w:val="18"/>
          <w:lang w:val="en-GB"/>
        </w:rPr>
        <w:t xml:space="preserve"> von 725 Euro, </w:t>
      </w:r>
      <w:r w:rsidRPr="008C5676">
        <w:rPr>
          <w:rFonts w:cstheme="minorHAnsi"/>
          <w:bCs/>
          <w:szCs w:val="18"/>
          <w:lang w:val="en-GB"/>
        </w:rPr>
        <w:t>9 November 2022.</w:t>
      </w:r>
    </w:p>
  </w:footnote>
  <w:footnote w:id="78">
    <w:p w14:paraId="11670237" w14:textId="30D4464F" w:rsidR="004A5AEE" w:rsidRPr="00773CE9" w:rsidRDefault="004A5AEE" w:rsidP="004A5AEE">
      <w:pPr>
        <w:pStyle w:val="FootnoteText"/>
        <w:rPr>
          <w:rFonts w:cstheme="minorHAnsi"/>
          <w:b/>
          <w:bCs/>
          <w:szCs w:val="18"/>
          <w:lang w:val="en-GB"/>
        </w:rPr>
      </w:pPr>
      <w:r w:rsidRPr="00773CE9">
        <w:rPr>
          <w:rStyle w:val="FootnoteReference"/>
          <w:rFonts w:cstheme="minorHAnsi"/>
          <w:szCs w:val="18"/>
          <w:lang w:val="en-GB"/>
        </w:rPr>
        <w:footnoteRef/>
      </w:r>
      <w:r w:rsidRPr="00773CE9">
        <w:rPr>
          <w:rFonts w:cstheme="minorHAnsi"/>
          <w:szCs w:val="18"/>
          <w:lang w:val="en-GB"/>
        </w:rPr>
        <w:t xml:space="preserve"> See </w:t>
      </w:r>
      <w:r w:rsidR="00000000">
        <w:fldChar w:fldCharType="begin"/>
      </w:r>
      <w:r w:rsidR="00000000" w:rsidRPr="005751D1">
        <w:rPr>
          <w:lang w:val="en-GB"/>
        </w:rPr>
        <w:instrText>HYPERLINK "https://hudoc.esc.coe.int/app/conversion/pdf?library=ESC&amp;id=CR_XXI-2_DEU_ENG&amp;filename=CR_XXI-2_DEU_ENG.pdf"</w:instrText>
      </w:r>
      <w:r w:rsidR="00000000">
        <w:fldChar w:fldCharType="separate"/>
      </w:r>
      <w:r w:rsidRPr="009B60D1">
        <w:rPr>
          <w:rStyle w:val="Hyperlink"/>
          <w:rFonts w:cstheme="minorHAnsi"/>
          <w:bCs/>
          <w:szCs w:val="18"/>
          <w:lang w:val="en-GB"/>
        </w:rPr>
        <w:t>ECSR Conclusions XXI-2 (2017)</w:t>
      </w:r>
      <w:r w:rsidR="00000000">
        <w:rPr>
          <w:rStyle w:val="Hyperlink"/>
          <w:rFonts w:cstheme="minorHAnsi"/>
          <w:bCs/>
          <w:szCs w:val="18"/>
          <w:lang w:val="en-GB"/>
        </w:rPr>
        <w:fldChar w:fldCharType="end"/>
      </w:r>
      <w:r w:rsidRPr="00773CE9">
        <w:rPr>
          <w:rFonts w:cstheme="minorHAnsi"/>
          <w:bCs/>
          <w:szCs w:val="18"/>
          <w:lang w:val="en-GB"/>
        </w:rPr>
        <w:t>.</w:t>
      </w:r>
      <w:r>
        <w:rPr>
          <w:rFonts w:cstheme="minorHAnsi"/>
          <w:bCs/>
          <w:szCs w:val="18"/>
          <w:lang w:val="en-GB"/>
        </w:rPr>
        <w:t xml:space="preserve"> The ECSR clarified that the level </w:t>
      </w:r>
      <w:r w:rsidR="005751D1">
        <w:rPr>
          <w:rFonts w:cstheme="minorHAnsi"/>
          <w:bCs/>
          <w:szCs w:val="18"/>
          <w:lang w:val="en-GB"/>
        </w:rPr>
        <w:t xml:space="preserve">of </w:t>
      </w:r>
      <w:r w:rsidRPr="003819A9">
        <w:rPr>
          <w:rFonts w:cstheme="minorHAnsi"/>
          <w:bCs/>
          <w:szCs w:val="18"/>
          <w:lang w:val="en-GB"/>
        </w:rPr>
        <w:t>social security benefits</w:t>
      </w:r>
      <w:r>
        <w:rPr>
          <w:rFonts w:cstheme="minorHAnsi"/>
          <w:bCs/>
          <w:szCs w:val="18"/>
          <w:lang w:val="en-GB"/>
        </w:rPr>
        <w:t xml:space="preserve">, when paid as </w:t>
      </w:r>
      <w:r w:rsidRPr="003819A9">
        <w:rPr>
          <w:rFonts w:cstheme="minorHAnsi"/>
          <w:bCs/>
          <w:szCs w:val="18"/>
          <w:lang w:val="en-GB"/>
        </w:rPr>
        <w:t>income-replacement benefits, should never fall below the poverty threshold</w:t>
      </w:r>
      <w:r>
        <w:rPr>
          <w:rFonts w:cstheme="minorHAnsi"/>
          <w:bCs/>
          <w:szCs w:val="18"/>
          <w:lang w:val="en-GB"/>
        </w:rPr>
        <w:t xml:space="preserve">. </w:t>
      </w:r>
    </w:p>
  </w:footnote>
  <w:footnote w:id="79">
    <w:p w14:paraId="37CCB499" w14:textId="77777777" w:rsidR="004A5AEE" w:rsidRPr="00773CE9" w:rsidRDefault="004A5AEE" w:rsidP="004A5AEE">
      <w:pPr>
        <w:pStyle w:val="FootnoteText"/>
        <w:rPr>
          <w:rFonts w:cstheme="minorHAnsi"/>
          <w:b/>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r w:rsidRPr="00773CE9">
        <w:rPr>
          <w:rFonts w:cstheme="minorHAnsi"/>
          <w:szCs w:val="18"/>
          <w:lang w:val="en-GB"/>
        </w:rPr>
        <w:t xml:space="preserve">Irene Becker and Verena </w:t>
      </w:r>
      <w:proofErr w:type="spellStart"/>
      <w:r w:rsidRPr="00773CE9">
        <w:rPr>
          <w:rFonts w:cstheme="minorHAnsi"/>
          <w:szCs w:val="18"/>
          <w:lang w:val="en-GB"/>
        </w:rPr>
        <w:t>Tobsch</w:t>
      </w:r>
      <w:proofErr w:type="spellEnd"/>
      <w:r w:rsidRPr="00773CE9">
        <w:rPr>
          <w:rFonts w:cstheme="minorHAnsi"/>
          <w:szCs w:val="18"/>
          <w:lang w:val="en-GB"/>
        </w:rPr>
        <w:t xml:space="preserve">, Report commissioned by the Parliamentary fraction </w:t>
      </w:r>
      <w:proofErr w:type="spellStart"/>
      <w:r w:rsidRPr="00773CE9">
        <w:rPr>
          <w:rFonts w:cstheme="minorHAnsi"/>
          <w:szCs w:val="18"/>
          <w:lang w:val="en-GB"/>
        </w:rPr>
        <w:t>Bündnis</w:t>
      </w:r>
      <w:proofErr w:type="spellEnd"/>
      <w:r w:rsidRPr="00773CE9">
        <w:rPr>
          <w:rFonts w:cstheme="minorHAnsi"/>
          <w:szCs w:val="18"/>
          <w:lang w:val="en-GB"/>
        </w:rPr>
        <w:t xml:space="preserve"> 90/Die </w:t>
      </w:r>
      <w:proofErr w:type="spellStart"/>
      <w:r w:rsidRPr="00773CE9">
        <w:rPr>
          <w:rFonts w:cstheme="minorHAnsi"/>
          <w:szCs w:val="18"/>
          <w:lang w:val="en-GB"/>
        </w:rPr>
        <w:t>Grünen</w:t>
      </w:r>
      <w:proofErr w:type="spellEnd"/>
      <w:r w:rsidRPr="00773CE9">
        <w:rPr>
          <w:rFonts w:cstheme="minorHAnsi"/>
          <w:szCs w:val="18"/>
          <w:lang w:val="en-GB"/>
        </w:rPr>
        <w:t xml:space="preserve">, </w:t>
      </w:r>
      <w:proofErr w:type="spellStart"/>
      <w:r w:rsidRPr="00773CE9">
        <w:rPr>
          <w:rFonts w:cstheme="minorHAnsi"/>
          <w:i/>
          <w:iCs/>
          <w:szCs w:val="18"/>
          <w:lang w:val="en-GB"/>
        </w:rPr>
        <w:t>Ermittlung</w:t>
      </w:r>
      <w:proofErr w:type="spellEnd"/>
      <w:r w:rsidRPr="00773CE9">
        <w:rPr>
          <w:rFonts w:cstheme="minorHAnsi"/>
          <w:i/>
          <w:iCs/>
          <w:szCs w:val="18"/>
          <w:lang w:val="en-GB"/>
        </w:rPr>
        <w:t xml:space="preserve"> der „</w:t>
      </w:r>
      <w:proofErr w:type="spellStart"/>
      <w:r>
        <w:fldChar w:fldCharType="begin"/>
      </w:r>
      <w:r w:rsidRPr="00AB20EC">
        <w:rPr>
          <w:lang w:val="en-GB"/>
        </w:rPr>
        <w:instrText>HYPERLINK "https://soziales.gruene-nrw-lag.de/files/2020/11/Lehmann_Regelbedarfe.pdf"</w:instrText>
      </w:r>
      <w:r>
        <w:fldChar w:fldCharType="separate"/>
      </w:r>
      <w:r w:rsidRPr="003B49D6">
        <w:rPr>
          <w:rStyle w:val="Hyperlink"/>
          <w:rFonts w:cstheme="minorHAnsi"/>
          <w:i/>
          <w:iCs/>
          <w:szCs w:val="18"/>
          <w:lang w:val="en-GB"/>
        </w:rPr>
        <w:t>Grünen</w:t>
      </w:r>
      <w:proofErr w:type="spellEnd"/>
      <w:r w:rsidRPr="003B49D6">
        <w:rPr>
          <w:rStyle w:val="Hyperlink"/>
          <w:rFonts w:cstheme="minorHAnsi"/>
          <w:i/>
          <w:iCs/>
          <w:szCs w:val="18"/>
          <w:lang w:val="en-GB"/>
        </w:rPr>
        <w:t xml:space="preserve"> </w:t>
      </w:r>
      <w:proofErr w:type="spellStart"/>
      <w:r w:rsidRPr="003B49D6">
        <w:rPr>
          <w:rStyle w:val="Hyperlink"/>
          <w:rFonts w:cstheme="minorHAnsi"/>
          <w:i/>
          <w:iCs/>
          <w:szCs w:val="18"/>
          <w:lang w:val="en-GB"/>
        </w:rPr>
        <w:t>Garantiesicherungs-Regelbedarfe</w:t>
      </w:r>
      <w:proofErr w:type="spellEnd"/>
      <w:r>
        <w:rPr>
          <w:rStyle w:val="Hyperlink"/>
          <w:rFonts w:cstheme="minorHAnsi"/>
          <w:i/>
          <w:iCs/>
          <w:szCs w:val="18"/>
          <w:lang w:val="en-GB"/>
        </w:rPr>
        <w:fldChar w:fldCharType="end"/>
      </w:r>
      <w:r w:rsidRPr="00773CE9">
        <w:rPr>
          <w:rFonts w:cstheme="minorHAnsi"/>
          <w:i/>
          <w:iCs/>
          <w:szCs w:val="18"/>
          <w:lang w:val="en-GB"/>
        </w:rPr>
        <w:t xml:space="preserve">, </w:t>
      </w:r>
      <w:r w:rsidRPr="00773CE9">
        <w:rPr>
          <w:rFonts w:cstheme="minorHAnsi"/>
          <w:szCs w:val="18"/>
          <w:lang w:val="en-GB"/>
        </w:rPr>
        <w:t>20 January 2020.</w:t>
      </w:r>
      <w:r>
        <w:rPr>
          <w:rFonts w:cstheme="minorHAnsi"/>
          <w:szCs w:val="18"/>
          <w:lang w:val="en-GB"/>
        </w:rPr>
        <w:t xml:space="preserve"> </w:t>
      </w:r>
    </w:p>
    <w:p w14:paraId="43392966" w14:textId="77777777" w:rsidR="004A5AEE" w:rsidRPr="00773CE9" w:rsidRDefault="004A5AEE" w:rsidP="004A5AEE">
      <w:pPr>
        <w:pStyle w:val="FootnoteText"/>
        <w:rPr>
          <w:rFonts w:cstheme="minorHAnsi"/>
          <w:b/>
          <w:szCs w:val="18"/>
          <w:lang w:val="en-GB"/>
        </w:rPr>
      </w:pPr>
      <w:proofErr w:type="spellStart"/>
      <w:r w:rsidRPr="00773CE9">
        <w:rPr>
          <w:rFonts w:cstheme="minorHAnsi"/>
          <w:szCs w:val="18"/>
          <w:lang w:val="en-GB"/>
        </w:rPr>
        <w:t>Bericht</w:t>
      </w:r>
      <w:proofErr w:type="spellEnd"/>
      <w:r w:rsidRPr="00773CE9">
        <w:rPr>
          <w:rFonts w:cstheme="minorHAnsi"/>
          <w:szCs w:val="18"/>
          <w:lang w:val="en-GB"/>
        </w:rPr>
        <w:t xml:space="preserve"> </w:t>
      </w:r>
      <w:proofErr w:type="spellStart"/>
      <w:r w:rsidRPr="00773CE9">
        <w:rPr>
          <w:rFonts w:cstheme="minorHAnsi"/>
          <w:szCs w:val="18"/>
          <w:lang w:val="en-GB"/>
        </w:rPr>
        <w:t>zum</w:t>
      </w:r>
      <w:proofErr w:type="spellEnd"/>
      <w:r w:rsidRPr="00773CE9">
        <w:rPr>
          <w:rFonts w:cstheme="minorHAnsi"/>
          <w:szCs w:val="18"/>
          <w:lang w:val="en-GB"/>
        </w:rPr>
        <w:t xml:space="preserve"> </w:t>
      </w:r>
      <w:proofErr w:type="spellStart"/>
      <w:r w:rsidRPr="00773CE9">
        <w:rPr>
          <w:rFonts w:cstheme="minorHAnsi"/>
          <w:szCs w:val="18"/>
          <w:lang w:val="en-GB"/>
        </w:rPr>
        <w:t>Gutachtensauftrag</w:t>
      </w:r>
      <w:proofErr w:type="spellEnd"/>
      <w:r w:rsidRPr="00773CE9">
        <w:rPr>
          <w:rFonts w:cstheme="minorHAnsi"/>
          <w:szCs w:val="18"/>
          <w:lang w:val="en-GB"/>
        </w:rPr>
        <w:t xml:space="preserve"> der </w:t>
      </w:r>
      <w:proofErr w:type="spellStart"/>
      <w:r w:rsidRPr="00773CE9">
        <w:rPr>
          <w:rFonts w:cstheme="minorHAnsi"/>
          <w:szCs w:val="18"/>
          <w:lang w:val="en-GB"/>
        </w:rPr>
        <w:t>Bundestagsfraktion</w:t>
      </w:r>
      <w:proofErr w:type="spellEnd"/>
      <w:r w:rsidRPr="00773CE9">
        <w:rPr>
          <w:rFonts w:cstheme="minorHAnsi"/>
          <w:szCs w:val="18"/>
          <w:lang w:val="en-GB"/>
        </w:rPr>
        <w:t xml:space="preserve"> </w:t>
      </w:r>
    </w:p>
  </w:footnote>
  <w:footnote w:id="80">
    <w:p w14:paraId="02F60367"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In 2021, 8.6% of all employed persons in Germany were living below the at-risk-of-poverty threshold. See</w:t>
      </w:r>
      <w:r>
        <w:rPr>
          <w:lang w:val="en-GB"/>
        </w:rPr>
        <w:t xml:space="preserve"> Federal Office of Statistics</w:t>
      </w:r>
      <w:r w:rsidRPr="00773CE9">
        <w:rPr>
          <w:lang w:val="en-GB"/>
        </w:rPr>
        <w:t xml:space="preserve">, </w:t>
      </w:r>
      <w:r w:rsidR="00000000">
        <w:fldChar w:fldCharType="begin"/>
      </w:r>
      <w:r w:rsidR="00000000" w:rsidRPr="005751D1">
        <w:rPr>
          <w:lang w:val="en-GB"/>
        </w:rPr>
        <w:instrText>HYPERLINK "https://www.destatis.de/Europa/EN/Topic/Population-Labour-Social-Issues/Social-issues-living-conditions/working-poor.html"</w:instrText>
      </w:r>
      <w:r w:rsidR="00000000">
        <w:fldChar w:fldCharType="separate"/>
      </w:r>
      <w:r w:rsidRPr="009B60D1">
        <w:rPr>
          <w:rStyle w:val="Hyperlink"/>
          <w:i/>
          <w:iCs/>
          <w:lang w:val="en-GB"/>
        </w:rPr>
        <w:t>Working poor: At-risk-of-poverty rate among employed persons</w:t>
      </w:r>
      <w:r w:rsidR="00000000">
        <w:rPr>
          <w:rStyle w:val="Hyperlink"/>
          <w:i/>
          <w:iCs/>
          <w:lang w:val="en-GB"/>
        </w:rPr>
        <w:fldChar w:fldCharType="end"/>
      </w:r>
      <w:r w:rsidRPr="00773CE9">
        <w:rPr>
          <w:lang w:val="en-GB"/>
        </w:rPr>
        <w:t>.</w:t>
      </w:r>
    </w:p>
  </w:footnote>
  <w:footnote w:id="81">
    <w:p w14:paraId="32ED35A0"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See </w:t>
      </w:r>
      <w:r w:rsidR="00000000">
        <w:fldChar w:fldCharType="begin"/>
      </w:r>
      <w:r w:rsidR="00000000" w:rsidRPr="005751D1">
        <w:rPr>
          <w:lang w:val="en-GB"/>
        </w:rPr>
        <w:instrText>HYPERLINK "https://rm.coe.int/conclusions-xxii-3-2022-germany-e/1680aa9854"</w:instrText>
      </w:r>
      <w:r w:rsidR="00000000">
        <w:fldChar w:fldCharType="separate"/>
      </w:r>
      <w:r w:rsidRPr="009B60D1">
        <w:rPr>
          <w:rStyle w:val="Hyperlink"/>
          <w:lang w:val="en-GB"/>
        </w:rPr>
        <w:t>ECSR Conclusions XXII-3 (2022</w:t>
      </w:r>
      <w:r w:rsidR="00000000">
        <w:rPr>
          <w:rStyle w:val="Hyperlink"/>
          <w:lang w:val="en-GB"/>
        </w:rPr>
        <w:fldChar w:fldCharType="end"/>
      </w:r>
      <w:r>
        <w:rPr>
          <w:rStyle w:val="Hyperlink"/>
          <w:lang w:val="en-GB"/>
        </w:rPr>
        <w:t>)</w:t>
      </w:r>
      <w:r w:rsidRPr="00773CE9">
        <w:rPr>
          <w:lang w:val="en-GB"/>
        </w:rPr>
        <w:t>.</w:t>
      </w:r>
      <w:r>
        <w:rPr>
          <w:lang w:val="en-GB"/>
        </w:rPr>
        <w:t xml:space="preserve"> The European Commission country report on gender equality, </w:t>
      </w:r>
      <w:hyperlink r:id="rId13" w:history="1">
        <w:r w:rsidRPr="0076069C">
          <w:rPr>
            <w:rStyle w:val="Hyperlink"/>
            <w:lang w:val="en-GB"/>
          </w:rPr>
          <w:t>Germany 2023</w:t>
        </w:r>
      </w:hyperlink>
      <w:r>
        <w:rPr>
          <w:lang w:val="en-GB"/>
        </w:rPr>
        <w:t>, assesses the gender pay gap at 19%.</w:t>
      </w:r>
    </w:p>
  </w:footnote>
  <w:footnote w:id="82">
    <w:p w14:paraId="512EFF3D"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See </w:t>
      </w:r>
      <w:r w:rsidR="00000000">
        <w:fldChar w:fldCharType="begin"/>
      </w:r>
      <w:r w:rsidR="00000000" w:rsidRPr="005751D1">
        <w:rPr>
          <w:lang w:val="en-GB"/>
        </w:rPr>
        <w:instrText>HYPERLINK "https://www.diw.de/de/diw_01.c.616590.de/publikationen/diskussionspapiere/2019_1793/non_take_up_of_means_tested_social_benefits_in_germany.html"</w:instrText>
      </w:r>
      <w:r w:rsidR="00000000">
        <w:fldChar w:fldCharType="separate"/>
      </w:r>
      <w:r w:rsidRPr="009B60D1">
        <w:rPr>
          <w:rStyle w:val="Hyperlink"/>
          <w:i/>
          <w:iCs/>
          <w:lang w:val="en-GB"/>
        </w:rPr>
        <w:t>Non-take-up of means-tested social benefits in Germany</w:t>
      </w:r>
      <w:r w:rsidR="00000000">
        <w:rPr>
          <w:rStyle w:val="Hyperlink"/>
          <w:i/>
          <w:iCs/>
          <w:lang w:val="en-GB"/>
        </w:rPr>
        <w:fldChar w:fldCharType="end"/>
      </w:r>
      <w:r w:rsidRPr="00773CE9">
        <w:rPr>
          <w:lang w:val="en-GB"/>
        </w:rPr>
        <w:t xml:space="preserve">, </w:t>
      </w:r>
      <w:proofErr w:type="spellStart"/>
      <w:r w:rsidRPr="00773CE9">
        <w:rPr>
          <w:lang w:val="en-GB"/>
        </w:rPr>
        <w:t>Deutsches</w:t>
      </w:r>
      <w:proofErr w:type="spellEnd"/>
      <w:r w:rsidRPr="00773CE9">
        <w:rPr>
          <w:lang w:val="en-GB"/>
        </w:rPr>
        <w:t xml:space="preserve"> </w:t>
      </w:r>
      <w:proofErr w:type="spellStart"/>
      <w:r w:rsidRPr="00773CE9">
        <w:rPr>
          <w:lang w:val="en-GB"/>
        </w:rPr>
        <w:t>Institut</w:t>
      </w:r>
      <w:proofErr w:type="spellEnd"/>
      <w:r w:rsidRPr="00773CE9">
        <w:rPr>
          <w:lang w:val="en-GB"/>
        </w:rPr>
        <w:t xml:space="preserve"> für </w:t>
      </w:r>
      <w:proofErr w:type="spellStart"/>
      <w:r w:rsidRPr="00773CE9">
        <w:rPr>
          <w:lang w:val="en-GB"/>
        </w:rPr>
        <w:t>Wirtschaftsforschung</w:t>
      </w:r>
      <w:proofErr w:type="spellEnd"/>
      <w:r w:rsidRPr="00773CE9">
        <w:rPr>
          <w:lang w:val="en-GB"/>
        </w:rPr>
        <w:t xml:space="preserve"> discussion paper (2019). </w:t>
      </w:r>
    </w:p>
  </w:footnote>
  <w:footnote w:id="83">
    <w:p w14:paraId="130295EA"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European Commission 2023 </w:t>
      </w:r>
      <w:r w:rsidR="00000000">
        <w:fldChar w:fldCharType="begin"/>
      </w:r>
      <w:r w:rsidR="00000000" w:rsidRPr="005751D1">
        <w:rPr>
          <w:lang w:val="en-GB"/>
        </w:rPr>
        <w:instrText>HYPERLINK "https://economy-finance.ec.europa.eu/system/files/2023-06/ip229_en.pdf"</w:instrText>
      </w:r>
      <w:r w:rsidR="00000000">
        <w:fldChar w:fldCharType="separate"/>
      </w:r>
      <w:r w:rsidRPr="00FA7740">
        <w:rPr>
          <w:rStyle w:val="Hyperlink"/>
          <w:rFonts w:cstheme="minorHAnsi"/>
          <w:bCs/>
          <w:szCs w:val="18"/>
          <w:lang w:val="en-GB"/>
        </w:rPr>
        <w:t xml:space="preserve">Country Report </w:t>
      </w:r>
      <w:r>
        <w:rPr>
          <w:rStyle w:val="Hyperlink"/>
          <w:rFonts w:cstheme="minorHAnsi"/>
          <w:bCs/>
          <w:szCs w:val="18"/>
          <w:lang w:val="en-GB"/>
        </w:rPr>
        <w:t>–</w:t>
      </w:r>
      <w:r w:rsidRPr="00FA7740">
        <w:rPr>
          <w:rStyle w:val="Hyperlink"/>
          <w:rFonts w:cstheme="minorHAnsi"/>
          <w:bCs/>
          <w:szCs w:val="18"/>
          <w:lang w:val="en-GB"/>
        </w:rPr>
        <w:t xml:space="preserve"> Germany, SWD(2023) 605 final</w:t>
      </w:r>
      <w:r w:rsidR="00000000">
        <w:rPr>
          <w:rStyle w:val="Hyperlink"/>
          <w:rFonts w:cstheme="minorHAnsi"/>
          <w:bCs/>
          <w:szCs w:val="18"/>
          <w:lang w:val="en-GB"/>
        </w:rPr>
        <w:fldChar w:fldCharType="end"/>
      </w:r>
      <w:r w:rsidRPr="00773CE9">
        <w:rPr>
          <w:rFonts w:cstheme="minorHAnsi"/>
          <w:bCs/>
          <w:szCs w:val="18"/>
          <w:lang w:val="en-GB"/>
        </w:rPr>
        <w:t>, June 2023.</w:t>
      </w:r>
    </w:p>
  </w:footnote>
  <w:footnote w:id="84">
    <w:p w14:paraId="653DE1CF"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Press release, Federal Office of Statistics, </w:t>
      </w:r>
      <w:r w:rsidR="00000000">
        <w:fldChar w:fldCharType="begin"/>
      </w:r>
      <w:r w:rsidR="00000000" w:rsidRPr="005751D1">
        <w:rPr>
          <w:lang w:val="en-GB"/>
        </w:rPr>
        <w:instrText>HYPERLINK "https://www.destatis.de/DE/Presse/Pressemitteilungen/2023/07/PD23_N045_63.html" \l ":~:text=Die%20Armutsgef%C3%A4hrdungsquote%20von%20unter%2018,Deutschland%20bei%2037%2C6%20%25."</w:instrText>
      </w:r>
      <w:r w:rsidR="00000000">
        <w:fldChar w:fldCharType="separate"/>
      </w:r>
      <w:r w:rsidRPr="00FA7740">
        <w:rPr>
          <w:rStyle w:val="Hyperlink"/>
          <w:rFonts w:cstheme="minorHAnsi"/>
          <w:bCs/>
          <w:i/>
          <w:iCs/>
          <w:szCs w:val="18"/>
          <w:lang w:val="en-GB"/>
        </w:rPr>
        <w:t xml:space="preserve">Kinder und </w:t>
      </w:r>
      <w:proofErr w:type="spellStart"/>
      <w:r w:rsidRPr="00FA7740">
        <w:rPr>
          <w:rStyle w:val="Hyperlink"/>
          <w:rFonts w:cstheme="minorHAnsi"/>
          <w:bCs/>
          <w:i/>
          <w:iCs/>
          <w:szCs w:val="18"/>
          <w:lang w:val="en-GB"/>
        </w:rPr>
        <w:t>Jugendliche</w:t>
      </w:r>
      <w:proofErr w:type="spellEnd"/>
      <w:r w:rsidRPr="00FA7740">
        <w:rPr>
          <w:rStyle w:val="Hyperlink"/>
          <w:rFonts w:cstheme="minorHAnsi"/>
          <w:bCs/>
          <w:i/>
          <w:iCs/>
          <w:szCs w:val="18"/>
          <w:lang w:val="en-GB"/>
        </w:rPr>
        <w:t xml:space="preserve"> von </w:t>
      </w:r>
      <w:proofErr w:type="spellStart"/>
      <w:r w:rsidRPr="00FA7740">
        <w:rPr>
          <w:rStyle w:val="Hyperlink"/>
          <w:rFonts w:cstheme="minorHAnsi"/>
          <w:bCs/>
          <w:i/>
          <w:iCs/>
          <w:szCs w:val="18"/>
          <w:lang w:val="en-GB"/>
        </w:rPr>
        <w:t>Eltern</w:t>
      </w:r>
      <w:proofErr w:type="spellEnd"/>
      <w:r w:rsidRPr="00FA7740">
        <w:rPr>
          <w:rStyle w:val="Hyperlink"/>
          <w:rFonts w:cstheme="minorHAnsi"/>
          <w:bCs/>
          <w:i/>
          <w:iCs/>
          <w:szCs w:val="18"/>
          <w:lang w:val="en-GB"/>
        </w:rPr>
        <w:t xml:space="preserve"> </w:t>
      </w:r>
      <w:proofErr w:type="spellStart"/>
      <w:r w:rsidRPr="00FA7740">
        <w:rPr>
          <w:rStyle w:val="Hyperlink"/>
          <w:rFonts w:cstheme="minorHAnsi"/>
          <w:bCs/>
          <w:i/>
          <w:iCs/>
          <w:szCs w:val="18"/>
          <w:lang w:val="en-GB"/>
        </w:rPr>
        <w:t>mit</w:t>
      </w:r>
      <w:proofErr w:type="spellEnd"/>
      <w:r w:rsidRPr="00FA7740">
        <w:rPr>
          <w:rStyle w:val="Hyperlink"/>
          <w:rFonts w:cstheme="minorHAnsi"/>
          <w:bCs/>
          <w:i/>
          <w:iCs/>
          <w:szCs w:val="18"/>
          <w:lang w:val="en-GB"/>
        </w:rPr>
        <w:t xml:space="preserve"> </w:t>
      </w:r>
      <w:proofErr w:type="spellStart"/>
      <w:r w:rsidRPr="00FA7740">
        <w:rPr>
          <w:rStyle w:val="Hyperlink"/>
          <w:rFonts w:cstheme="minorHAnsi"/>
          <w:bCs/>
          <w:i/>
          <w:iCs/>
          <w:szCs w:val="18"/>
          <w:lang w:val="en-GB"/>
        </w:rPr>
        <w:t>niedrigem</w:t>
      </w:r>
      <w:proofErr w:type="spellEnd"/>
      <w:r w:rsidRPr="00FA7740">
        <w:rPr>
          <w:rStyle w:val="Hyperlink"/>
          <w:rFonts w:cstheme="minorHAnsi"/>
          <w:bCs/>
          <w:i/>
          <w:iCs/>
          <w:szCs w:val="18"/>
          <w:lang w:val="en-GB"/>
        </w:rPr>
        <w:t xml:space="preserve"> </w:t>
      </w:r>
      <w:proofErr w:type="spellStart"/>
      <w:r w:rsidRPr="00FA7740">
        <w:rPr>
          <w:rStyle w:val="Hyperlink"/>
          <w:rFonts w:cstheme="minorHAnsi"/>
          <w:bCs/>
          <w:i/>
          <w:iCs/>
          <w:szCs w:val="18"/>
          <w:lang w:val="en-GB"/>
        </w:rPr>
        <w:t>Bildungsabschluss</w:t>
      </w:r>
      <w:proofErr w:type="spellEnd"/>
      <w:r w:rsidRPr="00FA7740">
        <w:rPr>
          <w:rStyle w:val="Hyperlink"/>
          <w:rFonts w:cstheme="minorHAnsi"/>
          <w:bCs/>
          <w:i/>
          <w:iCs/>
          <w:szCs w:val="18"/>
          <w:lang w:val="en-GB"/>
        </w:rPr>
        <w:t xml:space="preserve"> </w:t>
      </w:r>
      <w:proofErr w:type="spellStart"/>
      <w:r w:rsidRPr="00FA7740">
        <w:rPr>
          <w:rStyle w:val="Hyperlink"/>
          <w:rFonts w:cstheme="minorHAnsi"/>
          <w:bCs/>
          <w:i/>
          <w:iCs/>
          <w:szCs w:val="18"/>
          <w:lang w:val="en-GB"/>
        </w:rPr>
        <w:t>besonders</w:t>
      </w:r>
      <w:proofErr w:type="spellEnd"/>
      <w:r w:rsidRPr="00FA7740">
        <w:rPr>
          <w:rStyle w:val="Hyperlink"/>
          <w:rFonts w:cstheme="minorHAnsi"/>
          <w:bCs/>
          <w:i/>
          <w:iCs/>
          <w:szCs w:val="18"/>
          <w:lang w:val="en-GB"/>
        </w:rPr>
        <w:t xml:space="preserve"> von </w:t>
      </w:r>
      <w:proofErr w:type="spellStart"/>
      <w:r w:rsidRPr="00FA7740">
        <w:rPr>
          <w:rStyle w:val="Hyperlink"/>
          <w:rFonts w:cstheme="minorHAnsi"/>
          <w:bCs/>
          <w:i/>
          <w:iCs/>
          <w:szCs w:val="18"/>
          <w:lang w:val="en-GB"/>
        </w:rPr>
        <w:t>Armut</w:t>
      </w:r>
      <w:proofErr w:type="spellEnd"/>
      <w:r w:rsidRPr="00FA7740">
        <w:rPr>
          <w:rStyle w:val="Hyperlink"/>
          <w:rFonts w:cstheme="minorHAnsi"/>
          <w:bCs/>
          <w:i/>
          <w:iCs/>
          <w:szCs w:val="18"/>
          <w:lang w:val="en-GB"/>
        </w:rPr>
        <w:t xml:space="preserve"> </w:t>
      </w:r>
      <w:proofErr w:type="spellStart"/>
      <w:r w:rsidRPr="00FA7740">
        <w:rPr>
          <w:rStyle w:val="Hyperlink"/>
          <w:rFonts w:cstheme="minorHAnsi"/>
          <w:bCs/>
          <w:i/>
          <w:iCs/>
          <w:szCs w:val="18"/>
          <w:lang w:val="en-GB"/>
        </w:rPr>
        <w:t>bedroht</w:t>
      </w:r>
      <w:proofErr w:type="spellEnd"/>
      <w:r w:rsidR="00000000">
        <w:rPr>
          <w:rStyle w:val="Hyperlink"/>
          <w:rFonts w:cstheme="minorHAnsi"/>
          <w:bCs/>
          <w:i/>
          <w:iCs/>
          <w:szCs w:val="18"/>
          <w:lang w:val="en-GB"/>
        </w:rPr>
        <w:fldChar w:fldCharType="end"/>
      </w:r>
      <w:r w:rsidRPr="00773CE9">
        <w:rPr>
          <w:rFonts w:cstheme="minorHAnsi"/>
          <w:bCs/>
          <w:i/>
          <w:iCs/>
          <w:szCs w:val="18"/>
          <w:lang w:val="en-GB"/>
        </w:rPr>
        <w:t>,</w:t>
      </w:r>
      <w:r w:rsidRPr="00773CE9">
        <w:rPr>
          <w:rFonts w:cstheme="minorHAnsi"/>
          <w:bCs/>
          <w:szCs w:val="18"/>
          <w:lang w:val="en-GB"/>
        </w:rPr>
        <w:t xml:space="preserve"> 26 July 2023.</w:t>
      </w:r>
    </w:p>
  </w:footnote>
  <w:footnote w:id="85">
    <w:p w14:paraId="120CBE0F"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See </w:t>
      </w:r>
      <w:r w:rsidR="00000000">
        <w:fldChar w:fldCharType="begin"/>
      </w:r>
      <w:r w:rsidR="00000000" w:rsidRPr="005751D1">
        <w:rPr>
          <w:lang w:val="en-GB"/>
        </w:rPr>
        <w:instrText>HYPERLINK "https://www.oecd.org/education/policy-outlook/country-profile-Germany-2020.pdf"</w:instrText>
      </w:r>
      <w:r w:rsidR="00000000">
        <w:fldChar w:fldCharType="separate"/>
      </w:r>
      <w:r w:rsidRPr="00FA7740">
        <w:rPr>
          <w:rStyle w:val="Hyperlink"/>
          <w:lang w:val="en-GB"/>
        </w:rPr>
        <w:t>Education Policy Outlook German</w:t>
      </w:r>
      <w:r>
        <w:rPr>
          <w:rStyle w:val="Hyperlink"/>
          <w:lang w:val="en-GB"/>
        </w:rPr>
        <w:t>y</w:t>
      </w:r>
      <w:r w:rsidRPr="00FA7740">
        <w:rPr>
          <w:rStyle w:val="Hyperlink"/>
          <w:lang w:val="en-GB"/>
        </w:rPr>
        <w:t>, OECD</w:t>
      </w:r>
      <w:r w:rsidR="00000000">
        <w:rPr>
          <w:rStyle w:val="Hyperlink"/>
          <w:lang w:val="en-GB"/>
        </w:rPr>
        <w:fldChar w:fldCharType="end"/>
      </w:r>
      <w:r w:rsidRPr="00773CE9">
        <w:rPr>
          <w:lang w:val="en-GB"/>
        </w:rPr>
        <w:t xml:space="preserve"> 2020.</w:t>
      </w:r>
    </w:p>
  </w:footnote>
  <w:footnote w:id="86">
    <w:p w14:paraId="0DE40298"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w:t>
      </w:r>
      <w:r w:rsidR="00000000">
        <w:fldChar w:fldCharType="begin"/>
      </w:r>
      <w:r w:rsidR="00000000" w:rsidRPr="005751D1">
        <w:rPr>
          <w:lang w:val="en-GB"/>
        </w:rPr>
        <w:instrText>HYPERLINK "https://www.bmfsfj.de/resource/blob/228174/f84545059dda8d42b17e419e30c40163/kinderreport-2023-data.pdf"</w:instrText>
      </w:r>
      <w:r w:rsidR="00000000">
        <w:fldChar w:fldCharType="separate"/>
      </w:r>
      <w:r w:rsidRPr="00FA7740">
        <w:rPr>
          <w:rStyle w:val="Hyperlink"/>
          <w:rFonts w:cstheme="minorHAnsi"/>
          <w:bCs/>
          <w:szCs w:val="18"/>
          <w:lang w:val="en-GB"/>
        </w:rPr>
        <w:t xml:space="preserve">See </w:t>
      </w:r>
      <w:proofErr w:type="spellStart"/>
      <w:r w:rsidRPr="00FA7740">
        <w:rPr>
          <w:rStyle w:val="Hyperlink"/>
          <w:rFonts w:cstheme="minorHAnsi"/>
          <w:bCs/>
          <w:szCs w:val="18"/>
          <w:lang w:val="en-GB"/>
        </w:rPr>
        <w:t>Kinderreport</w:t>
      </w:r>
      <w:proofErr w:type="spellEnd"/>
      <w:r w:rsidRPr="00FA7740">
        <w:rPr>
          <w:rStyle w:val="Hyperlink"/>
          <w:rFonts w:cstheme="minorHAnsi"/>
          <w:bCs/>
          <w:szCs w:val="18"/>
          <w:lang w:val="en-GB"/>
        </w:rPr>
        <w:t xml:space="preserve"> Deutschland 2023</w:t>
      </w:r>
      <w:r w:rsidR="00000000">
        <w:rPr>
          <w:rStyle w:val="Hyperlink"/>
          <w:rFonts w:cstheme="minorHAnsi"/>
          <w:bCs/>
          <w:szCs w:val="18"/>
          <w:lang w:val="en-GB"/>
        </w:rPr>
        <w:fldChar w:fldCharType="end"/>
      </w:r>
      <w:r w:rsidRPr="00773CE9">
        <w:rPr>
          <w:rFonts w:cstheme="minorHAnsi"/>
          <w:bCs/>
          <w:szCs w:val="18"/>
          <w:lang w:val="en-GB"/>
        </w:rPr>
        <w:t xml:space="preserve">, </w:t>
      </w:r>
      <w:r w:rsidRPr="00773CE9">
        <w:rPr>
          <w:rFonts w:cstheme="minorHAnsi"/>
          <w:bCs/>
          <w:i/>
          <w:iCs/>
          <w:szCs w:val="18"/>
          <w:lang w:val="en-GB"/>
        </w:rPr>
        <w:t>Child poverty in Germany</w:t>
      </w:r>
      <w:r w:rsidRPr="00773CE9">
        <w:rPr>
          <w:rFonts w:cstheme="minorHAnsi"/>
          <w:bCs/>
          <w:szCs w:val="18"/>
          <w:lang w:val="en-GB"/>
        </w:rPr>
        <w:t xml:space="preserve">, </w:t>
      </w:r>
      <w:proofErr w:type="spellStart"/>
      <w:r w:rsidRPr="00773CE9">
        <w:rPr>
          <w:rFonts w:cstheme="minorHAnsi"/>
          <w:bCs/>
          <w:szCs w:val="18"/>
          <w:lang w:val="en-GB"/>
        </w:rPr>
        <w:t>Deutsches</w:t>
      </w:r>
      <w:proofErr w:type="spellEnd"/>
      <w:r w:rsidRPr="00773CE9">
        <w:rPr>
          <w:rFonts w:cstheme="minorHAnsi"/>
          <w:bCs/>
          <w:szCs w:val="18"/>
          <w:lang w:val="en-GB"/>
        </w:rPr>
        <w:t xml:space="preserve"> </w:t>
      </w:r>
      <w:proofErr w:type="spellStart"/>
      <w:r w:rsidRPr="00773CE9">
        <w:rPr>
          <w:rFonts w:cstheme="minorHAnsi"/>
          <w:bCs/>
          <w:szCs w:val="18"/>
          <w:lang w:val="en-GB"/>
        </w:rPr>
        <w:t>Kinderhilfswerk</w:t>
      </w:r>
      <w:proofErr w:type="spellEnd"/>
      <w:r w:rsidRPr="00773CE9">
        <w:rPr>
          <w:rFonts w:cstheme="minorHAnsi"/>
          <w:bCs/>
          <w:szCs w:val="18"/>
          <w:lang w:val="en-GB"/>
        </w:rPr>
        <w:t xml:space="preserve"> </w:t>
      </w:r>
      <w:proofErr w:type="spellStart"/>
      <w:r w:rsidRPr="00773CE9">
        <w:rPr>
          <w:rFonts w:cstheme="minorHAnsi"/>
          <w:bCs/>
          <w:szCs w:val="18"/>
          <w:lang w:val="en-GB"/>
        </w:rPr>
        <w:t>e.V.</w:t>
      </w:r>
      <w:proofErr w:type="spellEnd"/>
      <w:r w:rsidRPr="00773CE9">
        <w:rPr>
          <w:rFonts w:cstheme="minorHAnsi"/>
          <w:bCs/>
          <w:szCs w:val="18"/>
          <w:lang w:val="en-GB"/>
        </w:rPr>
        <w:t>, 2023.</w:t>
      </w:r>
    </w:p>
  </w:footnote>
  <w:footnote w:id="87">
    <w:p w14:paraId="7F443D15"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r>
        <w:rPr>
          <w:rFonts w:cstheme="minorHAnsi"/>
          <w:bCs/>
          <w:szCs w:val="18"/>
          <w:lang w:val="en-GB"/>
        </w:rPr>
        <w:t>CRC Concluding observations, above, footnote 12.</w:t>
      </w:r>
    </w:p>
  </w:footnote>
  <w:footnote w:id="88">
    <w:p w14:paraId="77E853D9" w14:textId="77777777" w:rsidR="004A5AEE" w:rsidRPr="00FA7740" w:rsidRDefault="004A5AEE" w:rsidP="004A5AEE">
      <w:pPr>
        <w:pStyle w:val="FootnoteText"/>
        <w:rPr>
          <w:rStyle w:val="Hyperlink"/>
          <w:rFonts w:cstheme="minorHAnsi"/>
          <w:b/>
          <w:i/>
          <w:i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proofErr w:type="spellStart"/>
      <w:r w:rsidRPr="00773CE9">
        <w:rPr>
          <w:rFonts w:cstheme="minorHAnsi"/>
          <w:bCs/>
          <w:szCs w:val="18"/>
          <w:lang w:val="en-GB"/>
        </w:rPr>
        <w:t>Kinderschutzbund</w:t>
      </w:r>
      <w:proofErr w:type="spellEnd"/>
      <w:r w:rsidRPr="00773CE9">
        <w:rPr>
          <w:rFonts w:cstheme="minorHAnsi"/>
          <w:bCs/>
          <w:szCs w:val="18"/>
          <w:lang w:val="en-GB"/>
        </w:rPr>
        <w:t xml:space="preserve"> (Child </w:t>
      </w:r>
      <w:r>
        <w:rPr>
          <w:rFonts w:cstheme="minorHAnsi"/>
          <w:bCs/>
          <w:szCs w:val="18"/>
          <w:lang w:val="en-GB"/>
        </w:rPr>
        <w:t>P</w:t>
      </w:r>
      <w:r w:rsidRPr="00773CE9">
        <w:rPr>
          <w:rFonts w:cstheme="minorHAnsi"/>
          <w:bCs/>
          <w:szCs w:val="18"/>
          <w:lang w:val="en-GB"/>
        </w:rPr>
        <w:t xml:space="preserve">rotection </w:t>
      </w:r>
      <w:r>
        <w:rPr>
          <w:rFonts w:cstheme="minorHAnsi"/>
          <w:bCs/>
          <w:szCs w:val="18"/>
          <w:lang w:val="en-GB"/>
        </w:rPr>
        <w:t>A</w:t>
      </w:r>
      <w:r w:rsidRPr="00773CE9">
        <w:rPr>
          <w:rFonts w:cstheme="minorHAnsi"/>
          <w:bCs/>
          <w:szCs w:val="18"/>
          <w:lang w:val="en-GB"/>
        </w:rPr>
        <w:t xml:space="preserve">ssociation), </w:t>
      </w:r>
      <w:r>
        <w:rPr>
          <w:rFonts w:cstheme="minorHAnsi"/>
          <w:i/>
          <w:iCs/>
          <w:szCs w:val="18"/>
          <w:lang w:val="en-GB"/>
        </w:rPr>
        <w:fldChar w:fldCharType="begin"/>
      </w:r>
      <w:r>
        <w:rPr>
          <w:rFonts w:cstheme="minorHAnsi"/>
          <w:i/>
          <w:iCs/>
          <w:szCs w:val="18"/>
          <w:lang w:val="en-GB"/>
        </w:rPr>
        <w:instrText>HYPERLINK "https://kinderschutzbund.de/stellungnahme-zum-referentenentwurf-einer-kindergrundsicherung/"</w:instrText>
      </w:r>
      <w:r>
        <w:rPr>
          <w:rFonts w:cstheme="minorHAnsi"/>
          <w:i/>
          <w:iCs/>
          <w:szCs w:val="18"/>
          <w:lang w:val="en-GB"/>
        </w:rPr>
      </w:r>
      <w:r>
        <w:rPr>
          <w:rFonts w:cstheme="minorHAnsi"/>
          <w:i/>
          <w:iCs/>
          <w:szCs w:val="18"/>
          <w:lang w:val="en-GB"/>
        </w:rPr>
        <w:fldChar w:fldCharType="separate"/>
      </w:r>
      <w:proofErr w:type="spellStart"/>
      <w:r w:rsidRPr="00FA7740">
        <w:rPr>
          <w:rStyle w:val="Hyperlink"/>
          <w:rFonts w:cstheme="minorHAnsi"/>
          <w:i/>
          <w:iCs/>
          <w:szCs w:val="18"/>
          <w:lang w:val="en-GB"/>
        </w:rPr>
        <w:t>Stellungnahme</w:t>
      </w:r>
      <w:proofErr w:type="spellEnd"/>
      <w:r w:rsidRPr="00FA7740">
        <w:rPr>
          <w:rStyle w:val="Hyperlink"/>
          <w:rFonts w:cstheme="minorHAnsi"/>
          <w:i/>
          <w:iCs/>
          <w:szCs w:val="18"/>
          <w:lang w:val="en-GB"/>
        </w:rPr>
        <w:t xml:space="preserve"> des </w:t>
      </w:r>
      <w:proofErr w:type="spellStart"/>
      <w:r w:rsidRPr="00FA7740">
        <w:rPr>
          <w:rStyle w:val="Hyperlink"/>
          <w:rFonts w:cstheme="minorHAnsi"/>
          <w:i/>
          <w:iCs/>
          <w:szCs w:val="18"/>
          <w:lang w:val="en-GB"/>
        </w:rPr>
        <w:t>Kinderschutzbund</w:t>
      </w:r>
      <w:proofErr w:type="spellEnd"/>
      <w:r w:rsidRPr="00FA7740">
        <w:rPr>
          <w:rStyle w:val="Hyperlink"/>
          <w:rFonts w:cstheme="minorHAnsi"/>
          <w:i/>
          <w:iCs/>
          <w:szCs w:val="18"/>
          <w:lang w:val="en-GB"/>
        </w:rPr>
        <w:t xml:space="preserve"> </w:t>
      </w:r>
      <w:proofErr w:type="spellStart"/>
      <w:r w:rsidRPr="00FA7740">
        <w:rPr>
          <w:rStyle w:val="Hyperlink"/>
          <w:rFonts w:cstheme="minorHAnsi"/>
          <w:i/>
          <w:iCs/>
          <w:szCs w:val="18"/>
          <w:lang w:val="en-GB"/>
        </w:rPr>
        <w:t>Bundesverband</w:t>
      </w:r>
      <w:proofErr w:type="spellEnd"/>
      <w:r w:rsidRPr="00FA7740">
        <w:rPr>
          <w:rStyle w:val="Hyperlink"/>
          <w:rFonts w:cstheme="minorHAnsi"/>
          <w:i/>
          <w:iCs/>
          <w:szCs w:val="18"/>
          <w:lang w:val="en-GB"/>
        </w:rPr>
        <w:t xml:space="preserve"> </w:t>
      </w:r>
      <w:proofErr w:type="spellStart"/>
      <w:r w:rsidRPr="00FA7740">
        <w:rPr>
          <w:rStyle w:val="Hyperlink"/>
          <w:rFonts w:cstheme="minorHAnsi"/>
          <w:i/>
          <w:iCs/>
          <w:szCs w:val="18"/>
          <w:lang w:val="en-GB"/>
        </w:rPr>
        <w:t>e.V.</w:t>
      </w:r>
      <w:proofErr w:type="spellEnd"/>
      <w:r w:rsidRPr="00FA7740">
        <w:rPr>
          <w:rStyle w:val="Hyperlink"/>
          <w:rFonts w:cstheme="minorHAnsi"/>
          <w:i/>
          <w:iCs/>
          <w:szCs w:val="18"/>
          <w:lang w:val="en-GB"/>
        </w:rPr>
        <w:t xml:space="preserve"> </w:t>
      </w:r>
    </w:p>
    <w:p w14:paraId="26E5AA8A" w14:textId="77777777" w:rsidR="004A5AEE" w:rsidRPr="00AA5876" w:rsidRDefault="004A5AEE" w:rsidP="004A5AEE">
      <w:pPr>
        <w:pStyle w:val="FootnoteText"/>
        <w:rPr>
          <w:rFonts w:cstheme="minorHAnsi"/>
          <w:b/>
          <w:szCs w:val="18"/>
          <w:lang w:val="da-DK"/>
        </w:rPr>
      </w:pPr>
      <w:r w:rsidRPr="00AA5876">
        <w:rPr>
          <w:rStyle w:val="Hyperlink"/>
          <w:rFonts w:cstheme="minorHAnsi"/>
          <w:i/>
          <w:iCs/>
          <w:szCs w:val="18"/>
          <w:lang w:val="da-DK"/>
        </w:rPr>
        <w:t>zum Referentenentwurf einer Kindergrundsicherung</w:t>
      </w:r>
      <w:r>
        <w:rPr>
          <w:rFonts w:cstheme="minorHAnsi"/>
          <w:i/>
          <w:iCs/>
          <w:szCs w:val="18"/>
          <w:lang w:val="en-GB"/>
        </w:rPr>
        <w:fldChar w:fldCharType="end"/>
      </w:r>
      <w:r w:rsidRPr="00AA5876">
        <w:rPr>
          <w:rFonts w:cstheme="minorHAnsi"/>
          <w:i/>
          <w:iCs/>
          <w:szCs w:val="18"/>
          <w:lang w:val="da-DK"/>
        </w:rPr>
        <w:t xml:space="preserve">, </w:t>
      </w:r>
      <w:r w:rsidRPr="00AA5876">
        <w:rPr>
          <w:rFonts w:cstheme="minorHAnsi"/>
          <w:szCs w:val="18"/>
          <w:lang w:val="da-DK"/>
        </w:rPr>
        <w:t>6 September 2023.</w:t>
      </w:r>
    </w:p>
  </w:footnote>
  <w:footnote w:id="89">
    <w:p w14:paraId="53CC299A" w14:textId="77777777" w:rsidR="004A5AEE" w:rsidRPr="00773CE9" w:rsidRDefault="004A5AEE" w:rsidP="004A5AEE">
      <w:pPr>
        <w:pStyle w:val="FootnoteText"/>
        <w:rPr>
          <w:lang w:val="en-GB"/>
        </w:rPr>
      </w:pPr>
      <w:r w:rsidRPr="00773CE9">
        <w:rPr>
          <w:rStyle w:val="FootnoteReference"/>
          <w:lang w:val="en-GB"/>
        </w:rPr>
        <w:footnoteRef/>
      </w:r>
      <w:r>
        <w:rPr>
          <w:lang w:val="en-GB"/>
        </w:rPr>
        <w:t xml:space="preserve"> See </w:t>
      </w:r>
      <w:proofErr w:type="spellStart"/>
      <w:r>
        <w:rPr>
          <w:lang w:val="en-GB"/>
        </w:rPr>
        <w:t>Wirtschafts</w:t>
      </w:r>
      <w:proofErr w:type="spellEnd"/>
      <w:r>
        <w:rPr>
          <w:lang w:val="en-GB"/>
        </w:rPr>
        <w:t xml:space="preserve">- und </w:t>
      </w:r>
      <w:proofErr w:type="spellStart"/>
      <w:r>
        <w:rPr>
          <w:lang w:val="en-GB"/>
        </w:rPr>
        <w:t>Sozialwissenschaftliches</w:t>
      </w:r>
      <w:proofErr w:type="spellEnd"/>
      <w:r>
        <w:rPr>
          <w:lang w:val="en-GB"/>
        </w:rPr>
        <w:t xml:space="preserve"> </w:t>
      </w:r>
      <w:proofErr w:type="spellStart"/>
      <w:r>
        <w:rPr>
          <w:lang w:val="en-GB"/>
        </w:rPr>
        <w:t>Institut</w:t>
      </w:r>
      <w:proofErr w:type="spellEnd"/>
      <w:r>
        <w:rPr>
          <w:lang w:val="en-GB"/>
        </w:rPr>
        <w:t xml:space="preserve">, </w:t>
      </w:r>
      <w:r w:rsidR="00000000">
        <w:fldChar w:fldCharType="begin"/>
      </w:r>
      <w:r w:rsidR="00000000" w:rsidRPr="005751D1">
        <w:rPr>
          <w:lang w:val="en-GB"/>
        </w:rPr>
        <w:instrText>HYPERLINK "https://www.wsi.de/fpdf/HBS-008738/p_wsi_pb_81_2023.pdf"</w:instrText>
      </w:r>
      <w:r w:rsidR="00000000">
        <w:fldChar w:fldCharType="separate"/>
      </w:r>
      <w:r w:rsidRPr="001F4328">
        <w:rPr>
          <w:rStyle w:val="Hyperlink"/>
          <w:lang w:val="en-GB"/>
        </w:rPr>
        <w:t>Policy Brief No 81, 11/23</w:t>
      </w:r>
      <w:r w:rsidR="00000000">
        <w:rPr>
          <w:rStyle w:val="Hyperlink"/>
          <w:lang w:val="en-GB"/>
        </w:rPr>
        <w:fldChar w:fldCharType="end"/>
      </w:r>
      <w:r>
        <w:rPr>
          <w:lang w:val="en-GB"/>
        </w:rPr>
        <w:t>.</w:t>
      </w:r>
      <w:r w:rsidRPr="00773CE9">
        <w:rPr>
          <w:lang w:val="en-GB"/>
        </w:rPr>
        <w:t xml:space="preserve"> </w:t>
      </w:r>
    </w:p>
  </w:footnote>
  <w:footnote w:id="90">
    <w:p w14:paraId="5A64DEFF"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w:t>
      </w:r>
      <w:r>
        <w:rPr>
          <w:lang w:val="en-GB"/>
        </w:rPr>
        <w:t>In 2017, t</w:t>
      </w:r>
      <w:r w:rsidRPr="00773CE9">
        <w:rPr>
          <w:lang w:val="en-GB"/>
        </w:rPr>
        <w:t xml:space="preserve">he ECSR concluded </w:t>
      </w:r>
      <w:r>
        <w:rPr>
          <w:lang w:val="en-GB"/>
        </w:rPr>
        <w:t xml:space="preserve">a situation of non-conformity </w:t>
      </w:r>
      <w:r w:rsidRPr="00773CE9">
        <w:rPr>
          <w:lang w:val="en-GB"/>
        </w:rPr>
        <w:t>with Articles 12</w:t>
      </w:r>
      <w:r>
        <w:rPr>
          <w:lang w:val="en-GB"/>
        </w:rPr>
        <w:t>.</w:t>
      </w:r>
      <w:r w:rsidRPr="00773CE9">
        <w:rPr>
          <w:lang w:val="en-GB"/>
        </w:rPr>
        <w:t>1 and Article 13</w:t>
      </w:r>
      <w:r>
        <w:rPr>
          <w:lang w:val="en-GB"/>
        </w:rPr>
        <w:t>.</w:t>
      </w:r>
      <w:r w:rsidRPr="00773CE9">
        <w:rPr>
          <w:lang w:val="en-GB"/>
        </w:rPr>
        <w:t>1 of the European Social Charter</w:t>
      </w:r>
      <w:r>
        <w:rPr>
          <w:lang w:val="en-GB"/>
        </w:rPr>
        <w:t xml:space="preserve">, considering that neither </w:t>
      </w:r>
      <w:r w:rsidRPr="00773CE9">
        <w:rPr>
          <w:lang w:val="en-GB"/>
        </w:rPr>
        <w:t>old age and invalidity pensions</w:t>
      </w:r>
      <w:r>
        <w:rPr>
          <w:lang w:val="en-GB"/>
        </w:rPr>
        <w:t>,</w:t>
      </w:r>
      <w:r w:rsidRPr="00773CE9">
        <w:rPr>
          <w:lang w:val="en-GB"/>
        </w:rPr>
        <w:t xml:space="preserve"> nor social and medical assistance</w:t>
      </w:r>
      <w:r>
        <w:rPr>
          <w:lang w:val="en-GB"/>
        </w:rPr>
        <w:t>, were adequate in all cases</w:t>
      </w:r>
      <w:r w:rsidRPr="00773CE9">
        <w:rPr>
          <w:lang w:val="en-GB"/>
        </w:rPr>
        <w:t xml:space="preserve">. See </w:t>
      </w:r>
      <w:r>
        <w:rPr>
          <w:rFonts w:cstheme="minorHAnsi"/>
          <w:bCs/>
          <w:szCs w:val="18"/>
          <w:lang w:val="en-GB"/>
        </w:rPr>
        <w:t>above, footnote 83</w:t>
      </w:r>
      <w:r w:rsidRPr="00773CE9">
        <w:rPr>
          <w:rFonts w:cstheme="minorHAnsi"/>
          <w:bCs/>
          <w:szCs w:val="18"/>
          <w:lang w:val="en-GB"/>
        </w:rPr>
        <w:t>.</w:t>
      </w:r>
      <w:r>
        <w:rPr>
          <w:rFonts w:cstheme="minorHAnsi"/>
          <w:bCs/>
          <w:szCs w:val="18"/>
          <w:lang w:val="en-GB"/>
        </w:rPr>
        <w:t xml:space="preserve"> In January 2024, the Federal Office of Statistics revealed that </w:t>
      </w:r>
      <w:r w:rsidR="00000000">
        <w:fldChar w:fldCharType="begin"/>
      </w:r>
      <w:r w:rsidR="00000000" w:rsidRPr="005751D1">
        <w:rPr>
          <w:lang w:val="en-GB"/>
        </w:rPr>
        <w:instrText>HYPERLINK "https://www.tagesschau.de/inland/innenpolitik/rente-weniger-als-1250-euro-100.html"</w:instrText>
      </w:r>
      <w:r w:rsidR="00000000">
        <w:fldChar w:fldCharType="separate"/>
      </w:r>
      <w:r w:rsidRPr="006866AD">
        <w:rPr>
          <w:rStyle w:val="Hyperlink"/>
          <w:rFonts w:cstheme="minorHAnsi"/>
          <w:bCs/>
          <w:szCs w:val="18"/>
          <w:lang w:val="en-GB"/>
        </w:rPr>
        <w:t xml:space="preserve">42.3% of pensioners </w:t>
      </w:r>
      <w:r w:rsidRPr="00AA5876">
        <w:rPr>
          <w:rStyle w:val="Hyperlink"/>
          <w:rFonts w:cstheme="minorHAnsi"/>
          <w:bCs/>
          <w:szCs w:val="18"/>
          <w:lang w:val="en-GB"/>
        </w:rPr>
        <w:t>in Germany</w:t>
      </w:r>
      <w:r w:rsidR="00000000">
        <w:rPr>
          <w:rStyle w:val="Hyperlink"/>
          <w:rFonts w:cstheme="minorHAnsi"/>
          <w:bCs/>
          <w:szCs w:val="18"/>
          <w:lang w:val="en-GB"/>
        </w:rPr>
        <w:fldChar w:fldCharType="end"/>
      </w:r>
      <w:r w:rsidRPr="00AA5876">
        <w:rPr>
          <w:rFonts w:cstheme="minorHAnsi"/>
          <w:bCs/>
          <w:szCs w:val="18"/>
          <w:lang w:val="en-GB"/>
        </w:rPr>
        <w:t xml:space="preserve"> </w:t>
      </w:r>
      <w:r w:rsidRPr="006866AD">
        <w:rPr>
          <w:rFonts w:cstheme="minorHAnsi"/>
          <w:bCs/>
          <w:szCs w:val="18"/>
          <w:lang w:val="en-GB"/>
        </w:rPr>
        <w:t>had a net income of less than</w:t>
      </w:r>
      <w:r w:rsidRPr="00AA5876">
        <w:rPr>
          <w:rFonts w:cstheme="minorHAnsi"/>
          <w:bCs/>
          <w:szCs w:val="18"/>
          <w:lang w:val="en-GB"/>
        </w:rPr>
        <w:t xml:space="preserve"> €1250.</w:t>
      </w:r>
    </w:p>
  </w:footnote>
  <w:footnote w:id="91">
    <w:p w14:paraId="6ACBC59C"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See </w:t>
      </w:r>
      <w:r w:rsidR="00000000">
        <w:fldChar w:fldCharType="begin"/>
      </w:r>
      <w:r w:rsidR="00000000" w:rsidRPr="005751D1">
        <w:rPr>
          <w:lang w:val="en-GB"/>
        </w:rPr>
        <w:instrText>HYPERLINK "https://www.oecd.org/gender/data/wide-gap-in-pension-benefits-between-men-and-women.htm"</w:instrText>
      </w:r>
      <w:r w:rsidR="00000000">
        <w:fldChar w:fldCharType="separate"/>
      </w:r>
      <w:r w:rsidRPr="001F4328">
        <w:rPr>
          <w:rStyle w:val="Hyperlink"/>
          <w:i/>
          <w:iCs/>
          <w:lang w:val="en-GB"/>
        </w:rPr>
        <w:t>Wide gap in pension benefits between men and women</w:t>
      </w:r>
      <w:r w:rsidR="00000000">
        <w:rPr>
          <w:rStyle w:val="Hyperlink"/>
          <w:i/>
          <w:iCs/>
          <w:lang w:val="en-GB"/>
        </w:rPr>
        <w:fldChar w:fldCharType="end"/>
      </w:r>
      <w:r w:rsidRPr="00773CE9">
        <w:rPr>
          <w:i/>
          <w:iCs/>
          <w:lang w:val="en-GB"/>
        </w:rPr>
        <w:t xml:space="preserve">, </w:t>
      </w:r>
      <w:r w:rsidRPr="00773CE9">
        <w:rPr>
          <w:lang w:val="en-GB"/>
        </w:rPr>
        <w:t>OEC</w:t>
      </w:r>
      <w:r>
        <w:rPr>
          <w:lang w:val="en-GB"/>
        </w:rPr>
        <w:t>D</w:t>
      </w:r>
      <w:r w:rsidRPr="00773CE9">
        <w:rPr>
          <w:lang w:val="en-GB"/>
        </w:rPr>
        <w:t xml:space="preserve"> March 2020.</w:t>
      </w:r>
    </w:p>
  </w:footnote>
  <w:footnote w:id="92">
    <w:p w14:paraId="2668DDDF" w14:textId="77777777" w:rsidR="004A5AEE" w:rsidRPr="00011665" w:rsidRDefault="004A5AEE" w:rsidP="004A5AEE">
      <w:pPr>
        <w:pStyle w:val="FootnoteText"/>
        <w:rPr>
          <w:lang w:val="en-GB"/>
        </w:rPr>
      </w:pPr>
      <w:r>
        <w:rPr>
          <w:rStyle w:val="FootnoteReference"/>
        </w:rPr>
        <w:footnoteRef/>
      </w:r>
      <w:r w:rsidRPr="00DA4818">
        <w:rPr>
          <w:lang w:val="en-US"/>
        </w:rPr>
        <w:t xml:space="preserve"> See </w:t>
      </w:r>
      <w:proofErr w:type="spellStart"/>
      <w:r>
        <w:rPr>
          <w:lang w:val="en-US"/>
        </w:rPr>
        <w:t>BVerfG</w:t>
      </w:r>
      <w:proofErr w:type="spellEnd"/>
      <w:r>
        <w:rPr>
          <w:lang w:val="en-US"/>
        </w:rPr>
        <w:t xml:space="preserve"> judgment, </w:t>
      </w:r>
      <w:r w:rsidRPr="00DA4818">
        <w:rPr>
          <w:lang w:val="en-US"/>
        </w:rPr>
        <w:t>above</w:t>
      </w:r>
      <w:r>
        <w:rPr>
          <w:lang w:val="en-US"/>
        </w:rPr>
        <w:t>,</w:t>
      </w:r>
      <w:r w:rsidRPr="00DA4818">
        <w:rPr>
          <w:lang w:val="en-US"/>
        </w:rPr>
        <w:t xml:space="preserve"> </w:t>
      </w:r>
      <w:r>
        <w:rPr>
          <w:lang w:val="en-US"/>
        </w:rPr>
        <w:t>f</w:t>
      </w:r>
      <w:r w:rsidRPr="00DA4818">
        <w:rPr>
          <w:lang w:val="en-US"/>
        </w:rPr>
        <w:t xml:space="preserve">ootnote </w:t>
      </w:r>
      <w:r>
        <w:rPr>
          <w:lang w:val="en-US"/>
        </w:rPr>
        <w:t>74</w:t>
      </w:r>
      <w:r w:rsidRPr="00DA4818">
        <w:rPr>
          <w:lang w:val="en-US"/>
        </w:rPr>
        <w:t>.</w:t>
      </w:r>
    </w:p>
  </w:footnote>
  <w:footnote w:id="93">
    <w:p w14:paraId="20147294"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also Scientific Service of </w:t>
      </w:r>
      <w:bookmarkStart w:id="96" w:name="_Hlk150939015"/>
      <w:r w:rsidRPr="00773CE9">
        <w:rPr>
          <w:rFonts w:cstheme="minorHAnsi"/>
          <w:bCs/>
          <w:szCs w:val="18"/>
          <w:lang w:val="en-GB"/>
        </w:rPr>
        <w:t xml:space="preserve">the Bundestag, </w:t>
      </w:r>
      <w:proofErr w:type="spellStart"/>
      <w:r w:rsidRPr="00773CE9">
        <w:rPr>
          <w:rFonts w:cstheme="minorHAnsi"/>
          <w:i/>
          <w:iCs/>
          <w:szCs w:val="18"/>
          <w:lang w:val="en-GB"/>
        </w:rPr>
        <w:t>Recht</w:t>
      </w:r>
      <w:proofErr w:type="spellEnd"/>
      <w:r w:rsidRPr="00773CE9">
        <w:rPr>
          <w:rFonts w:cstheme="minorHAnsi"/>
          <w:i/>
          <w:iCs/>
          <w:szCs w:val="18"/>
          <w:lang w:val="en-GB"/>
        </w:rPr>
        <w:t xml:space="preserve"> auf </w:t>
      </w:r>
      <w:proofErr w:type="spellStart"/>
      <w:r w:rsidRPr="00773CE9">
        <w:rPr>
          <w:rFonts w:cstheme="minorHAnsi"/>
          <w:i/>
          <w:iCs/>
          <w:szCs w:val="18"/>
          <w:lang w:val="en-GB"/>
        </w:rPr>
        <w:t>Wohnen</w:t>
      </w:r>
      <w:proofErr w:type="spellEnd"/>
      <w:r w:rsidRPr="00773CE9">
        <w:rPr>
          <w:rFonts w:cstheme="minorHAnsi"/>
          <w:i/>
          <w:iCs/>
          <w:szCs w:val="18"/>
          <w:lang w:val="en-GB"/>
        </w:rPr>
        <w:t xml:space="preserve">: </w:t>
      </w:r>
      <w:proofErr w:type="spellStart"/>
      <w:r w:rsidRPr="00773CE9">
        <w:rPr>
          <w:rFonts w:cstheme="minorHAnsi"/>
          <w:i/>
          <w:iCs/>
          <w:szCs w:val="18"/>
          <w:lang w:val="en-GB"/>
        </w:rPr>
        <w:t>Ausgestaltung</w:t>
      </w:r>
      <w:proofErr w:type="spellEnd"/>
      <w:r w:rsidRPr="00773CE9">
        <w:rPr>
          <w:rFonts w:cstheme="minorHAnsi"/>
          <w:i/>
          <w:iCs/>
          <w:szCs w:val="18"/>
          <w:lang w:val="en-GB"/>
        </w:rPr>
        <w:t xml:space="preserve"> und </w:t>
      </w:r>
      <w:proofErr w:type="spellStart"/>
      <w:r w:rsidRPr="00773CE9">
        <w:rPr>
          <w:rFonts w:cstheme="minorHAnsi"/>
          <w:i/>
          <w:iCs/>
          <w:szCs w:val="18"/>
          <w:lang w:val="en-GB"/>
        </w:rPr>
        <w:t>Rechtswirkung</w:t>
      </w:r>
      <w:proofErr w:type="spellEnd"/>
      <w:r w:rsidRPr="00773CE9">
        <w:rPr>
          <w:rFonts w:cstheme="minorHAnsi"/>
          <w:i/>
          <w:iCs/>
          <w:szCs w:val="18"/>
          <w:lang w:val="en-GB"/>
        </w:rPr>
        <w:t xml:space="preserve"> in den </w:t>
      </w:r>
      <w:proofErr w:type="spellStart"/>
      <w:r w:rsidRPr="00773CE9">
        <w:rPr>
          <w:rFonts w:cstheme="minorHAnsi"/>
          <w:i/>
          <w:iCs/>
          <w:szCs w:val="18"/>
          <w:lang w:val="en-GB"/>
        </w:rPr>
        <w:t>Verfassungen</w:t>
      </w:r>
      <w:proofErr w:type="spellEnd"/>
      <w:r w:rsidRPr="00773CE9">
        <w:rPr>
          <w:rFonts w:cstheme="minorHAnsi"/>
          <w:i/>
          <w:iCs/>
          <w:szCs w:val="18"/>
          <w:lang w:val="en-GB"/>
        </w:rPr>
        <w:t xml:space="preserve"> der </w:t>
      </w:r>
      <w:proofErr w:type="spellStart"/>
      <w:r w:rsidRPr="00773CE9">
        <w:rPr>
          <w:rFonts w:cstheme="minorHAnsi"/>
          <w:i/>
          <w:iCs/>
          <w:szCs w:val="18"/>
          <w:lang w:val="en-GB"/>
        </w:rPr>
        <w:t>Bundesländer</w:t>
      </w:r>
      <w:proofErr w:type="spellEnd"/>
      <w:r w:rsidRPr="00773CE9">
        <w:rPr>
          <w:rFonts w:cstheme="minorHAnsi"/>
          <w:i/>
          <w:iCs/>
          <w:szCs w:val="18"/>
          <w:lang w:val="en-GB"/>
        </w:rPr>
        <w:t xml:space="preserve"> und der EU-</w:t>
      </w:r>
      <w:proofErr w:type="spellStart"/>
      <w:r w:rsidRPr="00773CE9">
        <w:rPr>
          <w:rFonts w:cstheme="minorHAnsi"/>
          <w:i/>
          <w:iCs/>
          <w:szCs w:val="18"/>
          <w:lang w:val="en-GB"/>
        </w:rPr>
        <w:t>Mitgliedstaaten</w:t>
      </w:r>
      <w:proofErr w:type="spellEnd"/>
      <w:r w:rsidRPr="00773CE9">
        <w:rPr>
          <w:rFonts w:cstheme="minorHAnsi"/>
          <w:i/>
          <w:iCs/>
          <w:szCs w:val="18"/>
          <w:lang w:val="en-GB"/>
        </w:rPr>
        <w:t>,</w:t>
      </w:r>
      <w:r w:rsidRPr="00773CE9">
        <w:rPr>
          <w:rFonts w:cstheme="minorHAnsi"/>
          <w:szCs w:val="18"/>
          <w:lang w:val="en-GB"/>
        </w:rPr>
        <w:t xml:space="preserve"> </w:t>
      </w:r>
      <w:r w:rsidR="00000000">
        <w:fldChar w:fldCharType="begin"/>
      </w:r>
      <w:r w:rsidR="00000000" w:rsidRPr="005751D1">
        <w:rPr>
          <w:lang w:val="en-GB"/>
        </w:rPr>
        <w:instrText>HYPERLINK "https://www.bundestag.de/resource/blob/651544/50f6cb8ef28a8b472f0fa00add53d78a/WD-3-120-19-pdf-data.pdf"</w:instrText>
      </w:r>
      <w:r w:rsidR="00000000">
        <w:fldChar w:fldCharType="separate"/>
      </w:r>
      <w:r w:rsidRPr="001F4328">
        <w:rPr>
          <w:rStyle w:val="Hyperlink"/>
          <w:rFonts w:cstheme="minorHAnsi"/>
          <w:szCs w:val="18"/>
          <w:lang w:val="en-GB"/>
        </w:rPr>
        <w:t>WD 3 - 3000 - 120/19</w:t>
      </w:r>
      <w:r w:rsidR="00000000">
        <w:rPr>
          <w:rStyle w:val="Hyperlink"/>
          <w:rFonts w:cstheme="minorHAnsi"/>
          <w:szCs w:val="18"/>
          <w:lang w:val="en-GB"/>
        </w:rPr>
        <w:fldChar w:fldCharType="end"/>
      </w:r>
      <w:r w:rsidRPr="00773CE9">
        <w:rPr>
          <w:rFonts w:cstheme="minorHAnsi"/>
          <w:szCs w:val="18"/>
          <w:lang w:val="en-GB"/>
        </w:rPr>
        <w:t>, 20</w:t>
      </w:r>
      <w:bookmarkEnd w:id="96"/>
      <w:r>
        <w:rPr>
          <w:rFonts w:cstheme="minorHAnsi"/>
          <w:szCs w:val="18"/>
          <w:lang w:val="en-GB"/>
        </w:rPr>
        <w:t>19</w:t>
      </w:r>
      <w:r w:rsidRPr="00773CE9">
        <w:rPr>
          <w:rFonts w:cstheme="minorHAnsi"/>
          <w:szCs w:val="18"/>
          <w:lang w:val="en-GB"/>
        </w:rPr>
        <w:t xml:space="preserve">. </w:t>
      </w:r>
    </w:p>
  </w:footnote>
  <w:footnote w:id="94">
    <w:p w14:paraId="4B7C64F1"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See </w:t>
      </w:r>
      <w:r w:rsidR="00000000">
        <w:fldChar w:fldCharType="begin"/>
      </w:r>
      <w:r w:rsidR="00000000" w:rsidRPr="005751D1">
        <w:rPr>
          <w:lang w:val="en-GB"/>
        </w:rPr>
        <w:instrText>HYPERLINK "https://bauen-und-wohnen-in-deutschland.de/wp-content/uploads/2024/01/Studie-Bauen-und-Wohnen-2024-in-Deutschland.pdf"</w:instrText>
      </w:r>
      <w:r w:rsidR="00000000">
        <w:fldChar w:fldCharType="separate"/>
      </w:r>
      <w:proofErr w:type="spellStart"/>
      <w:r w:rsidRPr="006550A3">
        <w:rPr>
          <w:rStyle w:val="Hyperlink"/>
          <w:i/>
          <w:iCs/>
          <w:lang w:val="en-GB"/>
        </w:rPr>
        <w:t>Bauen</w:t>
      </w:r>
      <w:proofErr w:type="spellEnd"/>
      <w:r w:rsidRPr="006550A3">
        <w:rPr>
          <w:rStyle w:val="Hyperlink"/>
          <w:i/>
          <w:iCs/>
          <w:lang w:val="en-GB"/>
        </w:rPr>
        <w:t xml:space="preserve"> und </w:t>
      </w:r>
      <w:proofErr w:type="spellStart"/>
      <w:r w:rsidRPr="006550A3">
        <w:rPr>
          <w:rStyle w:val="Hyperlink"/>
          <w:i/>
          <w:iCs/>
          <w:lang w:val="en-GB"/>
        </w:rPr>
        <w:t>Wohnen</w:t>
      </w:r>
      <w:proofErr w:type="spellEnd"/>
      <w:r w:rsidRPr="006550A3">
        <w:rPr>
          <w:rStyle w:val="Hyperlink"/>
          <w:i/>
          <w:iCs/>
          <w:lang w:val="en-GB"/>
        </w:rPr>
        <w:t xml:space="preserve"> 2024 in Deutschland</w:t>
      </w:r>
      <w:r w:rsidR="00000000">
        <w:rPr>
          <w:rStyle w:val="Hyperlink"/>
          <w:i/>
          <w:iCs/>
          <w:lang w:val="en-GB"/>
        </w:rPr>
        <w:fldChar w:fldCharType="end"/>
      </w:r>
      <w:r>
        <w:rPr>
          <w:i/>
          <w:iCs/>
          <w:lang w:val="en-GB"/>
        </w:rPr>
        <w:t xml:space="preserve">, </w:t>
      </w:r>
      <w:proofErr w:type="spellStart"/>
      <w:r>
        <w:rPr>
          <w:lang w:val="en-GB"/>
        </w:rPr>
        <w:t>Verb</w:t>
      </w:r>
      <w:r>
        <w:rPr>
          <w:rFonts w:cs="Calibri"/>
          <w:lang w:val="en-GB"/>
        </w:rPr>
        <w:t>ändebündnis</w:t>
      </w:r>
      <w:proofErr w:type="spellEnd"/>
      <w:r>
        <w:rPr>
          <w:rFonts w:cs="Calibri"/>
          <w:lang w:val="en-GB"/>
        </w:rPr>
        <w:t xml:space="preserve"> </w:t>
      </w:r>
      <w:proofErr w:type="spellStart"/>
      <w:r>
        <w:rPr>
          <w:rFonts w:cs="Calibri"/>
          <w:lang w:val="en-GB"/>
        </w:rPr>
        <w:t>Soziales</w:t>
      </w:r>
      <w:proofErr w:type="spellEnd"/>
      <w:r>
        <w:rPr>
          <w:rFonts w:cs="Calibri"/>
          <w:lang w:val="en-GB"/>
        </w:rPr>
        <w:t xml:space="preserve"> </w:t>
      </w:r>
      <w:proofErr w:type="spellStart"/>
      <w:r>
        <w:rPr>
          <w:rFonts w:cs="Calibri"/>
          <w:lang w:val="en-GB"/>
        </w:rPr>
        <w:t>Wohnen</w:t>
      </w:r>
      <w:proofErr w:type="spellEnd"/>
      <w:r>
        <w:rPr>
          <w:rFonts w:cs="Calibri"/>
          <w:lang w:val="en-GB"/>
        </w:rPr>
        <w:t xml:space="preserve">, </w:t>
      </w:r>
      <w:proofErr w:type="spellStart"/>
      <w:r>
        <w:rPr>
          <w:rFonts w:cs="Calibri"/>
          <w:lang w:val="en-GB"/>
        </w:rPr>
        <w:t>Januar</w:t>
      </w:r>
      <w:proofErr w:type="spellEnd"/>
      <w:r>
        <w:rPr>
          <w:rFonts w:cs="Calibri"/>
          <w:lang w:val="en-GB"/>
        </w:rPr>
        <w:t xml:space="preserve"> 2024.</w:t>
      </w:r>
    </w:p>
  </w:footnote>
  <w:footnote w:id="95">
    <w:p w14:paraId="7E394ED5"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OECD Affordable Housing Database at </w:t>
      </w:r>
      <w:r w:rsidR="00000000">
        <w:fldChar w:fldCharType="begin"/>
      </w:r>
      <w:r w:rsidR="00000000" w:rsidRPr="005751D1">
        <w:rPr>
          <w:lang w:val="en-GB"/>
        </w:rPr>
        <w:instrText>HYPERLINK "https://www.compareyourcountry.org/housing/en/3/all/default"</w:instrText>
      </w:r>
      <w:r w:rsidR="00000000">
        <w:fldChar w:fldCharType="separate"/>
      </w:r>
      <w:r w:rsidRPr="00773CE9">
        <w:rPr>
          <w:rStyle w:val="Hyperlink"/>
          <w:rFonts w:cstheme="minorHAnsi"/>
          <w:bCs/>
          <w:szCs w:val="18"/>
          <w:lang w:val="en-GB"/>
        </w:rPr>
        <w:t>Affordable Housing | Compare your country</w:t>
      </w:r>
      <w:r w:rsidR="00000000">
        <w:rPr>
          <w:rStyle w:val="Hyperlink"/>
          <w:rFonts w:cstheme="minorHAnsi"/>
          <w:bCs/>
          <w:szCs w:val="18"/>
          <w:lang w:val="en-GB"/>
        </w:rPr>
        <w:fldChar w:fldCharType="end"/>
      </w:r>
      <w:r w:rsidRPr="00773CE9">
        <w:rPr>
          <w:rFonts w:cstheme="minorHAnsi"/>
          <w:bCs/>
          <w:szCs w:val="18"/>
          <w:lang w:val="en-GB"/>
        </w:rPr>
        <w:t>.</w:t>
      </w:r>
    </w:p>
  </w:footnote>
  <w:footnote w:id="96">
    <w:p w14:paraId="7792470C" w14:textId="2F7F5E91"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See Eurostat, </w:t>
      </w:r>
      <w:r w:rsidR="00000000">
        <w:fldChar w:fldCharType="begin"/>
      </w:r>
      <w:r w:rsidR="00000000" w:rsidRPr="005751D1">
        <w:rPr>
          <w:lang w:val="en-GB"/>
        </w:rPr>
        <w:instrText>HYPERLINK "https://ec.europa.eu/eurostat/web/products-eurostat-news/-/DDN-20200520-1" \l ":~:text=Housing%20affordability%20may%20be%20analysed,EU%20was%209.6%25%20in%202018."</w:instrText>
      </w:r>
      <w:r w:rsidR="00000000">
        <w:fldChar w:fldCharType="separate"/>
      </w:r>
      <w:r w:rsidRPr="00773CE9">
        <w:rPr>
          <w:rStyle w:val="Hyperlink"/>
          <w:lang w:val="en-GB"/>
        </w:rPr>
        <w:t>Housing costs a challenge to many households</w:t>
      </w:r>
      <w:r w:rsidR="00000000">
        <w:rPr>
          <w:rStyle w:val="Hyperlink"/>
          <w:lang w:val="en-GB"/>
        </w:rPr>
        <w:fldChar w:fldCharType="end"/>
      </w:r>
      <w:r w:rsidRPr="00773CE9">
        <w:rPr>
          <w:lang w:val="en-GB"/>
        </w:rPr>
        <w:t>,</w:t>
      </w:r>
      <w:r w:rsidRPr="00773CE9">
        <w:rPr>
          <w:i/>
          <w:iCs/>
          <w:lang w:val="en-GB"/>
        </w:rPr>
        <w:t xml:space="preserve"> </w:t>
      </w:r>
      <w:r w:rsidRPr="00773CE9">
        <w:rPr>
          <w:lang w:val="en-GB"/>
        </w:rPr>
        <w:t>20 March 2020.</w:t>
      </w:r>
      <w:r w:rsidR="00AB20EC">
        <w:rPr>
          <w:lang w:val="en-GB"/>
        </w:rPr>
        <w:t xml:space="preserve"> </w:t>
      </w:r>
      <w:r w:rsidR="00AB20EC" w:rsidRPr="00AB20EC">
        <w:rPr>
          <w:lang w:val="en-GB"/>
        </w:rPr>
        <w:t>(</w:t>
      </w:r>
      <w:r w:rsidR="005751D1">
        <w:rPr>
          <w:lang w:val="en-GB"/>
        </w:rPr>
        <w:t>t</w:t>
      </w:r>
      <w:r w:rsidR="00AB20EC" w:rsidRPr="00AB20EC">
        <w:rPr>
          <w:lang w:val="en-GB"/>
        </w:rPr>
        <w:t xml:space="preserve">he </w:t>
      </w:r>
      <w:r w:rsidR="005751D1">
        <w:rPr>
          <w:lang w:val="en-GB"/>
        </w:rPr>
        <w:t>T</w:t>
      </w:r>
      <w:r w:rsidR="00AB20EC" w:rsidRPr="00AB20EC">
        <w:rPr>
          <w:lang w:val="en-GB"/>
        </w:rPr>
        <w:t>ext was edited on 20 March 2024 to correct an inaccuracy in the date).</w:t>
      </w:r>
    </w:p>
  </w:footnote>
  <w:footnote w:id="97">
    <w:p w14:paraId="41BC995C" w14:textId="2FB3A896"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GIHR</w:t>
      </w:r>
      <w:r w:rsidRPr="00773CE9">
        <w:rPr>
          <w:rFonts w:eastAsia="Times New Roman" w:cstheme="minorHAnsi"/>
          <w:bCs/>
          <w:color w:val="FFFFFF"/>
          <w:kern w:val="36"/>
          <w:szCs w:val="18"/>
          <w:lang w:val="en-GB" w:eastAsia="en-GB"/>
        </w:rPr>
        <w:t xml:space="preserve"> </w:t>
      </w:r>
      <w:hyperlink r:id="rId14" w:history="1">
        <w:proofErr w:type="spellStart"/>
        <w:r w:rsidRPr="007C4DAC">
          <w:rPr>
            <w:rStyle w:val="Hyperlink"/>
            <w:rFonts w:cstheme="minorHAnsi"/>
            <w:szCs w:val="18"/>
            <w:lang w:val="en-GB"/>
          </w:rPr>
          <w:t>Bundesregierung</w:t>
        </w:r>
        <w:proofErr w:type="spellEnd"/>
        <w:r w:rsidRPr="007C4DAC">
          <w:rPr>
            <w:rStyle w:val="Hyperlink"/>
            <w:rFonts w:cstheme="minorHAnsi"/>
            <w:szCs w:val="18"/>
            <w:lang w:val="en-GB"/>
          </w:rPr>
          <w:t xml:space="preserve"> muss die </w:t>
        </w:r>
        <w:proofErr w:type="spellStart"/>
        <w:r w:rsidRPr="007C4DAC">
          <w:rPr>
            <w:rStyle w:val="Hyperlink"/>
            <w:rFonts w:cstheme="minorHAnsi"/>
            <w:szCs w:val="18"/>
            <w:lang w:val="en-GB"/>
          </w:rPr>
          <w:t>im</w:t>
        </w:r>
        <w:proofErr w:type="spellEnd"/>
        <w:r w:rsidRPr="007C4DAC">
          <w:rPr>
            <w:rStyle w:val="Hyperlink"/>
            <w:rFonts w:cstheme="minorHAnsi"/>
            <w:szCs w:val="18"/>
            <w:lang w:val="en-GB"/>
          </w:rPr>
          <w:t xml:space="preserve"> </w:t>
        </w:r>
        <w:proofErr w:type="spellStart"/>
        <w:r w:rsidRPr="007C4DAC">
          <w:rPr>
            <w:rStyle w:val="Hyperlink"/>
            <w:rFonts w:cstheme="minorHAnsi"/>
            <w:szCs w:val="18"/>
            <w:lang w:val="en-GB"/>
          </w:rPr>
          <w:t>Koalitionsvertrag</w:t>
        </w:r>
        <w:proofErr w:type="spellEnd"/>
        <w:r w:rsidRPr="007C4DAC">
          <w:rPr>
            <w:rStyle w:val="Hyperlink"/>
            <w:rFonts w:cstheme="minorHAnsi"/>
            <w:szCs w:val="18"/>
            <w:lang w:val="en-GB"/>
          </w:rPr>
          <w:t xml:space="preserve"> </w:t>
        </w:r>
        <w:proofErr w:type="spellStart"/>
        <w:r w:rsidRPr="007C4DAC">
          <w:rPr>
            <w:rStyle w:val="Hyperlink"/>
            <w:rFonts w:cstheme="minorHAnsi"/>
            <w:szCs w:val="18"/>
            <w:lang w:val="en-GB"/>
          </w:rPr>
          <w:t>vereinbarten</w:t>
        </w:r>
        <w:proofErr w:type="spellEnd"/>
        <w:r w:rsidRPr="007C4DAC">
          <w:rPr>
            <w:rStyle w:val="Hyperlink"/>
            <w:rFonts w:cstheme="minorHAnsi"/>
            <w:szCs w:val="18"/>
            <w:lang w:val="en-GB"/>
          </w:rPr>
          <w:t xml:space="preserve"> </w:t>
        </w:r>
        <w:proofErr w:type="spellStart"/>
        <w:r w:rsidRPr="007C4DAC">
          <w:rPr>
            <w:rStyle w:val="Hyperlink"/>
            <w:rFonts w:cstheme="minorHAnsi"/>
            <w:szCs w:val="18"/>
            <w:lang w:val="en-GB"/>
          </w:rPr>
          <w:t>Maßnahmen</w:t>
        </w:r>
        <w:proofErr w:type="spellEnd"/>
        <w:r w:rsidRPr="007C4DAC">
          <w:rPr>
            <w:rStyle w:val="Hyperlink"/>
            <w:rFonts w:cstheme="minorHAnsi"/>
            <w:szCs w:val="18"/>
            <w:lang w:val="en-GB"/>
          </w:rPr>
          <w:t xml:space="preserve"> </w:t>
        </w:r>
        <w:proofErr w:type="spellStart"/>
        <w:r w:rsidRPr="007C4DAC">
          <w:rPr>
            <w:rStyle w:val="Hyperlink"/>
            <w:rFonts w:cstheme="minorHAnsi"/>
            <w:szCs w:val="18"/>
            <w:lang w:val="en-GB"/>
          </w:rPr>
          <w:t>im</w:t>
        </w:r>
        <w:proofErr w:type="spellEnd"/>
        <w:r w:rsidRPr="007C4DAC">
          <w:rPr>
            <w:rStyle w:val="Hyperlink"/>
            <w:rFonts w:cstheme="minorHAnsi"/>
            <w:szCs w:val="18"/>
            <w:lang w:val="en-GB"/>
          </w:rPr>
          <w:t xml:space="preserve"> </w:t>
        </w:r>
        <w:proofErr w:type="spellStart"/>
        <w:r w:rsidRPr="007C4DAC">
          <w:rPr>
            <w:rStyle w:val="Hyperlink"/>
            <w:rFonts w:cstheme="minorHAnsi"/>
            <w:szCs w:val="18"/>
            <w:lang w:val="en-GB"/>
          </w:rPr>
          <w:t>Mietrecht</w:t>
        </w:r>
        <w:proofErr w:type="spellEnd"/>
        <w:r w:rsidRPr="007C4DAC">
          <w:rPr>
            <w:rStyle w:val="Hyperlink"/>
            <w:rFonts w:cstheme="minorHAnsi"/>
            <w:szCs w:val="18"/>
            <w:lang w:val="en-GB"/>
          </w:rPr>
          <w:t xml:space="preserve"> </w:t>
        </w:r>
        <w:proofErr w:type="spellStart"/>
        <w:r w:rsidRPr="007C4DAC">
          <w:rPr>
            <w:rStyle w:val="Hyperlink"/>
            <w:rFonts w:cstheme="minorHAnsi"/>
            <w:szCs w:val="18"/>
            <w:lang w:val="en-GB"/>
          </w:rPr>
          <w:t>angehen</w:t>
        </w:r>
        <w:proofErr w:type="spellEnd"/>
      </w:hyperlink>
      <w:r w:rsidRPr="00773CE9">
        <w:rPr>
          <w:rFonts w:cstheme="minorHAnsi"/>
          <w:szCs w:val="18"/>
          <w:lang w:val="en-GB"/>
        </w:rPr>
        <w:t>, 16 October 2023.</w:t>
      </w:r>
      <w:r>
        <w:rPr>
          <w:rFonts w:cstheme="minorHAnsi"/>
          <w:bCs/>
          <w:szCs w:val="18"/>
          <w:lang w:val="en-GB"/>
        </w:rPr>
        <w:t xml:space="preserve"> </w:t>
      </w:r>
      <w:r w:rsidR="00AB20EC" w:rsidRPr="00AB20EC">
        <w:rPr>
          <w:rFonts w:cstheme="minorHAnsi"/>
          <w:bCs/>
          <w:szCs w:val="18"/>
          <w:lang w:val="en-GB"/>
        </w:rPr>
        <w:t>(</w:t>
      </w:r>
      <w:r w:rsidR="005751D1">
        <w:rPr>
          <w:rFonts w:cstheme="minorHAnsi"/>
          <w:bCs/>
          <w:szCs w:val="18"/>
          <w:lang w:val="en-GB"/>
        </w:rPr>
        <w:t>t</w:t>
      </w:r>
      <w:r w:rsidR="00AB20EC" w:rsidRPr="00AB20EC">
        <w:rPr>
          <w:rFonts w:cstheme="minorHAnsi"/>
          <w:bCs/>
          <w:szCs w:val="18"/>
          <w:lang w:val="en-GB"/>
        </w:rPr>
        <w:t xml:space="preserve">he </w:t>
      </w:r>
      <w:r w:rsidR="005751D1">
        <w:rPr>
          <w:rFonts w:cstheme="minorHAnsi"/>
          <w:bCs/>
          <w:szCs w:val="18"/>
          <w:lang w:val="en-GB"/>
        </w:rPr>
        <w:t>T</w:t>
      </w:r>
      <w:r w:rsidR="00AB20EC" w:rsidRPr="00AB20EC">
        <w:rPr>
          <w:rFonts w:cstheme="minorHAnsi"/>
          <w:bCs/>
          <w:szCs w:val="18"/>
          <w:lang w:val="en-GB"/>
        </w:rPr>
        <w:t>ext was edited on 20 March 2024 to correct an inaccuracy in the date).</w:t>
      </w:r>
    </w:p>
  </w:footnote>
  <w:footnote w:id="98">
    <w:p w14:paraId="7B543DF4"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r>
        <w:rPr>
          <w:rFonts w:cstheme="minorHAnsi"/>
          <w:bCs/>
          <w:szCs w:val="18"/>
          <w:lang w:val="en-GB"/>
        </w:rPr>
        <w:t>CESCR</w:t>
      </w:r>
      <w:r w:rsidRPr="00773CE9">
        <w:rPr>
          <w:rFonts w:cstheme="minorHAnsi"/>
          <w:bCs/>
          <w:szCs w:val="18"/>
          <w:lang w:val="en-GB"/>
        </w:rPr>
        <w:t>, Concluding observations on the sixth periodic report of Germany (</w:t>
      </w:r>
      <w:hyperlink r:id="rId15" w:history="1">
        <w:r w:rsidRPr="007C4DAC">
          <w:rPr>
            <w:rStyle w:val="Hyperlink"/>
            <w:rFonts w:cstheme="minorHAnsi"/>
            <w:bCs/>
            <w:szCs w:val="18"/>
            <w:lang w:val="en-GB"/>
          </w:rPr>
          <w:t>E/C.12/DEU/CO/6</w:t>
        </w:r>
      </w:hyperlink>
      <w:r w:rsidRPr="00773CE9">
        <w:rPr>
          <w:rFonts w:cstheme="minorHAnsi"/>
          <w:bCs/>
          <w:szCs w:val="18"/>
          <w:lang w:val="en-GB"/>
        </w:rPr>
        <w:t xml:space="preserve">) of 27 November 2018. </w:t>
      </w:r>
    </w:p>
  </w:footnote>
  <w:footnote w:id="99">
    <w:p w14:paraId="69D9AA2E" w14:textId="77777777" w:rsidR="004A5AEE" w:rsidRPr="00AA5876" w:rsidRDefault="004A5AEE" w:rsidP="004A5AEE">
      <w:pPr>
        <w:pStyle w:val="FootnoteText"/>
        <w:rPr>
          <w:rFonts w:cstheme="minorHAnsi"/>
          <w:b/>
          <w:bCs/>
          <w:szCs w:val="18"/>
          <w:lang w:val="da-DK"/>
        </w:rPr>
      </w:pPr>
      <w:r w:rsidRPr="00773CE9">
        <w:rPr>
          <w:rStyle w:val="FootnoteReference"/>
          <w:rFonts w:cstheme="minorHAnsi"/>
          <w:bCs/>
          <w:szCs w:val="18"/>
          <w:lang w:val="en-GB"/>
        </w:rPr>
        <w:footnoteRef/>
      </w:r>
      <w:r w:rsidRPr="00AA5876">
        <w:rPr>
          <w:rFonts w:cstheme="minorHAnsi"/>
          <w:bCs/>
          <w:szCs w:val="18"/>
          <w:lang w:val="da-DK"/>
        </w:rPr>
        <w:t xml:space="preserve"> </w:t>
      </w:r>
      <w:r w:rsidRPr="00AA5876">
        <w:rPr>
          <w:rFonts w:cstheme="minorHAnsi"/>
          <w:bCs/>
          <w:szCs w:val="18"/>
          <w:lang w:val="da-DK"/>
        </w:rPr>
        <w:t xml:space="preserve">See </w:t>
      </w:r>
      <w:hyperlink r:id="rId16" w:history="1">
        <w:r w:rsidRPr="00AA5876">
          <w:rPr>
            <w:rStyle w:val="Hyperlink"/>
            <w:rFonts w:cstheme="minorHAnsi"/>
            <w:bCs/>
            <w:i/>
            <w:iCs/>
            <w:szCs w:val="18"/>
            <w:lang w:val="da-DK"/>
          </w:rPr>
          <w:t>Bauen und Wohnen in der Krise: Aktuelle Entwicklungen und Rückwirkungen auf Wohnungsbau und Wohnungsmärkte</w:t>
        </w:r>
      </w:hyperlink>
      <w:r w:rsidRPr="00AA5876">
        <w:rPr>
          <w:rFonts w:cstheme="minorHAnsi"/>
          <w:bCs/>
          <w:szCs w:val="18"/>
          <w:lang w:val="da-DK"/>
        </w:rPr>
        <w:t xml:space="preserve">, Pestel Institute Hannover, January 2023. </w:t>
      </w:r>
    </w:p>
  </w:footnote>
  <w:footnote w:id="100">
    <w:p w14:paraId="5E62A051" w14:textId="77777777" w:rsidR="004A5AEE" w:rsidRPr="000D5396" w:rsidRDefault="004A5AEE" w:rsidP="004A5AEE">
      <w:pPr>
        <w:pStyle w:val="FootnoteText"/>
        <w:rPr>
          <w:lang w:val="en-GB"/>
        </w:rPr>
      </w:pPr>
      <w:r>
        <w:rPr>
          <w:rStyle w:val="FootnoteReference"/>
        </w:rPr>
        <w:footnoteRef/>
      </w:r>
      <w:r w:rsidRPr="00D90B39">
        <w:rPr>
          <w:lang w:val="en-US"/>
        </w:rPr>
        <w:t xml:space="preserve"> </w:t>
      </w:r>
      <w:r>
        <w:rPr>
          <w:lang w:val="en-GB"/>
        </w:rPr>
        <w:t xml:space="preserve">According to an interview with the Minister for Housing in the </w:t>
      </w:r>
      <w:r w:rsidRPr="000D5396">
        <w:rPr>
          <w:i/>
          <w:iCs/>
          <w:lang w:val="en-GB"/>
        </w:rPr>
        <w:t>Rheinische Post</w:t>
      </w:r>
      <w:r>
        <w:rPr>
          <w:lang w:val="en-GB"/>
        </w:rPr>
        <w:t xml:space="preserve"> on 22 December 2023, 270,000 apartments were completed in 2023 and 265,000 are expected to be built in 2024. In 2022, only 22,545 social housing apartments were built, while 36,500 former social housing units were released onto the private market. See</w:t>
      </w:r>
      <w:r w:rsidRPr="00FA3A55">
        <w:rPr>
          <w:rFonts w:ascii="inherit" w:hAnsi="inherit" w:cs="Tahoma"/>
          <w:b/>
          <w:bCs/>
          <w:caps/>
          <w:color w:val="000000"/>
          <w:sz w:val="27"/>
          <w:szCs w:val="27"/>
          <w:bdr w:val="none" w:sz="0" w:space="0" w:color="auto" w:frame="1"/>
          <w:lang w:val="en-GB"/>
        </w:rPr>
        <w:t xml:space="preserve"> </w:t>
      </w:r>
      <w:hyperlink r:id="rId17" w:history="1">
        <w:proofErr w:type="spellStart"/>
        <w:r w:rsidRPr="007C4DAC">
          <w:rPr>
            <w:rStyle w:val="Hyperlink"/>
            <w:i/>
            <w:iCs/>
            <w:lang w:val="en-GB"/>
          </w:rPr>
          <w:t>Zahl</w:t>
        </w:r>
        <w:proofErr w:type="spellEnd"/>
        <w:r w:rsidRPr="007C4DAC">
          <w:rPr>
            <w:rStyle w:val="Hyperlink"/>
            <w:i/>
            <w:iCs/>
            <w:lang w:val="en-GB"/>
          </w:rPr>
          <w:t xml:space="preserve"> der </w:t>
        </w:r>
        <w:proofErr w:type="spellStart"/>
        <w:r w:rsidRPr="007C4DAC">
          <w:rPr>
            <w:rStyle w:val="Hyperlink"/>
            <w:i/>
            <w:iCs/>
            <w:lang w:val="en-GB"/>
          </w:rPr>
          <w:t>Sozialwohnungen</w:t>
        </w:r>
        <w:proofErr w:type="spellEnd"/>
        <w:r w:rsidRPr="007C4DAC">
          <w:rPr>
            <w:rStyle w:val="Hyperlink"/>
            <w:i/>
            <w:iCs/>
            <w:lang w:val="en-GB"/>
          </w:rPr>
          <w:t xml:space="preserve"> in Berlin </w:t>
        </w:r>
        <w:proofErr w:type="spellStart"/>
        <w:r w:rsidRPr="007C4DAC">
          <w:rPr>
            <w:rStyle w:val="Hyperlink"/>
            <w:i/>
            <w:iCs/>
            <w:lang w:val="en-GB"/>
          </w:rPr>
          <w:t>sinkt</w:t>
        </w:r>
        <w:proofErr w:type="spellEnd"/>
        <w:r w:rsidRPr="007C4DAC">
          <w:rPr>
            <w:rStyle w:val="Hyperlink"/>
            <w:i/>
            <w:iCs/>
            <w:lang w:val="en-GB"/>
          </w:rPr>
          <w:t xml:space="preserve"> - </w:t>
        </w:r>
        <w:proofErr w:type="spellStart"/>
        <w:r w:rsidRPr="007C4DAC">
          <w:rPr>
            <w:rStyle w:val="Hyperlink"/>
            <w:i/>
            <w:iCs/>
            <w:lang w:val="en-GB"/>
          </w:rPr>
          <w:t>Bestand</w:t>
        </w:r>
        <w:proofErr w:type="spellEnd"/>
        <w:r w:rsidRPr="007C4DAC">
          <w:rPr>
            <w:rStyle w:val="Hyperlink"/>
            <w:i/>
            <w:iCs/>
            <w:lang w:val="en-GB"/>
          </w:rPr>
          <w:t xml:space="preserve"> in Brandenburg </w:t>
        </w:r>
        <w:proofErr w:type="spellStart"/>
        <w:r w:rsidRPr="007C4DAC">
          <w:rPr>
            <w:rStyle w:val="Hyperlink"/>
            <w:i/>
            <w:iCs/>
            <w:lang w:val="en-GB"/>
          </w:rPr>
          <w:t>stabil</w:t>
        </w:r>
        <w:proofErr w:type="spellEnd"/>
      </w:hyperlink>
      <w:r>
        <w:rPr>
          <w:i/>
          <w:iCs/>
          <w:lang w:val="en-GB"/>
        </w:rPr>
        <w:t xml:space="preserve">, </w:t>
      </w:r>
      <w:r>
        <w:rPr>
          <w:lang w:val="en-GB"/>
        </w:rPr>
        <w:t xml:space="preserve">rbb24, 31 July 2023. </w:t>
      </w:r>
    </w:p>
  </w:footnote>
  <w:footnote w:id="101">
    <w:p w14:paraId="08AD3C10" w14:textId="77777777" w:rsidR="004A5AEE" w:rsidRPr="00773CE9" w:rsidRDefault="004A5AEE" w:rsidP="004A5AEE">
      <w:pPr>
        <w:pStyle w:val="FootnoteText"/>
        <w:rPr>
          <w:rFonts w:cstheme="minorHAnsi"/>
          <w:b/>
          <w:bCs/>
          <w:i/>
          <w:i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r w:rsidRPr="00773CE9">
        <w:rPr>
          <w:rFonts w:cstheme="minorHAnsi"/>
          <w:bCs/>
          <w:i/>
          <w:iCs/>
          <w:szCs w:val="18"/>
          <w:lang w:val="en-GB"/>
        </w:rPr>
        <w:t xml:space="preserve">Adequate housing as a component of the right to an adequate standard of living, and on the right to non-discrimination in this context, </w:t>
      </w:r>
      <w:hyperlink r:id="rId18" w:history="1">
        <w:r w:rsidRPr="00C414EF">
          <w:rPr>
            <w:rStyle w:val="Hyperlink"/>
            <w:rFonts w:cstheme="minorHAnsi"/>
            <w:bCs/>
            <w:szCs w:val="18"/>
            <w:lang w:val="en-GB"/>
          </w:rPr>
          <w:t>A/78/192</w:t>
        </w:r>
      </w:hyperlink>
      <w:r w:rsidRPr="00773CE9">
        <w:rPr>
          <w:rFonts w:cstheme="minorHAnsi"/>
          <w:bCs/>
          <w:szCs w:val="18"/>
          <w:lang w:val="en-GB"/>
        </w:rPr>
        <w:t>, presented during the 78</w:t>
      </w:r>
      <w:r w:rsidRPr="00773CE9">
        <w:rPr>
          <w:rFonts w:cstheme="minorHAnsi"/>
          <w:bCs/>
          <w:szCs w:val="18"/>
          <w:vertAlign w:val="superscript"/>
          <w:lang w:val="en-GB"/>
        </w:rPr>
        <w:t>th</w:t>
      </w:r>
      <w:r w:rsidRPr="00773CE9">
        <w:rPr>
          <w:rFonts w:cstheme="minorHAnsi"/>
          <w:bCs/>
          <w:szCs w:val="18"/>
          <w:lang w:val="en-GB"/>
        </w:rPr>
        <w:t xml:space="preserve"> session of the General Assembly, 15 August 2023.</w:t>
      </w:r>
    </w:p>
  </w:footnote>
  <w:footnote w:id="102">
    <w:p w14:paraId="78E5F638"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w:t>
      </w:r>
      <w:r>
        <w:rPr>
          <w:rFonts w:cstheme="minorHAnsi"/>
          <w:bCs/>
          <w:szCs w:val="18"/>
          <w:lang w:val="en-GB"/>
        </w:rPr>
        <w:t xml:space="preserve"> BMAS,</w:t>
      </w:r>
      <w:r w:rsidRPr="00773CE9">
        <w:rPr>
          <w:rFonts w:cstheme="minorHAnsi"/>
          <w:bCs/>
          <w:szCs w:val="18"/>
          <w:lang w:val="en-GB"/>
        </w:rPr>
        <w:t xml:space="preserve"> </w:t>
      </w:r>
      <w:hyperlink r:id="rId19" w:history="1">
        <w:proofErr w:type="spellStart"/>
        <w:r w:rsidRPr="00FD16F9">
          <w:rPr>
            <w:rStyle w:val="Hyperlink"/>
            <w:rFonts w:cstheme="minorHAnsi"/>
            <w:bCs/>
            <w:i/>
            <w:iCs/>
            <w:szCs w:val="18"/>
            <w:lang w:val="en-GB"/>
          </w:rPr>
          <w:t>Ausmaß</w:t>
        </w:r>
        <w:proofErr w:type="spellEnd"/>
        <w:r w:rsidRPr="00FD16F9">
          <w:rPr>
            <w:rStyle w:val="Hyperlink"/>
            <w:rFonts w:cstheme="minorHAnsi"/>
            <w:bCs/>
            <w:i/>
            <w:iCs/>
            <w:szCs w:val="18"/>
            <w:lang w:val="en-GB"/>
          </w:rPr>
          <w:t xml:space="preserve"> und </w:t>
        </w:r>
        <w:proofErr w:type="spellStart"/>
        <w:r w:rsidRPr="00FD16F9">
          <w:rPr>
            <w:rStyle w:val="Hyperlink"/>
            <w:rFonts w:cstheme="minorHAnsi"/>
            <w:bCs/>
            <w:i/>
            <w:iCs/>
            <w:szCs w:val="18"/>
            <w:lang w:val="en-GB"/>
          </w:rPr>
          <w:t>Struktur</w:t>
        </w:r>
        <w:proofErr w:type="spellEnd"/>
        <w:r w:rsidRPr="00FD16F9">
          <w:rPr>
            <w:rStyle w:val="Hyperlink"/>
            <w:rFonts w:cstheme="minorHAnsi"/>
            <w:bCs/>
            <w:i/>
            <w:iCs/>
            <w:szCs w:val="18"/>
            <w:lang w:val="en-GB"/>
          </w:rPr>
          <w:t xml:space="preserve"> von </w:t>
        </w:r>
        <w:proofErr w:type="spellStart"/>
        <w:r w:rsidRPr="00FD16F9">
          <w:rPr>
            <w:rStyle w:val="Hyperlink"/>
            <w:rFonts w:cstheme="minorHAnsi"/>
            <w:bCs/>
            <w:i/>
            <w:iCs/>
            <w:szCs w:val="18"/>
            <w:lang w:val="en-GB"/>
          </w:rPr>
          <w:t>Wohnungslosigkeit</w:t>
        </w:r>
        <w:proofErr w:type="spellEnd"/>
        <w:r w:rsidRPr="00FD16F9">
          <w:rPr>
            <w:rStyle w:val="Hyperlink"/>
            <w:rFonts w:cstheme="minorHAnsi"/>
            <w:bCs/>
            <w:i/>
            <w:iCs/>
            <w:szCs w:val="18"/>
            <w:lang w:val="en-GB"/>
          </w:rPr>
          <w:t xml:space="preserve">: Der </w:t>
        </w:r>
        <w:proofErr w:type="spellStart"/>
        <w:r w:rsidRPr="00FD16F9">
          <w:rPr>
            <w:rStyle w:val="Hyperlink"/>
            <w:rFonts w:cstheme="minorHAnsi"/>
            <w:bCs/>
            <w:i/>
            <w:iCs/>
            <w:szCs w:val="18"/>
            <w:lang w:val="en-GB"/>
          </w:rPr>
          <w:t>Wohnungslosenbericht</w:t>
        </w:r>
        <w:proofErr w:type="spellEnd"/>
        <w:r w:rsidRPr="00FD16F9">
          <w:rPr>
            <w:rStyle w:val="Hyperlink"/>
            <w:rFonts w:cstheme="minorHAnsi"/>
            <w:bCs/>
            <w:i/>
            <w:iCs/>
            <w:szCs w:val="18"/>
            <w:lang w:val="en-GB"/>
          </w:rPr>
          <w:t xml:space="preserve"> 2022</w:t>
        </w:r>
      </w:hyperlink>
      <w:r>
        <w:rPr>
          <w:rFonts w:cstheme="minorHAnsi"/>
          <w:bCs/>
          <w:i/>
          <w:iCs/>
          <w:szCs w:val="18"/>
          <w:lang w:val="en-GB"/>
        </w:rPr>
        <w:t>,</w:t>
      </w:r>
      <w:r w:rsidRPr="00773CE9">
        <w:rPr>
          <w:rFonts w:cstheme="minorHAnsi"/>
          <w:bCs/>
          <w:i/>
          <w:iCs/>
          <w:szCs w:val="18"/>
          <w:lang w:val="en-GB"/>
        </w:rPr>
        <w:t xml:space="preserve"> </w:t>
      </w:r>
      <w:r w:rsidRPr="00773CE9">
        <w:rPr>
          <w:rFonts w:cstheme="minorHAnsi"/>
          <w:bCs/>
          <w:szCs w:val="18"/>
          <w:lang w:val="en-GB"/>
        </w:rPr>
        <w:t>December 2022.</w:t>
      </w:r>
    </w:p>
  </w:footnote>
  <w:footnote w:id="103">
    <w:p w14:paraId="2923BC54" w14:textId="77777777" w:rsidR="004A5AEE" w:rsidRPr="00EA2DFA" w:rsidRDefault="004A5AEE" w:rsidP="004A5AEE">
      <w:pPr>
        <w:pStyle w:val="FootnoteText"/>
        <w:rPr>
          <w:lang w:val="en-GB"/>
        </w:rPr>
      </w:pPr>
      <w:r>
        <w:rPr>
          <w:rStyle w:val="FootnoteReference"/>
        </w:rPr>
        <w:footnoteRef/>
      </w:r>
      <w:r w:rsidRPr="00AA5876">
        <w:rPr>
          <w:lang w:val="en-GB"/>
        </w:rPr>
        <w:t xml:space="preserve"> </w:t>
      </w:r>
      <w:r>
        <w:rPr>
          <w:lang w:val="en-GB"/>
        </w:rPr>
        <w:t xml:space="preserve">See Federal Office of Statistics </w:t>
      </w:r>
      <w:hyperlink r:id="rId20" w:history="1">
        <w:r w:rsidRPr="00EA2DFA">
          <w:rPr>
            <w:rStyle w:val="Hyperlink"/>
            <w:i/>
            <w:iCs/>
            <w:lang w:val="en-GB"/>
          </w:rPr>
          <w:t>End January 2023 some 372 000 accommodated in emergency shelters</w:t>
        </w:r>
      </w:hyperlink>
      <w:r>
        <w:rPr>
          <w:i/>
          <w:iCs/>
          <w:lang w:val="en-GB"/>
        </w:rPr>
        <w:t xml:space="preserve">, </w:t>
      </w:r>
      <w:r>
        <w:rPr>
          <w:lang w:val="en-GB"/>
        </w:rPr>
        <w:t>2 August 2023.</w:t>
      </w:r>
    </w:p>
  </w:footnote>
  <w:footnote w:id="104">
    <w:p w14:paraId="5AFCB144"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G</w:t>
      </w:r>
      <w:r>
        <w:rPr>
          <w:rFonts w:cstheme="minorHAnsi"/>
          <w:bCs/>
          <w:szCs w:val="18"/>
          <w:lang w:val="en-GB"/>
        </w:rPr>
        <w:t>IHR</w:t>
      </w:r>
      <w:r w:rsidRPr="00773CE9">
        <w:rPr>
          <w:rFonts w:cstheme="minorHAnsi"/>
          <w:bCs/>
          <w:szCs w:val="18"/>
          <w:lang w:val="en-GB"/>
        </w:rPr>
        <w:t xml:space="preserve">, </w:t>
      </w:r>
      <w:hyperlink r:id="rId21" w:history="1">
        <w:proofErr w:type="spellStart"/>
        <w:r w:rsidRPr="00271C70">
          <w:rPr>
            <w:rStyle w:val="Hyperlink"/>
            <w:rFonts w:cstheme="minorHAnsi"/>
            <w:bCs/>
            <w:i/>
            <w:iCs/>
            <w:szCs w:val="18"/>
            <w:lang w:val="en-GB"/>
          </w:rPr>
          <w:t>Notunterkünfte</w:t>
        </w:r>
        <w:proofErr w:type="spellEnd"/>
        <w:r w:rsidRPr="00271C70">
          <w:rPr>
            <w:rStyle w:val="Hyperlink"/>
            <w:rFonts w:cstheme="minorHAnsi"/>
            <w:bCs/>
            <w:i/>
            <w:iCs/>
            <w:szCs w:val="18"/>
            <w:lang w:val="en-GB"/>
          </w:rPr>
          <w:t xml:space="preserve"> für </w:t>
        </w:r>
        <w:proofErr w:type="spellStart"/>
        <w:r w:rsidRPr="00271C70">
          <w:rPr>
            <w:rStyle w:val="Hyperlink"/>
            <w:rFonts w:cstheme="minorHAnsi"/>
            <w:bCs/>
            <w:i/>
            <w:iCs/>
            <w:szCs w:val="18"/>
            <w:lang w:val="en-GB"/>
          </w:rPr>
          <w:t>Wohnungslose</w:t>
        </w:r>
        <w:proofErr w:type="spellEnd"/>
        <w:r w:rsidRPr="00271C70">
          <w:rPr>
            <w:rStyle w:val="Hyperlink"/>
            <w:rFonts w:cstheme="minorHAnsi"/>
            <w:bCs/>
            <w:i/>
            <w:iCs/>
            <w:szCs w:val="18"/>
            <w:lang w:val="en-GB"/>
          </w:rPr>
          <w:t xml:space="preserve"> </w:t>
        </w:r>
        <w:proofErr w:type="spellStart"/>
        <w:r w:rsidRPr="00271C70">
          <w:rPr>
            <w:rStyle w:val="Hyperlink"/>
            <w:rFonts w:cstheme="minorHAnsi"/>
            <w:bCs/>
            <w:i/>
            <w:iCs/>
            <w:szCs w:val="18"/>
            <w:lang w:val="en-GB"/>
          </w:rPr>
          <w:t>menschen</w:t>
        </w:r>
        <w:r w:rsidRPr="00271C70">
          <w:rPr>
            <w:rStyle w:val="Hyperlink"/>
            <w:rFonts w:cstheme="minorHAnsi"/>
            <w:bCs/>
            <w:i/>
            <w:iCs/>
            <w:szCs w:val="18"/>
            <w:lang w:val="en-GB"/>
          </w:rPr>
          <w:softHyphen/>
          <w:t>rechtskonform</w:t>
        </w:r>
        <w:proofErr w:type="spellEnd"/>
        <w:r w:rsidRPr="00271C70">
          <w:rPr>
            <w:rStyle w:val="Hyperlink"/>
            <w:rFonts w:cstheme="minorHAnsi"/>
            <w:bCs/>
            <w:i/>
            <w:iCs/>
            <w:szCs w:val="18"/>
            <w:lang w:val="en-GB"/>
          </w:rPr>
          <w:t xml:space="preserve"> </w:t>
        </w:r>
        <w:proofErr w:type="spellStart"/>
        <w:r w:rsidRPr="00271C70">
          <w:rPr>
            <w:rStyle w:val="Hyperlink"/>
            <w:rFonts w:cstheme="minorHAnsi"/>
            <w:bCs/>
            <w:i/>
            <w:iCs/>
            <w:szCs w:val="18"/>
            <w:lang w:val="en-GB"/>
          </w:rPr>
          <w:t>gestalten</w:t>
        </w:r>
        <w:proofErr w:type="spellEnd"/>
        <w:r w:rsidRPr="00271C70">
          <w:rPr>
            <w:rStyle w:val="Hyperlink"/>
            <w:rFonts w:cstheme="minorHAnsi"/>
            <w:bCs/>
            <w:i/>
            <w:iCs/>
            <w:szCs w:val="18"/>
            <w:lang w:val="en-GB"/>
          </w:rPr>
          <w:t xml:space="preserve">: </w:t>
        </w:r>
        <w:proofErr w:type="spellStart"/>
        <w:r w:rsidRPr="00271C70">
          <w:rPr>
            <w:rStyle w:val="Hyperlink"/>
            <w:rFonts w:cstheme="minorHAnsi"/>
            <w:bCs/>
            <w:i/>
            <w:iCs/>
            <w:szCs w:val="18"/>
            <w:lang w:val="en-GB"/>
          </w:rPr>
          <w:t>Leitlinien</w:t>
        </w:r>
        <w:proofErr w:type="spellEnd"/>
        <w:r w:rsidRPr="00271C70">
          <w:rPr>
            <w:rStyle w:val="Hyperlink"/>
            <w:rFonts w:cstheme="minorHAnsi"/>
            <w:bCs/>
            <w:i/>
            <w:iCs/>
            <w:szCs w:val="18"/>
            <w:lang w:val="en-GB"/>
          </w:rPr>
          <w:t xml:space="preserve"> für </w:t>
        </w:r>
        <w:proofErr w:type="spellStart"/>
        <w:r w:rsidRPr="00271C70">
          <w:rPr>
            <w:rStyle w:val="Hyperlink"/>
            <w:rFonts w:cstheme="minorHAnsi"/>
            <w:bCs/>
            <w:i/>
            <w:iCs/>
            <w:szCs w:val="18"/>
            <w:lang w:val="en-GB"/>
          </w:rPr>
          <w:t>Mindeststandards</w:t>
        </w:r>
        <w:proofErr w:type="spellEnd"/>
        <w:r w:rsidRPr="00271C70">
          <w:rPr>
            <w:rStyle w:val="Hyperlink"/>
            <w:rFonts w:cstheme="minorHAnsi"/>
            <w:bCs/>
            <w:i/>
            <w:iCs/>
            <w:szCs w:val="18"/>
            <w:lang w:val="en-GB"/>
          </w:rPr>
          <w:t xml:space="preserve"> in der </w:t>
        </w:r>
        <w:proofErr w:type="spellStart"/>
        <w:r w:rsidRPr="00271C70">
          <w:rPr>
            <w:rStyle w:val="Hyperlink"/>
            <w:rFonts w:cstheme="minorHAnsi"/>
            <w:bCs/>
            <w:i/>
            <w:iCs/>
            <w:szCs w:val="18"/>
            <w:lang w:val="en-GB"/>
          </w:rPr>
          <w:t>ordnungsrechtlichen</w:t>
        </w:r>
        <w:proofErr w:type="spellEnd"/>
        <w:r w:rsidRPr="00271C70">
          <w:rPr>
            <w:rStyle w:val="Hyperlink"/>
            <w:rFonts w:cstheme="minorHAnsi"/>
            <w:bCs/>
            <w:i/>
            <w:iCs/>
            <w:szCs w:val="18"/>
            <w:lang w:val="en-GB"/>
          </w:rPr>
          <w:t xml:space="preserve"> </w:t>
        </w:r>
        <w:proofErr w:type="spellStart"/>
        <w:r w:rsidRPr="00271C70">
          <w:rPr>
            <w:rStyle w:val="Hyperlink"/>
            <w:rFonts w:cstheme="minorHAnsi"/>
            <w:bCs/>
            <w:i/>
            <w:iCs/>
            <w:szCs w:val="18"/>
            <w:lang w:val="en-GB"/>
          </w:rPr>
          <w:t>Unterbringung</w:t>
        </w:r>
        <w:proofErr w:type="spellEnd"/>
      </w:hyperlink>
      <w:r w:rsidRPr="00773CE9">
        <w:rPr>
          <w:rFonts w:cstheme="minorHAnsi"/>
          <w:bCs/>
          <w:i/>
          <w:iCs/>
          <w:szCs w:val="18"/>
          <w:lang w:val="en-GB"/>
        </w:rPr>
        <w:t xml:space="preserve">, </w:t>
      </w:r>
      <w:r w:rsidRPr="00773CE9">
        <w:rPr>
          <w:rFonts w:cstheme="minorHAnsi"/>
          <w:bCs/>
          <w:szCs w:val="18"/>
          <w:lang w:val="en-GB"/>
        </w:rPr>
        <w:t>September 2022.</w:t>
      </w:r>
    </w:p>
  </w:footnote>
  <w:footnote w:id="105">
    <w:p w14:paraId="2B2953DF" w14:textId="77777777" w:rsidR="004A5AEE" w:rsidRPr="00FD16F9" w:rsidRDefault="004A5AEE" w:rsidP="004A5AEE">
      <w:pPr>
        <w:pStyle w:val="FootnoteText"/>
        <w:rPr>
          <w:lang w:val="en-GB"/>
        </w:rPr>
      </w:pPr>
      <w:r>
        <w:rPr>
          <w:rStyle w:val="FootnoteReference"/>
        </w:rPr>
        <w:footnoteRef/>
      </w:r>
      <w:r w:rsidRPr="00AA5876">
        <w:rPr>
          <w:lang w:val="en-GB"/>
        </w:rPr>
        <w:t xml:space="preserve"> </w:t>
      </w:r>
      <w:r>
        <w:rPr>
          <w:lang w:val="en-GB"/>
        </w:rPr>
        <w:t xml:space="preserve">See </w:t>
      </w:r>
      <w:r w:rsidRPr="00FD16F9">
        <w:rPr>
          <w:i/>
          <w:iCs/>
          <w:lang w:val="en-GB"/>
        </w:rPr>
        <w:t>De Jure Temporary, De Facto Permanent: Shelters for People Experiencing</w:t>
      </w:r>
      <w:r>
        <w:rPr>
          <w:i/>
          <w:iCs/>
          <w:lang w:val="en-GB"/>
        </w:rPr>
        <w:t xml:space="preserve"> </w:t>
      </w:r>
      <w:r w:rsidRPr="00FD16F9">
        <w:rPr>
          <w:i/>
          <w:iCs/>
          <w:lang w:val="en-GB"/>
        </w:rPr>
        <w:t>Homelessness in Germany</w:t>
      </w:r>
      <w:r>
        <w:rPr>
          <w:i/>
          <w:iCs/>
          <w:lang w:val="en-GB"/>
        </w:rPr>
        <w:t xml:space="preserve">, </w:t>
      </w:r>
      <w:r>
        <w:rPr>
          <w:lang w:val="en-GB"/>
        </w:rPr>
        <w:t>European Journal of Homelessness,</w:t>
      </w:r>
      <w:r w:rsidRPr="00FD16F9">
        <w:rPr>
          <w:rFonts w:ascii="HelveticaNeueLTPro-BdEx" w:hAnsi="HelveticaNeueLTPro-BdEx" w:cs="HelveticaNeueLTPro-BdEx"/>
          <w:color w:val="FFFFFF"/>
          <w:sz w:val="22"/>
          <w:lang w:val="en-GB"/>
        </w:rPr>
        <w:t xml:space="preserve"> </w:t>
      </w:r>
      <w:hyperlink r:id="rId22" w:history="1">
        <w:r w:rsidRPr="00FD16F9">
          <w:rPr>
            <w:rStyle w:val="Hyperlink"/>
            <w:lang w:val="en-GB"/>
          </w:rPr>
          <w:t>Volume 15, No. 1_ 2021</w:t>
        </w:r>
      </w:hyperlink>
      <w:r>
        <w:rPr>
          <w:lang w:val="en-GB"/>
        </w:rPr>
        <w:t xml:space="preserve">. The certificate is issued by </w:t>
      </w:r>
      <w:r w:rsidRPr="00EC2DF5">
        <w:rPr>
          <w:lang w:val="en-US"/>
        </w:rPr>
        <w:t>SCHUFA, a private credit bureau supported by creditors.</w:t>
      </w:r>
      <w:r>
        <w:rPr>
          <w:lang w:val="en-GB"/>
        </w:rPr>
        <w:t xml:space="preserve"> </w:t>
      </w:r>
    </w:p>
  </w:footnote>
  <w:footnote w:id="106">
    <w:p w14:paraId="6B836781" w14:textId="77777777" w:rsidR="004A5AEE" w:rsidRPr="008951B5" w:rsidRDefault="004A5AEE" w:rsidP="004A5AEE">
      <w:pPr>
        <w:pStyle w:val="FootnoteText"/>
        <w:rPr>
          <w:lang w:val="en-GB"/>
        </w:rPr>
      </w:pPr>
      <w:r>
        <w:rPr>
          <w:rStyle w:val="FootnoteReference"/>
        </w:rPr>
        <w:footnoteRef/>
      </w:r>
      <w:r w:rsidRPr="00DA4818">
        <w:rPr>
          <w:lang w:val="en-US"/>
        </w:rPr>
        <w:t xml:space="preserve"> </w:t>
      </w:r>
      <w:r>
        <w:rPr>
          <w:lang w:val="en-GB"/>
        </w:rPr>
        <w:t xml:space="preserve">A child who is released from a care institution upon turning 18, for instance, may be entitled to receive housing support. However, the child will often not know about that possibility, nor will social services be informed beforehand, so that the young person may undergo a destabilising period of homelessness before a solution is found. </w:t>
      </w:r>
    </w:p>
  </w:footnote>
  <w:footnote w:id="107">
    <w:p w14:paraId="2B26A35F" w14:textId="77777777" w:rsidR="004A5AEE" w:rsidRPr="00773CE9" w:rsidRDefault="004A5AEE" w:rsidP="004A5AEE">
      <w:pPr>
        <w:pStyle w:val="FootnoteText"/>
        <w:rPr>
          <w:lang w:val="en-GB"/>
        </w:rPr>
      </w:pPr>
      <w:r w:rsidRPr="00773CE9">
        <w:rPr>
          <w:rStyle w:val="FootnoteReference"/>
          <w:lang w:val="en-GB"/>
        </w:rPr>
        <w:footnoteRef/>
      </w:r>
      <w:r w:rsidRPr="00773CE9">
        <w:rPr>
          <w:lang w:val="en-GB"/>
        </w:rPr>
        <w:t xml:space="preserve"> </w:t>
      </w:r>
      <w:r>
        <w:rPr>
          <w:lang w:val="en-GB"/>
        </w:rPr>
        <w:t xml:space="preserve">A list of </w:t>
      </w:r>
      <w:r w:rsidRPr="00773CE9">
        <w:rPr>
          <w:lang w:val="en-GB"/>
        </w:rPr>
        <w:t xml:space="preserve">specialist offices </w:t>
      </w:r>
      <w:r>
        <w:rPr>
          <w:lang w:val="en-GB"/>
        </w:rPr>
        <w:t xml:space="preserve">is maintained by the </w:t>
      </w:r>
      <w:hyperlink r:id="rId23" w:history="1">
        <w:r w:rsidRPr="00271C70">
          <w:rPr>
            <w:rStyle w:val="Hyperlink"/>
            <w:lang w:val="en-GB"/>
          </w:rPr>
          <w:t>Federal Association Housing Support (BAGW),</w:t>
        </w:r>
      </w:hyperlink>
      <w:r>
        <w:rPr>
          <w:lang w:val="en-GB"/>
        </w:rPr>
        <w:t xml:space="preserve"> which is </w:t>
      </w:r>
      <w:r w:rsidRPr="00B82271">
        <w:rPr>
          <w:lang w:val="en-GB"/>
        </w:rPr>
        <w:t xml:space="preserve">an association of </w:t>
      </w:r>
      <w:r>
        <w:rPr>
          <w:lang w:val="en-GB"/>
        </w:rPr>
        <w:t>soc</w:t>
      </w:r>
      <w:r w:rsidRPr="00B82271">
        <w:rPr>
          <w:lang w:val="en-GB"/>
        </w:rPr>
        <w:t xml:space="preserve">ial organisations </w:t>
      </w:r>
      <w:r>
        <w:rPr>
          <w:lang w:val="en-GB"/>
        </w:rPr>
        <w:t xml:space="preserve">and </w:t>
      </w:r>
      <w:r w:rsidRPr="00B82271">
        <w:rPr>
          <w:lang w:val="en-GB"/>
        </w:rPr>
        <w:t>providers of social services and facilities in the private and public sector for homeless people.</w:t>
      </w:r>
    </w:p>
  </w:footnote>
  <w:footnote w:id="108">
    <w:p w14:paraId="04562F62"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bookmarkStart w:id="105" w:name="_Toc200433466"/>
      <w:bookmarkStart w:id="106" w:name="_Toc200441351"/>
      <w:bookmarkStart w:id="107" w:name="_Toc200785230"/>
      <w:r>
        <w:rPr>
          <w:rFonts w:cstheme="minorHAnsi"/>
          <w:bCs/>
          <w:szCs w:val="18"/>
          <w:lang w:val="en-GB"/>
        </w:rPr>
        <w:fldChar w:fldCharType="begin"/>
      </w:r>
      <w:r>
        <w:rPr>
          <w:rFonts w:cstheme="minorHAnsi"/>
          <w:bCs/>
          <w:szCs w:val="18"/>
          <w:lang w:val="en-GB"/>
        </w:rPr>
        <w:instrText>HYPERLINK "https://www.escr-net.org/resources/general-comment-7"</w:instrText>
      </w:r>
      <w:r>
        <w:rPr>
          <w:rFonts w:cstheme="minorHAnsi"/>
          <w:bCs/>
          <w:szCs w:val="18"/>
          <w:lang w:val="en-GB"/>
        </w:rPr>
      </w:r>
      <w:r>
        <w:rPr>
          <w:rFonts w:cstheme="minorHAnsi"/>
          <w:bCs/>
          <w:szCs w:val="18"/>
          <w:lang w:val="en-GB"/>
        </w:rPr>
        <w:fldChar w:fldCharType="separate"/>
      </w:r>
      <w:r w:rsidRPr="00B742AA">
        <w:rPr>
          <w:rStyle w:val="Hyperlink"/>
          <w:rFonts w:cstheme="minorHAnsi"/>
          <w:bCs/>
          <w:szCs w:val="18"/>
          <w:lang w:val="en-GB"/>
        </w:rPr>
        <w:t>General comment No. 7: The right to adequate housing (art. 11(1)</w:t>
      </w:r>
      <w:r>
        <w:rPr>
          <w:rFonts w:cstheme="minorHAnsi"/>
          <w:bCs/>
          <w:szCs w:val="18"/>
          <w:lang w:val="en-GB"/>
        </w:rPr>
        <w:fldChar w:fldCharType="end"/>
      </w:r>
      <w:r w:rsidRPr="00773CE9">
        <w:rPr>
          <w:rFonts w:cstheme="minorHAnsi"/>
          <w:bCs/>
          <w:szCs w:val="18"/>
          <w:lang w:val="en-GB"/>
        </w:rPr>
        <w:t xml:space="preserve"> of the Covenant: Forced evictions. CESCR E/1998/22 adopted at the sixteenth session of the CESCR on 20 May 1997. </w:t>
      </w:r>
      <w:bookmarkEnd w:id="105"/>
      <w:bookmarkEnd w:id="106"/>
      <w:bookmarkEnd w:id="107"/>
    </w:p>
  </w:footnote>
  <w:footnote w:id="109">
    <w:p w14:paraId="79647B18" w14:textId="77777777" w:rsidR="004A5AEE" w:rsidRPr="00773CE9" w:rsidRDefault="004A5AEE" w:rsidP="004A5AEE">
      <w:pPr>
        <w:pStyle w:val="FootnoteText"/>
        <w:rPr>
          <w:rFonts w:cstheme="minorHAnsi"/>
          <w:b/>
          <w:bCs/>
          <w:szCs w:val="18"/>
          <w:lang w:val="en-GB"/>
        </w:rPr>
      </w:pPr>
      <w:r w:rsidRPr="00773CE9">
        <w:rPr>
          <w:rStyle w:val="FootnoteReference"/>
          <w:rFonts w:cstheme="minorHAnsi"/>
          <w:bCs/>
          <w:szCs w:val="18"/>
          <w:lang w:val="en-GB"/>
        </w:rPr>
        <w:footnoteRef/>
      </w:r>
      <w:r w:rsidRPr="00773CE9">
        <w:rPr>
          <w:rFonts w:cstheme="minorHAnsi"/>
          <w:bCs/>
          <w:szCs w:val="18"/>
          <w:lang w:val="en-GB"/>
        </w:rPr>
        <w:t xml:space="preserve"> See </w:t>
      </w:r>
      <w:hyperlink r:id="rId24" w:history="1">
        <w:r w:rsidRPr="00B742AA">
          <w:rPr>
            <w:rStyle w:val="Hyperlink"/>
            <w:rFonts w:cstheme="minorHAnsi"/>
            <w:bCs/>
            <w:szCs w:val="18"/>
            <w:lang w:val="en-GB"/>
          </w:rPr>
          <w:t>BGH Judgment of 16 February 2005 – VIII ZR 6/04</w:t>
        </w:r>
      </w:hyperlink>
      <w:r w:rsidRPr="00773CE9">
        <w:rPr>
          <w:rFonts w:cstheme="minorHAnsi"/>
          <w:bCs/>
          <w:szCs w:val="18"/>
          <w:lang w:val="en-GB"/>
        </w:rPr>
        <w:t>.</w:t>
      </w:r>
    </w:p>
  </w:footnote>
  <w:footnote w:id="110">
    <w:p w14:paraId="1ED34646" w14:textId="77777777" w:rsidR="004A5AEE" w:rsidRPr="00B541DE" w:rsidRDefault="004A5AEE" w:rsidP="004A5AEE">
      <w:pPr>
        <w:pStyle w:val="FootnoteText"/>
        <w:rPr>
          <w:lang w:val="en-GB"/>
        </w:rPr>
      </w:pPr>
      <w:r>
        <w:rPr>
          <w:rStyle w:val="FootnoteReference"/>
        </w:rPr>
        <w:footnoteRef/>
      </w:r>
      <w:r w:rsidRPr="00AA5876">
        <w:rPr>
          <w:lang w:val="en-GB"/>
        </w:rPr>
        <w:t xml:space="preserve"> </w:t>
      </w:r>
      <w:r w:rsidRPr="00B541DE">
        <w:rPr>
          <w:lang w:val="en-GB"/>
        </w:rPr>
        <w:t>According t</w:t>
      </w:r>
      <w:r w:rsidRPr="00AA5876">
        <w:rPr>
          <w:lang w:val="en-GB"/>
        </w:rPr>
        <w:t>o the ECSR, st</w:t>
      </w:r>
      <w:r w:rsidRPr="00B541DE">
        <w:rPr>
          <w:lang w:val="en-GB"/>
        </w:rPr>
        <w:t>ates</w:t>
      </w:r>
      <w:r>
        <w:rPr>
          <w:lang w:val="en-GB"/>
        </w:rPr>
        <w:t xml:space="preserve"> parties</w:t>
      </w:r>
      <w:r w:rsidRPr="00B541DE">
        <w:rPr>
          <w:lang w:val="en-GB"/>
        </w:rPr>
        <w:t xml:space="preserve"> enjoy a margin of appreciation </w:t>
      </w:r>
      <w:r>
        <w:rPr>
          <w:lang w:val="en-GB"/>
        </w:rPr>
        <w:t>i</w:t>
      </w:r>
      <w:r w:rsidRPr="00B541DE">
        <w:rPr>
          <w:lang w:val="en-GB"/>
        </w:rPr>
        <w:t xml:space="preserve">n </w:t>
      </w:r>
      <w:r>
        <w:rPr>
          <w:lang w:val="en-GB"/>
        </w:rPr>
        <w:t xml:space="preserve">their </w:t>
      </w:r>
      <w:r w:rsidRPr="00B541DE">
        <w:rPr>
          <w:lang w:val="en-GB"/>
        </w:rPr>
        <w:t>resource</w:t>
      </w:r>
      <w:r>
        <w:rPr>
          <w:lang w:val="en-GB"/>
        </w:rPr>
        <w:t xml:space="preserve"> allocation, but must strive to </w:t>
      </w:r>
      <w:r w:rsidRPr="00B541DE">
        <w:rPr>
          <w:lang w:val="en-GB"/>
        </w:rPr>
        <w:t xml:space="preserve">realise the rights enshrined </w:t>
      </w:r>
      <w:r>
        <w:rPr>
          <w:lang w:val="en-GB"/>
        </w:rPr>
        <w:t xml:space="preserve">in the revised Charter </w:t>
      </w:r>
      <w:r w:rsidRPr="00B541DE">
        <w:rPr>
          <w:lang w:val="en-GB"/>
        </w:rPr>
        <w:t>to the maximum of their available resources</w:t>
      </w:r>
      <w:r>
        <w:rPr>
          <w:lang w:val="en-GB"/>
        </w:rPr>
        <w:t xml:space="preserve">, </w:t>
      </w:r>
      <w:r w:rsidRPr="00B541DE">
        <w:rPr>
          <w:lang w:val="en-GB"/>
        </w:rPr>
        <w:t xml:space="preserve">ensuring steady progress </w:t>
      </w:r>
      <w:r>
        <w:rPr>
          <w:lang w:val="en-GB"/>
        </w:rPr>
        <w:t xml:space="preserve">and </w:t>
      </w:r>
      <w:r w:rsidRPr="00B541DE">
        <w:rPr>
          <w:lang w:val="en-GB"/>
        </w:rPr>
        <w:t>pay</w:t>
      </w:r>
      <w:r>
        <w:rPr>
          <w:lang w:val="en-GB"/>
        </w:rPr>
        <w:t>ing</w:t>
      </w:r>
      <w:r w:rsidRPr="00B541DE">
        <w:rPr>
          <w:lang w:val="en-GB"/>
        </w:rPr>
        <w:t xml:space="preserve"> close attention to the impact of the policies adopted on each of the categories of persons concerned, particularly the most vulnerable</w:t>
      </w:r>
      <w:r>
        <w:rPr>
          <w:lang w:val="en-GB"/>
        </w:rPr>
        <w:t>. See</w:t>
      </w:r>
      <w:r w:rsidRPr="00AA5876">
        <w:rPr>
          <w:rFonts w:ascii="Source Sans Pro" w:hAnsi="Source Sans Pro"/>
          <w:i/>
          <w:iCs/>
          <w:color w:val="2A2A2A"/>
          <w:sz w:val="23"/>
          <w:szCs w:val="23"/>
          <w:bdr w:val="none" w:sz="0" w:space="0" w:color="auto" w:frame="1"/>
          <w:shd w:val="clear" w:color="auto" w:fill="FFFFFF"/>
          <w:lang w:val="en-GB"/>
        </w:rPr>
        <w:t xml:space="preserve"> </w:t>
      </w:r>
      <w:hyperlink r:id="rId25" w:history="1">
        <w:r w:rsidRPr="00AA5876">
          <w:rPr>
            <w:rStyle w:val="Hyperlink"/>
            <w:i/>
            <w:iCs/>
            <w:lang w:val="en-GB"/>
          </w:rPr>
          <w:t>FEANTSA v Slovenia</w:t>
        </w:r>
        <w:r>
          <w:rPr>
            <w:rStyle w:val="Hyperlink"/>
            <w:i/>
            <w:iCs/>
            <w:lang w:val="en-GB"/>
          </w:rPr>
          <w:t>,</w:t>
        </w:r>
        <w:r w:rsidRPr="00AA5876">
          <w:rPr>
            <w:rStyle w:val="Hyperlink"/>
            <w:lang w:val="en-GB"/>
          </w:rPr>
          <w:t> Collective Complaint No 53/2008</w:t>
        </w:r>
      </w:hyperlink>
      <w:r w:rsidRPr="00AA5876">
        <w:rPr>
          <w:lang w:val="en-GB"/>
        </w:rPr>
        <w:t>.</w:t>
      </w:r>
    </w:p>
  </w:footnote>
  <w:footnote w:id="111">
    <w:p w14:paraId="2A3BBD54" w14:textId="77777777" w:rsidR="004A5AEE" w:rsidRPr="004465E9" w:rsidRDefault="004A5AEE" w:rsidP="004A5AEE">
      <w:pPr>
        <w:pStyle w:val="FootnoteText"/>
        <w:rPr>
          <w:lang w:val="en-GB"/>
        </w:rPr>
      </w:pPr>
      <w:r>
        <w:rPr>
          <w:rStyle w:val="FootnoteReference"/>
        </w:rPr>
        <w:footnoteRef/>
      </w:r>
      <w:r w:rsidRPr="00DA4818">
        <w:rPr>
          <w:lang w:val="en-US"/>
        </w:rPr>
        <w:t xml:space="preserve"> </w:t>
      </w:r>
      <w:r>
        <w:rPr>
          <w:lang w:val="en-GB"/>
        </w:rPr>
        <w:t xml:space="preserve">See also </w:t>
      </w:r>
      <w:hyperlink r:id="rId26" w:history="1">
        <w:r w:rsidRPr="00DA4818">
          <w:rPr>
            <w:rStyle w:val="Hyperlink"/>
            <w:i/>
            <w:iCs/>
            <w:lang w:val="en-US"/>
          </w:rPr>
          <w:t>The right to affordable housing: Europe’s neglected duty</w:t>
        </w:r>
      </w:hyperlink>
      <w:r w:rsidRPr="00DA4818">
        <w:rPr>
          <w:i/>
          <w:iCs/>
          <w:lang w:val="en-US"/>
        </w:rPr>
        <w:t xml:space="preserve">, </w:t>
      </w:r>
      <w:r w:rsidRPr="00DA4818">
        <w:rPr>
          <w:lang w:val="en-US"/>
        </w:rPr>
        <w:t xml:space="preserve">Commissioner for </w:t>
      </w:r>
      <w:r w:rsidRPr="00532624">
        <w:rPr>
          <w:lang w:val="en-GB"/>
        </w:rPr>
        <w:t>Human Rights, 23 January 2020</w:t>
      </w:r>
      <w:r w:rsidRPr="00DA4818">
        <w:rPr>
          <w:lang w:val="en-US"/>
        </w:rPr>
        <w:t>.</w:t>
      </w:r>
    </w:p>
  </w:footnote>
  <w:footnote w:id="112">
    <w:p w14:paraId="50DB0772" w14:textId="77777777" w:rsidR="004A5AEE" w:rsidRPr="00D22C50" w:rsidRDefault="004A5AEE" w:rsidP="004A5AEE">
      <w:pPr>
        <w:pStyle w:val="FootnoteText"/>
        <w:rPr>
          <w:lang w:val="en-GB"/>
        </w:rPr>
      </w:pPr>
      <w:r>
        <w:rPr>
          <w:rStyle w:val="FootnoteReference"/>
        </w:rPr>
        <w:footnoteRef/>
      </w:r>
      <w:r w:rsidRPr="00DA4818">
        <w:rPr>
          <w:lang w:val="en-US"/>
        </w:rPr>
        <w:t xml:space="preserve"> </w:t>
      </w:r>
      <w:r>
        <w:rPr>
          <w:lang w:val="en-GB"/>
        </w:rPr>
        <w:t xml:space="preserve">See </w:t>
      </w:r>
      <w:hyperlink r:id="rId27" w:history="1">
        <w:r w:rsidRPr="001A1A05">
          <w:rPr>
            <w:rStyle w:val="Hyperlink"/>
            <w:lang w:val="en-GB"/>
          </w:rPr>
          <w:t>Guidelines for the Implementation of the Right to Adequate Housing</w:t>
        </w:r>
      </w:hyperlink>
      <w:r>
        <w:rPr>
          <w:lang w:val="en-GB"/>
        </w:rPr>
        <w:t>,</w:t>
      </w:r>
      <w:r w:rsidRPr="00D22C50">
        <w:rPr>
          <w:lang w:val="en-GB"/>
        </w:rPr>
        <w:t xml:space="preserve"> Report of the Special Rapporteur on adequate housing as a component of the right to an adequate standard of living, and on the right to non-discrimination in this context</w:t>
      </w:r>
      <w:r>
        <w:rPr>
          <w:lang w:val="en-GB"/>
        </w:rPr>
        <w:t>, A/HRC/43/43, 26 December 2019.</w:t>
      </w:r>
      <w:r w:rsidR="004D1559">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2B5D" w14:textId="77777777" w:rsidR="00643875" w:rsidRDefault="00643875" w:rsidP="00643875">
    <w:pPr>
      <w:pStyle w:val="Header"/>
      <w:ind w:left="-851"/>
    </w:pPr>
    <w:r>
      <w:rPr>
        <w:noProof/>
      </w:rPr>
      <w:drawing>
        <wp:anchor distT="0" distB="0" distL="114300" distR="114300" simplePos="0" relativeHeight="251662336" behindDoc="0" locked="0" layoutInCell="1" allowOverlap="1" wp14:anchorId="18090917" wp14:editId="2DAE843C">
          <wp:simplePos x="0" y="0"/>
          <wp:positionH relativeFrom="column">
            <wp:posOffset>-184150</wp:posOffset>
          </wp:positionH>
          <wp:positionV relativeFrom="paragraph">
            <wp:posOffset>-253839</wp:posOffset>
          </wp:positionV>
          <wp:extent cx="6132195" cy="1304432"/>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2195" cy="1304432"/>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0" behindDoc="0" locked="1" layoutInCell="1" allowOverlap="1" wp14:anchorId="1B13B336" wp14:editId="5DCEE80C">
              <wp:simplePos x="0" y="0"/>
              <wp:positionH relativeFrom="margin">
                <wp:posOffset>-177800</wp:posOffset>
              </wp:positionH>
              <wp:positionV relativeFrom="topMargin">
                <wp:posOffset>340995</wp:posOffset>
              </wp:positionV>
              <wp:extent cx="2353945" cy="64135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641350"/>
                      </a:xfrm>
                      <a:prstGeom prst="rect">
                        <a:avLst/>
                      </a:prstGeom>
                      <a:noFill/>
                      <a:ln w="9525">
                        <a:noFill/>
                        <a:miter lim="800000"/>
                        <a:headEnd/>
                        <a:tailEnd/>
                      </a:ln>
                    </wps:spPr>
                    <wps:txbx>
                      <w:txbxContent>
                        <w:p w14:paraId="51BBC874" w14:textId="77777777" w:rsidR="00643875" w:rsidRPr="00D437C9" w:rsidRDefault="00C43A58" w:rsidP="00643875">
                          <w:pPr>
                            <w:ind w:left="142"/>
                            <w:jc w:val="left"/>
                            <w:rPr>
                              <w:rFonts w:asciiTheme="minorHAnsi" w:hAnsiTheme="minorHAnsi" w:cstheme="minorHAnsi"/>
                              <w:color w:val="1F497D" w:themeColor="text2"/>
                              <w:spacing w:val="20"/>
                              <w:sz w:val="40"/>
                              <w:szCs w:val="40"/>
                              <w:lang w:val="en-GB"/>
                            </w:rPr>
                          </w:pPr>
                          <w:r>
                            <w:rPr>
                              <w:rFonts w:asciiTheme="minorHAnsi" w:hAnsiTheme="minorHAnsi" w:cstheme="minorHAnsi"/>
                              <w:color w:val="1F497D" w:themeColor="text2"/>
                              <w:sz w:val="40"/>
                              <w:szCs w:val="40"/>
                              <w:lang w:val="en-GB"/>
                            </w:rPr>
                            <w:t>Country report</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13B336" id="_x0000_t202" coordsize="21600,21600" o:spt="202" path="m,l,21600r21600,l21600,xe">
              <v:stroke joinstyle="miter"/>
              <v:path gradientshapeok="t" o:connecttype="rect"/>
            </v:shapetype>
            <v:shape id="Text Box 7" o:spid="_x0000_s1026" type="#_x0000_t202" style="position:absolute;left:0;text-align:left;margin-left:-14pt;margin-top:26.85pt;width:185.35pt;height: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" filled="f" stroked="f">
              <v:textbox>
                <w:txbxContent>
                  <w:p w14:paraId="51BBC874" w14:textId="77777777" w:rsidR="00643875" w:rsidRPr="00D437C9" w:rsidRDefault="00C43A58" w:rsidP="00643875">
                    <w:pPr>
                      <w:ind w:left="142"/>
                      <w:jc w:val="left"/>
                      <w:rPr>
                        <w:rFonts w:asciiTheme="minorHAnsi" w:hAnsiTheme="minorHAnsi" w:cstheme="minorHAnsi"/>
                        <w:color w:val="1F497D" w:themeColor="text2"/>
                        <w:spacing w:val="20"/>
                        <w:sz w:val="40"/>
                        <w:szCs w:val="40"/>
                        <w:lang w:val="en-GB"/>
                      </w:rPr>
                    </w:pPr>
                    <w:r>
                      <w:rPr>
                        <w:rFonts w:asciiTheme="minorHAnsi" w:hAnsiTheme="minorHAnsi" w:cstheme="minorHAnsi"/>
                        <w:color w:val="1F497D" w:themeColor="text2"/>
                        <w:sz w:val="40"/>
                        <w:szCs w:val="40"/>
                        <w:lang w:val="en-GB"/>
                      </w:rPr>
                      <w:t>Country report</w:t>
                    </w:r>
                  </w:p>
                </w:txbxContent>
              </v:textbox>
              <w10:wrap anchorx="margin" anchory="margin"/>
              <w10:anchorlock/>
            </v:shape>
          </w:pict>
        </mc:Fallback>
      </mc:AlternateContent>
    </w:r>
  </w:p>
  <w:p w14:paraId="2E9A5D3D" w14:textId="77777777" w:rsidR="00643875" w:rsidRDefault="00643875" w:rsidP="00643875">
    <w:pPr>
      <w:pStyle w:val="Header"/>
      <w:ind w:left="-851"/>
    </w:pPr>
  </w:p>
  <w:p w14:paraId="72F7A774" w14:textId="77777777" w:rsidR="00643875" w:rsidRDefault="00643875" w:rsidP="00643875">
    <w:pPr>
      <w:pStyle w:val="Header"/>
      <w:ind w:left="-851"/>
    </w:pPr>
  </w:p>
  <w:p w14:paraId="21DFF31F" w14:textId="77777777" w:rsidR="00643875" w:rsidRDefault="00643875" w:rsidP="00643875">
    <w:pPr>
      <w:pStyle w:val="Header"/>
      <w:ind w:left="-851"/>
    </w:pPr>
  </w:p>
  <w:p w14:paraId="277EA7FB" w14:textId="77777777" w:rsidR="00643875" w:rsidRDefault="00643875" w:rsidP="00643875">
    <w:pPr>
      <w:pStyle w:val="Header"/>
      <w:ind w:left="-851"/>
    </w:pPr>
  </w:p>
  <w:p w14:paraId="40FF191B" w14:textId="77777777" w:rsidR="00643875" w:rsidRDefault="00643875" w:rsidP="00643875">
    <w:pPr>
      <w:pStyle w:val="Header"/>
      <w:ind w:left="-851"/>
    </w:pPr>
  </w:p>
  <w:p w14:paraId="1573013F" w14:textId="77777777" w:rsidR="00643875" w:rsidRDefault="00643875" w:rsidP="00643875">
    <w:pPr>
      <w:pStyle w:val="Header"/>
      <w:ind w:left="-851"/>
    </w:pPr>
  </w:p>
  <w:p w14:paraId="78037898" w14:textId="77777777" w:rsidR="00643875" w:rsidRDefault="00643875" w:rsidP="00643875">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A70E8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90505"/>
    <w:multiLevelType w:val="hybridMultilevel"/>
    <w:tmpl w:val="E07E061A"/>
    <w:lvl w:ilvl="0" w:tplc="FFFFFFFF">
      <w:start w:val="1"/>
      <w:numFmt w:val="ideographDigital"/>
      <w:lvlText w:val=""/>
      <w:lvlJc w:val="left"/>
    </w:lvl>
    <w:lvl w:ilvl="1" w:tplc="040C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C092C"/>
    <w:multiLevelType w:val="hybridMultilevel"/>
    <w:tmpl w:val="B9C2EB52"/>
    <w:lvl w:ilvl="0" w:tplc="56C07BDA">
      <w:numFmt w:val="bullet"/>
      <w:lvlText w:val="-"/>
      <w:lvlJc w:val="left"/>
      <w:pPr>
        <w:ind w:left="720" w:hanging="360"/>
      </w:pPr>
      <w:rPr>
        <w:rFonts w:ascii="Arial" w:eastAsiaTheme="minorEastAsia" w:hAnsi="Arial" w:cs="Arial" w:hint="default"/>
        <w:lang w:val="tr-TR"/>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1113"/>
    <w:multiLevelType w:val="hybridMultilevel"/>
    <w:tmpl w:val="50F8C15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7F0F2E"/>
    <w:multiLevelType w:val="hybridMultilevel"/>
    <w:tmpl w:val="FDA8BE74"/>
    <w:lvl w:ilvl="0" w:tplc="0774690C">
      <w:numFmt w:val="bullet"/>
      <w:lvlText w:val="-"/>
      <w:lvlJc w:val="left"/>
      <w:pPr>
        <w:ind w:left="720" w:hanging="360"/>
      </w:pPr>
      <w:rPr>
        <w:rFonts w:ascii="Times New Roman" w:eastAsia="Times New Roman" w:hAnsi="Times New Roman" w:cs="Times New Roman" w:hint="default"/>
        <w:color w:val="0960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F52EB0"/>
    <w:multiLevelType w:val="multilevel"/>
    <w:tmpl w:val="047427F6"/>
    <w:lvl w:ilvl="0">
      <w:start w:val="1"/>
      <w:numFmt w:val="decimal"/>
      <w:lvlText w:val="%1"/>
      <w:lvlJc w:val="left"/>
      <w:pPr>
        <w:ind w:left="357" w:hanging="357"/>
      </w:pPr>
      <w:rPr>
        <w:rFonts w:hint="default"/>
      </w:rPr>
    </w:lvl>
    <w:lvl w:ilvl="1">
      <w:start w:val="1"/>
      <w:numFmt w:val="decimal"/>
      <w:suff w:val="space"/>
      <w:lvlText w:val="%1.%2"/>
      <w:lvlJc w:val="left"/>
      <w:pPr>
        <w:ind w:left="357" w:hanging="357"/>
      </w:pPr>
      <w:rPr>
        <w:rFonts w:hint="default"/>
        <w:lang w:val="en-US"/>
      </w:rPr>
    </w:lvl>
    <w:lvl w:ilvl="2">
      <w:start w:val="1"/>
      <w:numFmt w:val="decimal"/>
      <w:lvlText w:val="%1.%2.%3"/>
      <w:lvlJc w:val="left"/>
      <w:pPr>
        <w:ind w:left="357" w:hanging="357"/>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b w:val="0"/>
        <w:bCs w:val="0"/>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20E9481B"/>
    <w:multiLevelType w:val="hybridMultilevel"/>
    <w:tmpl w:val="3F96DD1C"/>
    <w:lvl w:ilvl="0" w:tplc="F95CD46E">
      <w:start w:val="1"/>
      <w:numFmt w:val="decimal"/>
      <w:pStyle w:val="ListParagraph"/>
      <w:lvlText w:val="%1."/>
      <w:lvlJc w:val="right"/>
      <w:pPr>
        <w:tabs>
          <w:tab w:val="num" w:pos="567"/>
        </w:tabs>
        <w:ind w:left="0" w:firstLine="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41FB1"/>
    <w:multiLevelType w:val="multilevel"/>
    <w:tmpl w:val="001C9F8A"/>
    <w:lvl w:ilvl="0">
      <w:start w:val="1"/>
      <w:numFmt w:val="decimal"/>
      <w:lvlText w:val="%1."/>
      <w:lvlJc w:val="left"/>
      <w:pPr>
        <w:ind w:left="360" w:hanging="360"/>
      </w:pPr>
      <w:rPr>
        <w:rFonts w:hint="default"/>
        <w:b/>
        <w:bCs w:val="0"/>
        <w:i w:val="0"/>
        <w:color w:val="BD8D21"/>
      </w:rPr>
    </w:lvl>
    <w:lvl w:ilvl="1">
      <w:start w:val="1"/>
      <w:numFmt w:val="decimal"/>
      <w:isLgl/>
      <w:lvlText w:val="%1.%2."/>
      <w:lvlJc w:val="left"/>
      <w:pPr>
        <w:ind w:left="720" w:hanging="720"/>
      </w:pPr>
      <w:rPr>
        <w:rFonts w:hint="default"/>
        <w:color w:val="1F497D" w:themeColor="text2"/>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23A525F2"/>
    <w:multiLevelType w:val="hybridMultilevel"/>
    <w:tmpl w:val="7804C7B0"/>
    <w:lvl w:ilvl="0" w:tplc="9D229840">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881AEC"/>
    <w:multiLevelType w:val="hybridMultilevel"/>
    <w:tmpl w:val="CCF0D358"/>
    <w:lvl w:ilvl="0" w:tplc="34D2CEC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7A945E1"/>
    <w:multiLevelType w:val="hybridMultilevel"/>
    <w:tmpl w:val="48D0E416"/>
    <w:lvl w:ilvl="0" w:tplc="07E434F6">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1" w15:restartNumberingAfterBreak="0">
    <w:nsid w:val="287376C9"/>
    <w:multiLevelType w:val="hybridMultilevel"/>
    <w:tmpl w:val="CC103654"/>
    <w:lvl w:ilvl="0" w:tplc="987426AA">
      <w:start w:val="1"/>
      <w:numFmt w:val="decimal"/>
      <w:lvlText w:val="%1."/>
      <w:lvlJc w:val="left"/>
      <w:pPr>
        <w:ind w:left="720" w:hanging="360"/>
      </w:pPr>
      <w:rPr>
        <w:rFonts w:asciiTheme="minorHAnsi" w:hAnsiTheme="minorHAnsi" w:cstheme="minorHAnsi"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7B1F7A"/>
    <w:multiLevelType w:val="multilevel"/>
    <w:tmpl w:val="4EBACBAE"/>
    <w:styleLink w:val="Headings"/>
    <w:lvl w:ilvl="0">
      <w:start w:val="1"/>
      <w:numFmt w:val="decimal"/>
      <w:lvlText w:val="%1."/>
      <w:lvlJc w:val="left"/>
      <w:pPr>
        <w:ind w:left="360" w:hanging="360"/>
      </w:pPr>
      <w:rPr>
        <w:rFonts w:ascii="Arial" w:hAnsi="Arial" w:hint="default"/>
        <w:b/>
        <w:i w:val="0"/>
        <w:sz w:val="28"/>
      </w:rPr>
    </w:lvl>
    <w:lvl w:ilvl="1">
      <w:start w:val="1"/>
      <w:numFmt w:val="decimal"/>
      <w:lvlText w:val="%2.%1."/>
      <w:lvlJc w:val="left"/>
      <w:pPr>
        <w:ind w:left="792" w:hanging="432"/>
      </w:pPr>
      <w:rPr>
        <w:rFonts w:ascii="Arial" w:hAnsi="Arial" w:hint="default"/>
        <w:b/>
        <w:i w:val="0"/>
        <w:sz w:val="24"/>
      </w:rPr>
    </w:lvl>
    <w:lvl w:ilvl="2">
      <w:start w:val="1"/>
      <w:numFmt w:val="decimal"/>
      <w:lvlText w:val="%2.%1.%3."/>
      <w:lvlJc w:val="left"/>
      <w:pPr>
        <w:ind w:left="1224" w:hanging="504"/>
      </w:pPr>
      <w:rPr>
        <w:rFonts w:hint="default"/>
      </w:rPr>
    </w:lvl>
    <w:lvl w:ilvl="3">
      <w:start w:val="1"/>
      <w:numFmt w:val="decimal"/>
      <w:lvlText w:val="%3.%1.%2.%4."/>
      <w:lvlJc w:val="left"/>
      <w:pPr>
        <w:ind w:left="1728" w:hanging="648"/>
      </w:pPr>
      <w:rPr>
        <w:rFonts w:hint="default"/>
      </w:rPr>
    </w:lvl>
    <w:lvl w:ilvl="4">
      <w:start w:val="1"/>
      <w:numFmt w:val="decimal"/>
      <w:lvlText w:val="%4.%1.%2.%3.%5."/>
      <w:lvlJc w:val="left"/>
      <w:pPr>
        <w:ind w:left="2232" w:hanging="792"/>
      </w:pPr>
      <w:rPr>
        <w:rFonts w:hint="default"/>
      </w:rPr>
    </w:lvl>
    <w:lvl w:ilvl="5">
      <w:start w:val="1"/>
      <w:numFmt w:val="decimal"/>
      <w:lvlText w:val="%5.%1.%2.%3.%4.%6."/>
      <w:lvlJc w:val="left"/>
      <w:pPr>
        <w:ind w:left="2736" w:hanging="936"/>
      </w:pPr>
      <w:rPr>
        <w:rFonts w:hint="default"/>
      </w:rPr>
    </w:lvl>
    <w:lvl w:ilvl="6">
      <w:start w:val="1"/>
      <w:numFmt w:val="decimal"/>
      <w:lvlText w:val="%6.%1.%2.%3.%4.%5.%7."/>
      <w:lvlJc w:val="left"/>
      <w:pPr>
        <w:ind w:left="3240" w:hanging="1080"/>
      </w:pPr>
      <w:rPr>
        <w:rFonts w:hint="default"/>
      </w:rPr>
    </w:lvl>
    <w:lvl w:ilvl="7">
      <w:start w:val="1"/>
      <w:numFmt w:val="decimal"/>
      <w:lvlText w:val="%7.%1.%2.%3.%4.%5.%6.%8."/>
      <w:lvlJc w:val="left"/>
      <w:pPr>
        <w:ind w:left="3744" w:hanging="1224"/>
      </w:pPr>
      <w:rPr>
        <w:rFonts w:hint="default"/>
      </w:rPr>
    </w:lvl>
    <w:lvl w:ilvl="8">
      <w:start w:val="1"/>
      <w:numFmt w:val="decimal"/>
      <w:lvlText w:val="%8.%1.%2.%3.%4.%5.%6.%7.%9."/>
      <w:lvlJc w:val="left"/>
      <w:pPr>
        <w:ind w:left="4320" w:hanging="1440"/>
      </w:pPr>
      <w:rPr>
        <w:rFonts w:hint="default"/>
      </w:rPr>
    </w:lvl>
  </w:abstractNum>
  <w:abstractNum w:abstractNumId="13" w15:restartNumberingAfterBreak="0">
    <w:nsid w:val="2DED1AD4"/>
    <w:multiLevelType w:val="hybridMultilevel"/>
    <w:tmpl w:val="BC602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A458C"/>
    <w:multiLevelType w:val="hybridMultilevel"/>
    <w:tmpl w:val="669CC71C"/>
    <w:lvl w:ilvl="0" w:tplc="06589D40">
      <w:start w:val="1"/>
      <w:numFmt w:val="decimal"/>
      <w:lvlText w:val="%1."/>
      <w:lvlJc w:val="left"/>
      <w:pPr>
        <w:ind w:left="502" w:hanging="360"/>
      </w:pPr>
      <w:rPr>
        <w:rFonts w:hint="default"/>
        <w:i w:val="0"/>
        <w:color w:val="0960BF"/>
        <w:sz w:val="20"/>
        <w:szCs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D97C73"/>
    <w:multiLevelType w:val="hybridMultilevel"/>
    <w:tmpl w:val="9BB276CE"/>
    <w:lvl w:ilvl="0" w:tplc="B96854E4">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47C5805"/>
    <w:multiLevelType w:val="hybridMultilevel"/>
    <w:tmpl w:val="5A04B1B2"/>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7056AC"/>
    <w:multiLevelType w:val="hybridMultilevel"/>
    <w:tmpl w:val="478E84C8"/>
    <w:lvl w:ilvl="0" w:tplc="5C5A845C">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E03E6C"/>
    <w:multiLevelType w:val="hybridMultilevel"/>
    <w:tmpl w:val="ED9C2C4E"/>
    <w:lvl w:ilvl="0" w:tplc="8F08B12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28372C"/>
    <w:multiLevelType w:val="hybridMultilevel"/>
    <w:tmpl w:val="00288108"/>
    <w:lvl w:ilvl="0" w:tplc="9BE426A8">
      <w:start w:val="1"/>
      <w:numFmt w:val="decimal"/>
      <w:lvlText w:val="%1."/>
      <w:lvlJc w:val="left"/>
      <w:pPr>
        <w:ind w:left="644" w:hanging="360"/>
      </w:pPr>
      <w:rPr>
        <w:b w:val="0"/>
        <w:lang w:val="en-US"/>
      </w:rPr>
    </w:lvl>
    <w:lvl w:ilvl="1" w:tplc="040C0019">
      <w:start w:val="1"/>
      <w:numFmt w:val="lowerLetter"/>
      <w:lvlText w:val="%2."/>
      <w:lvlJc w:val="left"/>
      <w:pPr>
        <w:ind w:left="2728" w:hanging="360"/>
      </w:pPr>
    </w:lvl>
    <w:lvl w:ilvl="2" w:tplc="040C001B" w:tentative="1">
      <w:start w:val="1"/>
      <w:numFmt w:val="lowerRoman"/>
      <w:lvlText w:val="%3."/>
      <w:lvlJc w:val="right"/>
      <w:pPr>
        <w:ind w:left="3448" w:hanging="180"/>
      </w:pPr>
    </w:lvl>
    <w:lvl w:ilvl="3" w:tplc="040C000F" w:tentative="1">
      <w:start w:val="1"/>
      <w:numFmt w:val="decimal"/>
      <w:lvlText w:val="%4."/>
      <w:lvlJc w:val="left"/>
      <w:pPr>
        <w:ind w:left="4168" w:hanging="360"/>
      </w:pPr>
    </w:lvl>
    <w:lvl w:ilvl="4" w:tplc="040C0019" w:tentative="1">
      <w:start w:val="1"/>
      <w:numFmt w:val="lowerLetter"/>
      <w:lvlText w:val="%5."/>
      <w:lvlJc w:val="left"/>
      <w:pPr>
        <w:ind w:left="4888" w:hanging="360"/>
      </w:pPr>
    </w:lvl>
    <w:lvl w:ilvl="5" w:tplc="040C001B" w:tentative="1">
      <w:start w:val="1"/>
      <w:numFmt w:val="lowerRoman"/>
      <w:lvlText w:val="%6."/>
      <w:lvlJc w:val="right"/>
      <w:pPr>
        <w:ind w:left="5608" w:hanging="180"/>
      </w:pPr>
    </w:lvl>
    <w:lvl w:ilvl="6" w:tplc="040C000F" w:tentative="1">
      <w:start w:val="1"/>
      <w:numFmt w:val="decimal"/>
      <w:lvlText w:val="%7."/>
      <w:lvlJc w:val="left"/>
      <w:pPr>
        <w:ind w:left="6328" w:hanging="360"/>
      </w:pPr>
    </w:lvl>
    <w:lvl w:ilvl="7" w:tplc="040C0019" w:tentative="1">
      <w:start w:val="1"/>
      <w:numFmt w:val="lowerLetter"/>
      <w:lvlText w:val="%8."/>
      <w:lvlJc w:val="left"/>
      <w:pPr>
        <w:ind w:left="7048" w:hanging="360"/>
      </w:pPr>
    </w:lvl>
    <w:lvl w:ilvl="8" w:tplc="040C001B" w:tentative="1">
      <w:start w:val="1"/>
      <w:numFmt w:val="lowerRoman"/>
      <w:lvlText w:val="%9."/>
      <w:lvlJc w:val="right"/>
      <w:pPr>
        <w:ind w:left="7768" w:hanging="180"/>
      </w:pPr>
    </w:lvl>
  </w:abstractNum>
  <w:abstractNum w:abstractNumId="20" w15:restartNumberingAfterBreak="0">
    <w:nsid w:val="65193DCF"/>
    <w:multiLevelType w:val="hybridMultilevel"/>
    <w:tmpl w:val="AFE69E7A"/>
    <w:lvl w:ilvl="0" w:tplc="3E90756A">
      <w:start w:val="1"/>
      <w:numFmt w:val="decimal"/>
      <w:lvlText w:val="%1."/>
      <w:lvlJc w:val="right"/>
      <w:pPr>
        <w:tabs>
          <w:tab w:val="num" w:pos="567"/>
        </w:tabs>
        <w:ind w:left="0" w:firstLine="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32595446">
    <w:abstractNumId w:val="12"/>
  </w:num>
  <w:num w:numId="2" w16cid:durableId="1181700453">
    <w:abstractNumId w:val="6"/>
  </w:num>
  <w:num w:numId="3" w16cid:durableId="391084093">
    <w:abstractNumId w:val="5"/>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65" w:hanging="4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suff w:val="space"/>
        <w:lvlText w:val="%1.%2.%3"/>
        <w:lvlJc w:val="left"/>
        <w:pPr>
          <w:ind w:left="1304" w:hanging="5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suff w:val="space"/>
        <w:lvlText w:val="%1.%2.%3.%4"/>
        <w:lvlJc w:val="left"/>
        <w:pPr>
          <w:ind w:left="1428"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suff w:val="space"/>
        <w:lvlText w:val="%1.%2.%3.%4.%5."/>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suff w:val="space"/>
        <w:lvlText w:val="%1.%2.%3.%4.%5.%6."/>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suff w:val="space"/>
        <w:lvlText w:val="%1.%2.%3.%4.%5.%6.%7."/>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decimal"/>
        <w:suff w:val="space"/>
        <w:lvlText w:val="%1.%2.%3.%4.%5.%6.%7.%8."/>
        <w:lvlJc w:val="left"/>
        <w:pPr>
          <w:ind w:left="1429" w:hanging="357"/>
        </w:pPr>
        <w:rPr>
          <w:rFonts w:hint="default"/>
        </w:rPr>
      </w:lvl>
    </w:lvlOverride>
    <w:lvlOverride w:ilvl="8">
      <w:lvl w:ilvl="8">
        <w:start w:val="1"/>
        <w:numFmt w:val="decimal"/>
        <w:suff w:val="space"/>
        <w:lvlText w:val="%1.%2.%3.%4.%5.%6.%7.%8.%9."/>
        <w:lvlJc w:val="left"/>
        <w:pPr>
          <w:ind w:left="1429" w:hanging="357"/>
        </w:pPr>
        <w:rPr>
          <w:rFonts w:hint="default"/>
        </w:rPr>
      </w:lvl>
    </w:lvlOverride>
  </w:num>
  <w:num w:numId="4" w16cid:durableId="1048530616">
    <w:abstractNumId w:val="14"/>
  </w:num>
  <w:num w:numId="5" w16cid:durableId="1149402465">
    <w:abstractNumId w:val="8"/>
  </w:num>
  <w:num w:numId="6" w16cid:durableId="1600521921">
    <w:abstractNumId w:val="4"/>
  </w:num>
  <w:num w:numId="7" w16cid:durableId="54399871">
    <w:abstractNumId w:val="2"/>
  </w:num>
  <w:num w:numId="8" w16cid:durableId="1135222400">
    <w:abstractNumId w:val="10"/>
  </w:num>
  <w:num w:numId="9" w16cid:durableId="716515617">
    <w:abstractNumId w:val="3"/>
  </w:num>
  <w:num w:numId="10" w16cid:durableId="89619533">
    <w:abstractNumId w:val="19"/>
  </w:num>
  <w:num w:numId="11" w16cid:durableId="1243366954">
    <w:abstractNumId w:val="5"/>
  </w:num>
  <w:num w:numId="12" w16cid:durableId="1313680110">
    <w:abstractNumId w:val="6"/>
    <w:lvlOverride w:ilvl="0">
      <w:startOverride w:val="200"/>
    </w:lvlOverride>
  </w:num>
  <w:num w:numId="13" w16cid:durableId="145978722">
    <w:abstractNumId w:val="6"/>
    <w:lvlOverride w:ilvl="0">
      <w:startOverride w:val="99"/>
    </w:lvlOverride>
  </w:num>
  <w:num w:numId="14" w16cid:durableId="545915094">
    <w:abstractNumId w:val="15"/>
  </w:num>
  <w:num w:numId="15" w16cid:durableId="465124253">
    <w:abstractNumId w:val="5"/>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tabs>
            <w:tab w:val="num" w:pos="765"/>
          </w:tabs>
          <w:ind w:left="765" w:hanging="408"/>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765"/>
          </w:tabs>
          <w:ind w:left="1304" w:hanging="59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765"/>
          </w:tabs>
          <w:ind w:left="1428"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suff w:val="space"/>
        <w:lvlText w:val="%1.%2.%3.%4.%5."/>
        <w:lvlJc w:val="left"/>
        <w:pPr>
          <w:ind w:left="1429"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decimal"/>
        <w:suff w:val="space"/>
        <w:lvlText w:val="%1.%2.%3.%4.%5.%6."/>
        <w:lvlJc w:val="left"/>
        <w:pPr>
          <w:ind w:left="1429"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6">
      <w:lvl w:ilvl="6">
        <w:start w:val="1"/>
        <w:numFmt w:val="decimal"/>
        <w:suff w:val="space"/>
        <w:lvlText w:val="%1.%2.%3.%4.%5.%6.%7."/>
        <w:lvlJc w:val="left"/>
        <w:pPr>
          <w:ind w:left="1429"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7">
      <w:lvl w:ilvl="7">
        <w:start w:val="1"/>
        <w:numFmt w:val="decimal"/>
        <w:suff w:val="space"/>
        <w:lvlText w:val="%1.%2.%3.%4.%5.%6.%7.%8."/>
        <w:lvlJc w:val="left"/>
        <w:pPr>
          <w:ind w:left="1429" w:hanging="357"/>
        </w:pPr>
        <w:rPr>
          <w:rFonts w:hint="default"/>
        </w:rPr>
      </w:lvl>
    </w:lvlOverride>
    <w:lvlOverride w:ilvl="8">
      <w:lvl w:ilvl="8">
        <w:start w:val="1"/>
        <w:numFmt w:val="decimal"/>
        <w:suff w:val="space"/>
        <w:lvlText w:val="%1.%2.%3.%4.%5.%6.%7.%8.%9."/>
        <w:lvlJc w:val="left"/>
        <w:pPr>
          <w:ind w:left="1429" w:hanging="357"/>
        </w:pPr>
        <w:rPr>
          <w:rFonts w:hint="default"/>
        </w:rPr>
      </w:lvl>
    </w:lvlOverride>
  </w:num>
  <w:num w:numId="16" w16cid:durableId="1107043662">
    <w:abstractNumId w:val="16"/>
  </w:num>
  <w:num w:numId="17" w16cid:durableId="459033549">
    <w:abstractNumId w:val="18"/>
  </w:num>
  <w:num w:numId="18" w16cid:durableId="1359432821">
    <w:abstractNumId w:val="7"/>
  </w:num>
  <w:num w:numId="19" w16cid:durableId="336461831">
    <w:abstractNumId w:val="17"/>
  </w:num>
  <w:num w:numId="20" w16cid:durableId="168524062">
    <w:abstractNumId w:val="6"/>
    <w:lvlOverride w:ilvl="0">
      <w:startOverride w:val="1"/>
    </w:lvlOverride>
  </w:num>
  <w:num w:numId="21" w16cid:durableId="187184754">
    <w:abstractNumId w:val="6"/>
    <w:lvlOverride w:ilvl="0">
      <w:startOverride w:val="1"/>
    </w:lvlOverride>
  </w:num>
  <w:num w:numId="22" w16cid:durableId="17370464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6851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5313285">
    <w:abstractNumId w:val="5"/>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65" w:hanging="408"/>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suff w:val="space"/>
        <w:lvlText w:val="%1.%2.%3"/>
        <w:lvlJc w:val="left"/>
        <w:pPr>
          <w:ind w:left="1304" w:hanging="5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suff w:val="space"/>
        <w:lvlText w:val="%1.%2.%3.%4"/>
        <w:lvlJc w:val="left"/>
        <w:pPr>
          <w:ind w:left="1428"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suff w:val="space"/>
        <w:lvlText w:val="%1.%2.%3.%4.%5."/>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suff w:val="space"/>
        <w:lvlText w:val="%1.%2.%3.%4.%5.%6."/>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suff w:val="space"/>
        <w:lvlText w:val="%1.%2.%3.%4.%5.%6.%7."/>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decimal"/>
        <w:suff w:val="space"/>
        <w:lvlText w:val="%1.%2.%3.%4.%5.%6.%7.%8."/>
        <w:lvlJc w:val="left"/>
        <w:pPr>
          <w:ind w:left="1429" w:hanging="357"/>
        </w:pPr>
        <w:rPr>
          <w:rFonts w:hint="default"/>
        </w:rPr>
      </w:lvl>
    </w:lvlOverride>
    <w:lvlOverride w:ilvl="8">
      <w:lvl w:ilvl="8">
        <w:start w:val="1"/>
        <w:numFmt w:val="decimal"/>
        <w:suff w:val="space"/>
        <w:lvlText w:val="%1.%2.%3.%4.%5.%6.%7.%8.%9."/>
        <w:lvlJc w:val="left"/>
        <w:pPr>
          <w:ind w:left="1429" w:hanging="357"/>
        </w:pPr>
        <w:rPr>
          <w:rFonts w:hint="default"/>
        </w:rPr>
      </w:lvl>
    </w:lvlOverride>
  </w:num>
  <w:num w:numId="25" w16cid:durableId="491533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2428004">
    <w:abstractNumId w:val="11"/>
  </w:num>
  <w:num w:numId="27" w16cid:durableId="1324695480">
    <w:abstractNumId w:val="9"/>
  </w:num>
  <w:num w:numId="28" w16cid:durableId="1526334768">
    <w:abstractNumId w:val="6"/>
    <w:lvlOverride w:ilvl="0">
      <w:startOverride w:val="1"/>
    </w:lvlOverride>
  </w:num>
  <w:num w:numId="29" w16cid:durableId="1291932543">
    <w:abstractNumId w:val="6"/>
    <w:lvlOverride w:ilvl="0">
      <w:startOverride w:val="1"/>
    </w:lvlOverride>
  </w:num>
  <w:num w:numId="30" w16cid:durableId="1893930182">
    <w:abstractNumId w:val="6"/>
    <w:lvlOverride w:ilvl="0">
      <w:startOverride w:val="1"/>
    </w:lvlOverride>
  </w:num>
  <w:num w:numId="31" w16cid:durableId="508183652">
    <w:abstractNumId w:val="6"/>
    <w:lvlOverride w:ilvl="0">
      <w:startOverride w:val="1"/>
    </w:lvlOverride>
  </w:num>
  <w:num w:numId="32" w16cid:durableId="478965346">
    <w:abstractNumId w:val="6"/>
    <w:lvlOverride w:ilvl="0">
      <w:startOverride w:val="1"/>
    </w:lvlOverride>
  </w:num>
  <w:num w:numId="33" w16cid:durableId="1451897498">
    <w:abstractNumId w:val="6"/>
    <w:lvlOverride w:ilvl="0">
      <w:startOverride w:val="1"/>
    </w:lvlOverride>
  </w:num>
  <w:num w:numId="34" w16cid:durableId="1923642509">
    <w:abstractNumId w:val="6"/>
    <w:lvlOverride w:ilvl="0">
      <w:startOverride w:val="1"/>
    </w:lvlOverride>
  </w:num>
  <w:num w:numId="35" w16cid:durableId="1048728299">
    <w:abstractNumId w:val="6"/>
    <w:lvlOverride w:ilvl="0">
      <w:startOverride w:val="1"/>
    </w:lvlOverride>
  </w:num>
  <w:num w:numId="36" w16cid:durableId="1740010618">
    <w:abstractNumId w:val="6"/>
    <w:lvlOverride w:ilvl="0">
      <w:startOverride w:val="1"/>
    </w:lvlOverride>
  </w:num>
  <w:num w:numId="37" w16cid:durableId="1119254646">
    <w:abstractNumId w:val="6"/>
    <w:lvlOverride w:ilvl="0">
      <w:startOverride w:val="1"/>
    </w:lvlOverride>
  </w:num>
  <w:num w:numId="38" w16cid:durableId="300186277">
    <w:abstractNumId w:val="6"/>
    <w:lvlOverride w:ilvl="0">
      <w:startOverride w:val="1"/>
    </w:lvlOverride>
  </w:num>
  <w:num w:numId="39" w16cid:durableId="139619703">
    <w:abstractNumId w:val="6"/>
    <w:lvlOverride w:ilvl="0">
      <w:startOverride w:val="1"/>
    </w:lvlOverride>
  </w:num>
  <w:num w:numId="40" w16cid:durableId="579799154">
    <w:abstractNumId w:val="6"/>
    <w:lvlOverride w:ilvl="0">
      <w:startOverride w:val="1"/>
    </w:lvlOverride>
  </w:num>
  <w:num w:numId="41" w16cid:durableId="352803684">
    <w:abstractNumId w:val="6"/>
    <w:lvlOverride w:ilvl="0">
      <w:startOverride w:val="1"/>
    </w:lvlOverride>
  </w:num>
  <w:num w:numId="42" w16cid:durableId="1969243445">
    <w:abstractNumId w:val="6"/>
    <w:lvlOverride w:ilvl="0">
      <w:startOverride w:val="1"/>
    </w:lvlOverride>
  </w:num>
  <w:num w:numId="43" w16cid:durableId="1899853872">
    <w:abstractNumId w:val="0"/>
  </w:num>
  <w:num w:numId="44" w16cid:durableId="595092721">
    <w:abstractNumId w:val="6"/>
    <w:lvlOverride w:ilvl="0">
      <w:startOverride w:val="1"/>
    </w:lvlOverride>
  </w:num>
  <w:num w:numId="45" w16cid:durableId="250548682">
    <w:abstractNumId w:val="6"/>
    <w:lvlOverride w:ilvl="0">
      <w:startOverride w:val="1"/>
    </w:lvlOverride>
  </w:num>
  <w:num w:numId="46" w16cid:durableId="611018840">
    <w:abstractNumId w:val="1"/>
  </w:num>
  <w:num w:numId="47" w16cid:durableId="882671339">
    <w:abstractNumId w:val="5"/>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65" w:hanging="408"/>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suff w:val="space"/>
        <w:lvlText w:val="%1.%2.%3"/>
        <w:lvlJc w:val="left"/>
        <w:pPr>
          <w:ind w:left="1304" w:hanging="5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suff w:val="space"/>
        <w:lvlText w:val="%1.%2.%3.%4"/>
        <w:lvlJc w:val="left"/>
        <w:pPr>
          <w:ind w:left="1428"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suff w:val="space"/>
        <w:lvlText w:val="%1.%2.%3.%4.%5."/>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suff w:val="space"/>
        <w:lvlText w:val="%1.%2.%3.%4.%5.%6."/>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suff w:val="space"/>
        <w:lvlText w:val="%1.%2.%3.%4.%5.%6.%7."/>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decimal"/>
        <w:suff w:val="space"/>
        <w:lvlText w:val="%1.%2.%3.%4.%5.%6.%7.%8."/>
        <w:lvlJc w:val="left"/>
        <w:pPr>
          <w:ind w:left="1429" w:hanging="357"/>
        </w:pPr>
        <w:rPr>
          <w:rFonts w:hint="default"/>
        </w:rPr>
      </w:lvl>
    </w:lvlOverride>
    <w:lvlOverride w:ilvl="8">
      <w:lvl w:ilvl="8">
        <w:start w:val="1"/>
        <w:numFmt w:val="decimal"/>
        <w:suff w:val="space"/>
        <w:lvlText w:val="%1.%2.%3.%4.%5.%6.%7.%8.%9."/>
        <w:lvlJc w:val="left"/>
        <w:pPr>
          <w:ind w:left="1429" w:hanging="357"/>
        </w:pPr>
        <w:rPr>
          <w:rFonts w:hint="default"/>
        </w:rPr>
      </w:lvl>
    </w:lvlOverride>
  </w:num>
  <w:num w:numId="48" w16cid:durableId="859123889">
    <w:abstractNumId w:val="5"/>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65" w:hanging="408"/>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suff w:val="space"/>
        <w:lvlText w:val="%1.%2.%3"/>
        <w:lvlJc w:val="left"/>
        <w:pPr>
          <w:ind w:left="1304" w:hanging="5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suff w:val="space"/>
        <w:lvlText w:val="%1.%2.%3.%4"/>
        <w:lvlJc w:val="left"/>
        <w:pPr>
          <w:ind w:left="1428"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suff w:val="space"/>
        <w:lvlText w:val="%1.%2.%3.%4.%5."/>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suff w:val="space"/>
        <w:lvlText w:val="%1.%2.%3.%4.%5.%6."/>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suff w:val="space"/>
        <w:lvlText w:val="%1.%2.%3.%4.%5.%6.%7."/>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decimal"/>
        <w:suff w:val="space"/>
        <w:lvlText w:val="%1.%2.%3.%4.%5.%6.%7.%8."/>
        <w:lvlJc w:val="left"/>
        <w:pPr>
          <w:ind w:left="1429" w:hanging="357"/>
        </w:pPr>
        <w:rPr>
          <w:rFonts w:hint="default"/>
        </w:rPr>
      </w:lvl>
    </w:lvlOverride>
    <w:lvlOverride w:ilvl="8">
      <w:lvl w:ilvl="8">
        <w:start w:val="1"/>
        <w:numFmt w:val="decimal"/>
        <w:suff w:val="space"/>
        <w:lvlText w:val="%1.%2.%3.%4.%5.%6.%7.%8.%9."/>
        <w:lvlJc w:val="left"/>
        <w:pPr>
          <w:ind w:left="1429" w:hanging="357"/>
        </w:pPr>
        <w:rPr>
          <w:rFonts w:hint="default"/>
        </w:rPr>
      </w:lvl>
    </w:lvlOverride>
  </w:num>
  <w:num w:numId="49" w16cid:durableId="410588242">
    <w:abstractNumId w:val="13"/>
  </w:num>
  <w:num w:numId="50" w16cid:durableId="297730909">
    <w:abstractNumId w:val="5"/>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65" w:hanging="4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suff w:val="space"/>
        <w:lvlText w:val="%1.%2.%3"/>
        <w:lvlJc w:val="left"/>
        <w:pPr>
          <w:ind w:left="1304" w:hanging="5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suff w:val="space"/>
        <w:lvlText w:val="%1.%2.%3.%4"/>
        <w:lvlJc w:val="left"/>
        <w:pPr>
          <w:ind w:left="1428"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suff w:val="space"/>
        <w:lvlText w:val="%1.%2.%3.%4.%5."/>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suff w:val="space"/>
        <w:lvlText w:val="%1.%2.%3.%4.%5.%6."/>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suff w:val="space"/>
        <w:lvlText w:val="%1.%2.%3.%4.%5.%6.%7."/>
        <w:lvlJc w:val="left"/>
        <w:pPr>
          <w:ind w:left="1429"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decimal"/>
        <w:suff w:val="space"/>
        <w:lvlText w:val="%1.%2.%3.%4.%5.%6.%7.%8."/>
        <w:lvlJc w:val="left"/>
        <w:pPr>
          <w:ind w:left="1429" w:hanging="357"/>
        </w:pPr>
        <w:rPr>
          <w:rFonts w:hint="default"/>
        </w:rPr>
      </w:lvl>
    </w:lvlOverride>
    <w:lvlOverride w:ilvl="8">
      <w:lvl w:ilvl="8">
        <w:start w:val="1"/>
        <w:numFmt w:val="decimal"/>
        <w:suff w:val="space"/>
        <w:lvlText w:val="%1.%2.%3.%4.%5.%6.%7.%8.%9."/>
        <w:lvlJc w:val="left"/>
        <w:pPr>
          <w:ind w:left="1429" w:hanging="3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EE"/>
    <w:rsid w:val="00033B1A"/>
    <w:rsid w:val="0008702E"/>
    <w:rsid w:val="0011198F"/>
    <w:rsid w:val="00133003"/>
    <w:rsid w:val="00160195"/>
    <w:rsid w:val="00172480"/>
    <w:rsid w:val="001B3D47"/>
    <w:rsid w:val="001E13EC"/>
    <w:rsid w:val="002012D7"/>
    <w:rsid w:val="00283DF6"/>
    <w:rsid w:val="002C668E"/>
    <w:rsid w:val="002E6D5B"/>
    <w:rsid w:val="00307797"/>
    <w:rsid w:val="003A53C8"/>
    <w:rsid w:val="003C3728"/>
    <w:rsid w:val="003C53B8"/>
    <w:rsid w:val="003D1DF7"/>
    <w:rsid w:val="003D47E4"/>
    <w:rsid w:val="004355F4"/>
    <w:rsid w:val="00487B13"/>
    <w:rsid w:val="004A5AEE"/>
    <w:rsid w:val="004B02F8"/>
    <w:rsid w:val="004D1559"/>
    <w:rsid w:val="005116A8"/>
    <w:rsid w:val="00517C35"/>
    <w:rsid w:val="005751D1"/>
    <w:rsid w:val="00580AE3"/>
    <w:rsid w:val="00596709"/>
    <w:rsid w:val="005C47AE"/>
    <w:rsid w:val="005C47C3"/>
    <w:rsid w:val="005F6C0A"/>
    <w:rsid w:val="00602589"/>
    <w:rsid w:val="00643875"/>
    <w:rsid w:val="0068140B"/>
    <w:rsid w:val="0071183D"/>
    <w:rsid w:val="007163E9"/>
    <w:rsid w:val="007405BE"/>
    <w:rsid w:val="00740CCD"/>
    <w:rsid w:val="0076538A"/>
    <w:rsid w:val="0078519F"/>
    <w:rsid w:val="0079340B"/>
    <w:rsid w:val="007D59C8"/>
    <w:rsid w:val="008269AA"/>
    <w:rsid w:val="00833EE9"/>
    <w:rsid w:val="008352ED"/>
    <w:rsid w:val="00852A48"/>
    <w:rsid w:val="008753F8"/>
    <w:rsid w:val="008A5045"/>
    <w:rsid w:val="008C4F84"/>
    <w:rsid w:val="008C6D20"/>
    <w:rsid w:val="0096153F"/>
    <w:rsid w:val="00970D55"/>
    <w:rsid w:val="00994C79"/>
    <w:rsid w:val="009F58F0"/>
    <w:rsid w:val="00A6455D"/>
    <w:rsid w:val="00A82FC0"/>
    <w:rsid w:val="00AA3720"/>
    <w:rsid w:val="00AB20EC"/>
    <w:rsid w:val="00AC1A39"/>
    <w:rsid w:val="00AF1A4D"/>
    <w:rsid w:val="00B01987"/>
    <w:rsid w:val="00B03075"/>
    <w:rsid w:val="00B118A0"/>
    <w:rsid w:val="00B327C0"/>
    <w:rsid w:val="00B6497E"/>
    <w:rsid w:val="00B82AF0"/>
    <w:rsid w:val="00BD5D85"/>
    <w:rsid w:val="00C368CF"/>
    <w:rsid w:val="00C43A58"/>
    <w:rsid w:val="00C8697C"/>
    <w:rsid w:val="00CD78E9"/>
    <w:rsid w:val="00CF4535"/>
    <w:rsid w:val="00D00A39"/>
    <w:rsid w:val="00D230FB"/>
    <w:rsid w:val="00D34AA7"/>
    <w:rsid w:val="00D40AF5"/>
    <w:rsid w:val="00DB4A08"/>
    <w:rsid w:val="00E022A9"/>
    <w:rsid w:val="00E643BF"/>
    <w:rsid w:val="00ED1F14"/>
    <w:rsid w:val="00F045BD"/>
    <w:rsid w:val="00F23FC1"/>
    <w:rsid w:val="00FA65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2ADB2"/>
  <w15:docId w15:val="{79A4F934-FAC5-46FB-B687-3FA34FB3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48"/>
    <w:pPr>
      <w:spacing w:after="0" w:line="240" w:lineRule="auto"/>
      <w:jc w:val="both"/>
    </w:pPr>
    <w:rPr>
      <w:rFonts w:ascii="Calibri" w:hAnsi="Calibri"/>
    </w:rPr>
  </w:style>
  <w:style w:type="paragraph" w:styleId="Heading1">
    <w:name w:val="heading 1"/>
    <w:basedOn w:val="Paragraphnonumber"/>
    <w:next w:val="ListParagraph"/>
    <w:link w:val="Heading1Char"/>
    <w:uiPriority w:val="9"/>
    <w:qFormat/>
    <w:rsid w:val="00852A4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480" w:after="120" w:line="276" w:lineRule="auto"/>
      <w:jc w:val="left"/>
      <w:outlineLvl w:val="0"/>
    </w:pPr>
    <w:rPr>
      <w:b/>
      <w:bCs/>
      <w:caps/>
      <w:color w:val="FFFFFF" w:themeColor="background1"/>
      <w:spacing w:val="15"/>
      <w:szCs w:val="24"/>
      <w:lang w:val="tr-TR"/>
    </w:rPr>
  </w:style>
  <w:style w:type="paragraph" w:styleId="Heading2">
    <w:name w:val="heading 2"/>
    <w:basedOn w:val="Paragraphnonumber"/>
    <w:next w:val="ListParagraph"/>
    <w:link w:val="Heading2Char"/>
    <w:uiPriority w:val="9"/>
    <w:unhideWhenUsed/>
    <w:qFormat/>
    <w:rsid w:val="00852A48"/>
    <w:pPr>
      <w:keepNext/>
      <w:spacing w:before="240" w:after="120" w:line="276" w:lineRule="auto"/>
      <w:outlineLvl w:val="1"/>
    </w:pPr>
    <w:rPr>
      <w:b/>
      <w:caps/>
      <w:color w:val="4F81BD" w:themeColor="accent1"/>
      <w:spacing w:val="15"/>
      <w:szCs w:val="22"/>
    </w:rPr>
  </w:style>
  <w:style w:type="paragraph" w:styleId="Heading3">
    <w:name w:val="heading 3"/>
    <w:basedOn w:val="Paragraphnonumber"/>
    <w:next w:val="ListParagraph"/>
    <w:link w:val="Heading3Char"/>
    <w:uiPriority w:val="9"/>
    <w:unhideWhenUsed/>
    <w:qFormat/>
    <w:rsid w:val="00852A48"/>
    <w:pPr>
      <w:keepNext/>
      <w:spacing w:before="240" w:after="120" w:line="276" w:lineRule="auto"/>
      <w:jc w:val="left"/>
      <w:outlineLvl w:val="2"/>
    </w:pPr>
    <w:rPr>
      <w:caps/>
      <w:color w:val="4F81BD" w:themeColor="accent1"/>
      <w:spacing w:val="15"/>
      <w:szCs w:val="22"/>
      <w:lang w:val="en-US"/>
    </w:rPr>
  </w:style>
  <w:style w:type="paragraph" w:styleId="Heading4">
    <w:name w:val="heading 4"/>
    <w:basedOn w:val="Paragraphnonumber"/>
    <w:next w:val="ListParagraph"/>
    <w:link w:val="Heading4Char"/>
    <w:uiPriority w:val="9"/>
    <w:unhideWhenUsed/>
    <w:qFormat/>
    <w:rsid w:val="00852A48"/>
    <w:pPr>
      <w:keepNext/>
      <w:spacing w:before="240" w:after="120" w:line="276" w:lineRule="auto"/>
      <w:outlineLvl w:val="3"/>
    </w:pPr>
    <w:rPr>
      <w:smallCaps/>
      <w:color w:val="4F81BD" w:themeColor="accent1"/>
      <w:spacing w:val="10"/>
      <w:szCs w:val="22"/>
      <w:lang w:val="en-US"/>
    </w:rPr>
  </w:style>
  <w:style w:type="paragraph" w:styleId="Heading5">
    <w:name w:val="heading 5"/>
    <w:basedOn w:val="Paragraphnonumber"/>
    <w:next w:val="ListParagraph"/>
    <w:link w:val="Heading5Char"/>
    <w:uiPriority w:val="9"/>
    <w:unhideWhenUsed/>
    <w:rsid w:val="00852A48"/>
    <w:pPr>
      <w:spacing w:before="240" w:after="0" w:line="276" w:lineRule="auto"/>
      <w:outlineLvl w:val="4"/>
    </w:pPr>
    <w:rPr>
      <w:caps/>
      <w:color w:val="244061" w:themeColor="accent1" w:themeShade="80"/>
      <w:spacing w:val="10"/>
      <w:szCs w:val="22"/>
    </w:rPr>
  </w:style>
  <w:style w:type="paragraph" w:styleId="Heading6">
    <w:name w:val="heading 6"/>
    <w:basedOn w:val="Paragraphnonumber"/>
    <w:next w:val="ListParagraph"/>
    <w:link w:val="Heading6Char"/>
    <w:uiPriority w:val="9"/>
    <w:unhideWhenUsed/>
    <w:rsid w:val="00852A48"/>
    <w:pPr>
      <w:spacing w:before="240" w:line="276" w:lineRule="auto"/>
      <w:outlineLvl w:val="5"/>
    </w:pPr>
    <w:rPr>
      <w:color w:val="244061" w:themeColor="accent1" w:themeShade="80"/>
      <w:szCs w:val="22"/>
    </w:rPr>
  </w:style>
  <w:style w:type="paragraph" w:styleId="Heading7">
    <w:name w:val="heading 7"/>
    <w:basedOn w:val="Normal"/>
    <w:next w:val="Normal"/>
    <w:link w:val="Heading7Char"/>
    <w:uiPriority w:val="9"/>
    <w:unhideWhenUsed/>
    <w:rsid w:val="00B82AF0"/>
    <w:pPr>
      <w:spacing w:before="300"/>
      <w:outlineLvl w:val="6"/>
    </w:pPr>
    <w:rPr>
      <w:caps/>
      <w:color w:val="365F91" w:themeColor="accent1" w:themeShade="BF"/>
      <w:spacing w:val="10"/>
      <w:lang w:eastAsia="en-US"/>
    </w:rPr>
  </w:style>
  <w:style w:type="paragraph" w:styleId="Heading8">
    <w:name w:val="heading 8"/>
    <w:basedOn w:val="Normal"/>
    <w:next w:val="Normal"/>
    <w:link w:val="Heading8Char"/>
    <w:uiPriority w:val="9"/>
    <w:unhideWhenUsed/>
    <w:rsid w:val="00852A48"/>
    <w:pPr>
      <w:spacing w:before="300"/>
      <w:outlineLvl w:val="7"/>
    </w:pPr>
    <w:rPr>
      <w:caps/>
      <w:spacing w:val="10"/>
      <w:szCs w:val="18"/>
      <w:lang w:eastAsia="en-US"/>
    </w:rPr>
  </w:style>
  <w:style w:type="paragraph" w:styleId="Heading9">
    <w:name w:val="heading 9"/>
    <w:basedOn w:val="Normal"/>
    <w:next w:val="Normal"/>
    <w:link w:val="Heading9Char"/>
    <w:uiPriority w:val="9"/>
    <w:semiHidden/>
    <w:unhideWhenUsed/>
    <w:qFormat/>
    <w:rsid w:val="00B82AF0"/>
    <w:pPr>
      <w:spacing w:before="300"/>
      <w:outlineLvl w:val="8"/>
    </w:pPr>
    <w:rPr>
      <w:rFonts w:eastAsiaTheme="minorEastAsia"/>
      <w:i/>
      <w:caps/>
      <w:spacing w:val="10"/>
      <w:sz w:val="18"/>
      <w:szCs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195"/>
    <w:rPr>
      <w:rFonts w:ascii="Tahoma" w:hAnsi="Tahoma" w:cs="Tahoma"/>
      <w:sz w:val="16"/>
      <w:szCs w:val="16"/>
    </w:rPr>
  </w:style>
  <w:style w:type="character" w:customStyle="1" w:styleId="BalloonTextChar">
    <w:name w:val="Balloon Text Char"/>
    <w:basedOn w:val="DefaultParagraphFont"/>
    <w:link w:val="BalloonText"/>
    <w:uiPriority w:val="99"/>
    <w:semiHidden/>
    <w:rsid w:val="00160195"/>
    <w:rPr>
      <w:rFonts w:ascii="Tahoma" w:hAnsi="Tahoma" w:cs="Tahoma"/>
      <w:sz w:val="16"/>
      <w:szCs w:val="16"/>
    </w:rPr>
  </w:style>
  <w:style w:type="paragraph" w:styleId="Header">
    <w:name w:val="header"/>
    <w:basedOn w:val="Normal"/>
    <w:link w:val="HeaderChar"/>
    <w:uiPriority w:val="99"/>
    <w:unhideWhenUsed/>
    <w:rsid w:val="00133003"/>
    <w:pPr>
      <w:tabs>
        <w:tab w:val="center" w:pos="4513"/>
        <w:tab w:val="right" w:pos="9026"/>
      </w:tabs>
    </w:pPr>
  </w:style>
  <w:style w:type="character" w:customStyle="1" w:styleId="HeaderChar">
    <w:name w:val="Header Char"/>
    <w:basedOn w:val="DefaultParagraphFont"/>
    <w:link w:val="Header"/>
    <w:uiPriority w:val="99"/>
    <w:rsid w:val="00133003"/>
    <w:rPr>
      <w:rFonts w:ascii="Arial" w:hAnsi="Arial"/>
      <w:sz w:val="20"/>
    </w:rPr>
  </w:style>
  <w:style w:type="paragraph" w:styleId="Footer">
    <w:name w:val="footer"/>
    <w:basedOn w:val="Normal"/>
    <w:link w:val="FooterChar"/>
    <w:uiPriority w:val="99"/>
    <w:unhideWhenUsed/>
    <w:rsid w:val="00133003"/>
    <w:pPr>
      <w:tabs>
        <w:tab w:val="center" w:pos="4513"/>
        <w:tab w:val="right" w:pos="9026"/>
      </w:tabs>
    </w:pPr>
  </w:style>
  <w:style w:type="character" w:customStyle="1" w:styleId="FooterChar">
    <w:name w:val="Footer Char"/>
    <w:basedOn w:val="DefaultParagraphFont"/>
    <w:link w:val="Footer"/>
    <w:uiPriority w:val="99"/>
    <w:rsid w:val="00133003"/>
    <w:rPr>
      <w:rFonts w:ascii="Arial" w:hAnsi="Arial"/>
      <w:sz w:val="20"/>
    </w:rPr>
  </w:style>
  <w:style w:type="character" w:customStyle="1" w:styleId="Heading1Char">
    <w:name w:val="Heading 1 Char"/>
    <w:basedOn w:val="DefaultParagraphFont"/>
    <w:link w:val="Heading1"/>
    <w:uiPriority w:val="9"/>
    <w:rsid w:val="00852A48"/>
    <w:rPr>
      <w:rFonts w:ascii="Calibri" w:eastAsia="Times New Roman" w:hAnsi="Calibri"/>
      <w:b/>
      <w:bCs/>
      <w:caps/>
      <w:color w:val="FFFFFF" w:themeColor="background1"/>
      <w:spacing w:val="15"/>
      <w:szCs w:val="24"/>
      <w:shd w:val="clear" w:color="auto" w:fill="4F81BD" w:themeFill="accent1"/>
      <w:lang w:val="tr-TR" w:eastAsia="en-GB"/>
    </w:rPr>
  </w:style>
  <w:style w:type="character" w:customStyle="1" w:styleId="Heading2Char">
    <w:name w:val="Heading 2 Char"/>
    <w:basedOn w:val="DefaultParagraphFont"/>
    <w:link w:val="Heading2"/>
    <w:uiPriority w:val="9"/>
    <w:rsid w:val="00852A48"/>
    <w:rPr>
      <w:rFonts w:ascii="Calibri" w:eastAsia="Times New Roman" w:hAnsi="Calibri"/>
      <w:b/>
      <w:caps/>
      <w:color w:val="4F81BD" w:themeColor="accent1"/>
      <w:spacing w:val="15"/>
      <w:lang w:val="en-GB" w:eastAsia="en-GB"/>
    </w:rPr>
  </w:style>
  <w:style w:type="character" w:customStyle="1" w:styleId="Heading3Char">
    <w:name w:val="Heading 3 Char"/>
    <w:basedOn w:val="DefaultParagraphFont"/>
    <w:link w:val="Heading3"/>
    <w:uiPriority w:val="9"/>
    <w:rsid w:val="00852A48"/>
    <w:rPr>
      <w:rFonts w:ascii="Calibri" w:eastAsia="Times New Roman" w:hAnsi="Calibri"/>
      <w:caps/>
      <w:color w:val="4F81BD" w:themeColor="accent1"/>
      <w:spacing w:val="15"/>
      <w:lang w:val="en-US" w:eastAsia="en-GB"/>
    </w:rPr>
  </w:style>
  <w:style w:type="character" w:customStyle="1" w:styleId="Heading4Char">
    <w:name w:val="Heading 4 Char"/>
    <w:basedOn w:val="DefaultParagraphFont"/>
    <w:link w:val="Heading4"/>
    <w:uiPriority w:val="9"/>
    <w:rsid w:val="00852A48"/>
    <w:rPr>
      <w:rFonts w:ascii="Calibri" w:eastAsia="Times New Roman" w:hAnsi="Calibri"/>
      <w:smallCaps/>
      <w:color w:val="4F81BD" w:themeColor="accent1"/>
      <w:spacing w:val="10"/>
      <w:lang w:val="en-US" w:eastAsia="en-GB"/>
    </w:rPr>
  </w:style>
  <w:style w:type="character" w:customStyle="1" w:styleId="Heading5Char">
    <w:name w:val="Heading 5 Char"/>
    <w:basedOn w:val="DefaultParagraphFont"/>
    <w:link w:val="Heading5"/>
    <w:uiPriority w:val="9"/>
    <w:rsid w:val="00852A48"/>
    <w:rPr>
      <w:rFonts w:ascii="Calibri" w:eastAsia="Times New Roman" w:hAnsi="Calibri"/>
      <w:caps/>
      <w:color w:val="244061" w:themeColor="accent1" w:themeShade="80"/>
      <w:spacing w:val="10"/>
      <w:lang w:val="en-GB" w:eastAsia="en-GB"/>
    </w:rPr>
  </w:style>
  <w:style w:type="character" w:customStyle="1" w:styleId="Heading6Char">
    <w:name w:val="Heading 6 Char"/>
    <w:basedOn w:val="DefaultParagraphFont"/>
    <w:link w:val="Heading6"/>
    <w:uiPriority w:val="9"/>
    <w:rsid w:val="00852A48"/>
    <w:rPr>
      <w:rFonts w:ascii="Calibri" w:eastAsia="Times New Roman" w:hAnsi="Calibri"/>
      <w:color w:val="244061" w:themeColor="accent1" w:themeShade="80"/>
      <w:lang w:val="en-GB" w:eastAsia="en-GB"/>
    </w:rPr>
  </w:style>
  <w:style w:type="character" w:customStyle="1" w:styleId="Heading7Char">
    <w:name w:val="Heading 7 Char"/>
    <w:basedOn w:val="DefaultParagraphFont"/>
    <w:link w:val="Heading7"/>
    <w:uiPriority w:val="9"/>
    <w:rsid w:val="00B82AF0"/>
    <w:rPr>
      <w:rFonts w:ascii="Calibri" w:hAnsi="Calibri"/>
      <w:caps/>
      <w:color w:val="365F91" w:themeColor="accent1" w:themeShade="BF"/>
      <w:spacing w:val="10"/>
      <w:lang w:eastAsia="en-US"/>
    </w:rPr>
  </w:style>
  <w:style w:type="character" w:customStyle="1" w:styleId="Heading8Char">
    <w:name w:val="Heading 8 Char"/>
    <w:basedOn w:val="DefaultParagraphFont"/>
    <w:link w:val="Heading8"/>
    <w:uiPriority w:val="9"/>
    <w:rsid w:val="00852A48"/>
    <w:rPr>
      <w:rFonts w:ascii="Calibri" w:hAnsi="Calibri"/>
      <w:caps/>
      <w:spacing w:val="10"/>
      <w:szCs w:val="18"/>
      <w:lang w:eastAsia="en-US"/>
    </w:rPr>
  </w:style>
  <w:style w:type="character" w:customStyle="1" w:styleId="Heading9Char">
    <w:name w:val="Heading 9 Char"/>
    <w:basedOn w:val="DefaultParagraphFont"/>
    <w:link w:val="Heading9"/>
    <w:uiPriority w:val="9"/>
    <w:semiHidden/>
    <w:rsid w:val="00B82AF0"/>
    <w:rPr>
      <w:rFonts w:ascii="Calibri" w:eastAsiaTheme="minorEastAsia" w:hAnsi="Calibri"/>
      <w:i/>
      <w:caps/>
      <w:spacing w:val="10"/>
      <w:sz w:val="18"/>
      <w:szCs w:val="18"/>
      <w:lang w:val="en-GB" w:eastAsia="en-GB"/>
    </w:rPr>
  </w:style>
  <w:style w:type="paragraph" w:styleId="TOC3">
    <w:name w:val="toc 3"/>
    <w:basedOn w:val="Normal"/>
    <w:next w:val="Normal"/>
    <w:autoRedefine/>
    <w:uiPriority w:val="39"/>
    <w:unhideWhenUsed/>
    <w:rsid w:val="00D40AF5"/>
    <w:pPr>
      <w:tabs>
        <w:tab w:val="left" w:pos="1100"/>
        <w:tab w:val="right" w:leader="dot" w:pos="9072"/>
      </w:tabs>
      <w:spacing w:before="60" w:after="60"/>
      <w:ind w:left="964" w:hanging="567"/>
    </w:pPr>
    <w:rPr>
      <w:rFonts w:asciiTheme="minorHAnsi" w:hAnsiTheme="minorHAnsi" w:cs="Arial"/>
      <w:szCs w:val="16"/>
      <w:lang w:val="en-GB" w:eastAsia="ja-JP"/>
    </w:rPr>
  </w:style>
  <w:style w:type="character" w:styleId="Hyperlink">
    <w:name w:val="Hyperlink"/>
    <w:uiPriority w:val="99"/>
    <w:rsid w:val="00B82AF0"/>
    <w:rPr>
      <w:color w:val="0000FF"/>
      <w:u w:val="single"/>
    </w:rPr>
  </w:style>
  <w:style w:type="paragraph" w:customStyle="1" w:styleId="SummaryIntroduction">
    <w:name w:val="Summary &amp; Introduction"/>
    <w:basedOn w:val="Heading1"/>
    <w:next w:val="Paragraphnonumber"/>
    <w:rsid w:val="00B82AF0"/>
  </w:style>
  <w:style w:type="character" w:styleId="CommentReference">
    <w:name w:val="annotation reference"/>
    <w:uiPriority w:val="99"/>
    <w:semiHidden/>
    <w:unhideWhenUsed/>
    <w:rsid w:val="00B82AF0"/>
    <w:rPr>
      <w:sz w:val="16"/>
      <w:szCs w:val="16"/>
    </w:rPr>
  </w:style>
  <w:style w:type="paragraph" w:styleId="CommentText">
    <w:name w:val="annotation text"/>
    <w:basedOn w:val="Normal"/>
    <w:link w:val="CommentTextChar"/>
    <w:uiPriority w:val="99"/>
    <w:unhideWhenUsed/>
    <w:rsid w:val="00B82AF0"/>
    <w:pPr>
      <w:spacing w:before="120" w:after="120"/>
      <w:ind w:left="360" w:hanging="360"/>
    </w:pPr>
    <w:rPr>
      <w:lang w:eastAsia="en-US"/>
    </w:rPr>
  </w:style>
  <w:style w:type="character" w:customStyle="1" w:styleId="CommentTextChar">
    <w:name w:val="Comment Text Char"/>
    <w:basedOn w:val="DefaultParagraphFont"/>
    <w:link w:val="CommentText"/>
    <w:uiPriority w:val="99"/>
    <w:rsid w:val="00B82AF0"/>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B82AF0"/>
    <w:rPr>
      <w:b/>
      <w:bCs/>
    </w:rPr>
  </w:style>
  <w:style w:type="character" w:customStyle="1" w:styleId="CommentSubjectChar">
    <w:name w:val="Comment Subject Char"/>
    <w:basedOn w:val="CommentTextChar"/>
    <w:link w:val="CommentSubject"/>
    <w:uiPriority w:val="99"/>
    <w:semiHidden/>
    <w:rsid w:val="00B82AF0"/>
    <w:rPr>
      <w:rFonts w:ascii="Calibri" w:hAnsi="Calibri"/>
      <w:b/>
      <w:bCs/>
      <w:lang w:eastAsia="en-US"/>
    </w:rPr>
  </w:style>
  <w:style w:type="paragraph" w:styleId="ListParagraph">
    <w:name w:val="List Paragraph"/>
    <w:basedOn w:val="Paragraphnonumber"/>
    <w:uiPriority w:val="34"/>
    <w:qFormat/>
    <w:rsid w:val="00852A48"/>
    <w:pPr>
      <w:numPr>
        <w:numId w:val="2"/>
      </w:numPr>
      <w:spacing w:before="0"/>
      <w:ind w:left="284" w:hanging="142"/>
    </w:pPr>
  </w:style>
  <w:style w:type="character" w:styleId="PlaceholderText">
    <w:name w:val="Placeholder Text"/>
    <w:basedOn w:val="DefaultParagraphFont"/>
    <w:uiPriority w:val="99"/>
    <w:unhideWhenUsed/>
    <w:rsid w:val="00B82AF0"/>
    <w:rPr>
      <w:color w:val="808080"/>
    </w:rPr>
  </w:style>
  <w:style w:type="numbering" w:customStyle="1" w:styleId="Headings">
    <w:name w:val="Headings"/>
    <w:uiPriority w:val="99"/>
    <w:rsid w:val="00B82AF0"/>
    <w:pPr>
      <w:numPr>
        <w:numId w:val="1"/>
      </w:numPr>
    </w:pPr>
  </w:style>
  <w:style w:type="paragraph" w:styleId="TOCHeading">
    <w:name w:val="TOC Heading"/>
    <w:basedOn w:val="Heading1"/>
    <w:next w:val="Normal"/>
    <w:uiPriority w:val="39"/>
    <w:unhideWhenUsed/>
    <w:qFormat/>
    <w:rsid w:val="00852A48"/>
    <w:pPr>
      <w:outlineLvl w:val="9"/>
    </w:pPr>
    <w:rPr>
      <w:lang w:bidi="en-US"/>
    </w:rPr>
  </w:style>
  <w:style w:type="paragraph" w:styleId="TOC1">
    <w:name w:val="toc 1"/>
    <w:basedOn w:val="Normal"/>
    <w:next w:val="Normal"/>
    <w:autoRedefine/>
    <w:uiPriority w:val="39"/>
    <w:unhideWhenUsed/>
    <w:rsid w:val="00D40AF5"/>
    <w:pPr>
      <w:tabs>
        <w:tab w:val="left" w:pos="440"/>
        <w:tab w:val="right" w:leader="dot" w:pos="9072"/>
      </w:tabs>
      <w:spacing w:before="120" w:after="120"/>
      <w:ind w:left="360" w:hanging="360"/>
    </w:pPr>
    <w:rPr>
      <w:rFonts w:asciiTheme="minorHAnsi" w:hAnsiTheme="minorHAnsi" w:cs="Arial"/>
      <w:b/>
      <w:caps/>
      <w:color w:val="4F81BD" w:themeColor="accent1"/>
      <w:szCs w:val="20"/>
      <w:lang w:val="en-GB" w:eastAsia="en-US"/>
    </w:rPr>
  </w:style>
  <w:style w:type="paragraph" w:styleId="TOC2">
    <w:name w:val="toc 2"/>
    <w:basedOn w:val="Normal"/>
    <w:next w:val="Normal"/>
    <w:autoRedefine/>
    <w:uiPriority w:val="39"/>
    <w:unhideWhenUsed/>
    <w:rsid w:val="00D40AF5"/>
    <w:pPr>
      <w:tabs>
        <w:tab w:val="left" w:pos="1134"/>
        <w:tab w:val="right" w:leader="dot" w:pos="9072"/>
      </w:tabs>
      <w:spacing w:before="60" w:after="60"/>
      <w:ind w:left="567" w:hanging="357"/>
    </w:pPr>
    <w:rPr>
      <w:rFonts w:asciiTheme="minorHAnsi" w:hAnsiTheme="minorHAnsi" w:cstheme="minorHAnsi"/>
      <w:b/>
      <w:noProof/>
      <w:lang w:val="en-GB" w:eastAsia="en-US"/>
    </w:rPr>
  </w:style>
  <w:style w:type="paragraph" w:styleId="TOC4">
    <w:name w:val="toc 4"/>
    <w:basedOn w:val="Normal"/>
    <w:next w:val="Normal"/>
    <w:autoRedefine/>
    <w:uiPriority w:val="39"/>
    <w:unhideWhenUsed/>
    <w:rsid w:val="00B82AF0"/>
    <w:pPr>
      <w:tabs>
        <w:tab w:val="left" w:pos="1540"/>
        <w:tab w:val="right" w:leader="dot" w:pos="9072"/>
      </w:tabs>
      <w:spacing w:before="60" w:after="60"/>
      <w:ind w:left="709" w:hanging="360"/>
    </w:pPr>
    <w:rPr>
      <w:lang w:eastAsia="en-US"/>
    </w:rPr>
  </w:style>
  <w:style w:type="paragraph" w:styleId="TOC5">
    <w:name w:val="toc 5"/>
    <w:basedOn w:val="Normal"/>
    <w:next w:val="Normal"/>
    <w:autoRedefine/>
    <w:uiPriority w:val="39"/>
    <w:unhideWhenUsed/>
    <w:rsid w:val="00B82AF0"/>
    <w:pPr>
      <w:spacing w:before="120" w:after="100"/>
      <w:ind w:left="880" w:hanging="360"/>
    </w:pPr>
    <w:rPr>
      <w:lang w:eastAsia="en-US"/>
    </w:rPr>
  </w:style>
  <w:style w:type="paragraph" w:styleId="TOC6">
    <w:name w:val="toc 6"/>
    <w:basedOn w:val="Normal"/>
    <w:next w:val="Normal"/>
    <w:autoRedefine/>
    <w:uiPriority w:val="39"/>
    <w:unhideWhenUsed/>
    <w:rsid w:val="00B82AF0"/>
    <w:pPr>
      <w:spacing w:before="120" w:after="100"/>
      <w:ind w:left="1100" w:hanging="360"/>
    </w:pPr>
    <w:rPr>
      <w:lang w:eastAsia="en-US"/>
    </w:rPr>
  </w:style>
  <w:style w:type="paragraph" w:styleId="TOC7">
    <w:name w:val="toc 7"/>
    <w:basedOn w:val="Normal"/>
    <w:next w:val="Normal"/>
    <w:autoRedefine/>
    <w:uiPriority w:val="39"/>
    <w:unhideWhenUsed/>
    <w:rsid w:val="00B82AF0"/>
    <w:pPr>
      <w:spacing w:before="120" w:after="100"/>
      <w:ind w:left="1320" w:hanging="360"/>
    </w:pPr>
    <w:rPr>
      <w:lang w:eastAsia="en-US"/>
    </w:rPr>
  </w:style>
  <w:style w:type="paragraph" w:styleId="TOC8">
    <w:name w:val="toc 8"/>
    <w:basedOn w:val="Normal"/>
    <w:next w:val="Normal"/>
    <w:autoRedefine/>
    <w:uiPriority w:val="39"/>
    <w:unhideWhenUsed/>
    <w:rsid w:val="00B82AF0"/>
    <w:pPr>
      <w:spacing w:before="120" w:after="100"/>
      <w:ind w:left="1540" w:hanging="360"/>
    </w:pPr>
    <w:rPr>
      <w:lang w:eastAsia="en-US"/>
    </w:rPr>
  </w:style>
  <w:style w:type="paragraph" w:styleId="TOC9">
    <w:name w:val="toc 9"/>
    <w:basedOn w:val="Normal"/>
    <w:next w:val="Normal"/>
    <w:autoRedefine/>
    <w:uiPriority w:val="39"/>
    <w:unhideWhenUsed/>
    <w:rsid w:val="00B82AF0"/>
    <w:pPr>
      <w:spacing w:before="120" w:after="100"/>
      <w:ind w:left="1760" w:hanging="360"/>
    </w:pPr>
    <w:rPr>
      <w:lang w:eastAsia="en-US"/>
    </w:rPr>
  </w:style>
  <w:style w:type="paragraph" w:styleId="Caption">
    <w:name w:val="caption"/>
    <w:basedOn w:val="Normal"/>
    <w:next w:val="Normal"/>
    <w:uiPriority w:val="35"/>
    <w:semiHidden/>
    <w:unhideWhenUsed/>
    <w:qFormat/>
    <w:rsid w:val="00B82AF0"/>
    <w:pPr>
      <w:spacing w:before="120" w:after="120"/>
      <w:ind w:left="360" w:hanging="360"/>
    </w:pPr>
    <w:rPr>
      <w:b/>
      <w:bCs/>
      <w:color w:val="365F91" w:themeColor="accent1" w:themeShade="BF"/>
      <w:sz w:val="16"/>
      <w:szCs w:val="16"/>
      <w:lang w:eastAsia="en-US"/>
    </w:rPr>
  </w:style>
  <w:style w:type="table" w:styleId="TableGrid">
    <w:name w:val="Table Grid"/>
    <w:basedOn w:val="TableNormal"/>
    <w:uiPriority w:val="59"/>
    <w:rsid w:val="00B82AF0"/>
    <w:pPr>
      <w:spacing w:before="120" w:after="0" w:line="240" w:lineRule="auto"/>
      <w:ind w:left="360" w:hanging="360"/>
      <w:jc w:val="both"/>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B82AF0"/>
  </w:style>
  <w:style w:type="paragraph" w:customStyle="1" w:styleId="TitleReport">
    <w:name w:val="Title_Report"/>
    <w:basedOn w:val="Paragraphnonumber"/>
    <w:rsid w:val="00B82AF0"/>
    <w:pPr>
      <w:spacing w:before="0" w:after="0"/>
      <w:jc w:val="center"/>
    </w:pPr>
    <w:rPr>
      <w:b/>
      <w:caps/>
      <w:spacing w:val="10"/>
      <w:kern w:val="28"/>
      <w:sz w:val="52"/>
      <w:szCs w:val="52"/>
    </w:rPr>
  </w:style>
  <w:style w:type="paragraph" w:customStyle="1" w:styleId="TitleCommissioner">
    <w:name w:val="Title_Commissioner"/>
    <w:basedOn w:val="Paragraphnonumber"/>
    <w:next w:val="TitleReport"/>
    <w:rsid w:val="00B82AF0"/>
    <w:pPr>
      <w:spacing w:before="0" w:after="0"/>
      <w:jc w:val="center"/>
    </w:pPr>
    <w:rPr>
      <w:rFonts w:cstheme="minorHAnsi"/>
      <w:caps/>
      <w:spacing w:val="10"/>
      <w:kern w:val="28"/>
      <w:sz w:val="40"/>
      <w:szCs w:val="40"/>
    </w:rPr>
  </w:style>
  <w:style w:type="paragraph" w:customStyle="1" w:styleId="TitleFollowing">
    <w:name w:val="Title_Following"/>
    <w:basedOn w:val="Paragraphnonumber"/>
    <w:next w:val="TitleCommissioner"/>
    <w:rsid w:val="00B82AF0"/>
    <w:pPr>
      <w:jc w:val="center"/>
    </w:pPr>
    <w:rPr>
      <w:rFonts w:cstheme="minorHAnsi"/>
      <w:b/>
      <w:caps/>
      <w:color w:val="4F81BD" w:themeColor="accent1"/>
      <w:spacing w:val="10"/>
      <w:kern w:val="28"/>
      <w:sz w:val="40"/>
      <w:szCs w:val="52"/>
    </w:rPr>
  </w:style>
  <w:style w:type="paragraph" w:styleId="FootnoteText">
    <w:name w:val="footnote text"/>
    <w:basedOn w:val="Normal"/>
    <w:next w:val="Footer"/>
    <w:link w:val="FootnoteTextChar"/>
    <w:uiPriority w:val="99"/>
    <w:unhideWhenUsed/>
    <w:qFormat/>
    <w:rsid w:val="00B82AF0"/>
    <w:rPr>
      <w:sz w:val="18"/>
      <w:lang w:eastAsia="en-US"/>
    </w:rPr>
  </w:style>
  <w:style w:type="character" w:customStyle="1" w:styleId="FootnoteTextChar">
    <w:name w:val="Footnote Text Char"/>
    <w:basedOn w:val="DefaultParagraphFont"/>
    <w:link w:val="FootnoteText"/>
    <w:uiPriority w:val="99"/>
    <w:rsid w:val="00B82AF0"/>
    <w:rPr>
      <w:rFonts w:ascii="Calibri" w:hAnsi="Calibri"/>
      <w:sz w:val="18"/>
      <w:lang w:eastAsia="en-US"/>
    </w:rPr>
  </w:style>
  <w:style w:type="paragraph" w:customStyle="1" w:styleId="Paragraphnonumber">
    <w:name w:val="Paragraph no number"/>
    <w:qFormat/>
    <w:rsid w:val="00852A48"/>
    <w:pPr>
      <w:spacing w:before="160" w:after="160" w:line="240" w:lineRule="auto"/>
      <w:jc w:val="both"/>
    </w:pPr>
    <w:rPr>
      <w:rFonts w:ascii="Calibri" w:eastAsia="Times New Roman" w:hAnsi="Calibri"/>
      <w:szCs w:val="20"/>
      <w:lang w:val="en-GB" w:eastAsia="en-GB"/>
    </w:rPr>
  </w:style>
  <w:style w:type="paragraph" w:customStyle="1" w:styleId="Default">
    <w:name w:val="Default"/>
    <w:rsid w:val="00B82AF0"/>
    <w:pPr>
      <w:autoSpaceDE w:val="0"/>
      <w:autoSpaceDN w:val="0"/>
      <w:adjustRightInd w:val="0"/>
      <w:spacing w:after="0" w:line="240" w:lineRule="auto"/>
    </w:pPr>
    <w:rPr>
      <w:rFonts w:ascii="Calibri" w:hAnsi="Calibri" w:cs="Calibri"/>
      <w:color w:val="000000"/>
      <w:sz w:val="24"/>
      <w:szCs w:val="24"/>
      <w:lang w:eastAsia="en-US"/>
    </w:rPr>
  </w:style>
  <w:style w:type="paragraph" w:styleId="EndnoteText">
    <w:name w:val="endnote text"/>
    <w:basedOn w:val="Normal"/>
    <w:link w:val="EndnoteTextChar"/>
    <w:uiPriority w:val="99"/>
    <w:unhideWhenUsed/>
    <w:rsid w:val="00B82AF0"/>
    <w:pPr>
      <w:jc w:val="left"/>
    </w:pPr>
    <w:rPr>
      <w:rFonts w:asciiTheme="minorHAnsi" w:hAnsiTheme="minorHAnsi"/>
      <w:szCs w:val="20"/>
      <w:lang w:val="en-GB" w:eastAsia="en-US"/>
    </w:rPr>
  </w:style>
  <w:style w:type="character" w:customStyle="1" w:styleId="EndnoteTextChar">
    <w:name w:val="Endnote Text Char"/>
    <w:basedOn w:val="DefaultParagraphFont"/>
    <w:link w:val="EndnoteText"/>
    <w:uiPriority w:val="99"/>
    <w:rsid w:val="00B82AF0"/>
    <w:rPr>
      <w:sz w:val="20"/>
      <w:szCs w:val="20"/>
      <w:lang w:val="en-GB" w:eastAsia="en-US"/>
    </w:rPr>
  </w:style>
  <w:style w:type="character" w:styleId="EndnoteReference">
    <w:name w:val="endnote reference"/>
    <w:basedOn w:val="DefaultParagraphFont"/>
    <w:uiPriority w:val="99"/>
    <w:unhideWhenUsed/>
    <w:rsid w:val="00B82AF0"/>
    <w:rPr>
      <w:vertAlign w:val="superscript"/>
    </w:rPr>
  </w:style>
  <w:style w:type="character" w:styleId="FollowedHyperlink">
    <w:name w:val="FollowedHyperlink"/>
    <w:basedOn w:val="DefaultParagraphFont"/>
    <w:uiPriority w:val="99"/>
    <w:semiHidden/>
    <w:unhideWhenUsed/>
    <w:rsid w:val="00B82AF0"/>
    <w:rPr>
      <w:color w:val="800080" w:themeColor="followedHyperlink"/>
      <w:u w:val="single"/>
    </w:rPr>
  </w:style>
  <w:style w:type="character" w:styleId="UnresolvedMention">
    <w:name w:val="Unresolved Mention"/>
    <w:basedOn w:val="DefaultParagraphFont"/>
    <w:uiPriority w:val="99"/>
    <w:semiHidden/>
    <w:unhideWhenUsed/>
    <w:rsid w:val="00B82AF0"/>
    <w:rPr>
      <w:color w:val="605E5C"/>
      <w:shd w:val="clear" w:color="auto" w:fill="E1DFDD"/>
    </w:rPr>
  </w:style>
  <w:style w:type="paragraph" w:customStyle="1" w:styleId="Titre1list">
    <w:name w:val="Titre 1 list"/>
    <w:basedOn w:val="Heading1"/>
    <w:link w:val="Titre1listCar"/>
    <w:qFormat/>
    <w:rsid w:val="00B82AF0"/>
    <w:pPr>
      <w:pBdr>
        <w:top w:val="none" w:sz="0" w:space="0" w:color="auto"/>
        <w:left w:val="none" w:sz="0" w:space="0" w:color="auto"/>
        <w:bottom w:val="none" w:sz="0" w:space="0" w:color="auto"/>
        <w:right w:val="none" w:sz="0" w:space="0" w:color="auto"/>
      </w:pBdr>
      <w:shd w:val="clear" w:color="auto" w:fill="auto"/>
      <w:spacing w:after="200"/>
      <w:ind w:left="360" w:hanging="360"/>
    </w:pPr>
    <w:rPr>
      <w:bCs w:val="0"/>
      <w:color w:val="BD8D21"/>
      <w:sz w:val="28"/>
      <w:szCs w:val="28"/>
    </w:rPr>
  </w:style>
  <w:style w:type="character" w:customStyle="1" w:styleId="Titre1listCar">
    <w:name w:val="Titre 1 list Car"/>
    <w:basedOn w:val="Heading1Char"/>
    <w:link w:val="Titre1list"/>
    <w:rsid w:val="00B82AF0"/>
    <w:rPr>
      <w:rFonts w:ascii="Calibri" w:eastAsia="Times New Roman" w:hAnsi="Calibri"/>
      <w:b/>
      <w:bCs w:val="0"/>
      <w:caps/>
      <w:color w:val="BD8D21"/>
      <w:spacing w:val="15"/>
      <w:sz w:val="28"/>
      <w:szCs w:val="28"/>
      <w:shd w:val="clear" w:color="auto" w:fill="4F81BD" w:themeFill="accent1"/>
      <w:lang w:val="en-GB" w:eastAsia="en-GB"/>
    </w:rPr>
  </w:style>
  <w:style w:type="paragraph" w:styleId="Revision">
    <w:name w:val="Revision"/>
    <w:hidden/>
    <w:uiPriority w:val="99"/>
    <w:semiHidden/>
    <w:rsid w:val="00B82AF0"/>
    <w:pPr>
      <w:spacing w:after="0" w:line="240" w:lineRule="auto"/>
    </w:pPr>
    <w:rPr>
      <w:rFonts w:ascii="Calibri" w:hAnsi="Calibri"/>
      <w:lang w:eastAsia="en-US"/>
    </w:rPr>
  </w:style>
  <w:style w:type="paragraph" w:styleId="NormalWeb">
    <w:name w:val="Normal (Web)"/>
    <w:basedOn w:val="Normal"/>
    <w:uiPriority w:val="99"/>
    <w:semiHidden/>
    <w:unhideWhenUsed/>
    <w:rsid w:val="00B82AF0"/>
    <w:pPr>
      <w:spacing w:before="100" w:beforeAutospacing="1" w:after="100" w:afterAutospacing="1"/>
      <w:jc w:val="left"/>
    </w:pPr>
    <w:rPr>
      <w:rFonts w:ascii="Times New Roman" w:eastAsiaTheme="minorEastAsia" w:hAnsi="Times New Roman" w:cs="Times New Roman"/>
      <w:sz w:val="24"/>
      <w:szCs w:val="24"/>
      <w:lang w:val="tr-TR" w:eastAsia="en-US"/>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4_G,BVI fnr"/>
    <w:basedOn w:val="DefaultParagraphFont"/>
    <w:uiPriority w:val="99"/>
    <w:unhideWhenUsed/>
    <w:qFormat/>
    <w:rsid w:val="004A5AEE"/>
    <w:rPr>
      <w:vertAlign w:val="superscript"/>
    </w:rPr>
  </w:style>
  <w:style w:type="paragraph" w:customStyle="1" w:styleId="paragraphelist">
    <w:name w:val="paragraphe list"/>
    <w:basedOn w:val="ListParagraph"/>
    <w:link w:val="paragraphelistCar"/>
    <w:qFormat/>
    <w:rsid w:val="004A5AEE"/>
    <w:pPr>
      <w:numPr>
        <w:numId w:val="0"/>
      </w:numPr>
      <w:spacing w:after="120" w:line="276" w:lineRule="auto"/>
      <w:ind w:left="357" w:hanging="357"/>
    </w:pPr>
    <w:rPr>
      <w:rFonts w:eastAsiaTheme="minorHAnsi"/>
      <w:color w:val="000000" w:themeColor="text1"/>
      <w:szCs w:val="22"/>
      <w:lang w:eastAsia="en-US"/>
    </w:rPr>
  </w:style>
  <w:style w:type="character" w:customStyle="1" w:styleId="paragraphelistCar">
    <w:name w:val="paragraphe list Car"/>
    <w:basedOn w:val="DefaultParagraphFont"/>
    <w:link w:val="paragraphelist"/>
    <w:rsid w:val="004A5AEE"/>
    <w:rPr>
      <w:rFonts w:ascii="Calibri" w:hAnsi="Calibri"/>
      <w:color w:val="000000" w:themeColor="text1"/>
      <w:lang w:val="en-GB" w:eastAsia="en-US"/>
    </w:rPr>
  </w:style>
  <w:style w:type="character" w:customStyle="1" w:styleId="ju-005fpara--char">
    <w:name w:val="ju-005fpara--char"/>
    <w:basedOn w:val="DefaultParagraphFont"/>
    <w:rsid w:val="004A5AEE"/>
  </w:style>
  <w:style w:type="paragraph" w:customStyle="1" w:styleId="SingleTxtG">
    <w:name w:val="_ Single Txt_G"/>
    <w:basedOn w:val="Normal"/>
    <w:link w:val="SingleTxtGChar"/>
    <w:rsid w:val="004A5AEE"/>
    <w:pPr>
      <w:tabs>
        <w:tab w:val="left" w:pos="1701"/>
        <w:tab w:val="left" w:pos="2268"/>
      </w:tabs>
      <w:suppressAutoHyphens/>
      <w:spacing w:after="120" w:line="240" w:lineRule="atLeast"/>
      <w:ind w:left="1134" w:right="1134"/>
    </w:pPr>
    <w:rPr>
      <w:rFonts w:ascii="Times New Roman" w:eastAsia="SimSun" w:hAnsi="Times New Roman" w:cs="Times New Roman"/>
      <w:sz w:val="20"/>
      <w:szCs w:val="20"/>
      <w:lang w:val="en-GB" w:eastAsia="zh-CN"/>
    </w:rPr>
  </w:style>
  <w:style w:type="character" w:customStyle="1" w:styleId="SingleTxtGChar">
    <w:name w:val="_ Single Txt_G Char"/>
    <w:basedOn w:val="DefaultParagraphFont"/>
    <w:link w:val="SingleTxtG"/>
    <w:rsid w:val="004A5AEE"/>
    <w:rPr>
      <w:rFonts w:ascii="Times New Roman" w:eastAsia="SimSun" w:hAnsi="Times New Roman"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19852">
      <w:bodyDiv w:val="1"/>
      <w:marLeft w:val="0"/>
      <w:marRight w:val="0"/>
      <w:marTop w:val="0"/>
      <w:marBottom w:val="0"/>
      <w:divBdr>
        <w:top w:val="none" w:sz="0" w:space="0" w:color="auto"/>
        <w:left w:val="none" w:sz="0" w:space="0" w:color="auto"/>
        <w:bottom w:val="none" w:sz="0" w:space="0" w:color="auto"/>
        <w:right w:val="none" w:sz="0" w:space="0" w:color="auto"/>
      </w:divBdr>
    </w:div>
    <w:div w:id="611254617">
      <w:bodyDiv w:val="1"/>
      <w:marLeft w:val="0"/>
      <w:marRight w:val="0"/>
      <w:marTop w:val="0"/>
      <w:marBottom w:val="0"/>
      <w:divBdr>
        <w:top w:val="none" w:sz="0" w:space="0" w:color="auto"/>
        <w:left w:val="none" w:sz="0" w:space="0" w:color="auto"/>
        <w:bottom w:val="none" w:sz="0" w:space="0" w:color="auto"/>
        <w:right w:val="none" w:sz="0" w:space="0" w:color="auto"/>
      </w:divBdr>
    </w:div>
    <w:div w:id="802962865">
      <w:bodyDiv w:val="1"/>
      <w:marLeft w:val="0"/>
      <w:marRight w:val="0"/>
      <w:marTop w:val="0"/>
      <w:marBottom w:val="0"/>
      <w:divBdr>
        <w:top w:val="none" w:sz="0" w:space="0" w:color="auto"/>
        <w:left w:val="none" w:sz="0" w:space="0" w:color="auto"/>
        <w:bottom w:val="none" w:sz="0" w:space="0" w:color="auto"/>
        <w:right w:val="none" w:sz="0" w:space="0" w:color="auto"/>
      </w:divBdr>
    </w:div>
    <w:div w:id="933318823">
      <w:bodyDiv w:val="1"/>
      <w:marLeft w:val="0"/>
      <w:marRight w:val="0"/>
      <w:marTop w:val="0"/>
      <w:marBottom w:val="0"/>
      <w:divBdr>
        <w:top w:val="none" w:sz="0" w:space="0" w:color="auto"/>
        <w:left w:val="none" w:sz="0" w:space="0" w:color="auto"/>
        <w:bottom w:val="none" w:sz="0" w:space="0" w:color="auto"/>
        <w:right w:val="none" w:sz="0" w:space="0" w:color="auto"/>
      </w:divBdr>
    </w:div>
    <w:div w:id="1281230142">
      <w:bodyDiv w:val="1"/>
      <w:marLeft w:val="0"/>
      <w:marRight w:val="0"/>
      <w:marTop w:val="0"/>
      <w:marBottom w:val="0"/>
      <w:divBdr>
        <w:top w:val="none" w:sz="0" w:space="0" w:color="auto"/>
        <w:left w:val="none" w:sz="0" w:space="0" w:color="auto"/>
        <w:bottom w:val="none" w:sz="0" w:space="0" w:color="auto"/>
        <w:right w:val="none" w:sz="0" w:space="0" w:color="auto"/>
      </w:divBdr>
    </w:div>
    <w:div w:id="130076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rap-rcha-deu-40-2023/1680aabd6d" TargetMode="External"/><Relationship Id="rId13" Type="http://schemas.openxmlformats.org/officeDocument/2006/relationships/hyperlink" Target="https://www.equalitylaw.eu/downloads/5967-germany-country-report-gender-equality-2023" TargetMode="External"/><Relationship Id="rId18" Type="http://schemas.openxmlformats.org/officeDocument/2006/relationships/hyperlink" Target="https://www.ohchr.org/en/documents/thematic-reports/a78192-place-live-dignity-all-make-housing-affordable-report-special" TargetMode="External"/><Relationship Id="rId26" Type="http://schemas.openxmlformats.org/officeDocument/2006/relationships/hyperlink" Target="https://www.coe.int/en/web/commissioner/-/the-right-to-affordable-housing-europe-s-neglected-duty" TargetMode="External"/><Relationship Id="rId3" Type="http://schemas.openxmlformats.org/officeDocument/2006/relationships/hyperlink" Target="https://www.coe.int/en/web/commissioner/-/germany-s-efforts-to-protect-refugees-are-remarkable-now-it-has-to-boost-integration-and-improve-fight-against-racism" TargetMode="External"/><Relationship Id="rId21" Type="http://schemas.openxmlformats.org/officeDocument/2006/relationships/hyperlink" Target="https://www.institut-fuer-menschenrechte.de/publikationen/detail/notunterkuenfte-fuer-wohnungslose-menschenrechtskonform-gestalten" TargetMode="External"/><Relationship Id="rId7" Type="http://schemas.openxmlformats.org/officeDocument/2006/relationships/hyperlink" Target="https://tbinternet.ohchr.org/_layouts/15/TreatyBodyExternal/DownloadDraft.aspx?key=O90nI6yyRdZ8GMFUzhgnmaMx+v9GOxWcibLUOmXZlGq8XhL/pv65eUiwqFXr5y6dTaY9clQhCVCoVMC6RQFoXw==" TargetMode="External"/><Relationship Id="rId12" Type="http://schemas.openxmlformats.org/officeDocument/2006/relationships/hyperlink" Target="https://dawum.de/AfD/" TargetMode="External"/><Relationship Id="rId17" Type="http://schemas.openxmlformats.org/officeDocument/2006/relationships/hyperlink" Target="https://www.rbb24.de/wirtschaft/beitrag/2023/07/berlin-brandenburg-sozialwohnungen-wohnungen-bestand-bundesregierung.html" TargetMode="External"/><Relationship Id="rId25" Type="http://schemas.openxmlformats.org/officeDocument/2006/relationships/hyperlink" Target="https://www.coe.int/en/web/european-social-charter/processed-complaints/-/asset_publisher/5GEFkJmH2bYG/content/no-53-2008-european-federation-of-national-organisations-working-with-the-homeless-feantsa-v-slovenia" TargetMode="External"/><Relationship Id="rId2" Type="http://schemas.openxmlformats.org/officeDocument/2006/relationships/hyperlink" Target="https://bibliothek.wzb.eu/pdf/2022/p22-004.pdf" TargetMode="External"/><Relationship Id="rId16" Type="http://schemas.openxmlformats.org/officeDocument/2006/relationships/hyperlink" Target="https://www.pestel-institut.de/blog/2023/01/16/bauen-und-wohnen-in-der-krise-2-2023/" TargetMode="External"/><Relationship Id="rId20" Type="http://schemas.openxmlformats.org/officeDocument/2006/relationships/hyperlink" Target="https://www.destatis.de/DE/Presse/Pressemitteilungen/2023/08/PD23_305_229.html" TargetMode="External"/><Relationship Id="rId1" Type="http://schemas.openxmlformats.org/officeDocument/2006/relationships/hyperlink" Target="https://www.auswaertiges-amt.de/en/about-us/coordinators/hr-commissioner/uebersicht/228992" TargetMode="External"/><Relationship Id="rId6" Type="http://schemas.openxmlformats.org/officeDocument/2006/relationships/hyperlink" Target="https://equineteurope.org/european-directory-of-equality-bodies/" TargetMode="External"/><Relationship Id="rId11" Type="http://schemas.openxmlformats.org/officeDocument/2006/relationships/hyperlink" Target="https://www.antidiskriminierungsstelle.de/SharedDocs/aktuelles/DE/2023/20230420_Fachtagung_AGG_Reform.html" TargetMode="External"/><Relationship Id="rId24" Type="http://schemas.openxmlformats.org/officeDocument/2006/relationships/hyperlink" Target="http://juris.bundesgerichtshof.de/cgi-bin/rechtsprechung/document.py?Gericht=bgh&amp;Art=en&amp;nr=32077&amp;pos=0&amp;anz=1" TargetMode="External"/><Relationship Id="rId5" Type="http://schemas.openxmlformats.org/officeDocument/2006/relationships/hyperlink" Target="https://ennhri.org/council-of-europe-nhri-recommendation-baseline-study/" TargetMode="External"/><Relationship Id="rId15" Type="http://schemas.openxmlformats.org/officeDocument/2006/relationships/hyperlink" Target="https://www.ohchr.org/en/documents/concluding-observations/ec12deuco6-concluding-observations-sixth-periodic-report-germany" TargetMode="External"/><Relationship Id="rId23" Type="http://schemas.openxmlformats.org/officeDocument/2006/relationships/hyperlink" Target="https://www.bagw.de/de/themen/praevention/fachstellen" TargetMode="External"/><Relationship Id="rId10" Type="http://schemas.openxmlformats.org/officeDocument/2006/relationships/hyperlink" Target="https://www.antidiskriminierungsstelle.de/SharedDocs/downloads/DE/publikationen/AGG/agg_evaluation.pdf?__blob=publicationFile&amp;v=12" TargetMode="External"/><Relationship Id="rId19" Type="http://schemas.openxmlformats.org/officeDocument/2006/relationships/hyperlink" Target="https://www.bmwsb.bund.de/SharedDocs/downloads/Webs/BMWSB/DE/veroeffentlichungen/pm-kurzmeldung/wohnungslosenbericht-2022.pdf?__blob=publicationFile&amp;v=3" TargetMode="External"/><Relationship Id="rId4" Type="http://schemas.openxmlformats.org/officeDocument/2006/relationships/hyperlink" Target="https://ganhri.org/wp-content/uploads/2023/11/SCA-Report-Second-Session-2023-EN.pdf" TargetMode="External"/><Relationship Id="rId9" Type="http://schemas.openxmlformats.org/officeDocument/2006/relationships/hyperlink" Target="https://www.antidiskriminierungsstelle.de/SharedDocs/downloads/DE/publikationen/Expertisen/expertise_diskriminierungserfahrungen_in_deutschland.html" TargetMode="External"/><Relationship Id="rId14" Type="http://schemas.openxmlformats.org/officeDocument/2006/relationships/hyperlink" Target="https://www.institut-fuer-menschenrechte.de/aktuelles/detail/bundesregierung-muss-die-im-koalitionsvertrag-vereinbarten-massnahmen-im-mietrecht-angehen" TargetMode="External"/><Relationship Id="rId22" Type="http://schemas.openxmlformats.org/officeDocument/2006/relationships/hyperlink" Target="https://www.feantsaresearch.org/public/user/Observatory/2021/EJH_15-1/EJH_15-1_Web.pdf" TargetMode="External"/><Relationship Id="rId27" Type="http://schemas.openxmlformats.org/officeDocument/2006/relationships/hyperlink" Target="https://www.ohchr.org/en/documents/thematic-reports/ahrc4343-guidelines-implementation-right-adequate-housing-report-spe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INSOT\ND%20Office%20Echo\DE-F01DX4EA\Country%20report%202024%202788-3557-7353%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C831-82F3-4B30-BCD4-888BFEE5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Country report 2024 2788-3557-7353 v.1.dotx</Template>
  <TotalTime>10</TotalTime>
  <Pages>28</Pages>
  <Words>14699</Words>
  <Characters>80850</Characters>
  <Application>Microsoft Office Word</Application>
  <DocSecurity>0</DocSecurity>
  <Lines>673</Lines>
  <Paragraphs>190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Country report</vt:lpstr>
      <vt:lpstr/>
    </vt:vector>
  </TitlesOfParts>
  <Company>Council of Europe</Company>
  <LinksUpToDate>false</LinksUpToDate>
  <CharactersWithSpaces>95359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report</dc:title>
  <dc:creator>SOKOLOVA Nadia</dc:creator>
  <cp:lastModifiedBy>MARIE-ST-GERMAIN Magnus</cp:lastModifiedBy>
  <cp:revision>3</cp:revision>
  <cp:lastPrinted>2024-02-23T11:12:00Z</cp:lastPrinted>
  <dcterms:created xsi:type="dcterms:W3CDTF">2024-04-09T09:02:00Z</dcterms:created>
  <dcterms:modified xsi:type="dcterms:W3CDTF">2024-04-11T12:24:00Z</dcterms:modified>
</cp:coreProperties>
</file>