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EA9F" w14:textId="77777777" w:rsidR="009E5BEE" w:rsidRDefault="009E5BEE" w:rsidP="009E5BEE">
      <w:pPr>
        <w:rPr>
          <w:rFonts w:ascii="Arial" w:hAnsi="Arial" w:cs="Arial"/>
          <w:b/>
          <w:bCs/>
          <w:sz w:val="20"/>
          <w:szCs w:val="20"/>
        </w:rPr>
      </w:pPr>
      <w:r w:rsidRPr="00A311D4">
        <w:rPr>
          <w:rFonts w:ascii="Arial" w:hAnsi="Arial" w:cs="Arial"/>
          <w:b/>
          <w:bCs/>
          <w:sz w:val="20"/>
          <w:szCs w:val="20"/>
        </w:rPr>
        <w:t>46th SESSION</w:t>
      </w:r>
    </w:p>
    <w:p w14:paraId="085E54AF" w14:textId="77777777" w:rsidR="005919AB" w:rsidRDefault="005919AB" w:rsidP="009E5BEE">
      <w:pPr>
        <w:rPr>
          <w:rFonts w:ascii="Arial" w:hAnsi="Arial" w:cs="Arial"/>
          <w:b/>
          <w:bCs/>
          <w:sz w:val="20"/>
          <w:szCs w:val="20"/>
        </w:rPr>
      </w:pPr>
    </w:p>
    <w:p w14:paraId="7C3BDB9E" w14:textId="77777777" w:rsidR="00F402D8" w:rsidRPr="00A4644D" w:rsidRDefault="00F402D8" w:rsidP="00F402D8">
      <w:pPr>
        <w:ind w:right="92"/>
        <w:rPr>
          <w:rFonts w:ascii="Arial" w:hAnsi="Arial" w:cs="Arial"/>
          <w:sz w:val="20"/>
        </w:rPr>
      </w:pPr>
      <w:r w:rsidRPr="00A4644D">
        <w:rPr>
          <w:rFonts w:ascii="Arial" w:hAnsi="Arial" w:cs="Arial"/>
          <w:sz w:val="20"/>
        </w:rPr>
        <w:t>Report</w:t>
      </w:r>
    </w:p>
    <w:p w14:paraId="00C19ADA" w14:textId="751590E0" w:rsidR="009E5BEE" w:rsidRPr="00F67004" w:rsidRDefault="009E5BEE" w:rsidP="009E5BEE">
      <w:pPr>
        <w:rPr>
          <w:rFonts w:ascii="Arial" w:hAnsi="Arial" w:cs="Arial"/>
          <w:sz w:val="16"/>
          <w:szCs w:val="20"/>
        </w:rPr>
      </w:pPr>
      <w:r>
        <w:rPr>
          <w:rFonts w:ascii="Arial" w:hAnsi="Arial" w:cs="Arial"/>
          <w:sz w:val="20"/>
        </w:rPr>
        <w:t>CG(2024)46-20</w:t>
      </w:r>
    </w:p>
    <w:p w14:paraId="1E5E3C71" w14:textId="0CD474FB" w:rsidR="009E5BEE" w:rsidRPr="00F67004" w:rsidRDefault="00F402D8" w:rsidP="009E5BEE">
      <w:pPr>
        <w:rPr>
          <w:rFonts w:ascii="Arial" w:hAnsi="Arial" w:cs="Arial"/>
          <w:sz w:val="20"/>
          <w:szCs w:val="20"/>
        </w:rPr>
      </w:pPr>
      <w:r>
        <w:rPr>
          <w:rFonts w:ascii="Arial" w:hAnsi="Arial" w:cs="Arial"/>
          <w:sz w:val="20"/>
          <w:szCs w:val="20"/>
        </w:rPr>
        <w:t>26 March</w:t>
      </w:r>
      <w:r w:rsidR="009E5BEE" w:rsidRPr="00F67004">
        <w:rPr>
          <w:rFonts w:ascii="Arial" w:hAnsi="Arial" w:cs="Arial"/>
          <w:sz w:val="20"/>
          <w:szCs w:val="20"/>
        </w:rPr>
        <w:t xml:space="preserve"> 20</w:t>
      </w:r>
      <w:r w:rsidR="009E5BEE">
        <w:rPr>
          <w:rFonts w:ascii="Arial" w:hAnsi="Arial" w:cs="Arial"/>
          <w:sz w:val="20"/>
          <w:szCs w:val="20"/>
        </w:rPr>
        <w:t xml:space="preserve">24 </w:t>
      </w:r>
    </w:p>
    <w:p w14:paraId="5EBBA835" w14:textId="30BC196E" w:rsidR="00677F5B" w:rsidRPr="00875303" w:rsidRDefault="00677F5B" w:rsidP="00784856">
      <w:pPr>
        <w:rPr>
          <w:rFonts w:ascii="Arial" w:hAnsi="Arial" w:cs="Arial"/>
          <w:sz w:val="20"/>
          <w:szCs w:val="20"/>
        </w:rPr>
      </w:pPr>
    </w:p>
    <w:p w14:paraId="6030EE5E" w14:textId="114B8E4F" w:rsidR="00677F5B" w:rsidRPr="00875303" w:rsidRDefault="00677F5B" w:rsidP="00784856">
      <w:pPr>
        <w:rPr>
          <w:rFonts w:ascii="Arial" w:hAnsi="Arial" w:cs="Arial"/>
          <w:sz w:val="20"/>
          <w:szCs w:val="20"/>
        </w:rPr>
      </w:pPr>
    </w:p>
    <w:p w14:paraId="50356DC8" w14:textId="01DAAC54" w:rsidR="00677F5B" w:rsidRPr="00F67004" w:rsidRDefault="004C647C" w:rsidP="00472131">
      <w:pPr>
        <w:pStyle w:val="COETitreRapport"/>
        <w:rPr>
          <w:sz w:val="28"/>
          <w:lang w:val="en-GB"/>
        </w:rPr>
      </w:pPr>
      <w:r>
        <w:rPr>
          <w:sz w:val="28"/>
          <w:lang w:val="en-GB"/>
        </w:rPr>
        <w:t xml:space="preserve">Local and Regional Authorities as </w:t>
      </w:r>
      <w:r w:rsidR="00E92F4B" w:rsidRPr="00E92F4B">
        <w:rPr>
          <w:sz w:val="28"/>
          <w:lang w:val="en-GB"/>
        </w:rPr>
        <w:t xml:space="preserve">Actors and </w:t>
      </w:r>
      <w:r>
        <w:rPr>
          <w:sz w:val="28"/>
          <w:lang w:val="en-GB"/>
        </w:rPr>
        <w:t>Guarantors of</w:t>
      </w:r>
      <w:r w:rsidR="0021108F">
        <w:rPr>
          <w:sz w:val="28"/>
          <w:lang w:val="en-GB"/>
        </w:rPr>
        <w:t xml:space="preserve"> the Rule of</w:t>
      </w:r>
      <w:r>
        <w:rPr>
          <w:sz w:val="28"/>
          <w:lang w:val="en-GB"/>
        </w:rPr>
        <w:t xml:space="preserve"> Law</w:t>
      </w:r>
      <w:r w:rsidR="000410DA">
        <w:rPr>
          <w:sz w:val="28"/>
          <w:lang w:val="en-GB"/>
        </w:rPr>
        <w:t xml:space="preserve"> </w:t>
      </w:r>
    </w:p>
    <w:p w14:paraId="2CC15F22" w14:textId="415426F7" w:rsidR="00677F5B" w:rsidRDefault="00677F5B" w:rsidP="00784856">
      <w:pPr>
        <w:rPr>
          <w:rFonts w:ascii="Arial" w:hAnsi="Arial" w:cs="Arial"/>
          <w:sz w:val="20"/>
          <w:szCs w:val="20"/>
        </w:rPr>
      </w:pPr>
    </w:p>
    <w:p w14:paraId="116B6E27" w14:textId="3B95D850" w:rsidR="00472131" w:rsidRPr="0080275C" w:rsidRDefault="0080275C" w:rsidP="0080275C">
      <w:pPr>
        <w:rPr>
          <w:rFonts w:ascii="Arial" w:hAnsi="Arial" w:cs="Arial"/>
          <w:sz w:val="20"/>
          <w:szCs w:val="20"/>
          <w:lang w:val="en-US"/>
        </w:rPr>
      </w:pPr>
      <w:r w:rsidRPr="0080275C">
        <w:rPr>
          <w:rFonts w:ascii="Arial" w:hAnsi="Arial" w:cs="Arial"/>
          <w:sz w:val="20"/>
          <w:szCs w:val="20"/>
          <w:lang w:val="en-US"/>
        </w:rPr>
        <w:t xml:space="preserve">Committee on the Honouring of Obligations and Commitments by </w:t>
      </w:r>
      <w:r w:rsidR="002E0C93">
        <w:rPr>
          <w:rFonts w:ascii="Arial" w:hAnsi="Arial" w:cs="Arial"/>
          <w:sz w:val="20"/>
          <w:szCs w:val="20"/>
          <w:lang w:val="en-US"/>
        </w:rPr>
        <w:t>m</w:t>
      </w:r>
      <w:r w:rsidRPr="0080275C">
        <w:rPr>
          <w:rFonts w:ascii="Arial" w:hAnsi="Arial" w:cs="Arial"/>
          <w:sz w:val="20"/>
          <w:szCs w:val="20"/>
          <w:lang w:val="en-US"/>
        </w:rPr>
        <w:t>ember States of the European Charter of Local Self-Government (Monitoring Committee)</w:t>
      </w:r>
    </w:p>
    <w:p w14:paraId="616D76A1" w14:textId="7E30D0E6" w:rsidR="00875303" w:rsidRDefault="00875303" w:rsidP="00784856">
      <w:pPr>
        <w:rPr>
          <w:rFonts w:ascii="Arial" w:hAnsi="Arial" w:cs="Arial"/>
          <w:sz w:val="20"/>
          <w:szCs w:val="20"/>
        </w:rPr>
      </w:pPr>
    </w:p>
    <w:p w14:paraId="3F6CDBA0" w14:textId="4FF177E3" w:rsidR="00973888" w:rsidRPr="005E5A20" w:rsidRDefault="008B4B56" w:rsidP="00784856">
      <w:pPr>
        <w:tabs>
          <w:tab w:val="left" w:pos="1985"/>
        </w:tabs>
        <w:ind w:left="4111" w:hanging="4111"/>
        <w:jc w:val="both"/>
        <w:rPr>
          <w:rFonts w:ascii="Arial" w:hAnsi="Arial" w:cs="Arial"/>
          <w:sz w:val="20"/>
          <w:szCs w:val="20"/>
        </w:rPr>
      </w:pPr>
      <w:r w:rsidRPr="00E05366">
        <w:rPr>
          <w:rFonts w:ascii="Arial" w:hAnsi="Arial" w:cs="Arial"/>
          <w:sz w:val="20"/>
          <w:szCs w:val="20"/>
        </w:rPr>
        <w:t>Rapporteur:</w:t>
      </w:r>
      <w:r w:rsidR="00973888" w:rsidRPr="003D5B0E">
        <w:rPr>
          <w:rStyle w:val="FootnoteReference"/>
          <w:rFonts w:ascii="Arial" w:hAnsi="Arial" w:cs="Arial"/>
          <w:sz w:val="20"/>
          <w:szCs w:val="20"/>
        </w:rPr>
        <w:footnoteReference w:id="1"/>
      </w:r>
      <w:r w:rsidR="00053921" w:rsidRPr="00E05366">
        <w:rPr>
          <w:rFonts w:ascii="Arial" w:hAnsi="Arial" w:cs="Arial"/>
          <w:sz w:val="20"/>
          <w:szCs w:val="20"/>
        </w:rPr>
        <w:tab/>
      </w:r>
      <w:r w:rsidR="000A5ACD" w:rsidRPr="000A5ACD">
        <w:rPr>
          <w:rFonts w:ascii="Arial" w:hAnsi="Arial" w:cs="Arial"/>
          <w:bCs/>
          <w:sz w:val="20"/>
          <w:szCs w:val="20"/>
        </w:rPr>
        <w:t>Stewart DICKSON</w:t>
      </w:r>
      <w:r w:rsidR="00470328" w:rsidRPr="000A5ACD">
        <w:rPr>
          <w:rFonts w:ascii="Arial" w:hAnsi="Arial" w:cs="Arial"/>
          <w:bCs/>
          <w:sz w:val="20"/>
          <w:szCs w:val="20"/>
        </w:rPr>
        <w:t xml:space="preserve">, </w:t>
      </w:r>
      <w:r w:rsidR="000A5ACD" w:rsidRPr="000A5ACD">
        <w:rPr>
          <w:rFonts w:ascii="Arial" w:hAnsi="Arial" w:cs="Arial"/>
          <w:bCs/>
          <w:sz w:val="20"/>
          <w:szCs w:val="20"/>
        </w:rPr>
        <w:t>United Kingdom</w:t>
      </w:r>
      <w:r w:rsidR="00BE0523" w:rsidRPr="000A5ACD">
        <w:rPr>
          <w:rFonts w:ascii="Arial" w:hAnsi="Arial" w:cs="Arial"/>
          <w:bCs/>
          <w:sz w:val="20"/>
          <w:szCs w:val="20"/>
        </w:rPr>
        <w:t xml:space="preserve"> </w:t>
      </w:r>
      <w:r w:rsidR="00470328" w:rsidRPr="000A5ACD">
        <w:rPr>
          <w:rFonts w:ascii="Arial" w:hAnsi="Arial" w:cs="Arial"/>
          <w:bCs/>
          <w:sz w:val="20"/>
          <w:szCs w:val="20"/>
        </w:rPr>
        <w:t>(</w:t>
      </w:r>
      <w:r w:rsidR="000A5ACD" w:rsidRPr="000A5ACD">
        <w:rPr>
          <w:rFonts w:ascii="Arial" w:hAnsi="Arial" w:cs="Arial"/>
          <w:bCs/>
          <w:sz w:val="20"/>
          <w:szCs w:val="20"/>
        </w:rPr>
        <w:t>R</w:t>
      </w:r>
      <w:r w:rsidR="00470328" w:rsidRPr="000A5ACD">
        <w:rPr>
          <w:rFonts w:ascii="Arial" w:hAnsi="Arial" w:cs="Arial"/>
          <w:bCs/>
          <w:sz w:val="20"/>
          <w:szCs w:val="20"/>
        </w:rPr>
        <w:t xml:space="preserve">, </w:t>
      </w:r>
      <w:r w:rsidR="000A5ACD" w:rsidRPr="000A5ACD">
        <w:rPr>
          <w:rFonts w:ascii="Arial" w:hAnsi="Arial" w:cs="Arial"/>
          <w:bCs/>
          <w:sz w:val="20"/>
          <w:szCs w:val="20"/>
        </w:rPr>
        <w:t>ILDG</w:t>
      </w:r>
      <w:r w:rsidR="00675BAA" w:rsidRPr="000A5ACD">
        <w:rPr>
          <w:rFonts w:ascii="Arial" w:hAnsi="Arial" w:cs="Arial"/>
          <w:bCs/>
          <w:sz w:val="20"/>
          <w:szCs w:val="20"/>
        </w:rPr>
        <w:t>)</w:t>
      </w:r>
      <w:r w:rsidR="00675BAA" w:rsidRPr="005E5A20">
        <w:rPr>
          <w:rFonts w:ascii="Arial" w:hAnsi="Arial" w:cs="Arial"/>
          <w:bCs/>
          <w:sz w:val="20"/>
          <w:szCs w:val="20"/>
        </w:rPr>
        <w:t xml:space="preserve"> </w:t>
      </w:r>
    </w:p>
    <w:p w14:paraId="4E325A7F" w14:textId="79D4B47B" w:rsidR="00745BD0" w:rsidRPr="008F416F" w:rsidRDefault="00745BD0" w:rsidP="0080275C">
      <w:pPr>
        <w:tabs>
          <w:tab w:val="left" w:pos="1985"/>
        </w:tabs>
        <w:jc w:val="both"/>
        <w:rPr>
          <w:rFonts w:ascii="Arial" w:hAnsi="Arial" w:cs="Arial"/>
          <w:sz w:val="20"/>
          <w:szCs w:val="20"/>
        </w:rPr>
      </w:pPr>
    </w:p>
    <w:p w14:paraId="24B1EA54" w14:textId="4FCDEBBE" w:rsidR="004C647C" w:rsidRPr="00042341" w:rsidRDefault="00A72184" w:rsidP="00042341">
      <w:pPr>
        <w:pStyle w:val="TOC1"/>
        <w:rPr>
          <w:rFonts w:asciiTheme="minorHAnsi" w:eastAsiaTheme="minorEastAsia" w:hAnsiTheme="minorHAnsi" w:cstheme="minorBidi"/>
          <w:b w:val="0"/>
          <w:bCs w:val="0"/>
          <w:snapToGrid/>
          <w:sz w:val="22"/>
          <w:szCs w:val="22"/>
        </w:rPr>
      </w:pPr>
      <w:r w:rsidRPr="005E5A20">
        <w:rPr>
          <w:lang w:val="en-GB"/>
        </w:rPr>
        <w:fldChar w:fldCharType="begin"/>
      </w:r>
      <w:r w:rsidR="00D17595" w:rsidRPr="005E5A20">
        <w:rPr>
          <w:lang w:val="en-GB"/>
        </w:rPr>
        <w:instrText xml:space="preserve"> TOC \o "1-3" \h \z \u </w:instrText>
      </w:r>
      <w:r w:rsidRPr="005E5A20">
        <w:rPr>
          <w:lang w:val="en-GB"/>
        </w:rPr>
        <w:fldChar w:fldCharType="separate"/>
      </w:r>
      <w:hyperlink w:anchor="_Toc139014749" w:history="1">
        <w:r w:rsidR="00F402D8" w:rsidRPr="00042341">
          <w:rPr>
            <w:rStyle w:val="Hyperlink"/>
            <w:b w:val="0"/>
            <w:bCs w:val="0"/>
            <w:color w:val="auto"/>
          </w:rPr>
          <w:t>R</w:t>
        </w:r>
        <w:r w:rsidR="004C647C" w:rsidRPr="00042341">
          <w:rPr>
            <w:rStyle w:val="Hyperlink"/>
            <w:b w:val="0"/>
            <w:bCs w:val="0"/>
            <w:color w:val="auto"/>
          </w:rPr>
          <w:t>esolution</w:t>
        </w:r>
        <w:r w:rsidR="00E71B3E" w:rsidRPr="00042341">
          <w:rPr>
            <w:rStyle w:val="Hyperlink"/>
            <w:b w:val="0"/>
            <w:bCs w:val="0"/>
            <w:color w:val="auto"/>
          </w:rPr>
          <w:t xml:space="preserve"> </w:t>
        </w:r>
        <w:r w:rsidR="00F402D8" w:rsidRPr="00042341">
          <w:rPr>
            <w:rStyle w:val="Hyperlink"/>
            <w:b w:val="0"/>
            <w:bCs w:val="0"/>
            <w:color w:val="auto"/>
          </w:rPr>
          <w:t xml:space="preserve">499 </w:t>
        </w:r>
        <w:r w:rsidR="00E71B3E" w:rsidRPr="00042341">
          <w:rPr>
            <w:rStyle w:val="Hyperlink"/>
            <w:b w:val="0"/>
            <w:bCs w:val="0"/>
            <w:color w:val="auto"/>
          </w:rPr>
          <w:t>(</w:t>
        </w:r>
        <w:r w:rsidR="00F402D8" w:rsidRPr="00042341">
          <w:rPr>
            <w:rStyle w:val="Hyperlink"/>
            <w:b w:val="0"/>
            <w:bCs w:val="0"/>
            <w:color w:val="auto"/>
          </w:rPr>
          <w:t>2024</w:t>
        </w:r>
        <w:r w:rsidR="00E71B3E" w:rsidRPr="00042341">
          <w:rPr>
            <w:rStyle w:val="Hyperlink"/>
            <w:b w:val="0"/>
            <w:bCs w:val="0"/>
            <w:color w:val="auto"/>
          </w:rPr>
          <w:t>)</w:t>
        </w:r>
        <w:r w:rsidR="004C647C" w:rsidRPr="00042341">
          <w:rPr>
            <w:b w:val="0"/>
            <w:bCs w:val="0"/>
            <w:webHidden/>
          </w:rPr>
          <w:tab/>
        </w:r>
        <w:r w:rsidR="004C647C" w:rsidRPr="00042341">
          <w:rPr>
            <w:b w:val="0"/>
            <w:bCs w:val="0"/>
            <w:webHidden/>
          </w:rPr>
          <w:fldChar w:fldCharType="begin"/>
        </w:r>
        <w:r w:rsidR="004C647C" w:rsidRPr="00042341">
          <w:rPr>
            <w:b w:val="0"/>
            <w:bCs w:val="0"/>
            <w:webHidden/>
          </w:rPr>
          <w:instrText xml:space="preserve"> PAGEREF _Toc139014749 \h </w:instrText>
        </w:r>
        <w:r w:rsidR="004C647C" w:rsidRPr="00042341">
          <w:rPr>
            <w:b w:val="0"/>
            <w:bCs w:val="0"/>
            <w:webHidden/>
          </w:rPr>
        </w:r>
        <w:r w:rsidR="004C647C" w:rsidRPr="00042341">
          <w:rPr>
            <w:b w:val="0"/>
            <w:bCs w:val="0"/>
            <w:webHidden/>
          </w:rPr>
          <w:fldChar w:fldCharType="separate"/>
        </w:r>
        <w:r w:rsidR="00B84119" w:rsidRPr="00042341">
          <w:rPr>
            <w:b w:val="0"/>
            <w:bCs w:val="0"/>
            <w:webHidden/>
          </w:rPr>
          <w:t>2</w:t>
        </w:r>
        <w:r w:rsidR="004C647C" w:rsidRPr="00042341">
          <w:rPr>
            <w:b w:val="0"/>
            <w:bCs w:val="0"/>
            <w:webHidden/>
          </w:rPr>
          <w:fldChar w:fldCharType="end"/>
        </w:r>
      </w:hyperlink>
    </w:p>
    <w:p w14:paraId="58775056" w14:textId="1CFFEB85" w:rsidR="004C647C" w:rsidRPr="00042341" w:rsidRDefault="00607E66" w:rsidP="00042341">
      <w:pPr>
        <w:pStyle w:val="TOC1"/>
        <w:rPr>
          <w:rFonts w:asciiTheme="minorHAnsi" w:eastAsiaTheme="minorEastAsia" w:hAnsiTheme="minorHAnsi" w:cstheme="minorBidi"/>
          <w:b w:val="0"/>
          <w:bCs w:val="0"/>
          <w:snapToGrid/>
          <w:sz w:val="22"/>
          <w:szCs w:val="22"/>
        </w:rPr>
      </w:pPr>
      <w:hyperlink w:anchor="_Toc139014750" w:history="1">
        <w:r w:rsidR="00F402D8" w:rsidRPr="00042341">
          <w:rPr>
            <w:b w:val="0"/>
            <w:bCs w:val="0"/>
          </w:rPr>
          <w:t>R</w:t>
        </w:r>
        <w:r w:rsidR="004C647C" w:rsidRPr="00042341">
          <w:rPr>
            <w:rStyle w:val="Hyperlink"/>
            <w:b w:val="0"/>
            <w:bCs w:val="0"/>
            <w:color w:val="auto"/>
          </w:rPr>
          <w:t>ecommendation</w:t>
        </w:r>
        <w:r w:rsidR="00E71B3E" w:rsidRPr="00042341">
          <w:rPr>
            <w:rStyle w:val="Hyperlink"/>
            <w:b w:val="0"/>
            <w:bCs w:val="0"/>
            <w:color w:val="auto"/>
          </w:rPr>
          <w:t xml:space="preserve"> </w:t>
        </w:r>
        <w:r w:rsidR="00F402D8" w:rsidRPr="00042341">
          <w:rPr>
            <w:rStyle w:val="Hyperlink"/>
            <w:b w:val="0"/>
            <w:bCs w:val="0"/>
            <w:color w:val="auto"/>
          </w:rPr>
          <w:t xml:space="preserve">502 </w:t>
        </w:r>
        <w:r w:rsidR="00E71B3E" w:rsidRPr="00042341">
          <w:rPr>
            <w:rStyle w:val="Hyperlink"/>
            <w:b w:val="0"/>
            <w:bCs w:val="0"/>
            <w:color w:val="auto"/>
          </w:rPr>
          <w:t>(</w:t>
        </w:r>
        <w:r w:rsidR="00F402D8" w:rsidRPr="00042341">
          <w:rPr>
            <w:rStyle w:val="Hyperlink"/>
            <w:b w:val="0"/>
            <w:bCs w:val="0"/>
            <w:color w:val="auto"/>
          </w:rPr>
          <w:t>2024</w:t>
        </w:r>
        <w:r w:rsidR="00E71B3E" w:rsidRPr="00042341">
          <w:rPr>
            <w:rStyle w:val="Hyperlink"/>
            <w:b w:val="0"/>
            <w:bCs w:val="0"/>
            <w:color w:val="auto"/>
          </w:rPr>
          <w:t>)</w:t>
        </w:r>
        <w:r w:rsidR="004C647C" w:rsidRPr="00042341">
          <w:rPr>
            <w:b w:val="0"/>
            <w:bCs w:val="0"/>
            <w:webHidden/>
          </w:rPr>
          <w:tab/>
        </w:r>
        <w:r w:rsidR="004C647C" w:rsidRPr="00042341">
          <w:rPr>
            <w:b w:val="0"/>
            <w:bCs w:val="0"/>
            <w:webHidden/>
          </w:rPr>
          <w:fldChar w:fldCharType="begin"/>
        </w:r>
        <w:r w:rsidR="004C647C" w:rsidRPr="00042341">
          <w:rPr>
            <w:b w:val="0"/>
            <w:bCs w:val="0"/>
            <w:webHidden/>
          </w:rPr>
          <w:instrText xml:space="preserve"> PAGEREF _Toc139014750 \h </w:instrText>
        </w:r>
        <w:r w:rsidR="004C647C" w:rsidRPr="00042341">
          <w:rPr>
            <w:b w:val="0"/>
            <w:bCs w:val="0"/>
            <w:webHidden/>
          </w:rPr>
        </w:r>
        <w:r w:rsidR="004C647C" w:rsidRPr="00042341">
          <w:rPr>
            <w:b w:val="0"/>
            <w:bCs w:val="0"/>
            <w:webHidden/>
          </w:rPr>
          <w:fldChar w:fldCharType="separate"/>
        </w:r>
        <w:r w:rsidR="00B84119" w:rsidRPr="00042341">
          <w:rPr>
            <w:b w:val="0"/>
            <w:bCs w:val="0"/>
            <w:webHidden/>
          </w:rPr>
          <w:t>4</w:t>
        </w:r>
        <w:r w:rsidR="004C647C" w:rsidRPr="00042341">
          <w:rPr>
            <w:b w:val="0"/>
            <w:bCs w:val="0"/>
            <w:webHidden/>
          </w:rPr>
          <w:fldChar w:fldCharType="end"/>
        </w:r>
      </w:hyperlink>
    </w:p>
    <w:p w14:paraId="7451D971" w14:textId="43062330" w:rsidR="004C647C" w:rsidRPr="00042341" w:rsidRDefault="00607E66" w:rsidP="00042341">
      <w:pPr>
        <w:pStyle w:val="TOC1"/>
        <w:rPr>
          <w:rStyle w:val="Hyperlink"/>
          <w:b w:val="0"/>
          <w:bCs w:val="0"/>
          <w:color w:val="auto"/>
        </w:rPr>
      </w:pPr>
      <w:hyperlink w:anchor="_Toc139014751" w:history="1">
        <w:r w:rsidR="00E71B3E" w:rsidRPr="00042341">
          <w:rPr>
            <w:b w:val="0"/>
            <w:bCs w:val="0"/>
          </w:rPr>
          <w:t>E</w:t>
        </w:r>
        <w:r w:rsidR="004C647C" w:rsidRPr="00042341">
          <w:rPr>
            <w:rStyle w:val="Hyperlink"/>
            <w:b w:val="0"/>
            <w:bCs w:val="0"/>
            <w:color w:val="auto"/>
          </w:rPr>
          <w:t>xplanatory memorandum</w:t>
        </w:r>
        <w:r w:rsidR="004C647C" w:rsidRPr="00042341">
          <w:rPr>
            <w:b w:val="0"/>
            <w:bCs w:val="0"/>
            <w:webHidden/>
          </w:rPr>
          <w:tab/>
        </w:r>
        <w:r w:rsidR="004C647C" w:rsidRPr="00042341">
          <w:rPr>
            <w:b w:val="0"/>
            <w:bCs w:val="0"/>
            <w:webHidden/>
          </w:rPr>
          <w:fldChar w:fldCharType="begin"/>
        </w:r>
        <w:r w:rsidR="004C647C" w:rsidRPr="00042341">
          <w:rPr>
            <w:b w:val="0"/>
            <w:bCs w:val="0"/>
            <w:webHidden/>
          </w:rPr>
          <w:instrText xml:space="preserve"> PAGEREF _Toc139014751 \h </w:instrText>
        </w:r>
        <w:r w:rsidR="004C647C" w:rsidRPr="00042341">
          <w:rPr>
            <w:b w:val="0"/>
            <w:bCs w:val="0"/>
            <w:webHidden/>
          </w:rPr>
        </w:r>
        <w:r w:rsidR="004C647C" w:rsidRPr="00042341">
          <w:rPr>
            <w:b w:val="0"/>
            <w:bCs w:val="0"/>
            <w:webHidden/>
          </w:rPr>
          <w:fldChar w:fldCharType="separate"/>
        </w:r>
        <w:r w:rsidR="00B84119" w:rsidRPr="00042341">
          <w:rPr>
            <w:b w:val="0"/>
            <w:bCs w:val="0"/>
            <w:webHidden/>
          </w:rPr>
          <w:t>5</w:t>
        </w:r>
        <w:r w:rsidR="004C647C" w:rsidRPr="00042341">
          <w:rPr>
            <w:b w:val="0"/>
            <w:bCs w:val="0"/>
            <w:webHidden/>
          </w:rPr>
          <w:fldChar w:fldCharType="end"/>
        </w:r>
      </w:hyperlink>
    </w:p>
    <w:p w14:paraId="50FBFD7E" w14:textId="442E28F2" w:rsidR="004C647C" w:rsidRPr="00042341" w:rsidRDefault="004C647C" w:rsidP="000D6BFE">
      <w:pPr>
        <w:rPr>
          <w:rFonts w:eastAsiaTheme="minorEastAsia"/>
          <w:b/>
          <w:bCs/>
          <w:lang w:val="fr-FR" w:eastAsia="fr-FR"/>
        </w:rPr>
      </w:pPr>
    </w:p>
    <w:p w14:paraId="7994BC4B" w14:textId="4C07E5AE" w:rsidR="00875303" w:rsidRPr="00E9138F" w:rsidRDefault="00A72184" w:rsidP="00784856">
      <w:pPr>
        <w:jc w:val="both"/>
        <w:rPr>
          <w:rFonts w:ascii="Arial" w:hAnsi="Arial" w:cs="Arial"/>
          <w:i/>
          <w:sz w:val="20"/>
          <w:szCs w:val="20"/>
        </w:rPr>
      </w:pPr>
      <w:r w:rsidRPr="005E5A20">
        <w:rPr>
          <w:rFonts w:ascii="Arial" w:hAnsi="Arial" w:cs="Arial"/>
          <w:sz w:val="20"/>
          <w:szCs w:val="20"/>
        </w:rPr>
        <w:fldChar w:fldCharType="end"/>
      </w:r>
      <w:r w:rsidR="00E9138F" w:rsidRPr="00E9138F">
        <w:rPr>
          <w:rFonts w:ascii="Arial" w:hAnsi="Arial" w:cs="Arial"/>
          <w:i/>
          <w:sz w:val="20"/>
          <w:szCs w:val="20"/>
        </w:rPr>
        <w:t xml:space="preserve">Summary </w:t>
      </w:r>
    </w:p>
    <w:p w14:paraId="5A089343" w14:textId="22D68C17" w:rsidR="00875303" w:rsidRDefault="00875303" w:rsidP="00784856">
      <w:pPr>
        <w:jc w:val="both"/>
        <w:rPr>
          <w:rFonts w:ascii="Arial" w:hAnsi="Arial" w:cs="Arial"/>
          <w:sz w:val="20"/>
          <w:szCs w:val="20"/>
        </w:rPr>
      </w:pPr>
    </w:p>
    <w:p w14:paraId="3720143F" w14:textId="77777777" w:rsidR="001047B4" w:rsidRPr="005A54EA" w:rsidRDefault="001047B4" w:rsidP="001047B4">
      <w:pPr>
        <w:jc w:val="both"/>
        <w:rPr>
          <w:rFonts w:ascii="Arial" w:hAnsi="Arial" w:cs="Arial"/>
          <w:iCs/>
          <w:sz w:val="20"/>
          <w:szCs w:val="20"/>
        </w:rPr>
      </w:pPr>
      <w:r w:rsidRPr="005A54EA">
        <w:rPr>
          <w:rFonts w:ascii="Arial" w:hAnsi="Arial" w:cs="Arial"/>
          <w:iCs/>
          <w:sz w:val="20"/>
          <w:szCs w:val="20"/>
        </w:rPr>
        <w:t>The Council of Europe rests on three pillars: the protection of democracy, human rights and the rule of law. Local and regional authorities are rarely mentioned as having a direct impact on the rule of law, even though their role in this area is crucial.</w:t>
      </w:r>
    </w:p>
    <w:p w14:paraId="64B59385" w14:textId="77777777" w:rsidR="001047B4" w:rsidRPr="005A54EA" w:rsidRDefault="001047B4" w:rsidP="001047B4">
      <w:pPr>
        <w:jc w:val="both"/>
        <w:rPr>
          <w:rFonts w:ascii="Arial" w:hAnsi="Arial" w:cs="Arial"/>
          <w:iCs/>
          <w:sz w:val="20"/>
          <w:szCs w:val="20"/>
        </w:rPr>
      </w:pPr>
    </w:p>
    <w:p w14:paraId="24E93EF8" w14:textId="29E51930" w:rsidR="001047B4" w:rsidRPr="005A54EA" w:rsidRDefault="001047B4" w:rsidP="001047B4">
      <w:pPr>
        <w:jc w:val="both"/>
        <w:rPr>
          <w:rFonts w:ascii="Arial" w:hAnsi="Arial" w:cs="Arial"/>
          <w:iCs/>
          <w:sz w:val="20"/>
          <w:szCs w:val="20"/>
        </w:rPr>
      </w:pPr>
      <w:r w:rsidRPr="005A54EA">
        <w:rPr>
          <w:rFonts w:ascii="Arial" w:hAnsi="Arial" w:cs="Arial"/>
          <w:iCs/>
          <w:sz w:val="20"/>
          <w:szCs w:val="20"/>
        </w:rPr>
        <w:t>This report shows the importance of the rule of law for local and regional authorities and their administrations. Local and regional elected representatives have a duty to protect citizens against arbitrariness, injustice and discrimination</w:t>
      </w:r>
      <w:r w:rsidR="002E0C93">
        <w:rPr>
          <w:rFonts w:ascii="Arial" w:hAnsi="Arial" w:cs="Arial"/>
          <w:iCs/>
          <w:sz w:val="20"/>
          <w:szCs w:val="20"/>
        </w:rPr>
        <w:t>. At the same time,</w:t>
      </w:r>
      <w:r w:rsidRPr="005A54EA">
        <w:rPr>
          <w:rFonts w:ascii="Arial" w:hAnsi="Arial" w:cs="Arial"/>
          <w:iCs/>
          <w:sz w:val="20"/>
          <w:szCs w:val="20"/>
        </w:rPr>
        <w:t xml:space="preserve"> the rule of law also acts as a safeguard for local self-government, as national authorities must respect their commitments, in particular under the European Charter of Local Self-Government (ETS No. 122).</w:t>
      </w:r>
    </w:p>
    <w:p w14:paraId="232167EB" w14:textId="77777777" w:rsidR="001047B4" w:rsidRPr="005A54EA" w:rsidRDefault="001047B4" w:rsidP="001047B4">
      <w:pPr>
        <w:jc w:val="both"/>
        <w:rPr>
          <w:rFonts w:ascii="Arial" w:hAnsi="Arial" w:cs="Arial"/>
          <w:iCs/>
          <w:sz w:val="20"/>
          <w:szCs w:val="20"/>
        </w:rPr>
      </w:pPr>
    </w:p>
    <w:p w14:paraId="539C6236" w14:textId="77777777" w:rsidR="001047B4" w:rsidRPr="005A54EA" w:rsidRDefault="001047B4" w:rsidP="001047B4">
      <w:pPr>
        <w:jc w:val="both"/>
        <w:rPr>
          <w:rFonts w:ascii="Arial" w:hAnsi="Arial" w:cs="Arial"/>
          <w:iCs/>
          <w:sz w:val="20"/>
          <w:szCs w:val="20"/>
        </w:rPr>
      </w:pPr>
      <w:r w:rsidRPr="005A54EA">
        <w:rPr>
          <w:rFonts w:ascii="Arial" w:hAnsi="Arial" w:cs="Arial"/>
          <w:iCs/>
          <w:sz w:val="20"/>
          <w:szCs w:val="20"/>
        </w:rPr>
        <w:t xml:space="preserve">The rule of law guarantees that citizens elect their representatives freely and democratically, that laws are applied uniformly, that no one is above the law and that no one is discriminated against or left out. Local and regional authorities therefore have an obligation to comply with domestic judgments and also with judgments of the European Court of Human Rights that concern them. They also have a duty to combat arbitrariness and attempts at corruption that may arise at their level. </w:t>
      </w:r>
    </w:p>
    <w:p w14:paraId="3170822B" w14:textId="77777777" w:rsidR="001047B4" w:rsidRPr="005A54EA" w:rsidRDefault="001047B4" w:rsidP="001047B4">
      <w:pPr>
        <w:jc w:val="both"/>
        <w:rPr>
          <w:rFonts w:ascii="Arial" w:hAnsi="Arial" w:cs="Arial"/>
          <w:iCs/>
          <w:sz w:val="20"/>
          <w:szCs w:val="20"/>
        </w:rPr>
      </w:pPr>
    </w:p>
    <w:p w14:paraId="34F393F4" w14:textId="05AEEDCE" w:rsidR="00875303" w:rsidRDefault="001047B4" w:rsidP="00784856">
      <w:pPr>
        <w:jc w:val="both"/>
        <w:rPr>
          <w:rFonts w:ascii="Arial" w:hAnsi="Arial" w:cs="Arial"/>
          <w:sz w:val="20"/>
          <w:szCs w:val="20"/>
        </w:rPr>
      </w:pPr>
      <w:r w:rsidRPr="005A54EA">
        <w:rPr>
          <w:rFonts w:ascii="Arial" w:hAnsi="Arial" w:cs="Arial"/>
          <w:iCs/>
          <w:sz w:val="20"/>
          <w:szCs w:val="20"/>
        </w:rPr>
        <w:t>This report explores the concrete actions that can be taken by local and regional authorities to ensure respect for the rule of law at their levels of governance and thus strengthen or restore citizens' confidence in democratic institutions and guarantee respect for the fundamental rights of all.</w:t>
      </w:r>
    </w:p>
    <w:p w14:paraId="7F7FBE85" w14:textId="503ABE00" w:rsidR="00875303" w:rsidRDefault="00875303" w:rsidP="00784856">
      <w:pPr>
        <w:jc w:val="both"/>
        <w:rPr>
          <w:rFonts w:ascii="Arial" w:hAnsi="Arial" w:cs="Arial"/>
          <w:sz w:val="20"/>
          <w:szCs w:val="20"/>
        </w:rPr>
      </w:pPr>
    </w:p>
    <w:p w14:paraId="05062F30" w14:textId="01C0BCD1" w:rsidR="00875303" w:rsidRDefault="00CE6D6E" w:rsidP="00784856">
      <w:pPr>
        <w:jc w:val="both"/>
        <w:rPr>
          <w:rFonts w:ascii="Arial" w:hAnsi="Arial" w:cs="Arial"/>
          <w:sz w:val="20"/>
          <w:szCs w:val="20"/>
        </w:rPr>
      </w:pPr>
      <w:r w:rsidRPr="00CE6D6E">
        <w:rPr>
          <w:rFonts w:ascii="Arial" w:hAnsi="Arial" w:cs="Arial"/>
          <w:sz w:val="20"/>
          <w:szCs w:val="20"/>
        </w:rPr>
        <w:t xml:space="preserve">In the French version of the document, the concept of the rule of law may be understood as </w:t>
      </w:r>
      <w:r>
        <w:rPr>
          <w:rFonts w:ascii="Arial" w:hAnsi="Arial" w:cs="Arial"/>
          <w:sz w:val="20"/>
          <w:szCs w:val="20"/>
        </w:rPr>
        <w:t>“</w:t>
      </w:r>
      <w:r w:rsidRPr="00CE6D6E">
        <w:rPr>
          <w:rFonts w:ascii="Arial" w:hAnsi="Arial" w:cs="Arial"/>
          <w:sz w:val="20"/>
          <w:szCs w:val="20"/>
        </w:rPr>
        <w:t>prééminence du droit” (primacy of the law) to refer to the French version of the Statute of the Council of Europe (ETS No. 001).</w:t>
      </w:r>
    </w:p>
    <w:p w14:paraId="19D6228C" w14:textId="77777777" w:rsidR="00F402D8" w:rsidRPr="005F7E5B" w:rsidRDefault="00F402D8" w:rsidP="00784856">
      <w:pPr>
        <w:jc w:val="both"/>
        <w:rPr>
          <w:rFonts w:ascii="Arial" w:hAnsi="Arial" w:cs="Arial"/>
          <w:sz w:val="20"/>
          <w:szCs w:val="20"/>
        </w:rPr>
      </w:pPr>
    </w:p>
    <w:p w14:paraId="54F43059" w14:textId="66DA99E8" w:rsidR="004C647C" w:rsidRPr="00760626" w:rsidRDefault="004C647C" w:rsidP="004C647C">
      <w:pPr>
        <w:pStyle w:val="Heading1"/>
        <w:spacing w:before="0"/>
        <w:rPr>
          <w:rFonts w:ascii="Arial" w:hAnsi="Arial" w:cs="Arial"/>
          <w:color w:val="auto"/>
          <w:sz w:val="20"/>
          <w:szCs w:val="20"/>
        </w:rPr>
      </w:pPr>
      <w:bookmarkStart w:id="0" w:name="_Toc139014749"/>
      <w:bookmarkStart w:id="1" w:name="_Toc139019095"/>
      <w:bookmarkStart w:id="2" w:name="_Toc139019410"/>
      <w:bookmarkStart w:id="3" w:name="_Toc139020085"/>
      <w:bookmarkStart w:id="4" w:name="_Toc139020315"/>
      <w:bookmarkStart w:id="5" w:name="_Toc143512952"/>
      <w:bookmarkStart w:id="6" w:name="_Toc143513088"/>
      <w:bookmarkStart w:id="7" w:name="_Toc155705223"/>
      <w:bookmarkStart w:id="8" w:name="_Toc155705329"/>
      <w:bookmarkStart w:id="9" w:name="_Toc155705596"/>
      <w:bookmarkStart w:id="10" w:name="_Toc158375245"/>
      <w:bookmarkStart w:id="11" w:name="_Toc56592669"/>
      <w:bookmarkStart w:id="12" w:name="_Toc514076221"/>
      <w:bookmarkStart w:id="13" w:name="_Toc514840168"/>
      <w:r w:rsidRPr="00760626">
        <w:rPr>
          <w:rFonts w:ascii="Arial" w:hAnsi="Arial" w:cs="Arial"/>
          <w:color w:val="auto"/>
          <w:sz w:val="20"/>
          <w:szCs w:val="20"/>
        </w:rPr>
        <w:lastRenderedPageBreak/>
        <w:t>RESOLUTION</w:t>
      </w:r>
      <w:bookmarkEnd w:id="0"/>
      <w:bookmarkEnd w:id="1"/>
      <w:bookmarkEnd w:id="2"/>
      <w:bookmarkEnd w:id="3"/>
      <w:bookmarkEnd w:id="4"/>
      <w:bookmarkEnd w:id="5"/>
      <w:bookmarkEnd w:id="6"/>
      <w:bookmarkEnd w:id="7"/>
      <w:bookmarkEnd w:id="8"/>
      <w:bookmarkEnd w:id="9"/>
      <w:bookmarkEnd w:id="10"/>
      <w:r w:rsidR="00F402D8">
        <w:rPr>
          <w:rFonts w:ascii="Arial" w:hAnsi="Arial" w:cs="Arial"/>
          <w:color w:val="auto"/>
          <w:sz w:val="20"/>
          <w:szCs w:val="20"/>
        </w:rPr>
        <w:t xml:space="preserve"> 499 (2024)</w:t>
      </w:r>
      <w:r w:rsidR="00F402D8" w:rsidRPr="00F402D8">
        <w:rPr>
          <w:rStyle w:val="FootnoteReference"/>
          <w:rFonts w:cs="Arial"/>
          <w:szCs w:val="20"/>
        </w:rPr>
        <w:t xml:space="preserve"> </w:t>
      </w:r>
      <w:r w:rsidR="00F402D8" w:rsidRPr="00F402D8">
        <w:rPr>
          <w:rStyle w:val="FootnoteReference"/>
          <w:rFonts w:ascii="Arial" w:hAnsi="Arial" w:cs="Arial"/>
          <w:color w:val="auto"/>
          <w:sz w:val="20"/>
          <w:szCs w:val="20"/>
        </w:rPr>
        <w:footnoteReference w:id="2"/>
      </w:r>
    </w:p>
    <w:p w14:paraId="7F3A6841" w14:textId="77777777" w:rsidR="004C647C" w:rsidRPr="00760626" w:rsidRDefault="004C647C" w:rsidP="00FC1876">
      <w:pPr>
        <w:spacing w:line="360" w:lineRule="auto"/>
        <w:rPr>
          <w:rFonts w:ascii="Arial" w:hAnsi="Arial" w:cs="Arial"/>
          <w:sz w:val="20"/>
          <w:szCs w:val="20"/>
        </w:rPr>
      </w:pPr>
    </w:p>
    <w:p w14:paraId="0FBF8059" w14:textId="71F4A876" w:rsidR="004C647C" w:rsidRPr="00760626" w:rsidRDefault="004C647C" w:rsidP="005139D7">
      <w:pPr>
        <w:pStyle w:val="ListParagraph"/>
        <w:numPr>
          <w:ilvl w:val="0"/>
          <w:numId w:val="5"/>
        </w:numPr>
        <w:ind w:left="284" w:hanging="284"/>
        <w:rPr>
          <w:rFonts w:ascii="Arial" w:hAnsi="Arial" w:cs="Arial"/>
          <w:sz w:val="20"/>
          <w:szCs w:val="20"/>
        </w:rPr>
      </w:pPr>
      <w:r w:rsidRPr="00760626">
        <w:rPr>
          <w:rFonts w:ascii="Arial" w:hAnsi="Arial" w:cs="Arial"/>
          <w:sz w:val="20"/>
          <w:szCs w:val="20"/>
        </w:rPr>
        <w:t xml:space="preserve">Referring to: </w:t>
      </w:r>
    </w:p>
    <w:p w14:paraId="51EFA370" w14:textId="77777777" w:rsidR="00A34C84" w:rsidRPr="0080275C" w:rsidRDefault="00A34C84" w:rsidP="0080275C">
      <w:pPr>
        <w:rPr>
          <w:rFonts w:ascii="Arial" w:hAnsi="Arial" w:cs="Arial"/>
          <w:sz w:val="20"/>
          <w:szCs w:val="20"/>
        </w:rPr>
      </w:pPr>
    </w:p>
    <w:p w14:paraId="77EE63D0" w14:textId="1ADDD381" w:rsidR="00EA7133" w:rsidRDefault="0049755B" w:rsidP="00EA7133">
      <w:pPr>
        <w:numPr>
          <w:ilvl w:val="0"/>
          <w:numId w:val="3"/>
        </w:numPr>
        <w:tabs>
          <w:tab w:val="left" w:pos="284"/>
        </w:tabs>
        <w:jc w:val="both"/>
        <w:rPr>
          <w:rFonts w:ascii="Arial" w:hAnsi="Arial" w:cs="Arial"/>
          <w:sz w:val="20"/>
          <w:szCs w:val="20"/>
        </w:rPr>
      </w:pPr>
      <w:r>
        <w:rPr>
          <w:rFonts w:ascii="Arial" w:hAnsi="Arial" w:cs="Arial"/>
          <w:sz w:val="20"/>
          <w:szCs w:val="20"/>
        </w:rPr>
        <w:t>t</w:t>
      </w:r>
      <w:r w:rsidR="00EA7133" w:rsidRPr="004C647C">
        <w:rPr>
          <w:rFonts w:ascii="Arial" w:hAnsi="Arial" w:cs="Arial"/>
          <w:sz w:val="20"/>
          <w:szCs w:val="20"/>
        </w:rPr>
        <w:t>he Statute of the Council of Europe (ETS No. 001);</w:t>
      </w:r>
    </w:p>
    <w:p w14:paraId="0FFFBDC3" w14:textId="77777777" w:rsidR="00EA7133" w:rsidRPr="00760626" w:rsidRDefault="00EA7133" w:rsidP="00EA7133">
      <w:pPr>
        <w:tabs>
          <w:tab w:val="left" w:pos="284"/>
        </w:tabs>
        <w:jc w:val="both"/>
        <w:rPr>
          <w:rFonts w:ascii="Arial" w:hAnsi="Arial" w:cs="Arial"/>
          <w:sz w:val="20"/>
          <w:szCs w:val="20"/>
        </w:rPr>
      </w:pPr>
    </w:p>
    <w:p w14:paraId="40AB99C5" w14:textId="02BB98D0" w:rsidR="004C647C" w:rsidRPr="00AA3F59" w:rsidRDefault="0049755B" w:rsidP="005139D7">
      <w:pPr>
        <w:numPr>
          <w:ilvl w:val="0"/>
          <w:numId w:val="3"/>
        </w:numPr>
        <w:tabs>
          <w:tab w:val="left" w:pos="284"/>
        </w:tabs>
        <w:jc w:val="both"/>
        <w:rPr>
          <w:rFonts w:ascii="Arial" w:hAnsi="Arial" w:cs="Arial"/>
          <w:b/>
          <w:bCs/>
          <w:sz w:val="20"/>
          <w:szCs w:val="20"/>
        </w:rPr>
      </w:pPr>
      <w:r>
        <w:rPr>
          <w:rFonts w:ascii="Arial" w:hAnsi="Arial" w:cs="Arial"/>
          <w:sz w:val="20"/>
          <w:szCs w:val="20"/>
        </w:rPr>
        <w:t>t</w:t>
      </w:r>
      <w:r w:rsidR="004C647C" w:rsidRPr="004C647C">
        <w:rPr>
          <w:rFonts w:ascii="Arial" w:hAnsi="Arial" w:cs="Arial"/>
          <w:sz w:val="20"/>
          <w:szCs w:val="20"/>
        </w:rPr>
        <w:t>he European Charter of Local Self-Government (ETS No</w:t>
      </w:r>
      <w:r w:rsidR="000478E2">
        <w:rPr>
          <w:rFonts w:ascii="Arial" w:hAnsi="Arial" w:cs="Arial"/>
          <w:sz w:val="20"/>
          <w:szCs w:val="20"/>
        </w:rPr>
        <w:t>.</w:t>
      </w:r>
      <w:r w:rsidR="004C647C" w:rsidRPr="004C647C">
        <w:rPr>
          <w:rFonts w:ascii="Arial" w:hAnsi="Arial" w:cs="Arial"/>
          <w:sz w:val="20"/>
          <w:szCs w:val="20"/>
        </w:rPr>
        <w:t xml:space="preserve"> 122)</w:t>
      </w:r>
      <w:r w:rsidR="000478E2">
        <w:rPr>
          <w:rFonts w:ascii="Arial" w:hAnsi="Arial" w:cs="Arial"/>
          <w:sz w:val="20"/>
          <w:szCs w:val="20"/>
        </w:rPr>
        <w:t xml:space="preserve"> (“the Charter”)</w:t>
      </w:r>
      <w:r w:rsidR="004C647C" w:rsidRPr="004C647C">
        <w:rPr>
          <w:rFonts w:ascii="Arial" w:hAnsi="Arial" w:cs="Arial"/>
          <w:sz w:val="20"/>
          <w:szCs w:val="20"/>
        </w:rPr>
        <w:t>;</w:t>
      </w:r>
    </w:p>
    <w:p w14:paraId="505ED846" w14:textId="77777777" w:rsidR="00AA3F59" w:rsidRPr="0080275C" w:rsidRDefault="00AA3F59" w:rsidP="0080275C">
      <w:pPr>
        <w:rPr>
          <w:rFonts w:ascii="Arial" w:hAnsi="Arial" w:cs="Arial"/>
          <w:b/>
          <w:bCs/>
          <w:sz w:val="20"/>
          <w:szCs w:val="20"/>
        </w:rPr>
      </w:pPr>
    </w:p>
    <w:p w14:paraId="619BD783" w14:textId="0A80A1F7" w:rsidR="00AA3F59" w:rsidRPr="00760626" w:rsidRDefault="0049755B" w:rsidP="00AA3F59">
      <w:pPr>
        <w:numPr>
          <w:ilvl w:val="0"/>
          <w:numId w:val="3"/>
        </w:numPr>
        <w:tabs>
          <w:tab w:val="left" w:pos="284"/>
        </w:tabs>
        <w:jc w:val="both"/>
        <w:rPr>
          <w:rFonts w:ascii="Arial" w:hAnsi="Arial" w:cs="Arial"/>
          <w:sz w:val="20"/>
          <w:szCs w:val="20"/>
        </w:rPr>
      </w:pPr>
      <w:r>
        <w:rPr>
          <w:rFonts w:ascii="Arial" w:hAnsi="Arial" w:cs="Arial"/>
          <w:sz w:val="20"/>
          <w:szCs w:val="20"/>
        </w:rPr>
        <w:t>t</w:t>
      </w:r>
      <w:r w:rsidR="00AA3F59" w:rsidRPr="004C647C">
        <w:rPr>
          <w:rFonts w:ascii="Arial" w:hAnsi="Arial" w:cs="Arial"/>
          <w:sz w:val="20"/>
          <w:szCs w:val="20"/>
        </w:rPr>
        <w:t>he Council of Europe Reykjavik Declaration “United around our value</w:t>
      </w:r>
      <w:r w:rsidR="00AA3F59">
        <w:rPr>
          <w:rFonts w:ascii="Arial" w:hAnsi="Arial" w:cs="Arial"/>
          <w:sz w:val="20"/>
          <w:szCs w:val="20"/>
        </w:rPr>
        <w:t>s</w:t>
      </w:r>
      <w:r w:rsidR="00AA3F59" w:rsidRPr="004C647C">
        <w:rPr>
          <w:rFonts w:ascii="Arial" w:hAnsi="Arial" w:cs="Arial"/>
          <w:sz w:val="20"/>
          <w:szCs w:val="20"/>
        </w:rPr>
        <w:t>”, and especially the Reykjavik Principles for Democracy (Appendix III);</w:t>
      </w:r>
    </w:p>
    <w:p w14:paraId="3A473BAF" w14:textId="77777777" w:rsidR="00A34C84" w:rsidRPr="004C647C" w:rsidRDefault="00A34C84" w:rsidP="00A34C84">
      <w:pPr>
        <w:tabs>
          <w:tab w:val="left" w:pos="284"/>
        </w:tabs>
        <w:jc w:val="both"/>
        <w:rPr>
          <w:rFonts w:ascii="Arial" w:hAnsi="Arial" w:cs="Arial"/>
          <w:sz w:val="20"/>
          <w:szCs w:val="20"/>
        </w:rPr>
      </w:pPr>
    </w:p>
    <w:p w14:paraId="5E48AE1C" w14:textId="3223E730" w:rsidR="004C647C" w:rsidRPr="00760626" w:rsidRDefault="0049755B" w:rsidP="005139D7">
      <w:pPr>
        <w:numPr>
          <w:ilvl w:val="0"/>
          <w:numId w:val="3"/>
        </w:numPr>
        <w:tabs>
          <w:tab w:val="left" w:pos="284"/>
        </w:tabs>
        <w:jc w:val="both"/>
        <w:rPr>
          <w:rFonts w:ascii="Arial" w:hAnsi="Arial" w:cs="Arial"/>
          <w:sz w:val="20"/>
          <w:szCs w:val="20"/>
        </w:rPr>
      </w:pPr>
      <w:r>
        <w:rPr>
          <w:rFonts w:ascii="Arial" w:hAnsi="Arial" w:cs="Arial"/>
          <w:sz w:val="20"/>
          <w:szCs w:val="20"/>
        </w:rPr>
        <w:t>t</w:t>
      </w:r>
      <w:r w:rsidR="004C647C" w:rsidRPr="004C647C">
        <w:rPr>
          <w:rFonts w:ascii="Arial" w:hAnsi="Arial" w:cs="Arial"/>
          <w:sz w:val="20"/>
          <w:szCs w:val="20"/>
        </w:rPr>
        <w:t xml:space="preserve">he United Nations Sustainable Development Goals (SDGs), and particularly SDG 16 “Promote peaceful and inclusive societies for sustainable development, provide access to justice and build effective, accountable and inclusive </w:t>
      </w:r>
      <w:r w:rsidR="00134DFC">
        <w:rPr>
          <w:rFonts w:ascii="Arial" w:hAnsi="Arial" w:cs="Arial"/>
          <w:sz w:val="20"/>
          <w:szCs w:val="20"/>
        </w:rPr>
        <w:t>i</w:t>
      </w:r>
      <w:r w:rsidR="004C647C" w:rsidRPr="004C647C">
        <w:rPr>
          <w:rFonts w:ascii="Arial" w:hAnsi="Arial" w:cs="Arial"/>
          <w:sz w:val="20"/>
          <w:szCs w:val="20"/>
        </w:rPr>
        <w:t>nstitutions at all levels”;</w:t>
      </w:r>
    </w:p>
    <w:p w14:paraId="2B076884" w14:textId="77777777" w:rsidR="00A34C84" w:rsidRPr="004C647C" w:rsidRDefault="00A34C84" w:rsidP="00A34C84">
      <w:pPr>
        <w:tabs>
          <w:tab w:val="left" w:pos="284"/>
        </w:tabs>
        <w:jc w:val="both"/>
        <w:rPr>
          <w:rFonts w:ascii="Arial" w:hAnsi="Arial" w:cs="Arial"/>
          <w:sz w:val="20"/>
          <w:szCs w:val="20"/>
        </w:rPr>
      </w:pPr>
    </w:p>
    <w:p w14:paraId="23ED129C" w14:textId="37FE85C8" w:rsidR="00622112" w:rsidRDefault="0049755B" w:rsidP="00233F72">
      <w:pPr>
        <w:numPr>
          <w:ilvl w:val="0"/>
          <w:numId w:val="3"/>
        </w:numPr>
        <w:tabs>
          <w:tab w:val="left" w:pos="284"/>
        </w:tabs>
        <w:jc w:val="both"/>
        <w:rPr>
          <w:rFonts w:ascii="Arial" w:hAnsi="Arial" w:cs="Arial"/>
          <w:sz w:val="20"/>
          <w:szCs w:val="20"/>
        </w:rPr>
      </w:pPr>
      <w:r>
        <w:rPr>
          <w:rFonts w:ascii="Arial" w:hAnsi="Arial" w:cs="Arial"/>
          <w:sz w:val="20"/>
          <w:szCs w:val="20"/>
        </w:rPr>
        <w:t>t</w:t>
      </w:r>
      <w:r w:rsidR="004C647C" w:rsidRPr="0049755B">
        <w:rPr>
          <w:rFonts w:ascii="Arial" w:hAnsi="Arial" w:cs="Arial"/>
          <w:sz w:val="20"/>
          <w:szCs w:val="20"/>
        </w:rPr>
        <w:t xml:space="preserve">he </w:t>
      </w:r>
      <w:r w:rsidRPr="0049755B">
        <w:rPr>
          <w:rFonts w:ascii="Arial" w:hAnsi="Arial" w:cs="Arial"/>
          <w:sz w:val="20"/>
          <w:szCs w:val="20"/>
        </w:rPr>
        <w:t xml:space="preserve">study entitled “The </w:t>
      </w:r>
      <w:r w:rsidR="004C647C" w:rsidRPr="0049755B">
        <w:rPr>
          <w:rFonts w:ascii="Arial" w:hAnsi="Arial" w:cs="Arial"/>
          <w:sz w:val="20"/>
          <w:szCs w:val="20"/>
        </w:rPr>
        <w:t>Council of Europe</w:t>
      </w:r>
      <w:r w:rsidRPr="0049755B">
        <w:rPr>
          <w:rFonts w:ascii="Arial" w:hAnsi="Arial" w:cs="Arial"/>
          <w:sz w:val="20"/>
          <w:szCs w:val="20"/>
        </w:rPr>
        <w:t xml:space="preserve"> and the Rule of Law - An Overview” (document </w:t>
      </w:r>
      <w:r w:rsidR="00E213B6">
        <w:rPr>
          <w:rFonts w:ascii="Arial" w:hAnsi="Arial" w:cs="Arial"/>
          <w:sz w:val="20"/>
          <w:szCs w:val="20"/>
        </w:rPr>
        <w:br/>
      </w:r>
      <w:r w:rsidRPr="0049755B">
        <w:rPr>
          <w:rFonts w:ascii="Arial" w:hAnsi="Arial" w:cs="Arial"/>
          <w:sz w:val="20"/>
          <w:szCs w:val="20"/>
        </w:rPr>
        <w:t>C</w:t>
      </w:r>
      <w:r w:rsidR="00E213B6">
        <w:rPr>
          <w:rFonts w:ascii="Arial" w:hAnsi="Arial" w:cs="Arial"/>
          <w:sz w:val="20"/>
          <w:szCs w:val="20"/>
        </w:rPr>
        <w:t>M</w:t>
      </w:r>
      <w:r w:rsidRPr="0049755B">
        <w:rPr>
          <w:rFonts w:ascii="Arial" w:hAnsi="Arial" w:cs="Arial"/>
          <w:sz w:val="20"/>
          <w:szCs w:val="20"/>
        </w:rPr>
        <w:t xml:space="preserve"> (2008)170), prepared at the initiative of the Swedish </w:t>
      </w:r>
      <w:r w:rsidR="00BC2291">
        <w:rPr>
          <w:rFonts w:ascii="Arial" w:hAnsi="Arial" w:cs="Arial"/>
          <w:sz w:val="20"/>
          <w:szCs w:val="20"/>
        </w:rPr>
        <w:t>Presidency</w:t>
      </w:r>
      <w:r w:rsidRPr="0049755B">
        <w:rPr>
          <w:rFonts w:ascii="Arial" w:hAnsi="Arial" w:cs="Arial"/>
          <w:sz w:val="20"/>
          <w:szCs w:val="20"/>
        </w:rPr>
        <w:t xml:space="preserve"> of the</w:t>
      </w:r>
      <w:r w:rsidR="004C647C" w:rsidRPr="0049755B">
        <w:rPr>
          <w:rFonts w:ascii="Arial" w:hAnsi="Arial" w:cs="Arial"/>
          <w:sz w:val="20"/>
          <w:szCs w:val="20"/>
        </w:rPr>
        <w:t xml:space="preserve"> Committee of Ministers</w:t>
      </w:r>
      <w:r>
        <w:rPr>
          <w:rFonts w:ascii="Arial" w:hAnsi="Arial" w:cs="Arial"/>
          <w:sz w:val="20"/>
          <w:szCs w:val="20"/>
        </w:rPr>
        <w:t>;</w:t>
      </w:r>
    </w:p>
    <w:p w14:paraId="0D4A1E1D" w14:textId="77777777" w:rsidR="0049755B" w:rsidRPr="0049755B" w:rsidRDefault="0049755B" w:rsidP="0049755B">
      <w:pPr>
        <w:tabs>
          <w:tab w:val="left" w:pos="284"/>
        </w:tabs>
        <w:jc w:val="both"/>
        <w:rPr>
          <w:rFonts w:ascii="Arial" w:hAnsi="Arial" w:cs="Arial"/>
          <w:sz w:val="20"/>
          <w:szCs w:val="20"/>
        </w:rPr>
      </w:pPr>
    </w:p>
    <w:p w14:paraId="7E054B49" w14:textId="2586B043" w:rsidR="004C647C" w:rsidRPr="00760626" w:rsidRDefault="0049755B" w:rsidP="005139D7">
      <w:pPr>
        <w:numPr>
          <w:ilvl w:val="0"/>
          <w:numId w:val="3"/>
        </w:numPr>
        <w:tabs>
          <w:tab w:val="left" w:pos="284"/>
        </w:tabs>
        <w:jc w:val="both"/>
        <w:rPr>
          <w:rFonts w:ascii="Arial" w:hAnsi="Arial" w:cs="Arial"/>
          <w:sz w:val="20"/>
          <w:szCs w:val="20"/>
        </w:rPr>
      </w:pPr>
      <w:r>
        <w:rPr>
          <w:rFonts w:ascii="Arial" w:hAnsi="Arial" w:cs="Arial"/>
          <w:sz w:val="20"/>
          <w:szCs w:val="20"/>
        </w:rPr>
        <w:t>t</w:t>
      </w:r>
      <w:r w:rsidR="004C647C" w:rsidRPr="004C647C">
        <w:rPr>
          <w:rFonts w:ascii="Arial" w:hAnsi="Arial" w:cs="Arial"/>
          <w:sz w:val="20"/>
          <w:szCs w:val="20"/>
        </w:rPr>
        <w:t xml:space="preserve">he </w:t>
      </w:r>
      <w:r>
        <w:rPr>
          <w:rFonts w:ascii="Arial" w:hAnsi="Arial" w:cs="Arial"/>
          <w:sz w:val="20"/>
          <w:szCs w:val="20"/>
        </w:rPr>
        <w:t xml:space="preserve">Report on the Rule of Law of </w:t>
      </w:r>
      <w:r w:rsidR="004C647C" w:rsidRPr="004C647C">
        <w:rPr>
          <w:rFonts w:ascii="Arial" w:hAnsi="Arial" w:cs="Arial"/>
          <w:sz w:val="20"/>
          <w:szCs w:val="20"/>
        </w:rPr>
        <w:t>European Commission for Democracy through Law (Venice Commission), CDL-AD (2011)003rev;</w:t>
      </w:r>
    </w:p>
    <w:p w14:paraId="0CD7F552" w14:textId="77777777" w:rsidR="00A34C84" w:rsidRPr="004C647C" w:rsidRDefault="00A34C84" w:rsidP="00A34C84">
      <w:pPr>
        <w:tabs>
          <w:tab w:val="left" w:pos="284"/>
        </w:tabs>
        <w:jc w:val="both"/>
        <w:rPr>
          <w:rFonts w:ascii="Arial" w:hAnsi="Arial" w:cs="Arial"/>
          <w:sz w:val="20"/>
          <w:szCs w:val="20"/>
        </w:rPr>
      </w:pPr>
    </w:p>
    <w:p w14:paraId="2C2638B7" w14:textId="0395C217" w:rsidR="004C647C" w:rsidRPr="00760626" w:rsidRDefault="0049755B" w:rsidP="005139D7">
      <w:pPr>
        <w:numPr>
          <w:ilvl w:val="0"/>
          <w:numId w:val="3"/>
        </w:numPr>
        <w:tabs>
          <w:tab w:val="left" w:pos="284"/>
        </w:tabs>
        <w:jc w:val="both"/>
        <w:rPr>
          <w:rFonts w:ascii="Arial" w:hAnsi="Arial" w:cs="Arial"/>
          <w:sz w:val="20"/>
          <w:szCs w:val="20"/>
        </w:rPr>
      </w:pPr>
      <w:r>
        <w:rPr>
          <w:rFonts w:ascii="Arial" w:hAnsi="Arial" w:cs="Arial"/>
          <w:sz w:val="20"/>
          <w:szCs w:val="20"/>
        </w:rPr>
        <w:t>t</w:t>
      </w:r>
      <w:r w:rsidR="004C647C" w:rsidRPr="004C647C">
        <w:rPr>
          <w:rFonts w:ascii="Arial" w:hAnsi="Arial" w:cs="Arial"/>
          <w:sz w:val="20"/>
          <w:szCs w:val="20"/>
        </w:rPr>
        <w:t xml:space="preserve">he </w:t>
      </w:r>
      <w:r w:rsidRPr="004C647C">
        <w:rPr>
          <w:rFonts w:ascii="Arial" w:hAnsi="Arial" w:cs="Arial"/>
          <w:sz w:val="20"/>
          <w:szCs w:val="20"/>
        </w:rPr>
        <w:t xml:space="preserve">Rule of </w:t>
      </w:r>
      <w:r>
        <w:rPr>
          <w:rFonts w:ascii="Arial" w:hAnsi="Arial" w:cs="Arial"/>
          <w:sz w:val="20"/>
          <w:szCs w:val="20"/>
        </w:rPr>
        <w:t>L</w:t>
      </w:r>
      <w:r w:rsidRPr="004C647C">
        <w:rPr>
          <w:rFonts w:ascii="Arial" w:hAnsi="Arial" w:cs="Arial"/>
          <w:sz w:val="20"/>
          <w:szCs w:val="20"/>
        </w:rPr>
        <w:t xml:space="preserve">aw Checklist </w:t>
      </w:r>
      <w:r>
        <w:rPr>
          <w:rFonts w:ascii="Arial" w:hAnsi="Arial" w:cs="Arial"/>
          <w:sz w:val="20"/>
          <w:szCs w:val="20"/>
        </w:rPr>
        <w:t xml:space="preserve">of </w:t>
      </w:r>
      <w:r w:rsidR="004C647C" w:rsidRPr="004C647C">
        <w:rPr>
          <w:rFonts w:ascii="Arial" w:hAnsi="Arial" w:cs="Arial"/>
          <w:sz w:val="20"/>
          <w:szCs w:val="20"/>
        </w:rPr>
        <w:t>European Commission for Democracy through Law (Venice</w:t>
      </w:r>
      <w:r>
        <w:rPr>
          <w:rFonts w:ascii="Arial" w:hAnsi="Arial" w:cs="Arial"/>
          <w:sz w:val="20"/>
          <w:szCs w:val="20"/>
        </w:rPr>
        <w:t xml:space="preserve"> C</w:t>
      </w:r>
      <w:r w:rsidR="004C647C" w:rsidRPr="004C647C">
        <w:rPr>
          <w:rFonts w:ascii="Arial" w:hAnsi="Arial" w:cs="Arial"/>
          <w:sz w:val="20"/>
          <w:szCs w:val="20"/>
        </w:rPr>
        <w:t>ommission), CDL-AD(2016)007;</w:t>
      </w:r>
    </w:p>
    <w:p w14:paraId="16453489" w14:textId="77777777" w:rsidR="00A34C84" w:rsidRPr="0080275C" w:rsidRDefault="00A34C84" w:rsidP="0080275C">
      <w:pPr>
        <w:rPr>
          <w:rFonts w:ascii="Arial" w:hAnsi="Arial" w:cs="Arial"/>
          <w:sz w:val="20"/>
          <w:szCs w:val="20"/>
        </w:rPr>
      </w:pPr>
    </w:p>
    <w:p w14:paraId="515A8E6F" w14:textId="7E8C80EF" w:rsidR="004C647C" w:rsidRPr="00760626" w:rsidRDefault="0049755B" w:rsidP="005139D7">
      <w:pPr>
        <w:numPr>
          <w:ilvl w:val="0"/>
          <w:numId w:val="3"/>
        </w:numPr>
        <w:tabs>
          <w:tab w:val="left" w:pos="284"/>
        </w:tabs>
        <w:jc w:val="both"/>
        <w:rPr>
          <w:rFonts w:ascii="Arial" w:hAnsi="Arial" w:cs="Arial"/>
          <w:sz w:val="20"/>
          <w:szCs w:val="20"/>
        </w:rPr>
      </w:pPr>
      <w:r w:rsidRPr="004C647C">
        <w:rPr>
          <w:rFonts w:ascii="Arial" w:hAnsi="Arial" w:cs="Arial"/>
          <w:sz w:val="20"/>
          <w:szCs w:val="20"/>
        </w:rPr>
        <w:t xml:space="preserve">Parliamentary Assembly </w:t>
      </w:r>
      <w:r w:rsidR="004C647C" w:rsidRPr="004C647C">
        <w:rPr>
          <w:rFonts w:ascii="Arial" w:hAnsi="Arial" w:cs="Arial"/>
          <w:sz w:val="20"/>
          <w:szCs w:val="20"/>
        </w:rPr>
        <w:t>Resolution 2437 (2022) “Safeguarding and promoting genuine democracy in Europe”;</w:t>
      </w:r>
    </w:p>
    <w:p w14:paraId="48EFA5A9" w14:textId="77777777" w:rsidR="00A34C84" w:rsidRPr="004C647C" w:rsidRDefault="00A34C84" w:rsidP="00A34C84">
      <w:pPr>
        <w:tabs>
          <w:tab w:val="left" w:pos="284"/>
        </w:tabs>
        <w:jc w:val="both"/>
        <w:rPr>
          <w:rFonts w:ascii="Arial" w:hAnsi="Arial" w:cs="Arial"/>
          <w:sz w:val="20"/>
          <w:szCs w:val="20"/>
        </w:rPr>
      </w:pPr>
    </w:p>
    <w:p w14:paraId="03BBB471" w14:textId="4610B19B" w:rsidR="004C647C" w:rsidRPr="00760626" w:rsidRDefault="0049755B" w:rsidP="005139D7">
      <w:pPr>
        <w:numPr>
          <w:ilvl w:val="0"/>
          <w:numId w:val="3"/>
        </w:numPr>
        <w:tabs>
          <w:tab w:val="left" w:pos="284"/>
        </w:tabs>
        <w:jc w:val="both"/>
        <w:rPr>
          <w:rFonts w:ascii="Arial" w:hAnsi="Arial" w:cs="Arial"/>
          <w:sz w:val="20"/>
          <w:szCs w:val="20"/>
        </w:rPr>
      </w:pPr>
      <w:r>
        <w:rPr>
          <w:rFonts w:ascii="Arial" w:hAnsi="Arial" w:cs="Arial"/>
          <w:sz w:val="20"/>
          <w:szCs w:val="20"/>
        </w:rPr>
        <w:t>t</w:t>
      </w:r>
      <w:r w:rsidR="004C647C" w:rsidRPr="004C647C">
        <w:rPr>
          <w:rFonts w:ascii="Arial" w:hAnsi="Arial" w:cs="Arial"/>
          <w:sz w:val="20"/>
          <w:szCs w:val="20"/>
        </w:rPr>
        <w:t xml:space="preserve">he Call for </w:t>
      </w:r>
      <w:r w:rsidR="00134DFC">
        <w:rPr>
          <w:rFonts w:ascii="Arial" w:hAnsi="Arial" w:cs="Arial"/>
          <w:sz w:val="20"/>
          <w:szCs w:val="20"/>
        </w:rPr>
        <w:t>A</w:t>
      </w:r>
      <w:r w:rsidR="00134DFC" w:rsidRPr="004C647C">
        <w:rPr>
          <w:rFonts w:ascii="Arial" w:hAnsi="Arial" w:cs="Arial"/>
          <w:sz w:val="20"/>
          <w:szCs w:val="20"/>
        </w:rPr>
        <w:t xml:space="preserve">ction </w:t>
      </w:r>
      <w:r w:rsidR="004C647C" w:rsidRPr="004C647C">
        <w:rPr>
          <w:rFonts w:ascii="Arial" w:hAnsi="Arial" w:cs="Arial"/>
          <w:sz w:val="20"/>
          <w:szCs w:val="20"/>
        </w:rPr>
        <w:t xml:space="preserve">of the </w:t>
      </w:r>
      <w:r w:rsidR="0030067E" w:rsidRPr="004C647C">
        <w:rPr>
          <w:rFonts w:ascii="Arial" w:hAnsi="Arial" w:cs="Arial"/>
          <w:sz w:val="20"/>
          <w:szCs w:val="20"/>
        </w:rPr>
        <w:t>High-</w:t>
      </w:r>
      <w:r>
        <w:rPr>
          <w:rFonts w:ascii="Arial" w:hAnsi="Arial" w:cs="Arial"/>
          <w:sz w:val="20"/>
          <w:szCs w:val="20"/>
        </w:rPr>
        <w:t>L</w:t>
      </w:r>
      <w:r w:rsidR="0030067E" w:rsidRPr="004C647C">
        <w:rPr>
          <w:rFonts w:ascii="Arial" w:hAnsi="Arial" w:cs="Arial"/>
          <w:sz w:val="20"/>
          <w:szCs w:val="20"/>
        </w:rPr>
        <w:t>evel</w:t>
      </w:r>
      <w:r w:rsidR="004C647C" w:rsidRPr="004C647C">
        <w:rPr>
          <w:rFonts w:ascii="Arial" w:hAnsi="Arial" w:cs="Arial"/>
          <w:sz w:val="20"/>
          <w:szCs w:val="20"/>
        </w:rPr>
        <w:t xml:space="preserve"> Political Conference held in Reykjavik on 15 May 2023.</w:t>
      </w:r>
    </w:p>
    <w:p w14:paraId="1712C829" w14:textId="77777777" w:rsidR="004C647C" w:rsidRPr="004C647C" w:rsidRDefault="004C647C" w:rsidP="00A34C84">
      <w:pPr>
        <w:tabs>
          <w:tab w:val="left" w:pos="284"/>
        </w:tabs>
        <w:spacing w:line="360" w:lineRule="auto"/>
        <w:jc w:val="both"/>
        <w:rPr>
          <w:rFonts w:ascii="Arial" w:hAnsi="Arial" w:cs="Arial"/>
          <w:sz w:val="20"/>
          <w:szCs w:val="20"/>
        </w:rPr>
      </w:pPr>
    </w:p>
    <w:p w14:paraId="5305F837" w14:textId="3C53C372" w:rsidR="004C647C" w:rsidRPr="00760626" w:rsidRDefault="004C647C" w:rsidP="005139D7">
      <w:pPr>
        <w:pStyle w:val="ListParagraph"/>
        <w:numPr>
          <w:ilvl w:val="0"/>
          <w:numId w:val="5"/>
        </w:numPr>
        <w:ind w:left="284" w:hanging="284"/>
        <w:rPr>
          <w:rFonts w:ascii="Arial" w:hAnsi="Arial" w:cs="Arial"/>
          <w:sz w:val="20"/>
          <w:szCs w:val="20"/>
        </w:rPr>
      </w:pPr>
      <w:r w:rsidRPr="004C647C">
        <w:rPr>
          <w:rFonts w:ascii="Arial" w:hAnsi="Arial" w:cs="Arial"/>
          <w:sz w:val="20"/>
          <w:szCs w:val="20"/>
        </w:rPr>
        <w:t>The Congress of Local and Regional Authorities:</w:t>
      </w:r>
    </w:p>
    <w:p w14:paraId="747DC281" w14:textId="77777777" w:rsidR="00A34C84" w:rsidRPr="0080275C" w:rsidRDefault="00A34C84" w:rsidP="0080275C">
      <w:pPr>
        <w:rPr>
          <w:rFonts w:ascii="Arial" w:hAnsi="Arial" w:cs="Arial"/>
          <w:sz w:val="20"/>
          <w:szCs w:val="20"/>
        </w:rPr>
      </w:pPr>
    </w:p>
    <w:p w14:paraId="2710336B" w14:textId="7CE4CA3A" w:rsidR="004C647C" w:rsidRPr="00760626" w:rsidRDefault="00E213B6" w:rsidP="005139D7">
      <w:pPr>
        <w:numPr>
          <w:ilvl w:val="0"/>
          <w:numId w:val="4"/>
        </w:numPr>
        <w:tabs>
          <w:tab w:val="left" w:pos="284"/>
        </w:tabs>
        <w:jc w:val="both"/>
        <w:rPr>
          <w:rFonts w:ascii="Arial" w:hAnsi="Arial" w:cs="Arial"/>
          <w:sz w:val="20"/>
          <w:szCs w:val="20"/>
        </w:rPr>
      </w:pPr>
      <w:r>
        <w:rPr>
          <w:rFonts w:ascii="Arial" w:hAnsi="Arial" w:cs="Arial"/>
          <w:sz w:val="20"/>
          <w:szCs w:val="20"/>
        </w:rPr>
        <w:t>i</w:t>
      </w:r>
      <w:r w:rsidR="0049755B">
        <w:rPr>
          <w:rFonts w:ascii="Arial" w:hAnsi="Arial" w:cs="Arial"/>
          <w:sz w:val="20"/>
          <w:szCs w:val="20"/>
        </w:rPr>
        <w:t>s deeply concerned</w:t>
      </w:r>
      <w:r w:rsidR="004C647C" w:rsidRPr="004C647C">
        <w:rPr>
          <w:rFonts w:ascii="Arial" w:hAnsi="Arial" w:cs="Arial"/>
          <w:sz w:val="20"/>
          <w:szCs w:val="20"/>
        </w:rPr>
        <w:t xml:space="preserve"> about democratic backsliding across the world and within Europe, which has resulted in a weakening </w:t>
      </w:r>
      <w:r w:rsidR="0049755B">
        <w:rPr>
          <w:rFonts w:ascii="Arial" w:hAnsi="Arial" w:cs="Arial"/>
          <w:sz w:val="20"/>
          <w:szCs w:val="20"/>
        </w:rPr>
        <w:t>of</w:t>
      </w:r>
      <w:r w:rsidR="004C647C" w:rsidRPr="004C647C">
        <w:rPr>
          <w:rFonts w:ascii="Arial" w:hAnsi="Arial" w:cs="Arial"/>
          <w:sz w:val="20"/>
          <w:szCs w:val="20"/>
        </w:rPr>
        <w:t xml:space="preserve"> checks and balances, obstacles </w:t>
      </w:r>
      <w:r w:rsidR="0049755B">
        <w:rPr>
          <w:rFonts w:ascii="Arial" w:hAnsi="Arial" w:cs="Arial"/>
          <w:sz w:val="20"/>
          <w:szCs w:val="20"/>
        </w:rPr>
        <w:t xml:space="preserve">to </w:t>
      </w:r>
      <w:r w:rsidR="004C647C" w:rsidRPr="004C647C">
        <w:rPr>
          <w:rFonts w:ascii="Arial" w:hAnsi="Arial" w:cs="Arial"/>
          <w:sz w:val="20"/>
          <w:szCs w:val="20"/>
        </w:rPr>
        <w:t xml:space="preserve">and limitations </w:t>
      </w:r>
      <w:r w:rsidR="0049755B">
        <w:rPr>
          <w:rFonts w:ascii="Arial" w:hAnsi="Arial" w:cs="Arial"/>
          <w:sz w:val="20"/>
          <w:szCs w:val="20"/>
        </w:rPr>
        <w:t>on</w:t>
      </w:r>
      <w:r w:rsidR="004C647C" w:rsidRPr="004C647C">
        <w:rPr>
          <w:rFonts w:ascii="Arial" w:hAnsi="Arial" w:cs="Arial"/>
          <w:sz w:val="20"/>
          <w:szCs w:val="20"/>
        </w:rPr>
        <w:t xml:space="preserve"> the exercise o</w:t>
      </w:r>
      <w:r>
        <w:rPr>
          <w:rFonts w:ascii="Arial" w:hAnsi="Arial" w:cs="Arial"/>
          <w:sz w:val="20"/>
          <w:szCs w:val="20"/>
        </w:rPr>
        <w:t>f</w:t>
      </w:r>
      <w:r w:rsidR="004C647C" w:rsidRPr="004C647C">
        <w:rPr>
          <w:rFonts w:ascii="Arial" w:hAnsi="Arial" w:cs="Arial"/>
          <w:sz w:val="20"/>
          <w:szCs w:val="20"/>
        </w:rPr>
        <w:t xml:space="preserve"> civil and political rights and freedoms, limits to local self-government</w:t>
      </w:r>
      <w:r w:rsidR="00946813">
        <w:rPr>
          <w:rFonts w:ascii="Arial" w:hAnsi="Arial" w:cs="Arial"/>
          <w:sz w:val="20"/>
          <w:szCs w:val="20"/>
        </w:rPr>
        <w:t>,</w:t>
      </w:r>
      <w:r w:rsidR="004C647C" w:rsidRPr="004C647C">
        <w:rPr>
          <w:rFonts w:ascii="Arial" w:hAnsi="Arial" w:cs="Arial"/>
          <w:sz w:val="20"/>
          <w:szCs w:val="20"/>
        </w:rPr>
        <w:t xml:space="preserve"> and an erosion of the rule of law;</w:t>
      </w:r>
    </w:p>
    <w:p w14:paraId="2F596A27" w14:textId="77777777" w:rsidR="004C647C" w:rsidRPr="004C647C" w:rsidRDefault="004C647C" w:rsidP="00A34C84">
      <w:pPr>
        <w:tabs>
          <w:tab w:val="left" w:pos="284"/>
        </w:tabs>
        <w:jc w:val="both"/>
        <w:rPr>
          <w:rFonts w:ascii="Arial" w:hAnsi="Arial" w:cs="Arial"/>
          <w:sz w:val="20"/>
          <w:szCs w:val="20"/>
        </w:rPr>
      </w:pPr>
    </w:p>
    <w:p w14:paraId="339156C1" w14:textId="4E556A79" w:rsidR="004C647C" w:rsidRPr="00760626" w:rsidRDefault="004C647C" w:rsidP="005139D7">
      <w:pPr>
        <w:numPr>
          <w:ilvl w:val="0"/>
          <w:numId w:val="4"/>
        </w:numPr>
        <w:tabs>
          <w:tab w:val="left" w:pos="284"/>
        </w:tabs>
        <w:jc w:val="both"/>
        <w:rPr>
          <w:rFonts w:ascii="Arial" w:hAnsi="Arial" w:cs="Arial"/>
          <w:sz w:val="20"/>
          <w:szCs w:val="20"/>
        </w:rPr>
      </w:pPr>
      <w:r w:rsidRPr="004C647C">
        <w:rPr>
          <w:rFonts w:ascii="Arial" w:hAnsi="Arial" w:cs="Arial"/>
          <w:sz w:val="20"/>
          <w:szCs w:val="20"/>
        </w:rPr>
        <w:t>considers that genuine democracy</w:t>
      </w:r>
      <w:r w:rsidR="00946813">
        <w:rPr>
          <w:rFonts w:ascii="Arial" w:hAnsi="Arial" w:cs="Arial"/>
          <w:sz w:val="20"/>
          <w:szCs w:val="20"/>
        </w:rPr>
        <w:t>,</w:t>
      </w:r>
      <w:r w:rsidRPr="004C647C">
        <w:rPr>
          <w:rFonts w:ascii="Arial" w:hAnsi="Arial" w:cs="Arial"/>
          <w:sz w:val="20"/>
          <w:szCs w:val="20"/>
        </w:rPr>
        <w:t xml:space="preserve"> as enshrined in the Statute of the Council of Europe </w:t>
      </w:r>
      <w:r w:rsidR="0049755B">
        <w:rPr>
          <w:rFonts w:ascii="Arial" w:hAnsi="Arial" w:cs="Arial"/>
          <w:sz w:val="20"/>
          <w:szCs w:val="20"/>
        </w:rPr>
        <w:br/>
      </w:r>
      <w:r w:rsidRPr="004C647C">
        <w:rPr>
          <w:rFonts w:ascii="Arial" w:hAnsi="Arial" w:cs="Arial"/>
          <w:sz w:val="20"/>
          <w:szCs w:val="20"/>
        </w:rPr>
        <w:t>(ETS No. 1)</w:t>
      </w:r>
      <w:r w:rsidR="00946813">
        <w:rPr>
          <w:rFonts w:ascii="Arial" w:hAnsi="Arial" w:cs="Arial"/>
          <w:sz w:val="20"/>
          <w:szCs w:val="20"/>
        </w:rPr>
        <w:t>,</w:t>
      </w:r>
      <w:r w:rsidRPr="004C647C">
        <w:rPr>
          <w:rFonts w:ascii="Arial" w:hAnsi="Arial" w:cs="Arial"/>
          <w:sz w:val="20"/>
          <w:szCs w:val="20"/>
        </w:rPr>
        <w:t xml:space="preserve"> cannot be achieved and preserved without effective implementation of the rule of law at all levels of public power;</w:t>
      </w:r>
    </w:p>
    <w:p w14:paraId="4DB18460" w14:textId="77777777" w:rsidR="00A34C84" w:rsidRPr="004C647C" w:rsidRDefault="00A34C84" w:rsidP="00A34C84">
      <w:pPr>
        <w:tabs>
          <w:tab w:val="left" w:pos="284"/>
        </w:tabs>
        <w:jc w:val="both"/>
        <w:rPr>
          <w:rFonts w:ascii="Arial" w:hAnsi="Arial" w:cs="Arial"/>
          <w:sz w:val="20"/>
          <w:szCs w:val="20"/>
        </w:rPr>
      </w:pPr>
    </w:p>
    <w:p w14:paraId="69B9FD82" w14:textId="44F2BD40" w:rsidR="004C647C" w:rsidRPr="00760626" w:rsidRDefault="0049755B" w:rsidP="005139D7">
      <w:pPr>
        <w:numPr>
          <w:ilvl w:val="0"/>
          <w:numId w:val="4"/>
        </w:numPr>
        <w:tabs>
          <w:tab w:val="left" w:pos="284"/>
        </w:tabs>
        <w:jc w:val="both"/>
        <w:rPr>
          <w:rFonts w:ascii="Arial" w:hAnsi="Arial" w:cs="Arial"/>
          <w:sz w:val="20"/>
          <w:szCs w:val="20"/>
        </w:rPr>
      </w:pPr>
      <w:r>
        <w:rPr>
          <w:rFonts w:ascii="Arial" w:hAnsi="Arial" w:cs="Arial"/>
          <w:sz w:val="20"/>
          <w:szCs w:val="20"/>
        </w:rPr>
        <w:t>emphasis</w:t>
      </w:r>
      <w:r w:rsidR="004C647C" w:rsidRPr="004C647C">
        <w:rPr>
          <w:rFonts w:ascii="Arial" w:hAnsi="Arial" w:cs="Arial"/>
          <w:sz w:val="20"/>
          <w:szCs w:val="20"/>
        </w:rPr>
        <w:t xml:space="preserve"> that, as stated in the Reykjavík </w:t>
      </w:r>
      <w:r>
        <w:rPr>
          <w:rFonts w:ascii="Arial" w:hAnsi="Arial" w:cs="Arial"/>
          <w:sz w:val="20"/>
          <w:szCs w:val="20"/>
        </w:rPr>
        <w:t>D</w:t>
      </w:r>
      <w:r w:rsidR="004C647C" w:rsidRPr="004C647C">
        <w:rPr>
          <w:rFonts w:ascii="Arial" w:hAnsi="Arial" w:cs="Arial"/>
          <w:sz w:val="20"/>
          <w:szCs w:val="20"/>
        </w:rPr>
        <w:t xml:space="preserve">eclaration, democracy needs to strengthen the separation of powers </w:t>
      </w:r>
      <w:r>
        <w:rPr>
          <w:rFonts w:ascii="Arial" w:hAnsi="Arial" w:cs="Arial"/>
          <w:sz w:val="20"/>
          <w:szCs w:val="20"/>
        </w:rPr>
        <w:t>through</w:t>
      </w:r>
      <w:r w:rsidR="004C647C" w:rsidRPr="004C647C">
        <w:rPr>
          <w:rFonts w:ascii="Arial" w:hAnsi="Arial" w:cs="Arial"/>
          <w:sz w:val="20"/>
          <w:szCs w:val="20"/>
        </w:rPr>
        <w:t xml:space="preserve"> appropriate checks and balances between different State institutions at all levels, to prevent any excessive concentration of power;</w:t>
      </w:r>
    </w:p>
    <w:p w14:paraId="7EE7ACDE" w14:textId="77777777" w:rsidR="00A34C84" w:rsidRPr="0080275C" w:rsidRDefault="00A34C84" w:rsidP="0080275C">
      <w:pPr>
        <w:rPr>
          <w:rFonts w:ascii="Arial" w:hAnsi="Arial" w:cs="Arial"/>
          <w:sz w:val="20"/>
          <w:szCs w:val="20"/>
        </w:rPr>
      </w:pPr>
    </w:p>
    <w:p w14:paraId="1F3F4470" w14:textId="6DF5204B" w:rsidR="004C647C" w:rsidRDefault="00E33EC5" w:rsidP="005139D7">
      <w:pPr>
        <w:numPr>
          <w:ilvl w:val="0"/>
          <w:numId w:val="4"/>
        </w:numPr>
        <w:tabs>
          <w:tab w:val="left" w:pos="284"/>
        </w:tabs>
        <w:jc w:val="both"/>
        <w:rPr>
          <w:rFonts w:ascii="Arial" w:hAnsi="Arial" w:cs="Arial"/>
          <w:sz w:val="20"/>
          <w:szCs w:val="20"/>
        </w:rPr>
      </w:pPr>
      <w:r>
        <w:rPr>
          <w:rFonts w:ascii="Arial" w:hAnsi="Arial" w:cs="Arial"/>
          <w:sz w:val="20"/>
          <w:szCs w:val="20"/>
        </w:rPr>
        <w:t>considers</w:t>
      </w:r>
      <w:r w:rsidR="004C647C" w:rsidRPr="004C647C">
        <w:rPr>
          <w:rFonts w:ascii="Arial" w:hAnsi="Arial" w:cs="Arial"/>
          <w:sz w:val="20"/>
          <w:szCs w:val="20"/>
        </w:rPr>
        <w:t xml:space="preserve"> that local and regional authorities are key in upholding and defending democracy, human rights and </w:t>
      </w:r>
      <w:r w:rsidR="00946813">
        <w:rPr>
          <w:rFonts w:ascii="Arial" w:hAnsi="Arial" w:cs="Arial"/>
          <w:sz w:val="20"/>
          <w:szCs w:val="20"/>
        </w:rPr>
        <w:t xml:space="preserve">the </w:t>
      </w:r>
      <w:r w:rsidR="00493058">
        <w:rPr>
          <w:rFonts w:ascii="Arial" w:hAnsi="Arial" w:cs="Arial"/>
          <w:sz w:val="20"/>
          <w:szCs w:val="20"/>
        </w:rPr>
        <w:t>r</w:t>
      </w:r>
      <w:r w:rsidR="004C647C" w:rsidRPr="004C647C">
        <w:rPr>
          <w:rFonts w:ascii="Arial" w:hAnsi="Arial" w:cs="Arial"/>
          <w:sz w:val="20"/>
          <w:szCs w:val="20"/>
        </w:rPr>
        <w:t xml:space="preserve">ule of </w:t>
      </w:r>
      <w:r w:rsidR="00493058">
        <w:rPr>
          <w:rFonts w:ascii="Arial" w:hAnsi="Arial" w:cs="Arial"/>
          <w:sz w:val="20"/>
          <w:szCs w:val="20"/>
        </w:rPr>
        <w:t>l</w:t>
      </w:r>
      <w:r w:rsidR="004C647C" w:rsidRPr="004C647C">
        <w:rPr>
          <w:rFonts w:ascii="Arial" w:hAnsi="Arial" w:cs="Arial"/>
          <w:sz w:val="20"/>
          <w:szCs w:val="20"/>
        </w:rPr>
        <w:t xml:space="preserve">aw, not only within their communities, but as part of the system of checks and balances which </w:t>
      </w:r>
      <w:r w:rsidR="004635E9">
        <w:rPr>
          <w:rFonts w:ascii="Arial" w:hAnsi="Arial" w:cs="Arial"/>
          <w:sz w:val="20"/>
          <w:szCs w:val="20"/>
        </w:rPr>
        <w:t>forms</w:t>
      </w:r>
      <w:r w:rsidR="004C647C" w:rsidRPr="004C647C">
        <w:rPr>
          <w:rFonts w:ascii="Arial" w:hAnsi="Arial" w:cs="Arial"/>
          <w:sz w:val="20"/>
          <w:szCs w:val="20"/>
        </w:rPr>
        <w:t xml:space="preserve"> the backbone of a genuine pluralistic democracy;</w:t>
      </w:r>
    </w:p>
    <w:p w14:paraId="060062A8" w14:textId="77777777" w:rsidR="00E92F4B" w:rsidRPr="0080275C" w:rsidRDefault="00E92F4B" w:rsidP="0080275C">
      <w:pPr>
        <w:rPr>
          <w:rFonts w:ascii="Arial" w:hAnsi="Arial" w:cs="Arial"/>
          <w:sz w:val="20"/>
          <w:szCs w:val="20"/>
        </w:rPr>
      </w:pPr>
    </w:p>
    <w:p w14:paraId="2B76C215" w14:textId="7E1C60E1" w:rsidR="00E92F4B" w:rsidRPr="00760626" w:rsidRDefault="00E92F4B" w:rsidP="005139D7">
      <w:pPr>
        <w:numPr>
          <w:ilvl w:val="0"/>
          <w:numId w:val="4"/>
        </w:numPr>
        <w:tabs>
          <w:tab w:val="left" w:pos="284"/>
        </w:tabs>
        <w:jc w:val="both"/>
        <w:rPr>
          <w:rFonts w:ascii="Arial" w:hAnsi="Arial" w:cs="Arial"/>
          <w:sz w:val="20"/>
          <w:szCs w:val="20"/>
        </w:rPr>
      </w:pPr>
      <w:r w:rsidRPr="00E92F4B">
        <w:rPr>
          <w:rFonts w:ascii="Arial" w:hAnsi="Arial" w:cs="Arial"/>
          <w:sz w:val="20"/>
          <w:szCs w:val="20"/>
        </w:rPr>
        <w:t xml:space="preserve">considers that the implementation of the </w:t>
      </w:r>
      <w:r w:rsidR="00493058">
        <w:rPr>
          <w:rFonts w:ascii="Arial" w:hAnsi="Arial" w:cs="Arial"/>
          <w:sz w:val="20"/>
          <w:szCs w:val="20"/>
        </w:rPr>
        <w:t>r</w:t>
      </w:r>
      <w:r w:rsidRPr="00E92F4B">
        <w:rPr>
          <w:rFonts w:ascii="Arial" w:hAnsi="Arial" w:cs="Arial"/>
          <w:sz w:val="20"/>
          <w:szCs w:val="20"/>
        </w:rPr>
        <w:t xml:space="preserve">ule of </w:t>
      </w:r>
      <w:r w:rsidR="00493058">
        <w:rPr>
          <w:rFonts w:ascii="Arial" w:hAnsi="Arial" w:cs="Arial"/>
          <w:sz w:val="20"/>
          <w:szCs w:val="20"/>
        </w:rPr>
        <w:t>l</w:t>
      </w:r>
      <w:r w:rsidRPr="00E92F4B">
        <w:rPr>
          <w:rFonts w:ascii="Arial" w:hAnsi="Arial" w:cs="Arial"/>
          <w:sz w:val="20"/>
          <w:szCs w:val="20"/>
        </w:rPr>
        <w:t xml:space="preserve">aw by local authorities, including the execution </w:t>
      </w:r>
      <w:r w:rsidR="004635E9">
        <w:rPr>
          <w:rFonts w:ascii="Arial" w:hAnsi="Arial" w:cs="Arial"/>
          <w:sz w:val="20"/>
          <w:szCs w:val="20"/>
        </w:rPr>
        <w:t xml:space="preserve">of the judgements </w:t>
      </w:r>
      <w:r w:rsidRPr="00E92F4B">
        <w:rPr>
          <w:rFonts w:ascii="Arial" w:hAnsi="Arial" w:cs="Arial"/>
          <w:sz w:val="20"/>
          <w:szCs w:val="20"/>
        </w:rPr>
        <w:t>of the European Court of Human Rights, is part of the general rule of law implementation;</w:t>
      </w:r>
    </w:p>
    <w:p w14:paraId="6AE18A62" w14:textId="77777777" w:rsidR="00A34C84" w:rsidRPr="0080275C" w:rsidRDefault="00A34C84" w:rsidP="0080275C">
      <w:pPr>
        <w:rPr>
          <w:rFonts w:ascii="Arial" w:hAnsi="Arial" w:cs="Arial"/>
          <w:sz w:val="20"/>
          <w:szCs w:val="20"/>
        </w:rPr>
      </w:pPr>
    </w:p>
    <w:p w14:paraId="50539042" w14:textId="45F7D051" w:rsidR="00A34C84" w:rsidRPr="00E92F4B" w:rsidRDefault="004C647C" w:rsidP="005139D7">
      <w:pPr>
        <w:numPr>
          <w:ilvl w:val="0"/>
          <w:numId w:val="4"/>
        </w:numPr>
        <w:tabs>
          <w:tab w:val="left" w:pos="284"/>
        </w:tabs>
        <w:jc w:val="both"/>
        <w:rPr>
          <w:rFonts w:ascii="Arial" w:hAnsi="Arial" w:cs="Arial"/>
          <w:sz w:val="20"/>
          <w:szCs w:val="20"/>
        </w:rPr>
      </w:pPr>
      <w:r w:rsidRPr="00E92F4B">
        <w:rPr>
          <w:rFonts w:ascii="Arial" w:hAnsi="Arial" w:cs="Arial"/>
          <w:sz w:val="20"/>
          <w:szCs w:val="20"/>
        </w:rPr>
        <w:t xml:space="preserve">underlines that the monitoring of the </w:t>
      </w:r>
      <w:r w:rsidR="00E92F4B" w:rsidRPr="00E92F4B">
        <w:rPr>
          <w:rFonts w:ascii="Arial" w:hAnsi="Arial" w:cs="Arial"/>
          <w:sz w:val="20"/>
          <w:szCs w:val="20"/>
        </w:rPr>
        <w:t xml:space="preserve">application </w:t>
      </w:r>
      <w:r w:rsidRPr="00E92F4B">
        <w:rPr>
          <w:rFonts w:ascii="Arial" w:hAnsi="Arial" w:cs="Arial"/>
          <w:sz w:val="20"/>
          <w:szCs w:val="20"/>
        </w:rPr>
        <w:t>of the Charter</w:t>
      </w:r>
      <w:r w:rsidR="004635E9">
        <w:rPr>
          <w:rFonts w:ascii="Arial" w:hAnsi="Arial" w:cs="Arial"/>
          <w:sz w:val="20"/>
          <w:szCs w:val="20"/>
        </w:rPr>
        <w:t xml:space="preserve"> </w:t>
      </w:r>
      <w:r w:rsidRPr="00E92F4B">
        <w:rPr>
          <w:rFonts w:ascii="Arial" w:hAnsi="Arial" w:cs="Arial"/>
          <w:sz w:val="20"/>
          <w:szCs w:val="20"/>
        </w:rPr>
        <w:t xml:space="preserve">– which establishes the standards on local self-government and local democracy – is an important contribution </w:t>
      </w:r>
      <w:r w:rsidR="00946813">
        <w:rPr>
          <w:rFonts w:ascii="Arial" w:hAnsi="Arial" w:cs="Arial"/>
          <w:sz w:val="20"/>
          <w:szCs w:val="20"/>
        </w:rPr>
        <w:t>to</w:t>
      </w:r>
      <w:r w:rsidRPr="00E92F4B">
        <w:rPr>
          <w:rFonts w:ascii="Arial" w:hAnsi="Arial" w:cs="Arial"/>
          <w:sz w:val="20"/>
          <w:szCs w:val="20"/>
        </w:rPr>
        <w:t xml:space="preserve"> monitoring and</w:t>
      </w:r>
      <w:r w:rsidR="00E213B6">
        <w:rPr>
          <w:rFonts w:ascii="Arial" w:hAnsi="Arial" w:cs="Arial"/>
          <w:sz w:val="20"/>
          <w:szCs w:val="20"/>
        </w:rPr>
        <w:t xml:space="preserve"> s</w:t>
      </w:r>
      <w:r w:rsidRPr="00E92F4B">
        <w:rPr>
          <w:rFonts w:ascii="Arial" w:hAnsi="Arial" w:cs="Arial"/>
          <w:sz w:val="20"/>
          <w:szCs w:val="20"/>
        </w:rPr>
        <w:t xml:space="preserve">trengthening </w:t>
      </w:r>
      <w:r w:rsidR="004635E9">
        <w:rPr>
          <w:rFonts w:ascii="Arial" w:hAnsi="Arial" w:cs="Arial"/>
          <w:sz w:val="20"/>
          <w:szCs w:val="20"/>
        </w:rPr>
        <w:t>the</w:t>
      </w:r>
      <w:r w:rsidRPr="00E92F4B">
        <w:rPr>
          <w:rFonts w:ascii="Arial" w:hAnsi="Arial" w:cs="Arial"/>
          <w:sz w:val="20"/>
          <w:szCs w:val="20"/>
        </w:rPr>
        <w:t xml:space="preserve"> rule of law;</w:t>
      </w:r>
    </w:p>
    <w:p w14:paraId="343FF1C3" w14:textId="77777777" w:rsidR="00A34C84" w:rsidRPr="004C647C" w:rsidRDefault="00A34C84" w:rsidP="00A34C84">
      <w:pPr>
        <w:tabs>
          <w:tab w:val="left" w:pos="284"/>
        </w:tabs>
        <w:jc w:val="both"/>
        <w:rPr>
          <w:rFonts w:ascii="Arial" w:hAnsi="Arial" w:cs="Arial"/>
          <w:sz w:val="20"/>
          <w:szCs w:val="20"/>
        </w:rPr>
      </w:pPr>
    </w:p>
    <w:p w14:paraId="3AC7F779" w14:textId="26616B8B" w:rsidR="003F11A6" w:rsidRPr="00F402D8" w:rsidRDefault="004C647C" w:rsidP="006234FD">
      <w:pPr>
        <w:numPr>
          <w:ilvl w:val="0"/>
          <w:numId w:val="4"/>
        </w:numPr>
        <w:tabs>
          <w:tab w:val="left" w:pos="284"/>
        </w:tabs>
        <w:spacing w:after="200" w:line="276" w:lineRule="auto"/>
        <w:jc w:val="both"/>
        <w:rPr>
          <w:rFonts w:ascii="Arial" w:hAnsi="Arial" w:cs="Arial"/>
          <w:sz w:val="20"/>
          <w:szCs w:val="20"/>
        </w:rPr>
      </w:pPr>
      <w:r w:rsidRPr="00F402D8">
        <w:rPr>
          <w:rFonts w:ascii="Arial" w:hAnsi="Arial" w:cs="Arial"/>
          <w:sz w:val="20"/>
          <w:szCs w:val="20"/>
        </w:rPr>
        <w:lastRenderedPageBreak/>
        <w:t xml:space="preserve">considers that the monitoring reports on compliance with the Charter </w:t>
      </w:r>
      <w:r w:rsidR="004635E9" w:rsidRPr="00F402D8">
        <w:rPr>
          <w:rFonts w:ascii="Arial" w:hAnsi="Arial" w:cs="Arial"/>
          <w:sz w:val="20"/>
          <w:szCs w:val="20"/>
        </w:rPr>
        <w:t>serve as an important</w:t>
      </w:r>
      <w:r w:rsidRPr="00F402D8">
        <w:rPr>
          <w:rFonts w:ascii="Arial" w:hAnsi="Arial" w:cs="Arial"/>
          <w:sz w:val="20"/>
          <w:szCs w:val="20"/>
        </w:rPr>
        <w:t xml:space="preserve"> indicator </w:t>
      </w:r>
      <w:r w:rsidR="004635E9" w:rsidRPr="00F402D8">
        <w:rPr>
          <w:rFonts w:ascii="Arial" w:hAnsi="Arial" w:cs="Arial"/>
          <w:sz w:val="20"/>
          <w:szCs w:val="20"/>
        </w:rPr>
        <w:t xml:space="preserve">that can point to </w:t>
      </w:r>
      <w:r w:rsidRPr="00F402D8">
        <w:rPr>
          <w:rFonts w:ascii="Arial" w:hAnsi="Arial" w:cs="Arial"/>
          <w:sz w:val="20"/>
          <w:szCs w:val="20"/>
        </w:rPr>
        <w:t xml:space="preserve">possible democratic </w:t>
      </w:r>
      <w:r w:rsidR="004635E9" w:rsidRPr="00F402D8">
        <w:rPr>
          <w:rFonts w:ascii="Arial" w:hAnsi="Arial" w:cs="Arial"/>
          <w:sz w:val="20"/>
          <w:szCs w:val="20"/>
        </w:rPr>
        <w:t>backsliding</w:t>
      </w:r>
      <w:r w:rsidRPr="00F402D8">
        <w:rPr>
          <w:rFonts w:ascii="Arial" w:hAnsi="Arial" w:cs="Arial"/>
          <w:sz w:val="20"/>
          <w:szCs w:val="20"/>
        </w:rPr>
        <w:t xml:space="preserve"> in member </w:t>
      </w:r>
      <w:r w:rsidR="00F52B3E" w:rsidRPr="00F402D8">
        <w:rPr>
          <w:rFonts w:ascii="Arial" w:hAnsi="Arial" w:cs="Arial"/>
          <w:sz w:val="20"/>
          <w:szCs w:val="20"/>
        </w:rPr>
        <w:t>S</w:t>
      </w:r>
      <w:r w:rsidRPr="00F402D8">
        <w:rPr>
          <w:rFonts w:ascii="Arial" w:hAnsi="Arial" w:cs="Arial"/>
          <w:sz w:val="20"/>
          <w:szCs w:val="20"/>
        </w:rPr>
        <w:t>tates.</w:t>
      </w:r>
    </w:p>
    <w:p w14:paraId="67405B2A" w14:textId="0CF737A5" w:rsidR="004C647C" w:rsidRPr="00760626" w:rsidRDefault="004C647C" w:rsidP="00CD57AD">
      <w:pPr>
        <w:pStyle w:val="ListParagraph"/>
        <w:numPr>
          <w:ilvl w:val="0"/>
          <w:numId w:val="5"/>
        </w:numPr>
        <w:tabs>
          <w:tab w:val="left" w:pos="284"/>
          <w:tab w:val="left" w:pos="426"/>
        </w:tabs>
        <w:ind w:left="0" w:firstLine="0"/>
        <w:jc w:val="both"/>
        <w:rPr>
          <w:rFonts w:ascii="Arial" w:hAnsi="Arial" w:cs="Arial"/>
          <w:sz w:val="20"/>
          <w:szCs w:val="20"/>
        </w:rPr>
      </w:pPr>
      <w:r w:rsidRPr="004C647C">
        <w:rPr>
          <w:rFonts w:ascii="Arial" w:hAnsi="Arial" w:cs="Arial"/>
          <w:sz w:val="20"/>
          <w:szCs w:val="20"/>
        </w:rPr>
        <w:t xml:space="preserve">In light of the foregoing, the Congress invites its Committee on the Honouring of Obligations and Commitments by </w:t>
      </w:r>
      <w:r w:rsidR="00E213B6">
        <w:rPr>
          <w:rFonts w:ascii="Arial" w:hAnsi="Arial" w:cs="Arial"/>
          <w:sz w:val="20"/>
          <w:szCs w:val="20"/>
        </w:rPr>
        <w:t>m</w:t>
      </w:r>
      <w:r w:rsidRPr="004C647C">
        <w:rPr>
          <w:rFonts w:ascii="Arial" w:hAnsi="Arial" w:cs="Arial"/>
          <w:sz w:val="20"/>
          <w:szCs w:val="20"/>
        </w:rPr>
        <w:t xml:space="preserve">ember States of the </w:t>
      </w:r>
      <w:r w:rsidR="00607E66">
        <w:rPr>
          <w:rFonts w:ascii="Arial" w:hAnsi="Arial" w:cs="Arial"/>
          <w:sz w:val="20"/>
          <w:szCs w:val="20"/>
        </w:rPr>
        <w:t>European Charter of Local Self-Government</w:t>
      </w:r>
      <w:r w:rsidRPr="004C647C">
        <w:rPr>
          <w:rFonts w:ascii="Arial" w:hAnsi="Arial" w:cs="Arial"/>
          <w:sz w:val="20"/>
          <w:szCs w:val="20"/>
        </w:rPr>
        <w:t xml:space="preserve"> (Monitoring Committee) to:</w:t>
      </w:r>
    </w:p>
    <w:p w14:paraId="4156D8D8" w14:textId="77777777" w:rsidR="00A34C84" w:rsidRPr="00760626" w:rsidRDefault="00A34C84" w:rsidP="00E213B6">
      <w:pPr>
        <w:tabs>
          <w:tab w:val="left" w:pos="284"/>
        </w:tabs>
        <w:jc w:val="both"/>
        <w:rPr>
          <w:rFonts w:ascii="Arial" w:hAnsi="Arial" w:cs="Arial"/>
          <w:sz w:val="20"/>
          <w:szCs w:val="20"/>
        </w:rPr>
      </w:pPr>
    </w:p>
    <w:p w14:paraId="4169D04C" w14:textId="4A8D112E" w:rsidR="00A34C84" w:rsidRPr="00E213B6" w:rsidRDefault="004C647C" w:rsidP="00E213B6">
      <w:pPr>
        <w:numPr>
          <w:ilvl w:val="0"/>
          <w:numId w:val="25"/>
        </w:numPr>
        <w:tabs>
          <w:tab w:val="left" w:pos="284"/>
        </w:tabs>
        <w:jc w:val="both"/>
        <w:rPr>
          <w:rFonts w:ascii="Arial" w:hAnsi="Arial" w:cs="Arial"/>
          <w:sz w:val="20"/>
          <w:szCs w:val="20"/>
        </w:rPr>
      </w:pPr>
      <w:r w:rsidRPr="00E213B6">
        <w:rPr>
          <w:rFonts w:ascii="Arial" w:hAnsi="Arial" w:cs="Arial"/>
          <w:sz w:val="20"/>
          <w:szCs w:val="20"/>
        </w:rPr>
        <w:t xml:space="preserve">work together with the other institutions of the Council of Europe, </w:t>
      </w:r>
      <w:r w:rsidR="00284058" w:rsidRPr="00E213B6">
        <w:rPr>
          <w:rFonts w:ascii="Arial" w:hAnsi="Arial" w:cs="Arial"/>
          <w:sz w:val="20"/>
          <w:szCs w:val="20"/>
        </w:rPr>
        <w:t xml:space="preserve">notably </w:t>
      </w:r>
      <w:r w:rsidR="00E92F4B" w:rsidRPr="00E213B6">
        <w:rPr>
          <w:rFonts w:ascii="Arial" w:hAnsi="Arial" w:cs="Arial"/>
          <w:sz w:val="20"/>
          <w:szCs w:val="20"/>
        </w:rPr>
        <w:t>the Venice Commission and the European Court of Human Rights</w:t>
      </w:r>
      <w:r w:rsidRPr="00E213B6">
        <w:rPr>
          <w:rFonts w:ascii="Arial" w:hAnsi="Arial" w:cs="Arial"/>
          <w:sz w:val="20"/>
          <w:szCs w:val="20"/>
        </w:rPr>
        <w:t>, to include local self-government within the rule of law monitoring activities;</w:t>
      </w:r>
    </w:p>
    <w:p w14:paraId="651164EE" w14:textId="77777777" w:rsidR="00A34C84" w:rsidRPr="004C647C" w:rsidRDefault="00A34C84" w:rsidP="00E213B6">
      <w:pPr>
        <w:tabs>
          <w:tab w:val="left" w:pos="284"/>
        </w:tabs>
        <w:jc w:val="both"/>
        <w:rPr>
          <w:rFonts w:ascii="Arial" w:hAnsi="Arial" w:cs="Arial"/>
          <w:sz w:val="20"/>
          <w:szCs w:val="20"/>
        </w:rPr>
      </w:pPr>
    </w:p>
    <w:p w14:paraId="46FF1DCA" w14:textId="797E8328" w:rsidR="004C647C" w:rsidRPr="00E213B6" w:rsidRDefault="004C647C" w:rsidP="00E213B6">
      <w:pPr>
        <w:numPr>
          <w:ilvl w:val="0"/>
          <w:numId w:val="25"/>
        </w:numPr>
        <w:tabs>
          <w:tab w:val="left" w:pos="284"/>
        </w:tabs>
        <w:jc w:val="both"/>
        <w:rPr>
          <w:rFonts w:ascii="Arial" w:hAnsi="Arial" w:cs="Arial"/>
          <w:sz w:val="20"/>
          <w:szCs w:val="20"/>
        </w:rPr>
      </w:pPr>
      <w:r w:rsidRPr="00E213B6">
        <w:rPr>
          <w:rFonts w:ascii="Arial" w:hAnsi="Arial" w:cs="Arial"/>
          <w:sz w:val="20"/>
          <w:szCs w:val="20"/>
        </w:rPr>
        <w:t>pursue a political dialogue with national, regional and local authorities in the framework of post-monitoring activities with all member States concerned by a</w:t>
      </w:r>
      <w:r w:rsidR="00E213B6">
        <w:rPr>
          <w:rFonts w:ascii="Arial" w:hAnsi="Arial" w:cs="Arial"/>
          <w:sz w:val="20"/>
          <w:szCs w:val="20"/>
        </w:rPr>
        <w:t>n erosion of the r</w:t>
      </w:r>
      <w:r w:rsidRPr="00E213B6">
        <w:rPr>
          <w:rFonts w:ascii="Arial" w:hAnsi="Arial" w:cs="Arial"/>
          <w:sz w:val="20"/>
          <w:szCs w:val="20"/>
        </w:rPr>
        <w:t xml:space="preserve">ule of law; </w:t>
      </w:r>
    </w:p>
    <w:p w14:paraId="7CD19362" w14:textId="77777777" w:rsidR="00A34C84" w:rsidRPr="004C647C" w:rsidRDefault="00A34C84" w:rsidP="00E213B6">
      <w:pPr>
        <w:tabs>
          <w:tab w:val="left" w:pos="284"/>
        </w:tabs>
        <w:jc w:val="both"/>
        <w:rPr>
          <w:rFonts w:ascii="Arial" w:hAnsi="Arial" w:cs="Arial"/>
          <w:sz w:val="20"/>
          <w:szCs w:val="20"/>
        </w:rPr>
      </w:pPr>
    </w:p>
    <w:p w14:paraId="4426B509" w14:textId="542F1DF2" w:rsidR="004C647C" w:rsidRPr="00E213B6" w:rsidRDefault="004C647C" w:rsidP="00E213B6">
      <w:pPr>
        <w:numPr>
          <w:ilvl w:val="0"/>
          <w:numId w:val="25"/>
        </w:numPr>
        <w:tabs>
          <w:tab w:val="left" w:pos="284"/>
        </w:tabs>
        <w:jc w:val="both"/>
        <w:rPr>
          <w:rFonts w:ascii="Arial" w:hAnsi="Arial" w:cs="Arial"/>
          <w:sz w:val="20"/>
          <w:szCs w:val="20"/>
        </w:rPr>
      </w:pPr>
      <w:r w:rsidRPr="00E213B6">
        <w:rPr>
          <w:rFonts w:ascii="Arial" w:hAnsi="Arial" w:cs="Arial"/>
          <w:sz w:val="20"/>
          <w:szCs w:val="20"/>
        </w:rPr>
        <w:t xml:space="preserve">promote the dissemination of </w:t>
      </w:r>
      <w:r w:rsidR="00E213B6">
        <w:rPr>
          <w:rFonts w:ascii="Arial" w:hAnsi="Arial" w:cs="Arial"/>
          <w:sz w:val="20"/>
          <w:szCs w:val="20"/>
        </w:rPr>
        <w:t xml:space="preserve">Charter </w:t>
      </w:r>
      <w:r w:rsidRPr="00E213B6">
        <w:rPr>
          <w:rFonts w:ascii="Arial" w:hAnsi="Arial" w:cs="Arial"/>
          <w:sz w:val="20"/>
          <w:szCs w:val="20"/>
        </w:rPr>
        <w:t xml:space="preserve">monitoring activities among governmental and </w:t>
      </w:r>
      <w:r w:rsidR="00E213B6">
        <w:rPr>
          <w:rFonts w:ascii="Arial" w:hAnsi="Arial" w:cs="Arial"/>
          <w:sz w:val="20"/>
          <w:szCs w:val="20"/>
        </w:rPr>
        <w:br/>
      </w:r>
      <w:r w:rsidRPr="00E213B6">
        <w:rPr>
          <w:rFonts w:ascii="Arial" w:hAnsi="Arial" w:cs="Arial"/>
          <w:sz w:val="20"/>
          <w:szCs w:val="20"/>
        </w:rPr>
        <w:t>non-governmental organi</w:t>
      </w:r>
      <w:r w:rsidR="00115764">
        <w:rPr>
          <w:rFonts w:ascii="Arial" w:hAnsi="Arial" w:cs="Arial"/>
          <w:sz w:val="20"/>
          <w:szCs w:val="20"/>
        </w:rPr>
        <w:t>s</w:t>
      </w:r>
      <w:r w:rsidRPr="00E213B6">
        <w:rPr>
          <w:rFonts w:ascii="Arial" w:hAnsi="Arial" w:cs="Arial"/>
          <w:sz w:val="20"/>
          <w:szCs w:val="20"/>
        </w:rPr>
        <w:t>ations assessing the state of democracy and</w:t>
      </w:r>
      <w:r w:rsidR="00E213B6">
        <w:rPr>
          <w:rFonts w:ascii="Arial" w:hAnsi="Arial" w:cs="Arial"/>
          <w:sz w:val="20"/>
          <w:szCs w:val="20"/>
        </w:rPr>
        <w:t xml:space="preserve"> of the</w:t>
      </w:r>
      <w:r w:rsidRPr="00E213B6">
        <w:rPr>
          <w:rFonts w:ascii="Arial" w:hAnsi="Arial" w:cs="Arial"/>
          <w:sz w:val="20"/>
          <w:szCs w:val="20"/>
        </w:rPr>
        <w:t xml:space="preserve"> rule of law</w:t>
      </w:r>
      <w:r w:rsidR="00E213B6">
        <w:rPr>
          <w:rFonts w:ascii="Arial" w:hAnsi="Arial" w:cs="Arial"/>
          <w:sz w:val="20"/>
          <w:szCs w:val="20"/>
        </w:rPr>
        <w:t>;</w:t>
      </w:r>
    </w:p>
    <w:p w14:paraId="26182724" w14:textId="77777777" w:rsidR="00E213B6" w:rsidRDefault="00E213B6" w:rsidP="00E213B6">
      <w:pPr>
        <w:tabs>
          <w:tab w:val="left" w:pos="284"/>
        </w:tabs>
        <w:jc w:val="both"/>
        <w:rPr>
          <w:rFonts w:ascii="Arial" w:hAnsi="Arial" w:cs="Arial"/>
          <w:sz w:val="20"/>
          <w:szCs w:val="20"/>
        </w:rPr>
      </w:pPr>
    </w:p>
    <w:p w14:paraId="7460DAE5" w14:textId="167E81FC" w:rsidR="005B69B7" w:rsidRPr="00486D72" w:rsidRDefault="00E213B6" w:rsidP="00E213B6">
      <w:pPr>
        <w:numPr>
          <w:ilvl w:val="0"/>
          <w:numId w:val="25"/>
        </w:numPr>
        <w:tabs>
          <w:tab w:val="left" w:pos="284"/>
        </w:tabs>
        <w:jc w:val="both"/>
        <w:rPr>
          <w:rFonts w:ascii="Arial" w:hAnsi="Arial" w:cs="Arial"/>
          <w:sz w:val="20"/>
          <w:szCs w:val="20"/>
        </w:rPr>
      </w:pPr>
      <w:r>
        <w:rPr>
          <w:rFonts w:ascii="Arial" w:hAnsi="Arial" w:cs="Arial"/>
          <w:sz w:val="20"/>
          <w:szCs w:val="20"/>
        </w:rPr>
        <w:t>entrust the</w:t>
      </w:r>
      <w:r w:rsidR="005B69B7" w:rsidRPr="00486D72">
        <w:rPr>
          <w:rFonts w:ascii="Arial" w:hAnsi="Arial" w:cs="Arial"/>
          <w:sz w:val="20"/>
          <w:szCs w:val="20"/>
        </w:rPr>
        <w:t xml:space="preserve"> Congress advisors on constitutional matters </w:t>
      </w:r>
      <w:r>
        <w:rPr>
          <w:rFonts w:ascii="Arial" w:hAnsi="Arial" w:cs="Arial"/>
          <w:sz w:val="20"/>
          <w:szCs w:val="20"/>
        </w:rPr>
        <w:t>with</w:t>
      </w:r>
      <w:r w:rsidR="005B69B7" w:rsidRPr="00486D72">
        <w:rPr>
          <w:rFonts w:ascii="Arial" w:hAnsi="Arial" w:cs="Arial"/>
          <w:sz w:val="20"/>
          <w:szCs w:val="20"/>
        </w:rPr>
        <w:t xml:space="preserve"> contribut</w:t>
      </w:r>
      <w:r>
        <w:rPr>
          <w:rFonts w:ascii="Arial" w:hAnsi="Arial" w:cs="Arial"/>
          <w:sz w:val="20"/>
          <w:szCs w:val="20"/>
        </w:rPr>
        <w:t>ing</w:t>
      </w:r>
      <w:r w:rsidR="005B69B7" w:rsidRPr="00486D72">
        <w:rPr>
          <w:rFonts w:ascii="Arial" w:hAnsi="Arial" w:cs="Arial"/>
          <w:sz w:val="20"/>
          <w:szCs w:val="20"/>
        </w:rPr>
        <w:t xml:space="preserve"> to Congress activities aimed at </w:t>
      </w:r>
      <w:r w:rsidR="00654E83">
        <w:rPr>
          <w:rFonts w:ascii="Arial" w:hAnsi="Arial" w:cs="Arial"/>
          <w:sz w:val="20"/>
          <w:szCs w:val="20"/>
        </w:rPr>
        <w:t xml:space="preserve">promoting </w:t>
      </w:r>
      <w:r w:rsidR="005B69B7" w:rsidRPr="00486D72">
        <w:rPr>
          <w:rFonts w:ascii="Arial" w:hAnsi="Arial" w:cs="Arial"/>
          <w:sz w:val="20"/>
          <w:szCs w:val="20"/>
        </w:rPr>
        <w:t>the role of local and regional authorities in upholding the rule of law</w:t>
      </w:r>
      <w:r w:rsidR="00284058">
        <w:rPr>
          <w:rFonts w:ascii="Arial" w:hAnsi="Arial" w:cs="Arial"/>
          <w:sz w:val="20"/>
          <w:szCs w:val="20"/>
        </w:rPr>
        <w:t xml:space="preserve"> among local </w:t>
      </w:r>
      <w:r>
        <w:rPr>
          <w:rFonts w:ascii="Arial" w:hAnsi="Arial" w:cs="Arial"/>
          <w:sz w:val="20"/>
          <w:szCs w:val="20"/>
        </w:rPr>
        <w:t xml:space="preserve">and regional </w:t>
      </w:r>
      <w:r w:rsidR="00284058">
        <w:rPr>
          <w:rFonts w:ascii="Arial" w:hAnsi="Arial" w:cs="Arial"/>
          <w:sz w:val="20"/>
          <w:szCs w:val="20"/>
        </w:rPr>
        <w:t>elected representatives</w:t>
      </w:r>
      <w:r w:rsidR="005B69B7" w:rsidRPr="00486D72">
        <w:rPr>
          <w:rFonts w:ascii="Arial" w:hAnsi="Arial" w:cs="Arial"/>
          <w:sz w:val="20"/>
          <w:szCs w:val="20"/>
        </w:rPr>
        <w:t xml:space="preserve">. </w:t>
      </w:r>
    </w:p>
    <w:p w14:paraId="53DFBCF5" w14:textId="77777777" w:rsidR="005B69B7" w:rsidRPr="004C647C" w:rsidRDefault="005B69B7" w:rsidP="00A34C84">
      <w:pPr>
        <w:tabs>
          <w:tab w:val="left" w:pos="284"/>
        </w:tabs>
        <w:jc w:val="both"/>
        <w:rPr>
          <w:rFonts w:ascii="Arial" w:hAnsi="Arial" w:cs="Arial"/>
          <w:sz w:val="20"/>
          <w:szCs w:val="20"/>
        </w:rPr>
      </w:pPr>
    </w:p>
    <w:p w14:paraId="1BFBEE44" w14:textId="77777777" w:rsidR="004C647C" w:rsidRPr="004C647C" w:rsidRDefault="004C647C" w:rsidP="00A34C84">
      <w:pPr>
        <w:jc w:val="both"/>
        <w:rPr>
          <w:rFonts w:ascii="Arial" w:hAnsi="Arial" w:cs="Arial"/>
          <w:sz w:val="20"/>
          <w:szCs w:val="20"/>
        </w:rPr>
      </w:pPr>
    </w:p>
    <w:p w14:paraId="1928EEA6" w14:textId="7CBD83B7" w:rsidR="004C647C" w:rsidRPr="00760626" w:rsidRDefault="004C647C" w:rsidP="00A34C84">
      <w:pPr>
        <w:rPr>
          <w:rFonts w:ascii="Arial" w:eastAsiaTheme="majorEastAsia" w:hAnsi="Arial" w:cs="Arial"/>
          <w:b/>
          <w:bCs/>
          <w:sz w:val="20"/>
          <w:szCs w:val="20"/>
        </w:rPr>
      </w:pPr>
      <w:r w:rsidRPr="00760626">
        <w:rPr>
          <w:rFonts w:ascii="Arial" w:eastAsiaTheme="majorEastAsia" w:hAnsi="Arial" w:cs="Arial"/>
          <w:b/>
          <w:bCs/>
          <w:sz w:val="20"/>
          <w:szCs w:val="20"/>
        </w:rPr>
        <w:br w:type="page"/>
      </w:r>
    </w:p>
    <w:p w14:paraId="690FC19A" w14:textId="5DD35BC0" w:rsidR="005F5163" w:rsidRPr="00760626" w:rsidRDefault="00DD4F39" w:rsidP="002A7A2C">
      <w:pPr>
        <w:pStyle w:val="Heading1"/>
        <w:spacing w:before="0"/>
        <w:rPr>
          <w:rFonts w:ascii="Arial" w:hAnsi="Arial" w:cs="Arial"/>
          <w:color w:val="auto"/>
          <w:sz w:val="20"/>
          <w:szCs w:val="20"/>
        </w:rPr>
      </w:pPr>
      <w:bookmarkStart w:id="14" w:name="_Toc139014750"/>
      <w:bookmarkStart w:id="15" w:name="_Toc139019096"/>
      <w:bookmarkStart w:id="16" w:name="_Toc139019411"/>
      <w:bookmarkStart w:id="17" w:name="_Toc139020086"/>
      <w:bookmarkStart w:id="18" w:name="_Toc139020316"/>
      <w:bookmarkStart w:id="19" w:name="_Toc143512953"/>
      <w:bookmarkStart w:id="20" w:name="_Toc143513089"/>
      <w:bookmarkStart w:id="21" w:name="_Toc155705224"/>
      <w:bookmarkStart w:id="22" w:name="_Toc155705330"/>
      <w:bookmarkStart w:id="23" w:name="_Toc155705597"/>
      <w:bookmarkStart w:id="24" w:name="_Toc158375246"/>
      <w:r w:rsidRPr="00760626">
        <w:rPr>
          <w:rFonts w:ascii="Arial" w:hAnsi="Arial" w:cs="Arial"/>
          <w:color w:val="auto"/>
          <w:sz w:val="20"/>
          <w:szCs w:val="20"/>
        </w:rPr>
        <w:lastRenderedPageBreak/>
        <w:t>RECOMMENDATION</w:t>
      </w:r>
      <w:bookmarkEnd w:id="11"/>
      <w:bookmarkEnd w:id="14"/>
      <w:bookmarkEnd w:id="15"/>
      <w:bookmarkEnd w:id="16"/>
      <w:bookmarkEnd w:id="17"/>
      <w:bookmarkEnd w:id="18"/>
      <w:bookmarkEnd w:id="19"/>
      <w:bookmarkEnd w:id="20"/>
      <w:bookmarkEnd w:id="21"/>
      <w:bookmarkEnd w:id="22"/>
      <w:bookmarkEnd w:id="23"/>
      <w:bookmarkEnd w:id="24"/>
      <w:r w:rsidR="00F402D8">
        <w:rPr>
          <w:rFonts w:ascii="Arial" w:hAnsi="Arial" w:cs="Arial"/>
          <w:color w:val="auto"/>
          <w:sz w:val="20"/>
          <w:szCs w:val="20"/>
        </w:rPr>
        <w:t xml:space="preserve"> 499 (2024)</w:t>
      </w:r>
      <w:r w:rsidR="006960BC">
        <w:rPr>
          <w:rStyle w:val="FootnoteReference"/>
          <w:rFonts w:ascii="Arial" w:hAnsi="Arial" w:cs="Arial"/>
          <w:color w:val="auto"/>
          <w:sz w:val="20"/>
          <w:szCs w:val="20"/>
        </w:rPr>
        <w:footnoteReference w:id="3"/>
      </w:r>
    </w:p>
    <w:p w14:paraId="7C3D3A71" w14:textId="61C4FB4D" w:rsidR="004826BB" w:rsidRPr="00760626" w:rsidRDefault="000410DA" w:rsidP="00683973">
      <w:pPr>
        <w:pStyle w:val="Heading1"/>
        <w:spacing w:before="0" w:line="360" w:lineRule="auto"/>
        <w:rPr>
          <w:rFonts w:ascii="Arial" w:hAnsi="Arial" w:cs="Arial"/>
          <w:iCs/>
          <w:sz w:val="20"/>
          <w:szCs w:val="20"/>
          <w:lang w:eastAsia="en-GB"/>
        </w:rPr>
      </w:pPr>
      <w:r w:rsidRPr="00760626">
        <w:rPr>
          <w:rFonts w:ascii="Arial" w:hAnsi="Arial" w:cs="Arial"/>
          <w:color w:val="auto"/>
          <w:sz w:val="20"/>
          <w:szCs w:val="20"/>
        </w:rPr>
        <w:t xml:space="preserve"> </w:t>
      </w:r>
    </w:p>
    <w:p w14:paraId="4764689B" w14:textId="56C58E57" w:rsidR="00683973" w:rsidRPr="002B39D6" w:rsidRDefault="00683973" w:rsidP="007804E7">
      <w:pPr>
        <w:pStyle w:val="ListParagraph"/>
        <w:numPr>
          <w:ilvl w:val="0"/>
          <w:numId w:val="6"/>
        </w:numPr>
        <w:tabs>
          <w:tab w:val="left" w:pos="284"/>
        </w:tabs>
        <w:ind w:left="0" w:right="142" w:firstLine="0"/>
        <w:jc w:val="both"/>
        <w:rPr>
          <w:rFonts w:ascii="Arial" w:hAnsi="Arial" w:cs="Arial"/>
          <w:sz w:val="20"/>
          <w:szCs w:val="20"/>
        </w:rPr>
      </w:pPr>
      <w:r w:rsidRPr="002B39D6">
        <w:rPr>
          <w:rFonts w:ascii="Arial" w:hAnsi="Arial" w:cs="Arial"/>
          <w:sz w:val="20"/>
          <w:szCs w:val="20"/>
        </w:rPr>
        <w:t xml:space="preserve">Referring </w:t>
      </w:r>
      <w:r w:rsidR="001469F7" w:rsidRPr="002B39D6">
        <w:rPr>
          <w:rFonts w:ascii="Arial" w:hAnsi="Arial" w:cs="Arial"/>
          <w:sz w:val="20"/>
          <w:szCs w:val="20"/>
        </w:rPr>
        <w:t xml:space="preserve">to </w:t>
      </w:r>
      <w:bookmarkStart w:id="25" w:name="_Hlk158628790"/>
      <w:r w:rsidR="001469F7" w:rsidRPr="002B39D6">
        <w:rPr>
          <w:rFonts w:ascii="Arial" w:hAnsi="Arial" w:cs="Arial"/>
          <w:sz w:val="20"/>
          <w:szCs w:val="20"/>
          <w:lang w:eastAsia="en-GB"/>
        </w:rPr>
        <w:t>Statutory Resolution CM/Res(2020)1 relating to the Congress</w:t>
      </w:r>
      <w:bookmarkEnd w:id="25"/>
      <w:r w:rsidR="00CF40F3">
        <w:rPr>
          <w:rFonts w:ascii="Arial" w:hAnsi="Arial" w:cs="Arial"/>
          <w:sz w:val="20"/>
          <w:szCs w:val="20"/>
          <w:lang w:eastAsia="en-GB"/>
        </w:rPr>
        <w:t xml:space="preserve"> </w:t>
      </w:r>
      <w:r w:rsidR="00CF40F3" w:rsidRPr="002B39D6">
        <w:rPr>
          <w:rFonts w:ascii="Arial" w:hAnsi="Arial" w:cs="Arial"/>
          <w:sz w:val="20"/>
          <w:szCs w:val="20"/>
        </w:rPr>
        <w:t>of Local and Regional Authorities of the Council of Europe</w:t>
      </w:r>
      <w:r w:rsidR="001469F7" w:rsidRPr="002B39D6">
        <w:rPr>
          <w:rFonts w:ascii="Arial" w:hAnsi="Arial" w:cs="Arial"/>
          <w:sz w:val="20"/>
          <w:szCs w:val="20"/>
        </w:rPr>
        <w:t xml:space="preserve"> and </w:t>
      </w:r>
      <w:r w:rsidR="00CF40F3">
        <w:rPr>
          <w:rFonts w:ascii="Arial" w:hAnsi="Arial" w:cs="Arial"/>
          <w:sz w:val="20"/>
          <w:szCs w:val="20"/>
        </w:rPr>
        <w:t xml:space="preserve">to </w:t>
      </w:r>
      <w:r w:rsidR="001469F7" w:rsidRPr="002B39D6">
        <w:rPr>
          <w:rFonts w:ascii="Arial" w:hAnsi="Arial" w:cs="Arial"/>
          <w:sz w:val="20"/>
          <w:szCs w:val="20"/>
          <w:lang w:eastAsia="en-GB"/>
        </w:rPr>
        <w:t>the Council of Europe Reykjavik Declaration “United around our values”</w:t>
      </w:r>
      <w:r w:rsidRPr="002B39D6">
        <w:rPr>
          <w:rFonts w:ascii="Arial" w:hAnsi="Arial" w:cs="Arial"/>
          <w:sz w:val="20"/>
          <w:szCs w:val="20"/>
        </w:rPr>
        <w:t>, the Congress:</w:t>
      </w:r>
    </w:p>
    <w:p w14:paraId="4F143FC5" w14:textId="77777777" w:rsidR="00683973" w:rsidRPr="0080275C" w:rsidRDefault="00683973" w:rsidP="0080275C">
      <w:pPr>
        <w:ind w:right="142"/>
        <w:rPr>
          <w:rFonts w:ascii="Arial" w:hAnsi="Arial" w:cs="Arial"/>
          <w:sz w:val="20"/>
          <w:szCs w:val="20"/>
        </w:rPr>
      </w:pPr>
    </w:p>
    <w:p w14:paraId="720DEDFA" w14:textId="4CA9E9DC" w:rsidR="00683973" w:rsidRPr="00760626" w:rsidRDefault="00683973"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sidRPr="00760626">
        <w:rPr>
          <w:rFonts w:ascii="Arial" w:hAnsi="Arial" w:cs="Arial"/>
          <w:sz w:val="20"/>
          <w:szCs w:val="20"/>
          <w:lang w:eastAsia="en-GB"/>
        </w:rPr>
        <w:t xml:space="preserve">is deeply concerned about democratic backsliding </w:t>
      </w:r>
      <w:r w:rsidR="00722BA9">
        <w:rPr>
          <w:rFonts w:ascii="Arial" w:hAnsi="Arial" w:cs="Arial"/>
          <w:sz w:val="20"/>
          <w:szCs w:val="20"/>
          <w:lang w:eastAsia="en-GB"/>
        </w:rPr>
        <w:t>worldwide</w:t>
      </w:r>
      <w:r w:rsidRPr="00760626">
        <w:rPr>
          <w:rFonts w:ascii="Arial" w:hAnsi="Arial" w:cs="Arial"/>
          <w:sz w:val="20"/>
          <w:szCs w:val="20"/>
          <w:lang w:eastAsia="en-GB"/>
        </w:rPr>
        <w:t xml:space="preserve"> and within Europe, </w:t>
      </w:r>
      <w:r w:rsidR="00CF40F3">
        <w:rPr>
          <w:rFonts w:ascii="Arial" w:hAnsi="Arial" w:cs="Arial"/>
          <w:sz w:val="20"/>
          <w:szCs w:val="20"/>
          <w:lang w:eastAsia="en-GB"/>
        </w:rPr>
        <w:t>which has resulted</w:t>
      </w:r>
      <w:r w:rsidR="00722BA9">
        <w:rPr>
          <w:rFonts w:ascii="Arial" w:hAnsi="Arial" w:cs="Arial"/>
          <w:sz w:val="20"/>
          <w:szCs w:val="20"/>
          <w:lang w:eastAsia="en-GB"/>
        </w:rPr>
        <w:t xml:space="preserve"> in </w:t>
      </w:r>
      <w:r w:rsidR="00CF40F3">
        <w:rPr>
          <w:rFonts w:ascii="Arial" w:hAnsi="Arial" w:cs="Arial"/>
          <w:sz w:val="20"/>
          <w:szCs w:val="20"/>
          <w:lang w:eastAsia="en-GB"/>
        </w:rPr>
        <w:t xml:space="preserve">a </w:t>
      </w:r>
      <w:r w:rsidR="00722BA9">
        <w:rPr>
          <w:rFonts w:ascii="Arial" w:hAnsi="Arial" w:cs="Arial"/>
          <w:sz w:val="20"/>
          <w:szCs w:val="20"/>
          <w:lang w:eastAsia="en-GB"/>
        </w:rPr>
        <w:t>weake</w:t>
      </w:r>
      <w:r w:rsidR="00CF40F3">
        <w:rPr>
          <w:rFonts w:ascii="Arial" w:hAnsi="Arial" w:cs="Arial"/>
          <w:sz w:val="20"/>
          <w:szCs w:val="20"/>
          <w:lang w:eastAsia="en-GB"/>
        </w:rPr>
        <w:t>ning of</w:t>
      </w:r>
      <w:r w:rsidRPr="00760626">
        <w:rPr>
          <w:rFonts w:ascii="Arial" w:hAnsi="Arial" w:cs="Arial"/>
          <w:sz w:val="20"/>
          <w:szCs w:val="20"/>
          <w:lang w:eastAsia="en-GB"/>
        </w:rPr>
        <w:t xml:space="preserve"> checks and balances, obstacles and limitations </w:t>
      </w:r>
      <w:r w:rsidR="00CF40F3">
        <w:rPr>
          <w:rFonts w:ascii="Arial" w:hAnsi="Arial" w:cs="Arial"/>
          <w:sz w:val="20"/>
          <w:szCs w:val="20"/>
          <w:lang w:eastAsia="en-GB"/>
        </w:rPr>
        <w:t>on</w:t>
      </w:r>
      <w:r w:rsidRPr="00760626">
        <w:rPr>
          <w:rFonts w:ascii="Arial" w:hAnsi="Arial" w:cs="Arial"/>
          <w:sz w:val="20"/>
          <w:szCs w:val="20"/>
          <w:lang w:eastAsia="en-GB"/>
        </w:rPr>
        <w:t xml:space="preserve"> the exercise of civil and political rights and freedoms, </w:t>
      </w:r>
      <w:r w:rsidR="00722BA9">
        <w:rPr>
          <w:rFonts w:ascii="Arial" w:hAnsi="Arial" w:cs="Arial"/>
          <w:sz w:val="20"/>
          <w:szCs w:val="20"/>
          <w:lang w:eastAsia="en-GB"/>
        </w:rPr>
        <w:t>restrictions</w:t>
      </w:r>
      <w:r w:rsidR="00722BA9" w:rsidRPr="00760626">
        <w:rPr>
          <w:rFonts w:ascii="Arial" w:hAnsi="Arial" w:cs="Arial"/>
          <w:sz w:val="20"/>
          <w:szCs w:val="20"/>
          <w:lang w:eastAsia="en-GB"/>
        </w:rPr>
        <w:t xml:space="preserve"> </w:t>
      </w:r>
      <w:r w:rsidR="00722BA9">
        <w:rPr>
          <w:rFonts w:ascii="Arial" w:hAnsi="Arial" w:cs="Arial"/>
          <w:sz w:val="20"/>
          <w:szCs w:val="20"/>
          <w:lang w:eastAsia="en-GB"/>
        </w:rPr>
        <w:t>on</w:t>
      </w:r>
      <w:r w:rsidR="00722BA9" w:rsidRPr="00760626">
        <w:rPr>
          <w:rFonts w:ascii="Arial" w:hAnsi="Arial" w:cs="Arial"/>
          <w:sz w:val="20"/>
          <w:szCs w:val="20"/>
          <w:lang w:eastAsia="en-GB"/>
        </w:rPr>
        <w:t xml:space="preserve"> </w:t>
      </w:r>
      <w:r w:rsidRPr="00760626">
        <w:rPr>
          <w:rFonts w:ascii="Arial" w:hAnsi="Arial" w:cs="Arial"/>
          <w:sz w:val="20"/>
          <w:szCs w:val="20"/>
          <w:lang w:eastAsia="en-GB"/>
        </w:rPr>
        <w:t>local self-government</w:t>
      </w:r>
      <w:r w:rsidR="00722BA9">
        <w:rPr>
          <w:rFonts w:ascii="Arial" w:hAnsi="Arial" w:cs="Arial"/>
          <w:sz w:val="20"/>
          <w:szCs w:val="20"/>
          <w:lang w:eastAsia="en-GB"/>
        </w:rPr>
        <w:t>,</w:t>
      </w:r>
      <w:r w:rsidRPr="00760626">
        <w:rPr>
          <w:rFonts w:ascii="Arial" w:hAnsi="Arial" w:cs="Arial"/>
          <w:sz w:val="20"/>
          <w:szCs w:val="20"/>
          <w:lang w:eastAsia="en-GB"/>
        </w:rPr>
        <w:t xml:space="preserve"> and erosion of the rule of law;</w:t>
      </w:r>
    </w:p>
    <w:p w14:paraId="14807A45" w14:textId="77777777" w:rsidR="00683973" w:rsidRPr="00760626" w:rsidRDefault="00683973" w:rsidP="00683973">
      <w:pPr>
        <w:pStyle w:val="ListParagraph"/>
        <w:tabs>
          <w:tab w:val="left" w:pos="284"/>
        </w:tabs>
        <w:autoSpaceDE w:val="0"/>
        <w:autoSpaceDN w:val="0"/>
        <w:adjustRightInd w:val="0"/>
        <w:ind w:left="0" w:right="142"/>
        <w:jc w:val="both"/>
        <w:rPr>
          <w:rFonts w:ascii="Arial" w:hAnsi="Arial" w:cs="Arial"/>
          <w:sz w:val="20"/>
          <w:szCs w:val="20"/>
          <w:lang w:eastAsia="en-GB"/>
        </w:rPr>
      </w:pPr>
    </w:p>
    <w:p w14:paraId="1B6F90B3" w14:textId="6CF79E1F" w:rsidR="00683973" w:rsidRPr="00760626" w:rsidRDefault="00683973"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sidRPr="00760626">
        <w:rPr>
          <w:rFonts w:ascii="Arial" w:hAnsi="Arial" w:cs="Arial"/>
          <w:sz w:val="20"/>
          <w:szCs w:val="20"/>
          <w:lang w:eastAsia="en-GB"/>
        </w:rPr>
        <w:t xml:space="preserve">considers that genuine democracy as enshrined in the Statute of the Council of Europe </w:t>
      </w:r>
      <w:r w:rsidR="00DD4049">
        <w:rPr>
          <w:rFonts w:ascii="Arial" w:hAnsi="Arial" w:cs="Arial"/>
          <w:sz w:val="20"/>
          <w:szCs w:val="20"/>
          <w:lang w:eastAsia="en-GB"/>
        </w:rPr>
        <w:br/>
      </w:r>
      <w:r w:rsidRPr="00760626">
        <w:rPr>
          <w:rFonts w:ascii="Arial" w:hAnsi="Arial" w:cs="Arial"/>
          <w:sz w:val="20"/>
          <w:szCs w:val="20"/>
          <w:lang w:eastAsia="en-GB"/>
        </w:rPr>
        <w:t>(ETS No. 1) cannot be achieved and preserved without effective implementation of the rule of law at all levels of public power;</w:t>
      </w:r>
    </w:p>
    <w:p w14:paraId="511C3C14" w14:textId="77777777" w:rsidR="00683973" w:rsidRPr="00760626" w:rsidRDefault="00683973" w:rsidP="00683973">
      <w:pPr>
        <w:pStyle w:val="ListParagraph"/>
        <w:tabs>
          <w:tab w:val="left" w:pos="284"/>
        </w:tabs>
        <w:autoSpaceDE w:val="0"/>
        <w:autoSpaceDN w:val="0"/>
        <w:adjustRightInd w:val="0"/>
        <w:ind w:left="0" w:right="142"/>
        <w:jc w:val="both"/>
        <w:rPr>
          <w:rFonts w:ascii="Arial" w:hAnsi="Arial" w:cs="Arial"/>
          <w:sz w:val="20"/>
          <w:szCs w:val="20"/>
          <w:lang w:eastAsia="en-GB"/>
        </w:rPr>
      </w:pPr>
    </w:p>
    <w:p w14:paraId="220EE6B1" w14:textId="43430B9E" w:rsidR="00683973" w:rsidRPr="00760626" w:rsidRDefault="00CF40F3"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Pr>
          <w:rFonts w:ascii="Arial" w:hAnsi="Arial" w:cs="Arial"/>
          <w:sz w:val="20"/>
          <w:szCs w:val="20"/>
          <w:lang w:eastAsia="en-GB"/>
        </w:rPr>
        <w:t>emphasises</w:t>
      </w:r>
      <w:r w:rsidR="00683973" w:rsidRPr="00760626">
        <w:rPr>
          <w:rFonts w:ascii="Arial" w:hAnsi="Arial" w:cs="Arial"/>
          <w:sz w:val="20"/>
          <w:szCs w:val="20"/>
          <w:lang w:eastAsia="en-GB"/>
        </w:rPr>
        <w:t xml:space="preserve"> that, as stated in the Reykjavík </w:t>
      </w:r>
      <w:r>
        <w:rPr>
          <w:rFonts w:ascii="Arial" w:hAnsi="Arial" w:cs="Arial"/>
          <w:sz w:val="20"/>
          <w:szCs w:val="20"/>
          <w:lang w:eastAsia="en-GB"/>
        </w:rPr>
        <w:t>D</w:t>
      </w:r>
      <w:r w:rsidR="00683973" w:rsidRPr="00760626">
        <w:rPr>
          <w:rFonts w:ascii="Arial" w:hAnsi="Arial" w:cs="Arial"/>
          <w:sz w:val="20"/>
          <w:szCs w:val="20"/>
          <w:lang w:eastAsia="en-GB"/>
        </w:rPr>
        <w:t xml:space="preserve">eclaration, democracy needs to strengthen the separation of powers </w:t>
      </w:r>
      <w:r w:rsidR="00EF05C6">
        <w:rPr>
          <w:rFonts w:ascii="Arial" w:hAnsi="Arial" w:cs="Arial"/>
          <w:sz w:val="20"/>
          <w:szCs w:val="20"/>
          <w:lang w:eastAsia="en-GB"/>
        </w:rPr>
        <w:t>through</w:t>
      </w:r>
      <w:r w:rsidR="00683973" w:rsidRPr="00760626">
        <w:rPr>
          <w:rFonts w:ascii="Arial" w:hAnsi="Arial" w:cs="Arial"/>
          <w:sz w:val="20"/>
          <w:szCs w:val="20"/>
          <w:lang w:eastAsia="en-GB"/>
        </w:rPr>
        <w:t xml:space="preserve"> appropriate checks and balances between different State institutions at all levels, </w:t>
      </w:r>
      <w:r w:rsidR="00EF05C6">
        <w:rPr>
          <w:rFonts w:ascii="Arial" w:hAnsi="Arial" w:cs="Arial"/>
          <w:sz w:val="20"/>
          <w:szCs w:val="20"/>
          <w:lang w:eastAsia="en-GB"/>
        </w:rPr>
        <w:t>to prevent</w:t>
      </w:r>
      <w:r w:rsidR="00683973" w:rsidRPr="00760626">
        <w:rPr>
          <w:rFonts w:ascii="Arial" w:hAnsi="Arial" w:cs="Arial"/>
          <w:sz w:val="20"/>
          <w:szCs w:val="20"/>
          <w:lang w:eastAsia="en-GB"/>
        </w:rPr>
        <w:t xml:space="preserve"> any excessive concentration of power;</w:t>
      </w:r>
    </w:p>
    <w:p w14:paraId="1FD8D012" w14:textId="77777777" w:rsidR="00683973" w:rsidRPr="00760626" w:rsidRDefault="00683973" w:rsidP="00683973">
      <w:pPr>
        <w:pStyle w:val="ListParagraph"/>
        <w:tabs>
          <w:tab w:val="left" w:pos="284"/>
        </w:tabs>
        <w:autoSpaceDE w:val="0"/>
        <w:autoSpaceDN w:val="0"/>
        <w:adjustRightInd w:val="0"/>
        <w:ind w:left="0" w:right="142"/>
        <w:jc w:val="both"/>
        <w:rPr>
          <w:rFonts w:ascii="Arial" w:hAnsi="Arial" w:cs="Arial"/>
          <w:sz w:val="20"/>
          <w:szCs w:val="20"/>
          <w:lang w:eastAsia="en-GB"/>
        </w:rPr>
      </w:pPr>
    </w:p>
    <w:p w14:paraId="30B4C89A" w14:textId="285544C7" w:rsidR="00683973" w:rsidRPr="00760626" w:rsidRDefault="00EF05C6"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Pr>
          <w:rFonts w:ascii="Arial" w:hAnsi="Arial" w:cs="Arial"/>
          <w:sz w:val="20"/>
          <w:szCs w:val="20"/>
          <w:lang w:eastAsia="en-GB"/>
        </w:rPr>
        <w:t>considers</w:t>
      </w:r>
      <w:r w:rsidR="00683973" w:rsidRPr="00760626">
        <w:rPr>
          <w:rFonts w:ascii="Arial" w:hAnsi="Arial" w:cs="Arial"/>
          <w:sz w:val="20"/>
          <w:szCs w:val="20"/>
          <w:lang w:eastAsia="en-GB"/>
        </w:rPr>
        <w:t xml:space="preserve"> that local and regional authorities are </w:t>
      </w:r>
      <w:r>
        <w:rPr>
          <w:rFonts w:ascii="Arial" w:hAnsi="Arial" w:cs="Arial"/>
          <w:sz w:val="20"/>
          <w:szCs w:val="20"/>
          <w:lang w:eastAsia="en-GB"/>
        </w:rPr>
        <w:t>key</w:t>
      </w:r>
      <w:r w:rsidR="007B0465" w:rsidRPr="00760626">
        <w:rPr>
          <w:rFonts w:ascii="Arial" w:hAnsi="Arial" w:cs="Arial"/>
          <w:sz w:val="20"/>
          <w:szCs w:val="20"/>
          <w:lang w:eastAsia="en-GB"/>
        </w:rPr>
        <w:t xml:space="preserve"> </w:t>
      </w:r>
      <w:r w:rsidR="00683973" w:rsidRPr="00760626">
        <w:rPr>
          <w:rFonts w:ascii="Arial" w:hAnsi="Arial" w:cs="Arial"/>
          <w:sz w:val="20"/>
          <w:szCs w:val="20"/>
          <w:lang w:eastAsia="en-GB"/>
        </w:rPr>
        <w:t>in upholding and defending democracy, human rights</w:t>
      </w:r>
      <w:r>
        <w:rPr>
          <w:rFonts w:ascii="Arial" w:hAnsi="Arial" w:cs="Arial"/>
          <w:sz w:val="20"/>
          <w:szCs w:val="20"/>
          <w:lang w:eastAsia="en-GB"/>
        </w:rPr>
        <w:t xml:space="preserve"> </w:t>
      </w:r>
      <w:r w:rsidR="00683973" w:rsidRPr="00760626">
        <w:rPr>
          <w:rFonts w:ascii="Arial" w:hAnsi="Arial" w:cs="Arial"/>
          <w:sz w:val="20"/>
          <w:szCs w:val="20"/>
          <w:lang w:eastAsia="en-GB"/>
        </w:rPr>
        <w:t>and</w:t>
      </w:r>
      <w:r w:rsidR="007B0465">
        <w:rPr>
          <w:rFonts w:ascii="Arial" w:hAnsi="Arial" w:cs="Arial"/>
          <w:sz w:val="20"/>
          <w:szCs w:val="20"/>
          <w:lang w:eastAsia="en-GB"/>
        </w:rPr>
        <w:t xml:space="preserve"> the</w:t>
      </w:r>
      <w:r w:rsidR="00683973" w:rsidRPr="00760626">
        <w:rPr>
          <w:rFonts w:ascii="Arial" w:hAnsi="Arial" w:cs="Arial"/>
          <w:sz w:val="20"/>
          <w:szCs w:val="20"/>
          <w:lang w:eastAsia="en-GB"/>
        </w:rPr>
        <w:t xml:space="preserve"> rule of law, not only within their communities, but</w:t>
      </w:r>
      <w:r w:rsidR="00722BA9">
        <w:rPr>
          <w:rFonts w:ascii="Arial" w:hAnsi="Arial" w:cs="Arial"/>
          <w:sz w:val="20"/>
          <w:szCs w:val="20"/>
          <w:lang w:eastAsia="en-GB"/>
        </w:rPr>
        <w:t xml:space="preserve"> also</w:t>
      </w:r>
      <w:r w:rsidR="00683973" w:rsidRPr="00760626">
        <w:rPr>
          <w:rFonts w:ascii="Arial" w:hAnsi="Arial" w:cs="Arial"/>
          <w:sz w:val="20"/>
          <w:szCs w:val="20"/>
          <w:lang w:eastAsia="en-GB"/>
        </w:rPr>
        <w:t xml:space="preserve"> as part of the system of checks and balances </w:t>
      </w:r>
      <w:r>
        <w:rPr>
          <w:rFonts w:ascii="Arial" w:hAnsi="Arial" w:cs="Arial"/>
          <w:sz w:val="20"/>
          <w:szCs w:val="20"/>
          <w:lang w:eastAsia="en-GB"/>
        </w:rPr>
        <w:t>which forms</w:t>
      </w:r>
      <w:r w:rsidR="00683973" w:rsidRPr="00760626">
        <w:rPr>
          <w:rFonts w:ascii="Arial" w:hAnsi="Arial" w:cs="Arial"/>
          <w:sz w:val="20"/>
          <w:szCs w:val="20"/>
          <w:lang w:eastAsia="en-GB"/>
        </w:rPr>
        <w:t xml:space="preserve"> the backbone of a genuine pluralistic democracy;</w:t>
      </w:r>
    </w:p>
    <w:p w14:paraId="1CF7D638" w14:textId="77777777" w:rsidR="00683973" w:rsidRPr="00760626" w:rsidRDefault="00683973" w:rsidP="00683973">
      <w:pPr>
        <w:pStyle w:val="ListParagraph"/>
        <w:tabs>
          <w:tab w:val="left" w:pos="284"/>
        </w:tabs>
        <w:autoSpaceDE w:val="0"/>
        <w:autoSpaceDN w:val="0"/>
        <w:adjustRightInd w:val="0"/>
        <w:ind w:left="0" w:right="142"/>
        <w:jc w:val="both"/>
        <w:rPr>
          <w:rFonts w:ascii="Arial" w:hAnsi="Arial" w:cs="Arial"/>
          <w:sz w:val="20"/>
          <w:szCs w:val="20"/>
          <w:lang w:eastAsia="en-GB"/>
        </w:rPr>
      </w:pPr>
    </w:p>
    <w:p w14:paraId="22808D8B" w14:textId="0F3BD712" w:rsidR="00683973" w:rsidRPr="00760626" w:rsidRDefault="00683973"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sidRPr="00760626">
        <w:rPr>
          <w:rFonts w:ascii="Arial" w:hAnsi="Arial" w:cs="Arial"/>
          <w:sz w:val="20"/>
          <w:szCs w:val="20"/>
          <w:lang w:eastAsia="en-GB"/>
        </w:rPr>
        <w:t xml:space="preserve">underlines that monitoring the </w:t>
      </w:r>
      <w:r w:rsidR="00E92F4B">
        <w:rPr>
          <w:rFonts w:ascii="Arial" w:hAnsi="Arial" w:cs="Arial"/>
          <w:sz w:val="20"/>
          <w:szCs w:val="20"/>
          <w:lang w:eastAsia="en-GB"/>
        </w:rPr>
        <w:t xml:space="preserve">application </w:t>
      </w:r>
      <w:r w:rsidRPr="00760626">
        <w:rPr>
          <w:rFonts w:ascii="Arial" w:hAnsi="Arial" w:cs="Arial"/>
          <w:sz w:val="20"/>
          <w:szCs w:val="20"/>
          <w:lang w:eastAsia="en-GB"/>
        </w:rPr>
        <w:t>of the European Charter of Local Self-Government</w:t>
      </w:r>
      <w:r w:rsidR="003F11A6">
        <w:rPr>
          <w:rFonts w:ascii="Arial" w:hAnsi="Arial" w:cs="Arial"/>
          <w:sz w:val="20"/>
          <w:szCs w:val="20"/>
          <w:lang w:eastAsia="en-GB"/>
        </w:rPr>
        <w:t xml:space="preserve"> </w:t>
      </w:r>
      <w:r w:rsidR="00EF05C6">
        <w:rPr>
          <w:rFonts w:ascii="Arial" w:hAnsi="Arial" w:cs="Arial"/>
          <w:sz w:val="20"/>
          <w:szCs w:val="20"/>
          <w:lang w:eastAsia="en-GB"/>
        </w:rPr>
        <w:br/>
      </w:r>
      <w:r w:rsidR="003F11A6">
        <w:rPr>
          <w:rFonts w:ascii="Arial" w:hAnsi="Arial" w:cs="Arial"/>
          <w:sz w:val="20"/>
          <w:szCs w:val="20"/>
          <w:lang w:eastAsia="en-GB"/>
        </w:rPr>
        <w:t>(</w:t>
      </w:r>
      <w:r w:rsidR="00EF05C6">
        <w:rPr>
          <w:rFonts w:ascii="Arial" w:hAnsi="Arial" w:cs="Arial"/>
          <w:sz w:val="20"/>
          <w:szCs w:val="20"/>
          <w:lang w:eastAsia="en-GB"/>
        </w:rPr>
        <w:t xml:space="preserve">ETS No. 122, </w:t>
      </w:r>
      <w:r w:rsidR="003F11A6">
        <w:rPr>
          <w:rFonts w:ascii="Arial" w:hAnsi="Arial" w:cs="Arial"/>
          <w:sz w:val="20"/>
          <w:szCs w:val="20"/>
          <w:lang w:eastAsia="en-GB"/>
        </w:rPr>
        <w:t>“the Charter”)</w:t>
      </w:r>
      <w:r w:rsidRPr="00760626">
        <w:rPr>
          <w:rFonts w:ascii="Arial" w:hAnsi="Arial" w:cs="Arial"/>
          <w:sz w:val="20"/>
          <w:szCs w:val="20"/>
          <w:lang w:eastAsia="en-GB"/>
        </w:rPr>
        <w:t xml:space="preserve"> – which establishes the standards on local self-government and democracy – contributes to the strengthen</w:t>
      </w:r>
      <w:r w:rsidR="00750F7B">
        <w:rPr>
          <w:rFonts w:ascii="Arial" w:hAnsi="Arial" w:cs="Arial"/>
          <w:sz w:val="20"/>
          <w:szCs w:val="20"/>
          <w:lang w:eastAsia="en-GB"/>
        </w:rPr>
        <w:t>ing</w:t>
      </w:r>
      <w:r w:rsidRPr="00760626">
        <w:rPr>
          <w:rFonts w:ascii="Arial" w:hAnsi="Arial" w:cs="Arial"/>
          <w:sz w:val="20"/>
          <w:szCs w:val="20"/>
          <w:lang w:eastAsia="en-GB"/>
        </w:rPr>
        <w:t xml:space="preserve"> of </w:t>
      </w:r>
      <w:r w:rsidR="00750F7B">
        <w:rPr>
          <w:rFonts w:ascii="Arial" w:hAnsi="Arial" w:cs="Arial"/>
          <w:sz w:val="20"/>
          <w:szCs w:val="20"/>
          <w:lang w:eastAsia="en-GB"/>
        </w:rPr>
        <w:t xml:space="preserve">the </w:t>
      </w:r>
      <w:r w:rsidRPr="00760626">
        <w:rPr>
          <w:rFonts w:ascii="Arial" w:hAnsi="Arial" w:cs="Arial"/>
          <w:sz w:val="20"/>
          <w:szCs w:val="20"/>
          <w:lang w:eastAsia="en-GB"/>
        </w:rPr>
        <w:t>rule of law;</w:t>
      </w:r>
    </w:p>
    <w:p w14:paraId="6FBE650C" w14:textId="77777777" w:rsidR="00683973" w:rsidRPr="0080275C" w:rsidRDefault="00683973" w:rsidP="0080275C">
      <w:pPr>
        <w:ind w:right="142"/>
        <w:rPr>
          <w:rFonts w:ascii="Arial" w:hAnsi="Arial" w:cs="Arial"/>
          <w:sz w:val="20"/>
          <w:szCs w:val="20"/>
          <w:lang w:eastAsia="en-GB"/>
        </w:rPr>
      </w:pPr>
    </w:p>
    <w:p w14:paraId="38C2DFEB" w14:textId="5B854F83" w:rsidR="00683973" w:rsidRDefault="00683973"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sidRPr="00760626">
        <w:rPr>
          <w:rFonts w:ascii="Arial" w:hAnsi="Arial" w:cs="Arial"/>
          <w:sz w:val="20"/>
          <w:szCs w:val="20"/>
          <w:lang w:eastAsia="en-GB"/>
        </w:rPr>
        <w:t xml:space="preserve">considers that the </w:t>
      </w:r>
      <w:r w:rsidR="00EC0003">
        <w:rPr>
          <w:rFonts w:ascii="Arial" w:hAnsi="Arial" w:cs="Arial"/>
          <w:sz w:val="20"/>
          <w:szCs w:val="20"/>
          <w:lang w:eastAsia="en-GB"/>
        </w:rPr>
        <w:t xml:space="preserve">Congress recommendations on </w:t>
      </w:r>
      <w:r w:rsidRPr="00760626">
        <w:rPr>
          <w:rFonts w:ascii="Arial" w:hAnsi="Arial" w:cs="Arial"/>
          <w:sz w:val="20"/>
          <w:szCs w:val="20"/>
          <w:lang w:eastAsia="en-GB"/>
        </w:rPr>
        <w:t xml:space="preserve">monitoring </w:t>
      </w:r>
      <w:r w:rsidR="00EF05C6">
        <w:rPr>
          <w:rFonts w:ascii="Arial" w:hAnsi="Arial" w:cs="Arial"/>
          <w:sz w:val="20"/>
          <w:szCs w:val="20"/>
          <w:lang w:eastAsia="en-GB"/>
        </w:rPr>
        <w:t>of</w:t>
      </w:r>
      <w:r w:rsidRPr="00760626">
        <w:rPr>
          <w:rFonts w:ascii="Arial" w:hAnsi="Arial" w:cs="Arial"/>
          <w:sz w:val="20"/>
          <w:szCs w:val="20"/>
          <w:lang w:eastAsia="en-GB"/>
        </w:rPr>
        <w:t xml:space="preserve"> compliance with the Charter represent an important part of an early warning system </w:t>
      </w:r>
      <w:r w:rsidR="00EC0003">
        <w:rPr>
          <w:rFonts w:ascii="Arial" w:hAnsi="Arial" w:cs="Arial"/>
          <w:sz w:val="20"/>
          <w:szCs w:val="20"/>
          <w:lang w:eastAsia="en-GB"/>
        </w:rPr>
        <w:t xml:space="preserve">for the Council of Europe </w:t>
      </w:r>
      <w:r w:rsidR="00EF05C6">
        <w:rPr>
          <w:rFonts w:ascii="Arial" w:hAnsi="Arial" w:cs="Arial"/>
          <w:sz w:val="20"/>
          <w:szCs w:val="20"/>
          <w:lang w:eastAsia="en-GB"/>
        </w:rPr>
        <w:t>that can point to</w:t>
      </w:r>
      <w:r w:rsidRPr="00760626">
        <w:rPr>
          <w:rFonts w:ascii="Arial" w:hAnsi="Arial" w:cs="Arial"/>
          <w:sz w:val="20"/>
          <w:szCs w:val="20"/>
          <w:lang w:eastAsia="en-GB"/>
        </w:rPr>
        <w:t xml:space="preserve"> possible democratic </w:t>
      </w:r>
      <w:r w:rsidR="00EF05C6">
        <w:rPr>
          <w:rFonts w:ascii="Arial" w:hAnsi="Arial" w:cs="Arial"/>
          <w:sz w:val="20"/>
          <w:szCs w:val="20"/>
          <w:lang w:eastAsia="en-GB"/>
        </w:rPr>
        <w:t>backsliding</w:t>
      </w:r>
      <w:r w:rsidRPr="00760626">
        <w:rPr>
          <w:rFonts w:ascii="Arial" w:hAnsi="Arial" w:cs="Arial"/>
          <w:sz w:val="20"/>
          <w:szCs w:val="20"/>
          <w:lang w:eastAsia="en-GB"/>
        </w:rPr>
        <w:t xml:space="preserve"> in member </w:t>
      </w:r>
      <w:r w:rsidR="00EF05C6">
        <w:rPr>
          <w:rFonts w:ascii="Arial" w:hAnsi="Arial" w:cs="Arial"/>
          <w:sz w:val="20"/>
          <w:szCs w:val="20"/>
          <w:lang w:eastAsia="en-GB"/>
        </w:rPr>
        <w:t>S</w:t>
      </w:r>
      <w:r w:rsidRPr="00760626">
        <w:rPr>
          <w:rFonts w:ascii="Arial" w:hAnsi="Arial" w:cs="Arial"/>
          <w:sz w:val="20"/>
          <w:szCs w:val="20"/>
          <w:lang w:eastAsia="en-GB"/>
        </w:rPr>
        <w:t>tates</w:t>
      </w:r>
      <w:r w:rsidR="00EF05C6">
        <w:rPr>
          <w:rFonts w:ascii="Arial" w:hAnsi="Arial" w:cs="Arial"/>
          <w:sz w:val="20"/>
          <w:szCs w:val="20"/>
          <w:lang w:eastAsia="en-GB"/>
        </w:rPr>
        <w:t>;</w:t>
      </w:r>
    </w:p>
    <w:p w14:paraId="4E57DE67" w14:textId="77777777" w:rsidR="00E92F4B" w:rsidRPr="0080275C" w:rsidRDefault="00E92F4B" w:rsidP="0080275C">
      <w:pPr>
        <w:rPr>
          <w:rFonts w:ascii="Arial" w:hAnsi="Arial" w:cs="Arial"/>
          <w:sz w:val="20"/>
          <w:szCs w:val="20"/>
          <w:lang w:eastAsia="en-GB"/>
        </w:rPr>
      </w:pPr>
    </w:p>
    <w:p w14:paraId="1B7ABAAA" w14:textId="09353613" w:rsidR="00E92F4B" w:rsidRPr="00760626" w:rsidRDefault="00E92F4B" w:rsidP="005139D7">
      <w:pPr>
        <w:pStyle w:val="ListParagraph"/>
        <w:numPr>
          <w:ilvl w:val="0"/>
          <w:numId w:val="2"/>
        </w:numPr>
        <w:tabs>
          <w:tab w:val="left" w:pos="284"/>
        </w:tabs>
        <w:autoSpaceDE w:val="0"/>
        <w:autoSpaceDN w:val="0"/>
        <w:adjustRightInd w:val="0"/>
        <w:ind w:left="0" w:right="142" w:firstLine="0"/>
        <w:jc w:val="both"/>
        <w:rPr>
          <w:rFonts w:ascii="Arial" w:hAnsi="Arial" w:cs="Arial"/>
          <w:sz w:val="20"/>
          <w:szCs w:val="20"/>
          <w:lang w:eastAsia="en-GB"/>
        </w:rPr>
      </w:pPr>
      <w:r>
        <w:rPr>
          <w:rFonts w:ascii="Arial" w:hAnsi="Arial" w:cs="Arial"/>
          <w:sz w:val="20"/>
          <w:szCs w:val="20"/>
          <w:lang w:eastAsia="en-GB"/>
        </w:rPr>
        <w:t xml:space="preserve"> </w:t>
      </w:r>
      <w:r w:rsidRPr="00E92F4B">
        <w:rPr>
          <w:rFonts w:ascii="Arial" w:hAnsi="Arial" w:cs="Arial"/>
          <w:sz w:val="20"/>
          <w:szCs w:val="20"/>
          <w:lang w:eastAsia="en-GB"/>
        </w:rPr>
        <w:t xml:space="preserve">considers that the implementation of the rule of law by local authorities, including the execution of </w:t>
      </w:r>
      <w:r w:rsidR="007B0465" w:rsidRPr="00E92F4B">
        <w:rPr>
          <w:rFonts w:ascii="Arial" w:hAnsi="Arial" w:cs="Arial"/>
          <w:sz w:val="20"/>
          <w:szCs w:val="20"/>
          <w:lang w:eastAsia="en-GB"/>
        </w:rPr>
        <w:t xml:space="preserve">judgments </w:t>
      </w:r>
      <w:r w:rsidR="007B0465">
        <w:rPr>
          <w:rFonts w:ascii="Arial" w:hAnsi="Arial" w:cs="Arial"/>
          <w:sz w:val="20"/>
          <w:szCs w:val="20"/>
          <w:lang w:eastAsia="en-GB"/>
        </w:rPr>
        <w:t xml:space="preserve">of </w:t>
      </w:r>
      <w:r w:rsidRPr="00E92F4B">
        <w:rPr>
          <w:rFonts w:ascii="Arial" w:hAnsi="Arial" w:cs="Arial"/>
          <w:sz w:val="20"/>
          <w:szCs w:val="20"/>
          <w:lang w:eastAsia="en-GB"/>
        </w:rPr>
        <w:t>the European Court of Human Rights</w:t>
      </w:r>
      <w:r w:rsidR="003F11A6">
        <w:rPr>
          <w:rFonts w:ascii="Arial" w:hAnsi="Arial" w:cs="Arial"/>
          <w:sz w:val="20"/>
          <w:szCs w:val="20"/>
          <w:lang w:eastAsia="en-GB"/>
        </w:rPr>
        <w:t xml:space="preserve"> </w:t>
      </w:r>
      <w:r w:rsidR="00EF05C6">
        <w:rPr>
          <w:rFonts w:ascii="Arial" w:hAnsi="Arial" w:cs="Arial"/>
          <w:sz w:val="20"/>
          <w:szCs w:val="20"/>
          <w:lang w:eastAsia="en-GB"/>
        </w:rPr>
        <w:t>that</w:t>
      </w:r>
      <w:r w:rsidR="003F11A6">
        <w:rPr>
          <w:rFonts w:ascii="Arial" w:hAnsi="Arial" w:cs="Arial"/>
          <w:sz w:val="20"/>
          <w:szCs w:val="20"/>
          <w:lang w:eastAsia="en-GB"/>
        </w:rPr>
        <w:t xml:space="preserve"> concern local or regional authorities</w:t>
      </w:r>
      <w:r w:rsidRPr="00E92F4B">
        <w:rPr>
          <w:rFonts w:ascii="Arial" w:hAnsi="Arial" w:cs="Arial"/>
          <w:sz w:val="20"/>
          <w:szCs w:val="20"/>
          <w:lang w:eastAsia="en-GB"/>
        </w:rPr>
        <w:t>, should also be monitored</w:t>
      </w:r>
      <w:r w:rsidR="00EF05C6">
        <w:rPr>
          <w:rFonts w:ascii="Arial" w:hAnsi="Arial" w:cs="Arial"/>
          <w:sz w:val="20"/>
          <w:szCs w:val="20"/>
          <w:lang w:eastAsia="en-GB"/>
        </w:rPr>
        <w:t>.</w:t>
      </w:r>
    </w:p>
    <w:p w14:paraId="6EFC5F6C" w14:textId="77777777" w:rsidR="00683973" w:rsidRPr="0080275C" w:rsidRDefault="00683973" w:rsidP="0080275C">
      <w:pPr>
        <w:spacing w:line="360" w:lineRule="auto"/>
        <w:ind w:right="142"/>
        <w:rPr>
          <w:rFonts w:ascii="Arial" w:hAnsi="Arial" w:cs="Arial"/>
          <w:sz w:val="20"/>
          <w:szCs w:val="20"/>
          <w:lang w:eastAsia="en-GB"/>
        </w:rPr>
      </w:pPr>
    </w:p>
    <w:p w14:paraId="27150CB8" w14:textId="00D1283F" w:rsidR="00683973" w:rsidRPr="00760626" w:rsidRDefault="00683973" w:rsidP="005139D7">
      <w:pPr>
        <w:pStyle w:val="ListParagraph"/>
        <w:numPr>
          <w:ilvl w:val="0"/>
          <w:numId w:val="6"/>
        </w:numPr>
        <w:ind w:left="284" w:right="142" w:hanging="284"/>
        <w:rPr>
          <w:rFonts w:ascii="Arial" w:hAnsi="Arial" w:cs="Arial"/>
          <w:sz w:val="20"/>
          <w:szCs w:val="20"/>
        </w:rPr>
      </w:pPr>
      <w:r w:rsidRPr="00760626">
        <w:rPr>
          <w:rFonts w:ascii="Arial" w:hAnsi="Arial" w:cs="Arial"/>
          <w:sz w:val="20"/>
          <w:szCs w:val="20"/>
        </w:rPr>
        <w:t>In light of the foregoing, the Congress invites the Committee of Ministers to:</w:t>
      </w:r>
    </w:p>
    <w:p w14:paraId="7301A46B" w14:textId="77777777" w:rsidR="00683973" w:rsidRPr="0080275C" w:rsidRDefault="00683973" w:rsidP="0080275C">
      <w:pPr>
        <w:ind w:right="142"/>
        <w:rPr>
          <w:rFonts w:ascii="Arial" w:hAnsi="Arial" w:cs="Arial"/>
          <w:sz w:val="20"/>
          <w:szCs w:val="20"/>
        </w:rPr>
      </w:pPr>
    </w:p>
    <w:p w14:paraId="40A06C38" w14:textId="5552F687" w:rsidR="00683973" w:rsidRPr="00EF05C6" w:rsidRDefault="009538BF" w:rsidP="00EF05C6">
      <w:pPr>
        <w:pStyle w:val="ListParagraph"/>
        <w:numPr>
          <w:ilvl w:val="0"/>
          <w:numId w:val="27"/>
        </w:numPr>
        <w:tabs>
          <w:tab w:val="left" w:pos="284"/>
        </w:tabs>
        <w:autoSpaceDE w:val="0"/>
        <w:autoSpaceDN w:val="0"/>
        <w:adjustRightInd w:val="0"/>
        <w:ind w:left="0" w:right="142" w:firstLine="0"/>
        <w:jc w:val="both"/>
        <w:rPr>
          <w:rFonts w:ascii="Arial" w:hAnsi="Arial" w:cs="Arial"/>
          <w:sz w:val="20"/>
          <w:szCs w:val="20"/>
          <w:lang w:eastAsia="en-GB"/>
        </w:rPr>
      </w:pPr>
      <w:r>
        <w:rPr>
          <w:rFonts w:ascii="Arial" w:hAnsi="Arial" w:cs="Arial"/>
          <w:sz w:val="20"/>
          <w:szCs w:val="20"/>
          <w:lang w:eastAsia="en-GB"/>
        </w:rPr>
        <w:t>call on</w:t>
      </w:r>
      <w:r w:rsidR="00683973" w:rsidRPr="00EF05C6">
        <w:rPr>
          <w:rFonts w:ascii="Arial" w:hAnsi="Arial" w:cs="Arial"/>
          <w:sz w:val="20"/>
          <w:szCs w:val="20"/>
          <w:lang w:eastAsia="en-GB"/>
        </w:rPr>
        <w:t xml:space="preserve"> member States to guarantee good democratic governance by ensuring compliance with the Charter and the implementation of </w:t>
      </w:r>
      <w:r w:rsidR="00115764">
        <w:rPr>
          <w:rFonts w:ascii="Arial" w:hAnsi="Arial" w:cs="Arial"/>
          <w:sz w:val="20"/>
          <w:szCs w:val="20"/>
          <w:lang w:eastAsia="en-GB"/>
        </w:rPr>
        <w:t xml:space="preserve">the </w:t>
      </w:r>
      <w:r w:rsidR="00683973" w:rsidRPr="00EF05C6">
        <w:rPr>
          <w:rFonts w:ascii="Arial" w:hAnsi="Arial" w:cs="Arial"/>
          <w:sz w:val="20"/>
          <w:szCs w:val="20"/>
          <w:lang w:eastAsia="en-GB"/>
        </w:rPr>
        <w:t>recommendations</w:t>
      </w:r>
      <w:r w:rsidR="00EF05C6">
        <w:rPr>
          <w:rFonts w:ascii="Arial" w:hAnsi="Arial" w:cs="Arial"/>
          <w:sz w:val="20"/>
          <w:szCs w:val="20"/>
          <w:lang w:eastAsia="en-GB"/>
        </w:rPr>
        <w:t xml:space="preserve"> of the Congress</w:t>
      </w:r>
      <w:r w:rsidR="00683973" w:rsidRPr="00EF05C6">
        <w:rPr>
          <w:rFonts w:ascii="Arial" w:hAnsi="Arial" w:cs="Arial"/>
          <w:sz w:val="20"/>
          <w:szCs w:val="20"/>
          <w:lang w:eastAsia="en-GB"/>
        </w:rPr>
        <w:t>;</w:t>
      </w:r>
    </w:p>
    <w:p w14:paraId="39F1152F" w14:textId="77777777" w:rsidR="00683973" w:rsidRPr="00760626" w:rsidRDefault="00683973" w:rsidP="00EF05C6">
      <w:pPr>
        <w:pStyle w:val="ListParagraph"/>
        <w:tabs>
          <w:tab w:val="left" w:pos="284"/>
        </w:tabs>
        <w:autoSpaceDE w:val="0"/>
        <w:autoSpaceDN w:val="0"/>
        <w:adjustRightInd w:val="0"/>
        <w:ind w:left="0" w:right="142"/>
        <w:jc w:val="both"/>
        <w:rPr>
          <w:rFonts w:ascii="Arial" w:hAnsi="Arial" w:cs="Arial"/>
          <w:sz w:val="20"/>
          <w:szCs w:val="20"/>
          <w:lang w:eastAsia="en-GB"/>
        </w:rPr>
      </w:pPr>
    </w:p>
    <w:p w14:paraId="153C2906" w14:textId="497CB02A" w:rsidR="00E92F4B" w:rsidRDefault="00E0209F" w:rsidP="00EF05C6">
      <w:pPr>
        <w:pStyle w:val="ListParagraph"/>
        <w:numPr>
          <w:ilvl w:val="0"/>
          <w:numId w:val="27"/>
        </w:numPr>
        <w:tabs>
          <w:tab w:val="left" w:pos="284"/>
        </w:tabs>
        <w:autoSpaceDE w:val="0"/>
        <w:autoSpaceDN w:val="0"/>
        <w:adjustRightInd w:val="0"/>
        <w:ind w:left="0" w:right="142" w:firstLine="0"/>
        <w:jc w:val="both"/>
        <w:rPr>
          <w:rFonts w:ascii="Arial" w:hAnsi="Arial" w:cs="Arial"/>
          <w:sz w:val="20"/>
          <w:szCs w:val="20"/>
          <w:lang w:eastAsia="en-GB"/>
        </w:rPr>
      </w:pPr>
      <w:r>
        <w:rPr>
          <w:rFonts w:ascii="Arial" w:hAnsi="Arial" w:cs="Arial"/>
          <w:sz w:val="20"/>
          <w:szCs w:val="20"/>
          <w:lang w:eastAsia="en-GB"/>
        </w:rPr>
        <w:t>use the Congress monitoring reports as</w:t>
      </w:r>
      <w:r w:rsidR="00683973" w:rsidRPr="00760626">
        <w:rPr>
          <w:rFonts w:ascii="Arial" w:hAnsi="Arial" w:cs="Arial"/>
          <w:sz w:val="20"/>
          <w:szCs w:val="20"/>
          <w:lang w:eastAsia="en-GB"/>
        </w:rPr>
        <w:t xml:space="preserve"> </w:t>
      </w:r>
      <w:r w:rsidR="006D0934">
        <w:rPr>
          <w:rFonts w:ascii="Arial" w:hAnsi="Arial" w:cs="Arial"/>
          <w:sz w:val="20"/>
          <w:szCs w:val="20"/>
          <w:lang w:eastAsia="en-GB"/>
        </w:rPr>
        <w:t xml:space="preserve">an </w:t>
      </w:r>
      <w:r w:rsidR="00683973" w:rsidRPr="00760626">
        <w:rPr>
          <w:rFonts w:ascii="Arial" w:hAnsi="Arial" w:cs="Arial"/>
          <w:sz w:val="20"/>
          <w:szCs w:val="20"/>
          <w:lang w:eastAsia="en-GB"/>
        </w:rPr>
        <w:t xml:space="preserve">early warning mechanism </w:t>
      </w:r>
      <w:r w:rsidRPr="00760626">
        <w:rPr>
          <w:rFonts w:ascii="Arial" w:hAnsi="Arial" w:cs="Arial"/>
          <w:sz w:val="20"/>
          <w:szCs w:val="20"/>
          <w:lang w:eastAsia="en-GB"/>
        </w:rPr>
        <w:t>to prevent or address worrying developments with regard to compliance with democratic standards and practices in member States</w:t>
      </w:r>
      <w:r w:rsidR="00E92F4B">
        <w:rPr>
          <w:rFonts w:ascii="Arial" w:hAnsi="Arial" w:cs="Arial"/>
          <w:sz w:val="20"/>
          <w:szCs w:val="20"/>
          <w:lang w:eastAsia="en-GB"/>
        </w:rPr>
        <w:t xml:space="preserve">; </w:t>
      </w:r>
    </w:p>
    <w:p w14:paraId="4C8B27B6" w14:textId="77777777" w:rsidR="00E92F4B" w:rsidRDefault="00E92F4B" w:rsidP="00EF05C6">
      <w:pPr>
        <w:pStyle w:val="ListParagraph"/>
        <w:tabs>
          <w:tab w:val="left" w:pos="284"/>
        </w:tabs>
        <w:autoSpaceDE w:val="0"/>
        <w:autoSpaceDN w:val="0"/>
        <w:adjustRightInd w:val="0"/>
        <w:ind w:left="0" w:right="142"/>
        <w:jc w:val="both"/>
        <w:rPr>
          <w:rFonts w:ascii="Arial" w:hAnsi="Arial" w:cs="Arial"/>
          <w:sz w:val="20"/>
          <w:szCs w:val="20"/>
          <w:lang w:eastAsia="en-GB"/>
        </w:rPr>
      </w:pPr>
    </w:p>
    <w:p w14:paraId="3B098C4B" w14:textId="359938BE" w:rsidR="00E0209F" w:rsidRPr="00760626" w:rsidRDefault="00E92F4B" w:rsidP="00EF05C6">
      <w:pPr>
        <w:pStyle w:val="ListParagraph"/>
        <w:numPr>
          <w:ilvl w:val="0"/>
          <w:numId w:val="27"/>
        </w:numPr>
        <w:tabs>
          <w:tab w:val="left" w:pos="284"/>
        </w:tabs>
        <w:autoSpaceDE w:val="0"/>
        <w:autoSpaceDN w:val="0"/>
        <w:adjustRightInd w:val="0"/>
        <w:ind w:left="0" w:right="142" w:firstLine="0"/>
        <w:jc w:val="both"/>
        <w:rPr>
          <w:rFonts w:ascii="Arial" w:hAnsi="Arial" w:cs="Arial"/>
          <w:sz w:val="20"/>
          <w:szCs w:val="20"/>
          <w:lang w:eastAsia="en-GB"/>
        </w:rPr>
      </w:pPr>
      <w:r w:rsidRPr="00E92F4B">
        <w:rPr>
          <w:rFonts w:ascii="Arial" w:hAnsi="Arial" w:cs="Arial"/>
          <w:sz w:val="20"/>
          <w:szCs w:val="20"/>
          <w:lang w:eastAsia="en-GB"/>
        </w:rPr>
        <w:t>consider including the implementation of the rule of law by local authorities, including the execution</w:t>
      </w:r>
      <w:r w:rsidR="00EF05C6">
        <w:rPr>
          <w:rFonts w:ascii="Arial" w:hAnsi="Arial" w:cs="Arial"/>
          <w:sz w:val="20"/>
          <w:szCs w:val="20"/>
          <w:lang w:eastAsia="en-GB"/>
        </w:rPr>
        <w:t xml:space="preserve"> of the judgements </w:t>
      </w:r>
      <w:r w:rsidRPr="00E92F4B">
        <w:rPr>
          <w:rFonts w:ascii="Arial" w:hAnsi="Arial" w:cs="Arial"/>
          <w:sz w:val="20"/>
          <w:szCs w:val="20"/>
          <w:lang w:eastAsia="en-GB"/>
        </w:rPr>
        <w:t xml:space="preserve">of the European Court of Human Rights </w:t>
      </w:r>
      <w:r w:rsidR="006D0934">
        <w:rPr>
          <w:rFonts w:ascii="Arial" w:hAnsi="Arial" w:cs="Arial"/>
          <w:sz w:val="20"/>
          <w:szCs w:val="20"/>
          <w:lang w:eastAsia="en-GB"/>
        </w:rPr>
        <w:t>at</w:t>
      </w:r>
      <w:r w:rsidR="00750F7B">
        <w:rPr>
          <w:rFonts w:ascii="Arial" w:hAnsi="Arial" w:cs="Arial"/>
          <w:sz w:val="20"/>
          <w:szCs w:val="20"/>
          <w:lang w:eastAsia="en-GB"/>
        </w:rPr>
        <w:t xml:space="preserve"> </w:t>
      </w:r>
      <w:r w:rsidR="006D0934">
        <w:rPr>
          <w:rFonts w:ascii="Arial" w:hAnsi="Arial" w:cs="Arial"/>
          <w:sz w:val="20"/>
          <w:szCs w:val="20"/>
          <w:lang w:eastAsia="en-GB"/>
        </w:rPr>
        <w:t>local level</w:t>
      </w:r>
      <w:r w:rsidRPr="00E92F4B">
        <w:rPr>
          <w:rFonts w:ascii="Arial" w:hAnsi="Arial" w:cs="Arial"/>
          <w:sz w:val="20"/>
          <w:szCs w:val="20"/>
          <w:lang w:eastAsia="en-GB"/>
        </w:rPr>
        <w:t xml:space="preserve">, </w:t>
      </w:r>
      <w:r w:rsidR="00E0209F">
        <w:rPr>
          <w:rFonts w:ascii="Arial" w:hAnsi="Arial" w:cs="Arial"/>
          <w:sz w:val="20"/>
          <w:szCs w:val="20"/>
          <w:lang w:eastAsia="en-GB"/>
        </w:rPr>
        <w:t xml:space="preserve">in </w:t>
      </w:r>
      <w:r w:rsidR="006D0934" w:rsidRPr="00EF05C6">
        <w:rPr>
          <w:rFonts w:ascii="Arial" w:hAnsi="Arial" w:cs="Arial"/>
          <w:sz w:val="20"/>
          <w:szCs w:val="20"/>
          <w:lang w:eastAsia="en-GB"/>
        </w:rPr>
        <w:t>its</w:t>
      </w:r>
      <w:r w:rsidR="00E0209F">
        <w:rPr>
          <w:rFonts w:ascii="Arial" w:hAnsi="Arial" w:cs="Arial"/>
          <w:sz w:val="20"/>
          <w:szCs w:val="20"/>
          <w:lang w:eastAsia="en-GB"/>
        </w:rPr>
        <w:t xml:space="preserve"> activities relating to </w:t>
      </w:r>
      <w:r w:rsidR="00E0209F" w:rsidRPr="00EF05C6">
        <w:rPr>
          <w:rFonts w:ascii="Arial" w:hAnsi="Arial" w:cs="Arial"/>
          <w:sz w:val="20"/>
          <w:szCs w:val="20"/>
          <w:lang w:eastAsia="en-GB"/>
        </w:rPr>
        <w:t>democracy and the rule of law</w:t>
      </w:r>
      <w:r w:rsidR="0033050A" w:rsidRPr="00EF05C6">
        <w:rPr>
          <w:rFonts w:ascii="Arial" w:hAnsi="Arial" w:cs="Arial"/>
          <w:sz w:val="20"/>
          <w:szCs w:val="20"/>
          <w:lang w:eastAsia="en-GB"/>
        </w:rPr>
        <w:t xml:space="preserve"> in C</w:t>
      </w:r>
      <w:r w:rsidR="000111D2" w:rsidRPr="00EF05C6">
        <w:rPr>
          <w:rFonts w:ascii="Arial" w:hAnsi="Arial" w:cs="Arial"/>
          <w:sz w:val="20"/>
          <w:szCs w:val="20"/>
          <w:lang w:eastAsia="en-GB"/>
        </w:rPr>
        <w:t>o</w:t>
      </w:r>
      <w:r w:rsidR="00750F7B" w:rsidRPr="00EF05C6">
        <w:rPr>
          <w:rFonts w:ascii="Arial" w:hAnsi="Arial" w:cs="Arial"/>
          <w:sz w:val="20"/>
          <w:szCs w:val="20"/>
          <w:lang w:eastAsia="en-GB"/>
        </w:rPr>
        <w:t xml:space="preserve">uncil of </w:t>
      </w:r>
      <w:r w:rsidR="00A7479B" w:rsidRPr="00EF05C6">
        <w:rPr>
          <w:rFonts w:ascii="Arial" w:hAnsi="Arial" w:cs="Arial"/>
          <w:sz w:val="20"/>
          <w:szCs w:val="20"/>
          <w:lang w:eastAsia="en-GB"/>
        </w:rPr>
        <w:t>E</w:t>
      </w:r>
      <w:r w:rsidR="00750F7B" w:rsidRPr="00EF05C6">
        <w:rPr>
          <w:rFonts w:ascii="Arial" w:hAnsi="Arial" w:cs="Arial"/>
          <w:sz w:val="20"/>
          <w:szCs w:val="20"/>
          <w:lang w:eastAsia="en-GB"/>
        </w:rPr>
        <w:t>urope</w:t>
      </w:r>
      <w:r w:rsidR="0033050A" w:rsidRPr="00EF05C6">
        <w:rPr>
          <w:rFonts w:ascii="Arial" w:hAnsi="Arial" w:cs="Arial"/>
          <w:sz w:val="20"/>
          <w:szCs w:val="20"/>
          <w:lang w:eastAsia="en-GB"/>
        </w:rPr>
        <w:t xml:space="preserve"> member </w:t>
      </w:r>
      <w:r w:rsidR="00EF05C6">
        <w:rPr>
          <w:rFonts w:ascii="Arial" w:hAnsi="Arial" w:cs="Arial"/>
          <w:sz w:val="20"/>
          <w:szCs w:val="20"/>
          <w:lang w:eastAsia="en-GB"/>
        </w:rPr>
        <w:t>S</w:t>
      </w:r>
      <w:r w:rsidR="0033050A" w:rsidRPr="00EF05C6">
        <w:rPr>
          <w:rFonts w:ascii="Arial" w:hAnsi="Arial" w:cs="Arial"/>
          <w:sz w:val="20"/>
          <w:szCs w:val="20"/>
          <w:lang w:eastAsia="en-GB"/>
        </w:rPr>
        <w:t>tates</w:t>
      </w:r>
      <w:r w:rsidR="00E0209F">
        <w:rPr>
          <w:rFonts w:ascii="Arial" w:hAnsi="Arial" w:cs="Arial"/>
          <w:sz w:val="20"/>
          <w:szCs w:val="20"/>
          <w:lang w:eastAsia="en-GB"/>
        </w:rPr>
        <w:t>.</w:t>
      </w:r>
    </w:p>
    <w:p w14:paraId="4BA263F6" w14:textId="77777777" w:rsidR="00B609A4" w:rsidRPr="00760626" w:rsidRDefault="00B609A4" w:rsidP="0038369F">
      <w:pPr>
        <w:jc w:val="both"/>
        <w:rPr>
          <w:rFonts w:ascii="Arial" w:hAnsi="Arial" w:cs="Arial"/>
          <w:sz w:val="20"/>
          <w:szCs w:val="20"/>
          <w:lang w:eastAsia="en-GB"/>
        </w:rPr>
      </w:pPr>
    </w:p>
    <w:p w14:paraId="2FE1C2BD" w14:textId="77777777" w:rsidR="00B609A4" w:rsidRPr="00760626" w:rsidRDefault="00B609A4" w:rsidP="0038369F">
      <w:pPr>
        <w:jc w:val="both"/>
        <w:rPr>
          <w:rFonts w:ascii="Arial" w:eastAsiaTheme="minorHAnsi" w:hAnsi="Arial" w:cs="Arial"/>
          <w:sz w:val="20"/>
          <w:szCs w:val="20"/>
        </w:rPr>
      </w:pPr>
    </w:p>
    <w:p w14:paraId="02F8957F" w14:textId="77777777" w:rsidR="00B609A4" w:rsidRPr="00760626" w:rsidRDefault="00B609A4" w:rsidP="0038369F">
      <w:pPr>
        <w:jc w:val="both"/>
        <w:rPr>
          <w:rFonts w:ascii="Arial" w:eastAsiaTheme="minorHAnsi" w:hAnsi="Arial" w:cs="Arial"/>
          <w:sz w:val="20"/>
          <w:szCs w:val="20"/>
        </w:rPr>
      </w:pPr>
    </w:p>
    <w:p w14:paraId="158BCB88" w14:textId="77777777" w:rsidR="00B609A4" w:rsidRPr="00760626" w:rsidRDefault="00B609A4" w:rsidP="0038369F">
      <w:pPr>
        <w:jc w:val="both"/>
        <w:rPr>
          <w:rFonts w:ascii="Arial" w:eastAsiaTheme="minorHAnsi" w:hAnsi="Arial" w:cs="Arial"/>
          <w:sz w:val="20"/>
          <w:szCs w:val="20"/>
        </w:rPr>
      </w:pPr>
    </w:p>
    <w:p w14:paraId="2F0BE232" w14:textId="77777777" w:rsidR="00791C9C" w:rsidRPr="00760626" w:rsidRDefault="00791C9C" w:rsidP="00791C9C">
      <w:pPr>
        <w:rPr>
          <w:rFonts w:ascii="Arial" w:hAnsi="Arial" w:cs="Arial"/>
          <w:sz w:val="20"/>
          <w:szCs w:val="20"/>
          <w:lang w:eastAsia="fr-FR"/>
        </w:rPr>
      </w:pPr>
    </w:p>
    <w:p w14:paraId="75F17512" w14:textId="77777777" w:rsidR="00791C9C" w:rsidRPr="00760626" w:rsidRDefault="00791C9C" w:rsidP="00791C9C">
      <w:pPr>
        <w:rPr>
          <w:rFonts w:ascii="Arial" w:hAnsi="Arial" w:cs="Arial"/>
          <w:sz w:val="20"/>
          <w:szCs w:val="20"/>
          <w:lang w:eastAsia="fr-FR"/>
        </w:rPr>
        <w:sectPr w:rsidR="00791C9C" w:rsidRPr="00760626" w:rsidSect="002E0C93">
          <w:headerReference w:type="even" r:id="rId8"/>
          <w:headerReference w:type="default" r:id="rId9"/>
          <w:footerReference w:type="even" r:id="rId10"/>
          <w:footerReference w:type="default" r:id="rId11"/>
          <w:headerReference w:type="first" r:id="rId12"/>
          <w:footerReference w:type="first" r:id="rId13"/>
          <w:pgSz w:w="11907" w:h="16839" w:code="9"/>
          <w:pgMar w:top="709" w:right="1440" w:bottom="425" w:left="1418" w:header="709" w:footer="709" w:gutter="0"/>
          <w:pgNumType w:start="1"/>
          <w:cols w:space="708"/>
          <w:titlePg/>
          <w:docGrid w:linePitch="360"/>
        </w:sectPr>
      </w:pPr>
    </w:p>
    <w:p w14:paraId="4B253CBB" w14:textId="77777777" w:rsidR="002A7A2C" w:rsidRPr="00760626" w:rsidRDefault="002A7A2C" w:rsidP="002A7A2C">
      <w:pPr>
        <w:rPr>
          <w:rFonts w:ascii="Arial" w:hAnsi="Arial" w:cs="Arial"/>
          <w:snapToGrid w:val="0"/>
          <w:sz w:val="20"/>
          <w:szCs w:val="20"/>
          <w:lang w:eastAsia="fr-FR"/>
        </w:rPr>
      </w:pPr>
      <w:bookmarkStart w:id="26" w:name="_Toc518381062"/>
    </w:p>
    <w:p w14:paraId="6E97C240" w14:textId="2A2F71F4" w:rsidR="00EA763E" w:rsidRPr="00760626" w:rsidRDefault="00EA763E" w:rsidP="002A7A2C">
      <w:pPr>
        <w:pStyle w:val="Heading1"/>
        <w:spacing w:before="0"/>
        <w:rPr>
          <w:rFonts w:ascii="Arial" w:hAnsi="Arial" w:cs="Arial"/>
          <w:snapToGrid w:val="0"/>
          <w:color w:val="auto"/>
          <w:sz w:val="20"/>
          <w:szCs w:val="20"/>
          <w:lang w:eastAsia="fr-FR"/>
        </w:rPr>
      </w:pPr>
      <w:bookmarkStart w:id="27" w:name="_Toc56592670"/>
      <w:bookmarkStart w:id="28" w:name="_Toc139014751"/>
      <w:bookmarkStart w:id="29" w:name="_Toc139019097"/>
      <w:bookmarkStart w:id="30" w:name="_Toc139019412"/>
      <w:bookmarkStart w:id="31" w:name="_Toc139020087"/>
      <w:bookmarkStart w:id="32" w:name="_Toc139020317"/>
      <w:bookmarkStart w:id="33" w:name="_Toc143512954"/>
      <w:bookmarkStart w:id="34" w:name="_Toc143513090"/>
      <w:bookmarkStart w:id="35" w:name="_Toc155705225"/>
      <w:bookmarkStart w:id="36" w:name="_Toc155705331"/>
      <w:bookmarkStart w:id="37" w:name="_Toc155705598"/>
      <w:bookmarkStart w:id="38" w:name="_Toc158375247"/>
      <w:r w:rsidRPr="00760626">
        <w:rPr>
          <w:rFonts w:ascii="Arial" w:hAnsi="Arial" w:cs="Arial"/>
          <w:snapToGrid w:val="0"/>
          <w:color w:val="auto"/>
          <w:sz w:val="20"/>
          <w:szCs w:val="20"/>
          <w:lang w:eastAsia="fr-FR"/>
        </w:rPr>
        <w:t>EXPLANATORY MEMORANDUM</w:t>
      </w:r>
      <w:bookmarkEnd w:id="12"/>
      <w:bookmarkEnd w:id="13"/>
      <w:bookmarkEnd w:id="26"/>
      <w:bookmarkEnd w:id="27"/>
      <w:bookmarkEnd w:id="28"/>
      <w:bookmarkEnd w:id="29"/>
      <w:bookmarkEnd w:id="30"/>
      <w:bookmarkEnd w:id="31"/>
      <w:bookmarkEnd w:id="32"/>
      <w:bookmarkEnd w:id="33"/>
      <w:bookmarkEnd w:id="34"/>
      <w:bookmarkEnd w:id="35"/>
      <w:bookmarkEnd w:id="36"/>
      <w:bookmarkEnd w:id="37"/>
      <w:bookmarkEnd w:id="38"/>
      <w:r w:rsidR="006B4A3B" w:rsidRPr="006B4A3B">
        <w:rPr>
          <w:rFonts w:ascii="Arial" w:hAnsi="Arial" w:cs="Arial"/>
          <w:b w:val="0"/>
          <w:bCs w:val="0"/>
          <w:snapToGrid w:val="0"/>
          <w:color w:val="auto"/>
          <w:sz w:val="20"/>
          <w:szCs w:val="20"/>
          <w:vertAlign w:val="superscript"/>
          <w:lang w:eastAsia="fr-FR"/>
        </w:rPr>
        <w:footnoteReference w:id="4"/>
      </w:r>
      <w:r w:rsidRPr="00760626">
        <w:rPr>
          <w:rFonts w:ascii="Arial" w:hAnsi="Arial" w:cs="Arial"/>
          <w:snapToGrid w:val="0"/>
          <w:color w:val="auto"/>
          <w:sz w:val="20"/>
          <w:szCs w:val="20"/>
          <w:lang w:eastAsia="fr-FR"/>
        </w:rPr>
        <w:t xml:space="preserve"> </w:t>
      </w:r>
    </w:p>
    <w:p w14:paraId="74DB72F6" w14:textId="5066D070" w:rsidR="00625663" w:rsidRDefault="00625663" w:rsidP="00625663">
      <w:pPr>
        <w:rPr>
          <w:lang w:eastAsia="fr-FR"/>
        </w:rPr>
      </w:pPr>
    </w:p>
    <w:p w14:paraId="1357398E" w14:textId="77777777" w:rsidR="00AA627B" w:rsidRPr="0080275C" w:rsidRDefault="00AA627B" w:rsidP="00625663">
      <w:pPr>
        <w:rPr>
          <w:rFonts w:ascii="Arial" w:hAnsi="Arial" w:cs="Arial"/>
          <w:sz w:val="20"/>
          <w:szCs w:val="20"/>
        </w:rPr>
      </w:pPr>
    </w:p>
    <w:p w14:paraId="0B46EBB3" w14:textId="3B68D714" w:rsidR="0080275C" w:rsidRPr="00DD4049" w:rsidRDefault="0080275C" w:rsidP="00625663">
      <w:pPr>
        <w:rPr>
          <w:rFonts w:ascii="Arial" w:hAnsi="Arial" w:cs="Arial"/>
          <w:b/>
          <w:bCs/>
          <w:sz w:val="20"/>
          <w:szCs w:val="20"/>
        </w:rPr>
      </w:pPr>
      <w:r w:rsidRPr="00DD4049">
        <w:rPr>
          <w:rFonts w:ascii="Arial" w:hAnsi="Arial" w:cs="Arial"/>
          <w:b/>
          <w:bCs/>
          <w:sz w:val="20"/>
          <w:szCs w:val="20"/>
        </w:rPr>
        <w:t>Table of contents</w:t>
      </w:r>
    </w:p>
    <w:p w14:paraId="11890582" w14:textId="77777777" w:rsidR="0080275C" w:rsidRPr="0080275C" w:rsidRDefault="0080275C" w:rsidP="00F545A5">
      <w:pPr>
        <w:ind w:right="118"/>
        <w:rPr>
          <w:rFonts w:ascii="Arial" w:hAnsi="Arial" w:cs="Arial"/>
          <w:sz w:val="20"/>
          <w:szCs w:val="20"/>
        </w:rPr>
      </w:pPr>
    </w:p>
    <w:bookmarkStart w:id="39" w:name="_Toc139019098" w:displacedByCustomXml="next"/>
    <w:bookmarkStart w:id="40" w:name="_Toc514840638" w:displacedByCustomXml="next"/>
    <w:bookmarkStart w:id="41" w:name="_Toc517365987" w:displacedByCustomXml="next"/>
    <w:bookmarkStart w:id="42" w:name="_Toc20737031" w:displacedByCustomXml="next"/>
    <w:bookmarkStart w:id="43" w:name="_Toc56592671" w:displacedByCustomXml="next"/>
    <w:bookmarkStart w:id="44" w:name="_Toc139014752" w:displacedByCustomXml="next"/>
    <w:sdt>
      <w:sdtPr>
        <w:rPr>
          <w:rFonts w:ascii="Times New Roman" w:hAnsi="Times New Roman" w:cs="Times New Roman"/>
          <w:b w:val="0"/>
          <w:bCs w:val="0"/>
          <w:noProof w:val="0"/>
          <w:snapToGrid/>
          <w:sz w:val="24"/>
          <w:szCs w:val="24"/>
          <w:lang w:val="en-GB" w:eastAsia="en-US"/>
        </w:rPr>
        <w:id w:val="18678002"/>
        <w:docPartObj>
          <w:docPartGallery w:val="Table of Contents"/>
          <w:docPartUnique/>
        </w:docPartObj>
      </w:sdtPr>
      <w:sdtEndPr/>
      <w:sdtContent>
        <w:p w14:paraId="20382953" w14:textId="0FFF3C3A" w:rsidR="00BD38A3" w:rsidRPr="00C63535" w:rsidRDefault="00AA627B" w:rsidP="00042341">
          <w:pPr>
            <w:pStyle w:val="TOC1"/>
            <w:rPr>
              <w:rFonts w:asciiTheme="minorHAnsi" w:eastAsiaTheme="minorEastAsia" w:hAnsiTheme="minorHAnsi" w:cstheme="minorBidi"/>
              <w:snapToGrid/>
              <w:kern w:val="2"/>
              <w:sz w:val="22"/>
              <w:szCs w:val="22"/>
              <w:lang w:val="en-GB" w:eastAsia="en-GB"/>
              <w14:ligatures w14:val="standardContextual"/>
            </w:rPr>
          </w:pPr>
          <w:r w:rsidRPr="00C63535">
            <w:rPr>
              <w:noProof w:val="0"/>
            </w:rPr>
            <w:fldChar w:fldCharType="begin"/>
          </w:r>
          <w:r w:rsidRPr="00C63535">
            <w:instrText xml:space="preserve"> TOC \o "1-3" \h \z \u </w:instrText>
          </w:r>
          <w:r w:rsidRPr="00C63535">
            <w:rPr>
              <w:noProof w:val="0"/>
            </w:rPr>
            <w:fldChar w:fldCharType="separate"/>
          </w:r>
          <w:hyperlink w:anchor="_Toc158375248" w:history="1">
            <w:r w:rsidR="00BD38A3" w:rsidRPr="00C63535">
              <w:rPr>
                <w:rStyle w:val="Hyperlink"/>
                <w:color w:val="auto"/>
              </w:rPr>
              <w:t>PART I – THE CONCEPT OF THE RULE OF LAW</w:t>
            </w:r>
            <w:r w:rsidR="00BD38A3" w:rsidRPr="00C63535">
              <w:rPr>
                <w:webHidden/>
              </w:rPr>
              <w:tab/>
            </w:r>
            <w:r w:rsidR="00BD38A3" w:rsidRPr="00C63535">
              <w:rPr>
                <w:webHidden/>
              </w:rPr>
              <w:fldChar w:fldCharType="begin"/>
            </w:r>
            <w:r w:rsidR="00BD38A3" w:rsidRPr="00C63535">
              <w:rPr>
                <w:webHidden/>
              </w:rPr>
              <w:instrText xml:space="preserve"> PAGEREF _Toc158375248 \h </w:instrText>
            </w:r>
            <w:r w:rsidR="00BD38A3" w:rsidRPr="00C63535">
              <w:rPr>
                <w:webHidden/>
              </w:rPr>
            </w:r>
            <w:r w:rsidR="00BD38A3" w:rsidRPr="00C63535">
              <w:rPr>
                <w:webHidden/>
              </w:rPr>
              <w:fldChar w:fldCharType="separate"/>
            </w:r>
            <w:r w:rsidR="00B84119">
              <w:rPr>
                <w:webHidden/>
              </w:rPr>
              <w:t>6</w:t>
            </w:r>
            <w:r w:rsidR="00BD38A3" w:rsidRPr="00C63535">
              <w:rPr>
                <w:webHidden/>
              </w:rPr>
              <w:fldChar w:fldCharType="end"/>
            </w:r>
          </w:hyperlink>
        </w:p>
        <w:p w14:paraId="25960722" w14:textId="61C1B8E9" w:rsidR="00BD38A3" w:rsidRPr="00C63535" w:rsidRDefault="00607E66" w:rsidP="00421741">
          <w:pPr>
            <w:pStyle w:val="TOC2"/>
            <w:rPr>
              <w:rFonts w:asciiTheme="minorHAnsi" w:eastAsiaTheme="minorEastAsia" w:hAnsiTheme="minorHAnsi" w:cstheme="minorBidi"/>
              <w:noProof/>
              <w:kern w:val="2"/>
              <w:sz w:val="22"/>
              <w:szCs w:val="22"/>
              <w:lang w:val="en-GB" w:eastAsia="en-GB"/>
              <w14:ligatures w14:val="standardContextual"/>
            </w:rPr>
          </w:pPr>
          <w:hyperlink w:anchor="_Toc158375249" w:history="1">
            <w:r w:rsidR="00BD38A3" w:rsidRPr="00C63535">
              <w:rPr>
                <w:rStyle w:val="Hyperlink"/>
                <w:rFonts w:eastAsia="Calibri"/>
                <w:noProof/>
                <w:color w:val="auto"/>
              </w:rPr>
              <w:t>1.</w:t>
            </w:r>
            <w:r w:rsidR="00BD38A3" w:rsidRPr="00C63535">
              <w:rPr>
                <w:rFonts w:asciiTheme="minorHAnsi" w:eastAsiaTheme="minorEastAsia" w:hAnsiTheme="minorHAnsi" w:cstheme="minorBidi"/>
                <w:noProof/>
                <w:kern w:val="2"/>
                <w:sz w:val="22"/>
                <w:szCs w:val="22"/>
                <w:lang w:val="en-GB" w:eastAsia="en-GB"/>
                <w14:ligatures w14:val="standardContextual"/>
              </w:rPr>
              <w:t xml:space="preserve"> </w:t>
            </w:r>
            <w:r w:rsidR="00BD38A3" w:rsidRPr="00C63535">
              <w:rPr>
                <w:rStyle w:val="Hyperlink"/>
                <w:rFonts w:eastAsia="Calibri"/>
                <w:noProof/>
                <w:color w:val="auto"/>
              </w:rPr>
              <w:t>Rule of law: definitions</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_Toc158375249 \h </w:instrText>
            </w:r>
            <w:r w:rsidR="00BD38A3" w:rsidRPr="00C63535">
              <w:rPr>
                <w:noProof/>
                <w:webHidden/>
              </w:rPr>
            </w:r>
            <w:r w:rsidR="00BD38A3" w:rsidRPr="00C63535">
              <w:rPr>
                <w:noProof/>
                <w:webHidden/>
              </w:rPr>
              <w:fldChar w:fldCharType="separate"/>
            </w:r>
            <w:r w:rsidR="00B84119">
              <w:rPr>
                <w:noProof/>
                <w:webHidden/>
              </w:rPr>
              <w:t>6</w:t>
            </w:r>
            <w:r w:rsidR="00BD38A3" w:rsidRPr="00C63535">
              <w:rPr>
                <w:noProof/>
                <w:webHidden/>
              </w:rPr>
              <w:fldChar w:fldCharType="end"/>
            </w:r>
          </w:hyperlink>
        </w:p>
        <w:p w14:paraId="079C5CC0" w14:textId="20665404" w:rsidR="00BD38A3" w:rsidRPr="00C63535" w:rsidRDefault="00607E66" w:rsidP="00421741">
          <w:pPr>
            <w:pStyle w:val="TOC2"/>
            <w:rPr>
              <w:rFonts w:asciiTheme="minorHAnsi" w:eastAsiaTheme="minorEastAsia" w:hAnsiTheme="minorHAnsi" w:cstheme="minorBidi"/>
              <w:noProof/>
              <w:kern w:val="2"/>
              <w:sz w:val="22"/>
              <w:szCs w:val="22"/>
              <w:lang w:val="en-GB" w:eastAsia="en-GB"/>
              <w14:ligatures w14:val="standardContextual"/>
            </w:rPr>
          </w:pPr>
          <w:hyperlink w:anchor="_Toc158375250" w:history="1">
            <w:r w:rsidR="00BD38A3" w:rsidRPr="00C63535">
              <w:rPr>
                <w:rStyle w:val="Hyperlink"/>
                <w:rFonts w:eastAsia="Calibri"/>
                <w:noProof/>
                <w:color w:val="auto"/>
              </w:rPr>
              <w:t>2. Rule of law and “genuine democracy”</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_Toc158375250 \h </w:instrText>
            </w:r>
            <w:r w:rsidR="00BD38A3" w:rsidRPr="00C63535">
              <w:rPr>
                <w:noProof/>
                <w:webHidden/>
              </w:rPr>
            </w:r>
            <w:r w:rsidR="00BD38A3" w:rsidRPr="00C63535">
              <w:rPr>
                <w:noProof/>
                <w:webHidden/>
              </w:rPr>
              <w:fldChar w:fldCharType="separate"/>
            </w:r>
            <w:r w:rsidR="00B84119">
              <w:rPr>
                <w:noProof/>
                <w:webHidden/>
              </w:rPr>
              <w:t>7</w:t>
            </w:r>
            <w:r w:rsidR="00BD38A3" w:rsidRPr="00C63535">
              <w:rPr>
                <w:noProof/>
                <w:webHidden/>
              </w:rPr>
              <w:fldChar w:fldCharType="end"/>
            </w:r>
          </w:hyperlink>
        </w:p>
        <w:p w14:paraId="149EEA79" w14:textId="110507FF" w:rsidR="00BD38A3" w:rsidRPr="00C63535" w:rsidRDefault="00607E66" w:rsidP="00421741">
          <w:pPr>
            <w:pStyle w:val="TOC2"/>
            <w:rPr>
              <w:rStyle w:val="Hyperlink"/>
              <w:noProof/>
              <w:color w:val="auto"/>
            </w:rPr>
          </w:pPr>
          <w:hyperlink w:anchor="_Toc158375251" w:history="1">
            <w:r w:rsidR="00BD38A3" w:rsidRPr="00C63535">
              <w:rPr>
                <w:rStyle w:val="Hyperlink"/>
                <w:rFonts w:eastAsia="Calibri"/>
                <w:noProof/>
                <w:color w:val="auto"/>
              </w:rPr>
              <w:t>3. Rule of law and separation of powers</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_Toc158375251 \h </w:instrText>
            </w:r>
            <w:r w:rsidR="00BD38A3" w:rsidRPr="00C63535">
              <w:rPr>
                <w:noProof/>
                <w:webHidden/>
              </w:rPr>
            </w:r>
            <w:r w:rsidR="00BD38A3" w:rsidRPr="00C63535">
              <w:rPr>
                <w:noProof/>
                <w:webHidden/>
              </w:rPr>
              <w:fldChar w:fldCharType="separate"/>
            </w:r>
            <w:r w:rsidR="00B84119">
              <w:rPr>
                <w:noProof/>
                <w:webHidden/>
              </w:rPr>
              <w:t>8</w:t>
            </w:r>
            <w:r w:rsidR="00BD38A3" w:rsidRPr="00C63535">
              <w:rPr>
                <w:noProof/>
                <w:webHidden/>
              </w:rPr>
              <w:fldChar w:fldCharType="end"/>
            </w:r>
          </w:hyperlink>
        </w:p>
        <w:p w14:paraId="750201A4" w14:textId="77777777" w:rsidR="00BD38A3" w:rsidRPr="00C63535" w:rsidRDefault="00BD38A3" w:rsidP="00CA6885">
          <w:pPr>
            <w:tabs>
              <w:tab w:val="right" w:leader="dot" w:pos="8931"/>
            </w:tabs>
            <w:ind w:right="118"/>
            <w:jc w:val="both"/>
            <w:rPr>
              <w:rFonts w:eastAsiaTheme="minorEastAsia"/>
              <w:lang w:val="fr-FR"/>
            </w:rPr>
          </w:pPr>
        </w:p>
        <w:p w14:paraId="2F95EAB1" w14:textId="5A9446BC" w:rsidR="00BD38A3" w:rsidRPr="00C63535" w:rsidRDefault="00607E66" w:rsidP="00042341">
          <w:pPr>
            <w:pStyle w:val="TOC1"/>
            <w:rPr>
              <w:rFonts w:asciiTheme="minorHAnsi" w:eastAsiaTheme="minorEastAsia" w:hAnsiTheme="minorHAnsi" w:cstheme="minorBidi"/>
              <w:snapToGrid/>
              <w:kern w:val="2"/>
              <w:sz w:val="22"/>
              <w:szCs w:val="22"/>
              <w:lang w:val="en-GB" w:eastAsia="en-GB"/>
              <w14:ligatures w14:val="standardContextual"/>
            </w:rPr>
          </w:pPr>
          <w:hyperlink w:anchor="_Toc158375252" w:history="1">
            <w:r w:rsidR="00BD38A3" w:rsidRPr="00C63535">
              <w:rPr>
                <w:rStyle w:val="Hyperlink"/>
                <w:color w:val="auto"/>
              </w:rPr>
              <w:t>PART II – RULE OF LAW AND SUBNATIONAL AUTHORITIES</w:t>
            </w:r>
            <w:r w:rsidR="00BD38A3" w:rsidRPr="00C63535">
              <w:rPr>
                <w:webHidden/>
              </w:rPr>
              <w:tab/>
            </w:r>
            <w:r w:rsidR="00BD38A3" w:rsidRPr="00C63535">
              <w:rPr>
                <w:webHidden/>
              </w:rPr>
              <w:fldChar w:fldCharType="begin"/>
            </w:r>
            <w:r w:rsidR="00BD38A3" w:rsidRPr="00C63535">
              <w:rPr>
                <w:webHidden/>
              </w:rPr>
              <w:instrText xml:space="preserve"> PAGEREF _Toc158375252 \h </w:instrText>
            </w:r>
            <w:r w:rsidR="00BD38A3" w:rsidRPr="00C63535">
              <w:rPr>
                <w:webHidden/>
              </w:rPr>
            </w:r>
            <w:r w:rsidR="00BD38A3" w:rsidRPr="00C63535">
              <w:rPr>
                <w:webHidden/>
              </w:rPr>
              <w:fldChar w:fldCharType="separate"/>
            </w:r>
            <w:r w:rsidR="00B84119">
              <w:rPr>
                <w:webHidden/>
              </w:rPr>
              <w:t>9</w:t>
            </w:r>
            <w:r w:rsidR="00BD38A3" w:rsidRPr="00C63535">
              <w:rPr>
                <w:webHidden/>
              </w:rPr>
              <w:fldChar w:fldCharType="end"/>
            </w:r>
          </w:hyperlink>
        </w:p>
        <w:p w14:paraId="25594DC3" w14:textId="63F58658" w:rsidR="00BD38A3" w:rsidRPr="00C63535" w:rsidRDefault="00607E66" w:rsidP="00421741">
          <w:pPr>
            <w:pStyle w:val="TOC2"/>
            <w:rPr>
              <w:rFonts w:asciiTheme="minorHAnsi" w:eastAsiaTheme="minorEastAsia" w:hAnsiTheme="minorHAnsi" w:cstheme="minorBidi"/>
              <w:noProof/>
              <w:kern w:val="2"/>
              <w:sz w:val="22"/>
              <w:szCs w:val="22"/>
              <w:lang w:val="en-GB" w:eastAsia="en-GB"/>
              <w14:ligatures w14:val="standardContextual"/>
            </w:rPr>
          </w:pPr>
          <w:hyperlink w:anchor="_Toc158375253" w:history="1">
            <w:r w:rsidR="00BD38A3" w:rsidRPr="00C63535">
              <w:rPr>
                <w:rStyle w:val="Hyperlink"/>
                <w:noProof/>
                <w:color w:val="auto"/>
              </w:rPr>
              <w:t>1. An overlooked relationship</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_Toc158375253 \h </w:instrText>
            </w:r>
            <w:r w:rsidR="00BD38A3" w:rsidRPr="00C63535">
              <w:rPr>
                <w:noProof/>
                <w:webHidden/>
              </w:rPr>
            </w:r>
            <w:r w:rsidR="00BD38A3" w:rsidRPr="00C63535">
              <w:rPr>
                <w:noProof/>
                <w:webHidden/>
              </w:rPr>
              <w:fldChar w:fldCharType="separate"/>
            </w:r>
            <w:r w:rsidR="00B84119">
              <w:rPr>
                <w:noProof/>
                <w:webHidden/>
              </w:rPr>
              <w:t>9</w:t>
            </w:r>
            <w:r w:rsidR="00BD38A3" w:rsidRPr="00C63535">
              <w:rPr>
                <w:noProof/>
                <w:webHidden/>
              </w:rPr>
              <w:fldChar w:fldCharType="end"/>
            </w:r>
          </w:hyperlink>
        </w:p>
        <w:p w14:paraId="6E08F3ED" w14:textId="0EF56079" w:rsidR="00BD38A3" w:rsidRPr="00C63535" w:rsidRDefault="00607E66" w:rsidP="00421741">
          <w:pPr>
            <w:pStyle w:val="TOC2"/>
            <w:rPr>
              <w:rFonts w:asciiTheme="minorHAnsi" w:eastAsiaTheme="minorEastAsia" w:hAnsiTheme="minorHAnsi" w:cstheme="minorBidi"/>
              <w:noProof/>
              <w:kern w:val="2"/>
              <w:sz w:val="22"/>
              <w:szCs w:val="22"/>
              <w:lang w:val="en-GB" w:eastAsia="en-GB"/>
              <w14:ligatures w14:val="standardContextual"/>
            </w:rPr>
          </w:pPr>
          <w:hyperlink w:anchor="_Toc158375254" w:history="1">
            <w:r w:rsidR="00BD38A3" w:rsidRPr="00C63535">
              <w:rPr>
                <w:rStyle w:val="Hyperlink"/>
                <w:rFonts w:eastAsia="Calibri"/>
                <w:noProof/>
                <w:color w:val="auto"/>
              </w:rPr>
              <w:t>2.</w:t>
            </w:r>
            <w:r w:rsidR="00DD4049">
              <w:rPr>
                <w:rStyle w:val="Hyperlink"/>
                <w:rFonts w:eastAsia="Calibri"/>
                <w:noProof/>
                <w:color w:val="auto"/>
              </w:rPr>
              <w:t xml:space="preserve"> </w:t>
            </w:r>
            <w:r w:rsidR="00BD38A3" w:rsidRPr="00C63535">
              <w:rPr>
                <w:rStyle w:val="Hyperlink"/>
                <w:rFonts w:eastAsia="Calibri"/>
                <w:noProof/>
                <w:color w:val="auto"/>
              </w:rPr>
              <w:t>Local self-government as guarantor of the rule of law</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_Toc158375254 \h </w:instrText>
            </w:r>
            <w:r w:rsidR="00BD38A3" w:rsidRPr="00C63535">
              <w:rPr>
                <w:noProof/>
                <w:webHidden/>
              </w:rPr>
            </w:r>
            <w:r w:rsidR="00BD38A3" w:rsidRPr="00C63535">
              <w:rPr>
                <w:noProof/>
                <w:webHidden/>
              </w:rPr>
              <w:fldChar w:fldCharType="separate"/>
            </w:r>
            <w:r w:rsidR="00B84119">
              <w:rPr>
                <w:noProof/>
                <w:webHidden/>
              </w:rPr>
              <w:t>12</w:t>
            </w:r>
            <w:r w:rsidR="00BD38A3" w:rsidRPr="00C63535">
              <w:rPr>
                <w:noProof/>
                <w:webHidden/>
              </w:rPr>
              <w:fldChar w:fldCharType="end"/>
            </w:r>
          </w:hyperlink>
        </w:p>
        <w:p w14:paraId="6882ACE0" w14:textId="0F32381A" w:rsidR="00BD38A3" w:rsidRPr="00C63535" w:rsidRDefault="00607E66" w:rsidP="00421741">
          <w:pPr>
            <w:pStyle w:val="TOC2"/>
            <w:rPr>
              <w:rFonts w:asciiTheme="minorHAnsi" w:eastAsiaTheme="minorEastAsia" w:hAnsiTheme="minorHAnsi" w:cstheme="minorBidi"/>
              <w:noProof/>
              <w:kern w:val="2"/>
              <w:sz w:val="22"/>
              <w:szCs w:val="22"/>
              <w:lang w:val="en-GB" w:eastAsia="en-GB"/>
              <w14:ligatures w14:val="standardContextual"/>
            </w:rPr>
          </w:pPr>
          <w:hyperlink w:anchor="_Toc158375255" w:history="1">
            <w:r w:rsidR="00BD38A3" w:rsidRPr="00C63535">
              <w:rPr>
                <w:rStyle w:val="Hyperlink"/>
                <w:rFonts w:eastAsia="Calibri"/>
                <w:noProof/>
                <w:color w:val="auto"/>
              </w:rPr>
              <w:t>3.</w:t>
            </w:r>
            <w:r w:rsidR="00DD4049">
              <w:rPr>
                <w:rStyle w:val="Hyperlink"/>
                <w:rFonts w:eastAsia="Calibri"/>
                <w:noProof/>
                <w:color w:val="auto"/>
              </w:rPr>
              <w:t xml:space="preserve"> </w:t>
            </w:r>
            <w:r w:rsidR="00BD38A3" w:rsidRPr="00C63535">
              <w:rPr>
                <w:rStyle w:val="Hyperlink"/>
                <w:rFonts w:eastAsia="Calibri"/>
                <w:noProof/>
                <w:color w:val="auto"/>
              </w:rPr>
              <w:t>The implementation of the rule of law by local authorities: the execution of the judgments of the European Court of Human Rights</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_Toc158375255 \h </w:instrText>
            </w:r>
            <w:r w:rsidR="00BD38A3" w:rsidRPr="00C63535">
              <w:rPr>
                <w:noProof/>
                <w:webHidden/>
              </w:rPr>
            </w:r>
            <w:r w:rsidR="00BD38A3" w:rsidRPr="00C63535">
              <w:rPr>
                <w:noProof/>
                <w:webHidden/>
              </w:rPr>
              <w:fldChar w:fldCharType="separate"/>
            </w:r>
            <w:r w:rsidR="00B84119">
              <w:rPr>
                <w:noProof/>
                <w:webHidden/>
              </w:rPr>
              <w:t>13</w:t>
            </w:r>
            <w:r w:rsidR="00BD38A3" w:rsidRPr="00C63535">
              <w:rPr>
                <w:noProof/>
                <w:webHidden/>
              </w:rPr>
              <w:fldChar w:fldCharType="end"/>
            </w:r>
          </w:hyperlink>
        </w:p>
        <w:p w14:paraId="782F0F39" w14:textId="33D4B9A5" w:rsidR="00BD38A3" w:rsidRPr="00C63535" w:rsidRDefault="00607E66" w:rsidP="00421741">
          <w:pPr>
            <w:pStyle w:val="TOC2"/>
            <w:rPr>
              <w:rFonts w:asciiTheme="minorHAnsi" w:eastAsiaTheme="minorEastAsia" w:hAnsiTheme="minorHAnsi" w:cstheme="minorBidi"/>
              <w:noProof/>
              <w:kern w:val="2"/>
              <w:sz w:val="22"/>
              <w:szCs w:val="22"/>
              <w:lang w:val="en-GB" w:eastAsia="en-GB"/>
              <w14:ligatures w14:val="standardContextual"/>
            </w:rPr>
          </w:pPr>
          <w:hyperlink w:anchor="_Toc158375256" w:history="1">
            <w:r w:rsidR="00BD38A3" w:rsidRPr="00C63535">
              <w:rPr>
                <w:rStyle w:val="Hyperlink"/>
                <w:rFonts w:eastAsia="Calibri"/>
                <w:noProof/>
                <w:color w:val="auto"/>
              </w:rPr>
              <w:t>4.</w:t>
            </w:r>
            <w:r w:rsidR="00BD38A3" w:rsidRPr="00C63535">
              <w:rPr>
                <w:rFonts w:asciiTheme="minorHAnsi" w:eastAsiaTheme="minorEastAsia" w:hAnsiTheme="minorHAnsi" w:cstheme="minorBidi"/>
                <w:noProof/>
                <w:kern w:val="2"/>
                <w:sz w:val="22"/>
                <w:szCs w:val="22"/>
                <w:lang w:val="en-GB" w:eastAsia="en-GB"/>
                <w14:ligatures w14:val="standardContextual"/>
              </w:rPr>
              <w:t xml:space="preserve"> </w:t>
            </w:r>
            <w:r w:rsidR="00BD38A3" w:rsidRPr="00C63535">
              <w:rPr>
                <w:rStyle w:val="Hyperlink"/>
                <w:rFonts w:eastAsia="Calibri"/>
                <w:noProof/>
                <w:color w:val="auto"/>
              </w:rPr>
              <w:t>Local authorities as authorities “ruled by law”</w:t>
            </w:r>
            <w:r w:rsidR="00BD38A3" w:rsidRPr="00C63535">
              <w:rPr>
                <w:noProof/>
                <w:webHidden/>
              </w:rPr>
              <w:tab/>
            </w:r>
            <w:r w:rsidR="00BD38A3" w:rsidRPr="00C63535">
              <w:rPr>
                <w:noProof/>
                <w:webHidden/>
              </w:rPr>
              <w:fldChar w:fldCharType="begin"/>
            </w:r>
            <w:r w:rsidR="00BD38A3" w:rsidRPr="00C63535">
              <w:rPr>
                <w:noProof/>
                <w:webHidden/>
              </w:rPr>
              <w:instrText xml:space="preserve"> PAGEREF _Toc158375256 \h </w:instrText>
            </w:r>
            <w:r w:rsidR="00BD38A3" w:rsidRPr="00C63535">
              <w:rPr>
                <w:noProof/>
                <w:webHidden/>
              </w:rPr>
            </w:r>
            <w:r w:rsidR="00BD38A3" w:rsidRPr="00C63535">
              <w:rPr>
                <w:noProof/>
                <w:webHidden/>
              </w:rPr>
              <w:fldChar w:fldCharType="separate"/>
            </w:r>
            <w:r w:rsidR="00B84119">
              <w:rPr>
                <w:noProof/>
                <w:webHidden/>
              </w:rPr>
              <w:t>14</w:t>
            </w:r>
            <w:r w:rsidR="00BD38A3" w:rsidRPr="00C63535">
              <w:rPr>
                <w:noProof/>
                <w:webHidden/>
              </w:rPr>
              <w:fldChar w:fldCharType="end"/>
            </w:r>
          </w:hyperlink>
        </w:p>
        <w:p w14:paraId="3E4F3E5B" w14:textId="4067F598" w:rsidR="00AA627B" w:rsidRPr="007F279F" w:rsidRDefault="00AA627B" w:rsidP="00F545A5">
          <w:pPr>
            <w:ind w:right="118"/>
          </w:pPr>
          <w:r w:rsidRPr="00C63535">
            <w:rPr>
              <w:noProof/>
            </w:rPr>
            <w:fldChar w:fldCharType="end"/>
          </w:r>
        </w:p>
      </w:sdtContent>
    </w:sdt>
    <w:p w14:paraId="2543A5DA" w14:textId="77777777" w:rsidR="00AA627B" w:rsidRDefault="00AA627B">
      <w:pPr>
        <w:spacing w:after="200" w:line="276" w:lineRule="auto"/>
        <w:rPr>
          <w:rFonts w:ascii="Arial" w:eastAsiaTheme="majorEastAsia" w:hAnsi="Arial" w:cs="Arial"/>
          <w:sz w:val="20"/>
          <w:szCs w:val="20"/>
        </w:rPr>
      </w:pPr>
      <w:r>
        <w:rPr>
          <w:rFonts w:cs="Arial"/>
          <w:b/>
          <w:bCs/>
          <w:szCs w:val="20"/>
        </w:rPr>
        <w:br w:type="page"/>
      </w:r>
    </w:p>
    <w:p w14:paraId="278A4704" w14:textId="428717AD" w:rsidR="00683973" w:rsidRPr="00760626" w:rsidRDefault="00683973" w:rsidP="00CD3BBA">
      <w:pPr>
        <w:pStyle w:val="Style2"/>
        <w:spacing w:before="0"/>
        <w:rPr>
          <w:rFonts w:cs="Arial"/>
          <w:szCs w:val="20"/>
        </w:rPr>
      </w:pPr>
      <w:bookmarkStart w:id="45" w:name="_Toc158375248"/>
      <w:bookmarkStart w:id="46" w:name="_Toc143512955"/>
      <w:r w:rsidRPr="00760626">
        <w:rPr>
          <w:rFonts w:cs="Arial"/>
          <w:szCs w:val="20"/>
        </w:rPr>
        <w:lastRenderedPageBreak/>
        <w:t>PART I</w:t>
      </w:r>
      <w:r w:rsidR="006316D4">
        <w:rPr>
          <w:rFonts w:cs="Arial"/>
          <w:szCs w:val="20"/>
        </w:rPr>
        <w:t xml:space="preserve"> – </w:t>
      </w:r>
      <w:r w:rsidRPr="00760626">
        <w:rPr>
          <w:rFonts w:cs="Arial"/>
          <w:szCs w:val="20"/>
        </w:rPr>
        <w:t>THE CONCEPT OF THE</w:t>
      </w:r>
      <w:r w:rsidR="007322A3">
        <w:rPr>
          <w:rFonts w:cs="Arial"/>
          <w:szCs w:val="20"/>
        </w:rPr>
        <w:t xml:space="preserve"> </w:t>
      </w:r>
      <w:r w:rsidRPr="00760626">
        <w:rPr>
          <w:rFonts w:cs="Arial"/>
          <w:szCs w:val="20"/>
        </w:rPr>
        <w:t>RULE OF LAW</w:t>
      </w:r>
      <w:bookmarkEnd w:id="45"/>
      <w:r w:rsidRPr="00760626">
        <w:rPr>
          <w:rFonts w:cs="Arial"/>
          <w:szCs w:val="20"/>
        </w:rPr>
        <w:t xml:space="preserve"> </w:t>
      </w:r>
      <w:bookmarkEnd w:id="46"/>
      <w:bookmarkEnd w:id="39"/>
    </w:p>
    <w:bookmarkEnd w:id="44"/>
    <w:bookmarkEnd w:id="43"/>
    <w:bookmarkEnd w:id="42"/>
    <w:bookmarkEnd w:id="41"/>
    <w:bookmarkEnd w:id="40"/>
    <w:p w14:paraId="7FFC4D4C" w14:textId="7ED334B3" w:rsidR="00CD154D" w:rsidRPr="00760626" w:rsidRDefault="00CD154D" w:rsidP="00A40EFD">
      <w:pPr>
        <w:pStyle w:val="Heading1"/>
        <w:tabs>
          <w:tab w:val="left" w:pos="426"/>
        </w:tabs>
        <w:spacing w:before="0" w:line="360" w:lineRule="auto"/>
        <w:rPr>
          <w:rFonts w:ascii="Arial" w:hAnsi="Arial" w:cs="Arial"/>
          <w:color w:val="auto"/>
          <w:sz w:val="20"/>
          <w:szCs w:val="20"/>
        </w:rPr>
      </w:pPr>
    </w:p>
    <w:p w14:paraId="263FFA75" w14:textId="62318F3C" w:rsidR="008B0560" w:rsidRPr="00CA6885" w:rsidRDefault="008B0560" w:rsidP="005139D7">
      <w:pPr>
        <w:pStyle w:val="Heading2"/>
        <w:numPr>
          <w:ilvl w:val="0"/>
          <w:numId w:val="8"/>
        </w:numPr>
        <w:tabs>
          <w:tab w:val="left" w:pos="426"/>
        </w:tabs>
        <w:spacing w:before="0"/>
        <w:ind w:left="0" w:firstLine="0"/>
        <w:rPr>
          <w:rFonts w:ascii="Arial" w:eastAsia="Calibri" w:hAnsi="Arial" w:cs="Arial"/>
          <w:color w:val="auto"/>
          <w:sz w:val="20"/>
          <w:szCs w:val="20"/>
        </w:rPr>
      </w:pPr>
      <w:bookmarkStart w:id="47" w:name="_Toc143512956"/>
      <w:bookmarkStart w:id="48" w:name="_Toc158375249"/>
      <w:r w:rsidRPr="00CA6885">
        <w:rPr>
          <w:rFonts w:ascii="Arial" w:eastAsia="Calibri" w:hAnsi="Arial" w:cs="Arial"/>
          <w:color w:val="auto"/>
          <w:sz w:val="20"/>
          <w:szCs w:val="20"/>
        </w:rPr>
        <w:t>Rule of law</w:t>
      </w:r>
      <w:r w:rsidR="00E92F4B" w:rsidRPr="00CA6885">
        <w:rPr>
          <w:rFonts w:ascii="Arial" w:eastAsia="Calibri" w:hAnsi="Arial" w:cs="Arial"/>
          <w:color w:val="auto"/>
          <w:sz w:val="20"/>
          <w:szCs w:val="20"/>
        </w:rPr>
        <w:t>: definitions</w:t>
      </w:r>
      <w:bookmarkEnd w:id="47"/>
      <w:bookmarkEnd w:id="48"/>
      <w:r w:rsidR="00DA1FB8">
        <w:rPr>
          <w:rFonts w:ascii="Arial" w:eastAsia="Calibri" w:hAnsi="Arial" w:cs="Arial"/>
          <w:color w:val="auto"/>
          <w:sz w:val="20"/>
          <w:szCs w:val="20"/>
        </w:rPr>
        <w:br/>
      </w:r>
    </w:p>
    <w:p w14:paraId="7F78177E" w14:textId="314BEA03" w:rsidR="008B0560" w:rsidRDefault="00E92F4B"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kern w:val="2"/>
          <w:sz w:val="20"/>
          <w:szCs w:val="20"/>
          <w:shd w:val="clear" w:color="auto" w:fill="FFFFFF"/>
          <w14:ligatures w14:val="standardContextual"/>
        </w:rPr>
      </w:pPr>
      <w:r w:rsidRPr="00E92F4B">
        <w:rPr>
          <w:rFonts w:ascii="Arial" w:eastAsia="Calibri" w:hAnsi="Arial" w:cs="Arial"/>
          <w:sz w:val="20"/>
          <w:szCs w:val="20"/>
          <w14:ligatures w14:val="standardContextual"/>
        </w:rPr>
        <w:t>In the 21st century</w:t>
      </w:r>
      <w:r>
        <w:rPr>
          <w:rFonts w:ascii="Arial" w:eastAsia="Calibri" w:hAnsi="Arial" w:cs="Arial"/>
          <w:sz w:val="20"/>
          <w:szCs w:val="20"/>
          <w14:ligatures w14:val="standardContextual"/>
        </w:rPr>
        <w:t>,</w:t>
      </w:r>
      <w:r w:rsidRPr="00E92F4B">
        <w:rPr>
          <w:rFonts w:ascii="Arial" w:eastAsia="Calibri" w:hAnsi="Arial" w:cs="Arial"/>
          <w:sz w:val="20"/>
          <w:szCs w:val="20"/>
          <w14:ligatures w14:val="standardContextual"/>
        </w:rPr>
        <w:t xml:space="preserve"> </w:t>
      </w:r>
      <w:r>
        <w:rPr>
          <w:rFonts w:ascii="Arial" w:eastAsia="Calibri" w:hAnsi="Arial" w:cs="Arial"/>
          <w:sz w:val="20"/>
          <w:szCs w:val="20"/>
          <w14:ligatures w14:val="standardContextual"/>
        </w:rPr>
        <w:t>t</w:t>
      </w:r>
      <w:r w:rsidR="008B0560" w:rsidRPr="00760626">
        <w:rPr>
          <w:rFonts w:ascii="Arial" w:eastAsia="Calibri" w:hAnsi="Arial" w:cs="Arial"/>
          <w:sz w:val="20"/>
          <w:szCs w:val="20"/>
          <w14:ligatures w14:val="standardContextual"/>
        </w:rPr>
        <w:t xml:space="preserve">he rule of law is a concept of universal </w:t>
      </w:r>
      <w:r w:rsidR="003F11A6">
        <w:rPr>
          <w:rFonts w:ascii="Arial" w:eastAsia="Calibri" w:hAnsi="Arial" w:cs="Arial"/>
          <w:sz w:val="20"/>
          <w:szCs w:val="20"/>
          <w14:ligatures w14:val="standardContextual"/>
        </w:rPr>
        <w:t>value</w:t>
      </w:r>
      <w:r w:rsidR="008B0560" w:rsidRPr="00760626">
        <w:rPr>
          <w:rFonts w:ascii="Arial" w:eastAsia="Calibri" w:hAnsi="Arial" w:cs="Arial"/>
          <w:sz w:val="20"/>
          <w:szCs w:val="20"/>
          <w14:ligatures w14:val="standardContextual"/>
        </w:rPr>
        <w:t xml:space="preserve">. The “need for universal adherence to and implementation of the rule of law at both the national and international levels” was endorsed by all </w:t>
      </w:r>
      <w:r w:rsidR="00CA6885">
        <w:rPr>
          <w:rFonts w:ascii="Arial" w:eastAsia="Calibri" w:hAnsi="Arial" w:cs="Arial"/>
          <w:sz w:val="20"/>
          <w:szCs w:val="20"/>
          <w14:ligatures w14:val="standardContextual"/>
        </w:rPr>
        <w:t>m</w:t>
      </w:r>
      <w:r w:rsidR="008B0560" w:rsidRPr="00760626">
        <w:rPr>
          <w:rFonts w:ascii="Arial" w:eastAsia="Calibri" w:hAnsi="Arial" w:cs="Arial"/>
          <w:sz w:val="20"/>
          <w:szCs w:val="20"/>
          <w14:ligatures w14:val="standardContextual"/>
        </w:rPr>
        <w:t>ember States of the United Nations in the 2005 Outcome Document of the World Summit (§ 134)</w:t>
      </w:r>
      <w:r w:rsidR="00CA6885">
        <w:rPr>
          <w:rFonts w:ascii="Arial" w:eastAsia="Calibri" w:hAnsi="Arial" w:cs="Arial"/>
          <w:sz w:val="20"/>
          <w:szCs w:val="20"/>
          <w14:ligatures w14:val="standardContextual"/>
        </w:rPr>
        <w:t>.</w:t>
      </w:r>
      <w:r w:rsidR="008B0560" w:rsidRPr="00760626">
        <w:rPr>
          <w:rFonts w:ascii="Arial" w:eastAsia="Calibri" w:hAnsi="Arial" w:cs="Arial"/>
          <w:sz w:val="20"/>
          <w:szCs w:val="20"/>
          <w:vertAlign w:val="superscript"/>
        </w:rPr>
        <w:footnoteReference w:id="5"/>
      </w:r>
      <w:r w:rsidR="008B0560" w:rsidRPr="00760626">
        <w:rPr>
          <w:rFonts w:ascii="Arial" w:eastAsia="Calibri" w:hAnsi="Arial" w:cs="Arial"/>
          <w:sz w:val="20"/>
          <w:szCs w:val="20"/>
          <w14:ligatures w14:val="standardContextual"/>
        </w:rPr>
        <w:t xml:space="preserve"> More recently, </w:t>
      </w:r>
      <w:r w:rsidR="008B0560" w:rsidRPr="00760626">
        <w:rPr>
          <w:rFonts w:ascii="Arial" w:eastAsia="Calibri" w:hAnsi="Arial" w:cs="Arial"/>
          <w:kern w:val="2"/>
          <w:sz w:val="20"/>
          <w:szCs w:val="20"/>
          <w:shd w:val="clear" w:color="auto" w:fill="FFFFFF"/>
          <w14:ligatures w14:val="standardContextual"/>
        </w:rPr>
        <w:t>Sustainable Development Goal 16 (Peace, Justice, and Strong Institutions)</w:t>
      </w:r>
      <w:r w:rsidR="008B0560" w:rsidRPr="00760626">
        <w:rPr>
          <w:rFonts w:ascii="Arial" w:eastAsia="Calibri" w:hAnsi="Arial" w:cs="Arial"/>
          <w:sz w:val="20"/>
          <w:szCs w:val="20"/>
          <w14:ligatures w14:val="standardContextual"/>
        </w:rPr>
        <w:t xml:space="preserve"> include</w:t>
      </w:r>
      <w:r w:rsidR="00CA6885">
        <w:rPr>
          <w:rFonts w:ascii="Arial" w:eastAsia="Calibri" w:hAnsi="Arial" w:cs="Arial"/>
          <w:sz w:val="20"/>
          <w:szCs w:val="20"/>
          <w14:ligatures w14:val="standardContextual"/>
        </w:rPr>
        <w:t>d</w:t>
      </w:r>
      <w:r w:rsidR="008B0560" w:rsidRPr="00760626">
        <w:rPr>
          <w:rFonts w:ascii="Arial" w:eastAsia="Calibri" w:hAnsi="Arial" w:cs="Arial"/>
          <w:sz w:val="20"/>
          <w:szCs w:val="20"/>
          <w14:ligatures w14:val="standardContextual"/>
        </w:rPr>
        <w:t xml:space="preserve"> “</w:t>
      </w:r>
      <w:r w:rsidR="008B0560" w:rsidRPr="00760626">
        <w:rPr>
          <w:rFonts w:ascii="Arial" w:eastAsia="Calibri" w:hAnsi="Arial" w:cs="Arial"/>
          <w:kern w:val="2"/>
          <w:sz w:val="20"/>
          <w:szCs w:val="20"/>
          <w:shd w:val="clear" w:color="auto" w:fill="FFFFFF"/>
          <w14:ligatures w14:val="standardContextual"/>
        </w:rPr>
        <w:t>Promote the rule of law at the national and international levels” within its targets (target 16</w:t>
      </w:r>
      <w:r w:rsidR="00CA6885">
        <w:rPr>
          <w:rFonts w:ascii="Arial" w:eastAsia="Calibri" w:hAnsi="Arial" w:cs="Arial"/>
          <w:kern w:val="2"/>
          <w:sz w:val="20"/>
          <w:szCs w:val="20"/>
          <w:shd w:val="clear" w:color="auto" w:fill="FFFFFF"/>
          <w14:ligatures w14:val="standardContextual"/>
        </w:rPr>
        <w:t>.</w:t>
      </w:r>
      <w:r w:rsidR="008B0560" w:rsidRPr="00760626">
        <w:rPr>
          <w:rFonts w:ascii="Arial" w:eastAsia="Calibri" w:hAnsi="Arial" w:cs="Arial"/>
          <w:kern w:val="2"/>
          <w:sz w:val="20"/>
          <w:szCs w:val="20"/>
          <w:shd w:val="clear" w:color="auto" w:fill="FFFFFF"/>
          <w14:ligatures w14:val="standardContextual"/>
        </w:rPr>
        <w:t>3)</w:t>
      </w:r>
      <w:r w:rsidR="00CA6885">
        <w:rPr>
          <w:rFonts w:ascii="Arial" w:eastAsia="Calibri" w:hAnsi="Arial" w:cs="Arial"/>
          <w:kern w:val="2"/>
          <w:sz w:val="20"/>
          <w:szCs w:val="20"/>
          <w:shd w:val="clear" w:color="auto" w:fill="FFFFFF"/>
          <w14:ligatures w14:val="standardContextual"/>
        </w:rPr>
        <w:t>.</w:t>
      </w:r>
      <w:r w:rsidR="008B0560" w:rsidRPr="00760626">
        <w:rPr>
          <w:rFonts w:ascii="Arial" w:eastAsia="Calibri" w:hAnsi="Arial" w:cs="Arial"/>
          <w:kern w:val="2"/>
          <w:sz w:val="20"/>
          <w:szCs w:val="20"/>
          <w:shd w:val="clear" w:color="auto" w:fill="FFFFFF"/>
          <w:vertAlign w:val="superscript"/>
        </w:rPr>
        <w:footnoteReference w:id="6"/>
      </w:r>
    </w:p>
    <w:p w14:paraId="2233AC41" w14:textId="77777777" w:rsidR="00683973" w:rsidRPr="00760626" w:rsidRDefault="00683973" w:rsidP="00683973">
      <w:pPr>
        <w:pStyle w:val="ListParagraph"/>
        <w:tabs>
          <w:tab w:val="left" w:pos="426"/>
        </w:tabs>
        <w:autoSpaceDE w:val="0"/>
        <w:autoSpaceDN w:val="0"/>
        <w:adjustRightInd w:val="0"/>
        <w:ind w:left="0"/>
        <w:jc w:val="both"/>
        <w:rPr>
          <w:rFonts w:ascii="Arial" w:eastAsia="Calibri" w:hAnsi="Arial" w:cs="Arial"/>
          <w:kern w:val="2"/>
          <w:sz w:val="20"/>
          <w:szCs w:val="20"/>
          <w:shd w:val="clear" w:color="auto" w:fill="FFFFFF"/>
          <w14:ligatures w14:val="standardContextual"/>
        </w:rPr>
      </w:pPr>
    </w:p>
    <w:p w14:paraId="3D2A376E" w14:textId="76893EC9" w:rsidR="008B0560"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8B0560">
        <w:rPr>
          <w:rFonts w:ascii="Arial" w:eastAsia="Calibri" w:hAnsi="Arial" w:cs="Arial"/>
          <w:sz w:val="20"/>
          <w:szCs w:val="20"/>
          <w14:ligatures w14:val="standardContextual"/>
        </w:rPr>
        <w:t xml:space="preserve">The rule of law is mentioned in the Preamble to the Statute of the Council of Europe as one of the three “principles which form the basis of all genuine democracy”, </w:t>
      </w:r>
      <w:r w:rsidR="007B0465">
        <w:rPr>
          <w:rFonts w:ascii="Arial" w:eastAsia="Calibri" w:hAnsi="Arial" w:cs="Arial"/>
          <w:sz w:val="20"/>
          <w:szCs w:val="20"/>
          <w14:ligatures w14:val="standardContextual"/>
        </w:rPr>
        <w:t>alongside</w:t>
      </w:r>
      <w:r w:rsidRPr="008B0560">
        <w:rPr>
          <w:rFonts w:ascii="Arial" w:eastAsia="Calibri" w:hAnsi="Arial" w:cs="Arial"/>
          <w:sz w:val="20"/>
          <w:szCs w:val="20"/>
          <w14:ligatures w14:val="standardContextual"/>
        </w:rPr>
        <w:t xml:space="preserve"> individual freedom and political liberty. Article 3 of the Statute </w:t>
      </w:r>
      <w:r w:rsidR="007B0465">
        <w:rPr>
          <w:rFonts w:ascii="Arial" w:eastAsia="Calibri" w:hAnsi="Arial" w:cs="Arial"/>
          <w:sz w:val="20"/>
          <w:szCs w:val="20"/>
          <w14:ligatures w14:val="standardContextual"/>
        </w:rPr>
        <w:t>establishes</w:t>
      </w:r>
      <w:r w:rsidR="003F11A6">
        <w:rPr>
          <w:rFonts w:ascii="Arial" w:eastAsia="Calibri" w:hAnsi="Arial" w:cs="Arial"/>
          <w:sz w:val="20"/>
          <w:szCs w:val="20"/>
          <w14:ligatures w14:val="standardContextual"/>
        </w:rPr>
        <w:t xml:space="preserve"> </w:t>
      </w:r>
      <w:r w:rsidRPr="008B0560">
        <w:rPr>
          <w:rFonts w:ascii="Arial" w:eastAsia="Calibri" w:hAnsi="Arial" w:cs="Arial"/>
          <w:sz w:val="20"/>
          <w:szCs w:val="20"/>
          <w14:ligatures w14:val="standardContextual"/>
        </w:rPr>
        <w:t xml:space="preserve">respect for the principle of the rule of law </w:t>
      </w:r>
      <w:r w:rsidR="007B0465">
        <w:rPr>
          <w:rFonts w:ascii="Arial" w:eastAsia="Calibri" w:hAnsi="Arial" w:cs="Arial"/>
          <w:sz w:val="20"/>
          <w:szCs w:val="20"/>
          <w14:ligatures w14:val="standardContextual"/>
        </w:rPr>
        <w:t xml:space="preserve">as </w:t>
      </w:r>
      <w:r w:rsidRPr="008B0560">
        <w:rPr>
          <w:rFonts w:ascii="Arial" w:eastAsia="Calibri" w:hAnsi="Arial" w:cs="Arial"/>
          <w:sz w:val="20"/>
          <w:szCs w:val="20"/>
          <w14:ligatures w14:val="standardContextual"/>
        </w:rPr>
        <w:t xml:space="preserve">a precondition for </w:t>
      </w:r>
      <w:r w:rsidR="00750F7B">
        <w:rPr>
          <w:rFonts w:ascii="Arial" w:eastAsia="Calibri" w:hAnsi="Arial" w:cs="Arial"/>
          <w:sz w:val="20"/>
          <w:szCs w:val="20"/>
          <w14:ligatures w14:val="standardContextual"/>
        </w:rPr>
        <w:t xml:space="preserve">the </w:t>
      </w:r>
      <w:r w:rsidRPr="008B0560">
        <w:rPr>
          <w:rFonts w:ascii="Arial" w:eastAsia="Calibri" w:hAnsi="Arial" w:cs="Arial"/>
          <w:sz w:val="20"/>
          <w:szCs w:val="20"/>
          <w14:ligatures w14:val="standardContextual"/>
        </w:rPr>
        <w:t xml:space="preserve">accession of new member States to the Organisation. </w:t>
      </w:r>
      <w:r w:rsidR="007B0465">
        <w:rPr>
          <w:rFonts w:ascii="Arial" w:eastAsia="Calibri" w:hAnsi="Arial" w:cs="Arial"/>
          <w:sz w:val="20"/>
          <w:szCs w:val="20"/>
          <w14:ligatures w14:val="standardContextual"/>
        </w:rPr>
        <w:t>Additionally, t</w:t>
      </w:r>
      <w:r w:rsidRPr="008B0560">
        <w:rPr>
          <w:rFonts w:ascii="Arial" w:eastAsia="Calibri" w:hAnsi="Arial" w:cs="Arial"/>
          <w:sz w:val="20"/>
          <w:szCs w:val="20"/>
          <w14:ligatures w14:val="standardContextual"/>
        </w:rPr>
        <w:t xml:space="preserve">he rule of law is </w:t>
      </w:r>
      <w:r w:rsidR="007B0465">
        <w:rPr>
          <w:rFonts w:ascii="Arial" w:eastAsia="Calibri" w:hAnsi="Arial" w:cs="Arial"/>
          <w:sz w:val="20"/>
          <w:szCs w:val="20"/>
          <w14:ligatures w14:val="standardContextual"/>
        </w:rPr>
        <w:t>acknowledged</w:t>
      </w:r>
      <w:r w:rsidR="007B0465" w:rsidRPr="008B0560">
        <w:rPr>
          <w:rFonts w:ascii="Arial" w:eastAsia="Calibri" w:hAnsi="Arial" w:cs="Arial"/>
          <w:sz w:val="20"/>
          <w:szCs w:val="20"/>
          <w14:ligatures w14:val="standardContextual"/>
        </w:rPr>
        <w:t xml:space="preserve"> </w:t>
      </w:r>
      <w:r w:rsidRPr="008B0560">
        <w:rPr>
          <w:rFonts w:ascii="Arial" w:eastAsia="Calibri" w:hAnsi="Arial" w:cs="Arial"/>
          <w:sz w:val="20"/>
          <w:szCs w:val="20"/>
          <w14:ligatures w14:val="standardContextual"/>
        </w:rPr>
        <w:t>as an element of common heritage in the Preamble to the European Convention for the Protection of Human Rights and Fundamental Freedoms (</w:t>
      </w:r>
      <w:r w:rsidR="00EA7E6E">
        <w:rPr>
          <w:rFonts w:ascii="Arial" w:eastAsia="Calibri" w:hAnsi="Arial" w:cs="Arial"/>
          <w:sz w:val="20"/>
          <w:szCs w:val="20"/>
          <w14:ligatures w14:val="standardContextual"/>
        </w:rPr>
        <w:t xml:space="preserve">ETS No.5, </w:t>
      </w:r>
      <w:r w:rsidR="001B02DB">
        <w:rPr>
          <w:rFonts w:ascii="Arial" w:eastAsia="Calibri" w:hAnsi="Arial" w:cs="Arial"/>
          <w:sz w:val="20"/>
          <w:szCs w:val="20"/>
          <w14:ligatures w14:val="standardContextual"/>
        </w:rPr>
        <w:t>“</w:t>
      </w:r>
      <w:r w:rsidR="00EA7E6E">
        <w:rPr>
          <w:rFonts w:ascii="Arial" w:eastAsia="Calibri" w:hAnsi="Arial" w:cs="Arial"/>
          <w:sz w:val="20"/>
          <w:szCs w:val="20"/>
          <w14:ligatures w14:val="standardContextual"/>
        </w:rPr>
        <w:t>European Convention on Human Rights”</w:t>
      </w:r>
      <w:r w:rsidRPr="008B0560">
        <w:rPr>
          <w:rFonts w:ascii="Arial" w:eastAsia="Calibri" w:hAnsi="Arial" w:cs="Arial"/>
          <w:sz w:val="20"/>
          <w:szCs w:val="20"/>
          <w14:ligatures w14:val="standardContextual"/>
        </w:rPr>
        <w:t>). According to the European Court of Human Rights, “One of the fundamental components of European public order is the principle of the rule of law, and arbitrariness constitutes the negation of that principle</w:t>
      </w:r>
      <w:r w:rsidR="00EA7E6E">
        <w:rPr>
          <w:rFonts w:ascii="Arial" w:eastAsia="Calibri" w:hAnsi="Arial" w:cs="Arial"/>
          <w:sz w:val="20"/>
          <w:szCs w:val="20"/>
          <w14:ligatures w14:val="standardContextual"/>
        </w:rPr>
        <w:t>.</w:t>
      </w:r>
      <w:r w:rsidRPr="008B0560">
        <w:rPr>
          <w:rFonts w:ascii="Arial" w:eastAsia="Calibri" w:hAnsi="Arial" w:cs="Arial"/>
          <w:sz w:val="20"/>
          <w:szCs w:val="20"/>
          <w14:ligatures w14:val="standardContextual"/>
        </w:rPr>
        <w:t>”</w:t>
      </w:r>
      <w:r w:rsidRPr="008B0560">
        <w:rPr>
          <w:rFonts w:ascii="Arial" w:eastAsia="Calibri" w:hAnsi="Arial" w:cs="Arial"/>
          <w:sz w:val="20"/>
          <w:szCs w:val="20"/>
          <w:vertAlign w:val="superscript"/>
          <w14:ligatures w14:val="standardContextual"/>
        </w:rPr>
        <w:footnoteReference w:id="7"/>
      </w:r>
      <w:r w:rsidRPr="008B0560">
        <w:rPr>
          <w:rFonts w:ascii="Arial" w:eastAsia="Calibri" w:hAnsi="Arial" w:cs="Arial"/>
          <w:sz w:val="20"/>
          <w:szCs w:val="20"/>
          <w14:ligatures w14:val="standardContextual"/>
        </w:rPr>
        <w:t xml:space="preserve"> </w:t>
      </w:r>
    </w:p>
    <w:p w14:paraId="2B31C51A" w14:textId="77777777" w:rsidR="003D0C6D" w:rsidRDefault="003D0C6D" w:rsidP="003D0C6D">
      <w:pPr>
        <w:pStyle w:val="ListParagraph"/>
        <w:tabs>
          <w:tab w:val="left" w:pos="426"/>
        </w:tabs>
        <w:autoSpaceDE w:val="0"/>
        <w:autoSpaceDN w:val="0"/>
        <w:adjustRightInd w:val="0"/>
        <w:ind w:left="0"/>
        <w:jc w:val="both"/>
        <w:rPr>
          <w:rFonts w:ascii="Arial" w:eastAsia="Calibri" w:hAnsi="Arial" w:cs="Arial"/>
          <w:sz w:val="20"/>
          <w:szCs w:val="20"/>
          <w14:ligatures w14:val="standardContextual"/>
        </w:rPr>
      </w:pPr>
    </w:p>
    <w:p w14:paraId="179D5E24" w14:textId="06ECCCF1" w:rsidR="008B0560" w:rsidRPr="00760626" w:rsidRDefault="008B0560" w:rsidP="00CD57AD">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8B0560">
        <w:rPr>
          <w:rFonts w:ascii="Arial" w:eastAsia="Calibri" w:hAnsi="Arial" w:cs="Arial"/>
          <w:sz w:val="20"/>
          <w:szCs w:val="20"/>
          <w14:ligatures w14:val="standardContextual"/>
        </w:rPr>
        <w:t xml:space="preserve">The rule of law, as expressed in the Preamble </w:t>
      </w:r>
      <w:r w:rsidR="00EA7E6E">
        <w:rPr>
          <w:rFonts w:ascii="Arial" w:eastAsia="Calibri" w:hAnsi="Arial" w:cs="Arial"/>
          <w:sz w:val="20"/>
          <w:szCs w:val="20"/>
          <w14:ligatures w14:val="standardContextual"/>
        </w:rPr>
        <w:t xml:space="preserve">to </w:t>
      </w:r>
      <w:r w:rsidRPr="008B0560">
        <w:rPr>
          <w:rFonts w:ascii="Arial" w:eastAsia="Calibri" w:hAnsi="Arial" w:cs="Arial"/>
          <w:sz w:val="20"/>
          <w:szCs w:val="20"/>
          <w14:ligatures w14:val="standardContextual"/>
        </w:rPr>
        <w:t>and Article 2 of the Treaty on European Union (TEU), is one of the founding values shared between the European Union (EU) and its Member States</w:t>
      </w:r>
      <w:r w:rsidR="00E92F4B">
        <w:rPr>
          <w:rFonts w:ascii="Arial" w:eastAsia="Calibri" w:hAnsi="Arial" w:cs="Arial"/>
          <w:sz w:val="20"/>
          <w:szCs w:val="20"/>
          <w14:ligatures w14:val="standardContextual"/>
        </w:rPr>
        <w:t xml:space="preserve">. </w:t>
      </w:r>
      <w:r w:rsidR="00E92F4B" w:rsidRPr="00E92F4B">
        <w:rPr>
          <w:rFonts w:ascii="Arial" w:eastAsia="Calibri" w:hAnsi="Arial" w:cs="Arial"/>
          <w:sz w:val="20"/>
          <w:szCs w:val="20"/>
          <w14:ligatures w14:val="standardContextual"/>
        </w:rPr>
        <w:t xml:space="preserve">The rule of law is one of the four political conditions (under the 1993 Copenhagen Criteria) for becoming an EU Member State, alongside democracy, human rights and the protection of minorities. </w:t>
      </w:r>
      <w:r w:rsidR="00EA7E6E">
        <w:rPr>
          <w:rFonts w:ascii="Arial" w:eastAsia="Calibri" w:hAnsi="Arial" w:cs="Arial"/>
          <w:sz w:val="20"/>
          <w:szCs w:val="20"/>
          <w14:ligatures w14:val="standardContextual"/>
        </w:rPr>
        <w:t xml:space="preserve">Respecting </w:t>
      </w:r>
      <w:r w:rsidR="001B02DB">
        <w:rPr>
          <w:rFonts w:ascii="Arial" w:eastAsia="Calibri" w:hAnsi="Arial" w:cs="Arial"/>
          <w:sz w:val="20"/>
          <w:szCs w:val="20"/>
          <w14:ligatures w14:val="standardContextual"/>
        </w:rPr>
        <w:t>i</w:t>
      </w:r>
      <w:r w:rsidR="00E92F4B" w:rsidRPr="00E92F4B">
        <w:rPr>
          <w:rFonts w:ascii="Arial" w:eastAsia="Calibri" w:hAnsi="Arial" w:cs="Arial"/>
          <w:sz w:val="20"/>
          <w:szCs w:val="20"/>
          <w14:ligatures w14:val="standardContextual"/>
        </w:rPr>
        <w:t xml:space="preserve">t is necessary </w:t>
      </w:r>
      <w:r w:rsidR="003F11A6">
        <w:rPr>
          <w:rFonts w:ascii="Arial" w:eastAsia="Calibri" w:hAnsi="Arial" w:cs="Arial"/>
          <w:sz w:val="20"/>
          <w:szCs w:val="20"/>
          <w14:ligatures w14:val="standardContextual"/>
        </w:rPr>
        <w:t xml:space="preserve">for accession </w:t>
      </w:r>
      <w:r w:rsidR="00E92F4B" w:rsidRPr="00E92F4B">
        <w:rPr>
          <w:rFonts w:ascii="Arial" w:eastAsia="Calibri" w:hAnsi="Arial" w:cs="Arial"/>
          <w:sz w:val="20"/>
          <w:szCs w:val="20"/>
          <w14:ligatures w14:val="standardContextual"/>
        </w:rPr>
        <w:t>to the EU</w:t>
      </w:r>
      <w:r w:rsidR="00EA7E6E">
        <w:rPr>
          <w:rFonts w:ascii="Arial" w:eastAsia="Calibri" w:hAnsi="Arial" w:cs="Arial"/>
          <w:sz w:val="20"/>
          <w:szCs w:val="20"/>
          <w14:ligatures w14:val="standardContextual"/>
        </w:rPr>
        <w:t>.</w:t>
      </w:r>
      <w:r w:rsidR="005364ED" w:rsidRPr="00DA1FB8">
        <w:rPr>
          <w:rStyle w:val="FootnoteReference"/>
          <w:rFonts w:ascii="Arial" w:hAnsi="Arial" w:cs="Arial"/>
          <w:sz w:val="20"/>
          <w:szCs w:val="20"/>
        </w:rPr>
        <w:footnoteReference w:id="8"/>
      </w:r>
      <w:r w:rsidR="00E92F4B" w:rsidRPr="00E92F4B">
        <w:rPr>
          <w:rFonts w:ascii="Arial" w:eastAsia="Calibri" w:hAnsi="Arial" w:cs="Arial"/>
          <w:sz w:val="20"/>
          <w:szCs w:val="20"/>
          <w14:ligatures w14:val="standardContextual"/>
        </w:rPr>
        <w:t xml:space="preserve"> States can only apply for EU membership if they accept these conditions (Article 49 of the Treaty on European Union)</w:t>
      </w:r>
      <w:r w:rsidR="00CD57AD" w:rsidRPr="00CD57AD">
        <w:rPr>
          <w:rFonts w:ascii="Arial" w:eastAsia="Calibri" w:hAnsi="Arial" w:cs="Arial"/>
          <w:sz w:val="20"/>
          <w:szCs w:val="20"/>
          <w14:ligatures w14:val="standardContextual"/>
        </w:rPr>
        <w:t>.</w:t>
      </w:r>
      <w:r w:rsidRPr="008B0560">
        <w:rPr>
          <w:rFonts w:ascii="Arial" w:eastAsia="Calibri" w:hAnsi="Arial" w:cs="Arial"/>
          <w:sz w:val="20"/>
          <w:szCs w:val="20"/>
          <w14:ligatures w14:val="standardContextual"/>
        </w:rPr>
        <w:t xml:space="preserve"> Since 2014, the European Union has established a special framework to strengthen the rule of law</w:t>
      </w:r>
      <w:r w:rsidR="00EA7E6E">
        <w:rPr>
          <w:rFonts w:ascii="Arial" w:eastAsia="Calibri" w:hAnsi="Arial" w:cs="Arial"/>
          <w:sz w:val="20"/>
          <w:szCs w:val="20"/>
          <w14:ligatures w14:val="standardContextual"/>
        </w:rPr>
        <w:t>,</w:t>
      </w:r>
      <w:r w:rsidRPr="008B0560">
        <w:rPr>
          <w:rFonts w:ascii="Arial" w:eastAsia="Calibri" w:hAnsi="Arial" w:cs="Arial"/>
          <w:sz w:val="20"/>
          <w:szCs w:val="20"/>
          <w:vertAlign w:val="superscript"/>
          <w14:ligatures w14:val="standardContextual"/>
        </w:rPr>
        <w:footnoteReference w:id="9"/>
      </w:r>
      <w:r w:rsidRPr="008B0560">
        <w:rPr>
          <w:rFonts w:ascii="Arial" w:eastAsia="Calibri" w:hAnsi="Arial" w:cs="Arial"/>
          <w:sz w:val="20"/>
          <w:szCs w:val="20"/>
          <w14:ligatures w14:val="standardContextual"/>
        </w:rPr>
        <w:t xml:space="preserve"> and since 2019 a rule of law mechanism </w:t>
      </w:r>
      <w:r w:rsidR="009E2471">
        <w:rPr>
          <w:rFonts w:ascii="Arial" w:eastAsia="Calibri" w:hAnsi="Arial" w:cs="Arial"/>
          <w:sz w:val="20"/>
          <w:szCs w:val="20"/>
          <w14:ligatures w14:val="standardContextual"/>
        </w:rPr>
        <w:t>has been</w:t>
      </w:r>
      <w:r w:rsidRPr="008B0560">
        <w:rPr>
          <w:rFonts w:ascii="Arial" w:eastAsia="Calibri" w:hAnsi="Arial" w:cs="Arial"/>
          <w:sz w:val="20"/>
          <w:szCs w:val="20"/>
          <w14:ligatures w14:val="standardContextual"/>
        </w:rPr>
        <w:t xml:space="preserve"> in force, which includes the publication of a yearly monitoring report for each EU member State</w:t>
      </w:r>
      <w:r w:rsidR="00EA7E6E">
        <w:rPr>
          <w:rFonts w:ascii="Arial" w:eastAsia="Calibri" w:hAnsi="Arial" w:cs="Arial"/>
          <w:sz w:val="20"/>
          <w:szCs w:val="20"/>
          <w14:ligatures w14:val="standardContextual"/>
        </w:rPr>
        <w:t>.</w:t>
      </w:r>
      <w:r w:rsidRPr="00335682">
        <w:rPr>
          <w:rFonts w:ascii="Arial" w:eastAsia="Calibri" w:hAnsi="Arial" w:cs="Arial"/>
          <w:sz w:val="20"/>
          <w:szCs w:val="20"/>
          <w:vertAlign w:val="superscript"/>
          <w14:ligatures w14:val="standardContextual"/>
        </w:rPr>
        <w:footnoteReference w:id="10"/>
      </w:r>
      <w:r w:rsidR="00014DC6" w:rsidRPr="00335682">
        <w:rPr>
          <w:rFonts w:ascii="Arial" w:hAnsi="Arial" w:cs="Arial"/>
        </w:rPr>
        <w:t xml:space="preserve"> </w:t>
      </w:r>
      <w:r w:rsidR="00014DC6" w:rsidRPr="00335682">
        <w:rPr>
          <w:rFonts w:ascii="Arial" w:hAnsi="Arial" w:cs="Arial"/>
          <w:sz w:val="20"/>
          <w:szCs w:val="20"/>
        </w:rPr>
        <w:t xml:space="preserve">The EU rule of law monitoring mechanism covers four pillars: “justice systems, </w:t>
      </w:r>
      <w:r w:rsidR="009E2471">
        <w:rPr>
          <w:rFonts w:ascii="Arial" w:hAnsi="Arial" w:cs="Arial"/>
          <w:sz w:val="20"/>
          <w:szCs w:val="20"/>
        </w:rPr>
        <w:t xml:space="preserve">an </w:t>
      </w:r>
      <w:r w:rsidR="00014DC6" w:rsidRPr="00335682">
        <w:rPr>
          <w:rFonts w:ascii="Arial" w:hAnsi="Arial" w:cs="Arial"/>
          <w:sz w:val="20"/>
          <w:szCs w:val="20"/>
        </w:rPr>
        <w:t xml:space="preserve">anti-corruption framework, media pluralism and media freedom, and </w:t>
      </w:r>
      <w:r w:rsidR="00014DC6" w:rsidRPr="00335682">
        <w:rPr>
          <w:rFonts w:ascii="Arial" w:hAnsi="Arial" w:cs="Arial"/>
          <w:i/>
          <w:iCs/>
          <w:sz w:val="20"/>
          <w:szCs w:val="20"/>
        </w:rPr>
        <w:t>other institutional issues related to checks and balances</w:t>
      </w:r>
      <w:r w:rsidR="00014DC6" w:rsidRPr="00335682">
        <w:rPr>
          <w:rFonts w:ascii="Arial" w:hAnsi="Arial" w:cs="Arial"/>
          <w:sz w:val="20"/>
          <w:szCs w:val="20"/>
        </w:rPr>
        <w:t xml:space="preserve"> (emphasis added)</w:t>
      </w:r>
      <w:r w:rsidR="00EA7E6E">
        <w:rPr>
          <w:rFonts w:ascii="Arial" w:hAnsi="Arial" w:cs="Arial"/>
          <w:sz w:val="20"/>
          <w:szCs w:val="20"/>
        </w:rPr>
        <w:t>.</w:t>
      </w:r>
      <w:r w:rsidR="00014DC6" w:rsidRPr="00335682">
        <w:rPr>
          <w:rStyle w:val="FootnoteReference"/>
          <w:rFonts w:ascii="Arial" w:hAnsi="Arial" w:cs="Arial"/>
          <w:sz w:val="20"/>
          <w:szCs w:val="20"/>
        </w:rPr>
        <w:footnoteReference w:id="11"/>
      </w:r>
    </w:p>
    <w:p w14:paraId="0B663D13" w14:textId="77777777" w:rsidR="009E2471" w:rsidRDefault="009E2471" w:rsidP="00EA6A10">
      <w:pPr>
        <w:pStyle w:val="ListParagraph"/>
        <w:rPr>
          <w:rFonts w:ascii="Arial" w:eastAsia="Calibri" w:hAnsi="Arial" w:cs="Arial"/>
          <w:sz w:val="20"/>
          <w:szCs w:val="20"/>
          <w14:ligatures w14:val="standardContextual"/>
        </w:rPr>
      </w:pPr>
    </w:p>
    <w:p w14:paraId="0B314321" w14:textId="1C753A65" w:rsidR="008B0560" w:rsidRPr="00760626"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8B0560">
        <w:rPr>
          <w:rFonts w:ascii="Arial" w:eastAsia="Calibri" w:hAnsi="Arial" w:cs="Arial"/>
          <w:sz w:val="20"/>
          <w:szCs w:val="20"/>
          <w14:ligatures w14:val="standardContextual"/>
        </w:rPr>
        <w:t xml:space="preserve">However, </w:t>
      </w:r>
      <w:r w:rsidR="00CD57AD">
        <w:rPr>
          <w:rFonts w:ascii="Arial" w:eastAsia="Calibri" w:hAnsi="Arial" w:cs="Arial"/>
          <w:sz w:val="20"/>
          <w:szCs w:val="20"/>
          <w14:ligatures w14:val="standardContextual"/>
        </w:rPr>
        <w:t>the</w:t>
      </w:r>
      <w:r w:rsidR="00B17300">
        <w:rPr>
          <w:rFonts w:ascii="Arial" w:eastAsia="Calibri" w:hAnsi="Arial" w:cs="Arial"/>
          <w:sz w:val="20"/>
          <w:szCs w:val="20"/>
          <w14:ligatures w14:val="standardContextual"/>
        </w:rPr>
        <w:t xml:space="preserve"> </w:t>
      </w:r>
      <w:r w:rsidRPr="008B0560">
        <w:rPr>
          <w:rFonts w:ascii="Arial" w:eastAsia="Calibri" w:hAnsi="Arial" w:cs="Arial"/>
          <w:sz w:val="20"/>
          <w:szCs w:val="20"/>
          <w14:ligatures w14:val="standardContextual"/>
        </w:rPr>
        <w:t>rule of law has been considered as “an essentially contested concept</w:t>
      </w:r>
      <w:r w:rsidR="009E2471">
        <w:rPr>
          <w:rFonts w:ascii="Arial" w:eastAsia="Calibri" w:hAnsi="Arial" w:cs="Arial"/>
          <w:sz w:val="20"/>
          <w:szCs w:val="20"/>
          <w14:ligatures w14:val="standardContextual"/>
        </w:rPr>
        <w:t>.</w:t>
      </w:r>
      <w:r w:rsidRPr="008B0560">
        <w:rPr>
          <w:rFonts w:ascii="Arial" w:eastAsia="Calibri" w:hAnsi="Arial" w:cs="Arial"/>
          <w:sz w:val="20"/>
          <w:szCs w:val="20"/>
          <w14:ligatures w14:val="standardContextual"/>
        </w:rPr>
        <w:t>”</w:t>
      </w:r>
      <w:r w:rsidRPr="008B0560">
        <w:rPr>
          <w:rFonts w:ascii="Arial" w:eastAsia="Calibri" w:hAnsi="Arial" w:cs="Arial"/>
          <w:sz w:val="20"/>
          <w:szCs w:val="20"/>
          <w:vertAlign w:val="superscript"/>
          <w14:ligatures w14:val="standardContextual"/>
        </w:rPr>
        <w:footnoteReference w:id="12"/>
      </w:r>
      <w:r w:rsidRPr="008B0560">
        <w:rPr>
          <w:rFonts w:ascii="Arial" w:eastAsia="Calibri" w:hAnsi="Arial" w:cs="Arial"/>
          <w:sz w:val="20"/>
          <w:szCs w:val="20"/>
          <w14:ligatures w14:val="standardContextual"/>
        </w:rPr>
        <w:t xml:space="preserve"> The expression “essentially contested” is not intended as a form of criticism but rather to express the difficulty of reaching a widely shared and consensual definition. Currently, the meanings traditionally attributed to the rule of law, especially in the British context</w:t>
      </w:r>
      <w:r w:rsidRPr="008B0560">
        <w:rPr>
          <w:rFonts w:ascii="Arial" w:eastAsia="Calibri" w:hAnsi="Arial" w:cs="Arial"/>
          <w:sz w:val="20"/>
          <w:szCs w:val="20"/>
          <w:vertAlign w:val="superscript"/>
          <w14:ligatures w14:val="standardContextual"/>
        </w:rPr>
        <w:footnoteReference w:id="13"/>
      </w:r>
      <w:r w:rsidRPr="008B0560">
        <w:rPr>
          <w:rFonts w:ascii="Arial" w:eastAsia="Calibri" w:hAnsi="Arial" w:cs="Arial"/>
          <w:sz w:val="20"/>
          <w:szCs w:val="20"/>
          <w:vertAlign w:val="superscript"/>
          <w14:ligatures w14:val="standardContextual"/>
        </w:rPr>
        <w:t xml:space="preserve"> </w:t>
      </w:r>
      <w:r w:rsidRPr="008B0560">
        <w:rPr>
          <w:rFonts w:ascii="Arial" w:eastAsia="Calibri" w:hAnsi="Arial" w:cs="Arial"/>
          <w:sz w:val="20"/>
          <w:szCs w:val="20"/>
          <w14:ligatures w14:val="standardContextual"/>
        </w:rPr>
        <w:t xml:space="preserve"> – limitation of power, legality, government of laws and not of men –</w:t>
      </w:r>
      <w:r w:rsidR="003C0D15" w:rsidRPr="00760626">
        <w:rPr>
          <w:rFonts w:ascii="Arial" w:eastAsia="Calibri" w:hAnsi="Arial" w:cs="Arial"/>
          <w:sz w:val="20"/>
          <w:szCs w:val="20"/>
          <w14:ligatures w14:val="standardContextual"/>
        </w:rPr>
        <w:t xml:space="preserve"> </w:t>
      </w:r>
      <w:r w:rsidRPr="008B0560">
        <w:rPr>
          <w:rFonts w:ascii="Arial" w:eastAsia="Calibri" w:hAnsi="Arial" w:cs="Arial"/>
          <w:sz w:val="20"/>
          <w:szCs w:val="20"/>
          <w14:ligatures w14:val="standardContextual"/>
        </w:rPr>
        <w:t>are no longer sufficiently satisfying</w:t>
      </w:r>
      <w:r w:rsidR="00DA689C">
        <w:rPr>
          <w:rFonts w:ascii="Arial" w:eastAsia="Calibri" w:hAnsi="Arial" w:cs="Arial"/>
          <w:sz w:val="20"/>
          <w:szCs w:val="20"/>
          <w14:ligatures w14:val="standardContextual"/>
        </w:rPr>
        <w:t>,</w:t>
      </w:r>
      <w:r w:rsidR="00E92F4B">
        <w:rPr>
          <w:rFonts w:ascii="Arial" w:eastAsia="Calibri" w:hAnsi="Arial" w:cs="Arial"/>
          <w:sz w:val="20"/>
          <w:szCs w:val="20"/>
          <w14:ligatures w14:val="standardContextual"/>
        </w:rPr>
        <w:t xml:space="preserve"> and a </w:t>
      </w:r>
      <w:r w:rsidR="00EA7E6E">
        <w:rPr>
          <w:rFonts w:ascii="Arial" w:eastAsia="Calibri" w:hAnsi="Arial" w:cs="Arial"/>
          <w:sz w:val="20"/>
          <w:szCs w:val="20"/>
          <w14:ligatures w14:val="standardContextual"/>
        </w:rPr>
        <w:t>more substantial</w:t>
      </w:r>
      <w:r w:rsidR="00E92F4B" w:rsidRPr="00E92F4B">
        <w:rPr>
          <w:rFonts w:ascii="Arial" w:eastAsia="Calibri" w:hAnsi="Arial" w:cs="Arial"/>
          <w:sz w:val="20"/>
          <w:szCs w:val="20"/>
          <w14:ligatures w14:val="standardContextual"/>
        </w:rPr>
        <w:t xml:space="preserve"> concept was developed in the 20th century.</w:t>
      </w:r>
    </w:p>
    <w:p w14:paraId="19B2CCFE" w14:textId="77777777" w:rsidR="00683973" w:rsidRPr="008B0560" w:rsidRDefault="00683973" w:rsidP="00683973">
      <w:pPr>
        <w:pStyle w:val="ListParagraph"/>
        <w:tabs>
          <w:tab w:val="left" w:pos="426"/>
        </w:tabs>
        <w:autoSpaceDE w:val="0"/>
        <w:autoSpaceDN w:val="0"/>
        <w:adjustRightInd w:val="0"/>
        <w:ind w:left="0"/>
        <w:jc w:val="both"/>
        <w:rPr>
          <w:rFonts w:ascii="Arial" w:eastAsia="Calibri" w:hAnsi="Arial" w:cs="Arial"/>
          <w:sz w:val="20"/>
          <w:szCs w:val="20"/>
          <w14:ligatures w14:val="standardContextual"/>
        </w:rPr>
      </w:pPr>
    </w:p>
    <w:p w14:paraId="7BE8F75E" w14:textId="442DD0DE" w:rsidR="008B0560" w:rsidRPr="00760626"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8B0560">
        <w:rPr>
          <w:rFonts w:ascii="Arial" w:eastAsia="Calibri" w:hAnsi="Arial" w:cs="Arial"/>
          <w:sz w:val="20"/>
          <w:szCs w:val="20"/>
          <w14:ligatures w14:val="standardContextual"/>
        </w:rPr>
        <w:t xml:space="preserve">First, the concept has historically </w:t>
      </w:r>
      <w:r w:rsidR="00EA7E6E">
        <w:rPr>
          <w:rFonts w:ascii="Arial" w:eastAsia="Calibri" w:hAnsi="Arial" w:cs="Arial"/>
          <w:sz w:val="20"/>
          <w:szCs w:val="20"/>
          <w14:ligatures w14:val="standardContextual"/>
        </w:rPr>
        <w:t>encompassed</w:t>
      </w:r>
      <w:r w:rsidRPr="008B0560">
        <w:rPr>
          <w:rFonts w:ascii="Arial" w:eastAsia="Calibri" w:hAnsi="Arial" w:cs="Arial"/>
          <w:sz w:val="20"/>
          <w:szCs w:val="20"/>
          <w14:ligatures w14:val="standardContextual"/>
        </w:rPr>
        <w:t xml:space="preserve"> the expressions </w:t>
      </w:r>
      <w:r w:rsidRPr="008B0560">
        <w:rPr>
          <w:rFonts w:ascii="Arial" w:eastAsia="Calibri" w:hAnsi="Arial" w:cs="Arial"/>
          <w:i/>
          <w:iCs/>
          <w:sz w:val="20"/>
          <w:szCs w:val="20"/>
          <w14:ligatures w14:val="standardContextual"/>
        </w:rPr>
        <w:t>Stato di diritto</w:t>
      </w:r>
      <w:r w:rsidRPr="008B0560">
        <w:rPr>
          <w:rFonts w:ascii="Arial" w:eastAsia="Calibri" w:hAnsi="Arial" w:cs="Arial"/>
          <w:sz w:val="20"/>
          <w:szCs w:val="20"/>
          <w14:ligatures w14:val="standardContextual"/>
        </w:rPr>
        <w:t xml:space="preserve">, </w:t>
      </w:r>
      <w:r w:rsidRPr="008B0560">
        <w:rPr>
          <w:rFonts w:ascii="Arial" w:eastAsia="Calibri" w:hAnsi="Arial" w:cs="Arial"/>
          <w:i/>
          <w:iCs/>
          <w:sz w:val="20"/>
          <w:szCs w:val="20"/>
          <w14:ligatures w14:val="standardContextual"/>
        </w:rPr>
        <w:t>État de droit</w:t>
      </w:r>
      <w:r w:rsidRPr="008B0560">
        <w:rPr>
          <w:rFonts w:ascii="Arial" w:eastAsia="Calibri" w:hAnsi="Arial" w:cs="Arial"/>
          <w:sz w:val="20"/>
          <w:szCs w:val="20"/>
          <w14:ligatures w14:val="standardContextual"/>
        </w:rPr>
        <w:t xml:space="preserve"> and </w:t>
      </w:r>
      <w:r w:rsidRPr="008B0560">
        <w:rPr>
          <w:rFonts w:ascii="Arial" w:eastAsia="Calibri" w:hAnsi="Arial" w:cs="Arial"/>
          <w:i/>
          <w:iCs/>
          <w:sz w:val="20"/>
          <w:szCs w:val="20"/>
          <w14:ligatures w14:val="standardContextual"/>
        </w:rPr>
        <w:t>Staatsrecht.</w:t>
      </w:r>
      <w:r w:rsidRPr="008B0560">
        <w:rPr>
          <w:rFonts w:ascii="Arial" w:eastAsia="Calibri" w:hAnsi="Arial" w:cs="Arial"/>
          <w:sz w:val="20"/>
          <w:szCs w:val="20"/>
          <w14:ligatures w14:val="standardContextual"/>
        </w:rPr>
        <w:t xml:space="preserve"> Although the historical trajectories and the theoretical, institutional and constitutional developments of these notions are different, and while there are those who still argue that they should be distinguished, it is difficult to deny that these notions have progressively converged - perhaps also </w:t>
      </w:r>
      <w:r w:rsidRPr="008B0560">
        <w:rPr>
          <w:rFonts w:ascii="Arial" w:eastAsia="Calibri" w:hAnsi="Arial" w:cs="Arial"/>
          <w:sz w:val="20"/>
          <w:szCs w:val="20"/>
          <w14:ligatures w14:val="standardContextual"/>
        </w:rPr>
        <w:lastRenderedPageBreak/>
        <w:t xml:space="preserve">due to the global success of English as a lingua franca – and merged into a </w:t>
      </w:r>
      <w:r w:rsidR="00EA7E6E">
        <w:rPr>
          <w:rFonts w:ascii="Arial" w:eastAsia="Calibri" w:hAnsi="Arial" w:cs="Arial"/>
          <w:sz w:val="20"/>
          <w:szCs w:val="20"/>
          <w14:ligatures w14:val="standardContextual"/>
        </w:rPr>
        <w:t>richer</w:t>
      </w:r>
      <w:r w:rsidRPr="008B0560">
        <w:rPr>
          <w:rFonts w:ascii="Arial" w:eastAsia="Calibri" w:hAnsi="Arial" w:cs="Arial"/>
          <w:sz w:val="20"/>
          <w:szCs w:val="20"/>
          <w14:ligatures w14:val="standardContextual"/>
        </w:rPr>
        <w:t xml:space="preserve"> concept of the rule of law, </w:t>
      </w:r>
      <w:r w:rsidR="009E2471">
        <w:rPr>
          <w:rFonts w:ascii="Arial" w:eastAsia="Calibri" w:hAnsi="Arial" w:cs="Arial"/>
          <w:sz w:val="20"/>
          <w:szCs w:val="20"/>
          <w14:ligatures w14:val="standardContextual"/>
        </w:rPr>
        <w:t>both formal and</w:t>
      </w:r>
      <w:r w:rsidRPr="008B0560">
        <w:rPr>
          <w:rFonts w:ascii="Arial" w:eastAsia="Calibri" w:hAnsi="Arial" w:cs="Arial"/>
          <w:sz w:val="20"/>
          <w:szCs w:val="20"/>
          <w14:ligatures w14:val="standardContextual"/>
        </w:rPr>
        <w:t xml:space="preserve"> material or substantive elements</w:t>
      </w:r>
      <w:r w:rsidR="00EA7E6E">
        <w:rPr>
          <w:rFonts w:ascii="Arial" w:eastAsia="Calibri" w:hAnsi="Arial" w:cs="Arial"/>
          <w:sz w:val="20"/>
          <w:szCs w:val="20"/>
          <w14:ligatures w14:val="standardContextual"/>
        </w:rPr>
        <w:t>.</w:t>
      </w:r>
      <w:r w:rsidRPr="008B0560">
        <w:rPr>
          <w:rFonts w:ascii="Arial" w:eastAsia="Calibri" w:hAnsi="Arial" w:cs="Arial"/>
          <w:sz w:val="20"/>
          <w:szCs w:val="20"/>
          <w:vertAlign w:val="superscript"/>
          <w14:ligatures w14:val="standardContextual"/>
        </w:rPr>
        <w:footnoteReference w:id="14"/>
      </w:r>
      <w:r w:rsidRPr="008B0560">
        <w:rPr>
          <w:rFonts w:ascii="Arial" w:eastAsia="Calibri" w:hAnsi="Arial" w:cs="Arial"/>
          <w:sz w:val="20"/>
          <w:szCs w:val="20"/>
          <w14:ligatures w14:val="standardContextual"/>
        </w:rPr>
        <w:t xml:space="preserve"> </w:t>
      </w:r>
    </w:p>
    <w:p w14:paraId="74DAB1D9" w14:textId="77777777" w:rsidR="003C0D15" w:rsidRPr="0080275C" w:rsidRDefault="003C0D15" w:rsidP="0080275C">
      <w:pPr>
        <w:rPr>
          <w:rFonts w:ascii="Arial" w:eastAsia="Calibri" w:hAnsi="Arial" w:cs="Arial"/>
          <w:sz w:val="20"/>
          <w:szCs w:val="20"/>
          <w14:ligatures w14:val="standardContextual"/>
        </w:rPr>
      </w:pPr>
    </w:p>
    <w:p w14:paraId="3366BBB3" w14:textId="60227899" w:rsidR="008B0560" w:rsidRPr="00760626"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Second, over the decades, the rule of law has progressively become a landmark concept </w:t>
      </w:r>
      <w:r w:rsidR="009E2471">
        <w:rPr>
          <w:rFonts w:ascii="Arial" w:eastAsia="Calibri" w:hAnsi="Arial" w:cs="Arial"/>
          <w:sz w:val="20"/>
          <w:szCs w:val="20"/>
          <w14:ligatures w14:val="standardContextual"/>
        </w:rPr>
        <w:t>in</w:t>
      </w:r>
      <w:r w:rsidRPr="00760626">
        <w:rPr>
          <w:rFonts w:ascii="Arial" w:eastAsia="Calibri" w:hAnsi="Arial" w:cs="Arial"/>
          <w:sz w:val="20"/>
          <w:szCs w:val="20"/>
          <w14:ligatures w14:val="standardContextual"/>
        </w:rPr>
        <w:t xml:space="preserve"> contemporary constitutionalism, so much so that the paradigm of contemporary constitutionalism has often been framed in terms of </w:t>
      </w:r>
      <w:r w:rsidR="009E2471">
        <w:rPr>
          <w:rFonts w:ascii="Arial" w:eastAsia="Calibri" w:hAnsi="Arial" w:cs="Arial"/>
          <w:sz w:val="20"/>
          <w:szCs w:val="20"/>
          <w14:ligatures w14:val="standardContextual"/>
        </w:rPr>
        <w:t xml:space="preserve">the </w:t>
      </w:r>
      <w:r w:rsidRPr="00760626">
        <w:rPr>
          <w:rFonts w:ascii="Arial" w:eastAsia="Calibri" w:hAnsi="Arial" w:cs="Arial"/>
          <w:sz w:val="20"/>
          <w:szCs w:val="20"/>
          <w14:ligatures w14:val="standardContextual"/>
        </w:rPr>
        <w:t>Rule-of-Law Constitutional State</w:t>
      </w:r>
      <w:r w:rsidR="00EA7E6E">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15"/>
      </w:r>
      <w:r w:rsidRPr="00760626">
        <w:rPr>
          <w:rFonts w:ascii="Arial" w:eastAsia="Calibri" w:hAnsi="Arial" w:cs="Arial"/>
          <w:sz w:val="20"/>
          <w:szCs w:val="20"/>
          <w14:ligatures w14:val="standardContextual"/>
        </w:rPr>
        <w:t xml:space="preserve"> </w:t>
      </w:r>
      <w:r w:rsidR="009E2471">
        <w:rPr>
          <w:rFonts w:ascii="Arial" w:eastAsia="Calibri" w:hAnsi="Arial" w:cs="Arial"/>
          <w:sz w:val="20"/>
          <w:szCs w:val="20"/>
          <w14:ligatures w14:val="standardContextual"/>
        </w:rPr>
        <w:t>From</w:t>
      </w:r>
      <w:r w:rsidR="009E2471" w:rsidRPr="00760626">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this perspective, the separation of powers and the </w:t>
      </w:r>
      <w:r w:rsidR="00EA7E6E">
        <w:rPr>
          <w:rFonts w:ascii="Arial" w:eastAsia="Calibri" w:hAnsi="Arial" w:cs="Arial"/>
          <w:sz w:val="20"/>
          <w:szCs w:val="20"/>
          <w14:ligatures w14:val="standardContextual"/>
        </w:rPr>
        <w:t xml:space="preserve">presence of </w:t>
      </w:r>
      <w:r w:rsidRPr="00760626">
        <w:rPr>
          <w:rFonts w:ascii="Arial" w:eastAsia="Calibri" w:hAnsi="Arial" w:cs="Arial"/>
          <w:sz w:val="20"/>
          <w:szCs w:val="20"/>
          <w14:ligatures w14:val="standardContextual"/>
        </w:rPr>
        <w:t xml:space="preserve">checks and balances, aimed at limiting the </w:t>
      </w:r>
      <w:r w:rsidR="00DA1FB8">
        <w:rPr>
          <w:rFonts w:ascii="Arial" w:eastAsia="Calibri" w:hAnsi="Arial" w:cs="Arial"/>
          <w:sz w:val="20"/>
          <w:szCs w:val="20"/>
          <w14:ligatures w14:val="standardContextual"/>
        </w:rPr>
        <w:t xml:space="preserve">prerogatives of </w:t>
      </w:r>
      <w:r w:rsidRPr="00760626">
        <w:rPr>
          <w:rFonts w:ascii="Arial" w:eastAsia="Calibri" w:hAnsi="Arial" w:cs="Arial"/>
          <w:sz w:val="20"/>
          <w:szCs w:val="20"/>
          <w14:ligatures w14:val="standardContextual"/>
        </w:rPr>
        <w:t xml:space="preserve">ruling majorities to protect minorities’ rights and, more generally, the </w:t>
      </w:r>
      <w:r w:rsidR="00DA1FB8">
        <w:rPr>
          <w:rFonts w:ascii="Arial" w:eastAsia="Calibri" w:hAnsi="Arial" w:cs="Arial"/>
          <w:sz w:val="20"/>
          <w:szCs w:val="20"/>
          <w14:ligatures w14:val="standardContextual"/>
        </w:rPr>
        <w:t>p</w:t>
      </w:r>
      <w:r w:rsidRPr="00760626">
        <w:rPr>
          <w:rFonts w:ascii="Arial" w:eastAsia="Calibri" w:hAnsi="Arial" w:cs="Arial"/>
          <w:sz w:val="20"/>
          <w:szCs w:val="20"/>
          <w14:ligatures w14:val="standardContextual"/>
        </w:rPr>
        <w:t>rinciple</w:t>
      </w:r>
      <w:r w:rsidR="00EA7E6E">
        <w:rPr>
          <w:rFonts w:ascii="Arial" w:eastAsia="Calibri" w:hAnsi="Arial" w:cs="Arial"/>
          <w:sz w:val="20"/>
          <w:szCs w:val="20"/>
          <w14:ligatures w14:val="standardContextual"/>
        </w:rPr>
        <w:t xml:space="preserve"> of pluralism</w:t>
      </w:r>
      <w:r w:rsidRPr="00760626">
        <w:rPr>
          <w:rFonts w:ascii="Arial" w:eastAsia="Calibri" w:hAnsi="Arial" w:cs="Arial"/>
          <w:sz w:val="20"/>
          <w:szCs w:val="20"/>
          <w14:ligatures w14:val="standardContextual"/>
        </w:rPr>
        <w:t>, represent a key aspect of the rule of law</w:t>
      </w:r>
      <w:r w:rsidR="00DA1FB8">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16"/>
      </w:r>
    </w:p>
    <w:p w14:paraId="753B5261" w14:textId="77777777" w:rsidR="003C0D15" w:rsidRPr="0080275C" w:rsidRDefault="003C0D15" w:rsidP="0080275C">
      <w:pPr>
        <w:rPr>
          <w:rFonts w:ascii="Arial" w:eastAsia="Calibri" w:hAnsi="Arial" w:cs="Arial"/>
          <w:sz w:val="20"/>
          <w:szCs w:val="20"/>
          <w14:ligatures w14:val="standardContextual"/>
        </w:rPr>
      </w:pPr>
    </w:p>
    <w:p w14:paraId="073B80E5" w14:textId="7692FC34" w:rsidR="008B0560" w:rsidRPr="00760626"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vertAlign w:val="superscript"/>
          <w14:ligatures w14:val="standardContextual"/>
        </w:rPr>
      </w:pPr>
      <w:r w:rsidRPr="008B0560">
        <w:rPr>
          <w:rFonts w:ascii="Arial" w:eastAsia="Calibri" w:hAnsi="Arial" w:cs="Arial"/>
          <w:sz w:val="20"/>
          <w:szCs w:val="20"/>
          <w14:ligatures w14:val="standardContextual"/>
        </w:rPr>
        <w:t xml:space="preserve">Third, it has been pointed out that, by focusing exclusively on the rule of law </w:t>
      </w:r>
      <w:r w:rsidRPr="008B0560">
        <w:rPr>
          <w:rFonts w:ascii="Arial" w:eastAsia="Calibri" w:hAnsi="Arial" w:cs="Arial"/>
          <w:i/>
          <w:iCs/>
          <w:sz w:val="20"/>
          <w:szCs w:val="20"/>
          <w14:ligatures w14:val="standardContextual"/>
        </w:rPr>
        <w:t>strictu sensu</w:t>
      </w:r>
      <w:r w:rsidRPr="008B0560">
        <w:rPr>
          <w:rFonts w:ascii="Arial" w:eastAsia="Calibri" w:hAnsi="Arial" w:cs="Arial"/>
          <w:sz w:val="20"/>
          <w:szCs w:val="20"/>
          <w14:ligatures w14:val="standardContextual"/>
        </w:rPr>
        <w:t xml:space="preserve">, </w:t>
      </w:r>
      <w:r w:rsidR="00DA1FB8">
        <w:rPr>
          <w:rFonts w:ascii="Arial" w:eastAsia="Calibri" w:hAnsi="Arial" w:cs="Arial"/>
          <w:sz w:val="20"/>
          <w:szCs w:val="20"/>
          <w14:ligatures w14:val="standardContextual"/>
        </w:rPr>
        <w:t xml:space="preserve">we fail to take account of </w:t>
      </w:r>
      <w:r w:rsidRPr="008B0560">
        <w:rPr>
          <w:rFonts w:ascii="Arial" w:eastAsia="Calibri" w:hAnsi="Arial" w:cs="Arial"/>
          <w:sz w:val="20"/>
          <w:szCs w:val="20"/>
          <w14:ligatures w14:val="standardContextual"/>
        </w:rPr>
        <w:t xml:space="preserve">how democracy and the rule of law mutually support each other. It has been </w:t>
      </w:r>
      <w:r w:rsidR="00DA1FB8">
        <w:rPr>
          <w:rFonts w:ascii="Arial" w:eastAsia="Calibri" w:hAnsi="Arial" w:cs="Arial"/>
          <w:sz w:val="20"/>
          <w:szCs w:val="20"/>
          <w14:ligatures w14:val="standardContextual"/>
        </w:rPr>
        <w:t>broadly accepted</w:t>
      </w:r>
      <w:r w:rsidRPr="008B0560">
        <w:rPr>
          <w:rFonts w:ascii="Arial" w:eastAsia="Calibri" w:hAnsi="Arial" w:cs="Arial"/>
          <w:sz w:val="20"/>
          <w:szCs w:val="20"/>
          <w14:ligatures w14:val="standardContextual"/>
        </w:rPr>
        <w:t xml:space="preserve"> for some time that the rule of law, and especially certain fundamental </w:t>
      </w:r>
      <w:r w:rsidR="009E2471" w:rsidRPr="008B0560">
        <w:rPr>
          <w:rFonts w:ascii="Arial" w:eastAsia="Calibri" w:hAnsi="Arial" w:cs="Arial"/>
          <w:sz w:val="20"/>
          <w:szCs w:val="20"/>
          <w14:ligatures w14:val="standardContextual"/>
        </w:rPr>
        <w:t xml:space="preserve">political </w:t>
      </w:r>
      <w:r w:rsidRPr="008B0560">
        <w:rPr>
          <w:rFonts w:ascii="Arial" w:eastAsia="Calibri" w:hAnsi="Arial" w:cs="Arial"/>
          <w:sz w:val="20"/>
          <w:szCs w:val="20"/>
          <w14:ligatures w14:val="standardContextual"/>
        </w:rPr>
        <w:t xml:space="preserve">rights, are preconditions for a democratic process. However, one should not forget reverse causality either: namely, that the rule of law is itself a product of democratic </w:t>
      </w:r>
      <w:r w:rsidR="00DA1FB8">
        <w:rPr>
          <w:rFonts w:ascii="Arial" w:eastAsia="Calibri" w:hAnsi="Arial" w:cs="Arial"/>
          <w:sz w:val="20"/>
          <w:szCs w:val="20"/>
          <w14:ligatures w14:val="standardContextual"/>
        </w:rPr>
        <w:t>changes of government</w:t>
      </w:r>
      <w:r w:rsidRPr="008B0560">
        <w:rPr>
          <w:rFonts w:ascii="Arial" w:eastAsia="Calibri" w:hAnsi="Arial" w:cs="Arial"/>
          <w:sz w:val="20"/>
          <w:szCs w:val="20"/>
          <w14:ligatures w14:val="standardContextual"/>
        </w:rPr>
        <w:t xml:space="preserve">; if governing parties have no </w:t>
      </w:r>
      <w:r w:rsidR="00DA1FB8">
        <w:rPr>
          <w:rFonts w:ascii="Arial" w:eastAsia="Calibri" w:hAnsi="Arial" w:cs="Arial"/>
          <w:sz w:val="20"/>
          <w:szCs w:val="20"/>
          <w14:ligatures w14:val="standardContextual"/>
        </w:rPr>
        <w:t>fear</w:t>
      </w:r>
      <w:r w:rsidRPr="008B0560">
        <w:rPr>
          <w:rFonts w:ascii="Arial" w:eastAsia="Calibri" w:hAnsi="Arial" w:cs="Arial"/>
          <w:sz w:val="20"/>
          <w:szCs w:val="20"/>
          <w14:ligatures w14:val="standardContextual"/>
        </w:rPr>
        <w:t xml:space="preserve"> of being outvoted and finding themselves in opposition, they will inevitably be less inclined to respect the separation of powers, particularly judicial independence, and fundamental rights</w:t>
      </w:r>
      <w:r w:rsidR="00DA1FB8">
        <w:rPr>
          <w:rFonts w:ascii="Arial" w:eastAsia="Calibri" w:hAnsi="Arial" w:cs="Arial"/>
          <w:sz w:val="20"/>
          <w:szCs w:val="20"/>
          <w14:ligatures w14:val="standardContextual"/>
        </w:rPr>
        <w:t>.</w:t>
      </w:r>
      <w:r w:rsidRPr="008B0560">
        <w:rPr>
          <w:rFonts w:ascii="Arial" w:eastAsia="Calibri" w:hAnsi="Arial" w:cs="Arial"/>
          <w:sz w:val="20"/>
          <w:szCs w:val="20"/>
          <w:vertAlign w:val="superscript"/>
          <w14:ligatures w14:val="standardContextual"/>
        </w:rPr>
        <w:footnoteReference w:id="17"/>
      </w:r>
      <w:r w:rsidRPr="008B0560">
        <w:rPr>
          <w:rFonts w:ascii="Arial" w:eastAsia="Calibri" w:hAnsi="Arial" w:cs="Arial"/>
          <w:sz w:val="20"/>
          <w:szCs w:val="20"/>
          <w14:ligatures w14:val="standardContextual"/>
        </w:rPr>
        <w:t xml:space="preserve"> Moreover, democratic accountability as a limitation on government power </w:t>
      </w:r>
      <w:r w:rsidR="00DA1FB8" w:rsidRPr="008B0560">
        <w:rPr>
          <w:rFonts w:ascii="Arial" w:eastAsia="Calibri" w:hAnsi="Arial" w:cs="Arial"/>
          <w:sz w:val="20"/>
          <w:szCs w:val="20"/>
          <w14:ligatures w14:val="standardContextual"/>
        </w:rPr>
        <w:t xml:space="preserve">itself </w:t>
      </w:r>
      <w:r w:rsidRPr="008B0560">
        <w:rPr>
          <w:rFonts w:ascii="Arial" w:eastAsia="Calibri" w:hAnsi="Arial" w:cs="Arial"/>
          <w:sz w:val="20"/>
          <w:szCs w:val="20"/>
          <w14:ligatures w14:val="standardContextual"/>
        </w:rPr>
        <w:t>contributes to the rule of law, as it works to curb unlimited government power</w:t>
      </w:r>
      <w:r w:rsidR="00DA1FB8">
        <w:rPr>
          <w:rFonts w:ascii="Arial" w:eastAsia="Calibri" w:hAnsi="Arial" w:cs="Arial"/>
          <w:sz w:val="20"/>
          <w:szCs w:val="20"/>
          <w14:ligatures w14:val="standardContextual"/>
        </w:rPr>
        <w:t>.</w:t>
      </w:r>
      <w:r w:rsidRPr="008B0560">
        <w:rPr>
          <w:rFonts w:ascii="Arial" w:eastAsia="Calibri" w:hAnsi="Arial" w:cs="Arial"/>
          <w:sz w:val="20"/>
          <w:szCs w:val="20"/>
          <w:vertAlign w:val="superscript"/>
          <w14:ligatures w14:val="standardContextual"/>
        </w:rPr>
        <w:footnoteReference w:id="18"/>
      </w:r>
    </w:p>
    <w:p w14:paraId="490484D9" w14:textId="77777777" w:rsidR="003C0D15" w:rsidRPr="008B0560" w:rsidRDefault="003C0D15" w:rsidP="00CD3BBA">
      <w:pPr>
        <w:pStyle w:val="ListParagraph"/>
        <w:tabs>
          <w:tab w:val="left" w:pos="426"/>
        </w:tabs>
        <w:autoSpaceDE w:val="0"/>
        <w:autoSpaceDN w:val="0"/>
        <w:adjustRightInd w:val="0"/>
        <w:ind w:left="0"/>
        <w:jc w:val="both"/>
        <w:rPr>
          <w:rFonts w:ascii="Arial" w:eastAsia="Calibri" w:hAnsi="Arial" w:cs="Arial"/>
          <w:sz w:val="20"/>
          <w:szCs w:val="20"/>
          <w14:ligatures w14:val="standardContextual"/>
        </w:rPr>
      </w:pPr>
    </w:p>
    <w:p w14:paraId="10CC93E1" w14:textId="5F821DF1" w:rsidR="008B0560" w:rsidRPr="00DA1FB8" w:rsidRDefault="00CD3BBA" w:rsidP="00CD3BBA">
      <w:pPr>
        <w:pStyle w:val="Heading2"/>
        <w:tabs>
          <w:tab w:val="left" w:pos="426"/>
        </w:tabs>
        <w:spacing w:before="0"/>
        <w:rPr>
          <w:rFonts w:ascii="Arial" w:eastAsia="Calibri" w:hAnsi="Arial" w:cs="Arial"/>
          <w:color w:val="auto"/>
          <w:sz w:val="20"/>
          <w:szCs w:val="20"/>
        </w:rPr>
      </w:pPr>
      <w:bookmarkStart w:id="49" w:name="_Toc143512957"/>
      <w:bookmarkStart w:id="50" w:name="_Toc158375250"/>
      <w:r w:rsidRPr="00DA1FB8">
        <w:rPr>
          <w:rFonts w:ascii="Arial" w:eastAsia="Calibri" w:hAnsi="Arial" w:cs="Arial"/>
          <w:color w:val="auto"/>
          <w:sz w:val="20"/>
          <w:szCs w:val="20"/>
        </w:rPr>
        <w:t xml:space="preserve">2.  </w:t>
      </w:r>
      <w:r w:rsidR="008B0560" w:rsidRPr="00DA1FB8">
        <w:rPr>
          <w:rFonts w:ascii="Arial" w:eastAsia="Calibri" w:hAnsi="Arial" w:cs="Arial"/>
          <w:color w:val="auto"/>
          <w:sz w:val="20"/>
          <w:szCs w:val="20"/>
        </w:rPr>
        <w:t>Rule of law and “genuine democracy”</w:t>
      </w:r>
      <w:bookmarkEnd w:id="49"/>
      <w:bookmarkEnd w:id="50"/>
      <w:r w:rsidR="00DA1FB8">
        <w:rPr>
          <w:rFonts w:ascii="Arial" w:eastAsia="Calibri" w:hAnsi="Arial" w:cs="Arial"/>
          <w:color w:val="auto"/>
          <w:sz w:val="20"/>
          <w:szCs w:val="20"/>
        </w:rPr>
        <w:br/>
      </w:r>
    </w:p>
    <w:p w14:paraId="1351EB8B" w14:textId="764C362B" w:rsidR="008B0560" w:rsidRPr="00760626"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8B0560">
        <w:rPr>
          <w:rFonts w:ascii="Arial" w:eastAsia="Calibri" w:hAnsi="Arial" w:cs="Arial"/>
          <w:sz w:val="20"/>
          <w:szCs w:val="20"/>
          <w14:ligatures w14:val="standardContextual"/>
        </w:rPr>
        <w:t xml:space="preserve">The close and mutual relationship between rule of law and democracy is </w:t>
      </w:r>
      <w:r w:rsidR="00BC0798">
        <w:rPr>
          <w:rFonts w:ascii="Arial" w:eastAsia="Calibri" w:hAnsi="Arial" w:cs="Arial"/>
          <w:sz w:val="20"/>
          <w:szCs w:val="20"/>
          <w14:ligatures w14:val="standardContextual"/>
        </w:rPr>
        <w:t>particularly</w:t>
      </w:r>
      <w:r w:rsidR="00BC0798" w:rsidRPr="008B0560">
        <w:rPr>
          <w:rFonts w:ascii="Arial" w:eastAsia="Calibri" w:hAnsi="Arial" w:cs="Arial"/>
          <w:sz w:val="20"/>
          <w:szCs w:val="20"/>
          <w14:ligatures w14:val="standardContextual"/>
        </w:rPr>
        <w:t xml:space="preserve"> </w:t>
      </w:r>
      <w:r w:rsidRPr="008B0560">
        <w:rPr>
          <w:rFonts w:ascii="Arial" w:eastAsia="Calibri" w:hAnsi="Arial" w:cs="Arial"/>
          <w:sz w:val="20"/>
          <w:szCs w:val="20"/>
          <w14:ligatures w14:val="standardContextual"/>
        </w:rPr>
        <w:t xml:space="preserve">evident within the Council of Europe. Since </w:t>
      </w:r>
      <w:r w:rsidR="00DA1FB8">
        <w:rPr>
          <w:rFonts w:ascii="Arial" w:eastAsia="Calibri" w:hAnsi="Arial" w:cs="Arial"/>
          <w:sz w:val="20"/>
          <w:szCs w:val="20"/>
          <w14:ligatures w14:val="standardContextual"/>
        </w:rPr>
        <w:t xml:space="preserve">the adoption of </w:t>
      </w:r>
      <w:r w:rsidRPr="008B0560">
        <w:rPr>
          <w:rFonts w:ascii="Arial" w:eastAsia="Calibri" w:hAnsi="Arial" w:cs="Arial"/>
          <w:sz w:val="20"/>
          <w:szCs w:val="20"/>
          <w14:ligatures w14:val="standardContextual"/>
        </w:rPr>
        <w:t>the Statute of the Council of Europe</w:t>
      </w:r>
      <w:r w:rsidR="00B7273B">
        <w:rPr>
          <w:rFonts w:ascii="Arial" w:eastAsia="Calibri" w:hAnsi="Arial" w:cs="Arial"/>
          <w:sz w:val="20"/>
          <w:szCs w:val="20"/>
          <w14:ligatures w14:val="standardContextual"/>
        </w:rPr>
        <w:t xml:space="preserve"> (ETS No.1)</w:t>
      </w:r>
      <w:r w:rsidRPr="008B0560">
        <w:rPr>
          <w:rFonts w:ascii="Arial" w:eastAsia="Calibri" w:hAnsi="Arial" w:cs="Arial"/>
          <w:sz w:val="20"/>
          <w:szCs w:val="20"/>
          <w14:ligatures w14:val="standardContextual"/>
        </w:rPr>
        <w:t xml:space="preserve">, the principles of “individual freedom, political liberty and the rule of law” </w:t>
      </w:r>
      <w:r w:rsidR="00B7273B">
        <w:rPr>
          <w:rFonts w:ascii="Arial" w:eastAsia="Calibri" w:hAnsi="Arial" w:cs="Arial"/>
          <w:sz w:val="20"/>
          <w:szCs w:val="20"/>
          <w14:ligatures w14:val="standardContextual"/>
        </w:rPr>
        <w:t>(Preamble) have been recognised as principles which form the basis of “all genuine democracy”.</w:t>
      </w:r>
    </w:p>
    <w:p w14:paraId="549FEAD6" w14:textId="77777777" w:rsidR="003C0D15" w:rsidRPr="008B0560" w:rsidRDefault="003C0D15" w:rsidP="003C0D15">
      <w:pPr>
        <w:pStyle w:val="ListParagraph"/>
        <w:tabs>
          <w:tab w:val="left" w:pos="426"/>
        </w:tabs>
        <w:autoSpaceDE w:val="0"/>
        <w:autoSpaceDN w:val="0"/>
        <w:adjustRightInd w:val="0"/>
        <w:ind w:left="0"/>
        <w:jc w:val="both"/>
        <w:rPr>
          <w:rFonts w:ascii="Arial" w:eastAsia="Calibri" w:hAnsi="Arial" w:cs="Arial"/>
          <w:sz w:val="20"/>
          <w:szCs w:val="20"/>
          <w14:ligatures w14:val="standardContextual"/>
        </w:rPr>
      </w:pPr>
    </w:p>
    <w:p w14:paraId="633EE465" w14:textId="5DC2D805" w:rsidR="003C0D15" w:rsidRDefault="008B0560" w:rsidP="0080275C">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In 2008, the Committee of Ministers, </w:t>
      </w:r>
      <w:r w:rsidR="00B7273B">
        <w:rPr>
          <w:rFonts w:ascii="Arial" w:eastAsia="Calibri" w:hAnsi="Arial" w:cs="Arial"/>
          <w:sz w:val="20"/>
          <w:szCs w:val="20"/>
          <w14:ligatures w14:val="standardContextual"/>
        </w:rPr>
        <w:t>e</w:t>
      </w:r>
      <w:r w:rsidRPr="00760626">
        <w:rPr>
          <w:rFonts w:ascii="Arial" w:eastAsia="Calibri" w:hAnsi="Arial" w:cs="Arial"/>
          <w:sz w:val="20"/>
          <w:szCs w:val="20"/>
          <w14:ligatures w14:val="standardContextual"/>
        </w:rPr>
        <w:t>n</w:t>
      </w:r>
      <w:r w:rsidR="00B7273B">
        <w:rPr>
          <w:rFonts w:ascii="Arial" w:eastAsia="Calibri" w:hAnsi="Arial" w:cs="Arial"/>
          <w:sz w:val="20"/>
          <w:szCs w:val="20"/>
          <w14:ligatures w14:val="standardContextual"/>
        </w:rPr>
        <w:t>dorsing</w:t>
      </w:r>
      <w:r w:rsidRPr="00760626">
        <w:rPr>
          <w:rFonts w:ascii="Arial" w:eastAsia="Calibri" w:hAnsi="Arial" w:cs="Arial"/>
          <w:sz w:val="20"/>
          <w:szCs w:val="20"/>
          <w14:ligatures w14:val="standardContextual"/>
        </w:rPr>
        <w:t xml:space="preserve"> the document titled “The Council of Europe and the rule of law - An overview”,</w:t>
      </w:r>
      <w:r w:rsidR="00B7273B">
        <w:rPr>
          <w:rFonts w:ascii="Arial" w:eastAsia="Calibri" w:hAnsi="Arial" w:cs="Arial"/>
          <w:sz w:val="20"/>
          <w:szCs w:val="20"/>
          <w14:ligatures w14:val="standardContextual"/>
        </w:rPr>
        <w:t xml:space="preserve"> prepared at the initiative of the Swedish </w:t>
      </w:r>
      <w:r w:rsidR="00205EAF">
        <w:rPr>
          <w:rFonts w:ascii="Arial" w:eastAsia="Calibri" w:hAnsi="Arial" w:cs="Arial"/>
          <w:sz w:val="20"/>
          <w:szCs w:val="20"/>
          <w14:ligatures w14:val="standardContextual"/>
        </w:rPr>
        <w:t>Presidency</w:t>
      </w:r>
      <w:r w:rsidR="00B7273B">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pointed out that “Like democracy and respect for human rights, the rule of law is a principle pertaining to the organisation and functioning of the State. In accordance with Article 3 of the Statute, Council of Europe member </w:t>
      </w:r>
      <w:r w:rsidR="00B7273B">
        <w:rPr>
          <w:rFonts w:ascii="Arial" w:eastAsia="Calibri" w:hAnsi="Arial" w:cs="Arial"/>
          <w:sz w:val="20"/>
          <w:szCs w:val="20"/>
          <w14:ligatures w14:val="standardContextual"/>
        </w:rPr>
        <w:t>S</w:t>
      </w:r>
      <w:r w:rsidRPr="00760626">
        <w:rPr>
          <w:rFonts w:ascii="Arial" w:eastAsia="Calibri" w:hAnsi="Arial" w:cs="Arial"/>
          <w:sz w:val="20"/>
          <w:szCs w:val="20"/>
          <w14:ligatures w14:val="standardContextual"/>
        </w:rPr>
        <w:t>tates must accept this principle; they are therefore expected to be States based on the rule of law”, The document points out that “There can be no democracy without the rule of law and respect for human rights; there can be no rule of law without democracy and respect for human rights, and no respect for human rights without democracy and the rule of law”</w:t>
      </w:r>
      <w:r w:rsidR="00B7273B">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19"/>
      </w:r>
    </w:p>
    <w:p w14:paraId="6C6542EF"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4CC7AA32" w14:textId="68E5C38B" w:rsidR="003C0D15" w:rsidRDefault="008B0560" w:rsidP="0080275C">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The </w:t>
      </w:r>
      <w:r w:rsidR="00CD57AD" w:rsidRPr="00CD57AD">
        <w:rPr>
          <w:rFonts w:ascii="Arial" w:eastAsia="Calibri" w:hAnsi="Arial" w:cs="Arial"/>
          <w:sz w:val="20"/>
          <w:szCs w:val="20"/>
          <w14:ligatures w14:val="standardContextual"/>
        </w:rPr>
        <w:t xml:space="preserve">European Commission for Democracy through Law </w:t>
      </w:r>
      <w:r w:rsidR="00CD57AD">
        <w:rPr>
          <w:rFonts w:ascii="Arial" w:eastAsia="Calibri" w:hAnsi="Arial" w:cs="Arial"/>
          <w:sz w:val="20"/>
          <w:szCs w:val="20"/>
          <w14:ligatures w14:val="standardContextual"/>
        </w:rPr>
        <w:t>(</w:t>
      </w:r>
      <w:r w:rsidRPr="00760626">
        <w:rPr>
          <w:rFonts w:ascii="Arial" w:eastAsia="Calibri" w:hAnsi="Arial" w:cs="Arial"/>
          <w:sz w:val="20"/>
          <w:szCs w:val="20"/>
          <w14:ligatures w14:val="standardContextual"/>
        </w:rPr>
        <w:t>Venice Commission</w:t>
      </w:r>
      <w:r w:rsidR="00CD57AD">
        <w:rPr>
          <w:rFonts w:ascii="Arial" w:eastAsia="Calibri" w:hAnsi="Arial" w:cs="Arial"/>
          <w:sz w:val="20"/>
          <w:szCs w:val="20"/>
          <w14:ligatures w14:val="standardContextual"/>
        </w:rPr>
        <w:t>)</w:t>
      </w:r>
      <w:r w:rsidRPr="00760626">
        <w:rPr>
          <w:rFonts w:ascii="Arial" w:eastAsia="Calibri" w:hAnsi="Arial" w:cs="Arial"/>
          <w:sz w:val="20"/>
          <w:szCs w:val="20"/>
          <w14:ligatures w14:val="standardContextual"/>
        </w:rPr>
        <w:t>, in its 2011 report on the rule of law</w:t>
      </w:r>
      <w:r w:rsidR="00B7273B">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20"/>
      </w:r>
      <w:r w:rsidRPr="00760626">
        <w:rPr>
          <w:rFonts w:ascii="Arial" w:eastAsia="Calibri" w:hAnsi="Arial" w:cs="Arial"/>
          <w:sz w:val="20"/>
          <w:szCs w:val="20"/>
          <w14:ligatures w14:val="standardContextual"/>
        </w:rPr>
        <w:t xml:space="preserve"> considers, quoting the OSCE Commitments relating to the rule of law, that “Democracy is an inherent element of the rule of law”.</w:t>
      </w:r>
    </w:p>
    <w:p w14:paraId="0967F903"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5C97B894" w14:textId="1516E1AA" w:rsidR="003C0D15" w:rsidRDefault="008B0560" w:rsidP="0080275C">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760626">
        <w:rPr>
          <w:rFonts w:ascii="Arial" w:eastAsia="Calibri" w:hAnsi="Arial" w:cs="Arial"/>
          <w:kern w:val="2"/>
          <w:sz w:val="20"/>
          <w:szCs w:val="20"/>
          <w14:ligatures w14:val="standardContextual"/>
        </w:rPr>
        <w:t xml:space="preserve">The 2016 Rule of </w:t>
      </w:r>
      <w:r w:rsidR="00BC0798">
        <w:rPr>
          <w:rFonts w:ascii="Arial" w:eastAsia="Calibri" w:hAnsi="Arial" w:cs="Arial"/>
          <w:kern w:val="2"/>
          <w:sz w:val="20"/>
          <w:szCs w:val="20"/>
          <w14:ligatures w14:val="standardContextual"/>
        </w:rPr>
        <w:t>L</w:t>
      </w:r>
      <w:r w:rsidR="00BC0798" w:rsidRPr="00760626">
        <w:rPr>
          <w:rFonts w:ascii="Arial" w:eastAsia="Calibri" w:hAnsi="Arial" w:cs="Arial"/>
          <w:kern w:val="2"/>
          <w:sz w:val="20"/>
          <w:szCs w:val="20"/>
          <w14:ligatures w14:val="standardContextual"/>
        </w:rPr>
        <w:t xml:space="preserve">aw </w:t>
      </w:r>
      <w:r w:rsidRPr="00760626">
        <w:rPr>
          <w:rFonts w:ascii="Arial" w:eastAsia="Calibri" w:hAnsi="Arial" w:cs="Arial"/>
          <w:kern w:val="2"/>
          <w:sz w:val="20"/>
          <w:szCs w:val="20"/>
          <w14:ligatures w14:val="standardContextual"/>
        </w:rPr>
        <w:t xml:space="preserve">Checklist of the </w:t>
      </w:r>
      <w:r w:rsidR="00CD57AD">
        <w:rPr>
          <w:rFonts w:ascii="Arial" w:eastAsia="Calibri" w:hAnsi="Arial" w:cs="Arial"/>
          <w:kern w:val="2"/>
          <w:sz w:val="20"/>
          <w:szCs w:val="20"/>
          <w14:ligatures w14:val="standardContextual"/>
        </w:rPr>
        <w:t xml:space="preserve">Venice </w:t>
      </w:r>
      <w:r w:rsidRPr="00760626">
        <w:rPr>
          <w:rFonts w:ascii="Arial" w:eastAsia="Calibri" w:hAnsi="Arial" w:cs="Arial"/>
          <w:kern w:val="2"/>
          <w:sz w:val="20"/>
          <w:szCs w:val="20"/>
          <w14:ligatures w14:val="standardContextual"/>
        </w:rPr>
        <w:t xml:space="preserve">Commission further develops the link between democracy and </w:t>
      </w:r>
      <w:r w:rsidR="00B7273B">
        <w:rPr>
          <w:rFonts w:ascii="Arial" w:eastAsia="Calibri" w:hAnsi="Arial" w:cs="Arial"/>
          <w:kern w:val="2"/>
          <w:sz w:val="20"/>
          <w:szCs w:val="20"/>
          <w14:ligatures w14:val="standardContextual"/>
        </w:rPr>
        <w:t xml:space="preserve">the </w:t>
      </w:r>
      <w:r w:rsidRPr="00760626">
        <w:rPr>
          <w:rFonts w:ascii="Arial" w:eastAsia="Calibri" w:hAnsi="Arial" w:cs="Arial"/>
          <w:kern w:val="2"/>
          <w:sz w:val="20"/>
          <w:szCs w:val="20"/>
          <w14:ligatures w14:val="standardContextual"/>
        </w:rPr>
        <w:t xml:space="preserve">rule of law: “The rule of law is linked not only to human rights but also to democracy, </w:t>
      </w:r>
      <w:r w:rsidR="00B7273B" w:rsidRPr="00B7273B">
        <w:rPr>
          <w:rFonts w:ascii="Arial" w:eastAsia="Calibri" w:hAnsi="Arial" w:cs="Arial"/>
          <w:kern w:val="2"/>
          <w:sz w:val="20"/>
          <w:szCs w:val="20"/>
          <w14:ligatures w14:val="standardContextual"/>
        </w:rPr>
        <w:t>i.e.,</w:t>
      </w:r>
      <w:r w:rsidRPr="00760626">
        <w:rPr>
          <w:rFonts w:ascii="Arial" w:eastAsia="Calibri" w:hAnsi="Arial" w:cs="Arial"/>
          <w:i/>
          <w:iCs/>
          <w:kern w:val="2"/>
          <w:sz w:val="20"/>
          <w:szCs w:val="20"/>
          <w14:ligatures w14:val="standardContextual"/>
        </w:rPr>
        <w:t xml:space="preserve"> </w:t>
      </w:r>
      <w:r w:rsidRPr="00760626">
        <w:rPr>
          <w:rFonts w:ascii="Arial" w:eastAsia="Calibri" w:hAnsi="Arial" w:cs="Arial"/>
          <w:kern w:val="2"/>
          <w:sz w:val="20"/>
          <w:szCs w:val="20"/>
          <w14:ligatures w14:val="standardContextual"/>
        </w:rPr>
        <w:t xml:space="preserve">to the third basic value of the Council of Europe. Democracy relates to the involvement of the people in the decision-making process in a society; human rights seek to protect individuals from arbitrary and excessive interference with their freedoms and liberties and to secure human dignity; the rule of law focuses on limiting and independently reviewing the exercise of public powers. The rule of law promotes </w:t>
      </w:r>
      <w:r w:rsidRPr="00760626">
        <w:rPr>
          <w:rFonts w:ascii="Arial" w:eastAsia="Calibri" w:hAnsi="Arial" w:cs="Arial"/>
          <w:kern w:val="2"/>
          <w:sz w:val="20"/>
          <w:szCs w:val="20"/>
          <w14:ligatures w14:val="standardContextual"/>
        </w:rPr>
        <w:lastRenderedPageBreak/>
        <w:t>democracy by establishing accountability of those wielding public power and by safeguarding human rights, which protect minorities against arbitrary majority rules”</w:t>
      </w:r>
      <w:r w:rsidR="00C35C46">
        <w:rPr>
          <w:rFonts w:ascii="Arial" w:eastAsia="Calibri" w:hAnsi="Arial" w:cs="Arial"/>
          <w:kern w:val="2"/>
          <w:sz w:val="20"/>
          <w:szCs w:val="20"/>
          <w14:ligatures w14:val="standardContextual"/>
        </w:rPr>
        <w:t>.</w:t>
      </w:r>
      <w:r w:rsidRPr="00760626">
        <w:rPr>
          <w:rFonts w:ascii="Arial" w:eastAsia="Calibri" w:hAnsi="Arial" w:cs="Arial"/>
          <w:sz w:val="20"/>
          <w:szCs w:val="20"/>
          <w:vertAlign w:val="superscript"/>
        </w:rPr>
        <w:footnoteReference w:id="21"/>
      </w:r>
    </w:p>
    <w:p w14:paraId="66440513"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kern w:val="2"/>
          <w:sz w:val="20"/>
          <w:szCs w:val="20"/>
          <w14:ligatures w14:val="standardContextual"/>
        </w:rPr>
      </w:pPr>
    </w:p>
    <w:p w14:paraId="1C716979" w14:textId="749BF2A1" w:rsidR="008B0560" w:rsidRPr="00760626" w:rsidRDefault="008B0560" w:rsidP="005139D7">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More generally, in its activity, </w:t>
      </w:r>
      <w:r w:rsidRPr="00760626">
        <w:rPr>
          <w:rFonts w:ascii="Arial" w:eastAsia="Calibri" w:hAnsi="Arial" w:cs="Arial"/>
          <w:kern w:val="2"/>
          <w:sz w:val="20"/>
          <w:szCs w:val="20"/>
          <w14:ligatures w14:val="standardContextual"/>
        </w:rPr>
        <w:t xml:space="preserve">the </w:t>
      </w:r>
      <w:r w:rsidR="00CD57AD">
        <w:rPr>
          <w:rFonts w:ascii="Arial" w:eastAsia="Calibri" w:hAnsi="Arial" w:cs="Arial"/>
          <w:kern w:val="2"/>
          <w:sz w:val="20"/>
          <w:szCs w:val="20"/>
          <w14:ligatures w14:val="standardContextual"/>
        </w:rPr>
        <w:t xml:space="preserve">Venice </w:t>
      </w:r>
      <w:r w:rsidRPr="00760626">
        <w:rPr>
          <w:rFonts w:ascii="Arial" w:eastAsia="Calibri" w:hAnsi="Arial" w:cs="Arial"/>
          <w:kern w:val="2"/>
          <w:sz w:val="20"/>
          <w:szCs w:val="20"/>
          <w14:ligatures w14:val="standardContextual"/>
        </w:rPr>
        <w:t xml:space="preserve">Commission has opted for the model of a democratic </w:t>
      </w:r>
      <w:r w:rsidRPr="00760626">
        <w:rPr>
          <w:rFonts w:ascii="Arial" w:eastAsia="Calibri" w:hAnsi="Arial" w:cs="Arial"/>
          <w:i/>
          <w:iCs/>
          <w:kern w:val="2"/>
          <w:sz w:val="20"/>
          <w:szCs w:val="20"/>
          <w14:ligatures w14:val="standardContextual"/>
        </w:rPr>
        <w:t>Rechtsstaat</w:t>
      </w:r>
      <w:r w:rsidRPr="00760626">
        <w:rPr>
          <w:rFonts w:ascii="Arial" w:eastAsia="Calibri" w:hAnsi="Arial" w:cs="Arial"/>
          <w:kern w:val="2"/>
          <w:sz w:val="20"/>
          <w:szCs w:val="20"/>
          <w14:ligatures w14:val="standardContextual"/>
        </w:rPr>
        <w:t xml:space="preserve"> (constitutional democracy) where majoritarian democracy is restricted both by human rights and by mutual checks and balances among State institutions: a conception of democracy that can be equated to the above-mentioned </w:t>
      </w:r>
      <w:r w:rsidRPr="00760626">
        <w:rPr>
          <w:rFonts w:ascii="Arial" w:eastAsia="Calibri" w:hAnsi="Arial" w:cs="Arial"/>
          <w:sz w:val="20"/>
          <w:szCs w:val="20"/>
          <w14:ligatures w14:val="standardContextual"/>
        </w:rPr>
        <w:t>Rule-of-Law Constitutional State</w:t>
      </w:r>
      <w:r w:rsidR="00B7273B">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22"/>
      </w:r>
    </w:p>
    <w:p w14:paraId="5ABDA99A" w14:textId="77777777" w:rsidR="000A223C" w:rsidRPr="00760626" w:rsidRDefault="000A223C" w:rsidP="000A223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11FF979B" w14:textId="63009FE9" w:rsidR="003C0D15" w:rsidRDefault="00E254BB" w:rsidP="0080275C">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In</w:t>
      </w:r>
      <w:r w:rsidR="008B0560" w:rsidRPr="00760626">
        <w:rPr>
          <w:rFonts w:ascii="Arial" w:eastAsia="Calibri" w:hAnsi="Arial" w:cs="Arial"/>
          <w:sz w:val="20"/>
          <w:szCs w:val="20"/>
          <w14:ligatures w14:val="standardContextual"/>
        </w:rPr>
        <w:t xml:space="preserve"> its 2022 </w:t>
      </w:r>
      <w:r w:rsidR="00B7273B">
        <w:rPr>
          <w:rFonts w:ascii="Arial" w:eastAsia="Calibri" w:hAnsi="Arial" w:cs="Arial"/>
          <w:sz w:val="20"/>
          <w:szCs w:val="20"/>
          <w14:ligatures w14:val="standardContextual"/>
        </w:rPr>
        <w:t xml:space="preserve">report on </w:t>
      </w:r>
      <w:r w:rsidR="008B0560" w:rsidRPr="00760626">
        <w:rPr>
          <w:rFonts w:ascii="Arial" w:eastAsia="Calibri" w:hAnsi="Arial" w:cs="Arial"/>
          <w:sz w:val="20"/>
          <w:szCs w:val="20"/>
          <w14:ligatures w14:val="standardContextual"/>
        </w:rPr>
        <w:t>“</w:t>
      </w:r>
      <w:r w:rsidR="008B0560" w:rsidRPr="00760626">
        <w:rPr>
          <w:rFonts w:ascii="Arial" w:eastAsia="Calibri" w:hAnsi="Arial" w:cs="Arial"/>
          <w:kern w:val="2"/>
          <w:sz w:val="20"/>
          <w:szCs w:val="20"/>
          <w14:ligatures w14:val="standardContextual"/>
        </w:rPr>
        <w:t>Safeguarding and promoting genuine democracy in Europe”,</w:t>
      </w:r>
      <w:r w:rsidR="008B0560" w:rsidRPr="00760626">
        <w:rPr>
          <w:rFonts w:ascii="Arial" w:eastAsia="Calibri" w:hAnsi="Arial" w:cs="Arial"/>
          <w:sz w:val="20"/>
          <w:szCs w:val="20"/>
          <w14:ligatures w14:val="standardContextual"/>
        </w:rPr>
        <w:t xml:space="preserve"> the Parliamentary Assembly</w:t>
      </w:r>
      <w:r w:rsidR="00CD57AD">
        <w:rPr>
          <w:rFonts w:ascii="Arial" w:eastAsia="Calibri" w:hAnsi="Arial" w:cs="Arial"/>
          <w:sz w:val="20"/>
          <w:szCs w:val="20"/>
          <w14:ligatures w14:val="standardContextual"/>
        </w:rPr>
        <w:t xml:space="preserve"> of the Council of Europe </w:t>
      </w:r>
      <w:r w:rsidR="008B0560" w:rsidRPr="00760626">
        <w:rPr>
          <w:rFonts w:ascii="Arial" w:eastAsia="Calibri" w:hAnsi="Arial" w:cs="Arial"/>
          <w:sz w:val="20"/>
          <w:szCs w:val="20"/>
          <w14:ligatures w14:val="standardContextual"/>
        </w:rPr>
        <w:t>pointed out that “</w:t>
      </w:r>
      <w:r w:rsidR="008B0560" w:rsidRPr="00760626">
        <w:rPr>
          <w:rFonts w:ascii="Arial" w:eastAsia="Calibri" w:hAnsi="Arial" w:cs="Arial"/>
          <w:kern w:val="2"/>
          <w:sz w:val="20"/>
          <w:szCs w:val="20"/>
          <w14:ligatures w14:val="standardContextual"/>
        </w:rPr>
        <w:t xml:space="preserve">Liberal democracy means a democratic system of government in which individual rights and freedoms are officially recognised and protected and in which the exercise of political power is limited by the rule of law. Although it does not use the term </w:t>
      </w:r>
      <w:r w:rsidR="000111D2">
        <w:rPr>
          <w:rFonts w:ascii="Arial" w:eastAsia="Calibri" w:hAnsi="Arial" w:cs="Arial"/>
          <w:kern w:val="2"/>
          <w:sz w:val="20"/>
          <w:szCs w:val="20"/>
          <w14:ligatures w14:val="standardContextual"/>
        </w:rPr>
        <w:t>‘</w:t>
      </w:r>
      <w:r w:rsidR="008B0560" w:rsidRPr="00760626">
        <w:rPr>
          <w:rFonts w:ascii="Arial" w:eastAsia="Calibri" w:hAnsi="Arial" w:cs="Arial"/>
          <w:kern w:val="2"/>
          <w:sz w:val="20"/>
          <w:szCs w:val="20"/>
          <w14:ligatures w14:val="standardContextual"/>
        </w:rPr>
        <w:t>liberal democracy</w:t>
      </w:r>
      <w:r w:rsidR="000111D2">
        <w:rPr>
          <w:rFonts w:ascii="Arial" w:eastAsia="Calibri" w:hAnsi="Arial" w:cs="Arial"/>
          <w:kern w:val="2"/>
          <w:sz w:val="20"/>
          <w:szCs w:val="20"/>
          <w14:ligatures w14:val="standardContextual"/>
        </w:rPr>
        <w:t>’</w:t>
      </w:r>
      <w:r w:rsidR="008B0560" w:rsidRPr="00760626">
        <w:rPr>
          <w:rFonts w:ascii="Arial" w:eastAsia="Calibri" w:hAnsi="Arial" w:cs="Arial"/>
          <w:kern w:val="2"/>
          <w:sz w:val="20"/>
          <w:szCs w:val="20"/>
          <w14:ligatures w14:val="standardContextual"/>
        </w:rPr>
        <w:t xml:space="preserve">, the preamble to the Statute of the Council of Europe provides that </w:t>
      </w:r>
      <w:r w:rsidR="000111D2">
        <w:rPr>
          <w:rFonts w:ascii="Arial" w:eastAsia="Calibri" w:hAnsi="Arial" w:cs="Arial"/>
          <w:kern w:val="2"/>
          <w:sz w:val="20"/>
          <w:szCs w:val="20"/>
          <w14:ligatures w14:val="standardContextual"/>
        </w:rPr>
        <w:t>‘'</w:t>
      </w:r>
      <w:r w:rsidR="008B0560" w:rsidRPr="00760626">
        <w:rPr>
          <w:rFonts w:ascii="Arial" w:eastAsia="Calibri" w:hAnsi="Arial" w:cs="Arial"/>
          <w:kern w:val="2"/>
          <w:sz w:val="20"/>
          <w:szCs w:val="20"/>
          <w14:ligatures w14:val="standardContextual"/>
        </w:rPr>
        <w:t>all genuine democracy</w:t>
      </w:r>
      <w:r w:rsidR="000111D2">
        <w:rPr>
          <w:rFonts w:ascii="Arial" w:eastAsia="Calibri" w:hAnsi="Arial" w:cs="Arial"/>
          <w:kern w:val="2"/>
          <w:sz w:val="20"/>
          <w:szCs w:val="20"/>
          <w14:ligatures w14:val="standardContextual"/>
        </w:rPr>
        <w:t>’</w:t>
      </w:r>
      <w:r w:rsidR="008B0560" w:rsidRPr="00760626">
        <w:rPr>
          <w:rFonts w:ascii="Arial" w:eastAsia="Calibri" w:hAnsi="Arial" w:cs="Arial"/>
          <w:kern w:val="2"/>
          <w:sz w:val="20"/>
          <w:szCs w:val="20"/>
          <w14:ligatures w14:val="standardContextual"/>
        </w:rPr>
        <w:t xml:space="preserve"> is based on principles of individual freedom, political liberty and the rule of law”</w:t>
      </w:r>
      <w:r w:rsidR="008B0560" w:rsidRPr="00760626">
        <w:rPr>
          <w:rFonts w:ascii="Arial" w:eastAsia="Calibri" w:hAnsi="Arial" w:cs="Arial"/>
          <w:sz w:val="20"/>
          <w:szCs w:val="20"/>
          <w:vertAlign w:val="superscript"/>
        </w:rPr>
        <w:footnoteReference w:id="23"/>
      </w:r>
      <w:r w:rsidR="008B0560" w:rsidRPr="00760626">
        <w:rPr>
          <w:rFonts w:ascii="Arial" w:eastAsia="Calibri" w:hAnsi="Arial" w:cs="Arial"/>
          <w:sz w:val="20"/>
          <w:szCs w:val="20"/>
          <w14:ligatures w14:val="standardContextual"/>
        </w:rPr>
        <w:t>.</w:t>
      </w:r>
    </w:p>
    <w:p w14:paraId="12376759"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7222C79A" w14:textId="790371F1" w:rsidR="008B0560" w:rsidRDefault="008B0560"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Based on that report, the </w:t>
      </w:r>
      <w:r w:rsidRPr="00760626">
        <w:rPr>
          <w:rFonts w:ascii="Arial" w:eastAsia="SimonciniGaramondStd-Italic" w:hAnsi="Arial" w:cs="Arial"/>
          <w:sz w:val="20"/>
          <w:szCs w:val="20"/>
          <w14:ligatures w14:val="standardContextual"/>
        </w:rPr>
        <w:t xml:space="preserve">Parliamentary Assembly expressed its deep concern </w:t>
      </w:r>
      <w:r w:rsidRPr="00760626">
        <w:rPr>
          <w:rFonts w:ascii="Arial" w:eastAsia="Calibri" w:hAnsi="Arial" w:cs="Arial"/>
          <w:sz w:val="20"/>
          <w:szCs w:val="20"/>
          <w14:ligatures w14:val="standardContextual"/>
        </w:rPr>
        <w:t xml:space="preserve">about clear democratic backsliding across the world, pointing out </w:t>
      </w:r>
      <w:r w:rsidR="00B7273B">
        <w:rPr>
          <w:rFonts w:ascii="Arial" w:eastAsia="Calibri" w:hAnsi="Arial" w:cs="Arial"/>
          <w:sz w:val="20"/>
          <w:szCs w:val="20"/>
          <w14:ligatures w14:val="standardContextual"/>
        </w:rPr>
        <w:t xml:space="preserve">the </w:t>
      </w:r>
      <w:r w:rsidRPr="00760626">
        <w:rPr>
          <w:rFonts w:ascii="Arial" w:eastAsia="Calibri" w:hAnsi="Arial" w:cs="Arial"/>
          <w:sz w:val="20"/>
          <w:szCs w:val="20"/>
          <w14:ligatures w14:val="standardContextual"/>
        </w:rPr>
        <w:t>“urgent need for Council of Europe member States to renew their commitment to safeguarding and promoting genuine democracy, based on the principles of individual freedom, political liberty, other human rights and the rule of law, as enshrined in the Statute of the Council of Europe (ETS No. 1), while addressing the root causes of democratic backsliding” (Resolution 2437 (2022)).</w:t>
      </w:r>
    </w:p>
    <w:p w14:paraId="7245D832" w14:textId="77777777" w:rsidR="00CD57AD" w:rsidRPr="0080275C" w:rsidRDefault="00CD57AD" w:rsidP="0080275C">
      <w:pPr>
        <w:rPr>
          <w:rFonts w:ascii="Arial" w:eastAsia="Calibri" w:hAnsi="Arial" w:cs="Arial"/>
          <w:sz w:val="20"/>
          <w:szCs w:val="20"/>
          <w14:ligatures w14:val="standardContextual"/>
        </w:rPr>
      </w:pPr>
    </w:p>
    <w:p w14:paraId="5DBE2466" w14:textId="139B11E7" w:rsidR="00CD57AD" w:rsidRPr="00070A0C" w:rsidRDefault="00CD57AD" w:rsidP="00CD57AD">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070A0C">
        <w:rPr>
          <w:rFonts w:ascii="Arial" w:eastAsia="Calibri" w:hAnsi="Arial" w:cs="Arial"/>
          <w:sz w:val="20"/>
          <w:szCs w:val="20"/>
        </w:rPr>
        <w:t>More recently, in the Reykjavik</w:t>
      </w:r>
      <w:r w:rsidRPr="00070A0C">
        <w:rPr>
          <w:rFonts w:ascii="Arial" w:eastAsia="Calibri" w:hAnsi="Arial" w:cs="Arial"/>
          <w:sz w:val="20"/>
          <w:szCs w:val="20"/>
          <w14:ligatures w14:val="standardContextual"/>
        </w:rPr>
        <w:t xml:space="preserve"> Declaration</w:t>
      </w:r>
      <w:r w:rsidRPr="00070A0C">
        <w:rPr>
          <w:rFonts w:ascii="Arial" w:eastAsia="Calibri" w:hAnsi="Arial" w:cs="Arial"/>
          <w:sz w:val="20"/>
          <w:szCs w:val="20"/>
        </w:rPr>
        <w:t xml:space="preserve">, adopted </w:t>
      </w:r>
      <w:r w:rsidR="00BC0798">
        <w:rPr>
          <w:rFonts w:ascii="Arial" w:eastAsia="Calibri" w:hAnsi="Arial" w:cs="Arial"/>
          <w:sz w:val="20"/>
          <w:szCs w:val="20"/>
        </w:rPr>
        <w:t xml:space="preserve">at </w:t>
      </w:r>
      <w:r w:rsidRPr="00070A0C">
        <w:rPr>
          <w:rFonts w:ascii="Arial" w:eastAsia="Calibri" w:hAnsi="Arial" w:cs="Arial"/>
          <w:sz w:val="20"/>
          <w:szCs w:val="20"/>
        </w:rPr>
        <w:t>the Fourth S</w:t>
      </w:r>
      <w:r w:rsidRPr="00070A0C">
        <w:rPr>
          <w:rFonts w:ascii="Arial" w:eastAsia="Calibri" w:hAnsi="Arial" w:cs="Arial"/>
          <w:sz w:val="20"/>
          <w:szCs w:val="20"/>
          <w:shd w:val="clear" w:color="auto" w:fill="FFFFFF"/>
        </w:rPr>
        <w:t>ummit of the Council of Europe (</w:t>
      </w:r>
      <w:r w:rsidRPr="00070A0C">
        <w:rPr>
          <w:rFonts w:ascii="Arial" w:eastAsia="Calibri" w:hAnsi="Arial" w:cs="Arial"/>
          <w:sz w:val="20"/>
          <w:szCs w:val="20"/>
        </w:rPr>
        <w:t>Reykjavik</w:t>
      </w:r>
      <w:r w:rsidRPr="00070A0C">
        <w:rPr>
          <w:rFonts w:ascii="Arial" w:eastAsia="Calibri" w:hAnsi="Arial" w:cs="Arial"/>
          <w:sz w:val="20"/>
          <w:szCs w:val="20"/>
          <w:shd w:val="clear" w:color="auto" w:fill="FFFFFF"/>
        </w:rPr>
        <w:t>, 16-17  May</w:t>
      </w:r>
      <w:r w:rsidRPr="00070A0C">
        <w:rPr>
          <w:rFonts w:ascii="Arial" w:eastAsia="Calibri" w:hAnsi="Arial" w:cs="Arial"/>
          <w:sz w:val="20"/>
          <w:szCs w:val="20"/>
        </w:rPr>
        <w:t xml:space="preserve"> 2023</w:t>
      </w:r>
      <w:r w:rsidRPr="00EA6A10">
        <w:rPr>
          <w:rStyle w:val="Hyperlink"/>
          <w:rFonts w:eastAsia="Calibri"/>
          <w:color w:val="auto"/>
          <w:sz w:val="20"/>
          <w:szCs w:val="20"/>
          <w:u w:val="none"/>
        </w:rPr>
        <w:t>)</w:t>
      </w:r>
      <w:r w:rsidRPr="00070A0C">
        <w:rPr>
          <w:rFonts w:ascii="Arial" w:eastAsia="Calibri" w:hAnsi="Arial" w:cs="Arial"/>
          <w:sz w:val="20"/>
          <w:szCs w:val="20"/>
          <w14:ligatures w14:val="standardContextual"/>
        </w:rPr>
        <w:t>, the Heads of State and Government committed to ensuring “the diligent respect for the rule of law, benefitting every citizen and building a European legal community of shared values and dialogue between the jurisdictions of its member States, including by raising the profile of, and strengthening the Venice Commission, by for example giving more visibility and status to its Rule of Law Checklist and exploring ways</w:t>
      </w:r>
      <w:r w:rsidR="00B7273B">
        <w:rPr>
          <w:rFonts w:ascii="Arial" w:eastAsia="Calibri" w:hAnsi="Arial" w:cs="Arial"/>
          <w:sz w:val="20"/>
          <w:szCs w:val="20"/>
          <w14:ligatures w14:val="standardContextual"/>
        </w:rPr>
        <w:t xml:space="preserve"> by which</w:t>
      </w:r>
      <w:r w:rsidRPr="00070A0C">
        <w:rPr>
          <w:rFonts w:ascii="Arial" w:eastAsia="Calibri" w:hAnsi="Arial" w:cs="Arial"/>
          <w:sz w:val="20"/>
          <w:szCs w:val="20"/>
          <w14:ligatures w14:val="standardContextual"/>
        </w:rPr>
        <w:t xml:space="preserve"> the Organisation can better support the implementation of its recommendations”.</w:t>
      </w:r>
    </w:p>
    <w:p w14:paraId="7843C004" w14:textId="77777777" w:rsidR="009D620B" w:rsidRPr="0080275C" w:rsidRDefault="009D620B" w:rsidP="0080275C">
      <w:pPr>
        <w:rPr>
          <w:rFonts w:ascii="Arial" w:eastAsia="Calibri" w:hAnsi="Arial" w:cs="Arial"/>
          <w:sz w:val="20"/>
          <w:szCs w:val="20"/>
          <w14:ligatures w14:val="standardContextual"/>
        </w:rPr>
      </w:pPr>
    </w:p>
    <w:p w14:paraId="3B505555" w14:textId="5F25F564" w:rsidR="008B0560" w:rsidRPr="00B7273B" w:rsidRDefault="008B0560" w:rsidP="005139D7">
      <w:pPr>
        <w:pStyle w:val="Heading2"/>
        <w:numPr>
          <w:ilvl w:val="0"/>
          <w:numId w:val="6"/>
        </w:numPr>
        <w:spacing w:before="0"/>
        <w:ind w:left="426" w:hanging="426"/>
        <w:rPr>
          <w:rFonts w:ascii="Arial" w:eastAsia="Calibri" w:hAnsi="Arial" w:cs="Arial"/>
          <w:color w:val="auto"/>
          <w:sz w:val="20"/>
          <w:szCs w:val="20"/>
        </w:rPr>
      </w:pPr>
      <w:bookmarkStart w:id="51" w:name="_Toc143512958"/>
      <w:bookmarkStart w:id="52" w:name="_Toc158375251"/>
      <w:r w:rsidRPr="00B7273B">
        <w:rPr>
          <w:rFonts w:ascii="Arial" w:eastAsia="Calibri" w:hAnsi="Arial" w:cs="Arial"/>
          <w:color w:val="auto"/>
          <w:sz w:val="20"/>
          <w:szCs w:val="20"/>
        </w:rPr>
        <w:t>Rule of law and separation of powers</w:t>
      </w:r>
      <w:bookmarkEnd w:id="51"/>
      <w:bookmarkEnd w:id="52"/>
    </w:p>
    <w:p w14:paraId="4E43E541" w14:textId="77777777" w:rsidR="007322A3" w:rsidRPr="007322A3" w:rsidRDefault="007322A3" w:rsidP="007322A3">
      <w:pPr>
        <w:rPr>
          <w:rFonts w:eastAsia="Calibri"/>
        </w:rPr>
      </w:pPr>
    </w:p>
    <w:p w14:paraId="0526F6BB" w14:textId="7721AE42" w:rsidR="007322A3" w:rsidRPr="007322A3" w:rsidRDefault="007322A3"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7322A3">
        <w:rPr>
          <w:rFonts w:ascii="Arial" w:eastAsia="Calibri" w:hAnsi="Arial" w:cs="Arial"/>
          <w:sz w:val="20"/>
          <w:szCs w:val="20"/>
          <w14:ligatures w14:val="standardContextual"/>
        </w:rPr>
        <w:t>The relationship between the rule of law and the separation of powers is commonly accepted by scholars</w:t>
      </w:r>
      <w:r w:rsidR="00B7273B">
        <w:rPr>
          <w:rFonts w:ascii="Arial" w:eastAsia="Calibri" w:hAnsi="Arial" w:cs="Arial"/>
          <w:sz w:val="20"/>
          <w:szCs w:val="20"/>
          <w14:ligatures w14:val="standardContextual"/>
        </w:rPr>
        <w:t>.</w:t>
      </w:r>
      <w:r w:rsidRPr="00EA6A10">
        <w:rPr>
          <w:rFonts w:ascii="Arial" w:eastAsia="Calibri" w:hAnsi="Arial" w:cs="Arial"/>
          <w:sz w:val="20"/>
          <w:szCs w:val="20"/>
          <w:vertAlign w:val="superscript"/>
          <w14:ligatures w14:val="standardContextual"/>
        </w:rPr>
        <w:footnoteReference w:id="24"/>
      </w:r>
      <w:r w:rsidRPr="007322A3">
        <w:rPr>
          <w:rFonts w:ascii="Arial" w:eastAsia="Calibri" w:hAnsi="Arial" w:cs="Arial"/>
          <w:sz w:val="20"/>
          <w:szCs w:val="20"/>
          <w14:ligatures w14:val="standardContextual"/>
        </w:rPr>
        <w:t xml:space="preserve"> They argue that, in acknowledgment of the perils </w:t>
      </w:r>
      <w:r w:rsidR="00B7273B">
        <w:rPr>
          <w:rFonts w:ascii="Arial" w:eastAsia="Calibri" w:hAnsi="Arial" w:cs="Arial"/>
          <w:sz w:val="20"/>
          <w:szCs w:val="20"/>
          <w14:ligatures w14:val="standardContextual"/>
        </w:rPr>
        <w:t xml:space="preserve">of tyranny </w:t>
      </w:r>
      <w:r w:rsidRPr="007322A3">
        <w:rPr>
          <w:rFonts w:ascii="Arial" w:eastAsia="Calibri" w:hAnsi="Arial" w:cs="Arial"/>
          <w:sz w:val="20"/>
          <w:szCs w:val="20"/>
          <w14:ligatures w14:val="standardContextual"/>
        </w:rPr>
        <w:t>deriving from every monopoli</w:t>
      </w:r>
      <w:r w:rsidR="00B7273B">
        <w:rPr>
          <w:rFonts w:ascii="Arial" w:eastAsia="Calibri" w:hAnsi="Arial" w:cs="Arial"/>
          <w:sz w:val="20"/>
          <w:szCs w:val="20"/>
          <w14:ligatures w14:val="standardContextual"/>
        </w:rPr>
        <w:t>s</w:t>
      </w:r>
      <w:r w:rsidRPr="007322A3">
        <w:rPr>
          <w:rFonts w:ascii="Arial" w:eastAsia="Calibri" w:hAnsi="Arial" w:cs="Arial"/>
          <w:sz w:val="20"/>
          <w:szCs w:val="20"/>
          <w14:ligatures w14:val="standardContextual"/>
        </w:rPr>
        <w:t xml:space="preserve">ation of power, the powers </w:t>
      </w:r>
      <w:r w:rsidR="00BC0798">
        <w:rPr>
          <w:rFonts w:ascii="Arial" w:eastAsia="Calibri" w:hAnsi="Arial" w:cs="Arial"/>
          <w:sz w:val="20"/>
          <w:szCs w:val="20"/>
          <w14:ligatures w14:val="standardContextual"/>
        </w:rPr>
        <w:t xml:space="preserve">of the </w:t>
      </w:r>
      <w:r w:rsidR="00BC0798" w:rsidRPr="007322A3">
        <w:rPr>
          <w:rFonts w:ascii="Arial" w:eastAsia="Calibri" w:hAnsi="Arial" w:cs="Arial"/>
          <w:sz w:val="20"/>
          <w:szCs w:val="20"/>
          <w14:ligatures w14:val="standardContextual"/>
        </w:rPr>
        <w:t xml:space="preserve">governing institutions </w:t>
      </w:r>
      <w:r w:rsidRPr="007322A3">
        <w:rPr>
          <w:rFonts w:ascii="Arial" w:eastAsia="Calibri" w:hAnsi="Arial" w:cs="Arial"/>
          <w:sz w:val="20"/>
          <w:szCs w:val="20"/>
          <w14:ligatures w14:val="standardContextual"/>
        </w:rPr>
        <w:t>must be divided into separate branches (typically, but not necessarily legislature, executive and judiciary) providing checks and balances for one another</w:t>
      </w:r>
      <w:r w:rsidR="00B7273B">
        <w:rPr>
          <w:rFonts w:ascii="Arial" w:eastAsia="Calibri" w:hAnsi="Arial" w:cs="Arial"/>
          <w:sz w:val="20"/>
          <w:szCs w:val="20"/>
          <w14:ligatures w14:val="standardContextual"/>
        </w:rPr>
        <w:t>.</w:t>
      </w:r>
      <w:r w:rsidRPr="007322A3">
        <w:rPr>
          <w:rFonts w:ascii="Arial" w:eastAsia="Calibri" w:hAnsi="Arial" w:cs="Arial"/>
          <w:sz w:val="20"/>
          <w:szCs w:val="20"/>
          <w:vertAlign w:val="superscript"/>
          <w14:ligatures w14:val="standardContextual"/>
        </w:rPr>
        <w:footnoteReference w:id="25"/>
      </w:r>
      <w:r w:rsidRPr="007322A3">
        <w:rPr>
          <w:rFonts w:ascii="Arial" w:eastAsia="Calibri" w:hAnsi="Arial" w:cs="Arial"/>
          <w:sz w:val="20"/>
          <w:szCs w:val="20"/>
          <w14:ligatures w14:val="standardContextual"/>
        </w:rPr>
        <w:t xml:space="preserve"> </w:t>
      </w:r>
    </w:p>
    <w:p w14:paraId="3ABE0015" w14:textId="77777777" w:rsidR="007322A3" w:rsidRPr="007322A3" w:rsidRDefault="007322A3" w:rsidP="007322A3">
      <w:pPr>
        <w:pStyle w:val="ListParagraph"/>
        <w:tabs>
          <w:tab w:val="left" w:pos="426"/>
        </w:tabs>
        <w:autoSpaceDE w:val="0"/>
        <w:autoSpaceDN w:val="0"/>
        <w:adjustRightInd w:val="0"/>
        <w:ind w:left="0"/>
        <w:jc w:val="both"/>
        <w:rPr>
          <w:rFonts w:ascii="Arial" w:eastAsia="Calibri" w:hAnsi="Arial" w:cs="Arial"/>
          <w:sz w:val="20"/>
          <w:szCs w:val="20"/>
          <w14:ligatures w14:val="standardContextual"/>
        </w:rPr>
      </w:pPr>
    </w:p>
    <w:p w14:paraId="42D4147D" w14:textId="04AA7528" w:rsidR="007322A3" w:rsidRPr="007322A3" w:rsidRDefault="007322A3" w:rsidP="005139D7">
      <w:pPr>
        <w:pStyle w:val="ListParagraph"/>
        <w:numPr>
          <w:ilvl w:val="0"/>
          <w:numId w:val="10"/>
        </w:numPr>
        <w:tabs>
          <w:tab w:val="left" w:pos="426"/>
        </w:tabs>
        <w:autoSpaceDE w:val="0"/>
        <w:autoSpaceDN w:val="0"/>
        <w:adjustRightInd w:val="0"/>
        <w:ind w:left="0" w:firstLine="0"/>
        <w:jc w:val="both"/>
        <w:rPr>
          <w:rFonts w:ascii="Arial" w:eastAsia="Calibri" w:hAnsi="Arial" w:cs="Arial"/>
          <w:sz w:val="20"/>
          <w:szCs w:val="20"/>
          <w14:ligatures w14:val="standardContextual"/>
        </w:rPr>
      </w:pPr>
      <w:r w:rsidRPr="007322A3">
        <w:rPr>
          <w:rFonts w:ascii="Arial" w:eastAsia="Calibri" w:hAnsi="Arial" w:cs="Arial"/>
          <w:sz w:val="20"/>
          <w:szCs w:val="20"/>
          <w14:ligatures w14:val="standardContextual"/>
        </w:rPr>
        <w:t>In addition,</w:t>
      </w:r>
      <w:r w:rsidR="009E6B31">
        <w:rPr>
          <w:rFonts w:ascii="Arial" w:eastAsia="Calibri" w:hAnsi="Arial" w:cs="Arial"/>
          <w:sz w:val="20"/>
          <w:szCs w:val="20"/>
          <w14:ligatures w14:val="standardContextual"/>
        </w:rPr>
        <w:t xml:space="preserve"> </w:t>
      </w:r>
      <w:r w:rsidR="00B7273B">
        <w:rPr>
          <w:rFonts w:ascii="Arial" w:eastAsia="Calibri" w:hAnsi="Arial" w:cs="Arial"/>
          <w:sz w:val="20"/>
          <w:szCs w:val="20"/>
          <w14:ligatures w14:val="standardContextual"/>
        </w:rPr>
        <w:t xml:space="preserve">the </w:t>
      </w:r>
      <w:r w:rsidR="009E6B31" w:rsidRPr="009E6B31">
        <w:rPr>
          <w:rFonts w:ascii="Arial" w:eastAsia="Calibri" w:hAnsi="Arial" w:cs="Arial"/>
          <w:sz w:val="20"/>
          <w:szCs w:val="20"/>
          <w14:ligatures w14:val="standardContextual"/>
        </w:rPr>
        <w:t xml:space="preserve">separation of powers </w:t>
      </w:r>
      <w:r w:rsidR="000111D2">
        <w:rPr>
          <w:rFonts w:ascii="Arial" w:eastAsia="Calibri" w:hAnsi="Arial" w:cs="Arial"/>
          <w:sz w:val="20"/>
          <w:szCs w:val="20"/>
          <w14:ligatures w14:val="standardContextual"/>
        </w:rPr>
        <w:t>as</w:t>
      </w:r>
      <w:r w:rsidR="000111D2" w:rsidRPr="009E6B31">
        <w:rPr>
          <w:rFonts w:ascii="Arial" w:eastAsia="Calibri" w:hAnsi="Arial" w:cs="Arial"/>
          <w:sz w:val="20"/>
          <w:szCs w:val="20"/>
          <w14:ligatures w14:val="standardContextual"/>
        </w:rPr>
        <w:t xml:space="preserve"> </w:t>
      </w:r>
      <w:r w:rsidR="009E6B31" w:rsidRPr="009E6B31">
        <w:rPr>
          <w:rFonts w:ascii="Arial" w:eastAsia="Calibri" w:hAnsi="Arial" w:cs="Arial"/>
          <w:sz w:val="20"/>
          <w:szCs w:val="20"/>
          <w14:ligatures w14:val="standardContextual"/>
        </w:rPr>
        <w:t xml:space="preserve">a component of the rule of law </w:t>
      </w:r>
      <w:r w:rsidRPr="007322A3">
        <w:rPr>
          <w:rFonts w:ascii="Arial" w:eastAsia="Calibri" w:hAnsi="Arial" w:cs="Arial"/>
          <w:sz w:val="20"/>
          <w:szCs w:val="20"/>
          <w14:ligatures w14:val="standardContextual"/>
        </w:rPr>
        <w:t xml:space="preserve">is </w:t>
      </w:r>
      <w:r w:rsidR="00B7273B">
        <w:rPr>
          <w:rFonts w:ascii="Arial" w:eastAsia="Calibri" w:hAnsi="Arial" w:cs="Arial"/>
          <w:sz w:val="20"/>
          <w:szCs w:val="20"/>
          <w14:ligatures w14:val="standardContextual"/>
        </w:rPr>
        <w:t>mentioned</w:t>
      </w:r>
      <w:r w:rsidRPr="007322A3">
        <w:rPr>
          <w:rFonts w:ascii="Arial" w:eastAsia="Calibri" w:hAnsi="Arial" w:cs="Arial"/>
          <w:sz w:val="20"/>
          <w:szCs w:val="20"/>
          <w14:ligatures w14:val="standardContextual"/>
        </w:rPr>
        <w:t xml:space="preserve"> in several documents of international organi</w:t>
      </w:r>
      <w:r w:rsidR="00F61C76">
        <w:rPr>
          <w:rFonts w:ascii="Arial" w:eastAsia="Calibri" w:hAnsi="Arial" w:cs="Arial"/>
          <w:sz w:val="20"/>
          <w:szCs w:val="20"/>
          <w14:ligatures w14:val="standardContextual"/>
        </w:rPr>
        <w:t>s</w:t>
      </w:r>
      <w:r w:rsidRPr="007322A3">
        <w:rPr>
          <w:rFonts w:ascii="Arial" w:eastAsia="Calibri" w:hAnsi="Arial" w:cs="Arial"/>
          <w:sz w:val="20"/>
          <w:szCs w:val="20"/>
          <w14:ligatures w14:val="standardContextual"/>
        </w:rPr>
        <w:t xml:space="preserve">ations, </w:t>
      </w:r>
      <w:r w:rsidR="000111D2">
        <w:rPr>
          <w:rFonts w:ascii="Arial" w:eastAsia="Calibri" w:hAnsi="Arial" w:cs="Arial"/>
          <w:sz w:val="20"/>
          <w:szCs w:val="20"/>
          <w14:ligatures w14:val="standardContextual"/>
        </w:rPr>
        <w:t xml:space="preserve">starting with </w:t>
      </w:r>
      <w:r w:rsidRPr="007322A3">
        <w:rPr>
          <w:rFonts w:ascii="Arial" w:eastAsia="Calibri" w:hAnsi="Arial" w:cs="Arial"/>
          <w:sz w:val="20"/>
          <w:szCs w:val="20"/>
          <w14:ligatures w14:val="standardContextual"/>
        </w:rPr>
        <w:t xml:space="preserve">the United Nations. </w:t>
      </w:r>
    </w:p>
    <w:p w14:paraId="793B81B4" w14:textId="41FC54C4" w:rsidR="000A223C" w:rsidRPr="00760626" w:rsidRDefault="000A223C" w:rsidP="007322A3">
      <w:pPr>
        <w:pStyle w:val="ListParagraph"/>
        <w:tabs>
          <w:tab w:val="left" w:pos="426"/>
        </w:tabs>
        <w:autoSpaceDE w:val="0"/>
        <w:autoSpaceDN w:val="0"/>
        <w:adjustRightInd w:val="0"/>
        <w:ind w:left="0"/>
        <w:jc w:val="both"/>
        <w:rPr>
          <w:rFonts w:ascii="Arial" w:eastAsia="Calibri" w:hAnsi="Arial" w:cs="Arial"/>
          <w:sz w:val="20"/>
          <w:szCs w:val="20"/>
          <w14:ligatures w14:val="standardContextual"/>
        </w:rPr>
      </w:pPr>
    </w:p>
    <w:p w14:paraId="0B802009" w14:textId="702604F6" w:rsidR="008B0560" w:rsidRPr="00760626" w:rsidRDefault="008B0560" w:rsidP="005139D7">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The </w:t>
      </w:r>
      <w:r w:rsidR="00B7273B">
        <w:rPr>
          <w:rFonts w:ascii="Arial" w:eastAsia="Calibri" w:hAnsi="Arial" w:cs="Arial"/>
          <w:sz w:val="20"/>
          <w:szCs w:val="20"/>
          <w14:ligatures w14:val="standardContextual"/>
        </w:rPr>
        <w:t>r</w:t>
      </w:r>
      <w:r w:rsidRPr="00760626">
        <w:rPr>
          <w:rFonts w:ascii="Arial" w:eastAsia="Calibri" w:hAnsi="Arial" w:cs="Arial"/>
          <w:sz w:val="20"/>
          <w:szCs w:val="20"/>
          <w14:ligatures w14:val="standardContextual"/>
        </w:rPr>
        <w:t xml:space="preserve">eport of the </w:t>
      </w:r>
      <w:r w:rsidR="005A5456">
        <w:rPr>
          <w:rFonts w:ascii="Arial" w:eastAsia="Calibri" w:hAnsi="Arial" w:cs="Arial"/>
          <w:sz w:val="20"/>
          <w:szCs w:val="20"/>
          <w14:ligatures w14:val="standardContextual"/>
        </w:rPr>
        <w:t>United Nations</w:t>
      </w:r>
      <w:r w:rsidR="00AE67AA">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on “The rule of law and transitional justice in conflict and post-conflict societies” considers the rule of law as “a principle of governance in which all persons, institutions and entities, public and private, including the State itself, are accountable to laws that are publicly promulgated, equally enforced and independently adjudicated, and which are consistent with international human rights norms and standards. It requires, as well, measures to ensure adherence to the principles of supremacy of law, equality before the law, accountability to the law, fairness in the </w:t>
      </w:r>
      <w:r w:rsidRPr="00760626">
        <w:rPr>
          <w:rFonts w:ascii="Arial" w:eastAsia="Calibri" w:hAnsi="Arial" w:cs="Arial"/>
          <w:sz w:val="20"/>
          <w:szCs w:val="20"/>
          <w14:ligatures w14:val="standardContextual"/>
        </w:rPr>
        <w:lastRenderedPageBreak/>
        <w:t>application of the law</w:t>
      </w:r>
      <w:r w:rsidRPr="00760626">
        <w:rPr>
          <w:rFonts w:ascii="Arial" w:eastAsia="Calibri" w:hAnsi="Arial" w:cs="Arial"/>
          <w:i/>
          <w:iCs/>
          <w:sz w:val="20"/>
          <w:szCs w:val="20"/>
          <w14:ligatures w14:val="standardContextual"/>
        </w:rPr>
        <w:t>, separation of powers</w:t>
      </w:r>
      <w:r w:rsidRPr="00760626">
        <w:rPr>
          <w:rFonts w:ascii="Arial" w:eastAsia="Calibri" w:hAnsi="Arial" w:cs="Arial"/>
          <w:sz w:val="20"/>
          <w:szCs w:val="20"/>
          <w14:ligatures w14:val="standardContextual"/>
        </w:rPr>
        <w:t>, participation in decision-making, legal certainty, avoidance of arbitrariness and procedural and legal transparency” (emphasis added)</w:t>
      </w:r>
      <w:r w:rsidR="00B7273B">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26"/>
      </w:r>
      <w:r w:rsidRPr="00760626">
        <w:rPr>
          <w:rFonts w:ascii="Arial" w:eastAsia="Calibri" w:hAnsi="Arial" w:cs="Arial"/>
          <w:sz w:val="20"/>
          <w:szCs w:val="20"/>
          <w14:ligatures w14:val="standardContextual"/>
        </w:rPr>
        <w:t xml:space="preserve"> </w:t>
      </w:r>
    </w:p>
    <w:p w14:paraId="5AC92B22" w14:textId="77777777" w:rsidR="000A223C" w:rsidRPr="00760626" w:rsidRDefault="000A223C" w:rsidP="000A223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4D59BCC8" w14:textId="57F9249F" w:rsidR="008B0560" w:rsidRPr="00760626" w:rsidRDefault="008B0560" w:rsidP="005139D7">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In the same </w:t>
      </w:r>
      <w:r w:rsidR="00B7273B">
        <w:rPr>
          <w:rFonts w:ascii="Arial" w:eastAsia="Calibri" w:hAnsi="Arial" w:cs="Arial"/>
          <w:sz w:val="20"/>
          <w:szCs w:val="20"/>
          <w14:ligatures w14:val="standardContextual"/>
        </w:rPr>
        <w:t>vein</w:t>
      </w:r>
      <w:r w:rsidRPr="00760626">
        <w:rPr>
          <w:rFonts w:ascii="Arial" w:eastAsia="Calibri" w:hAnsi="Arial" w:cs="Arial"/>
          <w:sz w:val="20"/>
          <w:szCs w:val="20"/>
          <w14:ligatures w14:val="standardContextual"/>
        </w:rPr>
        <w:t>, a 2005 Resolution of the U</w:t>
      </w:r>
      <w:r w:rsidR="00B7273B">
        <w:rPr>
          <w:rFonts w:ascii="Arial" w:eastAsia="Calibri" w:hAnsi="Arial" w:cs="Arial"/>
          <w:sz w:val="20"/>
          <w:szCs w:val="20"/>
          <w14:ligatures w14:val="standardContextual"/>
        </w:rPr>
        <w:t xml:space="preserve">nited </w:t>
      </w:r>
      <w:r w:rsidRPr="00760626">
        <w:rPr>
          <w:rFonts w:ascii="Arial" w:eastAsia="Calibri" w:hAnsi="Arial" w:cs="Arial"/>
          <w:sz w:val="20"/>
          <w:szCs w:val="20"/>
          <w14:ligatures w14:val="standardContextual"/>
        </w:rPr>
        <w:t>N</w:t>
      </w:r>
      <w:r w:rsidR="00B7273B">
        <w:rPr>
          <w:rFonts w:ascii="Arial" w:eastAsia="Calibri" w:hAnsi="Arial" w:cs="Arial"/>
          <w:sz w:val="20"/>
          <w:szCs w:val="20"/>
          <w14:ligatures w14:val="standardContextual"/>
        </w:rPr>
        <w:t>ations Commission on</w:t>
      </w:r>
      <w:r w:rsidRPr="00760626">
        <w:rPr>
          <w:rFonts w:ascii="Arial" w:eastAsia="Calibri" w:hAnsi="Arial" w:cs="Arial"/>
          <w:sz w:val="20"/>
          <w:szCs w:val="20"/>
          <w14:ligatures w14:val="standardContextual"/>
        </w:rPr>
        <w:t xml:space="preserve"> Human Rights Commission on “Democracy and rule of law”, </w:t>
      </w:r>
      <w:r w:rsidR="00B7273B">
        <w:rPr>
          <w:rFonts w:ascii="Arial" w:eastAsia="Calibri" w:hAnsi="Arial" w:cs="Arial"/>
          <w:sz w:val="20"/>
          <w:szCs w:val="20"/>
          <w14:ligatures w14:val="standardContextual"/>
        </w:rPr>
        <w:t xml:space="preserve">calling on States </w:t>
      </w:r>
      <w:r w:rsidRPr="00760626">
        <w:rPr>
          <w:rFonts w:ascii="Arial" w:eastAsia="Calibri" w:hAnsi="Arial" w:cs="Arial"/>
          <w:sz w:val="20"/>
          <w:szCs w:val="20"/>
          <w14:ligatures w14:val="standardContextual"/>
        </w:rPr>
        <w:t xml:space="preserve">to </w:t>
      </w:r>
      <w:r w:rsidRPr="00760626">
        <w:rPr>
          <w:rFonts w:ascii="Arial" w:eastAsia="Calibri" w:hAnsi="Arial" w:cs="Arial"/>
          <w:kern w:val="2"/>
          <w:sz w:val="20"/>
          <w:szCs w:val="20"/>
          <w14:ligatures w14:val="standardContextual"/>
        </w:rPr>
        <w:t>strengthen the rule of law and promote democracy</w:t>
      </w:r>
      <w:r w:rsidR="00417C99">
        <w:rPr>
          <w:rFonts w:ascii="Arial" w:eastAsia="Calibri" w:hAnsi="Arial" w:cs="Arial"/>
          <w:kern w:val="2"/>
          <w:sz w:val="20"/>
          <w:szCs w:val="20"/>
          <w14:ligatures w14:val="standardContextual"/>
        </w:rPr>
        <w:t>,</w:t>
      </w:r>
      <w:r w:rsidRPr="00760626">
        <w:rPr>
          <w:rFonts w:ascii="Arial" w:eastAsia="Calibri" w:hAnsi="Arial" w:cs="Arial"/>
          <w:kern w:val="2"/>
          <w:sz w:val="20"/>
          <w:szCs w:val="20"/>
          <w14:ligatures w14:val="standardContextual"/>
        </w:rPr>
        <w:t xml:space="preserve"> </w:t>
      </w:r>
      <w:r w:rsidRPr="00760626">
        <w:rPr>
          <w:rFonts w:ascii="Arial" w:eastAsia="Calibri" w:hAnsi="Arial" w:cs="Arial"/>
          <w:sz w:val="20"/>
          <w:szCs w:val="20"/>
          <w14:ligatures w14:val="standardContextual"/>
        </w:rPr>
        <w:t xml:space="preserve">focuses on upholding </w:t>
      </w:r>
      <w:r w:rsidR="00B7273B">
        <w:rPr>
          <w:rFonts w:ascii="Arial" w:eastAsia="Calibri" w:hAnsi="Arial" w:cs="Arial"/>
          <w:sz w:val="20"/>
          <w:szCs w:val="20"/>
          <w14:ligatures w14:val="standardContextual"/>
        </w:rPr>
        <w:t xml:space="preserve">the </w:t>
      </w:r>
      <w:r w:rsidRPr="00760626">
        <w:rPr>
          <w:rFonts w:ascii="Arial" w:eastAsia="Calibri" w:hAnsi="Arial" w:cs="Arial"/>
          <w:sz w:val="20"/>
          <w:szCs w:val="20"/>
          <w14:ligatures w14:val="standardContextual"/>
        </w:rPr>
        <w:t xml:space="preserve">separation of powers, </w:t>
      </w:r>
      <w:r w:rsidRPr="00760626">
        <w:rPr>
          <w:rFonts w:ascii="Arial" w:eastAsia="Calibri" w:hAnsi="Arial" w:cs="Arial"/>
          <w:kern w:val="2"/>
          <w:sz w:val="20"/>
          <w:szCs w:val="20"/>
          <w14:ligatures w14:val="standardContextual"/>
        </w:rPr>
        <w:t>guaranteeing that no individual or public or private institution is above the law</w:t>
      </w:r>
      <w:r w:rsidRPr="00760626">
        <w:rPr>
          <w:rFonts w:ascii="Arial" w:eastAsia="Calibri" w:hAnsi="Arial" w:cs="Arial"/>
          <w:sz w:val="20"/>
          <w:szCs w:val="20"/>
          <w14:ligatures w14:val="standardContextual"/>
        </w:rPr>
        <w:t xml:space="preserve"> and respecting equal protection under the law</w:t>
      </w:r>
      <w:r w:rsidR="00B7273B">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27"/>
      </w:r>
    </w:p>
    <w:p w14:paraId="7D02ED49" w14:textId="3C5DB76A" w:rsidR="000A223C" w:rsidRPr="00760626" w:rsidRDefault="000A223C" w:rsidP="007322A3">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79CD400D" w14:textId="3A511E94" w:rsidR="00014DC6" w:rsidRPr="00A64570" w:rsidRDefault="00014DC6" w:rsidP="00A64570">
      <w:pPr>
        <w:pStyle w:val="ListParagraph"/>
        <w:numPr>
          <w:ilvl w:val="0"/>
          <w:numId w:val="10"/>
        </w:numPr>
        <w:tabs>
          <w:tab w:val="left" w:pos="426"/>
        </w:tabs>
        <w:autoSpaceDE w:val="0"/>
        <w:autoSpaceDN w:val="0"/>
        <w:adjustRightInd w:val="0"/>
        <w:ind w:left="0" w:firstLine="0"/>
        <w:jc w:val="both"/>
        <w:rPr>
          <w:rFonts w:ascii="Arial" w:hAnsi="Arial" w:cs="Arial"/>
        </w:rPr>
      </w:pPr>
      <w:r w:rsidRPr="00A64570">
        <w:rPr>
          <w:rFonts w:ascii="Arial" w:hAnsi="Arial" w:cs="Arial"/>
          <w:sz w:val="20"/>
          <w:szCs w:val="20"/>
        </w:rPr>
        <w:t xml:space="preserve">Within the EU, the 2020 Rule of </w:t>
      </w:r>
      <w:r w:rsidR="006D346A">
        <w:rPr>
          <w:rFonts w:ascii="Arial" w:hAnsi="Arial" w:cs="Arial"/>
          <w:sz w:val="20"/>
          <w:szCs w:val="20"/>
        </w:rPr>
        <w:t>l</w:t>
      </w:r>
      <w:r w:rsidRPr="00A64570">
        <w:rPr>
          <w:rFonts w:ascii="Arial" w:hAnsi="Arial" w:cs="Arial"/>
          <w:sz w:val="20"/>
          <w:szCs w:val="20"/>
        </w:rPr>
        <w:t>aw Conditionality Regulation gave a more precise definition, which includes the separation of powers</w:t>
      </w:r>
      <w:r w:rsidR="00B7273B">
        <w:rPr>
          <w:rFonts w:ascii="Arial" w:hAnsi="Arial" w:cs="Arial"/>
          <w:sz w:val="20"/>
          <w:szCs w:val="20"/>
        </w:rPr>
        <w:t>.</w:t>
      </w:r>
      <w:r w:rsidRPr="00335682">
        <w:rPr>
          <w:rStyle w:val="FootnoteReference"/>
          <w:rFonts w:ascii="Arial" w:hAnsi="Arial" w:cs="Arial"/>
          <w:sz w:val="20"/>
          <w:szCs w:val="20"/>
        </w:rPr>
        <w:footnoteReference w:id="28"/>
      </w:r>
      <w:r w:rsidRPr="00A64570">
        <w:rPr>
          <w:rFonts w:ascii="Arial" w:hAnsi="Arial" w:cs="Arial"/>
          <w:sz w:val="20"/>
          <w:szCs w:val="20"/>
        </w:rPr>
        <w:t xml:space="preserve"> It has been enforced by the Court of Justice, according to which </w:t>
      </w:r>
      <w:r w:rsidR="00417C99">
        <w:rPr>
          <w:rFonts w:ascii="Arial" w:hAnsi="Arial" w:cs="Arial"/>
          <w:sz w:val="20"/>
          <w:szCs w:val="20"/>
        </w:rPr>
        <w:t>Article</w:t>
      </w:r>
      <w:r w:rsidR="00417C99" w:rsidRPr="00A64570">
        <w:rPr>
          <w:rFonts w:ascii="Arial" w:hAnsi="Arial" w:cs="Arial"/>
          <w:sz w:val="20"/>
          <w:szCs w:val="20"/>
        </w:rPr>
        <w:t xml:space="preserve"> </w:t>
      </w:r>
      <w:r w:rsidRPr="00A64570">
        <w:rPr>
          <w:rFonts w:ascii="Arial" w:hAnsi="Arial" w:cs="Arial"/>
          <w:sz w:val="20"/>
          <w:szCs w:val="20"/>
        </w:rPr>
        <w:t xml:space="preserve">2 TUE is </w:t>
      </w:r>
      <w:r w:rsidRPr="00A64570">
        <w:rPr>
          <w:rFonts w:ascii="Arial" w:eastAsia="TimesNewRomanPSMT" w:hAnsi="Arial" w:cs="Arial"/>
          <w:sz w:val="20"/>
          <w:szCs w:val="20"/>
          <w:lang w:val="en-US"/>
        </w:rPr>
        <w:t>“not merely a statement of policy guidelines or intentions” and “the EU legislator is entitled to adopt a specific definition of the rule of law on account of the specific aims and subject matter of the relevant piece of legislation”</w:t>
      </w:r>
      <w:r w:rsidR="00B7273B">
        <w:rPr>
          <w:rFonts w:ascii="Arial" w:eastAsia="TimesNewRomanPSMT" w:hAnsi="Arial" w:cs="Arial"/>
          <w:sz w:val="20"/>
          <w:szCs w:val="20"/>
          <w:lang w:val="en-US"/>
        </w:rPr>
        <w:t>.</w:t>
      </w:r>
      <w:r w:rsidRPr="00335682">
        <w:rPr>
          <w:rStyle w:val="FootnoteReference"/>
          <w:rFonts w:ascii="Arial" w:eastAsia="TimesNewRomanPSMT" w:hAnsi="Arial" w:cs="Arial"/>
          <w:sz w:val="20"/>
          <w:szCs w:val="20"/>
          <w:lang w:val="en-US"/>
        </w:rPr>
        <w:footnoteReference w:id="29"/>
      </w:r>
    </w:p>
    <w:p w14:paraId="06AC1163" w14:textId="521F1FF8" w:rsidR="008B0560" w:rsidRPr="00335682" w:rsidRDefault="008B0560" w:rsidP="00414016">
      <w:pPr>
        <w:pStyle w:val="ListParagraph"/>
        <w:tabs>
          <w:tab w:val="left" w:pos="426"/>
        </w:tabs>
        <w:autoSpaceDE w:val="0"/>
        <w:autoSpaceDN w:val="0"/>
        <w:adjustRightInd w:val="0"/>
        <w:spacing w:after="160"/>
        <w:ind w:left="0"/>
        <w:jc w:val="both"/>
        <w:rPr>
          <w:rFonts w:ascii="Arial" w:eastAsia="Calibri" w:hAnsi="Arial" w:cs="Arial"/>
          <w:strike/>
          <w:sz w:val="20"/>
          <w:szCs w:val="20"/>
          <w14:ligatures w14:val="standardContextual"/>
        </w:rPr>
      </w:pPr>
    </w:p>
    <w:p w14:paraId="1223B672" w14:textId="649BD594" w:rsidR="008B0560" w:rsidRPr="00335682" w:rsidRDefault="008B0560" w:rsidP="005139D7">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kern w:val="2"/>
          <w:sz w:val="20"/>
          <w:szCs w:val="20"/>
          <w:shd w:val="clear" w:color="auto" w:fill="FFFFFF"/>
          <w14:ligatures w14:val="standardContextual"/>
        </w:rPr>
      </w:pPr>
      <w:r w:rsidRPr="00335682">
        <w:rPr>
          <w:rFonts w:ascii="Arial" w:eastAsia="Calibri" w:hAnsi="Arial" w:cs="Arial"/>
          <w:sz w:val="20"/>
          <w:szCs w:val="20"/>
          <w14:ligatures w14:val="standardContextual"/>
        </w:rPr>
        <w:t xml:space="preserve">As for the Council of Europe, the Venice Commission Rule of </w:t>
      </w:r>
      <w:r w:rsidR="00B7273B">
        <w:rPr>
          <w:rFonts w:ascii="Arial" w:eastAsia="Calibri" w:hAnsi="Arial" w:cs="Arial"/>
          <w:sz w:val="20"/>
          <w:szCs w:val="20"/>
          <w14:ligatures w14:val="standardContextual"/>
        </w:rPr>
        <w:t>L</w:t>
      </w:r>
      <w:r w:rsidRPr="00335682">
        <w:rPr>
          <w:rFonts w:ascii="Arial" w:eastAsia="Calibri" w:hAnsi="Arial" w:cs="Arial"/>
          <w:sz w:val="20"/>
          <w:szCs w:val="20"/>
          <w14:ligatures w14:val="standardContextual"/>
        </w:rPr>
        <w:t xml:space="preserve">aw Checklist </w:t>
      </w:r>
      <w:r w:rsidR="00417C99" w:rsidRPr="00335682">
        <w:rPr>
          <w:rFonts w:ascii="Arial" w:eastAsia="Calibri" w:hAnsi="Arial" w:cs="Arial"/>
          <w:sz w:val="20"/>
          <w:szCs w:val="20"/>
          <w14:ligatures w14:val="standardContextual"/>
        </w:rPr>
        <w:t>recogni</w:t>
      </w:r>
      <w:r w:rsidR="00417C99">
        <w:rPr>
          <w:rFonts w:ascii="Arial" w:eastAsia="Calibri" w:hAnsi="Arial" w:cs="Arial"/>
          <w:sz w:val="20"/>
          <w:szCs w:val="20"/>
          <w14:ligatures w14:val="standardContextual"/>
        </w:rPr>
        <w:t>s</w:t>
      </w:r>
      <w:r w:rsidR="00417C99" w:rsidRPr="00335682">
        <w:rPr>
          <w:rFonts w:ascii="Arial" w:eastAsia="Calibri" w:hAnsi="Arial" w:cs="Arial"/>
          <w:sz w:val="20"/>
          <w:szCs w:val="20"/>
          <w14:ligatures w14:val="standardContextual"/>
        </w:rPr>
        <w:t xml:space="preserve">es </w:t>
      </w:r>
      <w:r w:rsidRPr="00335682">
        <w:rPr>
          <w:rFonts w:ascii="Arial" w:eastAsia="Calibri" w:hAnsi="Arial" w:cs="Arial"/>
          <w:sz w:val="20"/>
          <w:szCs w:val="20"/>
          <w14:ligatures w14:val="standardContextual"/>
        </w:rPr>
        <w:t>that “</w:t>
      </w:r>
      <w:r w:rsidR="00DE42BE">
        <w:rPr>
          <w:rFonts w:ascii="Arial" w:eastAsia="Calibri" w:hAnsi="Arial" w:cs="Arial"/>
          <w:sz w:val="20"/>
          <w:szCs w:val="20"/>
          <w14:ligatures w14:val="standardContextual"/>
        </w:rPr>
        <w:t>t</w:t>
      </w:r>
      <w:r w:rsidRPr="00335682">
        <w:rPr>
          <w:rFonts w:ascii="Arial" w:eastAsia="Calibri" w:hAnsi="Arial" w:cs="Arial"/>
          <w:kern w:val="2"/>
          <w:sz w:val="20"/>
          <w:szCs w:val="20"/>
          <w:shd w:val="clear" w:color="auto" w:fill="FFFFFF"/>
          <w14:ligatures w14:val="standardContextual"/>
        </w:rPr>
        <w:t>he distribution of powers among the different State institutions may also impact the context in which this checklist is considered. It should be well</w:t>
      </w:r>
      <w:r w:rsidR="00DE42BE">
        <w:rPr>
          <w:rFonts w:ascii="Arial" w:eastAsia="Calibri" w:hAnsi="Arial" w:cs="Arial"/>
          <w:kern w:val="2"/>
          <w:sz w:val="20"/>
          <w:szCs w:val="20"/>
          <w:shd w:val="clear" w:color="auto" w:fill="FFFFFF"/>
          <w14:ligatures w14:val="standardContextual"/>
        </w:rPr>
        <w:t xml:space="preserve"> </w:t>
      </w:r>
      <w:r w:rsidRPr="00335682">
        <w:rPr>
          <w:rFonts w:ascii="Arial" w:eastAsia="Calibri" w:hAnsi="Arial" w:cs="Arial"/>
          <w:kern w:val="2"/>
          <w:sz w:val="20"/>
          <w:szCs w:val="20"/>
          <w:shd w:val="clear" w:color="auto" w:fill="FFFFFF"/>
          <w14:ligatures w14:val="standardContextual"/>
        </w:rPr>
        <w:t>adjusted through a system of checks and balances. The exercise of legislative and executive power should be reviewable for its constitutionality and legality by an independent and impartial judiciary. A well-functioning judiciary, whose decisions are effectively implemented, is of the highest importance for the maintenance and enhancement of the rule of law”</w:t>
      </w:r>
      <w:r w:rsidR="00DE42BE">
        <w:rPr>
          <w:rFonts w:ascii="Arial" w:eastAsia="Calibri" w:hAnsi="Arial" w:cs="Arial"/>
          <w:kern w:val="2"/>
          <w:sz w:val="20"/>
          <w:szCs w:val="20"/>
          <w:shd w:val="clear" w:color="auto" w:fill="FFFFFF"/>
          <w14:ligatures w14:val="standardContextual"/>
        </w:rPr>
        <w:t>.</w:t>
      </w:r>
      <w:r w:rsidRPr="00335682">
        <w:rPr>
          <w:rFonts w:ascii="Arial" w:eastAsia="Calibri" w:hAnsi="Arial" w:cs="Arial"/>
          <w:sz w:val="20"/>
          <w:szCs w:val="20"/>
          <w:shd w:val="clear" w:color="auto" w:fill="FFFFFF"/>
          <w:vertAlign w:val="superscript"/>
        </w:rPr>
        <w:footnoteReference w:id="30"/>
      </w:r>
    </w:p>
    <w:p w14:paraId="2AABE67A" w14:textId="77777777" w:rsidR="000A223C" w:rsidRPr="00760626" w:rsidRDefault="000A223C" w:rsidP="007322A3">
      <w:pPr>
        <w:pStyle w:val="ListParagraph"/>
        <w:tabs>
          <w:tab w:val="left" w:pos="426"/>
        </w:tabs>
        <w:autoSpaceDE w:val="0"/>
        <w:autoSpaceDN w:val="0"/>
        <w:adjustRightInd w:val="0"/>
        <w:spacing w:after="160"/>
        <w:ind w:left="0"/>
        <w:jc w:val="both"/>
        <w:rPr>
          <w:rFonts w:ascii="Arial" w:eastAsia="Calibri" w:hAnsi="Arial" w:cs="Arial"/>
          <w:kern w:val="2"/>
          <w:sz w:val="20"/>
          <w:szCs w:val="20"/>
          <w:shd w:val="clear" w:color="auto" w:fill="FFFFFF"/>
          <w14:ligatures w14:val="standardContextual"/>
        </w:rPr>
      </w:pPr>
    </w:p>
    <w:p w14:paraId="175A78FA" w14:textId="576730D3" w:rsidR="003D0C6D" w:rsidRPr="003D0C6D" w:rsidRDefault="00C60EB1" w:rsidP="005139D7">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Pr>
          <w:rFonts w:ascii="Arial" w:eastAsia="Calibri" w:hAnsi="Arial" w:cs="Arial"/>
          <w:sz w:val="20"/>
          <w:szCs w:val="20"/>
        </w:rPr>
        <w:t>T</w:t>
      </w:r>
      <w:r w:rsidR="008B0560" w:rsidRPr="00760626">
        <w:rPr>
          <w:rFonts w:ascii="Arial" w:eastAsia="Calibri" w:hAnsi="Arial" w:cs="Arial"/>
          <w:sz w:val="20"/>
          <w:szCs w:val="20"/>
        </w:rPr>
        <w:t>he Reykjavik Principles for Democracy (Appendix III</w:t>
      </w:r>
      <w:r w:rsidR="00B9522D">
        <w:rPr>
          <w:rFonts w:ascii="Arial" w:eastAsia="Calibri" w:hAnsi="Arial" w:cs="Arial"/>
          <w:sz w:val="20"/>
          <w:szCs w:val="20"/>
        </w:rPr>
        <w:t xml:space="preserve"> to the </w:t>
      </w:r>
      <w:r w:rsidR="00B9522D" w:rsidRPr="00760626">
        <w:rPr>
          <w:rFonts w:ascii="Arial" w:eastAsia="Calibri" w:hAnsi="Arial" w:cs="Arial"/>
          <w:sz w:val="20"/>
          <w:szCs w:val="20"/>
        </w:rPr>
        <w:t>Reykjavik</w:t>
      </w:r>
      <w:r w:rsidR="00B9522D" w:rsidRPr="00B9522D">
        <w:rPr>
          <w:rFonts w:ascii="Arial" w:eastAsia="Calibri" w:hAnsi="Arial" w:cs="Arial"/>
          <w:sz w:val="20"/>
          <w:szCs w:val="20"/>
          <w14:ligatures w14:val="standardContextual"/>
        </w:rPr>
        <w:t xml:space="preserve"> </w:t>
      </w:r>
      <w:r w:rsidR="00B9522D">
        <w:rPr>
          <w:rFonts w:ascii="Arial" w:eastAsia="Calibri" w:hAnsi="Arial" w:cs="Arial"/>
          <w:sz w:val="20"/>
          <w:szCs w:val="20"/>
          <w14:ligatures w14:val="standardContextual"/>
        </w:rPr>
        <w:t>Declaration</w:t>
      </w:r>
      <w:r w:rsidR="008B0560" w:rsidRPr="00760626">
        <w:rPr>
          <w:rFonts w:ascii="Arial" w:eastAsia="Calibri" w:hAnsi="Arial" w:cs="Arial"/>
          <w:sz w:val="20"/>
          <w:szCs w:val="20"/>
        </w:rPr>
        <w:t xml:space="preserve">), adopted at </w:t>
      </w:r>
      <w:r w:rsidR="008B0560" w:rsidRPr="001F2EAA">
        <w:rPr>
          <w:rFonts w:ascii="Arial" w:eastAsia="Calibri" w:hAnsi="Arial" w:cs="Arial"/>
          <w:sz w:val="20"/>
          <w:szCs w:val="20"/>
        </w:rPr>
        <w:t xml:space="preserve">the </w:t>
      </w:r>
      <w:r w:rsidR="001F2EAA" w:rsidRPr="001F2EAA">
        <w:rPr>
          <w:rFonts w:ascii="Arial" w:eastAsia="Calibri" w:hAnsi="Arial" w:cs="Arial"/>
          <w:sz w:val="20"/>
          <w:szCs w:val="20"/>
        </w:rPr>
        <w:t xml:space="preserve">Fourth </w:t>
      </w:r>
      <w:r w:rsidR="008B0560" w:rsidRPr="00DE42BE">
        <w:rPr>
          <w:rFonts w:ascii="Arial" w:eastAsia="Calibri" w:hAnsi="Arial" w:cs="Arial"/>
          <w:sz w:val="20"/>
          <w:szCs w:val="20"/>
        </w:rPr>
        <w:t>S</w:t>
      </w:r>
      <w:r w:rsidR="008B0560" w:rsidRPr="00DE42BE">
        <w:rPr>
          <w:rFonts w:ascii="Arial" w:eastAsia="Calibri" w:hAnsi="Arial" w:cs="Arial"/>
          <w:sz w:val="20"/>
          <w:szCs w:val="20"/>
          <w:shd w:val="clear" w:color="auto" w:fill="FFFFFF"/>
        </w:rPr>
        <w:t>ummit of the Council of Europe</w:t>
      </w:r>
      <w:r w:rsidR="001B4BFF" w:rsidRPr="00DE42BE">
        <w:rPr>
          <w:rFonts w:ascii="Arial" w:eastAsia="Calibri" w:hAnsi="Arial" w:cs="Arial"/>
          <w:sz w:val="20"/>
          <w:szCs w:val="20"/>
          <w:shd w:val="clear" w:color="auto" w:fill="FFFFFF"/>
        </w:rPr>
        <w:t xml:space="preserve"> in </w:t>
      </w:r>
      <w:r w:rsidR="001B4BFF" w:rsidRPr="00DE42BE">
        <w:rPr>
          <w:rFonts w:ascii="Arial" w:eastAsia="Calibri" w:hAnsi="Arial" w:cs="Arial"/>
          <w:sz w:val="20"/>
          <w:szCs w:val="20"/>
        </w:rPr>
        <w:t>Reykjavik</w:t>
      </w:r>
      <w:r w:rsidR="008B0560" w:rsidRPr="00760626">
        <w:rPr>
          <w:rFonts w:ascii="Arial" w:eastAsia="Calibri" w:hAnsi="Arial" w:cs="Arial"/>
          <w:sz w:val="20"/>
          <w:szCs w:val="20"/>
        </w:rPr>
        <w:t xml:space="preserve">, </w:t>
      </w:r>
      <w:r w:rsidR="00DE42BE">
        <w:rPr>
          <w:rFonts w:ascii="Arial" w:eastAsia="Calibri" w:hAnsi="Arial" w:cs="Arial"/>
          <w:sz w:val="20"/>
          <w:szCs w:val="20"/>
        </w:rPr>
        <w:t>which aim</w:t>
      </w:r>
      <w:r w:rsidR="008B0560" w:rsidRPr="00760626">
        <w:rPr>
          <w:rFonts w:ascii="Arial" w:eastAsia="Calibri" w:hAnsi="Arial" w:cs="Arial"/>
          <w:sz w:val="20"/>
          <w:szCs w:val="20"/>
        </w:rPr>
        <w:t xml:space="preserve"> at preventing and resisting democratic backsliding, not only refer to the necessity </w:t>
      </w:r>
      <w:r w:rsidR="00DE42BE">
        <w:rPr>
          <w:rFonts w:ascii="Arial" w:eastAsia="Calibri" w:hAnsi="Arial" w:cs="Arial"/>
          <w:sz w:val="20"/>
          <w:szCs w:val="20"/>
        </w:rPr>
        <w:t>of</w:t>
      </w:r>
      <w:r w:rsidR="008B0560" w:rsidRPr="00760626">
        <w:rPr>
          <w:rFonts w:ascii="Arial" w:eastAsia="Calibri" w:hAnsi="Arial" w:cs="Arial"/>
          <w:sz w:val="20"/>
          <w:szCs w:val="20"/>
        </w:rPr>
        <w:t xml:space="preserve"> actively enabl</w:t>
      </w:r>
      <w:r w:rsidR="00DE42BE">
        <w:rPr>
          <w:rFonts w:ascii="Arial" w:eastAsia="Calibri" w:hAnsi="Arial" w:cs="Arial"/>
          <w:sz w:val="20"/>
          <w:szCs w:val="20"/>
        </w:rPr>
        <w:t>ing</w:t>
      </w:r>
      <w:r w:rsidR="008B0560" w:rsidRPr="00760626">
        <w:rPr>
          <w:rFonts w:ascii="Arial" w:eastAsia="Calibri" w:hAnsi="Arial" w:cs="Arial"/>
          <w:sz w:val="20"/>
          <w:szCs w:val="20"/>
        </w:rPr>
        <w:t xml:space="preserve"> and encourag</w:t>
      </w:r>
      <w:r w:rsidR="00DE42BE">
        <w:rPr>
          <w:rFonts w:ascii="Arial" w:eastAsia="Calibri" w:hAnsi="Arial" w:cs="Arial"/>
          <w:sz w:val="20"/>
          <w:szCs w:val="20"/>
        </w:rPr>
        <w:t>ing</w:t>
      </w:r>
      <w:r w:rsidR="008B0560" w:rsidRPr="00760626">
        <w:rPr>
          <w:rFonts w:ascii="Arial" w:eastAsia="Calibri" w:hAnsi="Arial" w:cs="Arial"/>
          <w:sz w:val="20"/>
          <w:szCs w:val="20"/>
        </w:rPr>
        <w:t xml:space="preserve"> democratic participation at national, regional and local levels through free and fair elections, but also to the separation of powers. The Heads of State and Government </w:t>
      </w:r>
      <w:r w:rsidR="00DE42BE">
        <w:rPr>
          <w:rFonts w:ascii="Arial" w:eastAsia="Calibri" w:hAnsi="Arial" w:cs="Arial"/>
          <w:sz w:val="20"/>
          <w:szCs w:val="20"/>
        </w:rPr>
        <w:t>make a commitment</w:t>
      </w:r>
      <w:r w:rsidR="008B0560" w:rsidRPr="00760626">
        <w:rPr>
          <w:rFonts w:ascii="Arial" w:eastAsia="Calibri" w:hAnsi="Arial" w:cs="Arial"/>
          <w:sz w:val="20"/>
          <w:szCs w:val="20"/>
        </w:rPr>
        <w:t xml:space="preserve"> to “</w:t>
      </w:r>
      <w:r w:rsidR="008B0560" w:rsidRPr="00760626">
        <w:rPr>
          <w:rFonts w:ascii="Arial" w:eastAsia="Calibri" w:hAnsi="Arial" w:cs="Arial"/>
          <w:sz w:val="20"/>
          <w:szCs w:val="20"/>
          <w14:ligatures w14:val="standardContextual"/>
        </w:rPr>
        <w:t>uphold the separation of powers with appropriate checks and balances between different State institutions</w:t>
      </w:r>
      <w:r w:rsidR="008B0560" w:rsidRPr="00760626">
        <w:rPr>
          <w:rFonts w:ascii="Arial" w:eastAsia="Calibri" w:hAnsi="Arial" w:cs="Arial"/>
          <w:i/>
          <w:iCs/>
          <w:sz w:val="20"/>
          <w:szCs w:val="20"/>
          <w14:ligatures w14:val="standardContextual"/>
        </w:rPr>
        <w:t>, at all levels</w:t>
      </w:r>
      <w:r w:rsidR="008B0560" w:rsidRPr="00760626">
        <w:rPr>
          <w:rFonts w:ascii="Arial" w:eastAsia="Calibri" w:hAnsi="Arial" w:cs="Arial"/>
          <w:sz w:val="20"/>
          <w:szCs w:val="20"/>
          <w14:ligatures w14:val="standardContextual"/>
        </w:rPr>
        <w:t xml:space="preserve">, to prevent any excessive concentration of power” </w:t>
      </w:r>
      <w:r w:rsidR="008B0560" w:rsidRPr="00760626">
        <w:rPr>
          <w:rFonts w:ascii="Arial" w:eastAsia="Calibri" w:hAnsi="Arial" w:cs="Arial"/>
          <w:color w:val="000000"/>
          <w:sz w:val="20"/>
          <w:szCs w:val="20"/>
        </w:rPr>
        <w:t>(emphasis added)</w:t>
      </w:r>
      <w:r w:rsidR="00DE42BE">
        <w:rPr>
          <w:rFonts w:ascii="Arial" w:eastAsia="Calibri" w:hAnsi="Arial" w:cs="Arial"/>
          <w:color w:val="000000"/>
          <w:sz w:val="20"/>
          <w:szCs w:val="20"/>
        </w:rPr>
        <w:t>.</w:t>
      </w:r>
      <w:r w:rsidR="008B0560" w:rsidRPr="00760626">
        <w:rPr>
          <w:rFonts w:ascii="Arial" w:eastAsia="Calibri" w:hAnsi="Arial" w:cs="Arial"/>
          <w:sz w:val="20"/>
          <w:szCs w:val="20"/>
          <w:vertAlign w:val="superscript"/>
          <w14:ligatures w14:val="standardContextual"/>
        </w:rPr>
        <w:footnoteReference w:id="31"/>
      </w:r>
      <w:r w:rsidR="008B0560" w:rsidRPr="00760626">
        <w:rPr>
          <w:rFonts w:ascii="Arial" w:eastAsia="Calibri" w:hAnsi="Arial" w:cs="Arial"/>
          <w:sz w:val="20"/>
          <w:szCs w:val="20"/>
          <w14:ligatures w14:val="standardContextual"/>
        </w:rPr>
        <w:t xml:space="preserve"> </w:t>
      </w:r>
      <w:r w:rsidR="00A4528A">
        <w:rPr>
          <w:rFonts w:ascii="Arial" w:eastAsia="Calibri" w:hAnsi="Arial" w:cs="Arial"/>
          <w:sz w:val="20"/>
          <w:szCs w:val="20"/>
          <w14:ligatures w14:val="standardContextual"/>
        </w:rPr>
        <w:t xml:space="preserve"> </w:t>
      </w:r>
    </w:p>
    <w:p w14:paraId="6157038F" w14:textId="77777777" w:rsidR="000A223C" w:rsidRPr="00760626" w:rsidRDefault="000A223C" w:rsidP="007322A3">
      <w:pPr>
        <w:pStyle w:val="ListParagraph"/>
        <w:tabs>
          <w:tab w:val="left" w:pos="567"/>
        </w:tabs>
        <w:autoSpaceDE w:val="0"/>
        <w:autoSpaceDN w:val="0"/>
        <w:adjustRightInd w:val="0"/>
        <w:spacing w:after="160"/>
        <w:ind w:left="0"/>
        <w:jc w:val="both"/>
        <w:rPr>
          <w:rFonts w:ascii="Arial" w:eastAsia="Calibri" w:hAnsi="Arial" w:cs="Arial"/>
          <w:sz w:val="20"/>
          <w:szCs w:val="20"/>
          <w14:ligatures w14:val="standardContextual"/>
        </w:rPr>
      </w:pPr>
    </w:p>
    <w:p w14:paraId="44DF3899" w14:textId="568B794D" w:rsidR="008B0560" w:rsidRDefault="00417C99" w:rsidP="005139D7">
      <w:pPr>
        <w:pStyle w:val="ListParagraph"/>
        <w:numPr>
          <w:ilvl w:val="0"/>
          <w:numId w:val="10"/>
        </w:numPr>
        <w:tabs>
          <w:tab w:val="left" w:pos="0"/>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I</w:t>
      </w:r>
      <w:r w:rsidR="008B0560" w:rsidRPr="00760626">
        <w:rPr>
          <w:rFonts w:ascii="Arial" w:eastAsia="Calibri" w:hAnsi="Arial" w:cs="Arial"/>
          <w:sz w:val="20"/>
          <w:szCs w:val="20"/>
          <w14:ligatures w14:val="standardContextual"/>
        </w:rPr>
        <w:t xml:space="preserve">t is </w:t>
      </w:r>
      <w:r>
        <w:rPr>
          <w:rFonts w:ascii="Arial" w:eastAsia="Calibri" w:hAnsi="Arial" w:cs="Arial"/>
          <w:sz w:val="20"/>
          <w:szCs w:val="20"/>
          <w14:ligatures w14:val="standardContextual"/>
        </w:rPr>
        <w:t xml:space="preserve">clear from all these documents </w:t>
      </w:r>
      <w:r w:rsidR="008B0560" w:rsidRPr="00760626">
        <w:rPr>
          <w:rFonts w:ascii="Arial" w:eastAsia="Calibri" w:hAnsi="Arial" w:cs="Arial"/>
          <w:sz w:val="20"/>
          <w:szCs w:val="20"/>
          <w14:ligatures w14:val="standardContextual"/>
        </w:rPr>
        <w:t>that a “genuine democracy”, as a democracy based on the rule of law, requires a system of divided powers.</w:t>
      </w:r>
    </w:p>
    <w:p w14:paraId="24073BEB" w14:textId="77777777" w:rsidR="00961918" w:rsidRDefault="00961918" w:rsidP="00961918">
      <w:pPr>
        <w:pStyle w:val="ListParagraph"/>
        <w:tabs>
          <w:tab w:val="left" w:pos="0"/>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5A2E4011" w14:textId="77777777" w:rsidR="007322A3" w:rsidRPr="00760626" w:rsidRDefault="007322A3" w:rsidP="007322A3">
      <w:pPr>
        <w:pStyle w:val="ListParagraph"/>
        <w:rPr>
          <w:rFonts w:ascii="Arial" w:eastAsia="Calibri" w:hAnsi="Arial" w:cs="Arial"/>
          <w:sz w:val="20"/>
          <w:szCs w:val="20"/>
          <w14:ligatures w14:val="standardContextual"/>
        </w:rPr>
      </w:pPr>
    </w:p>
    <w:p w14:paraId="428B13E2" w14:textId="2D105C94" w:rsidR="008B0560" w:rsidRDefault="007322A3" w:rsidP="007322A3">
      <w:pPr>
        <w:pStyle w:val="Style2"/>
        <w:spacing w:before="0"/>
        <w:rPr>
          <w:rFonts w:cs="Arial"/>
          <w:szCs w:val="20"/>
        </w:rPr>
      </w:pPr>
      <w:bookmarkStart w:id="53" w:name="_Toc143512959"/>
      <w:bookmarkStart w:id="54" w:name="_Toc158375252"/>
      <w:r w:rsidRPr="00CF4549">
        <w:rPr>
          <w:rFonts w:cs="Arial"/>
          <w:szCs w:val="20"/>
        </w:rPr>
        <w:t xml:space="preserve">PART II – </w:t>
      </w:r>
      <w:r w:rsidR="008B0560" w:rsidRPr="00CF4549">
        <w:rPr>
          <w:rFonts w:cs="Arial"/>
          <w:szCs w:val="20"/>
        </w:rPr>
        <w:t>R</w:t>
      </w:r>
      <w:r w:rsidRPr="00CF4549">
        <w:rPr>
          <w:rFonts w:cs="Arial"/>
          <w:szCs w:val="20"/>
        </w:rPr>
        <w:t>ULE OF LAW AND SUBNATIONAL AUTHORITIES</w:t>
      </w:r>
      <w:bookmarkEnd w:id="53"/>
      <w:bookmarkEnd w:id="54"/>
    </w:p>
    <w:p w14:paraId="325C14C2" w14:textId="5D1270A8" w:rsidR="009E6B31" w:rsidRPr="00DE42BE" w:rsidRDefault="009E6B31" w:rsidP="00B84119">
      <w:pPr>
        <w:pStyle w:val="Heading2"/>
        <w:numPr>
          <w:ilvl w:val="0"/>
          <w:numId w:val="30"/>
        </w:numPr>
        <w:tabs>
          <w:tab w:val="left" w:pos="142"/>
          <w:tab w:val="left" w:pos="426"/>
        </w:tabs>
        <w:ind w:left="0" w:firstLine="0"/>
        <w:rPr>
          <w:rFonts w:ascii="Arial" w:hAnsi="Arial" w:cs="Arial"/>
          <w:color w:val="auto"/>
          <w:sz w:val="20"/>
          <w:szCs w:val="20"/>
        </w:rPr>
      </w:pPr>
      <w:bookmarkStart w:id="55" w:name="_Toc158375253"/>
      <w:r w:rsidRPr="00DE42BE">
        <w:rPr>
          <w:rFonts w:ascii="Arial" w:hAnsi="Arial" w:cs="Arial"/>
          <w:color w:val="auto"/>
          <w:sz w:val="20"/>
          <w:szCs w:val="20"/>
        </w:rPr>
        <w:t>An overlooked relationship</w:t>
      </w:r>
      <w:bookmarkEnd w:id="55"/>
    </w:p>
    <w:p w14:paraId="58BE086F" w14:textId="77777777" w:rsidR="000A223C" w:rsidRPr="0080275C" w:rsidRDefault="000A223C" w:rsidP="0080275C">
      <w:pPr>
        <w:tabs>
          <w:tab w:val="left" w:pos="567"/>
        </w:tabs>
        <w:autoSpaceDE w:val="0"/>
        <w:autoSpaceDN w:val="0"/>
        <w:adjustRightInd w:val="0"/>
        <w:jc w:val="both"/>
        <w:rPr>
          <w:rFonts w:ascii="Arial" w:eastAsia="Calibri" w:hAnsi="Arial" w:cs="Arial"/>
          <w:b/>
          <w:bCs/>
          <w:i/>
          <w:iCs/>
          <w:sz w:val="20"/>
          <w:szCs w:val="20"/>
          <w14:ligatures w14:val="standardContextual"/>
        </w:rPr>
      </w:pPr>
    </w:p>
    <w:p w14:paraId="6C8697D2" w14:textId="50F3B3EA" w:rsidR="008B0560" w:rsidRPr="00760626" w:rsidRDefault="008B0560" w:rsidP="00A64570">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rPr>
      </w:pPr>
      <w:r w:rsidRPr="00760626">
        <w:rPr>
          <w:rFonts w:ascii="Arial" w:eastAsia="Calibri" w:hAnsi="Arial" w:cs="Arial"/>
          <w:sz w:val="20"/>
          <w:szCs w:val="20"/>
          <w14:ligatures w14:val="standardContextual"/>
        </w:rPr>
        <w:t>Since the origins of constitutionalism, scholars pointed out that “</w:t>
      </w:r>
      <w:r w:rsidR="00E9477A">
        <w:rPr>
          <w:rFonts w:ascii="Arial" w:eastAsia="Calibri" w:hAnsi="Arial" w:cs="Arial"/>
          <w:sz w:val="20"/>
          <w:szCs w:val="20"/>
        </w:rPr>
        <w:t>a</w:t>
      </w:r>
      <w:r w:rsidR="00E9477A" w:rsidRPr="00760626">
        <w:rPr>
          <w:rFonts w:ascii="Arial" w:eastAsia="Calibri" w:hAnsi="Arial" w:cs="Arial"/>
          <w:sz w:val="20"/>
          <w:szCs w:val="20"/>
        </w:rPr>
        <w:t xml:space="preserve">s </w:t>
      </w:r>
      <w:r w:rsidRPr="00760626">
        <w:rPr>
          <w:rFonts w:ascii="Arial" w:eastAsia="Calibri" w:hAnsi="Arial" w:cs="Arial"/>
          <w:sz w:val="20"/>
          <w:szCs w:val="20"/>
        </w:rPr>
        <w:t>a system of divided powers, federalism proceeds from the very essence of constitutionalism, which is limited government operating under the rule of law”</w:t>
      </w:r>
      <w:r w:rsidRPr="00760626">
        <w:rPr>
          <w:rFonts w:ascii="Arial" w:eastAsia="Calibri" w:hAnsi="Arial" w:cs="Arial"/>
          <w:sz w:val="20"/>
          <w:szCs w:val="20"/>
          <w:vertAlign w:val="superscript"/>
        </w:rPr>
        <w:footnoteReference w:id="32"/>
      </w:r>
      <w:r w:rsidRPr="00760626">
        <w:rPr>
          <w:rFonts w:ascii="Arial" w:eastAsia="Calibri" w:hAnsi="Arial" w:cs="Arial"/>
          <w:sz w:val="20"/>
          <w:szCs w:val="20"/>
        </w:rPr>
        <w:t>.</w:t>
      </w:r>
      <w:r w:rsidR="00DE42BE">
        <w:rPr>
          <w:rFonts w:ascii="Arial" w:eastAsia="Calibri" w:hAnsi="Arial" w:cs="Arial"/>
          <w:sz w:val="20"/>
          <w:szCs w:val="20"/>
        </w:rPr>
        <w:t xml:space="preserve"> </w:t>
      </w:r>
      <w:r w:rsidRPr="00760626">
        <w:rPr>
          <w:rFonts w:ascii="Arial" w:eastAsia="Calibri" w:hAnsi="Arial" w:cs="Arial"/>
          <w:sz w:val="20"/>
          <w:szCs w:val="20"/>
        </w:rPr>
        <w:t xml:space="preserve">In other words, the “vertical division of powers” is an aspect of the separation of powers, and as the latter, </w:t>
      </w:r>
      <w:r w:rsidR="00E9477A">
        <w:rPr>
          <w:rFonts w:ascii="Arial" w:eastAsia="Calibri" w:hAnsi="Arial" w:cs="Arial"/>
          <w:sz w:val="20"/>
          <w:szCs w:val="20"/>
        </w:rPr>
        <w:t xml:space="preserve">serves </w:t>
      </w:r>
      <w:r w:rsidRPr="00760626">
        <w:rPr>
          <w:rFonts w:ascii="Arial" w:eastAsia="Calibri" w:hAnsi="Arial" w:cs="Arial"/>
          <w:sz w:val="20"/>
          <w:szCs w:val="20"/>
        </w:rPr>
        <w:t>a</w:t>
      </w:r>
      <w:r w:rsidR="00E9477A">
        <w:rPr>
          <w:rFonts w:ascii="Arial" w:eastAsia="Calibri" w:hAnsi="Arial" w:cs="Arial"/>
          <w:sz w:val="20"/>
          <w:szCs w:val="20"/>
        </w:rPr>
        <w:t>s a</w:t>
      </w:r>
      <w:r w:rsidRPr="00760626">
        <w:rPr>
          <w:rFonts w:ascii="Arial" w:eastAsia="Calibri" w:hAnsi="Arial" w:cs="Arial"/>
          <w:sz w:val="20"/>
          <w:szCs w:val="20"/>
        </w:rPr>
        <w:t xml:space="preserve"> guarantee against authoritarianism and arbitrariness, </w:t>
      </w:r>
      <w:r w:rsidR="00E9477A" w:rsidRPr="00EA6A10">
        <w:rPr>
          <w:rFonts w:ascii="Arial" w:eastAsia="Calibri" w:hAnsi="Arial" w:cs="Arial"/>
          <w:sz w:val="20"/>
          <w:szCs w:val="20"/>
        </w:rPr>
        <w:t>that is,</w:t>
      </w:r>
      <w:r w:rsidRPr="00760626">
        <w:rPr>
          <w:rFonts w:ascii="Arial" w:eastAsia="Calibri" w:hAnsi="Arial" w:cs="Arial"/>
          <w:sz w:val="20"/>
          <w:szCs w:val="20"/>
        </w:rPr>
        <w:t xml:space="preserve"> an essential aspect of the rule of law.</w:t>
      </w:r>
    </w:p>
    <w:p w14:paraId="1F8C2D36" w14:textId="77777777" w:rsidR="000A223C" w:rsidRPr="00760626" w:rsidRDefault="000A223C" w:rsidP="00A64570">
      <w:pPr>
        <w:pStyle w:val="ListParagraph"/>
        <w:tabs>
          <w:tab w:val="left" w:pos="426"/>
        </w:tabs>
        <w:autoSpaceDE w:val="0"/>
        <w:autoSpaceDN w:val="0"/>
        <w:adjustRightInd w:val="0"/>
        <w:spacing w:after="160"/>
        <w:ind w:left="0"/>
        <w:jc w:val="both"/>
        <w:rPr>
          <w:rFonts w:ascii="Arial" w:eastAsia="Calibri" w:hAnsi="Arial" w:cs="Arial"/>
          <w:sz w:val="20"/>
          <w:szCs w:val="20"/>
        </w:rPr>
      </w:pPr>
    </w:p>
    <w:p w14:paraId="027B4183" w14:textId="1E03F833" w:rsidR="008B0560" w:rsidRPr="00760626" w:rsidRDefault="008B0560" w:rsidP="00A64570">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rPr>
      </w:pPr>
      <w:r w:rsidRPr="00760626">
        <w:rPr>
          <w:rFonts w:ascii="Arial" w:eastAsia="Calibri" w:hAnsi="Arial" w:cs="Arial"/>
          <w:sz w:val="20"/>
          <w:szCs w:val="20"/>
        </w:rPr>
        <w:t>In the famous paragraph 51 of the Federalist Papers, James Madison wrote: “</w:t>
      </w:r>
      <w:r w:rsidRPr="00760626">
        <w:rPr>
          <w:rFonts w:ascii="Arial" w:eastAsia="Calibri" w:hAnsi="Arial" w:cs="Arial"/>
          <w:sz w:val="20"/>
          <w:szCs w:val="20"/>
          <w:shd w:val="clear" w:color="auto" w:fill="FFFFFF"/>
        </w:rPr>
        <w:t xml:space="preserve">In the compound republic of America, the power surrendered by the people is first divided between two distinct governments, and then the portion allotted to each subdivided among distinct and separate </w:t>
      </w:r>
      <w:r w:rsidRPr="00760626">
        <w:rPr>
          <w:rFonts w:ascii="Arial" w:eastAsia="Calibri" w:hAnsi="Arial" w:cs="Arial"/>
          <w:sz w:val="20"/>
          <w:szCs w:val="20"/>
          <w:shd w:val="clear" w:color="auto" w:fill="FFFFFF"/>
        </w:rPr>
        <w:lastRenderedPageBreak/>
        <w:t>departments. Hence</w:t>
      </w:r>
      <w:r w:rsidR="00E9477A">
        <w:rPr>
          <w:rFonts w:ascii="Arial" w:eastAsia="Calibri" w:hAnsi="Arial" w:cs="Arial"/>
          <w:sz w:val="20"/>
          <w:szCs w:val="20"/>
          <w:shd w:val="clear" w:color="auto" w:fill="FFFFFF"/>
        </w:rPr>
        <w:t>,</w:t>
      </w:r>
      <w:r w:rsidRPr="00760626">
        <w:rPr>
          <w:rFonts w:ascii="Arial" w:eastAsia="Calibri" w:hAnsi="Arial" w:cs="Arial"/>
          <w:sz w:val="20"/>
          <w:szCs w:val="20"/>
          <w:shd w:val="clear" w:color="auto" w:fill="FFFFFF"/>
        </w:rPr>
        <w:t xml:space="preserve"> a double security arises to the rights of the people. The different governments will control each other, at the same time that each will be controlled by itself”</w:t>
      </w:r>
      <w:r w:rsidR="00DE42BE">
        <w:rPr>
          <w:rFonts w:ascii="Arial" w:eastAsia="Calibri" w:hAnsi="Arial" w:cs="Arial"/>
          <w:sz w:val="20"/>
          <w:szCs w:val="20"/>
          <w:shd w:val="clear" w:color="auto" w:fill="FFFFFF"/>
        </w:rPr>
        <w:t>.</w:t>
      </w:r>
      <w:r w:rsidRPr="00760626">
        <w:rPr>
          <w:rFonts w:ascii="Arial" w:eastAsia="Calibri" w:hAnsi="Arial" w:cs="Arial"/>
          <w:sz w:val="20"/>
          <w:szCs w:val="20"/>
          <w:shd w:val="clear" w:color="auto" w:fill="FFFFFF"/>
          <w:vertAlign w:val="superscript"/>
        </w:rPr>
        <w:footnoteReference w:id="33"/>
      </w:r>
    </w:p>
    <w:p w14:paraId="5F7B2232" w14:textId="77777777" w:rsidR="000A223C" w:rsidRPr="00760626" w:rsidRDefault="000A223C" w:rsidP="00A64570">
      <w:pPr>
        <w:pStyle w:val="ListParagraph"/>
        <w:tabs>
          <w:tab w:val="left" w:pos="426"/>
        </w:tabs>
        <w:autoSpaceDE w:val="0"/>
        <w:autoSpaceDN w:val="0"/>
        <w:adjustRightInd w:val="0"/>
        <w:spacing w:after="160"/>
        <w:ind w:left="0"/>
        <w:jc w:val="both"/>
        <w:rPr>
          <w:rFonts w:ascii="Arial" w:eastAsia="Calibri" w:hAnsi="Arial" w:cs="Arial"/>
          <w:sz w:val="20"/>
          <w:szCs w:val="20"/>
        </w:rPr>
      </w:pPr>
    </w:p>
    <w:p w14:paraId="4D8CF98F" w14:textId="786B669F" w:rsidR="008B0560" w:rsidRPr="00760626" w:rsidRDefault="008B0560" w:rsidP="00A64570">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 xml:space="preserve">It is therefore </w:t>
      </w:r>
      <w:r w:rsidR="00E9477A">
        <w:rPr>
          <w:rFonts w:ascii="Arial" w:eastAsia="Calibri" w:hAnsi="Arial" w:cs="Arial"/>
          <w:sz w:val="20"/>
          <w:szCs w:val="20"/>
          <w14:ligatures w14:val="standardContextual"/>
        </w:rPr>
        <w:t>particularly</w:t>
      </w:r>
      <w:r w:rsidR="00E9477A" w:rsidRPr="00760626">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surprising that the many indicators </w:t>
      </w:r>
      <w:r w:rsidR="00E9477A">
        <w:rPr>
          <w:rFonts w:ascii="Arial" w:eastAsia="Calibri" w:hAnsi="Arial" w:cs="Arial"/>
          <w:sz w:val="20"/>
          <w:szCs w:val="20"/>
          <w14:ligatures w14:val="standardContextual"/>
        </w:rPr>
        <w:t>designed to</w:t>
      </w:r>
      <w:r w:rsidRPr="00760626">
        <w:rPr>
          <w:rFonts w:ascii="Arial" w:eastAsia="Calibri" w:hAnsi="Arial" w:cs="Arial"/>
          <w:sz w:val="20"/>
          <w:szCs w:val="20"/>
          <w14:ligatures w14:val="standardContextual"/>
        </w:rPr>
        <w:t xml:space="preserve"> assess the state of constitutional democracy and/or </w:t>
      </w:r>
      <w:r w:rsidR="00E9477A">
        <w:rPr>
          <w:rFonts w:ascii="Arial" w:eastAsia="Calibri" w:hAnsi="Arial" w:cs="Arial"/>
          <w:sz w:val="20"/>
          <w:szCs w:val="20"/>
          <w14:ligatures w14:val="standardContextual"/>
        </w:rPr>
        <w:t xml:space="preserve">the </w:t>
      </w:r>
      <w:r w:rsidRPr="00760626">
        <w:rPr>
          <w:rFonts w:ascii="Arial" w:eastAsia="Calibri" w:hAnsi="Arial" w:cs="Arial"/>
          <w:sz w:val="20"/>
          <w:szCs w:val="20"/>
          <w14:ligatures w14:val="standardContextual"/>
        </w:rPr>
        <w:t>rule of law worldwide do not take into account the vertical separation of powers (in its various institutional arrangements, going from federal or regional government to local self-government).</w:t>
      </w:r>
    </w:p>
    <w:p w14:paraId="546EE82B" w14:textId="77777777" w:rsidR="000A223C" w:rsidRPr="00760626" w:rsidRDefault="000A223C" w:rsidP="00A64570">
      <w:pPr>
        <w:pStyle w:val="ListParagraph"/>
        <w:ind w:left="0"/>
        <w:rPr>
          <w:rFonts w:ascii="Arial" w:eastAsia="Calibri" w:hAnsi="Arial" w:cs="Arial"/>
          <w:sz w:val="20"/>
          <w:szCs w:val="20"/>
          <w14:ligatures w14:val="standardContextual"/>
        </w:rPr>
      </w:pPr>
    </w:p>
    <w:p w14:paraId="344EBAEB" w14:textId="1A0065F2" w:rsidR="008B0560" w:rsidRPr="00760626" w:rsidRDefault="008B0560" w:rsidP="00A64570">
      <w:pPr>
        <w:pStyle w:val="ListParagraph"/>
        <w:numPr>
          <w:ilvl w:val="0"/>
          <w:numId w:val="10"/>
        </w:numPr>
        <w:shd w:val="clear" w:color="auto" w:fill="FFFFFF"/>
        <w:tabs>
          <w:tab w:val="left" w:pos="426"/>
        </w:tabs>
        <w:spacing w:after="160"/>
        <w:ind w:left="0" w:firstLine="0"/>
        <w:jc w:val="both"/>
        <w:rPr>
          <w:rFonts w:ascii="Arial" w:eastAsia="Calibri" w:hAnsi="Arial" w:cs="Arial"/>
          <w:kern w:val="2"/>
          <w:sz w:val="20"/>
          <w:szCs w:val="20"/>
          <w14:ligatures w14:val="standardContextual"/>
        </w:rPr>
      </w:pPr>
      <w:r w:rsidRPr="00760626">
        <w:rPr>
          <w:rFonts w:ascii="Arial" w:eastAsia="Calibri" w:hAnsi="Arial" w:cs="Arial"/>
          <w:sz w:val="20"/>
          <w:szCs w:val="20"/>
          <w14:ligatures w14:val="standardContextual"/>
        </w:rPr>
        <w:t xml:space="preserve">An example of this attitude is represented by the Venice Commission Rule of </w:t>
      </w:r>
      <w:r w:rsidR="00DE42BE">
        <w:rPr>
          <w:rFonts w:ascii="Arial" w:eastAsia="Calibri" w:hAnsi="Arial" w:cs="Arial"/>
          <w:sz w:val="20"/>
          <w:szCs w:val="20"/>
          <w14:ligatures w14:val="standardContextual"/>
        </w:rPr>
        <w:t>L</w:t>
      </w:r>
      <w:r w:rsidRPr="00760626">
        <w:rPr>
          <w:rFonts w:ascii="Arial" w:eastAsia="Calibri" w:hAnsi="Arial" w:cs="Arial"/>
          <w:sz w:val="20"/>
          <w:szCs w:val="20"/>
          <w14:ligatures w14:val="standardContextual"/>
        </w:rPr>
        <w:t xml:space="preserve">aw Checklist, which </w:t>
      </w:r>
      <w:r w:rsidR="00E9477A">
        <w:rPr>
          <w:rFonts w:ascii="Arial" w:eastAsia="Calibri" w:hAnsi="Arial" w:cs="Arial"/>
          <w:sz w:val="20"/>
          <w:szCs w:val="20"/>
          <w14:ligatures w14:val="standardContextual"/>
        </w:rPr>
        <w:t>makes only</w:t>
      </w:r>
      <w:r w:rsidRPr="00760626">
        <w:rPr>
          <w:rFonts w:ascii="Arial" w:eastAsia="Calibri" w:hAnsi="Arial" w:cs="Arial"/>
          <w:sz w:val="20"/>
          <w:szCs w:val="20"/>
          <w14:ligatures w14:val="standardContextual"/>
        </w:rPr>
        <w:t xml:space="preserve"> </w:t>
      </w:r>
      <w:r w:rsidR="00E9477A">
        <w:rPr>
          <w:rFonts w:ascii="Arial" w:eastAsia="Calibri" w:hAnsi="Arial" w:cs="Arial"/>
          <w:sz w:val="20"/>
          <w:szCs w:val="20"/>
          <w14:ligatures w14:val="standardContextual"/>
        </w:rPr>
        <w:t xml:space="preserve">a </w:t>
      </w:r>
      <w:r w:rsidRPr="00760626">
        <w:rPr>
          <w:rFonts w:ascii="Arial" w:eastAsia="Calibri" w:hAnsi="Arial" w:cs="Arial"/>
          <w:sz w:val="20"/>
          <w:szCs w:val="20"/>
          <w14:ligatures w14:val="standardContextual"/>
        </w:rPr>
        <w:t xml:space="preserve">brief </w:t>
      </w:r>
      <w:r w:rsidR="00E9477A">
        <w:rPr>
          <w:rFonts w:ascii="Arial" w:eastAsia="Calibri" w:hAnsi="Arial" w:cs="Arial"/>
          <w:sz w:val="20"/>
          <w:szCs w:val="20"/>
          <w14:ligatures w14:val="standardContextual"/>
        </w:rPr>
        <w:t xml:space="preserve">reference </w:t>
      </w:r>
      <w:r w:rsidRPr="00760626">
        <w:rPr>
          <w:rFonts w:ascii="Arial" w:eastAsia="Calibri" w:hAnsi="Arial" w:cs="Arial"/>
          <w:sz w:val="20"/>
          <w:szCs w:val="20"/>
          <w14:ligatures w14:val="standardContextual"/>
        </w:rPr>
        <w:t xml:space="preserve">to the principle of separation of powers and </w:t>
      </w:r>
      <w:r w:rsidRPr="00760626">
        <w:rPr>
          <w:rFonts w:ascii="Arial" w:hAnsi="Arial" w:cs="Arial"/>
          <w:sz w:val="20"/>
          <w:szCs w:val="20"/>
          <w:lang w:eastAsia="it-IT"/>
        </w:rPr>
        <w:t xml:space="preserve">mentions local government </w:t>
      </w:r>
      <w:r w:rsidR="00E9477A">
        <w:rPr>
          <w:rFonts w:ascii="Arial" w:hAnsi="Arial" w:cs="Arial"/>
          <w:sz w:val="20"/>
          <w:szCs w:val="20"/>
          <w:lang w:eastAsia="it-IT"/>
        </w:rPr>
        <w:t>solely in terms of</w:t>
      </w:r>
      <w:r w:rsidR="00C35C46">
        <w:rPr>
          <w:rFonts w:ascii="Arial" w:hAnsi="Arial" w:cs="Arial"/>
          <w:sz w:val="20"/>
          <w:szCs w:val="20"/>
          <w:lang w:eastAsia="it-IT"/>
        </w:rPr>
        <w:t xml:space="preserve"> </w:t>
      </w:r>
      <w:r w:rsidRPr="00760626">
        <w:rPr>
          <w:rFonts w:ascii="Arial" w:eastAsia="Calibri" w:hAnsi="Arial" w:cs="Arial"/>
          <w:kern w:val="2"/>
          <w:sz w:val="20"/>
          <w:szCs w:val="20"/>
          <w14:ligatures w14:val="standardContextual"/>
        </w:rPr>
        <w:t>how well local authorities perform their duties, especially in relation to the issue of corruption</w:t>
      </w:r>
      <w:r w:rsidR="00DE42BE">
        <w:rPr>
          <w:rFonts w:ascii="Arial" w:eastAsia="Calibri" w:hAnsi="Arial" w:cs="Arial"/>
          <w:kern w:val="2"/>
          <w:sz w:val="20"/>
          <w:szCs w:val="20"/>
          <w14:ligatures w14:val="standardContextual"/>
        </w:rPr>
        <w:t>.</w:t>
      </w:r>
      <w:r w:rsidRPr="00760626">
        <w:rPr>
          <w:rFonts w:ascii="Arial" w:eastAsia="Calibri" w:hAnsi="Arial" w:cs="Arial"/>
          <w:sz w:val="20"/>
          <w:szCs w:val="20"/>
          <w:vertAlign w:val="superscript"/>
        </w:rPr>
        <w:footnoteReference w:id="34"/>
      </w:r>
      <w:r w:rsidRPr="00760626">
        <w:rPr>
          <w:rFonts w:ascii="Arial" w:eastAsia="Calibri" w:hAnsi="Arial" w:cs="Arial"/>
          <w:kern w:val="2"/>
          <w:sz w:val="20"/>
          <w:szCs w:val="20"/>
          <w14:ligatures w14:val="standardContextual"/>
        </w:rPr>
        <w:t xml:space="preserve"> </w:t>
      </w:r>
    </w:p>
    <w:p w14:paraId="64F8F498" w14:textId="77777777" w:rsidR="000A223C" w:rsidRPr="00760626" w:rsidRDefault="000A223C" w:rsidP="00A64570">
      <w:pPr>
        <w:pStyle w:val="ListParagraph"/>
        <w:ind w:left="0"/>
        <w:rPr>
          <w:rFonts w:ascii="Arial" w:eastAsia="Calibri" w:hAnsi="Arial" w:cs="Arial"/>
          <w:kern w:val="2"/>
          <w:sz w:val="20"/>
          <w:szCs w:val="20"/>
          <w14:ligatures w14:val="standardContextual"/>
        </w:rPr>
      </w:pPr>
    </w:p>
    <w:p w14:paraId="4B659D4A" w14:textId="768F9CF1" w:rsidR="008B0560" w:rsidRPr="00760626" w:rsidRDefault="008B0560" w:rsidP="00A64570">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760626">
        <w:rPr>
          <w:rFonts w:ascii="Arial" w:eastAsia="Calibri" w:hAnsi="Arial" w:cs="Arial"/>
          <w:sz w:val="20"/>
          <w:szCs w:val="20"/>
          <w14:ligatures w14:val="standardContextual"/>
        </w:rPr>
        <w:t xml:space="preserve">A brief </w:t>
      </w:r>
      <w:r w:rsidR="00E9477A">
        <w:rPr>
          <w:rFonts w:ascii="Arial" w:eastAsia="Calibri" w:hAnsi="Arial" w:cs="Arial"/>
          <w:sz w:val="20"/>
          <w:szCs w:val="20"/>
          <w14:ligatures w14:val="standardContextual"/>
        </w:rPr>
        <w:t>reference</w:t>
      </w:r>
      <w:r w:rsidR="00E9477A" w:rsidRPr="00760626">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to local and regional authorities can be found in the </w:t>
      </w:r>
      <w:r w:rsidR="00DE42BE">
        <w:rPr>
          <w:rFonts w:ascii="Arial" w:eastAsia="Calibri" w:hAnsi="Arial" w:cs="Arial"/>
          <w:sz w:val="20"/>
          <w:szCs w:val="20"/>
          <w14:ligatures w14:val="standardContextual"/>
        </w:rPr>
        <w:t xml:space="preserve">Parliamentary Assembly </w:t>
      </w:r>
      <w:r w:rsidRPr="00760626">
        <w:rPr>
          <w:rFonts w:ascii="Arial" w:eastAsia="Calibri" w:hAnsi="Arial" w:cs="Arial"/>
          <w:sz w:val="20"/>
          <w:szCs w:val="20"/>
          <w14:ligatures w14:val="standardContextual"/>
        </w:rPr>
        <w:t>Resolution 2437</w:t>
      </w:r>
      <w:r w:rsidR="00DE42BE">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(2022) “Safeguarding and promoting genuine democracy in Europe”. In </w:t>
      </w:r>
      <w:r w:rsidR="00CD58F6">
        <w:rPr>
          <w:rFonts w:ascii="Arial" w:eastAsia="Calibri" w:hAnsi="Arial" w:cs="Arial"/>
          <w:sz w:val="20"/>
          <w:szCs w:val="20"/>
          <w14:ligatures w14:val="standardContextual"/>
        </w:rPr>
        <w:t>this</w:t>
      </w:r>
      <w:r w:rsidR="00CD58F6" w:rsidRPr="00760626">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 xml:space="preserve">resolution, the Parliamentary Assembly </w:t>
      </w:r>
      <w:r w:rsidR="00CD58F6">
        <w:rPr>
          <w:rFonts w:ascii="Arial" w:eastAsia="Calibri" w:hAnsi="Arial" w:cs="Arial"/>
          <w:sz w:val="20"/>
          <w:szCs w:val="20"/>
          <w14:ligatures w14:val="standardContextual"/>
        </w:rPr>
        <w:t>called upon</w:t>
      </w:r>
      <w:r w:rsidRPr="00760626">
        <w:rPr>
          <w:rFonts w:ascii="Arial" w:eastAsia="Calibri" w:hAnsi="Arial" w:cs="Arial"/>
          <w:sz w:val="20"/>
          <w:szCs w:val="20"/>
          <w14:ligatures w14:val="standardContextual"/>
        </w:rPr>
        <w:t xml:space="preserve"> </w:t>
      </w:r>
      <w:r w:rsidR="00DE42BE">
        <w:rPr>
          <w:rFonts w:ascii="Arial" w:eastAsia="Calibri" w:hAnsi="Arial" w:cs="Arial"/>
          <w:sz w:val="20"/>
          <w:szCs w:val="20"/>
          <w14:ligatures w14:val="standardContextual"/>
        </w:rPr>
        <w:t>m</w:t>
      </w:r>
      <w:r w:rsidRPr="00760626">
        <w:rPr>
          <w:rFonts w:ascii="Arial" w:eastAsia="Calibri" w:hAnsi="Arial" w:cs="Arial"/>
          <w:sz w:val="20"/>
          <w:szCs w:val="20"/>
          <w14:ligatures w14:val="standardContextual"/>
        </w:rPr>
        <w:t>ember States, among other things, to “guarantee good democratic governance, by ensuring, in particular, that local and regional authorities have the necessary powers, adequate financial resources and skilled staff to provide the best possible services to the entire population”, thus implicitly recogni</w:t>
      </w:r>
      <w:r w:rsidR="00DE42BE">
        <w:rPr>
          <w:rFonts w:ascii="Arial" w:eastAsia="Calibri" w:hAnsi="Arial" w:cs="Arial"/>
          <w:sz w:val="20"/>
          <w:szCs w:val="20"/>
          <w14:ligatures w14:val="standardContextual"/>
        </w:rPr>
        <w:t>s</w:t>
      </w:r>
      <w:r w:rsidRPr="00760626">
        <w:rPr>
          <w:rFonts w:ascii="Arial" w:eastAsia="Calibri" w:hAnsi="Arial" w:cs="Arial"/>
          <w:sz w:val="20"/>
          <w:szCs w:val="20"/>
          <w14:ligatures w14:val="standardContextual"/>
        </w:rPr>
        <w:t>ing the role of local self-government in enhancing democracy and rule of law</w:t>
      </w:r>
      <w:r w:rsidR="00DE42BE">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35"/>
      </w:r>
    </w:p>
    <w:p w14:paraId="472F8CA5" w14:textId="77777777" w:rsidR="000A223C" w:rsidRPr="00760626" w:rsidRDefault="000A223C" w:rsidP="00A64570">
      <w:pPr>
        <w:pStyle w:val="ListParagraph"/>
        <w:tabs>
          <w:tab w:val="left" w:pos="426"/>
        </w:tabs>
        <w:autoSpaceDE w:val="0"/>
        <w:autoSpaceDN w:val="0"/>
        <w:adjustRightInd w:val="0"/>
        <w:spacing w:after="160"/>
        <w:ind w:left="0"/>
        <w:jc w:val="both"/>
        <w:rPr>
          <w:rFonts w:ascii="Arial" w:eastAsia="Calibri" w:hAnsi="Arial" w:cs="Arial"/>
          <w:kern w:val="2"/>
          <w:sz w:val="20"/>
          <w:szCs w:val="20"/>
          <w14:ligatures w14:val="standardContextual"/>
        </w:rPr>
      </w:pPr>
    </w:p>
    <w:p w14:paraId="14500A82" w14:textId="4DE59132" w:rsidR="008B0560" w:rsidRPr="00760626" w:rsidRDefault="00AB3A2E" w:rsidP="00A64570">
      <w:pPr>
        <w:pStyle w:val="ListParagraph"/>
        <w:numPr>
          <w:ilvl w:val="0"/>
          <w:numId w:val="10"/>
        </w:numPr>
        <w:shd w:val="clear" w:color="auto" w:fill="FFFFFF"/>
        <w:tabs>
          <w:tab w:val="left" w:pos="426"/>
        </w:tabs>
        <w:spacing w:after="160"/>
        <w:ind w:left="0" w:firstLine="0"/>
        <w:jc w:val="both"/>
        <w:rPr>
          <w:rFonts w:ascii="Arial" w:eastAsia="Calibri" w:hAnsi="Arial" w:cs="Arial"/>
          <w:sz w:val="20"/>
          <w:szCs w:val="20"/>
          <w14:ligatures w14:val="standardContextual"/>
        </w:rPr>
      </w:pPr>
      <w:r>
        <w:rPr>
          <w:rFonts w:ascii="Arial" w:eastAsia="Calibri" w:hAnsi="Arial" w:cs="Arial"/>
          <w:kern w:val="2"/>
          <w:sz w:val="20"/>
          <w:szCs w:val="20"/>
          <w14:ligatures w14:val="standardContextual"/>
        </w:rPr>
        <w:t>Local</w:t>
      </w:r>
      <w:r w:rsidR="008B0560" w:rsidRPr="00760626">
        <w:rPr>
          <w:rFonts w:ascii="Arial" w:eastAsia="Calibri" w:hAnsi="Arial" w:cs="Arial"/>
          <w:kern w:val="2"/>
          <w:sz w:val="20"/>
          <w:szCs w:val="20"/>
          <w14:ligatures w14:val="standardContextual"/>
        </w:rPr>
        <w:t xml:space="preserve"> self-government, and more </w:t>
      </w:r>
      <w:r w:rsidR="00CD58F6">
        <w:rPr>
          <w:rFonts w:ascii="Arial" w:eastAsia="Calibri" w:hAnsi="Arial" w:cs="Arial"/>
          <w:kern w:val="2"/>
          <w:sz w:val="20"/>
          <w:szCs w:val="20"/>
          <w14:ligatures w14:val="standardContextual"/>
        </w:rPr>
        <w:t>generally</w:t>
      </w:r>
      <w:r w:rsidR="00CD58F6" w:rsidRPr="00760626">
        <w:rPr>
          <w:rFonts w:ascii="Arial" w:eastAsia="Calibri" w:hAnsi="Arial" w:cs="Arial"/>
          <w:kern w:val="2"/>
          <w:sz w:val="20"/>
          <w:szCs w:val="20"/>
          <w14:ligatures w14:val="standardContextual"/>
        </w:rPr>
        <w:t xml:space="preserve"> </w:t>
      </w:r>
      <w:r w:rsidR="008B0560" w:rsidRPr="00760626">
        <w:rPr>
          <w:rFonts w:ascii="Arial" w:eastAsia="Calibri" w:hAnsi="Arial" w:cs="Arial"/>
          <w:kern w:val="2"/>
          <w:sz w:val="20"/>
          <w:szCs w:val="20"/>
          <w14:ligatures w14:val="standardContextual"/>
        </w:rPr>
        <w:t>the vertical separation of powers</w:t>
      </w:r>
      <w:r w:rsidR="00DE42BE">
        <w:rPr>
          <w:rFonts w:ascii="Arial" w:eastAsia="Calibri" w:hAnsi="Arial" w:cs="Arial"/>
          <w:kern w:val="2"/>
          <w:sz w:val="20"/>
          <w:szCs w:val="20"/>
          <w14:ligatures w14:val="standardContextual"/>
        </w:rPr>
        <w:t>,</w:t>
      </w:r>
      <w:r w:rsidR="008B0560" w:rsidRPr="00760626">
        <w:rPr>
          <w:rFonts w:ascii="Arial" w:eastAsia="Calibri" w:hAnsi="Arial" w:cs="Arial"/>
          <w:kern w:val="2"/>
          <w:sz w:val="20"/>
          <w:szCs w:val="20"/>
          <w14:ligatures w14:val="standardContextual"/>
        </w:rPr>
        <w:t xml:space="preserve"> is also absent from the EU mechanism on the rule of law</w:t>
      </w:r>
      <w:r w:rsidR="008B0560" w:rsidRPr="00760626">
        <w:rPr>
          <w:rFonts w:ascii="Arial" w:eastAsia="Calibri" w:hAnsi="Arial" w:cs="Arial"/>
          <w:sz w:val="20"/>
          <w:szCs w:val="20"/>
          <w:vertAlign w:val="superscript"/>
        </w:rPr>
        <w:footnoteReference w:id="36"/>
      </w:r>
      <w:r w:rsidR="008B0560" w:rsidRPr="00760626">
        <w:rPr>
          <w:rFonts w:ascii="Arial" w:eastAsia="Calibri" w:hAnsi="Arial" w:cs="Arial"/>
          <w:kern w:val="2"/>
          <w:sz w:val="20"/>
          <w:szCs w:val="20"/>
          <w14:ligatures w14:val="standardContextual"/>
        </w:rPr>
        <w:t xml:space="preserve"> and from the UN indicators</w:t>
      </w:r>
      <w:r w:rsidR="00DE42BE">
        <w:rPr>
          <w:rFonts w:ascii="Arial" w:eastAsia="Calibri" w:hAnsi="Arial" w:cs="Arial"/>
          <w:kern w:val="2"/>
          <w:sz w:val="20"/>
          <w:szCs w:val="20"/>
          <w14:ligatures w14:val="standardContextual"/>
        </w:rPr>
        <w:t>.</w:t>
      </w:r>
      <w:r w:rsidR="008B0560" w:rsidRPr="00760626">
        <w:rPr>
          <w:rFonts w:ascii="Arial" w:eastAsia="Calibri" w:hAnsi="Arial" w:cs="Arial"/>
          <w:sz w:val="20"/>
          <w:szCs w:val="20"/>
          <w:vertAlign w:val="superscript"/>
        </w:rPr>
        <w:footnoteReference w:id="37"/>
      </w:r>
      <w:r w:rsidR="008B0560" w:rsidRPr="00760626">
        <w:rPr>
          <w:rFonts w:ascii="Arial" w:eastAsia="Calibri" w:hAnsi="Arial" w:cs="Arial"/>
          <w:kern w:val="2"/>
          <w:sz w:val="20"/>
          <w:szCs w:val="20"/>
          <w14:ligatures w14:val="standardContextual"/>
        </w:rPr>
        <w:t xml:space="preserve"> </w:t>
      </w:r>
    </w:p>
    <w:p w14:paraId="7C9E2297" w14:textId="77777777" w:rsidR="000A223C" w:rsidRPr="00760626" w:rsidRDefault="000A223C" w:rsidP="00A64570">
      <w:pPr>
        <w:pStyle w:val="ListParagraph"/>
        <w:ind w:left="0"/>
        <w:rPr>
          <w:rFonts w:ascii="Arial" w:eastAsia="Calibri" w:hAnsi="Arial" w:cs="Arial"/>
          <w:sz w:val="20"/>
          <w:szCs w:val="20"/>
          <w14:ligatures w14:val="standardContextual"/>
        </w:rPr>
      </w:pPr>
    </w:p>
    <w:p w14:paraId="5DAFE2E9" w14:textId="5A7AB512" w:rsidR="008B0560" w:rsidRPr="00760626" w:rsidRDefault="008B0560" w:rsidP="00A64570">
      <w:pPr>
        <w:pStyle w:val="ListParagraph"/>
        <w:numPr>
          <w:ilvl w:val="0"/>
          <w:numId w:val="10"/>
        </w:numPr>
        <w:shd w:val="clear" w:color="auto" w:fill="FFFFFF"/>
        <w:tabs>
          <w:tab w:val="left" w:pos="426"/>
        </w:tabs>
        <w:spacing w:after="160"/>
        <w:ind w:left="0" w:firstLine="0"/>
        <w:jc w:val="both"/>
        <w:rPr>
          <w:rFonts w:ascii="Arial" w:eastAsia="Calibri" w:hAnsi="Arial" w:cs="Arial"/>
          <w:sz w:val="20"/>
          <w:szCs w:val="20"/>
          <w14:ligatures w14:val="standardContextual"/>
        </w:rPr>
      </w:pPr>
      <w:r w:rsidRPr="00760626">
        <w:rPr>
          <w:rFonts w:ascii="Arial" w:eastAsia="Calibri" w:hAnsi="Arial" w:cs="Arial"/>
          <w:sz w:val="20"/>
          <w:szCs w:val="20"/>
          <w14:ligatures w14:val="standardContextual"/>
        </w:rPr>
        <w:t>As for non-governmental organi</w:t>
      </w:r>
      <w:r w:rsidR="00DE42BE">
        <w:rPr>
          <w:rFonts w:ascii="Arial" w:eastAsia="Calibri" w:hAnsi="Arial" w:cs="Arial"/>
          <w:sz w:val="20"/>
          <w:szCs w:val="20"/>
          <w14:ligatures w14:val="standardContextual"/>
        </w:rPr>
        <w:t>s</w:t>
      </w:r>
      <w:r w:rsidRPr="00760626">
        <w:rPr>
          <w:rFonts w:ascii="Arial" w:eastAsia="Calibri" w:hAnsi="Arial" w:cs="Arial"/>
          <w:sz w:val="20"/>
          <w:szCs w:val="20"/>
          <w14:ligatures w14:val="standardContextual"/>
        </w:rPr>
        <w:t>ations, the World Justice Project</w:t>
      </w:r>
      <w:r w:rsidR="00DE42BE">
        <w:rPr>
          <w:rFonts w:ascii="Arial" w:eastAsia="Calibri" w:hAnsi="Arial" w:cs="Arial"/>
          <w:sz w:val="20"/>
          <w:szCs w:val="20"/>
          <w14:ligatures w14:val="standardContextual"/>
        </w:rPr>
        <w:t>,</w:t>
      </w:r>
      <w:r w:rsidRPr="00760626">
        <w:rPr>
          <w:rFonts w:ascii="Arial" w:eastAsia="Calibri" w:hAnsi="Arial" w:cs="Arial"/>
          <w:sz w:val="20"/>
          <w:szCs w:val="20"/>
          <w:vertAlign w:val="superscript"/>
        </w:rPr>
        <w:footnoteReference w:id="38"/>
      </w:r>
      <w:r w:rsidRPr="00760626">
        <w:rPr>
          <w:rFonts w:ascii="Arial" w:eastAsia="Calibri" w:hAnsi="Arial" w:cs="Arial"/>
          <w:sz w:val="20"/>
          <w:szCs w:val="20"/>
          <w14:ligatures w14:val="standardContextual"/>
        </w:rPr>
        <w:t xml:space="preserve"> the main </w:t>
      </w:r>
      <w:r w:rsidR="00CD58F6">
        <w:rPr>
          <w:rFonts w:ascii="Arial" w:eastAsia="Calibri" w:hAnsi="Arial" w:cs="Arial"/>
          <w:sz w:val="20"/>
          <w:szCs w:val="20"/>
          <w14:ligatures w14:val="standardContextual"/>
        </w:rPr>
        <w:t xml:space="preserve">rule of law assessment </w:t>
      </w:r>
      <w:r w:rsidRPr="00760626">
        <w:rPr>
          <w:rFonts w:ascii="Arial" w:eastAsia="Calibri" w:hAnsi="Arial" w:cs="Arial"/>
          <w:sz w:val="20"/>
          <w:szCs w:val="20"/>
          <w14:ligatures w14:val="standardContextual"/>
        </w:rPr>
        <w:t xml:space="preserve">project, also ignores the separation of powers and checks and balances, </w:t>
      </w:r>
      <w:r w:rsidR="00CD58F6">
        <w:rPr>
          <w:rFonts w:ascii="Arial" w:eastAsia="Calibri" w:hAnsi="Arial" w:cs="Arial"/>
          <w:sz w:val="20"/>
          <w:szCs w:val="20"/>
          <w14:ligatures w14:val="standardContextual"/>
        </w:rPr>
        <w:t>even though</w:t>
      </w:r>
      <w:r w:rsidR="00CD58F6" w:rsidRPr="00760626">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one of the four factors of the rule of law scrutini</w:t>
      </w:r>
      <w:r w:rsidR="00DE42BE">
        <w:rPr>
          <w:rFonts w:ascii="Arial" w:eastAsia="Calibri" w:hAnsi="Arial" w:cs="Arial"/>
          <w:sz w:val="20"/>
          <w:szCs w:val="20"/>
          <w14:ligatures w14:val="standardContextual"/>
        </w:rPr>
        <w:t>s</w:t>
      </w:r>
      <w:r w:rsidRPr="00760626">
        <w:rPr>
          <w:rFonts w:ascii="Arial" w:eastAsia="Calibri" w:hAnsi="Arial" w:cs="Arial"/>
          <w:sz w:val="20"/>
          <w:szCs w:val="20"/>
          <w14:ligatures w14:val="standardContextual"/>
        </w:rPr>
        <w:t>ed is that “</w:t>
      </w:r>
      <w:r w:rsidR="00CD58F6">
        <w:rPr>
          <w:rFonts w:ascii="Arial" w:eastAsia="Calibri" w:hAnsi="Arial" w:cs="Arial"/>
          <w:sz w:val="20"/>
          <w:szCs w:val="20"/>
          <w14:ligatures w14:val="standardContextual"/>
        </w:rPr>
        <w:t>the</w:t>
      </w:r>
      <w:r w:rsidRPr="00760626">
        <w:rPr>
          <w:rFonts w:ascii="Arial" w:eastAsia="Calibri" w:hAnsi="Arial" w:cs="Arial"/>
          <w:sz w:val="20"/>
          <w:szCs w:val="20"/>
          <w14:ligatures w14:val="standardContextual"/>
        </w:rPr>
        <w:t xml:space="preserve"> government and its officials and agents</w:t>
      </w:r>
      <w:r w:rsidR="00CD58F6">
        <w:rPr>
          <w:rFonts w:ascii="Arial" w:eastAsia="Calibri" w:hAnsi="Arial" w:cs="Arial"/>
          <w:sz w:val="20"/>
          <w:szCs w:val="20"/>
          <w14:ligatures w14:val="standardContextual"/>
        </w:rPr>
        <w:t>,</w:t>
      </w:r>
      <w:r w:rsidRPr="00760626">
        <w:rPr>
          <w:rFonts w:ascii="Arial" w:eastAsia="Calibri" w:hAnsi="Arial" w:cs="Arial"/>
          <w:sz w:val="20"/>
          <w:szCs w:val="20"/>
          <w14:ligatures w14:val="standardContextual"/>
        </w:rPr>
        <w:t xml:space="preserve"> as well as individuals and private entities</w:t>
      </w:r>
      <w:r w:rsidR="00CD58F6">
        <w:rPr>
          <w:rFonts w:ascii="Arial" w:eastAsia="Calibri" w:hAnsi="Arial" w:cs="Arial"/>
          <w:sz w:val="20"/>
          <w:szCs w:val="20"/>
          <w14:ligatures w14:val="standardContextual"/>
        </w:rPr>
        <w:t>,</w:t>
      </w:r>
      <w:r w:rsidRPr="00760626">
        <w:rPr>
          <w:rFonts w:ascii="Arial" w:eastAsia="Calibri" w:hAnsi="Arial" w:cs="Arial"/>
          <w:sz w:val="20"/>
          <w:szCs w:val="20"/>
          <w14:ligatures w14:val="standardContextual"/>
        </w:rPr>
        <w:t xml:space="preserve"> are accountable </w:t>
      </w:r>
      <w:r w:rsidR="00CD58F6">
        <w:rPr>
          <w:rFonts w:ascii="Arial" w:eastAsia="Calibri" w:hAnsi="Arial" w:cs="Arial"/>
          <w:sz w:val="20"/>
          <w:szCs w:val="20"/>
          <w14:ligatures w14:val="standardContextual"/>
        </w:rPr>
        <w:t>to</w:t>
      </w:r>
      <w:r w:rsidR="00CD58F6" w:rsidRPr="00760626">
        <w:rPr>
          <w:rFonts w:ascii="Arial" w:eastAsia="Calibri" w:hAnsi="Arial" w:cs="Arial"/>
          <w:sz w:val="20"/>
          <w:szCs w:val="20"/>
          <w14:ligatures w14:val="standardContextual"/>
        </w:rPr>
        <w:t xml:space="preserve"> </w:t>
      </w:r>
      <w:r w:rsidRPr="00760626">
        <w:rPr>
          <w:rFonts w:ascii="Arial" w:eastAsia="Calibri" w:hAnsi="Arial" w:cs="Arial"/>
          <w:sz w:val="20"/>
          <w:szCs w:val="20"/>
          <w14:ligatures w14:val="standardContextual"/>
        </w:rPr>
        <w:t>the law”</w:t>
      </w:r>
      <w:r w:rsidR="00DE42BE">
        <w:rPr>
          <w:rFonts w:ascii="Arial" w:eastAsia="Calibri" w:hAnsi="Arial" w:cs="Arial"/>
          <w:sz w:val="20"/>
          <w:szCs w:val="20"/>
          <w14:ligatures w14:val="standardContextual"/>
        </w:rPr>
        <w:t>.</w:t>
      </w:r>
      <w:r w:rsidRPr="00760626">
        <w:rPr>
          <w:rFonts w:ascii="Arial" w:eastAsia="Calibri" w:hAnsi="Arial" w:cs="Arial"/>
          <w:kern w:val="2"/>
          <w:sz w:val="20"/>
          <w:szCs w:val="20"/>
          <w:vertAlign w:val="superscript"/>
        </w:rPr>
        <w:footnoteReference w:id="39"/>
      </w:r>
    </w:p>
    <w:p w14:paraId="33F9901F" w14:textId="77777777" w:rsidR="000A223C" w:rsidRPr="00760626" w:rsidRDefault="000A223C" w:rsidP="00A64570">
      <w:pPr>
        <w:pStyle w:val="ListParagraph"/>
        <w:ind w:left="0"/>
        <w:rPr>
          <w:rFonts w:ascii="Arial" w:eastAsia="Calibri" w:hAnsi="Arial" w:cs="Arial"/>
          <w:sz w:val="20"/>
          <w:szCs w:val="20"/>
          <w14:ligatures w14:val="standardContextual"/>
        </w:rPr>
      </w:pPr>
    </w:p>
    <w:p w14:paraId="004750A0" w14:textId="459694FF" w:rsidR="009A3B01" w:rsidRDefault="008B0560" w:rsidP="009A3B01">
      <w:pPr>
        <w:pStyle w:val="ListParagraph"/>
        <w:numPr>
          <w:ilvl w:val="0"/>
          <w:numId w:val="10"/>
        </w:numPr>
        <w:shd w:val="clear" w:color="auto" w:fill="FFFFFF"/>
        <w:tabs>
          <w:tab w:val="left" w:pos="426"/>
        </w:tabs>
        <w:spacing w:after="160"/>
        <w:ind w:left="0" w:firstLine="0"/>
        <w:jc w:val="both"/>
        <w:rPr>
          <w:rFonts w:ascii="Arial" w:hAnsi="Arial" w:cs="Arial"/>
          <w:sz w:val="20"/>
          <w:szCs w:val="20"/>
          <w:lang w:eastAsia="it-IT"/>
        </w:rPr>
      </w:pPr>
      <w:r w:rsidRPr="00760626">
        <w:rPr>
          <w:rFonts w:ascii="Arial" w:hAnsi="Arial" w:cs="Arial"/>
          <w:sz w:val="20"/>
          <w:szCs w:val="20"/>
          <w:lang w:eastAsia="it-IT"/>
        </w:rPr>
        <w:t xml:space="preserve">The scores and rankings of the WJP </w:t>
      </w:r>
      <w:r w:rsidR="00CD58F6">
        <w:rPr>
          <w:rFonts w:ascii="Arial" w:hAnsi="Arial" w:cs="Arial"/>
          <w:sz w:val="20"/>
          <w:szCs w:val="20"/>
          <w:lang w:eastAsia="it-IT"/>
        </w:rPr>
        <w:t>R</w:t>
      </w:r>
      <w:r w:rsidRPr="00760626">
        <w:rPr>
          <w:rFonts w:ascii="Arial" w:hAnsi="Arial" w:cs="Arial"/>
          <w:sz w:val="20"/>
          <w:szCs w:val="20"/>
          <w:lang w:eastAsia="it-IT"/>
        </w:rPr>
        <w:t xml:space="preserve">ule of </w:t>
      </w:r>
      <w:r w:rsidR="00CD58F6">
        <w:rPr>
          <w:rFonts w:ascii="Arial" w:hAnsi="Arial" w:cs="Arial"/>
          <w:sz w:val="20"/>
          <w:szCs w:val="20"/>
          <w:lang w:eastAsia="it-IT"/>
        </w:rPr>
        <w:t>L</w:t>
      </w:r>
      <w:r w:rsidR="00CD58F6" w:rsidRPr="00760626">
        <w:rPr>
          <w:rFonts w:ascii="Arial" w:hAnsi="Arial" w:cs="Arial"/>
          <w:sz w:val="20"/>
          <w:szCs w:val="20"/>
          <w:lang w:eastAsia="it-IT"/>
        </w:rPr>
        <w:t xml:space="preserve">aw </w:t>
      </w:r>
      <w:r w:rsidRPr="00760626">
        <w:rPr>
          <w:rFonts w:ascii="Arial" w:hAnsi="Arial" w:cs="Arial"/>
          <w:sz w:val="20"/>
          <w:szCs w:val="20"/>
          <w:lang w:eastAsia="it-IT"/>
        </w:rPr>
        <w:t>Index are organi</w:t>
      </w:r>
      <w:r w:rsidR="00CD58F6">
        <w:rPr>
          <w:rFonts w:ascii="Arial" w:hAnsi="Arial" w:cs="Arial"/>
          <w:sz w:val="20"/>
          <w:szCs w:val="20"/>
          <w:lang w:eastAsia="it-IT"/>
        </w:rPr>
        <w:t>s</w:t>
      </w:r>
      <w:r w:rsidRPr="00760626">
        <w:rPr>
          <w:rFonts w:ascii="Arial" w:hAnsi="Arial" w:cs="Arial"/>
          <w:sz w:val="20"/>
          <w:szCs w:val="20"/>
          <w:lang w:eastAsia="it-IT"/>
        </w:rPr>
        <w:t>ed around eight primary factors: constraints on government powers, absence of corruption, open government, fundamental rights, order and security, regulatory enforcement, civil justice and criminal justice</w:t>
      </w:r>
      <w:r w:rsidR="00DE42BE">
        <w:rPr>
          <w:rFonts w:ascii="Arial" w:hAnsi="Arial" w:cs="Arial"/>
          <w:sz w:val="20"/>
          <w:szCs w:val="20"/>
          <w:lang w:eastAsia="it-IT"/>
        </w:rPr>
        <w:t>.</w:t>
      </w:r>
      <w:r w:rsidRPr="00760626">
        <w:rPr>
          <w:rFonts w:ascii="Arial" w:eastAsia="Calibri" w:hAnsi="Arial" w:cs="Arial"/>
          <w:kern w:val="2"/>
          <w:sz w:val="20"/>
          <w:szCs w:val="20"/>
          <w:vertAlign w:val="superscript"/>
          <w14:ligatures w14:val="standardContextual"/>
        </w:rPr>
        <w:footnoteReference w:id="40"/>
      </w:r>
      <w:r w:rsidR="00DE42BE">
        <w:rPr>
          <w:rFonts w:ascii="Arial" w:hAnsi="Arial" w:cs="Arial"/>
          <w:sz w:val="20"/>
          <w:szCs w:val="20"/>
          <w:lang w:eastAsia="it-IT"/>
        </w:rPr>
        <w:t xml:space="preserve"> </w:t>
      </w:r>
      <w:r w:rsidRPr="00760626">
        <w:rPr>
          <w:rFonts w:ascii="Arial" w:hAnsi="Arial" w:cs="Arial"/>
          <w:sz w:val="20"/>
          <w:szCs w:val="20"/>
          <w:lang w:eastAsia="it-IT"/>
        </w:rPr>
        <w:t xml:space="preserve">The only reference to local authorities is related to regulatory enforcement, where the question is </w:t>
      </w:r>
      <w:r w:rsidR="00DE42BE">
        <w:rPr>
          <w:rFonts w:ascii="Arial" w:hAnsi="Arial" w:cs="Arial"/>
          <w:sz w:val="20"/>
          <w:szCs w:val="20"/>
          <w:lang w:eastAsia="it-IT"/>
        </w:rPr>
        <w:t>asked whether</w:t>
      </w:r>
      <w:r w:rsidRPr="00760626">
        <w:rPr>
          <w:rFonts w:ascii="Arial" w:hAnsi="Arial" w:cs="Arial"/>
          <w:sz w:val="20"/>
          <w:szCs w:val="20"/>
          <w:lang w:eastAsia="it-IT"/>
        </w:rPr>
        <w:t>: “</w:t>
      </w:r>
      <w:r w:rsidRPr="00760626">
        <w:rPr>
          <w:rFonts w:ascii="Arial" w:eastAsia="Calibri" w:hAnsi="Arial" w:cs="Arial"/>
          <w:kern w:val="2"/>
          <w:sz w:val="20"/>
          <w:szCs w:val="20"/>
          <w14:ligatures w14:val="standardContextual"/>
        </w:rPr>
        <w:t>In practice, in your country, the “Due Process of Law” is respected in administrative proceedings conducted by the following authorities: Local authorities</w:t>
      </w:r>
      <w:r w:rsidR="00DE42BE">
        <w:rPr>
          <w:rFonts w:ascii="Arial" w:eastAsia="Calibri" w:hAnsi="Arial" w:cs="Arial"/>
          <w:kern w:val="2"/>
          <w:sz w:val="20"/>
          <w:szCs w:val="20"/>
          <w14:ligatures w14:val="standardContextual"/>
        </w:rPr>
        <w:t>?</w:t>
      </w:r>
      <w:r w:rsidRPr="00760626">
        <w:rPr>
          <w:rFonts w:ascii="Arial" w:eastAsia="Calibri" w:hAnsi="Arial" w:cs="Arial"/>
          <w:kern w:val="2"/>
          <w:sz w:val="20"/>
          <w:szCs w:val="20"/>
          <w14:ligatures w14:val="standardContextual"/>
        </w:rPr>
        <w:t>”</w:t>
      </w:r>
      <w:r w:rsidR="00DE42BE">
        <w:rPr>
          <w:rFonts w:ascii="Arial" w:eastAsia="Calibri" w:hAnsi="Arial" w:cs="Arial"/>
          <w:kern w:val="2"/>
          <w:sz w:val="20"/>
          <w:szCs w:val="20"/>
          <w14:ligatures w14:val="standardContextual"/>
        </w:rPr>
        <w:t>.</w:t>
      </w:r>
      <w:r w:rsidRPr="00760626">
        <w:rPr>
          <w:rFonts w:ascii="Arial" w:eastAsia="Calibri" w:hAnsi="Arial" w:cs="Arial"/>
          <w:kern w:val="2"/>
          <w:sz w:val="20"/>
          <w:szCs w:val="20"/>
          <w:vertAlign w:val="superscript"/>
          <w14:ligatures w14:val="standardContextual"/>
        </w:rPr>
        <w:footnoteReference w:id="41"/>
      </w:r>
    </w:p>
    <w:p w14:paraId="7D57350B" w14:textId="77777777" w:rsidR="009A3B01" w:rsidRPr="009A3B01" w:rsidRDefault="009A3B01" w:rsidP="009A3B01">
      <w:pPr>
        <w:pStyle w:val="ListParagraph"/>
        <w:rPr>
          <w:rFonts w:ascii="Arial" w:hAnsi="Arial" w:cs="Arial"/>
          <w:sz w:val="20"/>
          <w:szCs w:val="20"/>
          <w:lang w:eastAsia="it-IT"/>
        </w:rPr>
      </w:pPr>
    </w:p>
    <w:p w14:paraId="1916D1A3" w14:textId="247EDCDE" w:rsidR="008B0560" w:rsidRPr="00760626" w:rsidRDefault="008B0560" w:rsidP="00A64570">
      <w:pPr>
        <w:pStyle w:val="ListParagraph"/>
        <w:numPr>
          <w:ilvl w:val="0"/>
          <w:numId w:val="10"/>
        </w:numPr>
        <w:tabs>
          <w:tab w:val="left" w:pos="426"/>
        </w:tabs>
        <w:autoSpaceDE w:val="0"/>
        <w:autoSpaceDN w:val="0"/>
        <w:adjustRightInd w:val="0"/>
        <w:spacing w:after="160"/>
        <w:ind w:left="0" w:firstLine="0"/>
        <w:jc w:val="both"/>
        <w:rPr>
          <w:rFonts w:ascii="Arial" w:hAnsi="Arial" w:cs="Arial"/>
          <w:sz w:val="20"/>
          <w:szCs w:val="20"/>
          <w:lang w:eastAsia="it-IT"/>
        </w:rPr>
      </w:pPr>
      <w:r w:rsidRPr="00760626">
        <w:rPr>
          <w:rFonts w:ascii="Arial" w:hAnsi="Arial" w:cs="Arial"/>
          <w:sz w:val="20"/>
          <w:szCs w:val="20"/>
          <w:lang w:eastAsia="it-IT"/>
        </w:rPr>
        <w:t xml:space="preserve">Other popular indicators aimed at assessing the level of democracy, on the other hand, such as those of Freedom House or </w:t>
      </w:r>
      <w:r w:rsidR="00CD58F6">
        <w:rPr>
          <w:rFonts w:ascii="Arial" w:hAnsi="Arial" w:cs="Arial"/>
          <w:sz w:val="20"/>
          <w:szCs w:val="20"/>
          <w:lang w:eastAsia="it-IT"/>
        </w:rPr>
        <w:t xml:space="preserve">the </w:t>
      </w:r>
      <w:r w:rsidRPr="00760626">
        <w:rPr>
          <w:rFonts w:ascii="Arial" w:hAnsi="Arial" w:cs="Arial"/>
          <w:sz w:val="20"/>
          <w:szCs w:val="20"/>
          <w:lang w:eastAsia="it-IT"/>
        </w:rPr>
        <w:t>Economist Intelligence Unit, only refer to local authorities as they asses the fairness of local elections</w:t>
      </w:r>
      <w:r w:rsidR="00DE42BE">
        <w:rPr>
          <w:rFonts w:ascii="Arial" w:hAnsi="Arial" w:cs="Arial"/>
          <w:sz w:val="20"/>
          <w:szCs w:val="20"/>
          <w:lang w:eastAsia="it-IT"/>
        </w:rPr>
        <w:t>.</w:t>
      </w:r>
      <w:r w:rsidRPr="00760626">
        <w:rPr>
          <w:rFonts w:ascii="Arial" w:hAnsi="Arial" w:cs="Arial"/>
          <w:sz w:val="20"/>
          <w:szCs w:val="20"/>
          <w:vertAlign w:val="superscript"/>
          <w:lang w:eastAsia="it-IT"/>
        </w:rPr>
        <w:footnoteReference w:id="42"/>
      </w:r>
      <w:r w:rsidRPr="00760626">
        <w:rPr>
          <w:rFonts w:ascii="Arial" w:hAnsi="Arial" w:cs="Arial"/>
          <w:sz w:val="20"/>
          <w:szCs w:val="20"/>
          <w:lang w:eastAsia="it-IT"/>
        </w:rPr>
        <w:t xml:space="preserve"> </w:t>
      </w:r>
    </w:p>
    <w:p w14:paraId="1B751064" w14:textId="0BE3B4BA" w:rsidR="008B0560" w:rsidRPr="00867D81" w:rsidRDefault="007E06F8" w:rsidP="00A64570">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7E06F8">
        <w:rPr>
          <w:rFonts w:ascii="Arial" w:hAnsi="Arial" w:cs="Arial"/>
          <w:sz w:val="20"/>
          <w:szCs w:val="20"/>
          <w:lang w:eastAsia="it-IT"/>
        </w:rPr>
        <w:t>However, there are some exceptions</w:t>
      </w:r>
      <w:r w:rsidR="00CD58F6">
        <w:rPr>
          <w:rFonts w:ascii="Arial" w:hAnsi="Arial" w:cs="Arial"/>
          <w:sz w:val="20"/>
          <w:szCs w:val="20"/>
          <w:lang w:eastAsia="it-IT"/>
        </w:rPr>
        <w:t>, such as</w:t>
      </w:r>
      <w:r w:rsidR="00C35C46">
        <w:rPr>
          <w:rFonts w:ascii="Arial" w:hAnsi="Arial" w:cs="Arial"/>
          <w:sz w:val="20"/>
          <w:szCs w:val="20"/>
          <w:lang w:eastAsia="it-IT"/>
        </w:rPr>
        <w:t xml:space="preserve"> </w:t>
      </w:r>
      <w:r w:rsidRPr="007E06F8">
        <w:rPr>
          <w:rFonts w:ascii="Arial" w:hAnsi="Arial" w:cs="Arial"/>
          <w:sz w:val="20"/>
          <w:szCs w:val="20"/>
          <w:lang w:eastAsia="it-IT"/>
        </w:rPr>
        <w:t xml:space="preserve">indicators </w:t>
      </w:r>
      <w:r w:rsidR="00CD58F6">
        <w:rPr>
          <w:rFonts w:ascii="Arial" w:hAnsi="Arial" w:cs="Arial"/>
          <w:sz w:val="20"/>
          <w:szCs w:val="20"/>
          <w:lang w:eastAsia="it-IT"/>
        </w:rPr>
        <w:t>that take</w:t>
      </w:r>
      <w:r w:rsidRPr="007E06F8">
        <w:rPr>
          <w:rFonts w:ascii="Arial" w:hAnsi="Arial" w:cs="Arial"/>
          <w:sz w:val="20"/>
          <w:szCs w:val="20"/>
          <w:lang w:eastAsia="it-IT"/>
        </w:rPr>
        <w:t xml:space="preserve"> into consideration the</w:t>
      </w:r>
      <w:r w:rsidR="00DE42BE">
        <w:rPr>
          <w:rFonts w:ascii="Arial" w:hAnsi="Arial" w:cs="Arial"/>
          <w:sz w:val="20"/>
          <w:szCs w:val="20"/>
          <w:lang w:eastAsia="it-IT"/>
        </w:rPr>
        <w:t xml:space="preserve"> independence of</w:t>
      </w:r>
      <w:r w:rsidRPr="007E06F8">
        <w:rPr>
          <w:rFonts w:ascii="Arial" w:hAnsi="Arial" w:cs="Arial"/>
          <w:sz w:val="20"/>
          <w:szCs w:val="20"/>
          <w:lang w:eastAsia="it-IT"/>
        </w:rPr>
        <w:t xml:space="preserve"> local self-government among the variables used to assess the level of democracy in a country.</w:t>
      </w:r>
      <w:r>
        <w:rPr>
          <w:rFonts w:ascii="Arial" w:hAnsi="Arial" w:cs="Arial"/>
          <w:sz w:val="20"/>
          <w:szCs w:val="20"/>
          <w:lang w:eastAsia="it-IT"/>
        </w:rPr>
        <w:t xml:space="preserve"> An example </w:t>
      </w:r>
      <w:r w:rsidR="008B0560" w:rsidRPr="00760626">
        <w:rPr>
          <w:rFonts w:ascii="Arial" w:hAnsi="Arial" w:cs="Arial"/>
          <w:sz w:val="20"/>
          <w:szCs w:val="20"/>
          <w:lang w:eastAsia="it-IT"/>
        </w:rPr>
        <w:t>is represented by the V-Democracy Index</w:t>
      </w:r>
      <w:r w:rsidR="00DE42BE">
        <w:rPr>
          <w:rFonts w:ascii="Arial" w:hAnsi="Arial" w:cs="Arial"/>
          <w:sz w:val="20"/>
          <w:szCs w:val="20"/>
          <w:lang w:eastAsia="it-IT"/>
        </w:rPr>
        <w:t>,</w:t>
      </w:r>
      <w:r w:rsidR="008B0560" w:rsidRPr="00760626">
        <w:rPr>
          <w:rFonts w:ascii="Arial" w:eastAsia="Calibri" w:hAnsi="Arial" w:cs="Arial"/>
          <w:sz w:val="20"/>
          <w:szCs w:val="20"/>
          <w:vertAlign w:val="superscript"/>
        </w:rPr>
        <w:footnoteReference w:id="43"/>
      </w:r>
      <w:r w:rsidR="00D378A5">
        <w:rPr>
          <w:rFonts w:ascii="Arial" w:eastAsia="Calibri" w:hAnsi="Arial" w:cs="Arial"/>
          <w:kern w:val="2"/>
          <w:sz w:val="20"/>
          <w:szCs w:val="20"/>
          <w14:ligatures w14:val="standardContextual"/>
        </w:rPr>
        <w:t xml:space="preserve"> where</w:t>
      </w:r>
      <w:r w:rsidR="00C35C46">
        <w:rPr>
          <w:rFonts w:ascii="Arial" w:eastAsia="Calibri" w:hAnsi="Arial" w:cs="Arial"/>
          <w:kern w:val="2"/>
          <w:sz w:val="20"/>
          <w:szCs w:val="20"/>
          <w14:ligatures w14:val="standardContextual"/>
        </w:rPr>
        <w:t xml:space="preserve"> </w:t>
      </w:r>
      <w:r w:rsidR="008B0560" w:rsidRPr="00760626">
        <w:rPr>
          <w:rFonts w:ascii="Arial" w:eastAsia="Calibri" w:hAnsi="Arial" w:cs="Arial"/>
          <w:kern w:val="2"/>
          <w:sz w:val="20"/>
          <w:szCs w:val="20"/>
          <w14:ligatures w14:val="standardContextual"/>
        </w:rPr>
        <w:t xml:space="preserve">the Local </w:t>
      </w:r>
      <w:r w:rsidR="00D378A5">
        <w:rPr>
          <w:rFonts w:ascii="Arial" w:eastAsia="Calibri" w:hAnsi="Arial" w:cs="Arial"/>
          <w:kern w:val="2"/>
          <w:sz w:val="20"/>
          <w:szCs w:val="20"/>
          <w14:ligatures w14:val="standardContextual"/>
        </w:rPr>
        <w:t>G</w:t>
      </w:r>
      <w:r w:rsidR="008B0560" w:rsidRPr="00760626">
        <w:rPr>
          <w:rFonts w:ascii="Arial" w:eastAsia="Calibri" w:hAnsi="Arial" w:cs="Arial"/>
          <w:kern w:val="2"/>
          <w:sz w:val="20"/>
          <w:szCs w:val="20"/>
          <w14:ligatures w14:val="standardContextual"/>
        </w:rPr>
        <w:t xml:space="preserve">overnment </w:t>
      </w:r>
      <w:r w:rsidR="00D378A5">
        <w:rPr>
          <w:rFonts w:ascii="Arial" w:eastAsia="Calibri" w:hAnsi="Arial" w:cs="Arial"/>
          <w:kern w:val="2"/>
          <w:sz w:val="20"/>
          <w:szCs w:val="20"/>
          <w14:ligatures w14:val="standardContextual"/>
        </w:rPr>
        <w:t>I</w:t>
      </w:r>
      <w:r w:rsidR="00D378A5" w:rsidRPr="00760626">
        <w:rPr>
          <w:rFonts w:ascii="Arial" w:eastAsia="Calibri" w:hAnsi="Arial" w:cs="Arial"/>
          <w:kern w:val="2"/>
          <w:sz w:val="20"/>
          <w:szCs w:val="20"/>
          <w14:ligatures w14:val="standardContextual"/>
        </w:rPr>
        <w:t xml:space="preserve">ndex </w:t>
      </w:r>
      <w:r w:rsidR="008B0560" w:rsidRPr="00760626">
        <w:rPr>
          <w:rFonts w:ascii="Arial" w:eastAsia="Calibri" w:hAnsi="Arial" w:cs="Arial"/>
          <w:kern w:val="2"/>
          <w:sz w:val="20"/>
          <w:szCs w:val="20"/>
          <w14:ligatures w14:val="standardContextual"/>
        </w:rPr>
        <w:t xml:space="preserve">and the Regional </w:t>
      </w:r>
      <w:r w:rsidR="00D378A5">
        <w:rPr>
          <w:rFonts w:ascii="Arial" w:eastAsia="Calibri" w:hAnsi="Arial" w:cs="Arial"/>
          <w:kern w:val="2"/>
          <w:sz w:val="20"/>
          <w:szCs w:val="20"/>
          <w14:ligatures w14:val="standardContextual"/>
        </w:rPr>
        <w:t>G</w:t>
      </w:r>
      <w:r w:rsidR="008B0560" w:rsidRPr="00760626">
        <w:rPr>
          <w:rFonts w:ascii="Arial" w:eastAsia="Calibri" w:hAnsi="Arial" w:cs="Arial"/>
          <w:kern w:val="2"/>
          <w:sz w:val="20"/>
          <w:szCs w:val="20"/>
          <w14:ligatures w14:val="standardContextual"/>
        </w:rPr>
        <w:t xml:space="preserve">overnment </w:t>
      </w:r>
      <w:r w:rsidR="00D378A5">
        <w:rPr>
          <w:rFonts w:ascii="Arial" w:eastAsia="Calibri" w:hAnsi="Arial" w:cs="Arial"/>
          <w:kern w:val="2"/>
          <w:sz w:val="20"/>
          <w:szCs w:val="20"/>
          <w14:ligatures w14:val="standardContextual"/>
        </w:rPr>
        <w:t>I</w:t>
      </w:r>
      <w:r w:rsidR="00D378A5" w:rsidRPr="00760626">
        <w:rPr>
          <w:rFonts w:ascii="Arial" w:eastAsia="Calibri" w:hAnsi="Arial" w:cs="Arial"/>
          <w:kern w:val="2"/>
          <w:sz w:val="20"/>
          <w:szCs w:val="20"/>
          <w14:ligatures w14:val="standardContextual"/>
        </w:rPr>
        <w:t xml:space="preserve">ndex </w:t>
      </w:r>
      <w:r w:rsidR="008B0560" w:rsidRPr="00760626">
        <w:rPr>
          <w:rFonts w:ascii="Arial" w:eastAsia="Calibri" w:hAnsi="Arial" w:cs="Arial"/>
          <w:kern w:val="2"/>
          <w:sz w:val="20"/>
          <w:szCs w:val="20"/>
          <w14:ligatures w14:val="standardContextual"/>
        </w:rPr>
        <w:t>are considered</w:t>
      </w:r>
      <w:r w:rsidR="00DE42BE">
        <w:rPr>
          <w:rFonts w:ascii="Arial" w:eastAsia="Calibri" w:hAnsi="Arial" w:cs="Arial"/>
          <w:kern w:val="2"/>
          <w:sz w:val="20"/>
          <w:szCs w:val="20"/>
          <w14:ligatures w14:val="standardContextual"/>
        </w:rPr>
        <w:t>.</w:t>
      </w:r>
      <w:r w:rsidR="008B0560" w:rsidRPr="00760626">
        <w:rPr>
          <w:rFonts w:ascii="Arial" w:eastAsia="Calibri" w:hAnsi="Arial" w:cs="Arial"/>
          <w:sz w:val="20"/>
          <w:szCs w:val="20"/>
          <w:vertAlign w:val="superscript"/>
        </w:rPr>
        <w:footnoteReference w:id="44"/>
      </w:r>
      <w:r w:rsidR="00DE42BE">
        <w:rPr>
          <w:rFonts w:ascii="Arial" w:eastAsia="Calibri" w:hAnsi="Arial" w:cs="Arial"/>
          <w:kern w:val="2"/>
          <w:sz w:val="20"/>
          <w:szCs w:val="20"/>
          <w14:ligatures w14:val="standardContextual"/>
        </w:rPr>
        <w:t xml:space="preserve"> </w:t>
      </w:r>
      <w:r w:rsidR="008B0560" w:rsidRPr="00760626">
        <w:rPr>
          <w:rFonts w:ascii="Arial" w:eastAsia="Calibri" w:hAnsi="Arial" w:cs="Arial"/>
          <w:kern w:val="2"/>
          <w:sz w:val="20"/>
          <w:szCs w:val="20"/>
          <w14:ligatures w14:val="standardContextual"/>
        </w:rPr>
        <w:t>The question examined is: “Are there elected local (or regional) governments, and — if so — to what extent can they operate without interference from unelected bodies at the local level?”. According to the explanations, “The lowest score would be reserved for a country that has no elected local (regional) governments. A medium score would be accorded a country that has elected local (regional) governments but where those governments are subordinate to unelected officials at the local (regional) level perhaps appointed by a higher-level body. A high score would be accorded to a country in which local (regional) governments are elected and able to operate without restrictions from unelected actors at the local (regional) level with the exception of judicial bodies”.</w:t>
      </w:r>
    </w:p>
    <w:p w14:paraId="34D6FBB8" w14:textId="77777777" w:rsidR="00867D81" w:rsidRPr="007322A3" w:rsidRDefault="00867D81" w:rsidP="00867D81">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663978EB" w14:textId="3AAC6BA8" w:rsidR="007322A3" w:rsidRPr="00675546" w:rsidRDefault="00D378A5" w:rsidP="001C751C">
      <w:pPr>
        <w:pStyle w:val="ListParagraph"/>
        <w:numPr>
          <w:ilvl w:val="0"/>
          <w:numId w:val="10"/>
        </w:numPr>
        <w:tabs>
          <w:tab w:val="left" w:pos="426"/>
        </w:tabs>
        <w:autoSpaceDE w:val="0"/>
        <w:autoSpaceDN w:val="0"/>
        <w:adjustRightInd w:val="0"/>
        <w:spacing w:after="160"/>
        <w:ind w:left="0" w:firstLine="0"/>
        <w:jc w:val="both"/>
        <w:rPr>
          <w:rFonts w:ascii="Arial" w:hAnsi="Arial" w:cs="Arial"/>
          <w:sz w:val="20"/>
          <w:szCs w:val="20"/>
          <w:lang w:eastAsia="it-IT"/>
        </w:rPr>
      </w:pPr>
      <w:r>
        <w:rPr>
          <w:rFonts w:ascii="Arial" w:hAnsi="Arial" w:cs="Arial"/>
          <w:sz w:val="20"/>
          <w:szCs w:val="20"/>
          <w:lang w:eastAsia="it-IT"/>
        </w:rPr>
        <w:t>Similarly, Freedom House’s Nations in Transit</w:t>
      </w:r>
      <w:r w:rsidR="007322A3" w:rsidRPr="00675546">
        <w:rPr>
          <w:rFonts w:ascii="Arial" w:hAnsi="Arial" w:cs="Arial"/>
          <w:sz w:val="20"/>
          <w:szCs w:val="20"/>
          <w:lang w:eastAsia="it-IT"/>
        </w:rPr>
        <w:t>,</w:t>
      </w:r>
      <w:r>
        <w:rPr>
          <w:rFonts w:ascii="Arial" w:hAnsi="Arial" w:cs="Arial"/>
          <w:sz w:val="20"/>
          <w:szCs w:val="20"/>
          <w:lang w:eastAsia="it-IT"/>
        </w:rPr>
        <w:t xml:space="preserve"> which assesses</w:t>
      </w:r>
      <w:r w:rsidR="007322A3" w:rsidRPr="00675546">
        <w:rPr>
          <w:rFonts w:ascii="Arial" w:hAnsi="Arial" w:cs="Arial"/>
          <w:sz w:val="20"/>
          <w:szCs w:val="20"/>
          <w:lang w:eastAsia="it-IT"/>
        </w:rPr>
        <w:t xml:space="preserve"> the state of democracy in the region stretching from Central Europe to Central Asia, pays </w:t>
      </w:r>
      <w:r>
        <w:rPr>
          <w:rFonts w:ascii="Arial" w:hAnsi="Arial" w:cs="Arial"/>
          <w:sz w:val="20"/>
          <w:szCs w:val="20"/>
          <w:lang w:eastAsia="it-IT"/>
        </w:rPr>
        <w:t>particular</w:t>
      </w:r>
      <w:r w:rsidRPr="00675546">
        <w:rPr>
          <w:rFonts w:ascii="Arial" w:hAnsi="Arial" w:cs="Arial"/>
          <w:sz w:val="20"/>
          <w:szCs w:val="20"/>
          <w:lang w:eastAsia="it-IT"/>
        </w:rPr>
        <w:t xml:space="preserve"> </w:t>
      </w:r>
      <w:r w:rsidR="007322A3" w:rsidRPr="00675546">
        <w:rPr>
          <w:rFonts w:ascii="Arial" w:hAnsi="Arial" w:cs="Arial"/>
          <w:sz w:val="20"/>
          <w:szCs w:val="20"/>
          <w:lang w:eastAsia="it-IT"/>
        </w:rPr>
        <w:t>attention to local self-government, including “</w:t>
      </w:r>
      <w:r>
        <w:rPr>
          <w:rFonts w:ascii="Arial" w:hAnsi="Arial" w:cs="Arial"/>
          <w:sz w:val="20"/>
          <w:szCs w:val="20"/>
          <w:lang w:eastAsia="it-IT"/>
        </w:rPr>
        <w:t>l</w:t>
      </w:r>
      <w:r w:rsidR="007322A3" w:rsidRPr="00675546">
        <w:rPr>
          <w:rFonts w:ascii="Arial" w:hAnsi="Arial" w:cs="Arial"/>
          <w:sz w:val="20"/>
          <w:szCs w:val="20"/>
          <w:lang w:eastAsia="it-IT"/>
        </w:rPr>
        <w:t xml:space="preserve">ocal </w:t>
      </w:r>
      <w:r>
        <w:rPr>
          <w:rFonts w:ascii="Arial" w:hAnsi="Arial" w:cs="Arial"/>
          <w:sz w:val="20"/>
          <w:szCs w:val="20"/>
          <w:lang w:eastAsia="it-IT"/>
        </w:rPr>
        <w:t>d</w:t>
      </w:r>
      <w:r w:rsidRPr="00675546">
        <w:rPr>
          <w:rFonts w:ascii="Arial" w:hAnsi="Arial" w:cs="Arial"/>
          <w:sz w:val="20"/>
          <w:szCs w:val="20"/>
          <w:lang w:eastAsia="it-IT"/>
        </w:rPr>
        <w:t xml:space="preserve">emocratic </w:t>
      </w:r>
      <w:r>
        <w:rPr>
          <w:rFonts w:ascii="Arial" w:hAnsi="Arial" w:cs="Arial"/>
          <w:sz w:val="20"/>
          <w:szCs w:val="20"/>
          <w:lang w:eastAsia="it-IT"/>
        </w:rPr>
        <w:t>g</w:t>
      </w:r>
      <w:r w:rsidRPr="00675546">
        <w:rPr>
          <w:rFonts w:ascii="Arial" w:hAnsi="Arial" w:cs="Arial"/>
          <w:sz w:val="20"/>
          <w:szCs w:val="20"/>
          <w:lang w:eastAsia="it-IT"/>
        </w:rPr>
        <w:t>overnance</w:t>
      </w:r>
      <w:r w:rsidR="007322A3" w:rsidRPr="00675546">
        <w:rPr>
          <w:rFonts w:ascii="Arial" w:hAnsi="Arial" w:cs="Arial"/>
          <w:sz w:val="20"/>
          <w:szCs w:val="20"/>
          <w:lang w:eastAsia="it-IT"/>
        </w:rPr>
        <w:t xml:space="preserve">” among the seven indicators </w:t>
      </w:r>
      <w:r>
        <w:rPr>
          <w:rFonts w:ascii="Arial" w:hAnsi="Arial" w:cs="Arial"/>
          <w:sz w:val="20"/>
          <w:szCs w:val="20"/>
          <w:lang w:eastAsia="it-IT"/>
        </w:rPr>
        <w:t xml:space="preserve">it </w:t>
      </w:r>
      <w:r w:rsidRPr="00675546">
        <w:rPr>
          <w:rFonts w:ascii="Arial" w:hAnsi="Arial" w:cs="Arial"/>
          <w:sz w:val="20"/>
          <w:szCs w:val="20"/>
          <w:lang w:eastAsia="it-IT"/>
        </w:rPr>
        <w:t>examine</w:t>
      </w:r>
      <w:r>
        <w:rPr>
          <w:rFonts w:ascii="Arial" w:hAnsi="Arial" w:cs="Arial"/>
          <w:sz w:val="20"/>
          <w:szCs w:val="20"/>
          <w:lang w:eastAsia="it-IT"/>
        </w:rPr>
        <w:t>s</w:t>
      </w:r>
      <w:r w:rsidR="00DE42BE">
        <w:rPr>
          <w:rFonts w:ascii="Arial" w:hAnsi="Arial" w:cs="Arial"/>
          <w:sz w:val="20"/>
          <w:szCs w:val="20"/>
          <w:lang w:eastAsia="it-IT"/>
        </w:rPr>
        <w:t>.</w:t>
      </w:r>
      <w:r w:rsidR="007322A3" w:rsidRPr="00EA6A10">
        <w:rPr>
          <w:rFonts w:ascii="Arial" w:hAnsi="Arial" w:cs="Arial"/>
          <w:sz w:val="20"/>
          <w:szCs w:val="20"/>
          <w:vertAlign w:val="superscript"/>
          <w:lang w:eastAsia="it-IT"/>
        </w:rPr>
        <w:footnoteReference w:id="45"/>
      </w:r>
      <w:r w:rsidR="007322A3" w:rsidRPr="00675546">
        <w:rPr>
          <w:rFonts w:ascii="Arial" w:hAnsi="Arial" w:cs="Arial"/>
          <w:sz w:val="20"/>
          <w:szCs w:val="20"/>
          <w:lang w:eastAsia="it-IT"/>
        </w:rPr>
        <w:t xml:space="preserve"> “Local </w:t>
      </w:r>
      <w:r>
        <w:rPr>
          <w:rFonts w:ascii="Arial" w:hAnsi="Arial" w:cs="Arial"/>
          <w:sz w:val="20"/>
          <w:szCs w:val="20"/>
          <w:lang w:eastAsia="it-IT"/>
        </w:rPr>
        <w:t>d</w:t>
      </w:r>
      <w:r w:rsidRPr="00675546">
        <w:rPr>
          <w:rFonts w:ascii="Arial" w:hAnsi="Arial" w:cs="Arial"/>
          <w:sz w:val="20"/>
          <w:szCs w:val="20"/>
          <w:lang w:eastAsia="it-IT"/>
        </w:rPr>
        <w:t xml:space="preserve">emocratic </w:t>
      </w:r>
      <w:r>
        <w:rPr>
          <w:rFonts w:ascii="Arial" w:hAnsi="Arial" w:cs="Arial"/>
          <w:sz w:val="20"/>
          <w:szCs w:val="20"/>
          <w:lang w:eastAsia="it-IT"/>
        </w:rPr>
        <w:t>g</w:t>
      </w:r>
      <w:r w:rsidRPr="00675546">
        <w:rPr>
          <w:rFonts w:ascii="Arial" w:hAnsi="Arial" w:cs="Arial"/>
          <w:sz w:val="20"/>
          <w:szCs w:val="20"/>
          <w:lang w:eastAsia="it-IT"/>
        </w:rPr>
        <w:t>overnance</w:t>
      </w:r>
      <w:r w:rsidR="007322A3" w:rsidRPr="00675546">
        <w:rPr>
          <w:rFonts w:ascii="Arial" w:hAnsi="Arial" w:cs="Arial"/>
          <w:sz w:val="20"/>
          <w:szCs w:val="20"/>
          <w:lang w:eastAsia="it-IT"/>
        </w:rPr>
        <w:t xml:space="preserve">” includes “the </w:t>
      </w:r>
      <w:r w:rsidRPr="00675546">
        <w:rPr>
          <w:rFonts w:ascii="Arial" w:hAnsi="Arial" w:cs="Arial"/>
          <w:sz w:val="20"/>
          <w:szCs w:val="20"/>
          <w:lang w:eastAsia="it-IT"/>
        </w:rPr>
        <w:t>decentrali</w:t>
      </w:r>
      <w:r>
        <w:rPr>
          <w:rFonts w:ascii="Arial" w:hAnsi="Arial" w:cs="Arial"/>
          <w:sz w:val="20"/>
          <w:szCs w:val="20"/>
          <w:lang w:eastAsia="it-IT"/>
        </w:rPr>
        <w:t>s</w:t>
      </w:r>
      <w:r w:rsidRPr="00675546">
        <w:rPr>
          <w:rFonts w:ascii="Arial" w:hAnsi="Arial" w:cs="Arial"/>
          <w:sz w:val="20"/>
          <w:szCs w:val="20"/>
          <w:lang w:eastAsia="it-IT"/>
        </w:rPr>
        <w:t xml:space="preserve">ation </w:t>
      </w:r>
      <w:r w:rsidR="007322A3" w:rsidRPr="00675546">
        <w:rPr>
          <w:rFonts w:ascii="Arial" w:hAnsi="Arial" w:cs="Arial"/>
          <w:sz w:val="20"/>
          <w:szCs w:val="20"/>
          <w:lang w:eastAsia="it-IT"/>
        </w:rPr>
        <w:t>of power; the responsibilities, election, and capacity of local governmental bodies; and the transparency and accountability of local authorities”. The questionnaire submitted to the experts contains detailed questions, aimed at assessing six aspects: “1. Are the principles of local democratic government enshrined in law and respected in practice? 2. Are citizens able to choose their local leaders in free and fair elections?</w:t>
      </w:r>
      <w:r w:rsidR="00675546" w:rsidRPr="00675546">
        <w:rPr>
          <w:rFonts w:ascii="Arial" w:hAnsi="Arial" w:cs="Arial"/>
          <w:sz w:val="20"/>
          <w:szCs w:val="20"/>
          <w:lang w:eastAsia="it-IT"/>
        </w:rPr>
        <w:t xml:space="preserve"> </w:t>
      </w:r>
      <w:r w:rsidR="007322A3" w:rsidRPr="00675546">
        <w:rPr>
          <w:rFonts w:ascii="Arial" w:hAnsi="Arial" w:cs="Arial"/>
          <w:sz w:val="20"/>
          <w:szCs w:val="20"/>
          <w:lang w:eastAsia="it-IT"/>
        </w:rPr>
        <w:t xml:space="preserve">3. Are citizens ensured meaningful participation in local government decision-making? 4. Do democratically elected local authorities exercise their powers freely and autonomously? 5. Do democratically elected local authorities have the resources and capacity needed to </w:t>
      </w:r>
      <w:r w:rsidR="00675546" w:rsidRPr="00675546">
        <w:rPr>
          <w:rFonts w:ascii="Arial" w:hAnsi="Arial" w:cs="Arial"/>
          <w:sz w:val="20"/>
          <w:szCs w:val="20"/>
          <w:lang w:eastAsia="it-IT"/>
        </w:rPr>
        <w:t>fulfil</w:t>
      </w:r>
      <w:r w:rsidR="007322A3" w:rsidRPr="00675546">
        <w:rPr>
          <w:rFonts w:ascii="Arial" w:hAnsi="Arial" w:cs="Arial"/>
          <w:sz w:val="20"/>
          <w:szCs w:val="20"/>
          <w:lang w:eastAsia="it-IT"/>
        </w:rPr>
        <w:t xml:space="preserve"> their responsibilities? 6. Do democratically elected local authorities operate with transparency and accountability to citizens?”.</w:t>
      </w:r>
    </w:p>
    <w:p w14:paraId="3E6E6CAE" w14:textId="69CAB8D2" w:rsidR="007C640F" w:rsidRPr="00AE4EF0" w:rsidRDefault="00675546" w:rsidP="001C751C">
      <w:pPr>
        <w:pStyle w:val="NormalWeb"/>
        <w:numPr>
          <w:ilvl w:val="0"/>
          <w:numId w:val="10"/>
        </w:numPr>
        <w:shd w:val="clear" w:color="auto" w:fill="FFFFFF"/>
        <w:tabs>
          <w:tab w:val="left" w:pos="426"/>
        </w:tabs>
        <w:spacing w:before="0" w:beforeAutospacing="0" w:after="240" w:afterAutospacing="0"/>
        <w:ind w:left="0" w:firstLine="0"/>
        <w:jc w:val="both"/>
        <w:rPr>
          <w:rFonts w:ascii="Arial" w:hAnsi="Arial" w:cs="Arial"/>
          <w:sz w:val="20"/>
          <w:szCs w:val="20"/>
        </w:rPr>
      </w:pPr>
      <w:r w:rsidRPr="003273CC">
        <w:rPr>
          <w:rFonts w:ascii="Arial" w:hAnsi="Arial" w:cs="Arial"/>
          <w:sz w:val="20"/>
          <w:szCs w:val="20"/>
        </w:rPr>
        <w:t xml:space="preserve">Therefore, local self-government impacts on the </w:t>
      </w:r>
      <w:r w:rsidR="00DE42BE">
        <w:rPr>
          <w:rFonts w:ascii="Arial" w:hAnsi="Arial" w:cs="Arial"/>
          <w:sz w:val="20"/>
          <w:szCs w:val="20"/>
        </w:rPr>
        <w:t xml:space="preserve">Freedom House </w:t>
      </w:r>
      <w:r w:rsidRPr="003273CC">
        <w:rPr>
          <w:rFonts w:ascii="Arial" w:hAnsi="Arial" w:cs="Arial"/>
          <w:sz w:val="20"/>
          <w:szCs w:val="20"/>
        </w:rPr>
        <w:t xml:space="preserve">Democracy </w:t>
      </w:r>
      <w:r w:rsidR="00DE42BE">
        <w:rPr>
          <w:rFonts w:ascii="Arial" w:hAnsi="Arial" w:cs="Arial"/>
          <w:sz w:val="20"/>
          <w:szCs w:val="20"/>
        </w:rPr>
        <w:t>S</w:t>
      </w:r>
      <w:r w:rsidRPr="003273CC">
        <w:rPr>
          <w:rFonts w:ascii="Arial" w:hAnsi="Arial" w:cs="Arial"/>
          <w:sz w:val="20"/>
          <w:szCs w:val="20"/>
        </w:rPr>
        <w:t xml:space="preserve">core. Based on the Democracy Score, Freedom House assigns each country to one regime type, in a range of six, going from consolidated </w:t>
      </w:r>
      <w:r w:rsidR="00D378A5">
        <w:rPr>
          <w:rFonts w:ascii="Arial" w:hAnsi="Arial" w:cs="Arial"/>
          <w:sz w:val="20"/>
          <w:szCs w:val="20"/>
        </w:rPr>
        <w:t>d</w:t>
      </w:r>
      <w:r w:rsidRPr="003273CC">
        <w:rPr>
          <w:rFonts w:ascii="Arial" w:hAnsi="Arial" w:cs="Arial"/>
          <w:sz w:val="20"/>
          <w:szCs w:val="20"/>
        </w:rPr>
        <w:t xml:space="preserve">emocracies to </w:t>
      </w:r>
      <w:r w:rsidR="00D378A5">
        <w:rPr>
          <w:rFonts w:ascii="Arial" w:hAnsi="Arial" w:cs="Arial"/>
          <w:sz w:val="20"/>
          <w:szCs w:val="20"/>
        </w:rPr>
        <w:t>a</w:t>
      </w:r>
      <w:r w:rsidRPr="003273CC">
        <w:rPr>
          <w:rFonts w:ascii="Arial" w:hAnsi="Arial" w:cs="Arial"/>
          <w:sz w:val="20"/>
          <w:szCs w:val="20"/>
        </w:rPr>
        <w:t xml:space="preserve">uthoritarian </w:t>
      </w:r>
      <w:r w:rsidR="00D378A5">
        <w:rPr>
          <w:rFonts w:ascii="Arial" w:hAnsi="Arial" w:cs="Arial"/>
          <w:sz w:val="20"/>
          <w:szCs w:val="20"/>
        </w:rPr>
        <w:t>r</w:t>
      </w:r>
      <w:r w:rsidR="00D378A5" w:rsidRPr="003273CC">
        <w:rPr>
          <w:rFonts w:ascii="Arial" w:hAnsi="Arial" w:cs="Arial"/>
          <w:sz w:val="20"/>
          <w:szCs w:val="20"/>
        </w:rPr>
        <w:t>egimes</w:t>
      </w:r>
      <w:r w:rsidRPr="003273CC">
        <w:rPr>
          <w:rFonts w:ascii="Arial" w:hAnsi="Arial" w:cs="Arial"/>
          <w:sz w:val="20"/>
          <w:szCs w:val="20"/>
        </w:rPr>
        <w:t>.</w:t>
      </w:r>
    </w:p>
    <w:p w14:paraId="21F8518D" w14:textId="5DEB52F8" w:rsidR="00246BA8" w:rsidRPr="0080275C" w:rsidRDefault="0022274E" w:rsidP="008F5CA8">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 </w:t>
      </w:r>
      <w:r w:rsidR="00246BA8" w:rsidRPr="00760626">
        <w:rPr>
          <w:rFonts w:ascii="Arial" w:eastAsia="Calibri" w:hAnsi="Arial" w:cs="Arial"/>
          <w:sz w:val="20"/>
          <w:szCs w:val="20"/>
          <w14:ligatures w14:val="standardContextual"/>
        </w:rPr>
        <w:t xml:space="preserve">Many of the </w:t>
      </w:r>
      <w:r w:rsidR="00D378A5">
        <w:rPr>
          <w:rFonts w:ascii="Arial" w:eastAsia="Calibri" w:hAnsi="Arial" w:cs="Arial"/>
          <w:sz w:val="20"/>
          <w:szCs w:val="20"/>
          <w14:ligatures w14:val="standardContextual"/>
        </w:rPr>
        <w:t>aforementioned</w:t>
      </w:r>
      <w:r w:rsidR="00246BA8" w:rsidRPr="00760626">
        <w:rPr>
          <w:rFonts w:ascii="Arial" w:eastAsia="Calibri" w:hAnsi="Arial" w:cs="Arial"/>
          <w:sz w:val="20"/>
          <w:szCs w:val="20"/>
          <w14:ligatures w14:val="standardContextual"/>
        </w:rPr>
        <w:t xml:space="preserve"> documents </w:t>
      </w:r>
      <w:r w:rsidR="00D378A5">
        <w:rPr>
          <w:rFonts w:ascii="Arial" w:eastAsia="Calibri" w:hAnsi="Arial" w:cs="Arial"/>
          <w:sz w:val="20"/>
          <w:szCs w:val="20"/>
          <w14:ligatures w14:val="standardContextual"/>
        </w:rPr>
        <w:t>highlight</w:t>
      </w:r>
      <w:r w:rsidR="00246BA8" w:rsidRPr="00760626">
        <w:rPr>
          <w:rFonts w:ascii="Arial" w:eastAsia="Calibri" w:hAnsi="Arial" w:cs="Arial"/>
          <w:sz w:val="20"/>
          <w:szCs w:val="20"/>
          <w14:ligatures w14:val="standardContextual"/>
        </w:rPr>
        <w:t xml:space="preserve"> the close link between democracy, rule of law and separation of powers. Some statements may be quoted from above: “There can be no democracy without the rule of law; there can be no rule of law without democracy”; “the rule of law is one of the principles which form the basis of all genuine democracy”, “Democracy is an inherent element of the rule of law”; </w:t>
      </w:r>
      <w:r w:rsidR="00246BA8" w:rsidRPr="00760626">
        <w:rPr>
          <w:rFonts w:ascii="Arial" w:eastAsia="Calibri" w:hAnsi="Arial" w:cs="Arial"/>
          <w:kern w:val="2"/>
          <w:sz w:val="20"/>
          <w:szCs w:val="20"/>
          <w14:ligatures w14:val="standardContextual"/>
        </w:rPr>
        <w:t>a “genuine democracy”, as a democracy based on the rule of law, requires a system of divided powers.</w:t>
      </w:r>
    </w:p>
    <w:p w14:paraId="530CD2E3" w14:textId="77777777" w:rsidR="0080275C" w:rsidRPr="0080275C" w:rsidRDefault="0080275C" w:rsidP="008F5CA8">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53012522" w14:textId="27DAD56D" w:rsidR="003273CC" w:rsidRDefault="00D378A5" w:rsidP="008F5CA8">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There </w:t>
      </w:r>
      <w:r w:rsidR="0022274E">
        <w:rPr>
          <w:rFonts w:ascii="Arial" w:eastAsia="Calibri" w:hAnsi="Arial" w:cs="Arial"/>
          <w:sz w:val="20"/>
          <w:szCs w:val="20"/>
          <w14:ligatures w14:val="standardContextual"/>
        </w:rPr>
        <w:t xml:space="preserve">is </w:t>
      </w:r>
      <w:r w:rsidR="0022274E" w:rsidRPr="00760626">
        <w:rPr>
          <w:rFonts w:ascii="Arial" w:eastAsia="Calibri" w:hAnsi="Arial" w:cs="Arial"/>
          <w:sz w:val="20"/>
          <w:szCs w:val="20"/>
          <w14:ligatures w14:val="standardContextual"/>
        </w:rPr>
        <w:t xml:space="preserve">a clear consensus </w:t>
      </w:r>
      <w:r>
        <w:rPr>
          <w:rFonts w:ascii="Arial" w:eastAsia="Calibri" w:hAnsi="Arial" w:cs="Arial"/>
          <w:sz w:val="20"/>
          <w:szCs w:val="20"/>
          <w14:ligatures w14:val="standardContextual"/>
        </w:rPr>
        <w:t>w</w:t>
      </w:r>
      <w:r w:rsidRPr="00760626">
        <w:rPr>
          <w:rFonts w:ascii="Arial" w:eastAsia="Calibri" w:hAnsi="Arial" w:cs="Arial"/>
          <w:sz w:val="20"/>
          <w:szCs w:val="20"/>
          <w14:ligatures w14:val="standardContextual"/>
        </w:rPr>
        <w:t>ithin the Council of Europe</w:t>
      </w:r>
      <w:r w:rsidR="00E2230A">
        <w:rPr>
          <w:rFonts w:ascii="Arial" w:eastAsia="Calibri" w:hAnsi="Arial" w:cs="Arial"/>
          <w:sz w:val="20"/>
          <w:szCs w:val="20"/>
          <w14:ligatures w14:val="standardContextual"/>
        </w:rPr>
        <w:t xml:space="preserve"> </w:t>
      </w:r>
      <w:r w:rsidR="0022274E" w:rsidRPr="00760626">
        <w:rPr>
          <w:rFonts w:ascii="Arial" w:eastAsia="Calibri" w:hAnsi="Arial" w:cs="Arial"/>
          <w:sz w:val="20"/>
          <w:szCs w:val="20"/>
          <w14:ligatures w14:val="standardContextual"/>
        </w:rPr>
        <w:t xml:space="preserve">on the </w:t>
      </w:r>
      <w:r w:rsidR="007564DF">
        <w:rPr>
          <w:rFonts w:ascii="Arial" w:eastAsia="Calibri" w:hAnsi="Arial" w:cs="Arial"/>
          <w:sz w:val="20"/>
          <w:szCs w:val="20"/>
          <w14:ligatures w14:val="standardContextual"/>
        </w:rPr>
        <w:t>interrelationship</w:t>
      </w:r>
      <w:r w:rsidR="0022274E" w:rsidRPr="00760626">
        <w:rPr>
          <w:rFonts w:ascii="Arial" w:eastAsia="Calibri" w:hAnsi="Arial" w:cs="Arial"/>
          <w:sz w:val="20"/>
          <w:szCs w:val="20"/>
          <w14:ligatures w14:val="standardContextual"/>
        </w:rPr>
        <w:t xml:space="preserve"> between democracy, </w:t>
      </w:r>
      <w:r w:rsidR="007564DF">
        <w:rPr>
          <w:rFonts w:ascii="Arial" w:eastAsia="Calibri" w:hAnsi="Arial" w:cs="Arial"/>
          <w:sz w:val="20"/>
          <w:szCs w:val="20"/>
          <w14:ligatures w14:val="standardContextual"/>
        </w:rPr>
        <w:t xml:space="preserve">the </w:t>
      </w:r>
      <w:r w:rsidR="0022274E" w:rsidRPr="00760626">
        <w:rPr>
          <w:rFonts w:ascii="Arial" w:eastAsia="Calibri" w:hAnsi="Arial" w:cs="Arial"/>
          <w:sz w:val="20"/>
          <w:szCs w:val="20"/>
          <w14:ligatures w14:val="standardContextual"/>
        </w:rPr>
        <w:t xml:space="preserve">rule of law and </w:t>
      </w:r>
      <w:r w:rsidR="007564DF">
        <w:rPr>
          <w:rFonts w:ascii="Arial" w:eastAsia="Calibri" w:hAnsi="Arial" w:cs="Arial"/>
          <w:sz w:val="20"/>
          <w:szCs w:val="20"/>
          <w14:ligatures w14:val="standardContextual"/>
        </w:rPr>
        <w:t xml:space="preserve">the </w:t>
      </w:r>
      <w:r w:rsidR="0022274E" w:rsidRPr="00760626">
        <w:rPr>
          <w:rFonts w:ascii="Arial" w:eastAsia="Calibri" w:hAnsi="Arial" w:cs="Arial"/>
          <w:sz w:val="20"/>
          <w:szCs w:val="20"/>
          <w14:ligatures w14:val="standardContextual"/>
        </w:rPr>
        <w:t>separation of powers</w:t>
      </w:r>
      <w:r w:rsidR="0022274E">
        <w:rPr>
          <w:rFonts w:ascii="Arial" w:eastAsia="Calibri" w:hAnsi="Arial" w:cs="Arial"/>
          <w:sz w:val="20"/>
          <w:szCs w:val="20"/>
          <w14:ligatures w14:val="standardContextual"/>
        </w:rPr>
        <w:t xml:space="preserve">, notwithstanding the fact that </w:t>
      </w:r>
      <w:r w:rsidR="0022274E" w:rsidRPr="00760626">
        <w:rPr>
          <w:rFonts w:ascii="Arial" w:eastAsia="Calibri" w:hAnsi="Arial" w:cs="Arial"/>
          <w:sz w:val="20"/>
          <w:szCs w:val="20"/>
          <w14:ligatures w14:val="standardContextual"/>
        </w:rPr>
        <w:t>the rule of law remains an “essentially contested concept”</w:t>
      </w:r>
      <w:r w:rsidR="0022274E">
        <w:rPr>
          <w:rFonts w:ascii="Arial" w:eastAsia="Calibri" w:hAnsi="Arial" w:cs="Arial"/>
          <w:sz w:val="20"/>
          <w:szCs w:val="20"/>
          <w14:ligatures w14:val="standardContextual"/>
        </w:rPr>
        <w:t>, as stated above.</w:t>
      </w:r>
    </w:p>
    <w:p w14:paraId="444D10EB" w14:textId="77777777" w:rsidR="0080275C" w:rsidRPr="0080275C" w:rsidRDefault="0080275C" w:rsidP="008F5CA8">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3526A759" w14:textId="7A2FF12E" w:rsidR="003273CC" w:rsidRDefault="003273CC" w:rsidP="008F5CA8">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sz w:val="20"/>
          <w:szCs w:val="20"/>
          <w14:ligatures w14:val="standardContextual"/>
        </w:rPr>
        <w:t xml:space="preserve">In its Preamble, the European Charter of Local Self-Government </w:t>
      </w:r>
      <w:r w:rsidR="00FA6BB9">
        <w:rPr>
          <w:rFonts w:ascii="Arial" w:eastAsia="Calibri" w:hAnsi="Arial" w:cs="Arial"/>
          <w:sz w:val="20"/>
          <w:szCs w:val="20"/>
          <w14:ligatures w14:val="standardContextual"/>
        </w:rPr>
        <w:t xml:space="preserve">(ETS No. 122, “the Charter”) </w:t>
      </w:r>
      <w:r w:rsidR="007564DF">
        <w:rPr>
          <w:rFonts w:ascii="Arial" w:eastAsia="Calibri" w:hAnsi="Arial" w:cs="Arial"/>
          <w:sz w:val="20"/>
          <w:szCs w:val="20"/>
          <w14:ligatures w14:val="standardContextual"/>
        </w:rPr>
        <w:t>t</w:t>
      </w:r>
      <w:r w:rsidRPr="007E06F8">
        <w:rPr>
          <w:rFonts w:ascii="Arial" w:eastAsia="Calibri" w:hAnsi="Arial" w:cs="Arial"/>
          <w:sz w:val="20"/>
          <w:szCs w:val="20"/>
          <w14:ligatures w14:val="standardContextual"/>
        </w:rPr>
        <w:t xml:space="preserve">akes a step forward in linking democracy, </w:t>
      </w:r>
      <w:r w:rsidR="007564DF">
        <w:rPr>
          <w:rFonts w:ascii="Arial" w:eastAsia="Calibri" w:hAnsi="Arial" w:cs="Arial"/>
          <w:sz w:val="20"/>
          <w:szCs w:val="20"/>
          <w14:ligatures w14:val="standardContextual"/>
        </w:rPr>
        <w:t xml:space="preserve">the </w:t>
      </w:r>
      <w:r w:rsidRPr="007E06F8">
        <w:rPr>
          <w:rFonts w:ascii="Arial" w:eastAsia="Calibri" w:hAnsi="Arial" w:cs="Arial"/>
          <w:sz w:val="20"/>
          <w:szCs w:val="20"/>
          <w14:ligatures w14:val="standardContextual"/>
        </w:rPr>
        <w:t xml:space="preserve">rule of law, and </w:t>
      </w:r>
      <w:r w:rsidR="007564DF">
        <w:rPr>
          <w:rFonts w:ascii="Arial" w:eastAsia="Calibri" w:hAnsi="Arial" w:cs="Arial"/>
          <w:sz w:val="20"/>
          <w:szCs w:val="20"/>
          <w14:ligatures w14:val="standardContextual"/>
        </w:rPr>
        <w:t xml:space="preserve">the </w:t>
      </w:r>
      <w:r w:rsidRPr="007E06F8">
        <w:rPr>
          <w:rFonts w:ascii="Arial" w:eastAsia="Calibri" w:hAnsi="Arial" w:cs="Arial"/>
          <w:sz w:val="20"/>
          <w:szCs w:val="20"/>
          <w14:ligatures w14:val="standardContextual"/>
        </w:rPr>
        <w:t>separation of powers to local self-government</w:t>
      </w:r>
      <w:r w:rsidR="007564DF">
        <w:rPr>
          <w:rFonts w:ascii="Arial" w:eastAsia="Calibri" w:hAnsi="Arial" w:cs="Arial"/>
          <w:sz w:val="20"/>
          <w:szCs w:val="20"/>
          <w14:ligatures w14:val="standardContextual"/>
        </w:rPr>
        <w:t xml:space="preserve"> </w:t>
      </w:r>
      <w:r w:rsidRPr="007E06F8">
        <w:rPr>
          <w:rFonts w:ascii="Arial" w:eastAsia="Calibri" w:hAnsi="Arial" w:cs="Arial"/>
          <w:sz w:val="20"/>
          <w:szCs w:val="20"/>
          <w14:ligatures w14:val="standardContextual"/>
        </w:rPr>
        <w:t xml:space="preserve">by stating that </w:t>
      </w:r>
      <w:r w:rsidRPr="00760626">
        <w:rPr>
          <w:rFonts w:ascii="Arial" w:eastAsia="Calibri" w:hAnsi="Arial" w:cs="Arial"/>
          <w:color w:val="000000"/>
          <w:sz w:val="20"/>
          <w:szCs w:val="20"/>
          <w14:ligatures w14:val="standardContextual"/>
        </w:rPr>
        <w:t>local authorities are one of the main foundations of any democratic regime</w:t>
      </w:r>
      <w:r>
        <w:rPr>
          <w:rFonts w:ascii="Arial" w:eastAsia="Calibri" w:hAnsi="Arial" w:cs="Arial"/>
          <w:color w:val="000000"/>
          <w:sz w:val="20"/>
          <w:szCs w:val="20"/>
          <w14:ligatures w14:val="standardContextual"/>
        </w:rPr>
        <w:t xml:space="preserve">. </w:t>
      </w:r>
      <w:r w:rsidR="007564DF">
        <w:rPr>
          <w:rFonts w:ascii="Arial" w:eastAsia="Calibri" w:hAnsi="Arial" w:cs="Arial"/>
          <w:color w:val="000000"/>
          <w:sz w:val="20"/>
          <w:szCs w:val="20"/>
          <w14:ligatures w14:val="standardContextual"/>
        </w:rPr>
        <w:t>Additionaly</w:t>
      </w:r>
      <w:r>
        <w:rPr>
          <w:rFonts w:ascii="Arial" w:eastAsia="Calibri" w:hAnsi="Arial" w:cs="Arial"/>
          <w:color w:val="000000"/>
          <w:sz w:val="20"/>
          <w:szCs w:val="20"/>
          <w14:ligatures w14:val="standardContextual"/>
        </w:rPr>
        <w:t>, t</w:t>
      </w:r>
      <w:r w:rsidRPr="00760626">
        <w:rPr>
          <w:rFonts w:ascii="Arial" w:eastAsia="Calibri" w:hAnsi="Arial" w:cs="Arial"/>
          <w:color w:val="000000"/>
          <w:sz w:val="20"/>
          <w:szCs w:val="20"/>
          <w14:ligatures w14:val="standardContextual"/>
        </w:rPr>
        <w:t>his role of local authorities is implicit in many paragraphs of the Charter</w:t>
      </w:r>
      <w:r w:rsidR="007564DF">
        <w:rPr>
          <w:rFonts w:ascii="Arial" w:eastAsia="Calibri" w:hAnsi="Arial" w:cs="Arial"/>
          <w:color w:val="000000"/>
          <w:sz w:val="20"/>
          <w:szCs w:val="20"/>
          <w14:ligatures w14:val="standardContextual"/>
        </w:rPr>
        <w:t>’s preamble</w:t>
      </w:r>
      <w:r w:rsidR="00FA6BB9">
        <w:rPr>
          <w:rFonts w:ascii="Arial" w:eastAsia="Calibri" w:hAnsi="Arial" w:cs="Arial"/>
          <w:color w:val="000000"/>
          <w:sz w:val="20"/>
          <w:szCs w:val="20"/>
          <w14:ligatures w14:val="standardContextual"/>
        </w:rPr>
        <w:t>.</w:t>
      </w:r>
      <w:r w:rsidRPr="00760626">
        <w:rPr>
          <w:rFonts w:ascii="Arial" w:eastAsia="Calibri" w:hAnsi="Arial" w:cs="Arial"/>
          <w:sz w:val="20"/>
          <w:szCs w:val="20"/>
          <w:vertAlign w:val="superscript"/>
        </w:rPr>
        <w:footnoteReference w:id="46"/>
      </w:r>
      <w:r w:rsidRPr="00760626">
        <w:rPr>
          <w:rFonts w:ascii="Arial" w:eastAsia="Calibri" w:hAnsi="Arial" w:cs="Arial"/>
          <w:color w:val="000000"/>
          <w:sz w:val="20"/>
          <w:szCs w:val="20"/>
          <w14:ligatures w14:val="standardContextual"/>
        </w:rPr>
        <w:t xml:space="preserve"> </w:t>
      </w:r>
    </w:p>
    <w:p w14:paraId="5D15D0A6" w14:textId="51DE2C96" w:rsidR="00FC0175" w:rsidRDefault="003273CC" w:rsidP="008F5CA8">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60626">
        <w:rPr>
          <w:rFonts w:ascii="Arial" w:eastAsia="Calibri" w:hAnsi="Arial" w:cs="Arial"/>
          <w:color w:val="000000"/>
          <w:sz w:val="20"/>
          <w:szCs w:val="20"/>
          <w14:ligatures w14:val="standardContextual"/>
        </w:rPr>
        <w:lastRenderedPageBreak/>
        <w:t xml:space="preserve">As highlighted by the Contemporary Commentary on the Explanatory report of the European Charter of Local Self-Government, the Preamble </w:t>
      </w:r>
      <w:r w:rsidR="007564DF">
        <w:rPr>
          <w:rFonts w:ascii="Arial" w:eastAsia="Calibri" w:hAnsi="Arial" w:cs="Arial"/>
          <w:color w:val="000000"/>
          <w:sz w:val="20"/>
          <w:szCs w:val="20"/>
          <w14:ligatures w14:val="standardContextual"/>
        </w:rPr>
        <w:t>“</w:t>
      </w:r>
      <w:r w:rsidRPr="00760626">
        <w:rPr>
          <w:rFonts w:ascii="Arial" w:eastAsia="Calibri" w:hAnsi="Arial" w:cs="Arial"/>
          <w:color w:val="000000"/>
          <w:sz w:val="20"/>
          <w:szCs w:val="20"/>
          <w14:ligatures w14:val="standardContextual"/>
        </w:rPr>
        <w:t xml:space="preserve">points out the link between local government and democracy, which should be considered the </w:t>
      </w:r>
      <w:r w:rsidR="007564DF">
        <w:rPr>
          <w:rFonts w:ascii="Arial" w:eastAsia="Calibri" w:hAnsi="Arial" w:cs="Arial"/>
          <w:color w:val="000000"/>
          <w:sz w:val="20"/>
          <w:szCs w:val="20"/>
          <w14:ligatures w14:val="standardContextual"/>
        </w:rPr>
        <w:t>‘</w:t>
      </w:r>
      <w:r w:rsidRPr="00760626">
        <w:rPr>
          <w:rFonts w:ascii="Arial" w:eastAsia="Calibri" w:hAnsi="Arial" w:cs="Arial"/>
          <w:color w:val="000000"/>
          <w:sz w:val="20"/>
          <w:szCs w:val="20"/>
          <w14:ligatures w14:val="standardContextual"/>
        </w:rPr>
        <w:t>core</w:t>
      </w:r>
      <w:r w:rsidR="007564DF">
        <w:rPr>
          <w:rFonts w:ascii="Arial" w:eastAsia="Calibri" w:hAnsi="Arial" w:cs="Arial"/>
          <w:color w:val="000000"/>
          <w:sz w:val="20"/>
          <w:szCs w:val="20"/>
          <w14:ligatures w14:val="standardContextual"/>
        </w:rPr>
        <w:t>’</w:t>
      </w:r>
      <w:r w:rsidRPr="00760626">
        <w:rPr>
          <w:rFonts w:ascii="Arial" w:eastAsia="Calibri" w:hAnsi="Arial" w:cs="Arial"/>
          <w:color w:val="000000"/>
          <w:sz w:val="20"/>
          <w:szCs w:val="20"/>
          <w14:ligatures w14:val="standardContextual"/>
        </w:rPr>
        <w:t xml:space="preserve"> of the Charter. Based on an approach guided by the principle of decentralisation, the Charter assumes that local democracy is a cornerstone of democracy, so it once again connects the Charter with the founding aims of the Council of Europe: local authorities are considered to be one of the main foundations of democracy, which is the core mission of the Council of Europe</w:t>
      </w:r>
      <w:r w:rsidR="007564DF">
        <w:rPr>
          <w:rFonts w:ascii="Arial" w:eastAsia="Calibri" w:hAnsi="Arial" w:cs="Arial"/>
          <w:color w:val="000000"/>
          <w:sz w:val="20"/>
          <w:szCs w:val="20"/>
          <w14:ligatures w14:val="standardContextual"/>
        </w:rPr>
        <w:t>”</w:t>
      </w:r>
      <w:r w:rsidRPr="00760626">
        <w:rPr>
          <w:rFonts w:ascii="Arial" w:eastAsia="Calibri" w:hAnsi="Arial" w:cs="Arial"/>
          <w:sz w:val="20"/>
          <w:szCs w:val="20"/>
          <w:vertAlign w:val="superscript"/>
        </w:rPr>
        <w:footnoteReference w:id="47"/>
      </w:r>
      <w:r w:rsidRPr="00760626">
        <w:rPr>
          <w:rFonts w:ascii="Arial" w:eastAsia="Calibri" w:hAnsi="Arial" w:cs="Arial"/>
          <w:color w:val="000000"/>
          <w:sz w:val="20"/>
          <w:szCs w:val="20"/>
          <w14:ligatures w14:val="standardContextual"/>
        </w:rPr>
        <w:t xml:space="preserve">. </w:t>
      </w:r>
    </w:p>
    <w:p w14:paraId="3D67708B" w14:textId="77777777" w:rsidR="0080275C" w:rsidRPr="0080275C" w:rsidRDefault="0080275C" w:rsidP="008F5CA8">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316E1F0D" w14:textId="2AE17CC5" w:rsidR="00FC0175" w:rsidRPr="00BF6751" w:rsidRDefault="00FC0175" w:rsidP="008F5CA8">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BF6751">
        <w:rPr>
          <w:rFonts w:ascii="Arial" w:eastAsia="Calibri" w:hAnsi="Arial" w:cs="Arial"/>
          <w:color w:val="000000"/>
          <w:sz w:val="20"/>
          <w:szCs w:val="20"/>
          <w14:ligatures w14:val="standardContextual"/>
        </w:rPr>
        <w:t xml:space="preserve">Local and regional authorities are </w:t>
      </w:r>
      <w:r w:rsidR="004A4B2A">
        <w:rPr>
          <w:rFonts w:ascii="Arial" w:eastAsia="Calibri" w:hAnsi="Arial" w:cs="Arial"/>
          <w:color w:val="000000"/>
          <w:sz w:val="20"/>
          <w:szCs w:val="20"/>
          <w14:ligatures w14:val="standardContextual"/>
        </w:rPr>
        <w:t xml:space="preserve">therefore </w:t>
      </w:r>
      <w:r w:rsidRPr="00BF6751">
        <w:rPr>
          <w:rFonts w:ascii="Arial" w:eastAsia="Calibri" w:hAnsi="Arial" w:cs="Arial"/>
          <w:color w:val="000000"/>
          <w:sz w:val="20"/>
          <w:szCs w:val="20"/>
          <w14:ligatures w14:val="standardContextual"/>
        </w:rPr>
        <w:t xml:space="preserve">key </w:t>
      </w:r>
      <w:r w:rsidR="007564DF">
        <w:rPr>
          <w:rFonts w:ascii="Arial" w:eastAsia="Calibri" w:hAnsi="Arial" w:cs="Arial"/>
          <w:color w:val="000000"/>
          <w:sz w:val="20"/>
          <w:szCs w:val="20"/>
          <w14:ligatures w14:val="standardContextual"/>
        </w:rPr>
        <w:t>to</w:t>
      </w:r>
      <w:r w:rsidRPr="00BF6751">
        <w:rPr>
          <w:rFonts w:ascii="Arial" w:eastAsia="Calibri" w:hAnsi="Arial" w:cs="Arial"/>
          <w:color w:val="000000"/>
          <w:sz w:val="20"/>
          <w:szCs w:val="20"/>
          <w14:ligatures w14:val="standardContextual"/>
        </w:rPr>
        <w:t xml:space="preserve"> upholding and defending democracy, human rights and </w:t>
      </w:r>
      <w:r w:rsidR="007564DF">
        <w:rPr>
          <w:rFonts w:ascii="Arial" w:eastAsia="Calibri" w:hAnsi="Arial" w:cs="Arial"/>
          <w:color w:val="000000"/>
          <w:sz w:val="20"/>
          <w:szCs w:val="20"/>
          <w14:ligatures w14:val="standardContextual"/>
        </w:rPr>
        <w:t xml:space="preserve">the </w:t>
      </w:r>
      <w:r w:rsidRPr="00BF6751">
        <w:rPr>
          <w:rFonts w:ascii="Arial" w:eastAsia="Calibri" w:hAnsi="Arial" w:cs="Arial"/>
          <w:color w:val="000000"/>
          <w:sz w:val="20"/>
          <w:szCs w:val="20"/>
          <w14:ligatures w14:val="standardContextual"/>
        </w:rPr>
        <w:t xml:space="preserve">rule of law, not only within their communities, but </w:t>
      </w:r>
      <w:r w:rsidR="007564DF">
        <w:rPr>
          <w:rFonts w:ascii="Arial" w:eastAsia="Calibri" w:hAnsi="Arial" w:cs="Arial"/>
          <w:color w:val="000000"/>
          <w:sz w:val="20"/>
          <w:szCs w:val="20"/>
          <w14:ligatures w14:val="standardContextual"/>
        </w:rPr>
        <w:t xml:space="preserve">also </w:t>
      </w:r>
      <w:r w:rsidRPr="00BF6751">
        <w:rPr>
          <w:rFonts w:ascii="Arial" w:eastAsia="Calibri" w:hAnsi="Arial" w:cs="Arial"/>
          <w:color w:val="000000"/>
          <w:sz w:val="20"/>
          <w:szCs w:val="20"/>
          <w14:ligatures w14:val="standardContextual"/>
        </w:rPr>
        <w:t>as part of the system of checks and balances which represents the backbone of a genuine pluralistic democracy.</w:t>
      </w:r>
    </w:p>
    <w:p w14:paraId="75CAB44E" w14:textId="77777777" w:rsidR="00FC0175" w:rsidRPr="00BF6751" w:rsidRDefault="00FC0175" w:rsidP="008F5CA8">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30E45199" w14:textId="4B976C08" w:rsidR="00FC0175" w:rsidRDefault="00FC0175" w:rsidP="008F5CA8">
      <w:pPr>
        <w:pStyle w:val="ListParagraph"/>
        <w:numPr>
          <w:ilvl w:val="0"/>
          <w:numId w:val="10"/>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BF6751">
        <w:rPr>
          <w:rFonts w:ascii="Arial" w:eastAsia="Calibri" w:hAnsi="Arial" w:cs="Arial"/>
          <w:color w:val="000000"/>
          <w:sz w:val="20"/>
          <w:szCs w:val="20"/>
          <w14:ligatures w14:val="standardContextual"/>
        </w:rPr>
        <w:t xml:space="preserve">As stated in </w:t>
      </w:r>
      <w:hyperlink r:id="rId14" w:history="1">
        <w:r w:rsidRPr="00BF6751">
          <w:rPr>
            <w:rFonts w:ascii="Arial" w:eastAsia="Calibri" w:hAnsi="Arial" w:cs="Arial"/>
            <w:color w:val="000000"/>
            <w:sz w:val="20"/>
            <w:szCs w:val="20"/>
            <w14:ligatures w14:val="standardContextual"/>
          </w:rPr>
          <w:t xml:space="preserve">the Reykjavík </w:t>
        </w:r>
        <w:r w:rsidR="00761D10">
          <w:rPr>
            <w:rFonts w:ascii="Arial" w:eastAsia="Calibri" w:hAnsi="Arial" w:cs="Arial"/>
            <w:color w:val="000000"/>
            <w:sz w:val="20"/>
            <w:szCs w:val="20"/>
            <w14:ligatures w14:val="standardContextual"/>
          </w:rPr>
          <w:t>D</w:t>
        </w:r>
        <w:r w:rsidRPr="00BF6751">
          <w:rPr>
            <w:rFonts w:ascii="Arial" w:eastAsia="Calibri" w:hAnsi="Arial" w:cs="Arial"/>
            <w:color w:val="000000"/>
            <w:sz w:val="20"/>
            <w:szCs w:val="20"/>
            <w14:ligatures w14:val="standardContextual"/>
          </w:rPr>
          <w:t>eclaration</w:t>
        </w:r>
      </w:hyperlink>
      <w:r w:rsidRPr="00BF6751">
        <w:rPr>
          <w:rFonts w:ascii="Arial" w:eastAsia="Calibri" w:hAnsi="Arial" w:cs="Arial"/>
          <w:color w:val="000000"/>
          <w:sz w:val="20"/>
          <w:szCs w:val="20"/>
          <w14:ligatures w14:val="standardContextual"/>
        </w:rPr>
        <w:t xml:space="preserve">, </w:t>
      </w:r>
      <w:r w:rsidR="00BF6751" w:rsidRPr="00BF6751">
        <w:rPr>
          <w:rFonts w:ascii="Arial" w:eastAsia="Calibri" w:hAnsi="Arial" w:cs="Arial"/>
          <w:color w:val="000000"/>
          <w:sz w:val="20"/>
          <w:szCs w:val="20"/>
          <w14:ligatures w14:val="standardContextual"/>
        </w:rPr>
        <w:t xml:space="preserve">adopted at the 4th Summit of the Council of Europe in Reykjavik, </w:t>
      </w:r>
      <w:r w:rsidRPr="00BF6751">
        <w:rPr>
          <w:rFonts w:ascii="Arial" w:eastAsia="Calibri" w:hAnsi="Arial" w:cs="Arial"/>
          <w:color w:val="000000"/>
          <w:sz w:val="20"/>
          <w:szCs w:val="20"/>
          <w14:ligatures w14:val="standardContextual"/>
        </w:rPr>
        <w:t xml:space="preserve">democracy needs to strengthen the separation of powers with appropriate checks and balances between different State institutions, </w:t>
      </w:r>
      <w:r w:rsidRPr="0022274E">
        <w:rPr>
          <w:rFonts w:ascii="Arial" w:eastAsia="Calibri" w:hAnsi="Arial" w:cs="Arial"/>
          <w:i/>
          <w:iCs/>
          <w:color w:val="000000"/>
          <w:sz w:val="20"/>
          <w:szCs w:val="20"/>
          <w14:ligatures w14:val="standardContextual"/>
        </w:rPr>
        <w:t>at all levels</w:t>
      </w:r>
      <w:r w:rsidRPr="00BF6751">
        <w:rPr>
          <w:rFonts w:ascii="Arial" w:eastAsia="Calibri" w:hAnsi="Arial" w:cs="Arial"/>
          <w:color w:val="000000"/>
          <w:sz w:val="20"/>
          <w:szCs w:val="20"/>
          <w14:ligatures w14:val="standardContextual"/>
        </w:rPr>
        <w:t>, to prevent any excessive concentration of power.</w:t>
      </w:r>
    </w:p>
    <w:p w14:paraId="5B09E715" w14:textId="77777777" w:rsidR="00FA6BB9" w:rsidRPr="00BF6751" w:rsidRDefault="00FA6BB9" w:rsidP="008F5CA8">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393C35DE" w14:textId="2E8176DB" w:rsidR="0080275C" w:rsidRPr="0080275C" w:rsidRDefault="00281B80" w:rsidP="008F5CA8">
      <w:pPr>
        <w:pStyle w:val="ListParagraph"/>
        <w:numPr>
          <w:ilvl w:val="0"/>
          <w:numId w:val="10"/>
        </w:numPr>
        <w:shd w:val="clear" w:color="auto" w:fill="FFFFFF"/>
        <w:tabs>
          <w:tab w:val="left" w:pos="426"/>
        </w:tabs>
        <w:autoSpaceDE w:val="0"/>
        <w:autoSpaceDN w:val="0"/>
        <w:adjustRightInd w:val="0"/>
        <w:spacing w:after="240"/>
        <w:ind w:left="0" w:firstLine="0"/>
        <w:jc w:val="both"/>
        <w:rPr>
          <w:rFonts w:ascii="Arial" w:hAnsi="Arial" w:cs="Arial"/>
          <w:sz w:val="20"/>
          <w:szCs w:val="20"/>
        </w:rPr>
      </w:pPr>
      <w:r w:rsidRPr="0080275C">
        <w:rPr>
          <w:rFonts w:ascii="Arial" w:eastAsia="Calibri" w:hAnsi="Arial" w:cs="Arial"/>
          <w:color w:val="000000"/>
          <w:sz w:val="20"/>
          <w:szCs w:val="20"/>
          <w14:ligatures w14:val="standardContextual"/>
        </w:rPr>
        <w:t xml:space="preserve">As stated in the “Call </w:t>
      </w:r>
      <w:r w:rsidR="00FA6BB9">
        <w:rPr>
          <w:rFonts w:ascii="Arial" w:eastAsia="Calibri" w:hAnsi="Arial" w:cs="Arial"/>
          <w:color w:val="000000"/>
          <w:sz w:val="20"/>
          <w:szCs w:val="20"/>
          <w14:ligatures w14:val="standardContextual"/>
        </w:rPr>
        <w:t>for</w:t>
      </w:r>
      <w:r w:rsidRPr="0080275C">
        <w:rPr>
          <w:rFonts w:ascii="Arial" w:eastAsia="Calibri" w:hAnsi="Arial" w:cs="Arial"/>
          <w:color w:val="000000"/>
          <w:sz w:val="20"/>
          <w:szCs w:val="20"/>
          <w14:ligatures w14:val="standardContextual"/>
        </w:rPr>
        <w:t xml:space="preserve"> action” signed in Reykjavik by the representatives of several associations of local authorities, on the margins of the 4th Summit</w:t>
      </w:r>
      <w:r w:rsidR="001B4BFF" w:rsidRPr="0080275C">
        <w:rPr>
          <w:rFonts w:ascii="Arial" w:eastAsia="Calibri" w:hAnsi="Arial" w:cs="Arial"/>
          <w:color w:val="000000"/>
          <w:sz w:val="20"/>
          <w:szCs w:val="20"/>
          <w14:ligatures w14:val="standardContextual"/>
        </w:rPr>
        <w:t xml:space="preserve"> of the Council of Europe</w:t>
      </w:r>
      <w:r w:rsidRPr="0080275C">
        <w:rPr>
          <w:rFonts w:ascii="Arial" w:eastAsia="Calibri" w:hAnsi="Arial" w:cs="Arial"/>
          <w:color w:val="000000"/>
          <w:sz w:val="20"/>
          <w:szCs w:val="20"/>
          <w14:ligatures w14:val="standardContextual"/>
        </w:rPr>
        <w:t xml:space="preserve">, “Local and regional democracy is at the foundation of strong democratic, inclusive, sustainable and </w:t>
      </w:r>
      <w:r w:rsidR="00FA6BB9">
        <w:rPr>
          <w:rFonts w:ascii="Arial" w:eastAsia="Calibri" w:hAnsi="Arial" w:cs="Arial"/>
          <w:color w:val="000000"/>
          <w:sz w:val="20"/>
          <w:szCs w:val="20"/>
          <w14:ligatures w14:val="standardContextual"/>
        </w:rPr>
        <w:t>cohesive</w:t>
      </w:r>
      <w:r w:rsidRPr="0080275C">
        <w:rPr>
          <w:rFonts w:ascii="Arial" w:eastAsia="Calibri" w:hAnsi="Arial" w:cs="Arial"/>
          <w:color w:val="000000"/>
          <w:sz w:val="20"/>
          <w:szCs w:val="20"/>
          <w14:ligatures w14:val="standardContextual"/>
        </w:rPr>
        <w:t xml:space="preserve"> societies”, based on the rule of law</w:t>
      </w:r>
      <w:r w:rsidR="00FA6BB9">
        <w:rPr>
          <w:rFonts w:ascii="Arial" w:eastAsia="Calibri" w:hAnsi="Arial" w:cs="Arial"/>
          <w:color w:val="000000"/>
          <w:sz w:val="20"/>
          <w:szCs w:val="20"/>
          <w14:ligatures w14:val="standardContextual"/>
        </w:rPr>
        <w:t>.</w:t>
      </w:r>
      <w:r w:rsidRPr="0022274E">
        <w:rPr>
          <w:rFonts w:ascii="Arial" w:eastAsia="Calibri" w:hAnsi="Arial" w:cs="Arial"/>
          <w:color w:val="000000"/>
          <w:sz w:val="20"/>
          <w:szCs w:val="20"/>
          <w:vertAlign w:val="superscript"/>
          <w14:ligatures w14:val="standardContextual"/>
        </w:rPr>
        <w:footnoteReference w:id="48"/>
      </w:r>
    </w:p>
    <w:p w14:paraId="5E484BE9" w14:textId="77777777" w:rsidR="0080275C" w:rsidRPr="0080275C" w:rsidRDefault="0080275C" w:rsidP="008F5CA8">
      <w:pPr>
        <w:pStyle w:val="ListParagraph"/>
        <w:shd w:val="clear" w:color="auto" w:fill="FFFFFF"/>
        <w:tabs>
          <w:tab w:val="left" w:pos="426"/>
        </w:tabs>
        <w:autoSpaceDE w:val="0"/>
        <w:autoSpaceDN w:val="0"/>
        <w:adjustRightInd w:val="0"/>
        <w:spacing w:after="240"/>
        <w:ind w:left="0"/>
        <w:jc w:val="both"/>
        <w:rPr>
          <w:rFonts w:ascii="Arial" w:hAnsi="Arial" w:cs="Arial"/>
          <w:sz w:val="20"/>
          <w:szCs w:val="20"/>
        </w:rPr>
      </w:pPr>
    </w:p>
    <w:p w14:paraId="492E7F2E" w14:textId="7E5B9A1C" w:rsidR="00AE67AA" w:rsidRPr="0092615C" w:rsidRDefault="00AE67AA" w:rsidP="008F5CA8">
      <w:pPr>
        <w:pStyle w:val="ListParagraph"/>
        <w:numPr>
          <w:ilvl w:val="0"/>
          <w:numId w:val="10"/>
        </w:numPr>
        <w:shd w:val="clear" w:color="auto" w:fill="FFFFFF"/>
        <w:tabs>
          <w:tab w:val="left" w:pos="426"/>
        </w:tabs>
        <w:autoSpaceDE w:val="0"/>
        <w:autoSpaceDN w:val="0"/>
        <w:adjustRightInd w:val="0"/>
        <w:spacing w:after="240"/>
        <w:ind w:left="0" w:firstLine="0"/>
        <w:jc w:val="both"/>
        <w:rPr>
          <w:rFonts w:ascii="Arial" w:hAnsi="Arial" w:cs="Arial"/>
          <w:sz w:val="20"/>
          <w:szCs w:val="20"/>
        </w:rPr>
      </w:pPr>
      <w:r w:rsidRPr="0080275C">
        <w:rPr>
          <w:rFonts w:ascii="Arial" w:eastAsia="Calibri" w:hAnsi="Arial" w:cs="Arial"/>
          <w:sz w:val="20"/>
          <w:szCs w:val="20"/>
          <w14:ligatures w14:val="standardContextual"/>
        </w:rPr>
        <w:t xml:space="preserve">The next section will examine the practical application of the principle of the rule of law at the level of local self-government. </w:t>
      </w:r>
    </w:p>
    <w:p w14:paraId="63801A97" w14:textId="09A79907" w:rsidR="00F95D1C" w:rsidRPr="00FA6BB9" w:rsidRDefault="00F95D1C" w:rsidP="00B84119">
      <w:pPr>
        <w:pStyle w:val="Heading2"/>
        <w:numPr>
          <w:ilvl w:val="0"/>
          <w:numId w:val="30"/>
        </w:numPr>
        <w:tabs>
          <w:tab w:val="left" w:pos="142"/>
        </w:tabs>
        <w:ind w:left="426" w:hanging="426"/>
        <w:rPr>
          <w:rFonts w:ascii="Arial" w:eastAsia="Calibri" w:hAnsi="Arial" w:cs="Arial"/>
          <w:color w:val="auto"/>
          <w:sz w:val="20"/>
          <w:szCs w:val="20"/>
        </w:rPr>
      </w:pPr>
      <w:bookmarkStart w:id="56" w:name="_Toc158375254"/>
      <w:bookmarkStart w:id="57" w:name="_Toc143512962"/>
      <w:bookmarkStart w:id="58" w:name="_Toc143512964"/>
      <w:r w:rsidRPr="008F5CA8">
        <w:rPr>
          <w:rFonts w:ascii="Arial" w:hAnsi="Arial" w:cs="Arial"/>
          <w:color w:val="auto"/>
          <w:sz w:val="20"/>
          <w:szCs w:val="20"/>
        </w:rPr>
        <w:t>Local self-government as guarantor of the rule of law</w:t>
      </w:r>
      <w:bookmarkEnd w:id="56"/>
      <w:r w:rsidRPr="008F5CA8">
        <w:rPr>
          <w:rFonts w:ascii="Arial" w:hAnsi="Arial" w:cs="Arial"/>
          <w:color w:val="auto"/>
          <w:sz w:val="20"/>
          <w:szCs w:val="20"/>
        </w:rPr>
        <w:t xml:space="preserve"> </w:t>
      </w:r>
    </w:p>
    <w:p w14:paraId="448900A0" w14:textId="77777777" w:rsidR="00F95D1C" w:rsidRPr="00760626" w:rsidRDefault="00F95D1C" w:rsidP="00F95D1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bookmarkEnd w:id="57"/>
    <w:bookmarkEnd w:id="58"/>
    <w:p w14:paraId="7803E34A" w14:textId="16FCEB10" w:rsidR="00DC0484" w:rsidRDefault="00DC0484"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760626">
        <w:rPr>
          <w:rFonts w:ascii="Arial" w:eastAsia="Calibri" w:hAnsi="Arial" w:cs="Arial"/>
          <w:color w:val="000000"/>
          <w:sz w:val="20"/>
          <w:szCs w:val="20"/>
          <w14:ligatures w14:val="standardContextual"/>
        </w:rPr>
        <w:t xml:space="preserve">As pointed out by the Venice Commission Rule of </w:t>
      </w:r>
      <w:r w:rsidR="00FA6BB9">
        <w:rPr>
          <w:rFonts w:ascii="Arial" w:eastAsia="Calibri" w:hAnsi="Arial" w:cs="Arial"/>
          <w:color w:val="000000"/>
          <w:sz w:val="20"/>
          <w:szCs w:val="20"/>
          <w14:ligatures w14:val="standardContextual"/>
        </w:rPr>
        <w:t>L</w:t>
      </w:r>
      <w:r w:rsidRPr="00760626">
        <w:rPr>
          <w:rFonts w:ascii="Arial" w:eastAsia="Calibri" w:hAnsi="Arial" w:cs="Arial"/>
          <w:color w:val="000000"/>
          <w:sz w:val="20"/>
          <w:szCs w:val="20"/>
          <w14:ligatures w14:val="standardContextual"/>
        </w:rPr>
        <w:t>aw Checklist, “</w:t>
      </w:r>
      <w:r w:rsidRPr="00760626">
        <w:rPr>
          <w:rFonts w:ascii="Arial" w:eastAsia="Calibri" w:hAnsi="Arial" w:cs="Arial"/>
          <w:kern w:val="2"/>
          <w:sz w:val="20"/>
          <w:szCs w:val="20"/>
          <w14:ligatures w14:val="standardContextual"/>
        </w:rPr>
        <w:t>The rule of law must be applied at all levels of public power”</w:t>
      </w:r>
      <w:r w:rsidR="00FA6BB9">
        <w:rPr>
          <w:rFonts w:ascii="Arial" w:eastAsia="Calibri" w:hAnsi="Arial" w:cs="Arial"/>
          <w:kern w:val="2"/>
          <w:sz w:val="20"/>
          <w:szCs w:val="20"/>
          <w14:ligatures w14:val="standardContextual"/>
        </w:rPr>
        <w:t>.</w:t>
      </w:r>
      <w:r w:rsidRPr="00760626">
        <w:rPr>
          <w:rFonts w:ascii="Arial" w:eastAsia="Calibri" w:hAnsi="Arial" w:cs="Arial"/>
          <w:kern w:val="2"/>
          <w:sz w:val="20"/>
          <w:szCs w:val="20"/>
          <w:vertAlign w:val="superscript"/>
        </w:rPr>
        <w:footnoteReference w:id="49"/>
      </w:r>
      <w:r w:rsidR="00E950CC">
        <w:rPr>
          <w:rFonts w:ascii="Arial" w:eastAsia="Calibri" w:hAnsi="Arial" w:cs="Arial"/>
          <w:kern w:val="2"/>
          <w:sz w:val="20"/>
          <w:szCs w:val="20"/>
          <w14:ligatures w14:val="standardContextual"/>
        </w:rPr>
        <w:t xml:space="preserve"> </w:t>
      </w:r>
    </w:p>
    <w:p w14:paraId="36699C64" w14:textId="77777777" w:rsidR="00FC0175" w:rsidRDefault="00FC0175" w:rsidP="00FC0175">
      <w:pPr>
        <w:pStyle w:val="ListParagraph"/>
        <w:tabs>
          <w:tab w:val="left" w:pos="426"/>
        </w:tabs>
        <w:autoSpaceDE w:val="0"/>
        <w:autoSpaceDN w:val="0"/>
        <w:adjustRightInd w:val="0"/>
        <w:spacing w:after="160"/>
        <w:ind w:left="0"/>
        <w:jc w:val="both"/>
        <w:rPr>
          <w:rFonts w:ascii="Arial" w:eastAsia="Calibri" w:hAnsi="Arial" w:cs="Arial"/>
          <w:kern w:val="2"/>
          <w:sz w:val="20"/>
          <w:szCs w:val="20"/>
          <w14:ligatures w14:val="standardContextual"/>
        </w:rPr>
      </w:pPr>
    </w:p>
    <w:p w14:paraId="0E6E4008" w14:textId="7FD28446" w:rsidR="00DC0484" w:rsidRPr="00070A0C" w:rsidRDefault="00CD21E0"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070A0C">
        <w:rPr>
          <w:rFonts w:ascii="Arial" w:eastAsia="Calibri" w:hAnsi="Arial" w:cs="Arial"/>
          <w:kern w:val="2"/>
          <w:sz w:val="20"/>
          <w:szCs w:val="20"/>
          <w14:ligatures w14:val="standardContextual"/>
        </w:rPr>
        <w:t>This perspective implies that local authorities</w:t>
      </w:r>
      <w:r w:rsidR="007564DF">
        <w:rPr>
          <w:rFonts w:ascii="Arial" w:eastAsia="Calibri" w:hAnsi="Arial" w:cs="Arial"/>
          <w:kern w:val="2"/>
          <w:sz w:val="20"/>
          <w:szCs w:val="20"/>
          <w14:ligatures w14:val="standardContextual"/>
        </w:rPr>
        <w:t>,</w:t>
      </w:r>
      <w:r w:rsidRPr="00070A0C">
        <w:rPr>
          <w:rFonts w:ascii="Arial" w:eastAsia="Calibri" w:hAnsi="Arial" w:cs="Arial"/>
          <w:kern w:val="2"/>
          <w:sz w:val="20"/>
          <w:szCs w:val="20"/>
          <w14:ligatures w14:val="standardContextual"/>
        </w:rPr>
        <w:t xml:space="preserve"> </w:t>
      </w:r>
      <w:r w:rsidR="007564DF">
        <w:rPr>
          <w:rFonts w:ascii="Arial" w:eastAsia="Calibri" w:hAnsi="Arial" w:cs="Arial"/>
          <w:kern w:val="2"/>
          <w:sz w:val="20"/>
          <w:szCs w:val="20"/>
          <w14:ligatures w14:val="standardContextual"/>
        </w:rPr>
        <w:t>like</w:t>
      </w:r>
      <w:r w:rsidR="007564DF" w:rsidRPr="00070A0C">
        <w:rPr>
          <w:rFonts w:ascii="Arial" w:eastAsia="Calibri" w:hAnsi="Arial" w:cs="Arial"/>
          <w:kern w:val="2"/>
          <w:sz w:val="20"/>
          <w:szCs w:val="20"/>
          <w14:ligatures w14:val="standardContextual"/>
        </w:rPr>
        <w:t xml:space="preserve"> </w:t>
      </w:r>
      <w:r w:rsidR="00971B10" w:rsidRPr="00070A0C">
        <w:rPr>
          <w:rFonts w:ascii="Arial" w:eastAsia="Calibri" w:hAnsi="Arial" w:cs="Arial"/>
          <w:kern w:val="2"/>
          <w:sz w:val="20"/>
          <w:szCs w:val="20"/>
          <w14:ligatures w14:val="standardContextual"/>
        </w:rPr>
        <w:t>any public authority</w:t>
      </w:r>
      <w:r w:rsidR="00D43B10" w:rsidRPr="00070A0C">
        <w:rPr>
          <w:rFonts w:ascii="Arial" w:eastAsia="Calibri" w:hAnsi="Arial" w:cs="Arial"/>
          <w:kern w:val="2"/>
          <w:sz w:val="20"/>
          <w:szCs w:val="20"/>
          <w14:ligatures w14:val="standardContextual"/>
        </w:rPr>
        <w:t xml:space="preserve">, </w:t>
      </w:r>
      <w:r w:rsidR="007564DF" w:rsidRPr="00070A0C">
        <w:rPr>
          <w:rFonts w:ascii="Arial" w:eastAsia="Calibri" w:hAnsi="Arial" w:cs="Arial"/>
          <w:kern w:val="2"/>
          <w:sz w:val="20"/>
          <w:szCs w:val="20"/>
          <w14:ligatures w14:val="standardContextual"/>
        </w:rPr>
        <w:t xml:space="preserve">are bound </w:t>
      </w:r>
      <w:r w:rsidR="00D43B10" w:rsidRPr="00070A0C">
        <w:rPr>
          <w:rFonts w:ascii="Arial" w:eastAsia="Calibri" w:hAnsi="Arial" w:cs="Arial"/>
          <w:kern w:val="2"/>
          <w:sz w:val="20"/>
          <w:szCs w:val="20"/>
          <w14:ligatures w14:val="standardContextual"/>
        </w:rPr>
        <w:t xml:space="preserve">by the principle of the rule of law. Upholding the principle of the rule of law at local level involves ensuring that citizens in communities are protected by law. To </w:t>
      </w:r>
      <w:r w:rsidR="001C5FD1">
        <w:rPr>
          <w:rFonts w:ascii="Arial" w:eastAsia="Calibri" w:hAnsi="Arial" w:cs="Arial"/>
          <w:kern w:val="2"/>
          <w:sz w:val="20"/>
          <w:szCs w:val="20"/>
          <w14:ligatures w14:val="standardContextual"/>
        </w:rPr>
        <w:t>achieve this</w:t>
      </w:r>
      <w:r w:rsidR="00D43B10" w:rsidRPr="00070A0C">
        <w:rPr>
          <w:rFonts w:ascii="Arial" w:eastAsia="Calibri" w:hAnsi="Arial" w:cs="Arial"/>
          <w:kern w:val="2"/>
          <w:sz w:val="20"/>
          <w:szCs w:val="20"/>
          <w14:ligatures w14:val="standardContextual"/>
        </w:rPr>
        <w:t>, local authorities</w:t>
      </w:r>
      <w:r w:rsidR="000A3C69" w:rsidRPr="00070A0C">
        <w:rPr>
          <w:rFonts w:ascii="Arial" w:eastAsia="Calibri" w:hAnsi="Arial" w:cs="Arial"/>
          <w:kern w:val="2"/>
          <w:sz w:val="20"/>
          <w:szCs w:val="20"/>
          <w14:ligatures w14:val="standardContextual"/>
        </w:rPr>
        <w:t xml:space="preserve">, </w:t>
      </w:r>
      <w:r w:rsidR="001C5FD1">
        <w:rPr>
          <w:rFonts w:ascii="Arial" w:eastAsia="Calibri" w:hAnsi="Arial" w:cs="Arial"/>
          <w:kern w:val="2"/>
          <w:sz w:val="20"/>
          <w:szCs w:val="20"/>
          <w14:ligatures w14:val="standardContextual"/>
        </w:rPr>
        <w:t>just like</w:t>
      </w:r>
      <w:r w:rsidR="000A3C69" w:rsidRPr="00070A0C">
        <w:rPr>
          <w:rFonts w:ascii="Arial" w:eastAsia="Calibri" w:hAnsi="Arial" w:cs="Arial"/>
          <w:kern w:val="2"/>
          <w:sz w:val="20"/>
          <w:szCs w:val="20"/>
          <w14:ligatures w14:val="standardContextual"/>
        </w:rPr>
        <w:t xml:space="preserve"> national authorities,</w:t>
      </w:r>
      <w:r w:rsidR="00D43B10" w:rsidRPr="00070A0C">
        <w:rPr>
          <w:rFonts w:ascii="Arial" w:eastAsia="Calibri" w:hAnsi="Arial" w:cs="Arial"/>
          <w:kern w:val="2"/>
          <w:sz w:val="20"/>
          <w:szCs w:val="20"/>
          <w14:ligatures w14:val="standardContextual"/>
        </w:rPr>
        <w:t xml:space="preserve"> must implement the principles of human rights protection, accountability, including democratic accountability, transparency and good governance</w:t>
      </w:r>
      <w:r w:rsidR="00DC0484" w:rsidRPr="00070A0C">
        <w:rPr>
          <w:rFonts w:ascii="Arial" w:eastAsia="Calibri" w:hAnsi="Arial" w:cs="Arial"/>
          <w:kern w:val="2"/>
          <w:sz w:val="20"/>
          <w:szCs w:val="20"/>
          <w14:ligatures w14:val="standardContextual"/>
        </w:rPr>
        <w:t>.</w:t>
      </w:r>
      <w:r w:rsidR="00E950CC" w:rsidRPr="00070A0C">
        <w:rPr>
          <w:rFonts w:ascii="Arial" w:eastAsia="Calibri" w:hAnsi="Arial" w:cs="Arial"/>
          <w:kern w:val="2"/>
          <w:sz w:val="20"/>
          <w:szCs w:val="20"/>
          <w14:ligatures w14:val="standardContextual"/>
        </w:rPr>
        <w:t xml:space="preserve"> </w:t>
      </w:r>
    </w:p>
    <w:p w14:paraId="06337E51" w14:textId="77777777" w:rsidR="00D811C1" w:rsidRPr="00D43B10" w:rsidRDefault="00D811C1" w:rsidP="00D811C1">
      <w:pPr>
        <w:pStyle w:val="ListParagraph"/>
        <w:tabs>
          <w:tab w:val="left" w:pos="426"/>
        </w:tabs>
        <w:autoSpaceDE w:val="0"/>
        <w:autoSpaceDN w:val="0"/>
        <w:adjustRightInd w:val="0"/>
        <w:spacing w:after="160"/>
        <w:ind w:left="0"/>
        <w:jc w:val="both"/>
        <w:rPr>
          <w:rFonts w:ascii="Arial" w:eastAsia="Calibri" w:hAnsi="Arial" w:cs="Arial"/>
          <w:kern w:val="2"/>
          <w:sz w:val="20"/>
          <w:szCs w:val="20"/>
          <w14:ligatures w14:val="standardContextual"/>
        </w:rPr>
      </w:pPr>
    </w:p>
    <w:p w14:paraId="58DD907A" w14:textId="20DD641B" w:rsidR="0080275C" w:rsidRDefault="00445A3B"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80275C">
        <w:rPr>
          <w:rFonts w:ascii="Arial" w:eastAsia="Calibri" w:hAnsi="Arial" w:cs="Arial"/>
          <w:kern w:val="2"/>
          <w:sz w:val="20"/>
          <w:szCs w:val="20"/>
          <w14:ligatures w14:val="standardContextual"/>
        </w:rPr>
        <w:t xml:space="preserve">Those aspects are especially enshrined in Article 3 of the Charter. </w:t>
      </w:r>
    </w:p>
    <w:p w14:paraId="4CCF1F6B"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kern w:val="2"/>
          <w:sz w:val="20"/>
          <w:szCs w:val="20"/>
          <w14:ligatures w14:val="standardContextual"/>
        </w:rPr>
      </w:pPr>
    </w:p>
    <w:p w14:paraId="5248F5EB" w14:textId="54D5BC12" w:rsidR="00445A3B" w:rsidRPr="0080275C" w:rsidRDefault="00445A3B"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80275C">
        <w:rPr>
          <w:rFonts w:ascii="Arial" w:eastAsia="Calibri" w:hAnsi="Arial" w:cs="Arial"/>
          <w:kern w:val="2"/>
          <w:sz w:val="20"/>
          <w:szCs w:val="20"/>
          <w14:ligatures w14:val="standardContextual"/>
        </w:rPr>
        <w:t xml:space="preserve">Article 3.1 states that: “Local self-government denotes the right and the ability of local authorities, </w:t>
      </w:r>
      <w:r w:rsidRPr="0080275C">
        <w:rPr>
          <w:rFonts w:ascii="Arial" w:eastAsia="Calibri" w:hAnsi="Arial" w:cs="Arial"/>
          <w:i/>
          <w:iCs/>
          <w:kern w:val="2"/>
          <w:sz w:val="20"/>
          <w:szCs w:val="20"/>
          <w14:ligatures w14:val="standardContextual"/>
        </w:rPr>
        <w:t>within the limits of the law</w:t>
      </w:r>
      <w:r w:rsidRPr="0080275C">
        <w:rPr>
          <w:rFonts w:ascii="Arial" w:eastAsia="Calibri" w:hAnsi="Arial" w:cs="Arial"/>
          <w:kern w:val="2"/>
          <w:sz w:val="20"/>
          <w:szCs w:val="20"/>
          <w14:ligatures w14:val="standardContextual"/>
        </w:rPr>
        <w:t xml:space="preserve">, to regulate and manage a substantial share of public affairs under their own responsibility and </w:t>
      </w:r>
      <w:r w:rsidRPr="0080275C">
        <w:rPr>
          <w:rFonts w:ascii="Arial" w:eastAsia="Calibri" w:hAnsi="Arial" w:cs="Arial"/>
          <w:i/>
          <w:iCs/>
          <w:kern w:val="2"/>
          <w:sz w:val="20"/>
          <w:szCs w:val="20"/>
          <w14:ligatures w14:val="standardContextual"/>
        </w:rPr>
        <w:t>in the interests of the local population</w:t>
      </w:r>
      <w:r w:rsidRPr="0080275C">
        <w:rPr>
          <w:rFonts w:ascii="Arial" w:eastAsia="Calibri" w:hAnsi="Arial" w:cs="Arial"/>
          <w:kern w:val="2"/>
          <w:sz w:val="20"/>
          <w:szCs w:val="20"/>
          <w14:ligatures w14:val="standardContextual"/>
        </w:rPr>
        <w:t xml:space="preserve">” (emphasis added). By mentioning “the limits of the law”, it explicitly introduces the rule of law as principle </w:t>
      </w:r>
      <w:r w:rsidR="00FA6BB9">
        <w:rPr>
          <w:rFonts w:ascii="Arial" w:eastAsia="Calibri" w:hAnsi="Arial" w:cs="Arial"/>
          <w:kern w:val="2"/>
          <w:sz w:val="20"/>
          <w:szCs w:val="20"/>
          <w14:ligatures w14:val="standardContextual"/>
        </w:rPr>
        <w:t>that is binding on</w:t>
      </w:r>
      <w:r w:rsidRPr="0080275C">
        <w:rPr>
          <w:rFonts w:ascii="Arial" w:eastAsia="Calibri" w:hAnsi="Arial" w:cs="Arial"/>
          <w:kern w:val="2"/>
          <w:sz w:val="20"/>
          <w:szCs w:val="20"/>
          <w14:ligatures w14:val="standardContextual"/>
        </w:rPr>
        <w:t xml:space="preserve"> local authorities. </w:t>
      </w:r>
      <w:r w:rsidR="001C5FD1">
        <w:rPr>
          <w:rFonts w:ascii="Arial" w:eastAsia="Calibri" w:hAnsi="Arial" w:cs="Arial"/>
          <w:kern w:val="2"/>
          <w:sz w:val="20"/>
          <w:szCs w:val="20"/>
          <w14:ligatures w14:val="standardContextual"/>
        </w:rPr>
        <w:t>Additionally</w:t>
      </w:r>
      <w:r w:rsidRPr="0080275C">
        <w:rPr>
          <w:rFonts w:ascii="Arial" w:eastAsia="Calibri" w:hAnsi="Arial" w:cs="Arial"/>
          <w:kern w:val="2"/>
          <w:sz w:val="20"/>
          <w:szCs w:val="20"/>
          <w14:ligatures w14:val="standardContextual"/>
        </w:rPr>
        <w:t>, by referring to the interests of the local population as</w:t>
      </w:r>
      <w:r w:rsidR="00FA6BB9">
        <w:rPr>
          <w:rFonts w:ascii="Arial" w:eastAsia="Calibri" w:hAnsi="Arial" w:cs="Arial"/>
          <w:kern w:val="2"/>
          <w:sz w:val="20"/>
          <w:szCs w:val="20"/>
          <w14:ligatures w14:val="standardContextual"/>
        </w:rPr>
        <w:t xml:space="preserve"> a</w:t>
      </w:r>
      <w:r w:rsidRPr="0080275C">
        <w:rPr>
          <w:rFonts w:ascii="Arial" w:eastAsia="Calibri" w:hAnsi="Arial" w:cs="Arial"/>
          <w:kern w:val="2"/>
          <w:sz w:val="20"/>
          <w:szCs w:val="20"/>
          <w14:ligatures w14:val="standardContextual"/>
        </w:rPr>
        <w:t xml:space="preserve"> guiding principle for local government actions, it </w:t>
      </w:r>
      <w:r w:rsidR="00FA6BB9">
        <w:rPr>
          <w:rFonts w:ascii="Arial" w:eastAsia="Calibri" w:hAnsi="Arial" w:cs="Arial"/>
          <w:kern w:val="2"/>
          <w:sz w:val="20"/>
          <w:szCs w:val="20"/>
          <w14:ligatures w14:val="standardContextual"/>
        </w:rPr>
        <w:t>aims</w:t>
      </w:r>
      <w:r w:rsidRPr="0080275C">
        <w:rPr>
          <w:rFonts w:ascii="Arial" w:eastAsia="Calibri" w:hAnsi="Arial" w:cs="Arial"/>
          <w:kern w:val="2"/>
          <w:sz w:val="20"/>
          <w:szCs w:val="20"/>
          <w14:ligatures w14:val="standardContextual"/>
        </w:rPr>
        <w:t xml:space="preserve"> </w:t>
      </w:r>
      <w:r w:rsidR="001C5FD1">
        <w:rPr>
          <w:rFonts w:ascii="Arial" w:eastAsia="Calibri" w:hAnsi="Arial" w:cs="Arial"/>
          <w:kern w:val="2"/>
          <w:sz w:val="20"/>
          <w:szCs w:val="20"/>
          <w14:ligatures w14:val="standardContextual"/>
        </w:rPr>
        <w:t>to exclude</w:t>
      </w:r>
      <w:r w:rsidRPr="0080275C">
        <w:rPr>
          <w:rFonts w:ascii="Arial" w:eastAsia="Calibri" w:hAnsi="Arial" w:cs="Arial"/>
          <w:kern w:val="2"/>
          <w:sz w:val="20"/>
          <w:szCs w:val="20"/>
          <w14:ligatures w14:val="standardContextual"/>
        </w:rPr>
        <w:t xml:space="preserve"> any arbitrariness and abuse of power. </w:t>
      </w:r>
    </w:p>
    <w:p w14:paraId="540F22B2" w14:textId="77777777" w:rsidR="00445A3B" w:rsidRPr="00D43B10" w:rsidRDefault="00445A3B" w:rsidP="00445A3B">
      <w:pPr>
        <w:pStyle w:val="ListParagraph"/>
        <w:tabs>
          <w:tab w:val="left" w:pos="426"/>
        </w:tabs>
        <w:autoSpaceDE w:val="0"/>
        <w:autoSpaceDN w:val="0"/>
        <w:adjustRightInd w:val="0"/>
        <w:spacing w:after="160"/>
        <w:ind w:left="0"/>
        <w:jc w:val="both"/>
        <w:rPr>
          <w:rFonts w:ascii="Arial" w:eastAsia="Calibri" w:hAnsi="Arial" w:cs="Arial"/>
          <w:kern w:val="2"/>
          <w:sz w:val="20"/>
          <w:szCs w:val="20"/>
          <w14:ligatures w14:val="standardContextual"/>
        </w:rPr>
      </w:pPr>
    </w:p>
    <w:p w14:paraId="0253B197" w14:textId="269CD768" w:rsidR="0080275C" w:rsidRPr="0080275C" w:rsidRDefault="00445A3B"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80275C">
        <w:rPr>
          <w:rFonts w:ascii="Arial" w:eastAsia="Calibri" w:hAnsi="Arial" w:cs="Arial"/>
          <w:kern w:val="2"/>
          <w:sz w:val="20"/>
          <w:szCs w:val="20"/>
          <w14:ligatures w14:val="standardContextual"/>
        </w:rPr>
        <w:t>Article 3.2 states, in its first part, that “This right shall be exercised by councils or assemblies composed of members freely elected by secret ballot on the basis of direct, equal, universal suffrage, and which may possess executive organs responsible to them”. Together with Article 7</w:t>
      </w:r>
      <w:r w:rsidR="004001AA">
        <w:rPr>
          <w:rFonts w:ascii="Arial" w:eastAsia="Calibri" w:hAnsi="Arial" w:cs="Arial"/>
          <w:kern w:val="2"/>
          <w:sz w:val="20"/>
          <w:szCs w:val="20"/>
          <w14:ligatures w14:val="standardContextual"/>
        </w:rPr>
        <w:t>, paragraph</w:t>
      </w:r>
      <w:r w:rsidR="00FA6BB9">
        <w:rPr>
          <w:rFonts w:ascii="Arial" w:eastAsia="Calibri" w:hAnsi="Arial" w:cs="Arial"/>
          <w:kern w:val="2"/>
          <w:sz w:val="20"/>
          <w:szCs w:val="20"/>
          <w14:ligatures w14:val="standardContextual"/>
        </w:rPr>
        <w:t xml:space="preserve"> </w:t>
      </w:r>
      <w:r w:rsidRPr="0080275C">
        <w:rPr>
          <w:rFonts w:ascii="Arial" w:eastAsia="Calibri" w:hAnsi="Arial" w:cs="Arial"/>
          <w:kern w:val="2"/>
          <w:sz w:val="20"/>
          <w:szCs w:val="20"/>
          <w14:ligatures w14:val="standardContextual"/>
        </w:rPr>
        <w:t>1 (“The conditions of office of local elected representatives shall provide for free exercise of their functions”), it introduces the principle of democratic accountability</w:t>
      </w:r>
      <w:r w:rsidR="001C5FD1">
        <w:rPr>
          <w:rFonts w:ascii="Arial" w:eastAsia="Calibri" w:hAnsi="Arial" w:cs="Arial"/>
          <w:kern w:val="2"/>
          <w:sz w:val="20"/>
          <w:szCs w:val="20"/>
          <w14:ligatures w14:val="standardContextual"/>
        </w:rPr>
        <w:t>. This principle necessitates</w:t>
      </w:r>
      <w:r w:rsidR="00E2230A">
        <w:rPr>
          <w:rFonts w:ascii="Arial" w:eastAsia="Calibri" w:hAnsi="Arial" w:cs="Arial"/>
          <w:kern w:val="2"/>
          <w:sz w:val="20"/>
          <w:szCs w:val="20"/>
          <w14:ligatures w14:val="standardContextual"/>
        </w:rPr>
        <w:t xml:space="preserve"> </w:t>
      </w:r>
      <w:r w:rsidRPr="0080275C">
        <w:rPr>
          <w:rFonts w:ascii="Arial" w:eastAsia="Calibri" w:hAnsi="Arial" w:cs="Arial"/>
          <w:kern w:val="2"/>
          <w:sz w:val="20"/>
          <w:szCs w:val="20"/>
          <w14:ligatures w14:val="standardContextual"/>
        </w:rPr>
        <w:t>free and fair elections</w:t>
      </w:r>
      <w:r w:rsidR="004001AA">
        <w:rPr>
          <w:rFonts w:ascii="Arial" w:eastAsia="Calibri" w:hAnsi="Arial" w:cs="Arial"/>
          <w:kern w:val="2"/>
          <w:sz w:val="20"/>
          <w:szCs w:val="20"/>
          <w14:ligatures w14:val="standardContextual"/>
        </w:rPr>
        <w:t>,</w:t>
      </w:r>
      <w:r w:rsidRPr="0080275C">
        <w:rPr>
          <w:rFonts w:ascii="Arial" w:eastAsia="Calibri" w:hAnsi="Arial" w:cs="Arial"/>
          <w:kern w:val="2"/>
          <w:sz w:val="20"/>
          <w:szCs w:val="20"/>
          <w14:ligatures w14:val="standardContextual"/>
        </w:rPr>
        <w:t xml:space="preserve"> the respect of political rights</w:t>
      </w:r>
      <w:r w:rsidR="004001AA">
        <w:rPr>
          <w:rFonts w:ascii="Arial" w:eastAsia="Calibri" w:hAnsi="Arial" w:cs="Arial"/>
          <w:kern w:val="2"/>
          <w:sz w:val="20"/>
          <w:szCs w:val="20"/>
          <w14:ligatures w14:val="standardContextual"/>
        </w:rPr>
        <w:t>,</w:t>
      </w:r>
      <w:r w:rsidRPr="0080275C">
        <w:rPr>
          <w:rFonts w:ascii="Arial" w:eastAsia="Calibri" w:hAnsi="Arial" w:cs="Arial"/>
          <w:kern w:val="2"/>
          <w:sz w:val="20"/>
          <w:szCs w:val="20"/>
          <w14:ligatures w14:val="standardContextual"/>
        </w:rPr>
        <w:t xml:space="preserve"> and the recognition of the role of the opposition at local level.</w:t>
      </w:r>
    </w:p>
    <w:p w14:paraId="74EEFBF6" w14:textId="6947D60D" w:rsidR="00445A3B" w:rsidRDefault="00445A3B"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80275C">
        <w:rPr>
          <w:rFonts w:ascii="Arial" w:eastAsia="Calibri" w:hAnsi="Arial" w:cs="Arial"/>
          <w:kern w:val="2"/>
          <w:sz w:val="20"/>
          <w:szCs w:val="20"/>
          <w14:ligatures w14:val="standardContextual"/>
        </w:rPr>
        <w:lastRenderedPageBreak/>
        <w:t>The Venice Commission</w:t>
      </w:r>
      <w:r w:rsidR="004001AA">
        <w:rPr>
          <w:rFonts w:ascii="Arial" w:eastAsia="Calibri" w:hAnsi="Arial" w:cs="Arial"/>
          <w:kern w:val="2"/>
          <w:sz w:val="20"/>
          <w:szCs w:val="20"/>
          <w14:ligatures w14:val="standardContextual"/>
        </w:rPr>
        <w:t>’s</w:t>
      </w:r>
      <w:r w:rsidRPr="0080275C">
        <w:rPr>
          <w:rFonts w:ascii="Arial" w:eastAsia="Calibri" w:hAnsi="Arial" w:cs="Arial"/>
          <w:kern w:val="2"/>
          <w:sz w:val="20"/>
          <w:szCs w:val="20"/>
          <w14:ligatures w14:val="standardContextual"/>
        </w:rPr>
        <w:t xml:space="preserve"> Rule of </w:t>
      </w:r>
      <w:r w:rsidR="00335749">
        <w:rPr>
          <w:rFonts w:ascii="Arial" w:eastAsia="Calibri" w:hAnsi="Arial" w:cs="Arial"/>
          <w:kern w:val="2"/>
          <w:sz w:val="20"/>
          <w:szCs w:val="20"/>
          <w14:ligatures w14:val="standardContextual"/>
        </w:rPr>
        <w:t>L</w:t>
      </w:r>
      <w:r w:rsidRPr="0080275C">
        <w:rPr>
          <w:rFonts w:ascii="Arial" w:eastAsia="Calibri" w:hAnsi="Arial" w:cs="Arial"/>
          <w:kern w:val="2"/>
          <w:sz w:val="20"/>
          <w:szCs w:val="20"/>
          <w14:ligatures w14:val="standardContextual"/>
        </w:rPr>
        <w:t>aw Checklist develops some of th</w:t>
      </w:r>
      <w:r w:rsidR="004001AA">
        <w:rPr>
          <w:rFonts w:ascii="Arial" w:eastAsia="Calibri" w:hAnsi="Arial" w:cs="Arial"/>
          <w:kern w:val="2"/>
          <w:sz w:val="20"/>
          <w:szCs w:val="20"/>
          <w14:ligatures w14:val="standardContextual"/>
        </w:rPr>
        <w:t>e</w:t>
      </w:r>
      <w:r w:rsidRPr="0080275C">
        <w:rPr>
          <w:rFonts w:ascii="Arial" w:eastAsia="Calibri" w:hAnsi="Arial" w:cs="Arial"/>
          <w:kern w:val="2"/>
          <w:sz w:val="20"/>
          <w:szCs w:val="20"/>
          <w14:ligatures w14:val="standardContextual"/>
        </w:rPr>
        <w:t>se aspects. It considers the “prohibition of arbitrariness” as one of the sub-fields of the rule of law. To this purpose, it sets several benchmarks. Among them, the “Prevention of abuse (misuse) of powers”. One of the aspects to be assessed under this heading is “</w:t>
      </w:r>
      <w:r w:rsidRPr="0080275C">
        <w:rPr>
          <w:rFonts w:ascii="Arial" w:eastAsia="Calibri" w:hAnsi="Arial" w:cs="Arial"/>
          <w:sz w:val="20"/>
          <w:szCs w:val="20"/>
          <w14:ligatures w14:val="standardContextual"/>
        </w:rPr>
        <w:t>Are there legal safeguards against arbitrariness and abuse of power (</w:t>
      </w:r>
      <w:r w:rsidRPr="0080275C">
        <w:rPr>
          <w:rFonts w:ascii="Arial" w:eastAsia="Calibri" w:hAnsi="Arial" w:cs="Arial"/>
          <w:i/>
          <w:iCs/>
          <w:sz w:val="20"/>
          <w:szCs w:val="20"/>
          <w14:ligatures w14:val="standardContextual"/>
        </w:rPr>
        <w:t>détournement de pouvoir</w:t>
      </w:r>
      <w:r w:rsidRPr="0080275C">
        <w:rPr>
          <w:rFonts w:ascii="Arial" w:eastAsia="Calibri" w:hAnsi="Arial" w:cs="Arial"/>
          <w:sz w:val="20"/>
          <w:szCs w:val="20"/>
          <w14:ligatures w14:val="standardContextual"/>
        </w:rPr>
        <w:t xml:space="preserve">) by public authorities? </w:t>
      </w:r>
      <w:r w:rsidRPr="00EA6A10">
        <w:rPr>
          <w:rFonts w:ascii="Arial" w:eastAsia="Calibri" w:hAnsi="Arial" w:cs="Arial"/>
          <w:i/>
          <w:iCs/>
          <w:sz w:val="20"/>
          <w:szCs w:val="20"/>
          <w14:ligatures w14:val="standardContextual"/>
        </w:rPr>
        <w:t>i.</w:t>
      </w:r>
      <w:r w:rsidRPr="0080275C">
        <w:rPr>
          <w:rFonts w:ascii="Arial" w:eastAsia="Calibri" w:hAnsi="Arial" w:cs="Arial"/>
          <w:sz w:val="20"/>
          <w:szCs w:val="20"/>
          <w14:ligatures w14:val="standardContextual"/>
        </w:rPr>
        <w:t xml:space="preserve"> If yes, what is the legal source of this guarantee (Constitution, statutory law, case-law)?</w:t>
      </w:r>
      <w:r w:rsidR="004001AA">
        <w:rPr>
          <w:rFonts w:ascii="Arial" w:eastAsia="Calibri" w:hAnsi="Arial" w:cs="Arial"/>
          <w:sz w:val="20"/>
          <w:szCs w:val="20"/>
          <w14:ligatures w14:val="standardContextual"/>
        </w:rPr>
        <w:t xml:space="preserve"> </w:t>
      </w:r>
      <w:r w:rsidR="004001AA" w:rsidRPr="00E2230A">
        <w:rPr>
          <w:rFonts w:ascii="Arial" w:eastAsia="Calibri" w:hAnsi="Arial" w:cs="Arial"/>
          <w:i/>
          <w:iCs/>
          <w:sz w:val="20"/>
          <w:szCs w:val="20"/>
          <w14:ligatures w14:val="standardContextual"/>
        </w:rPr>
        <w:t>ii.</w:t>
      </w:r>
      <w:r w:rsidR="004001AA">
        <w:rPr>
          <w:rFonts w:ascii="Arial" w:eastAsia="Calibri" w:hAnsi="Arial" w:cs="Arial"/>
          <w:sz w:val="20"/>
          <w:szCs w:val="20"/>
          <w14:ligatures w14:val="standardContextual"/>
        </w:rPr>
        <w:t xml:space="preserve"> “</w:t>
      </w:r>
      <w:r w:rsidRPr="0080275C">
        <w:rPr>
          <w:rFonts w:ascii="Arial" w:eastAsia="Calibri" w:hAnsi="Arial" w:cs="Arial"/>
          <w:sz w:val="20"/>
          <w:szCs w:val="20"/>
          <w14:ligatures w14:val="standardContextual"/>
        </w:rPr>
        <w:t>Are there clear legal restrictions to discretionary power, in particular when exercised by the executive in administrative action?”</w:t>
      </w:r>
      <w:r w:rsidR="00335749">
        <w:rPr>
          <w:rFonts w:ascii="Arial" w:eastAsia="Calibri" w:hAnsi="Arial" w:cs="Arial"/>
          <w:sz w:val="20"/>
          <w:szCs w:val="20"/>
          <w14:ligatures w14:val="standardContextual"/>
        </w:rPr>
        <w:t>.</w:t>
      </w:r>
      <w:r w:rsidRPr="00D43B10">
        <w:rPr>
          <w:rFonts w:ascii="Arial" w:eastAsia="Calibri" w:hAnsi="Arial" w:cs="Arial"/>
          <w:sz w:val="20"/>
          <w:szCs w:val="20"/>
          <w:vertAlign w:val="superscript"/>
        </w:rPr>
        <w:footnoteReference w:id="50"/>
      </w:r>
      <w:r w:rsidRPr="0080275C">
        <w:rPr>
          <w:rFonts w:ascii="Arial" w:eastAsia="Calibri" w:hAnsi="Arial" w:cs="Arial"/>
          <w:sz w:val="20"/>
          <w:szCs w:val="20"/>
          <w14:ligatures w14:val="standardContextual"/>
        </w:rPr>
        <w:t xml:space="preserve"> </w:t>
      </w:r>
    </w:p>
    <w:p w14:paraId="4163E7EC"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2E8E58B4" w14:textId="71352A25" w:rsidR="0080275C" w:rsidRPr="0080275C" w:rsidRDefault="00A474EF"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80275C">
        <w:rPr>
          <w:rFonts w:ascii="Arial" w:eastAsia="Calibri" w:hAnsi="Arial" w:cs="Arial"/>
          <w:sz w:val="20"/>
          <w:szCs w:val="20"/>
          <w14:ligatures w14:val="standardContextual"/>
        </w:rPr>
        <w:t>Another aspect of the Checklist</w:t>
      </w:r>
      <w:r w:rsidR="00445A3B" w:rsidRPr="0080275C">
        <w:rPr>
          <w:rFonts w:ascii="Arial" w:eastAsia="Calibri" w:hAnsi="Arial" w:cs="Arial"/>
          <w:sz w:val="20"/>
          <w:szCs w:val="20"/>
          <w14:ligatures w14:val="standardContextual"/>
        </w:rPr>
        <w:t xml:space="preserve"> included </w:t>
      </w:r>
      <w:r>
        <w:rPr>
          <w:rFonts w:ascii="Arial" w:eastAsia="Calibri" w:hAnsi="Arial" w:cs="Arial"/>
          <w:sz w:val="20"/>
          <w:szCs w:val="20"/>
          <w14:ligatures w14:val="standardContextual"/>
        </w:rPr>
        <w:t>under</w:t>
      </w:r>
      <w:r w:rsidR="00445A3B" w:rsidRPr="0080275C">
        <w:rPr>
          <w:rFonts w:ascii="Arial" w:eastAsia="Calibri" w:hAnsi="Arial" w:cs="Arial"/>
          <w:sz w:val="20"/>
          <w:szCs w:val="20"/>
          <w14:ligatures w14:val="standardContextual"/>
        </w:rPr>
        <w:t xml:space="preserve"> “Challenges to the rule of law”</w:t>
      </w:r>
      <w:r w:rsidR="00445A3B" w:rsidRPr="00D43B10">
        <w:rPr>
          <w:rFonts w:ascii="Arial" w:eastAsia="Calibri" w:hAnsi="Arial" w:cs="Arial"/>
          <w:sz w:val="20"/>
          <w:szCs w:val="20"/>
          <w:vertAlign w:val="superscript"/>
        </w:rPr>
        <w:footnoteReference w:id="51"/>
      </w:r>
      <w:r w:rsidR="00445A3B" w:rsidRPr="0080275C">
        <w:rPr>
          <w:rFonts w:ascii="Arial" w:eastAsia="Calibri" w:hAnsi="Arial" w:cs="Arial"/>
          <w:sz w:val="20"/>
          <w:szCs w:val="20"/>
          <w14:ligatures w14:val="standardContextual"/>
        </w:rPr>
        <w:t xml:space="preserve"> is related to corruption. It points out that “</w:t>
      </w:r>
      <w:r>
        <w:rPr>
          <w:rFonts w:ascii="Arial" w:eastAsia="Calibri" w:hAnsi="Arial" w:cs="Arial"/>
          <w:kern w:val="2"/>
          <w:sz w:val="20"/>
          <w:szCs w:val="20"/>
          <w14:ligatures w14:val="standardContextual"/>
        </w:rPr>
        <w:t>c</w:t>
      </w:r>
      <w:r w:rsidR="00445A3B" w:rsidRPr="0080275C">
        <w:rPr>
          <w:rFonts w:ascii="Arial" w:eastAsia="Calibri" w:hAnsi="Arial" w:cs="Arial"/>
          <w:kern w:val="2"/>
          <w:sz w:val="20"/>
          <w:szCs w:val="20"/>
          <w14:ligatures w14:val="standardContextual"/>
        </w:rPr>
        <w:t xml:space="preserve">orruption leads to arbitrariness and abuse of power since decisions </w:t>
      </w:r>
      <w:r>
        <w:rPr>
          <w:rFonts w:ascii="Arial" w:eastAsia="Calibri" w:hAnsi="Arial" w:cs="Arial"/>
          <w:kern w:val="2"/>
          <w:sz w:val="20"/>
          <w:szCs w:val="20"/>
          <w14:ligatures w14:val="standardContextual"/>
        </w:rPr>
        <w:t>are not</w:t>
      </w:r>
      <w:r w:rsidR="00445A3B" w:rsidRPr="0080275C">
        <w:rPr>
          <w:rFonts w:ascii="Arial" w:eastAsia="Calibri" w:hAnsi="Arial" w:cs="Arial"/>
          <w:kern w:val="2"/>
          <w:sz w:val="20"/>
          <w:szCs w:val="20"/>
          <w14:ligatures w14:val="standardContextual"/>
        </w:rPr>
        <w:t xml:space="preserve"> made in line with the law, which </w:t>
      </w:r>
      <w:r>
        <w:rPr>
          <w:rFonts w:ascii="Arial" w:eastAsia="Calibri" w:hAnsi="Arial" w:cs="Arial"/>
          <w:kern w:val="2"/>
          <w:sz w:val="20"/>
          <w:szCs w:val="20"/>
          <w14:ligatures w14:val="standardContextual"/>
        </w:rPr>
        <w:t>leads</w:t>
      </w:r>
      <w:r w:rsidR="00445A3B" w:rsidRPr="0080275C">
        <w:rPr>
          <w:rFonts w:ascii="Arial" w:eastAsia="Calibri" w:hAnsi="Arial" w:cs="Arial"/>
          <w:kern w:val="2"/>
          <w:sz w:val="20"/>
          <w:szCs w:val="20"/>
          <w14:ligatures w14:val="standardContextual"/>
        </w:rPr>
        <w:t xml:space="preserve"> to decisions being arbitrary in nature. Moreover, corruption </w:t>
      </w:r>
      <w:r>
        <w:rPr>
          <w:rFonts w:ascii="Arial" w:eastAsia="Calibri" w:hAnsi="Arial" w:cs="Arial"/>
          <w:kern w:val="2"/>
          <w:sz w:val="20"/>
          <w:szCs w:val="20"/>
          <w14:ligatures w14:val="standardContextual"/>
        </w:rPr>
        <w:t>can violate the principle of</w:t>
      </w:r>
      <w:r w:rsidR="00445A3B" w:rsidRPr="0080275C">
        <w:rPr>
          <w:rFonts w:ascii="Arial" w:eastAsia="Calibri" w:hAnsi="Arial" w:cs="Arial"/>
          <w:kern w:val="2"/>
          <w:sz w:val="20"/>
          <w:szCs w:val="20"/>
          <w14:ligatures w14:val="standardContextual"/>
        </w:rPr>
        <w:t xml:space="preserve"> equal application of the law: it therefore undermines the very foundations of the rule of law”.</w:t>
      </w:r>
    </w:p>
    <w:p w14:paraId="6DB71FED"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2E0B17B1" w14:textId="6A2E1064" w:rsidR="00445A3B" w:rsidRDefault="00445A3B"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80275C">
        <w:rPr>
          <w:rFonts w:ascii="Arial" w:eastAsia="Calibri" w:hAnsi="Arial" w:cs="Arial"/>
          <w:sz w:val="20"/>
          <w:szCs w:val="20"/>
          <w14:ligatures w14:val="standardContextual"/>
        </w:rPr>
        <w:t>The only explicit reference to local authorities in the Checklist is included in a question related to corruption:</w:t>
      </w:r>
      <w:r w:rsidRPr="0080275C">
        <w:rPr>
          <w:rFonts w:ascii="Arial" w:eastAsia="Calibri" w:hAnsi="Arial" w:cs="Arial"/>
          <w:i/>
          <w:iCs/>
          <w:sz w:val="20"/>
          <w:szCs w:val="20"/>
          <w14:ligatures w14:val="standardContextual"/>
        </w:rPr>
        <w:t xml:space="preserve"> “</w:t>
      </w:r>
      <w:r w:rsidRPr="0080275C">
        <w:rPr>
          <w:rFonts w:ascii="Arial" w:eastAsia="Calibri" w:hAnsi="Arial" w:cs="Arial"/>
          <w:sz w:val="20"/>
          <w:szCs w:val="20"/>
          <w14:ligatures w14:val="standardContextual"/>
        </w:rPr>
        <w:t xml:space="preserve">Are all categories of public officials covered by the above measures, </w:t>
      </w:r>
      <w:r w:rsidRPr="0080275C">
        <w:rPr>
          <w:rFonts w:ascii="Arial" w:eastAsia="Calibri" w:hAnsi="Arial" w:cs="Arial"/>
          <w:i/>
          <w:iCs/>
          <w:sz w:val="20"/>
          <w:szCs w:val="20"/>
          <w14:ligatures w14:val="standardContextual"/>
        </w:rPr>
        <w:t xml:space="preserve">e.g. </w:t>
      </w:r>
      <w:r w:rsidRPr="0080275C">
        <w:rPr>
          <w:rFonts w:ascii="Arial" w:eastAsia="Calibri" w:hAnsi="Arial" w:cs="Arial"/>
          <w:sz w:val="20"/>
          <w:szCs w:val="20"/>
          <w14:ligatures w14:val="standardContextual"/>
        </w:rPr>
        <w:t xml:space="preserve">civil servants, elected or appointed senior officials at State and </w:t>
      </w:r>
      <w:r w:rsidRPr="0080275C">
        <w:rPr>
          <w:rFonts w:ascii="Arial" w:eastAsia="Calibri" w:hAnsi="Arial" w:cs="Arial"/>
          <w:i/>
          <w:iCs/>
          <w:sz w:val="20"/>
          <w:szCs w:val="20"/>
          <w14:ligatures w14:val="standardContextual"/>
        </w:rPr>
        <w:t>local levels</w:t>
      </w:r>
      <w:r w:rsidRPr="0080275C">
        <w:rPr>
          <w:rFonts w:ascii="Arial" w:eastAsia="Calibri" w:hAnsi="Arial" w:cs="Arial"/>
          <w:sz w:val="20"/>
          <w:szCs w:val="20"/>
          <w14:ligatures w14:val="standardContextual"/>
        </w:rPr>
        <w:t>, judges and other holders of judicial functions, prosecutors etc.?”</w:t>
      </w:r>
      <w:r w:rsidR="00335749">
        <w:rPr>
          <w:rFonts w:ascii="Arial" w:eastAsia="Calibri" w:hAnsi="Arial" w:cs="Arial"/>
          <w:sz w:val="20"/>
          <w:szCs w:val="20"/>
          <w14:ligatures w14:val="standardContextual"/>
        </w:rPr>
        <w:t xml:space="preserve"> </w:t>
      </w:r>
      <w:r w:rsidRPr="0080275C">
        <w:rPr>
          <w:rFonts w:ascii="Arial" w:eastAsia="Calibri" w:hAnsi="Arial" w:cs="Arial"/>
          <w:sz w:val="20"/>
          <w:szCs w:val="20"/>
          <w14:ligatures w14:val="standardContextual"/>
        </w:rPr>
        <w:t>(emphasis added).</w:t>
      </w:r>
      <w:r w:rsidR="00335749" w:rsidRPr="00335749">
        <w:rPr>
          <w:rFonts w:ascii="Arial" w:eastAsia="Calibri" w:hAnsi="Arial" w:cs="Arial"/>
          <w:sz w:val="20"/>
          <w:szCs w:val="20"/>
          <w:vertAlign w:val="superscript"/>
        </w:rPr>
        <w:t xml:space="preserve"> </w:t>
      </w:r>
      <w:r w:rsidR="00335749" w:rsidRPr="00D43B10">
        <w:rPr>
          <w:rFonts w:ascii="Arial" w:eastAsia="Calibri" w:hAnsi="Arial" w:cs="Arial"/>
          <w:sz w:val="20"/>
          <w:szCs w:val="20"/>
          <w:vertAlign w:val="superscript"/>
        </w:rPr>
        <w:footnoteReference w:id="52"/>
      </w:r>
    </w:p>
    <w:p w14:paraId="2E4D07FD" w14:textId="77777777" w:rsidR="0080275C" w:rsidRPr="0080275C" w:rsidRDefault="0080275C" w:rsidP="0080275C">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51D9D01A" w14:textId="22BDA58F" w:rsidR="0080275C" w:rsidRDefault="00445A3B" w:rsidP="00CA494E">
      <w:pPr>
        <w:pStyle w:val="ListParagraph"/>
        <w:numPr>
          <w:ilvl w:val="0"/>
          <w:numId w:val="28"/>
        </w:numPr>
        <w:tabs>
          <w:tab w:val="left" w:pos="426"/>
        </w:tabs>
        <w:autoSpaceDE w:val="0"/>
        <w:autoSpaceDN w:val="0"/>
        <w:adjustRightInd w:val="0"/>
        <w:spacing w:after="160"/>
        <w:ind w:left="0" w:firstLine="0"/>
        <w:jc w:val="both"/>
        <w:rPr>
          <w:rFonts w:ascii="Arial" w:eastAsia="Calibri" w:hAnsi="Arial" w:cs="Arial"/>
          <w:kern w:val="2"/>
          <w:sz w:val="20"/>
          <w:szCs w:val="20"/>
          <w14:ligatures w14:val="standardContextual"/>
        </w:rPr>
      </w:pPr>
      <w:r w:rsidRPr="00D43B10">
        <w:rPr>
          <w:rFonts w:ascii="Arial" w:eastAsia="Calibri" w:hAnsi="Arial" w:cs="Arial"/>
          <w:kern w:val="2"/>
          <w:sz w:val="20"/>
          <w:szCs w:val="20"/>
          <w14:ligatures w14:val="standardContextual"/>
        </w:rPr>
        <w:t xml:space="preserve">The Congress of </w:t>
      </w:r>
      <w:r w:rsidR="00E2230A">
        <w:rPr>
          <w:rFonts w:ascii="Arial" w:eastAsia="Calibri" w:hAnsi="Arial" w:cs="Arial"/>
          <w:kern w:val="2"/>
          <w:sz w:val="20"/>
          <w:szCs w:val="20"/>
          <w14:ligatures w14:val="standardContextual"/>
        </w:rPr>
        <w:t xml:space="preserve">the Council of Europe </w:t>
      </w:r>
      <w:r w:rsidR="00065C6B">
        <w:rPr>
          <w:rFonts w:ascii="Arial" w:eastAsia="Calibri" w:hAnsi="Arial" w:cs="Arial"/>
          <w:kern w:val="2"/>
          <w:sz w:val="20"/>
          <w:szCs w:val="20"/>
          <w14:ligatures w14:val="standardContextual"/>
        </w:rPr>
        <w:t xml:space="preserve">has </w:t>
      </w:r>
      <w:r w:rsidRPr="00D43B10">
        <w:rPr>
          <w:rFonts w:ascii="Arial" w:eastAsia="Calibri" w:hAnsi="Arial" w:cs="Arial"/>
          <w:kern w:val="2"/>
          <w:sz w:val="20"/>
          <w:szCs w:val="20"/>
          <w14:ligatures w14:val="standardContextual"/>
        </w:rPr>
        <w:t xml:space="preserve">developed these principles in several documents. To tackle the challenge represented by </w:t>
      </w:r>
      <w:r w:rsidRPr="00D43B10">
        <w:rPr>
          <w:rFonts w:ascii="Arial" w:eastAsia="Calibri" w:hAnsi="Arial" w:cs="Arial"/>
          <w:color w:val="161616"/>
          <w:kern w:val="2"/>
          <w:sz w:val="20"/>
          <w:szCs w:val="20"/>
          <w14:ligatures w14:val="standardContextual"/>
        </w:rPr>
        <w:t>corruption and provide local and regional elected representatives with concrete tools, it has adopted a</w:t>
      </w:r>
      <w:r w:rsidR="00335749">
        <w:rPr>
          <w:rFonts w:ascii="Arial" w:eastAsia="Calibri" w:hAnsi="Arial" w:cs="Arial"/>
          <w:color w:val="161616"/>
          <w:kern w:val="2"/>
          <w:sz w:val="20"/>
          <w:szCs w:val="20"/>
          <w14:ligatures w14:val="standardContextual"/>
        </w:rPr>
        <w:t xml:space="preserve"> </w:t>
      </w:r>
      <w:r w:rsidRPr="00D43B10">
        <w:rPr>
          <w:rFonts w:ascii="Arial" w:eastAsia="Calibri" w:hAnsi="Arial" w:cs="Arial"/>
          <w:color w:val="161616"/>
          <w:kern w:val="2"/>
          <w:sz w:val="20"/>
          <w:szCs w:val="20"/>
          <w14:ligatures w14:val="standardContextual"/>
        </w:rPr>
        <w:t>European Code of Conduct for all Persons Involved in Local and Regional Governance</w:t>
      </w:r>
      <w:r w:rsidRPr="00D43B10">
        <w:rPr>
          <w:rFonts w:ascii="Arial" w:eastAsia="Calibri" w:hAnsi="Arial" w:cs="Arial"/>
          <w:i/>
          <w:iCs/>
          <w:color w:val="161616"/>
          <w:kern w:val="2"/>
          <w:sz w:val="20"/>
          <w:szCs w:val="20"/>
          <w14:ligatures w14:val="standardContextual"/>
        </w:rPr>
        <w:t> </w:t>
      </w:r>
      <w:r w:rsidRPr="00EA6A10">
        <w:rPr>
          <w:rFonts w:ascii="Arial" w:eastAsia="Calibri" w:hAnsi="Arial" w:cs="Arial"/>
          <w:color w:val="161616"/>
          <w:kern w:val="2"/>
          <w:sz w:val="20"/>
          <w:szCs w:val="20"/>
          <w14:ligatures w14:val="standardContextual"/>
        </w:rPr>
        <w:t>and</w:t>
      </w:r>
      <w:r w:rsidR="00335749">
        <w:rPr>
          <w:rFonts w:ascii="Arial" w:eastAsia="Calibri" w:hAnsi="Arial" w:cs="Arial"/>
          <w:color w:val="161616"/>
          <w:kern w:val="2"/>
          <w:sz w:val="20"/>
          <w:szCs w:val="20"/>
          <w14:ligatures w14:val="standardContextual"/>
        </w:rPr>
        <w:t xml:space="preserve"> </w:t>
      </w:r>
      <w:r w:rsidRPr="00335749">
        <w:rPr>
          <w:rFonts w:ascii="Arial" w:eastAsia="Calibri" w:hAnsi="Arial" w:cs="Arial"/>
          <w:color w:val="161616"/>
          <w:kern w:val="2"/>
          <w:sz w:val="20"/>
          <w:szCs w:val="20"/>
          <w14:ligatures w14:val="standardContextual"/>
        </w:rPr>
        <w:t>a</w:t>
      </w:r>
      <w:r w:rsidRPr="00D43B10">
        <w:rPr>
          <w:rFonts w:ascii="Arial" w:eastAsia="Calibri" w:hAnsi="Arial" w:cs="Arial"/>
          <w:i/>
          <w:iCs/>
          <w:color w:val="161616"/>
          <w:kern w:val="2"/>
          <w:sz w:val="20"/>
          <w:szCs w:val="20"/>
          <w14:ligatures w14:val="standardContextual"/>
        </w:rPr>
        <w:t> </w:t>
      </w:r>
      <w:r w:rsidRPr="00D43B10">
        <w:rPr>
          <w:rFonts w:ascii="Arial" w:eastAsia="Calibri" w:hAnsi="Arial" w:cs="Arial"/>
          <w:color w:val="161616"/>
          <w:kern w:val="2"/>
          <w:sz w:val="20"/>
          <w:szCs w:val="20"/>
          <w14:ligatures w14:val="standardContextual"/>
        </w:rPr>
        <w:t>Roadmap to Prevent Corruption and Promote Public Ethics at Local and Regional Level</w:t>
      </w:r>
      <w:r w:rsidRPr="00D43B10">
        <w:rPr>
          <w:rFonts w:ascii="Arial" w:eastAsia="Calibri" w:hAnsi="Arial" w:cs="Arial"/>
          <w:i/>
          <w:iCs/>
          <w:color w:val="161616"/>
          <w:kern w:val="2"/>
          <w:sz w:val="20"/>
          <w:szCs w:val="20"/>
          <w14:ligatures w14:val="standardContextual"/>
        </w:rPr>
        <w:t>.</w:t>
      </w:r>
      <w:r w:rsidRPr="00D43B10">
        <w:rPr>
          <w:rFonts w:ascii="Arial" w:eastAsia="Calibri" w:hAnsi="Arial" w:cs="Arial"/>
          <w:color w:val="161616"/>
          <w:kern w:val="2"/>
          <w:sz w:val="20"/>
          <w:szCs w:val="20"/>
          <w14:ligatures w14:val="standardContextual"/>
        </w:rPr>
        <w:t xml:space="preserve"> This comprises six reports </w:t>
      </w:r>
      <w:r w:rsidR="00335749">
        <w:rPr>
          <w:rFonts w:ascii="Arial" w:eastAsia="Calibri" w:hAnsi="Arial" w:cs="Arial"/>
          <w:color w:val="161616"/>
          <w:kern w:val="2"/>
          <w:sz w:val="20"/>
          <w:szCs w:val="20"/>
          <w14:ligatures w14:val="standardContextual"/>
        </w:rPr>
        <w:t xml:space="preserve">that form </w:t>
      </w:r>
      <w:r w:rsidRPr="00D43B10">
        <w:rPr>
          <w:rFonts w:ascii="Arial" w:eastAsia="Calibri" w:hAnsi="Arial" w:cs="Arial"/>
          <w:color w:val="161616"/>
          <w:kern w:val="2"/>
          <w:sz w:val="20"/>
          <w:szCs w:val="20"/>
          <w14:ligatures w14:val="standardContextual"/>
        </w:rPr>
        <w:t xml:space="preserve">the </w:t>
      </w:r>
      <w:r w:rsidR="008F5CA8" w:rsidRPr="008F5CA8">
        <w:rPr>
          <w:rFonts w:ascii="Arial" w:eastAsia="Calibri" w:hAnsi="Arial" w:cs="Arial"/>
          <w:color w:val="161616"/>
          <w:kern w:val="2"/>
          <w:sz w:val="20"/>
          <w:szCs w:val="20"/>
          <w14:ligatures w14:val="standardContextual"/>
        </w:rPr>
        <w:t>“P</w:t>
      </w:r>
      <w:r w:rsidRPr="00D43B10">
        <w:rPr>
          <w:rFonts w:ascii="Arial" w:eastAsia="Calibri" w:hAnsi="Arial" w:cs="Arial"/>
          <w:color w:val="161616"/>
          <w:kern w:val="2"/>
          <w:sz w:val="20"/>
          <w:szCs w:val="20"/>
          <w14:ligatures w14:val="standardContextual"/>
        </w:rPr>
        <w:t>ublic Ethics</w:t>
      </w:r>
      <w:r w:rsidR="008F5CA8" w:rsidRPr="008F5CA8">
        <w:rPr>
          <w:rFonts w:ascii="Arial" w:eastAsia="Calibri" w:hAnsi="Arial" w:cs="Arial"/>
          <w:color w:val="161616"/>
          <w:kern w:val="2"/>
          <w:sz w:val="20"/>
          <w:szCs w:val="20"/>
          <w14:ligatures w14:val="standardContextual"/>
        </w:rPr>
        <w:t>”</w:t>
      </w:r>
      <w:r w:rsidRPr="00D43B10">
        <w:rPr>
          <w:rFonts w:ascii="Arial" w:eastAsia="Calibri" w:hAnsi="Arial" w:cs="Arial"/>
          <w:color w:val="161616"/>
          <w:kern w:val="2"/>
          <w:sz w:val="20"/>
          <w:szCs w:val="20"/>
          <w14:ligatures w14:val="standardContextual"/>
        </w:rPr>
        <w:t xml:space="preserve"> series: conflict of interest, transparency and open government, transparent public procurement, administrative resources and fair elections, </w:t>
      </w:r>
      <w:r w:rsidR="00335749">
        <w:rPr>
          <w:rFonts w:ascii="Arial" w:eastAsia="Calibri" w:hAnsi="Arial" w:cs="Arial"/>
          <w:color w:val="161616"/>
          <w:kern w:val="2"/>
          <w:sz w:val="20"/>
          <w:szCs w:val="20"/>
          <w14:ligatures w14:val="standardContextual"/>
        </w:rPr>
        <w:t>fighting</w:t>
      </w:r>
      <w:r w:rsidRPr="00D43B10">
        <w:rPr>
          <w:rFonts w:ascii="Arial" w:eastAsia="Calibri" w:hAnsi="Arial" w:cs="Arial"/>
          <w:color w:val="161616"/>
          <w:kern w:val="2"/>
          <w:sz w:val="20"/>
          <w:szCs w:val="20"/>
          <w14:ligatures w14:val="standardContextual"/>
        </w:rPr>
        <w:t xml:space="preserve"> nepotism and protecting whistleblowers</w:t>
      </w:r>
      <w:r w:rsidR="00335749">
        <w:rPr>
          <w:rFonts w:ascii="Arial" w:eastAsia="Calibri" w:hAnsi="Arial" w:cs="Arial"/>
          <w:color w:val="161616"/>
          <w:kern w:val="2"/>
          <w:sz w:val="20"/>
          <w:szCs w:val="20"/>
          <w14:ligatures w14:val="standardContextual"/>
        </w:rPr>
        <w:t>.</w:t>
      </w:r>
      <w:r w:rsidRPr="00070A0C">
        <w:rPr>
          <w:rFonts w:ascii="Arial" w:eastAsia="Calibri" w:hAnsi="Arial" w:cs="Arial"/>
          <w:sz w:val="20"/>
          <w:szCs w:val="20"/>
          <w:vertAlign w:val="superscript"/>
        </w:rPr>
        <w:footnoteReference w:id="53"/>
      </w:r>
      <w:r w:rsidR="00335749">
        <w:rPr>
          <w:rFonts w:ascii="Arial" w:eastAsia="Calibri" w:hAnsi="Arial" w:cs="Arial"/>
          <w:color w:val="161616"/>
          <w:kern w:val="2"/>
          <w:sz w:val="20"/>
          <w:szCs w:val="20"/>
          <w14:ligatures w14:val="standardContextual"/>
        </w:rPr>
        <w:t xml:space="preserve"> </w:t>
      </w:r>
      <w:r w:rsidR="008F77D2" w:rsidRPr="00070A0C">
        <w:rPr>
          <w:rFonts w:ascii="Arial" w:eastAsia="Calibri" w:hAnsi="Arial" w:cs="Arial"/>
          <w:kern w:val="2"/>
          <w:sz w:val="20"/>
          <w:szCs w:val="20"/>
          <w14:ligatures w14:val="standardContextual"/>
        </w:rPr>
        <w:t xml:space="preserve">In addition, the Congress promotes the right of citizens to participate in the conduct of public affairs at local level based on the standards set out in the Additional Protocol to </w:t>
      </w:r>
      <w:r w:rsidR="00752568" w:rsidRPr="00070A0C">
        <w:rPr>
          <w:rFonts w:ascii="Arial" w:eastAsia="Calibri" w:hAnsi="Arial" w:cs="Arial"/>
          <w:kern w:val="2"/>
          <w:sz w:val="20"/>
          <w:szCs w:val="20"/>
          <w14:ligatures w14:val="standardContextual"/>
        </w:rPr>
        <w:t>the Charter</w:t>
      </w:r>
      <w:r w:rsidR="008F77D2" w:rsidRPr="00070A0C">
        <w:rPr>
          <w:rFonts w:ascii="Arial" w:eastAsia="Calibri" w:hAnsi="Arial" w:cs="Arial"/>
          <w:kern w:val="2"/>
          <w:sz w:val="20"/>
          <w:szCs w:val="20"/>
          <w14:ligatures w14:val="standardContextual"/>
        </w:rPr>
        <w:t xml:space="preserve"> on the right to participate in the affairs of a local authority</w:t>
      </w:r>
      <w:r w:rsidR="00335749">
        <w:rPr>
          <w:rFonts w:ascii="Arial" w:eastAsia="Calibri" w:hAnsi="Arial" w:cs="Arial"/>
          <w:kern w:val="2"/>
          <w:sz w:val="20"/>
          <w:szCs w:val="20"/>
          <w14:ligatures w14:val="standardContextual"/>
        </w:rPr>
        <w:t xml:space="preserve"> (CETS No. 207).</w:t>
      </w:r>
      <w:r w:rsidR="008F77D2" w:rsidRPr="00070A0C">
        <w:rPr>
          <w:rFonts w:ascii="Arial" w:eastAsia="Calibri" w:hAnsi="Arial" w:cs="Arial"/>
          <w:kern w:val="2"/>
          <w:sz w:val="20"/>
          <w:szCs w:val="20"/>
          <w14:ligatures w14:val="standardContextual"/>
        </w:rPr>
        <w:t xml:space="preserve"> </w:t>
      </w:r>
    </w:p>
    <w:p w14:paraId="5FA07ED7" w14:textId="4F7DAB6B" w:rsidR="00445A3B" w:rsidRPr="00335749" w:rsidRDefault="00445A3B" w:rsidP="00B84119">
      <w:pPr>
        <w:pStyle w:val="Heading2"/>
        <w:numPr>
          <w:ilvl w:val="0"/>
          <w:numId w:val="30"/>
        </w:numPr>
        <w:tabs>
          <w:tab w:val="left" w:pos="426"/>
        </w:tabs>
        <w:ind w:left="0" w:firstLine="0"/>
        <w:rPr>
          <w:rFonts w:ascii="Arial" w:eastAsia="Calibri" w:hAnsi="Arial" w:cs="Arial"/>
          <w:color w:val="auto"/>
          <w:sz w:val="20"/>
          <w:szCs w:val="20"/>
        </w:rPr>
      </w:pPr>
      <w:bookmarkStart w:id="59" w:name="_Toc143512963"/>
      <w:bookmarkStart w:id="60" w:name="_Toc158375255"/>
      <w:r w:rsidRPr="00335749">
        <w:rPr>
          <w:rFonts w:ascii="Arial" w:eastAsia="Calibri" w:hAnsi="Arial" w:cs="Arial"/>
          <w:color w:val="auto"/>
          <w:sz w:val="20"/>
          <w:szCs w:val="20"/>
        </w:rPr>
        <w:t>The implementation of the rule of law by local authorities: the execution of the judgments of the European Court of Human Rights</w:t>
      </w:r>
      <w:bookmarkEnd w:id="59"/>
      <w:bookmarkEnd w:id="60"/>
    </w:p>
    <w:p w14:paraId="6EC28F47" w14:textId="77777777" w:rsidR="00B9522D" w:rsidRPr="00070A0C" w:rsidRDefault="00B9522D" w:rsidP="00B9522D">
      <w:pPr>
        <w:pStyle w:val="ListParagraph"/>
        <w:tabs>
          <w:tab w:val="left" w:pos="0"/>
          <w:tab w:val="left" w:pos="426"/>
        </w:tabs>
        <w:ind w:left="0" w:hanging="11"/>
        <w:jc w:val="both"/>
        <w:rPr>
          <w:rFonts w:ascii="Arial" w:eastAsia="Calibri" w:hAnsi="Arial" w:cs="Arial"/>
          <w:sz w:val="20"/>
          <w:szCs w:val="20"/>
          <w14:ligatures w14:val="standardContextual"/>
        </w:rPr>
      </w:pPr>
    </w:p>
    <w:p w14:paraId="2B2EEF40" w14:textId="4153239F" w:rsidR="00445A3B" w:rsidRPr="00070A0C" w:rsidRDefault="00065C6B" w:rsidP="00CA494E">
      <w:pPr>
        <w:pStyle w:val="ListParagraph"/>
        <w:numPr>
          <w:ilvl w:val="0"/>
          <w:numId w:val="28"/>
        </w:numPr>
        <w:tabs>
          <w:tab w:val="left" w:pos="0"/>
          <w:tab w:val="left" w:pos="426"/>
        </w:tabs>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The e</w:t>
      </w:r>
      <w:r w:rsidR="00445A3B" w:rsidRPr="00070A0C">
        <w:rPr>
          <w:rFonts w:ascii="Arial" w:eastAsia="Calibri" w:hAnsi="Arial" w:cs="Arial"/>
          <w:sz w:val="20"/>
          <w:szCs w:val="20"/>
          <w14:ligatures w14:val="standardContextual"/>
        </w:rPr>
        <w:t>ffectiveness of judicial decisions is an inherent aspect of the rule of law. As stated by the Venice Commission, “</w:t>
      </w:r>
      <w:r>
        <w:rPr>
          <w:rFonts w:ascii="Arial" w:eastAsia="Calibri" w:hAnsi="Arial" w:cs="Arial"/>
          <w:sz w:val="20"/>
          <w:szCs w:val="20"/>
          <w14:ligatures w14:val="standardContextual"/>
        </w:rPr>
        <w:t>t</w:t>
      </w:r>
      <w:r w:rsidR="00445A3B" w:rsidRPr="00070A0C">
        <w:rPr>
          <w:rFonts w:ascii="Arial" w:eastAsia="Calibri" w:hAnsi="Arial" w:cs="Arial"/>
          <w:sz w:val="20"/>
          <w:szCs w:val="20"/>
          <w14:ligatures w14:val="standardContextual"/>
        </w:rPr>
        <w:t>he right to a fair trial and the Rule of Law in general would be devoid of any substance if judicial decisions were not executed.</w:t>
      </w:r>
      <w:r w:rsidR="000535ED">
        <w:rPr>
          <w:rFonts w:ascii="Arial" w:eastAsia="Calibri" w:hAnsi="Arial" w:cs="Arial"/>
          <w:sz w:val="20"/>
          <w:szCs w:val="20"/>
          <w14:ligatures w14:val="standardContextual"/>
        </w:rPr>
        <w:t>”</w:t>
      </w:r>
      <w:r w:rsidR="00445A3B" w:rsidRPr="00EA6A10">
        <w:rPr>
          <w:rStyle w:val="FootnoteReference"/>
          <w:rFonts w:ascii="Arial" w:hAnsi="Arial" w:cs="Arial"/>
          <w:sz w:val="20"/>
          <w:szCs w:val="20"/>
          <w:lang w:val="en-US"/>
        </w:rPr>
        <w:footnoteReference w:id="54"/>
      </w:r>
      <w:r w:rsidR="00445A3B" w:rsidRPr="00070A0C">
        <w:rPr>
          <w:rFonts w:ascii="Arial" w:eastAsia="Calibri" w:hAnsi="Arial" w:cs="Arial"/>
          <w:sz w:val="20"/>
          <w:szCs w:val="20"/>
          <w14:ligatures w14:val="standardContextual"/>
        </w:rPr>
        <w:t xml:space="preserve"> Among the decisions to be executed, those </w:t>
      </w:r>
      <w:r w:rsidR="000535ED">
        <w:rPr>
          <w:rFonts w:ascii="Arial" w:eastAsia="Calibri" w:hAnsi="Arial" w:cs="Arial"/>
          <w:sz w:val="20"/>
          <w:szCs w:val="20"/>
          <w14:ligatures w14:val="standardContextual"/>
        </w:rPr>
        <w:t>of</w:t>
      </w:r>
      <w:r w:rsidR="00445A3B" w:rsidRPr="00070A0C">
        <w:rPr>
          <w:rFonts w:ascii="Arial" w:eastAsia="Calibri" w:hAnsi="Arial" w:cs="Arial"/>
          <w:sz w:val="20"/>
          <w:szCs w:val="20"/>
          <w14:ligatures w14:val="standardContextual"/>
        </w:rPr>
        <w:t xml:space="preserve"> regional or international courts must be also </w:t>
      </w:r>
      <w:r w:rsidR="000535ED">
        <w:rPr>
          <w:rFonts w:ascii="Arial" w:eastAsia="Calibri" w:hAnsi="Arial" w:cs="Arial"/>
          <w:sz w:val="20"/>
          <w:szCs w:val="20"/>
          <w14:ligatures w14:val="standardContextual"/>
        </w:rPr>
        <w:t>taken into account</w:t>
      </w:r>
      <w:r w:rsidR="00445A3B" w:rsidRPr="00070A0C">
        <w:rPr>
          <w:rFonts w:ascii="Arial" w:eastAsia="Calibri" w:hAnsi="Arial" w:cs="Arial"/>
          <w:sz w:val="20"/>
          <w:szCs w:val="20"/>
          <w14:ligatures w14:val="standardContextual"/>
        </w:rPr>
        <w:t xml:space="preserve">. Their implementation is part of a broader issue: the execution of international obligations, which is, at domestic level, </w:t>
      </w:r>
      <w:r w:rsidR="000535ED">
        <w:rPr>
          <w:rFonts w:ascii="Arial" w:eastAsia="Calibri" w:hAnsi="Arial" w:cs="Arial"/>
          <w:sz w:val="20"/>
          <w:szCs w:val="20"/>
          <w14:ligatures w14:val="standardContextual"/>
        </w:rPr>
        <w:t>an endeavour that may involve multiple actors</w:t>
      </w:r>
      <w:r w:rsidR="00445A3B" w:rsidRPr="00070A0C">
        <w:rPr>
          <w:rFonts w:ascii="Arial" w:eastAsia="Calibri" w:hAnsi="Arial" w:cs="Arial"/>
          <w:sz w:val="20"/>
          <w:szCs w:val="20"/>
          <w14:ligatures w14:val="standardContextual"/>
        </w:rPr>
        <w:t xml:space="preserve">. All State organs must abide by the country’s human rights obligations and contribute to the implementation of these obligations, case-law included, within the limits of their </w:t>
      </w:r>
      <w:r w:rsidR="000535ED">
        <w:rPr>
          <w:rFonts w:ascii="Arial" w:eastAsia="Calibri" w:hAnsi="Arial" w:cs="Arial"/>
          <w:sz w:val="20"/>
          <w:szCs w:val="20"/>
          <w14:ligatures w14:val="standardContextual"/>
        </w:rPr>
        <w:t>competences</w:t>
      </w:r>
      <w:r w:rsidR="00445A3B" w:rsidRPr="00070A0C">
        <w:rPr>
          <w:rFonts w:ascii="Arial" w:eastAsia="Calibri" w:hAnsi="Arial" w:cs="Arial"/>
          <w:sz w:val="20"/>
          <w:szCs w:val="20"/>
          <w14:ligatures w14:val="standardContextual"/>
        </w:rPr>
        <w:t xml:space="preserve">. Even more </w:t>
      </w:r>
      <w:r w:rsidR="000535ED">
        <w:rPr>
          <w:rFonts w:ascii="Arial" w:eastAsia="Calibri" w:hAnsi="Arial" w:cs="Arial"/>
          <w:sz w:val="20"/>
          <w:szCs w:val="20"/>
          <w14:ligatures w14:val="standardContextual"/>
        </w:rPr>
        <w:t xml:space="preserve">so </w:t>
      </w:r>
      <w:r w:rsidR="00445A3B" w:rsidRPr="00070A0C">
        <w:rPr>
          <w:rFonts w:ascii="Arial" w:eastAsia="Calibri" w:hAnsi="Arial" w:cs="Arial"/>
          <w:sz w:val="20"/>
          <w:szCs w:val="20"/>
          <w14:ligatures w14:val="standardContextual"/>
        </w:rPr>
        <w:t xml:space="preserve">in the field of human rights. Both the implementation of the international obligation and the implementation of the human rights should be considered, according to the Venice Commission “Rule of </w:t>
      </w:r>
      <w:r w:rsidR="00601EDE">
        <w:rPr>
          <w:rFonts w:ascii="Arial" w:eastAsia="Calibri" w:hAnsi="Arial" w:cs="Arial"/>
          <w:sz w:val="20"/>
          <w:szCs w:val="20"/>
          <w14:ligatures w14:val="standardContextual"/>
        </w:rPr>
        <w:t>L</w:t>
      </w:r>
      <w:r w:rsidR="00445A3B" w:rsidRPr="00070A0C">
        <w:rPr>
          <w:rFonts w:ascii="Arial" w:eastAsia="Calibri" w:hAnsi="Arial" w:cs="Arial"/>
          <w:sz w:val="20"/>
          <w:szCs w:val="20"/>
          <w14:ligatures w14:val="standardContextual"/>
        </w:rPr>
        <w:t>aw Checklist”, as a component of the rule of law</w:t>
      </w:r>
      <w:r w:rsidR="000535ED">
        <w:rPr>
          <w:rFonts w:ascii="Arial" w:eastAsia="Calibri" w:hAnsi="Arial" w:cs="Arial"/>
          <w:sz w:val="20"/>
          <w:szCs w:val="20"/>
          <w14:ligatures w14:val="standardContextual"/>
        </w:rPr>
        <w:t>.</w:t>
      </w:r>
      <w:r w:rsidR="00445A3B" w:rsidRPr="00EA6A10">
        <w:rPr>
          <w:rStyle w:val="FootnoteReference"/>
          <w:rFonts w:ascii="Arial" w:hAnsi="Arial" w:cs="Arial"/>
          <w:sz w:val="20"/>
          <w:szCs w:val="20"/>
          <w:lang w:val="en-US"/>
        </w:rPr>
        <w:footnoteReference w:id="55"/>
      </w:r>
    </w:p>
    <w:p w14:paraId="429D285E" w14:textId="77777777" w:rsidR="00445A3B" w:rsidRPr="00070A0C" w:rsidRDefault="00445A3B" w:rsidP="00445A3B">
      <w:pPr>
        <w:pStyle w:val="ListParagraph"/>
        <w:tabs>
          <w:tab w:val="left" w:pos="0"/>
          <w:tab w:val="left" w:pos="426"/>
        </w:tabs>
        <w:ind w:left="0"/>
        <w:rPr>
          <w:rFonts w:ascii="Arial" w:eastAsia="Calibri" w:hAnsi="Arial" w:cs="Arial"/>
          <w:sz w:val="20"/>
          <w:szCs w:val="20"/>
          <w14:ligatures w14:val="standardContextual"/>
        </w:rPr>
      </w:pPr>
    </w:p>
    <w:p w14:paraId="222267E1" w14:textId="058E4589" w:rsidR="00445A3B" w:rsidRPr="00070A0C" w:rsidRDefault="008F5CA8" w:rsidP="00CA494E">
      <w:pPr>
        <w:pStyle w:val="ListParagraph"/>
        <w:numPr>
          <w:ilvl w:val="0"/>
          <w:numId w:val="28"/>
        </w:numPr>
        <w:tabs>
          <w:tab w:val="left" w:pos="0"/>
          <w:tab w:val="left" w:pos="426"/>
        </w:tabs>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H</w:t>
      </w:r>
      <w:r w:rsidR="00445A3B" w:rsidRPr="00070A0C">
        <w:rPr>
          <w:rFonts w:ascii="Arial" w:eastAsia="Calibri" w:hAnsi="Arial" w:cs="Arial"/>
          <w:sz w:val="20"/>
          <w:szCs w:val="20"/>
          <w14:ligatures w14:val="standardContextual"/>
        </w:rPr>
        <w:t>owever, this recognition has</w:t>
      </w:r>
      <w:r w:rsidR="00065C6B">
        <w:rPr>
          <w:rFonts w:ascii="Arial" w:eastAsia="Calibri" w:hAnsi="Arial" w:cs="Arial"/>
          <w:sz w:val="20"/>
          <w:szCs w:val="20"/>
          <w14:ligatures w14:val="standardContextual"/>
        </w:rPr>
        <w:t xml:space="preserve"> rarely,</w:t>
      </w:r>
      <w:r w:rsidR="00445A3B" w:rsidRPr="00070A0C">
        <w:rPr>
          <w:rFonts w:ascii="Arial" w:eastAsia="Calibri" w:hAnsi="Arial" w:cs="Arial"/>
          <w:sz w:val="20"/>
          <w:szCs w:val="20"/>
          <w14:ligatures w14:val="standardContextual"/>
        </w:rPr>
        <w:t xml:space="preserve"> until more recently</w:t>
      </w:r>
      <w:r w:rsidR="00065C6B">
        <w:rPr>
          <w:rFonts w:ascii="Arial" w:eastAsia="Calibri" w:hAnsi="Arial" w:cs="Arial"/>
          <w:sz w:val="20"/>
          <w:szCs w:val="20"/>
          <w14:ligatures w14:val="standardContextual"/>
        </w:rPr>
        <w:t>,</w:t>
      </w:r>
      <w:r w:rsidR="00445A3B" w:rsidRPr="00070A0C">
        <w:rPr>
          <w:rFonts w:ascii="Arial" w:eastAsia="Calibri" w:hAnsi="Arial" w:cs="Arial"/>
          <w:sz w:val="20"/>
          <w:szCs w:val="20"/>
          <w14:ligatures w14:val="standardContextual"/>
        </w:rPr>
        <w:t xml:space="preserve"> </w:t>
      </w:r>
      <w:r w:rsidR="00065C6B">
        <w:rPr>
          <w:rFonts w:ascii="Arial" w:eastAsia="Calibri" w:hAnsi="Arial" w:cs="Arial"/>
          <w:sz w:val="20"/>
          <w:szCs w:val="20"/>
          <w14:ligatures w14:val="standardContextual"/>
        </w:rPr>
        <w:t>been</w:t>
      </w:r>
      <w:r w:rsidR="00065C6B" w:rsidRPr="00070A0C">
        <w:rPr>
          <w:rFonts w:ascii="Arial" w:eastAsia="Calibri" w:hAnsi="Arial" w:cs="Arial"/>
          <w:sz w:val="20"/>
          <w:szCs w:val="20"/>
          <w14:ligatures w14:val="standardContextual"/>
        </w:rPr>
        <w:t xml:space="preserve"> </w:t>
      </w:r>
      <w:r w:rsidR="00445A3B" w:rsidRPr="00070A0C">
        <w:rPr>
          <w:rFonts w:ascii="Arial" w:eastAsia="Calibri" w:hAnsi="Arial" w:cs="Arial"/>
          <w:sz w:val="20"/>
          <w:szCs w:val="20"/>
          <w14:ligatures w14:val="standardContextual"/>
        </w:rPr>
        <w:t xml:space="preserve">translated into a careful examination of the roles played by the </w:t>
      </w:r>
      <w:r w:rsidR="00895BEF">
        <w:rPr>
          <w:rFonts w:ascii="Arial" w:eastAsia="Calibri" w:hAnsi="Arial" w:cs="Arial"/>
          <w:sz w:val="20"/>
          <w:szCs w:val="20"/>
          <w14:ligatures w14:val="standardContextual"/>
        </w:rPr>
        <w:t>various</w:t>
      </w:r>
      <w:r w:rsidR="00895BEF" w:rsidRPr="00070A0C">
        <w:rPr>
          <w:rFonts w:ascii="Arial" w:eastAsia="Calibri" w:hAnsi="Arial" w:cs="Arial"/>
          <w:sz w:val="20"/>
          <w:szCs w:val="20"/>
          <w14:ligatures w14:val="standardContextual"/>
        </w:rPr>
        <w:t xml:space="preserve"> </w:t>
      </w:r>
      <w:r w:rsidR="00445A3B" w:rsidRPr="00070A0C">
        <w:rPr>
          <w:rFonts w:ascii="Arial" w:eastAsia="Calibri" w:hAnsi="Arial" w:cs="Arial"/>
          <w:sz w:val="20"/>
          <w:szCs w:val="20"/>
          <w14:ligatures w14:val="standardContextual"/>
        </w:rPr>
        <w:t xml:space="preserve">national authorities (parliament, government, courts, local authorities) in the implementation process. </w:t>
      </w:r>
      <w:r w:rsidR="00895BEF">
        <w:rPr>
          <w:rFonts w:ascii="Arial" w:eastAsia="Calibri" w:hAnsi="Arial" w:cs="Arial"/>
          <w:sz w:val="20"/>
          <w:szCs w:val="20"/>
          <w14:ligatures w14:val="standardContextual"/>
        </w:rPr>
        <w:t>In particular, t</w:t>
      </w:r>
      <w:r w:rsidR="00445A3B" w:rsidRPr="00070A0C">
        <w:rPr>
          <w:rFonts w:ascii="Arial" w:eastAsia="Calibri" w:hAnsi="Arial" w:cs="Arial"/>
          <w:sz w:val="20"/>
          <w:szCs w:val="20"/>
          <w14:ligatures w14:val="standardContextual"/>
        </w:rPr>
        <w:t>he role of local authorities has been overlooked</w:t>
      </w:r>
      <w:r w:rsidR="000535ED">
        <w:rPr>
          <w:rFonts w:ascii="Arial" w:eastAsia="Calibri" w:hAnsi="Arial" w:cs="Arial"/>
          <w:sz w:val="20"/>
          <w:szCs w:val="20"/>
          <w14:ligatures w14:val="standardContextual"/>
        </w:rPr>
        <w:t>.</w:t>
      </w:r>
      <w:r w:rsidR="00445A3B" w:rsidRPr="000535ED">
        <w:rPr>
          <w:rStyle w:val="FootnoteReference"/>
          <w:rFonts w:ascii="Arial" w:hAnsi="Arial" w:cs="Arial"/>
          <w:sz w:val="20"/>
          <w:szCs w:val="20"/>
          <w:lang w:val="en-US"/>
          <w14:ligatures w14:val="standardContextual"/>
        </w:rPr>
        <w:footnoteReference w:id="56"/>
      </w:r>
    </w:p>
    <w:p w14:paraId="1CF7F264" w14:textId="77777777" w:rsidR="00445A3B" w:rsidRPr="0080275C" w:rsidRDefault="00445A3B" w:rsidP="0080275C">
      <w:pPr>
        <w:jc w:val="both"/>
        <w:rPr>
          <w:rFonts w:ascii="Arial" w:eastAsia="Calibri" w:hAnsi="Arial" w:cs="Arial"/>
          <w:sz w:val="20"/>
          <w:szCs w:val="20"/>
          <w14:ligatures w14:val="standardContextual"/>
        </w:rPr>
      </w:pPr>
    </w:p>
    <w:p w14:paraId="6F1A9D06" w14:textId="1A1247E8" w:rsidR="00445A3B" w:rsidRPr="00070A0C" w:rsidRDefault="008F5CA8" w:rsidP="00CA494E">
      <w:pPr>
        <w:pStyle w:val="ListParagraph"/>
        <w:numPr>
          <w:ilvl w:val="0"/>
          <w:numId w:val="28"/>
        </w:numPr>
        <w:tabs>
          <w:tab w:val="left" w:pos="0"/>
          <w:tab w:val="left" w:pos="426"/>
        </w:tabs>
        <w:ind w:left="0" w:firstLine="0"/>
        <w:jc w:val="both"/>
        <w:rPr>
          <w:rFonts w:ascii="Arial" w:eastAsia="Calibri" w:hAnsi="Arial" w:cs="Arial"/>
          <w:sz w:val="20"/>
          <w:szCs w:val="20"/>
          <w14:ligatures w14:val="standardContextual"/>
        </w:rPr>
      </w:pPr>
      <w:r>
        <w:rPr>
          <w:rFonts w:ascii="Arial" w:eastAsia="Calibri" w:hAnsi="Arial" w:cs="Arial"/>
          <w:sz w:val="20"/>
          <w:szCs w:val="20"/>
          <w14:ligatures w14:val="standardContextual"/>
        </w:rPr>
        <w:t>In fact, however</w:t>
      </w:r>
      <w:r w:rsidR="00445A3B" w:rsidRPr="00070A0C">
        <w:rPr>
          <w:rFonts w:ascii="Arial" w:eastAsia="Calibri" w:hAnsi="Arial" w:cs="Arial"/>
          <w:sz w:val="20"/>
          <w:szCs w:val="20"/>
          <w14:ligatures w14:val="standardContextual"/>
        </w:rPr>
        <w:t xml:space="preserve">, it must be pointed out that in a number of cases, human rights violations originate </w:t>
      </w:r>
      <w:r w:rsidR="00895BEF">
        <w:rPr>
          <w:rFonts w:ascii="Arial" w:eastAsia="Calibri" w:hAnsi="Arial" w:cs="Arial"/>
          <w:sz w:val="20"/>
          <w:szCs w:val="20"/>
          <w14:ligatures w14:val="standardContextual"/>
        </w:rPr>
        <w:t>from</w:t>
      </w:r>
      <w:r w:rsidR="00895BEF" w:rsidRPr="00070A0C">
        <w:rPr>
          <w:rFonts w:ascii="Arial" w:eastAsia="Calibri" w:hAnsi="Arial" w:cs="Arial"/>
          <w:sz w:val="20"/>
          <w:szCs w:val="20"/>
          <w14:ligatures w14:val="standardContextual"/>
        </w:rPr>
        <w:t xml:space="preserve"> </w:t>
      </w:r>
      <w:r w:rsidR="00445A3B" w:rsidRPr="00070A0C">
        <w:rPr>
          <w:rFonts w:ascii="Arial" w:eastAsia="Calibri" w:hAnsi="Arial" w:cs="Arial"/>
          <w:sz w:val="20"/>
          <w:szCs w:val="20"/>
          <w14:ligatures w14:val="standardContextual"/>
        </w:rPr>
        <w:t xml:space="preserve">local authorities’ action (or, more frequently, inaction). It can happen that national human rights institutions, such as Ombudspersons, </w:t>
      </w:r>
      <w:r w:rsidR="00895BEF">
        <w:rPr>
          <w:rFonts w:ascii="Arial" w:eastAsia="Calibri" w:hAnsi="Arial" w:cs="Arial"/>
          <w:sz w:val="20"/>
          <w:szCs w:val="20"/>
          <w14:ligatures w14:val="standardContextual"/>
        </w:rPr>
        <w:t>learn</w:t>
      </w:r>
      <w:r w:rsidR="00445A3B" w:rsidRPr="00070A0C">
        <w:rPr>
          <w:rFonts w:ascii="Arial" w:eastAsia="Calibri" w:hAnsi="Arial" w:cs="Arial"/>
          <w:sz w:val="20"/>
          <w:szCs w:val="20"/>
          <w14:ligatures w14:val="standardContextual"/>
        </w:rPr>
        <w:t xml:space="preserve"> of those violation</w:t>
      </w:r>
      <w:r w:rsidR="00895BEF">
        <w:rPr>
          <w:rFonts w:ascii="Arial" w:eastAsia="Calibri" w:hAnsi="Arial" w:cs="Arial"/>
          <w:sz w:val="20"/>
          <w:szCs w:val="20"/>
          <w14:ligatures w14:val="standardContextual"/>
        </w:rPr>
        <w:t>s</w:t>
      </w:r>
      <w:r w:rsidR="00445A3B" w:rsidRPr="00070A0C">
        <w:rPr>
          <w:rFonts w:ascii="Arial" w:eastAsia="Calibri" w:hAnsi="Arial" w:cs="Arial"/>
          <w:sz w:val="20"/>
          <w:szCs w:val="20"/>
          <w14:ligatures w14:val="standardContextual"/>
        </w:rPr>
        <w:t>, ordering local authorities to act</w:t>
      </w:r>
      <w:r w:rsidR="000535ED">
        <w:rPr>
          <w:rFonts w:ascii="Arial" w:eastAsia="Calibri" w:hAnsi="Arial" w:cs="Arial"/>
          <w:sz w:val="20"/>
          <w:szCs w:val="20"/>
          <w14:ligatures w14:val="standardContextual"/>
        </w:rPr>
        <w:t>.</w:t>
      </w:r>
      <w:r w:rsidR="00445A3B" w:rsidRPr="00070A0C">
        <w:rPr>
          <w:rStyle w:val="FootnoteReference"/>
          <w:rFonts w:ascii="Arial" w:eastAsiaTheme="minorHAnsi" w:hAnsi="Arial" w:cs="Arial"/>
          <w:sz w:val="22"/>
          <w:szCs w:val="22"/>
          <w:lang w:val="en-US"/>
        </w:rPr>
        <w:footnoteReference w:id="57"/>
      </w:r>
      <w:r w:rsidR="00445A3B" w:rsidRPr="00070A0C">
        <w:rPr>
          <w:rFonts w:ascii="Arial" w:eastAsia="Calibri" w:hAnsi="Arial" w:cs="Arial"/>
          <w:sz w:val="20"/>
          <w:szCs w:val="20"/>
          <w14:ligatures w14:val="standardContextual"/>
        </w:rPr>
        <w:t xml:space="preserve"> Or it </w:t>
      </w:r>
      <w:r w:rsidR="00445A3B" w:rsidRPr="00070A0C">
        <w:rPr>
          <w:rFonts w:ascii="Arial" w:eastAsia="Calibri" w:hAnsi="Arial" w:cs="Arial"/>
          <w:sz w:val="20"/>
          <w:szCs w:val="20"/>
          <w14:ligatures w14:val="standardContextual"/>
        </w:rPr>
        <w:lastRenderedPageBreak/>
        <w:t>may happen that local authorities’ acts are challenged in courts. In both cases (Ombudsperson’</w:t>
      </w:r>
      <w:r w:rsidR="000535ED">
        <w:rPr>
          <w:rFonts w:ascii="Arial" w:eastAsia="Calibri" w:hAnsi="Arial" w:cs="Arial"/>
          <w:sz w:val="20"/>
          <w:szCs w:val="20"/>
          <w14:ligatures w14:val="standardContextual"/>
        </w:rPr>
        <w:t>s</w:t>
      </w:r>
      <w:r w:rsidR="00445A3B" w:rsidRPr="00070A0C">
        <w:rPr>
          <w:rFonts w:ascii="Arial" w:eastAsia="Calibri" w:hAnsi="Arial" w:cs="Arial"/>
          <w:sz w:val="20"/>
          <w:szCs w:val="20"/>
          <w14:ligatures w14:val="standardContextual"/>
        </w:rPr>
        <w:t xml:space="preserve"> or judicial decision), local authorities may be </w:t>
      </w:r>
      <w:r w:rsidR="00895BEF">
        <w:rPr>
          <w:rFonts w:ascii="Arial" w:eastAsia="Calibri" w:hAnsi="Arial" w:cs="Arial"/>
          <w:sz w:val="20"/>
          <w:szCs w:val="20"/>
          <w14:ligatures w14:val="standardContextual"/>
        </w:rPr>
        <w:t>called upon</w:t>
      </w:r>
      <w:r w:rsidR="00895BEF" w:rsidRPr="00070A0C">
        <w:rPr>
          <w:rFonts w:ascii="Arial" w:eastAsia="Calibri" w:hAnsi="Arial" w:cs="Arial"/>
          <w:sz w:val="20"/>
          <w:szCs w:val="20"/>
          <w14:ligatures w14:val="standardContextual"/>
        </w:rPr>
        <w:t xml:space="preserve"> </w:t>
      </w:r>
      <w:r w:rsidR="00445A3B" w:rsidRPr="00070A0C">
        <w:rPr>
          <w:rFonts w:ascii="Arial" w:eastAsia="Calibri" w:hAnsi="Arial" w:cs="Arial"/>
          <w:sz w:val="20"/>
          <w:szCs w:val="20"/>
          <w14:ligatures w14:val="standardContextual"/>
        </w:rPr>
        <w:t xml:space="preserve">to act as protectors of human rights, by enforcing decisions aimed at protecting human rights. In particular, the </w:t>
      </w:r>
      <w:r w:rsidR="00895BEF" w:rsidRPr="00895BEF">
        <w:rPr>
          <w:rFonts w:ascii="Arial" w:eastAsia="Calibri" w:hAnsi="Arial" w:cs="Arial"/>
          <w:sz w:val="20"/>
          <w:szCs w:val="20"/>
          <w14:ligatures w14:val="standardContextual"/>
        </w:rPr>
        <w:t>European Court of Human Rights</w:t>
      </w:r>
      <w:r w:rsidR="00445A3B" w:rsidRPr="00070A0C">
        <w:rPr>
          <w:rFonts w:ascii="Arial" w:eastAsia="Calibri" w:hAnsi="Arial" w:cs="Arial"/>
          <w:sz w:val="20"/>
          <w:szCs w:val="20"/>
          <w14:ligatures w14:val="standardContextual"/>
        </w:rPr>
        <w:t xml:space="preserve"> </w:t>
      </w:r>
      <w:r w:rsidR="000535ED">
        <w:rPr>
          <w:rFonts w:ascii="Arial" w:eastAsia="Calibri" w:hAnsi="Arial" w:cs="Arial"/>
          <w:sz w:val="20"/>
          <w:szCs w:val="20"/>
          <w14:ligatures w14:val="standardContextual"/>
        </w:rPr>
        <w:t xml:space="preserve">has </w:t>
      </w:r>
      <w:r w:rsidR="00445A3B" w:rsidRPr="00070A0C">
        <w:rPr>
          <w:rFonts w:ascii="Arial" w:eastAsia="Calibri" w:hAnsi="Arial" w:cs="Arial"/>
          <w:sz w:val="20"/>
          <w:szCs w:val="20"/>
          <w14:ligatures w14:val="standardContextual"/>
        </w:rPr>
        <w:t xml:space="preserve">stated that, when an administrative authority, </w:t>
      </w:r>
      <w:r w:rsidR="000535ED">
        <w:rPr>
          <w:rFonts w:ascii="Arial" w:eastAsia="Calibri" w:hAnsi="Arial" w:cs="Arial"/>
          <w:sz w:val="20"/>
          <w:szCs w:val="20"/>
          <w14:ligatures w14:val="standardContextual"/>
        </w:rPr>
        <w:t>regardless</w:t>
      </w:r>
      <w:r w:rsidR="00445A3B" w:rsidRPr="00070A0C">
        <w:rPr>
          <w:rFonts w:ascii="Arial" w:eastAsia="Calibri" w:hAnsi="Arial" w:cs="Arial"/>
          <w:sz w:val="20"/>
          <w:szCs w:val="20"/>
          <w14:ligatures w14:val="standardContextual"/>
        </w:rPr>
        <w:t xml:space="preserve"> whether</w:t>
      </w:r>
      <w:r w:rsidR="000535ED">
        <w:rPr>
          <w:rFonts w:ascii="Arial" w:eastAsia="Calibri" w:hAnsi="Arial" w:cs="Arial"/>
          <w:sz w:val="20"/>
          <w:szCs w:val="20"/>
          <w14:ligatures w14:val="standardContextual"/>
        </w:rPr>
        <w:t xml:space="preserve"> it is a</w:t>
      </w:r>
      <w:r w:rsidR="00445A3B" w:rsidRPr="00070A0C">
        <w:rPr>
          <w:rFonts w:ascii="Arial" w:eastAsia="Calibri" w:hAnsi="Arial" w:cs="Arial"/>
          <w:sz w:val="20"/>
          <w:szCs w:val="20"/>
          <w14:ligatures w14:val="standardContextual"/>
        </w:rPr>
        <w:t xml:space="preserve"> national or local</w:t>
      </w:r>
      <w:r w:rsidR="000535ED">
        <w:rPr>
          <w:rFonts w:ascii="Arial" w:eastAsia="Calibri" w:hAnsi="Arial" w:cs="Arial"/>
          <w:sz w:val="20"/>
          <w:szCs w:val="20"/>
          <w14:ligatures w14:val="standardContextual"/>
        </w:rPr>
        <w:t xml:space="preserve"> one</w:t>
      </w:r>
      <w:r w:rsidR="00445A3B" w:rsidRPr="00070A0C">
        <w:rPr>
          <w:rFonts w:ascii="Arial" w:eastAsia="Calibri" w:hAnsi="Arial" w:cs="Arial"/>
          <w:sz w:val="20"/>
          <w:szCs w:val="20"/>
          <w14:ligatures w14:val="standardContextual"/>
        </w:rPr>
        <w:t>, “refuses or fails to comply, or even delays doing so, the guarantees under Article 6 enjoyed by a litigant during the judicial phase of the proceedings are rendered devoid of purpose</w:t>
      </w:r>
      <w:r w:rsidR="00895BEF">
        <w:rPr>
          <w:rFonts w:ascii="Arial" w:eastAsia="Calibri" w:hAnsi="Arial" w:cs="Arial"/>
          <w:sz w:val="20"/>
          <w:szCs w:val="20"/>
          <w14:ligatures w14:val="standardContextual"/>
        </w:rPr>
        <w:t>.</w:t>
      </w:r>
      <w:r w:rsidR="00445A3B" w:rsidRPr="00070A0C">
        <w:rPr>
          <w:rFonts w:ascii="Arial" w:eastAsia="Calibri" w:hAnsi="Arial" w:cs="Arial"/>
          <w:sz w:val="20"/>
          <w:szCs w:val="20"/>
          <w14:ligatures w14:val="standardContextual"/>
        </w:rPr>
        <w:t>”</w:t>
      </w:r>
      <w:r w:rsidR="00445A3B" w:rsidRPr="00070A0C">
        <w:rPr>
          <w:rStyle w:val="FootnoteReference"/>
          <w:rFonts w:ascii="Arial" w:eastAsiaTheme="minorHAnsi" w:hAnsi="Arial" w:cs="Arial"/>
          <w:sz w:val="22"/>
          <w:szCs w:val="22"/>
          <w:lang w:val="it-IT"/>
        </w:rPr>
        <w:footnoteReference w:id="58"/>
      </w:r>
    </w:p>
    <w:p w14:paraId="6B06DFF2" w14:textId="77777777" w:rsidR="00445A3B" w:rsidRPr="0080275C" w:rsidRDefault="00445A3B" w:rsidP="0080275C">
      <w:pPr>
        <w:jc w:val="both"/>
        <w:rPr>
          <w:rFonts w:ascii="Arial" w:eastAsia="Calibri" w:hAnsi="Arial" w:cs="Arial"/>
          <w:sz w:val="20"/>
          <w:szCs w:val="20"/>
          <w14:ligatures w14:val="standardContextual"/>
        </w:rPr>
      </w:pPr>
    </w:p>
    <w:p w14:paraId="056ACEE3" w14:textId="05070A96" w:rsidR="008A76AF" w:rsidRPr="00070A0C" w:rsidRDefault="00445A3B" w:rsidP="00CA494E">
      <w:pPr>
        <w:pStyle w:val="ListParagraph"/>
        <w:numPr>
          <w:ilvl w:val="0"/>
          <w:numId w:val="28"/>
        </w:numPr>
        <w:tabs>
          <w:tab w:val="left" w:pos="0"/>
          <w:tab w:val="left" w:pos="426"/>
        </w:tabs>
        <w:ind w:left="0" w:hanging="11"/>
        <w:jc w:val="both"/>
        <w:rPr>
          <w:rFonts w:ascii="Arial" w:eastAsia="Calibri" w:hAnsi="Arial" w:cs="Arial"/>
          <w:sz w:val="20"/>
          <w:szCs w:val="20"/>
          <w14:ligatures w14:val="standardContextual"/>
        </w:rPr>
      </w:pPr>
      <w:r w:rsidRPr="00070A0C">
        <w:rPr>
          <w:rFonts w:ascii="Arial" w:eastAsia="Calibri" w:hAnsi="Arial" w:cs="Arial"/>
          <w:sz w:val="20"/>
          <w:szCs w:val="20"/>
          <w14:ligatures w14:val="standardContextual"/>
        </w:rPr>
        <w:t xml:space="preserve">Within the Council of Europe, the execution of the </w:t>
      </w:r>
      <w:r w:rsidR="000535ED">
        <w:rPr>
          <w:rFonts w:ascii="Arial" w:eastAsia="Calibri" w:hAnsi="Arial" w:cs="Arial"/>
          <w:sz w:val="20"/>
          <w:szCs w:val="20"/>
          <w14:ligatures w14:val="standardContextual"/>
        </w:rPr>
        <w:t>judgments</w:t>
      </w:r>
      <w:r w:rsidRPr="00070A0C">
        <w:rPr>
          <w:rFonts w:ascii="Arial" w:eastAsia="Calibri" w:hAnsi="Arial" w:cs="Arial"/>
          <w:sz w:val="20"/>
          <w:szCs w:val="20"/>
          <w14:ligatures w14:val="standardContextual"/>
        </w:rPr>
        <w:t xml:space="preserve"> of the </w:t>
      </w:r>
      <w:r w:rsidR="00895BEF" w:rsidRPr="00895BEF">
        <w:rPr>
          <w:rFonts w:ascii="Arial" w:eastAsia="Calibri" w:hAnsi="Arial" w:cs="Arial"/>
          <w:sz w:val="20"/>
          <w:szCs w:val="20"/>
          <w14:ligatures w14:val="standardContextual"/>
        </w:rPr>
        <w:t>European Court of Human Rights</w:t>
      </w:r>
      <w:r w:rsidR="0052021F">
        <w:rPr>
          <w:rFonts w:ascii="Arial" w:eastAsia="Calibri" w:hAnsi="Arial" w:cs="Arial"/>
          <w:sz w:val="20"/>
          <w:szCs w:val="20"/>
          <w14:ligatures w14:val="standardContextual"/>
        </w:rPr>
        <w:t xml:space="preserve"> deserves special attention</w:t>
      </w:r>
      <w:r w:rsidRPr="00070A0C">
        <w:rPr>
          <w:rFonts w:ascii="Arial" w:eastAsia="Calibri" w:hAnsi="Arial" w:cs="Arial"/>
          <w:sz w:val="20"/>
          <w:szCs w:val="20"/>
          <w14:ligatures w14:val="standardContextual"/>
        </w:rPr>
        <w:t xml:space="preserve">. </w:t>
      </w:r>
    </w:p>
    <w:p w14:paraId="6D8F7D14" w14:textId="77777777" w:rsidR="008A76AF" w:rsidRPr="0080275C" w:rsidRDefault="008A76AF" w:rsidP="0080275C">
      <w:pPr>
        <w:rPr>
          <w:rFonts w:ascii="Arial" w:eastAsia="Calibri" w:hAnsi="Arial" w:cs="Arial"/>
          <w:sz w:val="20"/>
          <w:szCs w:val="20"/>
          <w14:ligatures w14:val="standardContextual"/>
        </w:rPr>
      </w:pPr>
    </w:p>
    <w:p w14:paraId="2A7E940F" w14:textId="58D45820" w:rsidR="007E58C7" w:rsidRPr="00070A0C" w:rsidRDefault="007E58C7" w:rsidP="00CA494E">
      <w:pPr>
        <w:pStyle w:val="ListParagraph"/>
        <w:numPr>
          <w:ilvl w:val="0"/>
          <w:numId w:val="28"/>
        </w:numPr>
        <w:tabs>
          <w:tab w:val="left" w:pos="0"/>
          <w:tab w:val="left" w:pos="426"/>
        </w:tabs>
        <w:ind w:left="0" w:hanging="11"/>
        <w:jc w:val="both"/>
        <w:rPr>
          <w:rFonts w:ascii="Arial" w:eastAsia="Calibri" w:hAnsi="Arial" w:cs="Arial"/>
          <w:sz w:val="20"/>
          <w:szCs w:val="20"/>
          <w14:ligatures w14:val="standardContextual"/>
        </w:rPr>
      </w:pPr>
      <w:r w:rsidRPr="00070A0C">
        <w:rPr>
          <w:rFonts w:ascii="Arial" w:eastAsia="Calibri" w:hAnsi="Arial" w:cs="Arial"/>
          <w:sz w:val="20"/>
          <w:szCs w:val="20"/>
          <w14:ligatures w14:val="standardContextual"/>
        </w:rPr>
        <w:t xml:space="preserve">Appendix IV </w:t>
      </w:r>
      <w:r w:rsidRPr="00070A0C">
        <w:rPr>
          <w:rFonts w:ascii="Arial" w:eastAsia="Calibri" w:hAnsi="Arial" w:cs="Arial"/>
          <w:sz w:val="20"/>
          <w:szCs w:val="20"/>
        </w:rPr>
        <w:t>to the Reykjavik</w:t>
      </w:r>
      <w:r w:rsidRPr="00070A0C">
        <w:rPr>
          <w:rFonts w:ascii="Arial" w:eastAsia="Calibri" w:hAnsi="Arial" w:cs="Arial"/>
          <w:sz w:val="20"/>
          <w:szCs w:val="20"/>
          <w14:ligatures w14:val="standardContextual"/>
        </w:rPr>
        <w:t xml:space="preserve"> Declaration</w:t>
      </w:r>
      <w:r w:rsidRPr="00070A0C">
        <w:rPr>
          <w:rFonts w:ascii="Arial" w:eastAsia="Calibri" w:hAnsi="Arial" w:cs="Arial"/>
          <w:sz w:val="20"/>
          <w:szCs w:val="20"/>
        </w:rPr>
        <w:t xml:space="preserve">, adopted at the </w:t>
      </w:r>
      <w:r w:rsidR="00874A16" w:rsidRPr="00070A0C">
        <w:rPr>
          <w:rFonts w:ascii="Arial" w:eastAsia="Calibri" w:hAnsi="Arial" w:cs="Arial"/>
          <w:sz w:val="20"/>
          <w:szCs w:val="20"/>
        </w:rPr>
        <w:t xml:space="preserve">Fourth </w:t>
      </w:r>
      <w:r w:rsidRPr="00070A0C">
        <w:rPr>
          <w:rFonts w:ascii="Arial" w:eastAsia="Calibri" w:hAnsi="Arial" w:cs="Arial"/>
          <w:sz w:val="20"/>
          <w:szCs w:val="20"/>
        </w:rPr>
        <w:t>S</w:t>
      </w:r>
      <w:r w:rsidRPr="00070A0C">
        <w:rPr>
          <w:rFonts w:ascii="Arial" w:eastAsia="Calibri" w:hAnsi="Arial" w:cs="Arial"/>
          <w:sz w:val="20"/>
          <w:szCs w:val="20"/>
          <w:shd w:val="clear" w:color="auto" w:fill="FFFFFF"/>
        </w:rPr>
        <w:t xml:space="preserve">ummit of the Council of Europe </w:t>
      </w:r>
      <w:r w:rsidRPr="00070A0C">
        <w:rPr>
          <w:rFonts w:ascii="Arial" w:eastAsia="Calibri" w:hAnsi="Arial" w:cs="Arial"/>
          <w:sz w:val="20"/>
          <w:szCs w:val="20"/>
        </w:rPr>
        <w:t>highlight</w:t>
      </w:r>
      <w:r w:rsidR="000535ED">
        <w:rPr>
          <w:rFonts w:ascii="Arial" w:eastAsia="Calibri" w:hAnsi="Arial" w:cs="Arial"/>
          <w:sz w:val="20"/>
          <w:szCs w:val="20"/>
        </w:rPr>
        <w:t>s</w:t>
      </w:r>
      <w:r w:rsidRPr="00070A0C">
        <w:rPr>
          <w:rFonts w:ascii="Arial" w:eastAsia="Calibri" w:hAnsi="Arial" w:cs="Arial"/>
          <w:sz w:val="20"/>
          <w:szCs w:val="20"/>
        </w:rPr>
        <w:t xml:space="preserve"> </w:t>
      </w:r>
      <w:r w:rsidRPr="00070A0C">
        <w:rPr>
          <w:rFonts w:ascii="Arial" w:eastAsia="Calibri" w:hAnsi="Arial" w:cs="Arial"/>
          <w:sz w:val="20"/>
          <w:szCs w:val="20"/>
          <w14:ligatures w14:val="standardContextual"/>
        </w:rPr>
        <w:t xml:space="preserve">that “executive, national and local authorities, national courts and national parliaments bear responsibility for implementing the Convention and complying with the judgments of the Court”. </w:t>
      </w:r>
      <w:r w:rsidR="001D1DC5" w:rsidRPr="00070A0C">
        <w:rPr>
          <w:rFonts w:ascii="Arial" w:eastAsia="Calibri" w:hAnsi="Arial" w:cs="Arial"/>
          <w:sz w:val="20"/>
          <w:szCs w:val="20"/>
          <w14:ligatures w14:val="standardContextual"/>
        </w:rPr>
        <w:t>Therefore, t</w:t>
      </w:r>
      <w:r w:rsidRPr="00070A0C">
        <w:rPr>
          <w:rFonts w:ascii="Arial" w:eastAsia="Calibri" w:hAnsi="Arial" w:cs="Arial"/>
          <w:sz w:val="20"/>
          <w:szCs w:val="20"/>
          <w14:ligatures w14:val="standardContextual"/>
        </w:rPr>
        <w:t xml:space="preserve">he Congress is invited </w:t>
      </w:r>
      <w:r w:rsidR="001D1DC5" w:rsidRPr="00070A0C">
        <w:rPr>
          <w:rFonts w:ascii="Arial" w:eastAsia="Calibri" w:hAnsi="Arial" w:cs="Arial"/>
          <w:sz w:val="20"/>
          <w:szCs w:val="20"/>
          <w14:ligatures w14:val="standardContextual"/>
        </w:rPr>
        <w:t>“</w:t>
      </w:r>
      <w:r w:rsidRPr="00070A0C">
        <w:rPr>
          <w:rFonts w:ascii="Arial" w:eastAsia="Calibri" w:hAnsi="Arial" w:cs="Arial"/>
          <w:sz w:val="20"/>
          <w:szCs w:val="20"/>
          <w14:ligatures w14:val="standardContextual"/>
        </w:rPr>
        <w:t>to strengthen a political dialogue with the respective national interlocutors on the implementation of judgments</w:t>
      </w:r>
      <w:r w:rsidR="001D1DC5" w:rsidRPr="00070A0C">
        <w:rPr>
          <w:rFonts w:ascii="Arial" w:eastAsia="Calibri" w:hAnsi="Arial" w:cs="Arial"/>
          <w:sz w:val="20"/>
          <w:szCs w:val="20"/>
          <w14:ligatures w14:val="standardContextual"/>
        </w:rPr>
        <w:t>”</w:t>
      </w:r>
      <w:r w:rsidRPr="00070A0C">
        <w:rPr>
          <w:rFonts w:ascii="Arial" w:eastAsia="Calibri" w:hAnsi="Arial" w:cs="Arial"/>
          <w:sz w:val="20"/>
          <w:szCs w:val="20"/>
          <w14:ligatures w14:val="standardContextual"/>
        </w:rPr>
        <w:t xml:space="preserve"> while national authorities are invited </w:t>
      </w:r>
      <w:r w:rsidR="001D1DC5" w:rsidRPr="00070A0C">
        <w:rPr>
          <w:rFonts w:ascii="Arial" w:eastAsia="Calibri" w:hAnsi="Arial" w:cs="Arial"/>
          <w:sz w:val="20"/>
          <w:szCs w:val="20"/>
          <w14:ligatures w14:val="standardContextual"/>
        </w:rPr>
        <w:t>“</w:t>
      </w:r>
      <w:r w:rsidRPr="00070A0C">
        <w:rPr>
          <w:rFonts w:ascii="Arial" w:eastAsia="Calibri" w:hAnsi="Arial" w:cs="Arial"/>
          <w:sz w:val="20"/>
          <w:szCs w:val="20"/>
          <w14:ligatures w14:val="standardContextual"/>
        </w:rPr>
        <w:t>to strengthen co-operation with local and regional authorities in order to facilitate the process of executing the judgments which concern them</w:t>
      </w:r>
      <w:r w:rsidR="001D1DC5" w:rsidRPr="00070A0C">
        <w:rPr>
          <w:rFonts w:ascii="Arial" w:eastAsia="Calibri" w:hAnsi="Arial" w:cs="Arial"/>
          <w:sz w:val="20"/>
          <w:szCs w:val="20"/>
          <w14:ligatures w14:val="standardContextual"/>
        </w:rPr>
        <w:t>”</w:t>
      </w:r>
      <w:r w:rsidRPr="00070A0C">
        <w:rPr>
          <w:rFonts w:ascii="Arial" w:eastAsia="Calibri" w:hAnsi="Arial" w:cs="Arial"/>
          <w:sz w:val="20"/>
          <w:szCs w:val="20"/>
          <w14:ligatures w14:val="standardContextual"/>
        </w:rPr>
        <w:t>.</w:t>
      </w:r>
    </w:p>
    <w:p w14:paraId="5502D8B7" w14:textId="77777777" w:rsidR="007E58C7" w:rsidRPr="0080275C" w:rsidRDefault="007E58C7" w:rsidP="0080275C">
      <w:pPr>
        <w:rPr>
          <w:rFonts w:ascii="Arial" w:eastAsia="Calibri" w:hAnsi="Arial" w:cs="Arial"/>
          <w:sz w:val="20"/>
          <w:szCs w:val="20"/>
          <w14:ligatures w14:val="standardContextual"/>
        </w:rPr>
      </w:pPr>
    </w:p>
    <w:p w14:paraId="01CA2EFE" w14:textId="08A6BAE2" w:rsidR="00445A3B" w:rsidRDefault="00445A3B" w:rsidP="00CA494E">
      <w:pPr>
        <w:pStyle w:val="ListParagraph"/>
        <w:numPr>
          <w:ilvl w:val="0"/>
          <w:numId w:val="28"/>
        </w:numPr>
        <w:tabs>
          <w:tab w:val="left" w:pos="0"/>
          <w:tab w:val="left" w:pos="426"/>
        </w:tabs>
        <w:ind w:left="0" w:firstLine="0"/>
        <w:jc w:val="both"/>
        <w:rPr>
          <w:rFonts w:ascii="Arial" w:eastAsia="Calibri" w:hAnsi="Arial" w:cs="Arial"/>
          <w:sz w:val="20"/>
          <w:szCs w:val="20"/>
          <w14:ligatures w14:val="standardContextual"/>
        </w:rPr>
      </w:pPr>
      <w:r w:rsidRPr="00070A0C">
        <w:rPr>
          <w:rFonts w:ascii="Arial" w:eastAsia="Calibri" w:hAnsi="Arial" w:cs="Arial"/>
          <w:sz w:val="20"/>
          <w:szCs w:val="20"/>
          <w14:ligatures w14:val="standardContextual"/>
        </w:rPr>
        <w:t>The European Court of Human Rights has dealt with various applications concerning local and regional authorities.</w:t>
      </w:r>
      <w:r w:rsidRPr="00070A0C">
        <w:rPr>
          <w:rStyle w:val="FootnoteReference"/>
          <w:rFonts w:ascii="Arial" w:hAnsi="Arial" w:cs="Arial"/>
          <w:sz w:val="22"/>
          <w:szCs w:val="22"/>
          <w:shd w:val="clear" w:color="auto" w:fill="FFFFFF"/>
          <w:lang w:val="en-US"/>
        </w:rPr>
        <w:footnoteReference w:id="59"/>
      </w:r>
      <w:r w:rsidRPr="00070A0C">
        <w:rPr>
          <w:rFonts w:ascii="Arial" w:eastAsia="Calibri" w:hAnsi="Arial" w:cs="Arial"/>
          <w:sz w:val="20"/>
          <w:szCs w:val="20"/>
          <w14:ligatures w14:val="standardContextual"/>
        </w:rPr>
        <w:t xml:space="preserve"> The Court has considered that </w:t>
      </w:r>
      <w:r w:rsidR="00895BEF">
        <w:rPr>
          <w:rFonts w:ascii="Arial" w:eastAsia="Calibri" w:hAnsi="Arial" w:cs="Arial"/>
          <w:sz w:val="20"/>
          <w:szCs w:val="20"/>
          <w14:ligatures w14:val="standardContextual"/>
        </w:rPr>
        <w:t>“</w:t>
      </w:r>
      <w:r w:rsidRPr="00070A0C">
        <w:rPr>
          <w:rFonts w:ascii="Arial" w:eastAsia="Calibri" w:hAnsi="Arial" w:cs="Arial"/>
          <w:sz w:val="20"/>
          <w:szCs w:val="20"/>
          <w14:ligatures w14:val="standardContextual"/>
        </w:rPr>
        <w:t xml:space="preserve">The authorities of a territorial entity of the State are public-law institutions which perform the functions assigned to them by the Constitution and the law. In that connection, the Court reiterates that in international law the expression </w:t>
      </w:r>
      <w:r w:rsidR="0052021F">
        <w:rPr>
          <w:rFonts w:ascii="Arial" w:eastAsia="Calibri" w:hAnsi="Arial" w:cs="Arial"/>
          <w:sz w:val="20"/>
          <w:szCs w:val="20"/>
          <w14:ligatures w14:val="standardContextual"/>
        </w:rPr>
        <w:t>‘</w:t>
      </w:r>
      <w:r w:rsidRPr="00070A0C">
        <w:rPr>
          <w:rFonts w:ascii="Arial" w:eastAsia="Calibri" w:hAnsi="Arial" w:cs="Arial"/>
          <w:sz w:val="20"/>
          <w:szCs w:val="20"/>
          <w14:ligatures w14:val="standardContextual"/>
        </w:rPr>
        <w:t>governmental organisation</w:t>
      </w:r>
      <w:r w:rsidR="0052021F">
        <w:rPr>
          <w:rFonts w:ascii="Arial" w:eastAsia="Calibri" w:hAnsi="Arial" w:cs="Arial"/>
          <w:sz w:val="20"/>
          <w:szCs w:val="20"/>
          <w14:ligatures w14:val="standardContextual"/>
        </w:rPr>
        <w:t>’</w:t>
      </w:r>
      <w:r w:rsidR="00895BEF" w:rsidRPr="00070A0C">
        <w:rPr>
          <w:rFonts w:ascii="Arial" w:eastAsia="Calibri" w:hAnsi="Arial" w:cs="Arial"/>
          <w:sz w:val="20"/>
          <w:szCs w:val="20"/>
          <w14:ligatures w14:val="standardContextual"/>
        </w:rPr>
        <w:t xml:space="preserve"> </w:t>
      </w:r>
      <w:r w:rsidRPr="00070A0C">
        <w:rPr>
          <w:rFonts w:ascii="Arial" w:eastAsia="Calibri" w:hAnsi="Arial" w:cs="Arial"/>
          <w:sz w:val="20"/>
          <w:szCs w:val="20"/>
          <w14:ligatures w14:val="standardContextual"/>
        </w:rPr>
        <w:t xml:space="preserve">cannot be held to refer </w:t>
      </w:r>
      <w:r w:rsidRPr="00C66E1B">
        <w:rPr>
          <w:rFonts w:ascii="Arial" w:eastAsia="Calibri" w:hAnsi="Arial" w:cs="Arial"/>
          <w:sz w:val="20"/>
          <w:szCs w:val="20"/>
          <w14:ligatures w14:val="standardContextual"/>
        </w:rPr>
        <w:t>only to the government or the central organs of the State. Where powers are distributed along decentralised lines, it refers to any national authority exercising public functions</w:t>
      </w:r>
      <w:r w:rsidR="00895BEF">
        <w:rPr>
          <w:rFonts w:ascii="Arial" w:eastAsia="Calibri" w:hAnsi="Arial" w:cs="Arial"/>
          <w:sz w:val="20"/>
          <w:szCs w:val="20"/>
          <w14:ligatures w14:val="standardContextual"/>
        </w:rPr>
        <w:t>”</w:t>
      </w:r>
      <w:r>
        <w:rPr>
          <w:rFonts w:ascii="Arial" w:eastAsia="Calibri" w:hAnsi="Arial" w:cs="Arial"/>
          <w:sz w:val="20"/>
          <w:szCs w:val="20"/>
          <w14:ligatures w14:val="standardContextual"/>
        </w:rPr>
        <w:t>.</w:t>
      </w:r>
      <w:r w:rsidRPr="00E81208">
        <w:rPr>
          <w:rStyle w:val="FootnoteReference"/>
          <w:rFonts w:ascii="Arial" w:hAnsi="Arial" w:cs="Arial"/>
          <w:sz w:val="22"/>
          <w:szCs w:val="22"/>
          <w:lang w:val="en-US" w:eastAsia="it-IT"/>
        </w:rPr>
        <w:footnoteReference w:id="60"/>
      </w:r>
    </w:p>
    <w:p w14:paraId="4479854A" w14:textId="77777777" w:rsidR="00445A3B" w:rsidRPr="0080275C" w:rsidRDefault="00445A3B" w:rsidP="0080275C">
      <w:pPr>
        <w:jc w:val="both"/>
        <w:rPr>
          <w:rFonts w:ascii="Arial" w:eastAsia="Calibri" w:hAnsi="Arial" w:cs="Arial"/>
          <w:sz w:val="20"/>
          <w:szCs w:val="20"/>
          <w14:ligatures w14:val="standardContextual"/>
        </w:rPr>
      </w:pPr>
    </w:p>
    <w:p w14:paraId="04FB3883" w14:textId="4393694B" w:rsidR="00445A3B" w:rsidRDefault="00445A3B" w:rsidP="00CA494E">
      <w:pPr>
        <w:pStyle w:val="ListParagraph"/>
        <w:numPr>
          <w:ilvl w:val="0"/>
          <w:numId w:val="28"/>
        </w:numPr>
        <w:tabs>
          <w:tab w:val="left" w:pos="0"/>
          <w:tab w:val="left" w:pos="426"/>
        </w:tabs>
        <w:ind w:left="0" w:firstLine="0"/>
        <w:jc w:val="both"/>
        <w:rPr>
          <w:rFonts w:ascii="Arial" w:eastAsia="Calibri" w:hAnsi="Arial" w:cs="Arial"/>
          <w:sz w:val="20"/>
          <w:szCs w:val="20"/>
          <w14:ligatures w14:val="standardContextual"/>
        </w:rPr>
      </w:pPr>
      <w:r w:rsidRPr="00C66E1B">
        <w:rPr>
          <w:rFonts w:ascii="Arial" w:eastAsia="Calibri" w:hAnsi="Arial" w:cs="Arial"/>
          <w:sz w:val="20"/>
          <w:szCs w:val="20"/>
          <w14:ligatures w14:val="standardContextual"/>
        </w:rPr>
        <w:t xml:space="preserve">In all </w:t>
      </w:r>
      <w:r w:rsidR="000535ED">
        <w:rPr>
          <w:rFonts w:ascii="Arial" w:eastAsia="Calibri" w:hAnsi="Arial" w:cs="Arial"/>
          <w:sz w:val="20"/>
          <w:szCs w:val="20"/>
          <w14:ligatures w14:val="standardContextual"/>
        </w:rPr>
        <w:t>such</w:t>
      </w:r>
      <w:r w:rsidRPr="00C66E1B">
        <w:rPr>
          <w:rFonts w:ascii="Arial" w:eastAsia="Calibri" w:hAnsi="Arial" w:cs="Arial"/>
          <w:sz w:val="20"/>
          <w:szCs w:val="20"/>
          <w14:ligatures w14:val="standardContextual"/>
        </w:rPr>
        <w:t xml:space="preserve"> cases</w:t>
      </w:r>
      <w:r w:rsidR="00895BEF">
        <w:rPr>
          <w:rFonts w:ascii="Arial" w:eastAsia="Calibri" w:hAnsi="Arial" w:cs="Arial"/>
          <w:sz w:val="20"/>
          <w:szCs w:val="20"/>
          <w14:ligatures w14:val="standardContextual"/>
        </w:rPr>
        <w:t>,</w:t>
      </w:r>
      <w:r w:rsidRPr="00C66E1B">
        <w:rPr>
          <w:rFonts w:ascii="Arial" w:eastAsia="Calibri" w:hAnsi="Arial" w:cs="Arial"/>
          <w:sz w:val="20"/>
          <w:szCs w:val="20"/>
          <w14:ligatures w14:val="standardContextual"/>
        </w:rPr>
        <w:t xml:space="preserve"> the execution of the judgments of the </w:t>
      </w:r>
      <w:r w:rsidR="00895BEF" w:rsidRPr="00895BEF">
        <w:rPr>
          <w:rFonts w:ascii="Arial" w:eastAsia="Calibri" w:hAnsi="Arial" w:cs="Arial"/>
          <w:sz w:val="20"/>
          <w:szCs w:val="20"/>
          <w14:ligatures w14:val="standardContextual"/>
        </w:rPr>
        <w:t>European Court of Human Rights</w:t>
      </w:r>
      <w:r w:rsidRPr="00C66E1B">
        <w:rPr>
          <w:rFonts w:ascii="Arial" w:eastAsia="Calibri" w:hAnsi="Arial" w:cs="Arial"/>
          <w:sz w:val="20"/>
          <w:szCs w:val="20"/>
          <w14:ligatures w14:val="standardContextual"/>
        </w:rPr>
        <w:t xml:space="preserve"> at national level ultimately</w:t>
      </w:r>
      <w:r w:rsidR="00895BEF">
        <w:rPr>
          <w:rFonts w:ascii="Arial" w:eastAsia="Calibri" w:hAnsi="Arial" w:cs="Arial"/>
          <w:sz w:val="20"/>
          <w:szCs w:val="20"/>
          <w14:ligatures w14:val="standardContextual"/>
        </w:rPr>
        <w:t xml:space="preserve"> </w:t>
      </w:r>
      <w:r w:rsidR="00895BEF" w:rsidRPr="00C66E1B">
        <w:rPr>
          <w:rFonts w:ascii="Arial" w:eastAsia="Calibri" w:hAnsi="Arial" w:cs="Arial"/>
          <w:sz w:val="20"/>
          <w:szCs w:val="20"/>
          <w14:ligatures w14:val="standardContextual"/>
        </w:rPr>
        <w:t>depends</w:t>
      </w:r>
      <w:r w:rsidRPr="00C66E1B">
        <w:rPr>
          <w:rFonts w:ascii="Arial" w:eastAsia="Calibri" w:hAnsi="Arial" w:cs="Arial"/>
          <w:sz w:val="20"/>
          <w:szCs w:val="20"/>
          <w14:ligatures w14:val="standardContextual"/>
        </w:rPr>
        <w:t xml:space="preserve"> on local authorities and on their co</w:t>
      </w:r>
      <w:r w:rsidR="000535ED">
        <w:rPr>
          <w:rFonts w:ascii="Arial" w:eastAsia="Calibri" w:hAnsi="Arial" w:cs="Arial"/>
          <w:sz w:val="20"/>
          <w:szCs w:val="20"/>
          <w14:ligatures w14:val="standardContextual"/>
        </w:rPr>
        <w:t>-</w:t>
      </w:r>
      <w:r w:rsidRPr="00C66E1B">
        <w:rPr>
          <w:rFonts w:ascii="Arial" w:eastAsia="Calibri" w:hAnsi="Arial" w:cs="Arial"/>
          <w:sz w:val="20"/>
          <w:szCs w:val="20"/>
          <w14:ligatures w14:val="standardContextual"/>
        </w:rPr>
        <w:t xml:space="preserve">operation with </w:t>
      </w:r>
      <w:r w:rsidR="00895BEF">
        <w:rPr>
          <w:rFonts w:ascii="Arial" w:eastAsia="Calibri" w:hAnsi="Arial" w:cs="Arial"/>
          <w:sz w:val="20"/>
          <w:szCs w:val="20"/>
          <w14:ligatures w14:val="standardContextual"/>
        </w:rPr>
        <w:t xml:space="preserve">the </w:t>
      </w:r>
      <w:r w:rsidRPr="00C66E1B">
        <w:rPr>
          <w:rFonts w:ascii="Arial" w:eastAsia="Calibri" w:hAnsi="Arial" w:cs="Arial"/>
          <w:sz w:val="20"/>
          <w:szCs w:val="20"/>
          <w14:ligatures w14:val="standardContextual"/>
        </w:rPr>
        <w:t xml:space="preserve">national government. This also implies that mechanisms provided at national level to comply with international obligations </w:t>
      </w:r>
      <w:r w:rsidR="00895BEF">
        <w:rPr>
          <w:rFonts w:ascii="Arial" w:eastAsia="Calibri" w:hAnsi="Arial" w:cs="Arial"/>
          <w:sz w:val="20"/>
          <w:szCs w:val="20"/>
          <w14:ligatures w14:val="standardContextual"/>
        </w:rPr>
        <w:t>may come into conflict</w:t>
      </w:r>
      <w:r w:rsidRPr="00C66E1B">
        <w:rPr>
          <w:rFonts w:ascii="Arial" w:eastAsia="Calibri" w:hAnsi="Arial" w:cs="Arial"/>
          <w:sz w:val="20"/>
          <w:szCs w:val="20"/>
          <w14:ligatures w14:val="standardContextual"/>
        </w:rPr>
        <w:t xml:space="preserve"> with local self-government.</w:t>
      </w:r>
    </w:p>
    <w:p w14:paraId="34B3AECA" w14:textId="77777777" w:rsidR="00445A3B" w:rsidRPr="0080275C" w:rsidRDefault="00445A3B" w:rsidP="0080275C">
      <w:pPr>
        <w:jc w:val="both"/>
        <w:rPr>
          <w:rFonts w:ascii="Arial" w:eastAsia="Calibri" w:hAnsi="Arial" w:cs="Arial"/>
          <w:sz w:val="20"/>
          <w:szCs w:val="20"/>
          <w14:ligatures w14:val="standardContextual"/>
        </w:rPr>
      </w:pPr>
    </w:p>
    <w:p w14:paraId="6C4553DF" w14:textId="6E1EB530" w:rsidR="00445A3B" w:rsidRPr="00352AB9" w:rsidRDefault="00445A3B" w:rsidP="00CA494E">
      <w:pPr>
        <w:pStyle w:val="ListParagraph"/>
        <w:numPr>
          <w:ilvl w:val="0"/>
          <w:numId w:val="28"/>
        </w:numPr>
        <w:tabs>
          <w:tab w:val="left" w:pos="0"/>
          <w:tab w:val="left" w:pos="426"/>
        </w:tabs>
        <w:ind w:left="0" w:firstLine="0"/>
        <w:jc w:val="both"/>
        <w:rPr>
          <w:rFonts w:ascii="Arial" w:eastAsia="Calibri" w:hAnsi="Arial" w:cs="Arial"/>
          <w:sz w:val="20"/>
          <w14:ligatures w14:val="standardContextual"/>
        </w:rPr>
      </w:pPr>
      <w:r w:rsidRPr="00C66E1B">
        <w:rPr>
          <w:rFonts w:ascii="Arial" w:eastAsia="Calibri" w:hAnsi="Arial" w:cs="Arial"/>
          <w:sz w:val="20"/>
          <w:szCs w:val="20"/>
          <w14:ligatures w14:val="standardContextual"/>
        </w:rPr>
        <w:t xml:space="preserve">The examples presented open a window on a larger subject that needs to be explored </w:t>
      </w:r>
      <w:r w:rsidR="00895BEF">
        <w:rPr>
          <w:rFonts w:ascii="Arial" w:eastAsia="Calibri" w:hAnsi="Arial" w:cs="Arial"/>
          <w:sz w:val="20"/>
          <w:szCs w:val="20"/>
          <w14:ligatures w14:val="standardContextual"/>
        </w:rPr>
        <w:t>in greater depth</w:t>
      </w:r>
      <w:r w:rsidRPr="00C66E1B">
        <w:rPr>
          <w:rFonts w:ascii="Arial" w:eastAsia="Calibri" w:hAnsi="Arial" w:cs="Arial"/>
          <w:sz w:val="20"/>
          <w:szCs w:val="20"/>
          <w14:ligatures w14:val="standardContextual"/>
        </w:rPr>
        <w:t xml:space="preserve">. Local authorities play an important role as actors and guarantors of the rule of law, as far as they </w:t>
      </w:r>
      <w:r w:rsidR="00370F48">
        <w:rPr>
          <w:rFonts w:ascii="Arial" w:eastAsia="Calibri" w:hAnsi="Arial" w:cs="Arial"/>
          <w:sz w:val="20"/>
          <w:szCs w:val="20"/>
          <w14:ligatures w14:val="standardContextual"/>
        </w:rPr>
        <w:t>are required to</w:t>
      </w:r>
      <w:r w:rsidRPr="00C66E1B">
        <w:rPr>
          <w:rFonts w:ascii="Arial" w:eastAsia="Calibri" w:hAnsi="Arial" w:cs="Arial"/>
          <w:sz w:val="20"/>
          <w:szCs w:val="20"/>
          <w14:ligatures w14:val="standardContextual"/>
        </w:rPr>
        <w:t xml:space="preserve"> execute case-law. This obligation </w:t>
      </w:r>
      <w:r w:rsidR="00370F48">
        <w:rPr>
          <w:rFonts w:ascii="Arial" w:eastAsia="Calibri" w:hAnsi="Arial" w:cs="Arial"/>
          <w:sz w:val="20"/>
          <w:szCs w:val="20"/>
          <w14:ligatures w14:val="standardContextual"/>
        </w:rPr>
        <w:t>demonstrates once</w:t>
      </w:r>
      <w:r w:rsidR="00370F48" w:rsidRPr="00C66E1B">
        <w:rPr>
          <w:rFonts w:ascii="Arial" w:eastAsia="Calibri" w:hAnsi="Arial" w:cs="Arial"/>
          <w:sz w:val="20"/>
          <w:szCs w:val="20"/>
          <w14:ligatures w14:val="standardContextual"/>
        </w:rPr>
        <w:t xml:space="preserve"> </w:t>
      </w:r>
      <w:r w:rsidRPr="00C66E1B">
        <w:rPr>
          <w:rFonts w:ascii="Arial" w:eastAsia="Calibri" w:hAnsi="Arial" w:cs="Arial"/>
          <w:sz w:val="20"/>
          <w:szCs w:val="20"/>
          <w14:ligatures w14:val="standardContextual"/>
        </w:rPr>
        <w:t xml:space="preserve">again </w:t>
      </w:r>
      <w:r w:rsidR="00370F48">
        <w:rPr>
          <w:rFonts w:ascii="Arial" w:eastAsia="Calibri" w:hAnsi="Arial" w:cs="Arial"/>
          <w:sz w:val="20"/>
          <w:szCs w:val="20"/>
          <w14:ligatures w14:val="standardContextual"/>
        </w:rPr>
        <w:t>the</w:t>
      </w:r>
      <w:r w:rsidRPr="00C66E1B">
        <w:rPr>
          <w:rFonts w:ascii="Arial" w:eastAsia="Calibri" w:hAnsi="Arial" w:cs="Arial"/>
          <w:sz w:val="20"/>
          <w:szCs w:val="20"/>
          <w14:ligatures w14:val="standardContextual"/>
        </w:rPr>
        <w:t xml:space="preserve"> extent </w:t>
      </w:r>
      <w:r w:rsidR="00370F48">
        <w:rPr>
          <w:rFonts w:ascii="Arial" w:eastAsia="Calibri" w:hAnsi="Arial" w:cs="Arial"/>
          <w:sz w:val="20"/>
          <w:szCs w:val="20"/>
          <w14:ligatures w14:val="standardContextual"/>
        </w:rPr>
        <w:t xml:space="preserve">to which </w:t>
      </w:r>
      <w:r w:rsidRPr="00C66E1B">
        <w:rPr>
          <w:rFonts w:ascii="Arial" w:eastAsia="Calibri" w:hAnsi="Arial" w:cs="Arial"/>
          <w:sz w:val="20"/>
          <w:szCs w:val="20"/>
          <w14:ligatures w14:val="standardContextual"/>
        </w:rPr>
        <w:t>democracy, human rights and rule of law are intertwined.</w:t>
      </w:r>
    </w:p>
    <w:p w14:paraId="2BE6B65F" w14:textId="79BA4C5D" w:rsidR="008A2F59" w:rsidRPr="000535ED" w:rsidRDefault="008A2F59" w:rsidP="00B84119">
      <w:pPr>
        <w:pStyle w:val="Heading2"/>
        <w:numPr>
          <w:ilvl w:val="0"/>
          <w:numId w:val="30"/>
        </w:numPr>
        <w:tabs>
          <w:tab w:val="left" w:pos="284"/>
        </w:tabs>
        <w:ind w:left="0" w:firstLine="0"/>
        <w:rPr>
          <w:rFonts w:ascii="Arial" w:eastAsia="Calibri" w:hAnsi="Arial" w:cs="Arial"/>
          <w:sz w:val="20"/>
          <w:szCs w:val="20"/>
        </w:rPr>
      </w:pPr>
      <w:bookmarkStart w:id="61" w:name="_Toc158375256"/>
      <w:r w:rsidRPr="000535ED">
        <w:rPr>
          <w:rFonts w:ascii="Arial" w:eastAsia="Calibri" w:hAnsi="Arial" w:cs="Arial"/>
          <w:color w:val="auto"/>
          <w:sz w:val="20"/>
          <w:szCs w:val="20"/>
        </w:rPr>
        <w:t>Local authorities as authorities “ruled by law”</w:t>
      </w:r>
      <w:bookmarkEnd w:id="61"/>
      <w:r w:rsidRPr="000535ED">
        <w:rPr>
          <w:rFonts w:ascii="Arial" w:eastAsia="Calibri" w:hAnsi="Arial" w:cs="Arial"/>
          <w:color w:val="auto"/>
          <w:sz w:val="20"/>
          <w:szCs w:val="20"/>
        </w:rPr>
        <w:t xml:space="preserve"> </w:t>
      </w:r>
    </w:p>
    <w:p w14:paraId="7FA2325E" w14:textId="77777777" w:rsidR="00070A0C" w:rsidRPr="00070A0C" w:rsidRDefault="00070A0C" w:rsidP="00070A0C">
      <w:pPr>
        <w:rPr>
          <w:rFonts w:eastAsia="Calibri"/>
          <w:lang w:eastAsia="fr-FR" w:bidi="fr-FR"/>
        </w:rPr>
      </w:pPr>
    </w:p>
    <w:p w14:paraId="3B534FC3" w14:textId="4A5D5E8E" w:rsidR="00441753" w:rsidRPr="00070A0C" w:rsidRDefault="00881D8E"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070A0C">
        <w:rPr>
          <w:rFonts w:ascii="Arial" w:eastAsia="Calibri" w:hAnsi="Arial" w:cs="Arial"/>
          <w:sz w:val="20"/>
          <w:szCs w:val="20"/>
          <w14:ligatures w14:val="standardContextual"/>
        </w:rPr>
        <w:t xml:space="preserve">The relationship between local self-government and the rule of law implies </w:t>
      </w:r>
      <w:r w:rsidR="000535ED">
        <w:rPr>
          <w:rFonts w:ascii="Arial" w:eastAsia="Calibri" w:hAnsi="Arial" w:cs="Arial"/>
          <w:sz w:val="20"/>
          <w:szCs w:val="20"/>
          <w14:ligatures w14:val="standardContextual"/>
        </w:rPr>
        <w:t>a</w:t>
      </w:r>
      <w:r w:rsidRPr="00070A0C">
        <w:rPr>
          <w:rFonts w:ascii="Arial" w:eastAsia="Calibri" w:hAnsi="Arial" w:cs="Arial"/>
          <w:sz w:val="20"/>
          <w:szCs w:val="20"/>
          <w14:ligatures w14:val="standardContextual"/>
        </w:rPr>
        <w:t xml:space="preserve"> second aspect: local self-government in itself, as </w:t>
      </w:r>
      <w:r w:rsidR="00370F48">
        <w:rPr>
          <w:rFonts w:ascii="Arial" w:eastAsia="Calibri" w:hAnsi="Arial" w:cs="Arial"/>
          <w:sz w:val="20"/>
          <w:szCs w:val="20"/>
          <w14:ligatures w14:val="standardContextual"/>
        </w:rPr>
        <w:t>envisaged</w:t>
      </w:r>
      <w:r w:rsidR="00370F48" w:rsidRPr="00070A0C">
        <w:rPr>
          <w:rFonts w:ascii="Arial" w:eastAsia="Calibri" w:hAnsi="Arial" w:cs="Arial"/>
          <w:sz w:val="20"/>
          <w:szCs w:val="20"/>
          <w14:ligatures w14:val="standardContextual"/>
        </w:rPr>
        <w:t xml:space="preserve"> </w:t>
      </w:r>
      <w:r w:rsidRPr="00070A0C">
        <w:rPr>
          <w:rFonts w:ascii="Arial" w:eastAsia="Calibri" w:hAnsi="Arial" w:cs="Arial"/>
          <w:sz w:val="20"/>
          <w:szCs w:val="20"/>
          <w14:ligatures w14:val="standardContextual"/>
        </w:rPr>
        <w:t xml:space="preserve">by the Charter, is part of the </w:t>
      </w:r>
      <w:r w:rsidR="000535ED">
        <w:rPr>
          <w:rFonts w:ascii="Arial" w:eastAsia="Calibri" w:hAnsi="Arial" w:cs="Arial"/>
          <w:sz w:val="20"/>
          <w:szCs w:val="20"/>
          <w14:ligatures w14:val="standardContextual"/>
        </w:rPr>
        <w:t xml:space="preserve">system of </w:t>
      </w:r>
      <w:r w:rsidRPr="00070A0C">
        <w:rPr>
          <w:rFonts w:ascii="Arial" w:eastAsia="Calibri" w:hAnsi="Arial" w:cs="Arial"/>
          <w:sz w:val="20"/>
          <w:szCs w:val="20"/>
          <w14:ligatures w14:val="standardContextual"/>
        </w:rPr>
        <w:t xml:space="preserve">checks and balances and, </w:t>
      </w:r>
      <w:r w:rsidR="00370F48">
        <w:rPr>
          <w:rFonts w:ascii="Arial" w:eastAsia="Calibri" w:hAnsi="Arial" w:cs="Arial"/>
          <w:sz w:val="20"/>
          <w:szCs w:val="20"/>
          <w14:ligatures w14:val="standardContextual"/>
        </w:rPr>
        <w:t>ultimately</w:t>
      </w:r>
      <w:r w:rsidRPr="00070A0C">
        <w:rPr>
          <w:rFonts w:ascii="Arial" w:eastAsia="Calibri" w:hAnsi="Arial" w:cs="Arial"/>
          <w:sz w:val="20"/>
          <w:szCs w:val="20"/>
          <w14:ligatures w14:val="standardContextual"/>
        </w:rPr>
        <w:t xml:space="preserve">, of the </w:t>
      </w:r>
      <w:r w:rsidR="000535ED">
        <w:rPr>
          <w:rFonts w:ascii="Arial" w:eastAsia="Calibri" w:hAnsi="Arial" w:cs="Arial"/>
          <w:sz w:val="20"/>
          <w:szCs w:val="20"/>
          <w14:ligatures w14:val="standardContextual"/>
        </w:rPr>
        <w:t>constitutional system of rule of law</w:t>
      </w:r>
      <w:r w:rsidR="00441753" w:rsidRPr="00070A0C">
        <w:rPr>
          <w:rFonts w:ascii="Arial" w:eastAsia="Calibri" w:hAnsi="Arial" w:cs="Arial"/>
          <w:sz w:val="20"/>
          <w:szCs w:val="20"/>
          <w14:ligatures w14:val="standardContextual"/>
        </w:rPr>
        <w:t>.</w:t>
      </w:r>
      <w:r w:rsidR="00983273" w:rsidRPr="00070A0C">
        <w:rPr>
          <w:rFonts w:ascii="Arial" w:eastAsia="Calibri" w:hAnsi="Arial" w:cs="Arial"/>
          <w:sz w:val="20"/>
          <w:szCs w:val="20"/>
          <w14:ligatures w14:val="standardContextual"/>
        </w:rPr>
        <w:t xml:space="preserve"> Therefore, local self-government </w:t>
      </w:r>
      <w:r w:rsidR="00370F48">
        <w:rPr>
          <w:rFonts w:ascii="Arial" w:eastAsia="Calibri" w:hAnsi="Arial" w:cs="Arial"/>
          <w:sz w:val="20"/>
          <w:szCs w:val="20"/>
          <w14:ligatures w14:val="standardContextual"/>
        </w:rPr>
        <w:t xml:space="preserve">itself </w:t>
      </w:r>
      <w:r w:rsidR="00983273" w:rsidRPr="00070A0C">
        <w:rPr>
          <w:rFonts w:ascii="Arial" w:eastAsia="Calibri" w:hAnsi="Arial" w:cs="Arial"/>
          <w:sz w:val="20"/>
          <w:szCs w:val="20"/>
          <w14:ligatures w14:val="standardContextual"/>
        </w:rPr>
        <w:t>should be protected by law, or “ruled by law”</w:t>
      </w:r>
      <w:r w:rsidR="008424A6" w:rsidRPr="00070A0C">
        <w:rPr>
          <w:rFonts w:ascii="Arial" w:eastAsia="Calibri" w:hAnsi="Arial" w:cs="Arial"/>
          <w:sz w:val="20"/>
          <w:szCs w:val="20"/>
          <w14:ligatures w14:val="standardContextual"/>
        </w:rPr>
        <w:t>,</w:t>
      </w:r>
      <w:r w:rsidR="00370F48">
        <w:rPr>
          <w:rFonts w:ascii="Arial" w:eastAsia="Calibri" w:hAnsi="Arial" w:cs="Arial"/>
          <w:sz w:val="20"/>
          <w:szCs w:val="20"/>
          <w14:ligatures w14:val="standardContextual"/>
        </w:rPr>
        <w:t xml:space="preserve"> in order</w:t>
      </w:r>
      <w:r w:rsidR="008424A6" w:rsidRPr="00070A0C">
        <w:rPr>
          <w:rFonts w:ascii="Arial" w:eastAsia="Calibri" w:hAnsi="Arial" w:cs="Arial"/>
          <w:sz w:val="20"/>
          <w:szCs w:val="20"/>
          <w14:ligatures w14:val="standardContextual"/>
        </w:rPr>
        <w:t xml:space="preserve"> </w:t>
      </w:r>
      <w:r w:rsidR="0054500B" w:rsidRPr="00070A0C">
        <w:rPr>
          <w:rFonts w:ascii="Arial" w:eastAsia="Calibri" w:hAnsi="Arial" w:cs="Arial"/>
          <w:sz w:val="20"/>
          <w:szCs w:val="20"/>
          <w14:ligatures w14:val="standardContextual"/>
        </w:rPr>
        <w:t>to be</w:t>
      </w:r>
      <w:r w:rsidR="005E2961" w:rsidRPr="00070A0C">
        <w:rPr>
          <w:rFonts w:ascii="Arial" w:eastAsia="Calibri" w:hAnsi="Arial" w:cs="Arial"/>
          <w:sz w:val="20"/>
          <w:szCs w:val="20"/>
          <w14:ligatures w14:val="standardContextual"/>
        </w:rPr>
        <w:t xml:space="preserve"> able</w:t>
      </w:r>
      <w:r w:rsidR="00983273" w:rsidRPr="00070A0C">
        <w:rPr>
          <w:rFonts w:ascii="Arial" w:eastAsia="Calibri" w:hAnsi="Arial" w:cs="Arial"/>
          <w:sz w:val="20"/>
          <w:szCs w:val="20"/>
          <w14:ligatures w14:val="standardContextual"/>
        </w:rPr>
        <w:t xml:space="preserve"> </w:t>
      </w:r>
      <w:r w:rsidR="00396BE7" w:rsidRPr="00070A0C">
        <w:rPr>
          <w:rFonts w:ascii="Arial" w:eastAsia="Calibri" w:hAnsi="Arial" w:cs="Arial"/>
          <w:sz w:val="20"/>
          <w:szCs w:val="20"/>
          <w14:ligatures w14:val="standardContextual"/>
        </w:rPr>
        <w:t xml:space="preserve">to </w:t>
      </w:r>
      <w:r w:rsidR="00983273" w:rsidRPr="00070A0C">
        <w:rPr>
          <w:rFonts w:ascii="Arial" w:eastAsia="Calibri" w:hAnsi="Arial" w:cs="Arial"/>
          <w:sz w:val="20"/>
          <w:szCs w:val="20"/>
          <w14:ligatures w14:val="standardContextual"/>
        </w:rPr>
        <w:t>fulfil</w:t>
      </w:r>
      <w:r w:rsidR="0054500B" w:rsidRPr="00070A0C">
        <w:rPr>
          <w:rFonts w:ascii="Arial" w:eastAsia="Calibri" w:hAnsi="Arial" w:cs="Arial"/>
          <w:sz w:val="20"/>
          <w:szCs w:val="20"/>
          <w14:ligatures w14:val="standardContextual"/>
        </w:rPr>
        <w:t xml:space="preserve">, </w:t>
      </w:r>
      <w:r w:rsidR="0054500B" w:rsidRPr="00070A0C">
        <w:rPr>
          <w:rFonts w:ascii="Arial" w:eastAsia="Calibri" w:hAnsi="Arial" w:cs="Arial"/>
          <w:i/>
          <w:iCs/>
          <w:sz w:val="20"/>
          <w:szCs w:val="20"/>
          <w14:ligatures w14:val="standardContextual"/>
        </w:rPr>
        <w:t>inter alia</w:t>
      </w:r>
      <w:r w:rsidR="0054500B" w:rsidRPr="00070A0C">
        <w:rPr>
          <w:rFonts w:ascii="Arial" w:eastAsia="Calibri" w:hAnsi="Arial" w:cs="Arial"/>
          <w:sz w:val="20"/>
          <w:szCs w:val="20"/>
          <w14:ligatures w14:val="standardContextual"/>
        </w:rPr>
        <w:t xml:space="preserve">, </w:t>
      </w:r>
      <w:r w:rsidR="00FB7EF1" w:rsidRPr="00070A0C">
        <w:rPr>
          <w:rFonts w:ascii="Arial" w:eastAsia="Calibri" w:hAnsi="Arial" w:cs="Arial"/>
          <w:sz w:val="20"/>
          <w:szCs w:val="20"/>
          <w14:ligatures w14:val="standardContextual"/>
        </w:rPr>
        <w:t>its</w:t>
      </w:r>
      <w:r w:rsidR="00983273" w:rsidRPr="00070A0C">
        <w:rPr>
          <w:rFonts w:ascii="Arial" w:eastAsia="Calibri" w:hAnsi="Arial" w:cs="Arial"/>
          <w:sz w:val="20"/>
          <w:szCs w:val="20"/>
          <w14:ligatures w14:val="standardContextual"/>
        </w:rPr>
        <w:t xml:space="preserve"> </w:t>
      </w:r>
      <w:r w:rsidR="0054500B" w:rsidRPr="00070A0C">
        <w:rPr>
          <w:rFonts w:ascii="Arial" w:eastAsia="Calibri" w:hAnsi="Arial" w:cs="Arial"/>
          <w:sz w:val="20"/>
          <w:szCs w:val="20"/>
          <w14:ligatures w14:val="standardContextual"/>
        </w:rPr>
        <w:t xml:space="preserve">important </w:t>
      </w:r>
      <w:r w:rsidR="00983273" w:rsidRPr="00070A0C">
        <w:rPr>
          <w:rFonts w:ascii="Arial" w:eastAsia="Calibri" w:hAnsi="Arial" w:cs="Arial"/>
          <w:sz w:val="20"/>
          <w:szCs w:val="20"/>
          <w14:ligatures w14:val="standardContextual"/>
        </w:rPr>
        <w:t xml:space="preserve">function as </w:t>
      </w:r>
      <w:r w:rsidR="000535ED">
        <w:rPr>
          <w:rFonts w:ascii="Arial" w:eastAsia="Calibri" w:hAnsi="Arial" w:cs="Arial"/>
          <w:sz w:val="20"/>
          <w:szCs w:val="20"/>
          <w14:ligatures w14:val="standardContextual"/>
        </w:rPr>
        <w:t>a</w:t>
      </w:r>
      <w:r w:rsidR="00983273" w:rsidRPr="00070A0C">
        <w:rPr>
          <w:rFonts w:ascii="Arial" w:eastAsia="Calibri" w:hAnsi="Arial" w:cs="Arial"/>
          <w:sz w:val="20"/>
          <w:szCs w:val="20"/>
          <w14:ligatures w14:val="standardContextual"/>
        </w:rPr>
        <w:t xml:space="preserve"> guarantor of the rule of law in relation to citizens. </w:t>
      </w:r>
    </w:p>
    <w:p w14:paraId="7744D06A" w14:textId="77777777" w:rsidR="00441753" w:rsidRDefault="00441753" w:rsidP="00441753">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6F2BDEFC" w14:textId="0208AA92" w:rsidR="004109B2" w:rsidRPr="004109B2" w:rsidRDefault="004109B2"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Pr>
          <w:rFonts w:ascii="Arial" w:eastAsia="Calibri" w:hAnsi="Arial" w:cs="Arial"/>
          <w:color w:val="000000"/>
          <w:sz w:val="20"/>
          <w:szCs w:val="20"/>
          <w14:ligatures w14:val="standardContextual"/>
        </w:rPr>
        <w:t xml:space="preserve">In this respect, </w:t>
      </w:r>
      <w:r w:rsidR="00441753" w:rsidRPr="00441753">
        <w:rPr>
          <w:rFonts w:ascii="Arial" w:eastAsia="Calibri" w:hAnsi="Arial" w:cs="Arial"/>
          <w:color w:val="000000"/>
          <w:sz w:val="20"/>
          <w:szCs w:val="20"/>
          <w14:ligatures w14:val="standardContextual"/>
        </w:rPr>
        <w:t xml:space="preserve">by submitting the State authorities to the rule of law, </w:t>
      </w:r>
      <w:r w:rsidR="00370F48">
        <w:rPr>
          <w:rFonts w:ascii="Arial" w:eastAsia="Calibri" w:hAnsi="Arial" w:cs="Arial"/>
          <w:color w:val="000000"/>
          <w:sz w:val="20"/>
          <w:szCs w:val="20"/>
          <w14:ligatures w14:val="standardContextual"/>
        </w:rPr>
        <w:t>t</w:t>
      </w:r>
      <w:r w:rsidR="00370F48" w:rsidRPr="00441753">
        <w:rPr>
          <w:rFonts w:ascii="Arial" w:eastAsia="Calibri" w:hAnsi="Arial" w:cs="Arial"/>
          <w:color w:val="000000"/>
          <w:sz w:val="20"/>
          <w:szCs w:val="20"/>
          <w14:ligatures w14:val="standardContextual"/>
        </w:rPr>
        <w:t>he Charter</w:t>
      </w:r>
      <w:r w:rsidR="00370F48">
        <w:rPr>
          <w:rFonts w:ascii="Arial" w:eastAsia="Calibri" w:hAnsi="Arial" w:cs="Arial"/>
          <w:color w:val="000000"/>
          <w:sz w:val="20"/>
          <w:szCs w:val="20"/>
          <w14:ligatures w14:val="standardContextual"/>
        </w:rPr>
        <w:t xml:space="preserve"> </w:t>
      </w:r>
      <w:r>
        <w:rPr>
          <w:rFonts w:ascii="Arial" w:eastAsia="Calibri" w:hAnsi="Arial" w:cs="Arial"/>
          <w:color w:val="000000"/>
          <w:sz w:val="20"/>
          <w:szCs w:val="20"/>
          <w14:ligatures w14:val="standardContextual"/>
        </w:rPr>
        <w:t>acts as</w:t>
      </w:r>
      <w:r w:rsidR="00441753" w:rsidRPr="00441753">
        <w:rPr>
          <w:rFonts w:ascii="Arial" w:eastAsia="Calibri" w:hAnsi="Arial" w:cs="Arial"/>
          <w:color w:val="000000"/>
          <w:sz w:val="20"/>
          <w:szCs w:val="20"/>
          <w14:ligatures w14:val="standardContextual"/>
        </w:rPr>
        <w:t xml:space="preserve"> a</w:t>
      </w:r>
      <w:r w:rsidR="00370F48">
        <w:rPr>
          <w:rFonts w:ascii="Arial" w:eastAsia="Calibri" w:hAnsi="Arial" w:cs="Arial"/>
          <w:color w:val="000000"/>
          <w:sz w:val="20"/>
          <w:szCs w:val="20"/>
          <w14:ligatures w14:val="standardContextual"/>
        </w:rPr>
        <w:t>n instrument</w:t>
      </w:r>
      <w:r w:rsidR="00441753" w:rsidRPr="00441753">
        <w:rPr>
          <w:rFonts w:ascii="Arial" w:eastAsia="Calibri" w:hAnsi="Arial" w:cs="Arial"/>
          <w:color w:val="000000"/>
          <w:sz w:val="20"/>
          <w:szCs w:val="20"/>
          <w14:ligatures w14:val="standardContextual"/>
        </w:rPr>
        <w:t xml:space="preserve"> to </w:t>
      </w:r>
      <w:r>
        <w:rPr>
          <w:rFonts w:ascii="Arial" w:eastAsia="Calibri" w:hAnsi="Arial" w:cs="Arial"/>
          <w:color w:val="000000"/>
          <w:sz w:val="20"/>
          <w:szCs w:val="20"/>
          <w14:ligatures w14:val="standardContextual"/>
        </w:rPr>
        <w:t>en</w:t>
      </w:r>
      <w:r w:rsidR="00441753" w:rsidRPr="00441753">
        <w:rPr>
          <w:rFonts w:ascii="Arial" w:eastAsia="Calibri" w:hAnsi="Arial" w:cs="Arial"/>
          <w:color w:val="000000"/>
          <w:sz w:val="20"/>
          <w:szCs w:val="20"/>
          <w14:ligatures w14:val="standardContextual"/>
        </w:rPr>
        <w:t xml:space="preserve">sure legality and avoid arbitrariness in </w:t>
      </w:r>
      <w:r w:rsidR="00370F48">
        <w:rPr>
          <w:rFonts w:ascii="Arial" w:eastAsia="Calibri" w:hAnsi="Arial" w:cs="Arial"/>
          <w:color w:val="000000"/>
          <w:sz w:val="20"/>
          <w:szCs w:val="20"/>
          <w14:ligatures w14:val="standardContextual"/>
        </w:rPr>
        <w:t>relations</w:t>
      </w:r>
      <w:r w:rsidR="00441753" w:rsidRPr="00441753">
        <w:rPr>
          <w:rFonts w:ascii="Arial" w:eastAsia="Calibri" w:hAnsi="Arial" w:cs="Arial"/>
          <w:color w:val="000000"/>
          <w:sz w:val="20"/>
          <w:szCs w:val="20"/>
          <w14:ligatures w14:val="standardContextual"/>
        </w:rPr>
        <w:t xml:space="preserve"> between different levels of government.</w:t>
      </w:r>
    </w:p>
    <w:p w14:paraId="07C0313B" w14:textId="77777777" w:rsidR="004109B2" w:rsidRPr="004109B2" w:rsidRDefault="004109B2" w:rsidP="00EB3943">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2114B479" w14:textId="7B3FD24F" w:rsidR="00EB3943" w:rsidRPr="00EB3943" w:rsidRDefault="000535ED"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Pr>
          <w:rFonts w:ascii="Arial" w:eastAsia="Calibri" w:hAnsi="Arial" w:cs="Arial"/>
          <w:color w:val="000000"/>
          <w:sz w:val="20"/>
          <w:szCs w:val="20"/>
          <w14:ligatures w14:val="standardContextual"/>
        </w:rPr>
        <w:t>As</w:t>
      </w:r>
      <w:r w:rsidR="00EB3943" w:rsidRPr="00EB3943">
        <w:rPr>
          <w:rFonts w:ascii="Arial" w:eastAsia="Calibri" w:hAnsi="Arial" w:cs="Arial"/>
          <w:color w:val="000000"/>
          <w:sz w:val="20"/>
          <w:szCs w:val="20"/>
          <w14:ligatures w14:val="standardContextual"/>
        </w:rPr>
        <w:t xml:space="preserve"> expressed by the Venice Commission Rule of </w:t>
      </w:r>
      <w:r w:rsidR="00F6037D">
        <w:rPr>
          <w:rFonts w:ascii="Arial" w:eastAsia="Calibri" w:hAnsi="Arial" w:cs="Arial"/>
          <w:color w:val="000000"/>
          <w:sz w:val="20"/>
          <w:szCs w:val="20"/>
          <w14:ligatures w14:val="standardContextual"/>
        </w:rPr>
        <w:t>L</w:t>
      </w:r>
      <w:r w:rsidR="00EB3943" w:rsidRPr="00EB3943">
        <w:rPr>
          <w:rFonts w:ascii="Arial" w:eastAsia="Calibri" w:hAnsi="Arial" w:cs="Arial"/>
          <w:color w:val="000000"/>
          <w:sz w:val="20"/>
          <w:szCs w:val="20"/>
          <w14:ligatures w14:val="standardContextual"/>
        </w:rPr>
        <w:t>aw Checklist, “The distribution of powers among the different State institutions may also impact the context in which this checklist is considered</w:t>
      </w:r>
      <w:r w:rsidR="00D312FF">
        <w:rPr>
          <w:rFonts w:ascii="Arial" w:eastAsia="Calibri" w:hAnsi="Arial" w:cs="Arial"/>
          <w:color w:val="000000"/>
          <w:sz w:val="20"/>
          <w:szCs w:val="20"/>
          <w14:ligatures w14:val="standardContextual"/>
        </w:rPr>
        <w:t>.</w:t>
      </w:r>
      <w:r w:rsidR="00A4114B">
        <w:rPr>
          <w:rFonts w:ascii="Arial" w:eastAsia="Calibri" w:hAnsi="Arial" w:cs="Arial"/>
          <w:color w:val="000000"/>
          <w:sz w:val="20"/>
          <w:szCs w:val="20"/>
          <w14:ligatures w14:val="standardContextual"/>
        </w:rPr>
        <w:t xml:space="preserve"> </w:t>
      </w:r>
      <w:r w:rsidR="00D312FF">
        <w:rPr>
          <w:rFonts w:ascii="Arial" w:eastAsia="Calibri" w:hAnsi="Arial" w:cs="Arial"/>
          <w:color w:val="000000"/>
          <w:sz w:val="20"/>
          <w:szCs w:val="20"/>
          <w14:ligatures w14:val="standardContextual"/>
        </w:rPr>
        <w:t>I</w:t>
      </w:r>
      <w:r w:rsidR="00EB3943" w:rsidRPr="00EB3943">
        <w:rPr>
          <w:rFonts w:ascii="Arial" w:eastAsia="Calibri" w:hAnsi="Arial" w:cs="Arial"/>
          <w:color w:val="000000"/>
          <w:sz w:val="20"/>
          <w:szCs w:val="20"/>
          <w14:ligatures w14:val="standardContextual"/>
        </w:rPr>
        <w:t>t should be well-adjusted through a system of checks and balances. The exercise of legislative and executive power should be reviewable for its constitutionality and legality by an independent and impartial judiciary”</w:t>
      </w:r>
      <w:bookmarkStart w:id="62" w:name="_Hlk158374926"/>
      <w:r w:rsidR="00F6037D">
        <w:rPr>
          <w:rFonts w:ascii="Arial" w:eastAsia="Calibri" w:hAnsi="Arial" w:cs="Arial"/>
          <w:color w:val="000000"/>
          <w:sz w:val="20"/>
          <w:szCs w:val="20"/>
          <w14:ligatures w14:val="standardContextual"/>
        </w:rPr>
        <w:t>.</w:t>
      </w:r>
      <w:r w:rsidR="00EB3943" w:rsidRPr="0022274E">
        <w:rPr>
          <w:rFonts w:ascii="Arial" w:eastAsia="Calibri" w:hAnsi="Arial" w:cs="Arial"/>
          <w:color w:val="000000"/>
          <w:sz w:val="20"/>
          <w:szCs w:val="20"/>
          <w:vertAlign w:val="superscript"/>
          <w14:ligatures w14:val="standardContextual"/>
        </w:rPr>
        <w:footnoteReference w:id="61"/>
      </w:r>
      <w:bookmarkEnd w:id="62"/>
      <w:r w:rsidR="00EB3943" w:rsidRPr="00EB3943">
        <w:rPr>
          <w:rFonts w:ascii="Arial" w:eastAsia="Calibri" w:hAnsi="Arial" w:cs="Arial"/>
          <w:color w:val="000000"/>
          <w:sz w:val="20"/>
          <w:szCs w:val="20"/>
          <w14:ligatures w14:val="standardContextual"/>
        </w:rPr>
        <w:t xml:space="preserve"> </w:t>
      </w:r>
      <w:r w:rsidR="00F6037D">
        <w:rPr>
          <w:rFonts w:ascii="Arial" w:eastAsia="Calibri" w:hAnsi="Arial" w:cs="Arial"/>
          <w:color w:val="000000"/>
          <w:sz w:val="20"/>
          <w:szCs w:val="20"/>
          <w14:ligatures w14:val="standardContextual"/>
        </w:rPr>
        <w:t xml:space="preserve">This being so, </w:t>
      </w:r>
      <w:r w:rsidR="00EB3943" w:rsidRPr="00EB3943">
        <w:rPr>
          <w:rFonts w:ascii="Arial" w:eastAsia="Calibri" w:hAnsi="Arial" w:cs="Arial"/>
          <w:color w:val="000000"/>
          <w:sz w:val="20"/>
          <w:szCs w:val="20"/>
          <w14:ligatures w14:val="standardContextual"/>
        </w:rPr>
        <w:t>the exercise of legislative and executive powers must respect local self-government, as enshrined in the Charter, as part of the system of checks and balances which are essential to preserve a “genuine democracy”.</w:t>
      </w:r>
    </w:p>
    <w:p w14:paraId="751C10B4" w14:textId="77777777" w:rsidR="00EB3943" w:rsidRPr="00760626" w:rsidRDefault="00EB3943" w:rsidP="00EB3943">
      <w:pPr>
        <w:pStyle w:val="ListParagraph"/>
        <w:tabs>
          <w:tab w:val="left" w:pos="426"/>
        </w:tabs>
        <w:autoSpaceDE w:val="0"/>
        <w:autoSpaceDN w:val="0"/>
        <w:adjustRightInd w:val="0"/>
        <w:spacing w:after="160"/>
        <w:jc w:val="both"/>
        <w:rPr>
          <w:rFonts w:ascii="Arial" w:eastAsia="Calibri" w:hAnsi="Arial" w:cs="Arial"/>
          <w:kern w:val="2"/>
          <w:sz w:val="20"/>
          <w:szCs w:val="20"/>
          <w14:ligatures w14:val="standardContextual"/>
        </w:rPr>
      </w:pPr>
    </w:p>
    <w:p w14:paraId="01166B67" w14:textId="3DDD978A" w:rsidR="004109B2" w:rsidRPr="00EB3943" w:rsidRDefault="00F6037D"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Pr>
          <w:rFonts w:ascii="Arial" w:eastAsia="Calibri" w:hAnsi="Arial" w:cs="Arial"/>
          <w:color w:val="000000"/>
          <w:sz w:val="20"/>
          <w:szCs w:val="20"/>
          <w14:ligatures w14:val="standardContextual"/>
        </w:rPr>
        <w:t xml:space="preserve">Under </w:t>
      </w:r>
      <w:r w:rsidR="005808FC" w:rsidRPr="00EB3943">
        <w:rPr>
          <w:rFonts w:ascii="Arial" w:eastAsia="Calibri" w:hAnsi="Arial" w:cs="Arial"/>
          <w:color w:val="000000"/>
          <w:sz w:val="20"/>
          <w:szCs w:val="20"/>
          <w14:ligatures w14:val="standardContextual"/>
        </w:rPr>
        <w:t xml:space="preserve">the </w:t>
      </w:r>
      <w:r w:rsidR="00370F48">
        <w:rPr>
          <w:rFonts w:ascii="Arial" w:eastAsia="Calibri" w:hAnsi="Arial" w:cs="Arial"/>
          <w:color w:val="000000"/>
          <w:sz w:val="20"/>
          <w:szCs w:val="20"/>
          <w14:ligatures w14:val="standardContextual"/>
        </w:rPr>
        <w:t>subheading</w:t>
      </w:r>
      <w:r w:rsidR="005808FC" w:rsidRPr="00EB3943">
        <w:rPr>
          <w:rFonts w:ascii="Arial" w:eastAsia="Calibri" w:hAnsi="Arial" w:cs="Arial"/>
          <w:color w:val="000000"/>
          <w:sz w:val="20"/>
          <w:szCs w:val="20"/>
          <w14:ligatures w14:val="standardContextual"/>
        </w:rPr>
        <w:t xml:space="preserve"> “Legality, including a transparent, accountable and democratic process for enacting law”</w:t>
      </w:r>
      <w:r>
        <w:rPr>
          <w:rFonts w:ascii="Arial" w:eastAsia="Calibri" w:hAnsi="Arial" w:cs="Arial"/>
          <w:color w:val="000000"/>
          <w:sz w:val="20"/>
          <w:szCs w:val="20"/>
          <w14:ligatures w14:val="standardContextual"/>
        </w:rPr>
        <w:t xml:space="preserve">, the Venice Commission Checklist </w:t>
      </w:r>
      <w:r w:rsidR="004D34D7">
        <w:rPr>
          <w:rFonts w:ascii="Arial" w:eastAsia="Calibri" w:hAnsi="Arial" w:cs="Arial"/>
          <w:color w:val="000000"/>
          <w:sz w:val="20"/>
          <w:szCs w:val="20"/>
          <w14:ligatures w14:val="standardContextual"/>
        </w:rPr>
        <w:t>further</w:t>
      </w:r>
      <w:r w:rsidR="005808FC" w:rsidRPr="00EB3943">
        <w:rPr>
          <w:rFonts w:ascii="Arial" w:eastAsia="Calibri" w:hAnsi="Arial" w:cs="Arial"/>
          <w:color w:val="000000"/>
          <w:sz w:val="20"/>
          <w:szCs w:val="20"/>
          <w14:ligatures w14:val="standardContextual"/>
        </w:rPr>
        <w:t xml:space="preserve"> points out that “State action must be in accordance with and authorised by the law”</w:t>
      </w:r>
      <w:r>
        <w:rPr>
          <w:rFonts w:ascii="Arial" w:eastAsia="Calibri" w:hAnsi="Arial" w:cs="Arial"/>
          <w:color w:val="000000"/>
          <w:sz w:val="20"/>
          <w:szCs w:val="20"/>
          <w14:ligatures w14:val="standardContextual"/>
        </w:rPr>
        <w:t>.</w:t>
      </w:r>
      <w:r w:rsidR="005808FC" w:rsidRPr="0022274E">
        <w:rPr>
          <w:rStyle w:val="FootnoteReference"/>
          <w:rFonts w:ascii="Arial" w:hAnsi="Arial" w:cs="Arial"/>
          <w:sz w:val="20"/>
          <w:szCs w:val="20"/>
        </w:rPr>
        <w:footnoteReference w:id="62"/>
      </w:r>
      <w:r w:rsidR="005808FC" w:rsidRPr="00EB3943">
        <w:rPr>
          <w:rFonts w:ascii="Arial" w:eastAsia="Calibri" w:hAnsi="Arial" w:cs="Arial"/>
          <w:color w:val="000000"/>
          <w:sz w:val="20"/>
          <w:szCs w:val="20"/>
          <w14:ligatures w14:val="standardContextual"/>
        </w:rPr>
        <w:t xml:space="preserve"> Under the heading “Supremacy of law”, the Checklist asks</w:t>
      </w:r>
      <w:r>
        <w:rPr>
          <w:rFonts w:ascii="Arial" w:eastAsia="Calibri" w:hAnsi="Arial" w:cs="Arial"/>
          <w:color w:val="000000"/>
          <w:sz w:val="20"/>
          <w:szCs w:val="20"/>
          <w14:ligatures w14:val="standardContextual"/>
        </w:rPr>
        <w:t xml:space="preserve">: </w:t>
      </w:r>
      <w:r w:rsidR="005808FC" w:rsidRPr="00EB3943">
        <w:rPr>
          <w:rFonts w:ascii="Arial" w:eastAsia="Calibri" w:hAnsi="Arial" w:cs="Arial"/>
          <w:color w:val="000000"/>
          <w:sz w:val="20"/>
          <w:szCs w:val="20"/>
          <w14:ligatures w14:val="standardContextual"/>
        </w:rPr>
        <w:t>“Is effective judicial review of the conformity of the acts and decisions of the executive branch of government with the law available?”. It also considers that “</w:t>
      </w:r>
      <w:r w:rsidR="00370F48">
        <w:rPr>
          <w:rFonts w:ascii="Arial" w:eastAsia="Calibri" w:hAnsi="Arial" w:cs="Arial"/>
          <w:color w:val="000000"/>
          <w:sz w:val="20"/>
          <w:szCs w:val="20"/>
          <w14:ligatures w14:val="standardContextual"/>
        </w:rPr>
        <w:t>a</w:t>
      </w:r>
      <w:r w:rsidR="00370F48" w:rsidRPr="00EB3943">
        <w:rPr>
          <w:rFonts w:ascii="Arial" w:eastAsia="Calibri" w:hAnsi="Arial" w:cs="Arial"/>
          <w:color w:val="000000"/>
          <w:sz w:val="20"/>
          <w:szCs w:val="20"/>
          <w14:ligatures w14:val="standardContextual"/>
        </w:rPr>
        <w:t xml:space="preserve"> </w:t>
      </w:r>
      <w:r w:rsidR="005808FC" w:rsidRPr="00EB3943">
        <w:rPr>
          <w:rFonts w:ascii="Arial" w:eastAsia="Calibri" w:hAnsi="Arial" w:cs="Arial"/>
          <w:color w:val="000000"/>
          <w:sz w:val="20"/>
          <w:szCs w:val="20"/>
          <w14:ligatures w14:val="standardContextual"/>
        </w:rPr>
        <w:t>basic requirement of the rule of law is that the powers of the public authorities are defined by law”</w:t>
      </w:r>
      <w:r>
        <w:rPr>
          <w:rFonts w:ascii="Arial" w:eastAsia="Calibri" w:hAnsi="Arial" w:cs="Arial"/>
          <w:color w:val="000000"/>
          <w:sz w:val="20"/>
          <w:szCs w:val="20"/>
          <w14:ligatures w14:val="standardContextual"/>
        </w:rPr>
        <w:t>,</w:t>
      </w:r>
      <w:r w:rsidR="005808FC" w:rsidRPr="0022274E">
        <w:rPr>
          <w:rStyle w:val="FootnoteReference"/>
          <w:rFonts w:ascii="Arial" w:hAnsi="Arial" w:cs="Arial"/>
          <w:sz w:val="20"/>
          <w:szCs w:val="20"/>
        </w:rPr>
        <w:footnoteReference w:id="63"/>
      </w:r>
      <w:r>
        <w:rPr>
          <w:rFonts w:ascii="Arial" w:eastAsia="Calibri" w:hAnsi="Arial" w:cs="Arial"/>
          <w:color w:val="000000"/>
          <w:sz w:val="20"/>
          <w:szCs w:val="20"/>
          <w14:ligatures w14:val="standardContextual"/>
        </w:rPr>
        <w:t xml:space="preserve"> </w:t>
      </w:r>
      <w:r w:rsidR="005808FC" w:rsidRPr="00EB3943">
        <w:rPr>
          <w:rFonts w:ascii="Arial" w:eastAsia="Calibri" w:hAnsi="Arial" w:cs="Arial"/>
          <w:color w:val="000000"/>
          <w:sz w:val="20"/>
          <w:szCs w:val="20"/>
          <w14:ligatures w14:val="standardContextual"/>
        </w:rPr>
        <w:t>asking “Is the delineation of powers between different authorities clear?”</w:t>
      </w:r>
      <w:r w:rsidR="00CA77D9" w:rsidRPr="00EB3943">
        <w:rPr>
          <w:rFonts w:ascii="Arial" w:eastAsia="Calibri" w:hAnsi="Arial" w:cs="Arial"/>
          <w:color w:val="000000"/>
          <w:sz w:val="20"/>
          <w:szCs w:val="20"/>
          <w14:ligatures w14:val="standardContextual"/>
        </w:rPr>
        <w:t>.</w:t>
      </w:r>
    </w:p>
    <w:p w14:paraId="1E90EA67" w14:textId="77777777" w:rsidR="004109B2" w:rsidRPr="004109B2" w:rsidRDefault="004109B2" w:rsidP="00CA494E">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3CE9F0BE" w14:textId="461FD93D" w:rsidR="007E06F8" w:rsidRDefault="0052021F"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Pr>
          <w:rFonts w:ascii="Arial" w:eastAsia="Calibri" w:hAnsi="Arial" w:cs="Arial"/>
          <w:color w:val="000000"/>
          <w:sz w:val="20"/>
          <w:szCs w:val="20"/>
          <w14:ligatures w14:val="standardContextual"/>
        </w:rPr>
        <w:t>Within</w:t>
      </w:r>
      <w:r w:rsidR="007E06F8" w:rsidRPr="007E06F8">
        <w:rPr>
          <w:rFonts w:ascii="Arial" w:eastAsia="Calibri" w:hAnsi="Arial" w:cs="Arial"/>
          <w:color w:val="000000"/>
          <w:sz w:val="20"/>
          <w:szCs w:val="20"/>
          <w14:ligatures w14:val="standardContextual"/>
        </w:rPr>
        <w:t xml:space="preserve"> the Charter, this concept is developed </w:t>
      </w:r>
      <w:r w:rsidR="00370F48">
        <w:rPr>
          <w:rFonts w:ascii="Arial" w:eastAsia="Calibri" w:hAnsi="Arial" w:cs="Arial"/>
          <w:color w:val="000000"/>
          <w:sz w:val="20"/>
          <w:szCs w:val="20"/>
          <w14:ligatures w14:val="standardContextual"/>
        </w:rPr>
        <w:t>in</w:t>
      </w:r>
      <w:r w:rsidR="00370F48" w:rsidRPr="007E06F8">
        <w:rPr>
          <w:rFonts w:ascii="Arial" w:eastAsia="Calibri" w:hAnsi="Arial" w:cs="Arial"/>
          <w:color w:val="000000"/>
          <w:sz w:val="20"/>
          <w:szCs w:val="20"/>
          <w14:ligatures w14:val="standardContextual"/>
        </w:rPr>
        <w:t xml:space="preserve"> </w:t>
      </w:r>
      <w:r w:rsidR="007E06F8" w:rsidRPr="007E06F8">
        <w:rPr>
          <w:rFonts w:ascii="Arial" w:eastAsia="Calibri" w:hAnsi="Arial" w:cs="Arial"/>
          <w:color w:val="000000"/>
          <w:sz w:val="20"/>
          <w:szCs w:val="20"/>
          <w14:ligatures w14:val="standardContextual"/>
        </w:rPr>
        <w:t xml:space="preserve">several articles, </w:t>
      </w:r>
      <w:r w:rsidR="00370F48">
        <w:rPr>
          <w:rFonts w:ascii="Arial" w:eastAsia="Calibri" w:hAnsi="Arial" w:cs="Arial"/>
          <w:color w:val="000000"/>
          <w:sz w:val="20"/>
          <w:szCs w:val="20"/>
          <w14:ligatures w14:val="standardContextual"/>
        </w:rPr>
        <w:t>starting with</w:t>
      </w:r>
      <w:r w:rsidR="007E06F8" w:rsidRPr="007E06F8">
        <w:rPr>
          <w:rFonts w:ascii="Arial" w:eastAsia="Calibri" w:hAnsi="Arial" w:cs="Arial"/>
          <w:color w:val="000000"/>
          <w:sz w:val="20"/>
          <w:szCs w:val="20"/>
          <w14:ligatures w14:val="standardContextual"/>
        </w:rPr>
        <w:t xml:space="preserve"> Article 2, </w:t>
      </w:r>
      <w:r w:rsidR="00370F48">
        <w:rPr>
          <w:rFonts w:ascii="Arial" w:eastAsia="Calibri" w:hAnsi="Arial" w:cs="Arial"/>
          <w:color w:val="000000"/>
          <w:sz w:val="20"/>
          <w:szCs w:val="20"/>
          <w14:ligatures w14:val="standardContextual"/>
        </w:rPr>
        <w:t>which states that</w:t>
      </w:r>
      <w:r w:rsidR="007E06F8" w:rsidRPr="007E06F8">
        <w:rPr>
          <w:rFonts w:ascii="Arial" w:eastAsia="Calibri" w:hAnsi="Arial" w:cs="Arial"/>
          <w:color w:val="000000"/>
          <w:sz w:val="20"/>
          <w:szCs w:val="20"/>
          <w14:ligatures w14:val="standardContextual"/>
        </w:rPr>
        <w:t xml:space="preserve"> “</w:t>
      </w:r>
      <w:r w:rsidR="00370F48">
        <w:rPr>
          <w:rFonts w:ascii="Arial" w:eastAsia="Calibri" w:hAnsi="Arial" w:cs="Arial"/>
          <w:color w:val="000000"/>
          <w:sz w:val="20"/>
          <w:szCs w:val="20"/>
          <w14:ligatures w14:val="standardContextual"/>
        </w:rPr>
        <w:t>t</w:t>
      </w:r>
      <w:r w:rsidR="00370F48" w:rsidRPr="007E06F8">
        <w:rPr>
          <w:rFonts w:ascii="Arial" w:eastAsia="Calibri" w:hAnsi="Arial" w:cs="Arial"/>
          <w:color w:val="000000"/>
          <w:sz w:val="20"/>
          <w:szCs w:val="20"/>
          <w14:ligatures w14:val="standardContextual"/>
        </w:rPr>
        <w:t xml:space="preserve">he </w:t>
      </w:r>
      <w:r w:rsidR="007E06F8" w:rsidRPr="007E06F8">
        <w:rPr>
          <w:rFonts w:ascii="Arial" w:eastAsia="Calibri" w:hAnsi="Arial" w:cs="Arial"/>
          <w:color w:val="000000"/>
          <w:sz w:val="20"/>
          <w:szCs w:val="20"/>
          <w14:ligatures w14:val="standardContextual"/>
        </w:rPr>
        <w:t>principle of local self-government shall be recognised in domestic legislation, and where practicable in the constitution”. According to the Contemporary Commentary</w:t>
      </w:r>
      <w:r w:rsidR="00F6037D">
        <w:rPr>
          <w:rFonts w:ascii="Arial" w:eastAsia="Calibri" w:hAnsi="Arial" w:cs="Arial"/>
          <w:color w:val="000000"/>
          <w:sz w:val="20"/>
          <w:szCs w:val="20"/>
          <w14:ligatures w14:val="standardContextual"/>
        </w:rPr>
        <w:t>,</w:t>
      </w:r>
      <w:r w:rsidR="00C66E1B" w:rsidRPr="00EA6A10">
        <w:rPr>
          <w:rStyle w:val="FootnoteReference"/>
          <w:rFonts w:ascii="Arial" w:hAnsi="Arial" w:cs="Arial"/>
          <w:sz w:val="20"/>
          <w:szCs w:val="20"/>
        </w:rPr>
        <w:footnoteReference w:id="64"/>
      </w:r>
      <w:r w:rsidR="007E06F8" w:rsidRPr="007E06F8">
        <w:rPr>
          <w:rFonts w:ascii="Arial" w:eastAsia="Calibri" w:hAnsi="Arial" w:cs="Arial"/>
          <w:color w:val="000000"/>
          <w:sz w:val="20"/>
          <w:szCs w:val="20"/>
          <w14:ligatures w14:val="standardContextual"/>
        </w:rPr>
        <w:t xml:space="preserve"> the practical and operational consequences of such recognition can be fully understood in the light of Article 11, according to which “</w:t>
      </w:r>
      <w:r w:rsidR="00370F48">
        <w:rPr>
          <w:rFonts w:ascii="Arial" w:eastAsia="Calibri" w:hAnsi="Arial" w:cs="Arial"/>
          <w:color w:val="000000"/>
          <w:sz w:val="20"/>
          <w:szCs w:val="20"/>
          <w14:ligatures w14:val="standardContextual"/>
        </w:rPr>
        <w:t>l</w:t>
      </w:r>
      <w:r w:rsidR="007E06F8" w:rsidRPr="007E06F8">
        <w:rPr>
          <w:rFonts w:ascii="Arial" w:eastAsia="Calibri" w:hAnsi="Arial" w:cs="Arial"/>
          <w:color w:val="000000"/>
          <w:sz w:val="20"/>
          <w:szCs w:val="20"/>
          <w14:ligatures w14:val="standardContextual"/>
        </w:rPr>
        <w:t>ocal authorities shall have the right of recourse to a judicial remedy in order to secure free exercise of their powers and respect for such principles of local self-government as are enshrined in the constitution or domestic legislation”.</w:t>
      </w:r>
    </w:p>
    <w:p w14:paraId="3EFC745B" w14:textId="77777777" w:rsidR="0080275C" w:rsidRPr="0080275C" w:rsidRDefault="0080275C"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49182483" w14:textId="4F11AE9F" w:rsidR="007E06F8"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 xml:space="preserve">The titles of the two articles </w:t>
      </w:r>
      <w:r w:rsidR="00370F48">
        <w:rPr>
          <w:rFonts w:ascii="Arial" w:eastAsia="Calibri" w:hAnsi="Arial" w:cs="Arial"/>
          <w:color w:val="000000"/>
          <w:sz w:val="20"/>
          <w:szCs w:val="20"/>
          <w14:ligatures w14:val="standardContextual"/>
        </w:rPr>
        <w:t>indicate</w:t>
      </w:r>
      <w:r w:rsidRPr="007E06F8">
        <w:rPr>
          <w:rFonts w:ascii="Arial" w:eastAsia="Calibri" w:hAnsi="Arial" w:cs="Arial"/>
          <w:color w:val="000000"/>
          <w:sz w:val="20"/>
          <w:szCs w:val="20"/>
          <w14:ligatures w14:val="standardContextual"/>
        </w:rPr>
        <w:t xml:space="preserve"> their </w:t>
      </w:r>
      <w:r w:rsidR="00370F48">
        <w:rPr>
          <w:rFonts w:ascii="Arial" w:eastAsia="Calibri" w:hAnsi="Arial" w:cs="Arial"/>
          <w:color w:val="000000"/>
          <w:sz w:val="20"/>
          <w:szCs w:val="20"/>
          <w14:ligatures w14:val="standardContextual"/>
        </w:rPr>
        <w:t>connection</w:t>
      </w:r>
      <w:r w:rsidR="00370F48" w:rsidRPr="007E06F8">
        <w:rPr>
          <w:rFonts w:ascii="Arial" w:eastAsia="Calibri" w:hAnsi="Arial" w:cs="Arial"/>
          <w:color w:val="000000"/>
          <w:sz w:val="20"/>
          <w:szCs w:val="20"/>
          <w14:ligatures w14:val="standardContextual"/>
        </w:rPr>
        <w:t xml:space="preserve"> </w:t>
      </w:r>
      <w:r w:rsidR="00370F48">
        <w:rPr>
          <w:rFonts w:ascii="Arial" w:eastAsia="Calibri" w:hAnsi="Arial" w:cs="Arial"/>
          <w:color w:val="000000"/>
          <w:sz w:val="20"/>
          <w:szCs w:val="20"/>
          <w14:ligatures w14:val="standardContextual"/>
        </w:rPr>
        <w:t>with</w:t>
      </w:r>
      <w:r w:rsidR="00370F48" w:rsidRPr="007E06F8">
        <w:rPr>
          <w:rFonts w:ascii="Arial" w:eastAsia="Calibri" w:hAnsi="Arial" w:cs="Arial"/>
          <w:color w:val="000000"/>
          <w:sz w:val="20"/>
          <w:szCs w:val="20"/>
          <w14:ligatures w14:val="standardContextual"/>
        </w:rPr>
        <w:t xml:space="preserve"> </w:t>
      </w:r>
      <w:r w:rsidRPr="007E06F8">
        <w:rPr>
          <w:rFonts w:ascii="Arial" w:eastAsia="Calibri" w:hAnsi="Arial" w:cs="Arial"/>
          <w:color w:val="000000"/>
          <w:sz w:val="20"/>
          <w:szCs w:val="20"/>
          <w14:ligatures w14:val="standardContextual"/>
        </w:rPr>
        <w:t xml:space="preserve">the rule of law. </w:t>
      </w:r>
      <w:r w:rsidR="00370F48">
        <w:rPr>
          <w:rFonts w:ascii="Arial" w:eastAsia="Calibri" w:hAnsi="Arial" w:cs="Arial"/>
          <w:color w:val="000000"/>
          <w:sz w:val="20"/>
          <w:szCs w:val="20"/>
          <w14:ligatures w14:val="standardContextual"/>
        </w:rPr>
        <w:t xml:space="preserve">The title of </w:t>
      </w:r>
      <w:r w:rsidR="0052021F">
        <w:rPr>
          <w:rFonts w:ascii="Arial" w:eastAsia="Calibri" w:hAnsi="Arial" w:cs="Arial"/>
          <w:color w:val="000000"/>
          <w:sz w:val="20"/>
          <w:szCs w:val="20"/>
          <w14:ligatures w14:val="standardContextual"/>
        </w:rPr>
        <w:t>A</w:t>
      </w:r>
      <w:r w:rsidR="00370F48" w:rsidRPr="007E06F8">
        <w:rPr>
          <w:rFonts w:ascii="Arial" w:eastAsia="Calibri" w:hAnsi="Arial" w:cs="Arial"/>
          <w:color w:val="000000"/>
          <w:sz w:val="20"/>
          <w:szCs w:val="20"/>
          <w14:ligatures w14:val="standardContextual"/>
        </w:rPr>
        <w:t xml:space="preserve">rticle </w:t>
      </w:r>
      <w:r w:rsidRPr="007E06F8">
        <w:rPr>
          <w:rFonts w:ascii="Arial" w:eastAsia="Calibri" w:hAnsi="Arial" w:cs="Arial"/>
          <w:color w:val="000000"/>
          <w:sz w:val="20"/>
          <w:szCs w:val="20"/>
          <w14:ligatures w14:val="standardContextual"/>
        </w:rPr>
        <w:t>2 is “Constitutional and legal foundation for local self-government”. Article 11 is</w:t>
      </w:r>
      <w:r w:rsidR="00370F48">
        <w:rPr>
          <w:rFonts w:ascii="Arial" w:eastAsia="Calibri" w:hAnsi="Arial" w:cs="Arial"/>
          <w:color w:val="000000"/>
          <w:sz w:val="20"/>
          <w:szCs w:val="20"/>
          <w14:ligatures w14:val="standardContextual"/>
        </w:rPr>
        <w:t xml:space="preserve"> entitled</w:t>
      </w:r>
      <w:r w:rsidRPr="007E06F8">
        <w:rPr>
          <w:rFonts w:ascii="Arial" w:eastAsia="Calibri" w:hAnsi="Arial" w:cs="Arial"/>
          <w:color w:val="000000"/>
          <w:sz w:val="20"/>
          <w:szCs w:val="20"/>
          <w14:ligatures w14:val="standardContextual"/>
        </w:rPr>
        <w:t xml:space="preserve"> “Legal protection of local self-government”.</w:t>
      </w:r>
    </w:p>
    <w:p w14:paraId="21D803DC" w14:textId="77777777" w:rsidR="0080275C" w:rsidRPr="0080275C" w:rsidRDefault="0080275C"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4ACC2705" w14:textId="785662B5" w:rsidR="005622F5"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 xml:space="preserve">The Contemporary Commentary points out that </w:t>
      </w:r>
      <w:r w:rsidR="00370F48">
        <w:rPr>
          <w:rFonts w:ascii="Arial" w:eastAsia="Calibri" w:hAnsi="Arial" w:cs="Arial"/>
          <w:color w:val="000000"/>
          <w:sz w:val="20"/>
          <w:szCs w:val="20"/>
          <w14:ligatures w14:val="standardContextual"/>
        </w:rPr>
        <w:t>“</w:t>
      </w:r>
      <w:r w:rsidRPr="007E06F8">
        <w:rPr>
          <w:rFonts w:ascii="Arial" w:eastAsia="Calibri" w:hAnsi="Arial" w:cs="Arial"/>
          <w:color w:val="000000"/>
          <w:sz w:val="20"/>
          <w:szCs w:val="20"/>
          <w14:ligatures w14:val="standardContextual"/>
        </w:rPr>
        <w:t>Recourse to a judicial remedy” means access by a local authority to either a properly constituted court of law or an equivalent, independent, statutory body. This is therefore a crucial and instrumental device for ensuring that local autonomy is actually recognised and protected in a particular country. If this point is not recognised by national law, the domestic courts will in many cases not be able to ensure compliance with the principles of local self-government. If local autonomy is deprived of effective judicial safeguards, its substance and implementation will be largely left to the will or discretion of the political branches of government, i.e. the legislature and the executive, so this article may have significant repercussions in countries where intergovernmental disputes are considered to be beyond the jurisdiction of courts and should instead be resolved by the political branches of government</w:t>
      </w:r>
      <w:r w:rsidR="00370F48">
        <w:rPr>
          <w:rFonts w:ascii="Arial" w:eastAsia="Calibri" w:hAnsi="Arial" w:cs="Arial"/>
          <w:color w:val="000000"/>
          <w:sz w:val="20"/>
          <w:szCs w:val="20"/>
          <w14:ligatures w14:val="standardContextual"/>
        </w:rPr>
        <w:t>”</w:t>
      </w:r>
      <w:r w:rsidRPr="007E06F8">
        <w:rPr>
          <w:rFonts w:ascii="Arial" w:eastAsia="Calibri" w:hAnsi="Arial" w:cs="Arial"/>
          <w:color w:val="000000"/>
          <w:sz w:val="20"/>
          <w:szCs w:val="20"/>
          <w14:ligatures w14:val="standardContextual"/>
        </w:rPr>
        <w:t>.</w:t>
      </w:r>
      <w:r w:rsidR="007320E4" w:rsidRPr="007320E4">
        <w:rPr>
          <w:rStyle w:val="FootnoteReference"/>
          <w:sz w:val="22"/>
          <w:szCs w:val="22"/>
        </w:rPr>
        <w:t xml:space="preserve"> </w:t>
      </w:r>
      <w:r w:rsidR="007320E4" w:rsidRPr="00CA494E">
        <w:rPr>
          <w:rStyle w:val="FootnoteReference"/>
          <w:rFonts w:ascii="Arial" w:hAnsi="Arial" w:cs="Arial"/>
          <w:sz w:val="20"/>
          <w:szCs w:val="20"/>
        </w:rPr>
        <w:footnoteReference w:id="65"/>
      </w:r>
    </w:p>
    <w:p w14:paraId="35DEE8CC" w14:textId="77777777" w:rsidR="0080275C" w:rsidRPr="0080275C" w:rsidRDefault="0080275C"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047C5128" w14:textId="301543B7" w:rsidR="007E06F8"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Article 4 of the Charter represents the projection of the rule of law principle on the scope of local self-government.</w:t>
      </w:r>
    </w:p>
    <w:p w14:paraId="63472476" w14:textId="77777777" w:rsidR="0080275C" w:rsidRPr="0080275C" w:rsidRDefault="0080275C"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33005347" w14:textId="65CC568E" w:rsidR="007E06F8"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 xml:space="preserve">Paragraph 1 </w:t>
      </w:r>
      <w:r w:rsidR="00370F48">
        <w:rPr>
          <w:rFonts w:ascii="Arial" w:eastAsia="Calibri" w:hAnsi="Arial" w:cs="Arial"/>
          <w:color w:val="000000"/>
          <w:sz w:val="20"/>
          <w:szCs w:val="20"/>
          <w14:ligatures w14:val="standardContextual"/>
        </w:rPr>
        <w:t>states</w:t>
      </w:r>
      <w:r w:rsidR="00370F48" w:rsidRPr="007E06F8">
        <w:rPr>
          <w:rFonts w:ascii="Arial" w:eastAsia="Calibri" w:hAnsi="Arial" w:cs="Arial"/>
          <w:color w:val="000000"/>
          <w:sz w:val="20"/>
          <w:szCs w:val="20"/>
          <w14:ligatures w14:val="standardContextual"/>
        </w:rPr>
        <w:t xml:space="preserve"> </w:t>
      </w:r>
      <w:r w:rsidRPr="007E06F8">
        <w:rPr>
          <w:rFonts w:ascii="Arial" w:eastAsia="Calibri" w:hAnsi="Arial" w:cs="Arial"/>
          <w:color w:val="000000"/>
          <w:sz w:val="20"/>
          <w:szCs w:val="20"/>
          <w14:ligatures w14:val="standardContextual"/>
        </w:rPr>
        <w:t>that: “The basic powers and responsibilities of local authorities shall be prescribed by the constitution or by statute. However, this provision shall not prevent the attribution to local authorities of powers and responsibilities for specific purposes in accordance with the law”.</w:t>
      </w:r>
    </w:p>
    <w:p w14:paraId="172C3C74" w14:textId="77777777" w:rsidR="0080275C" w:rsidRPr="0080275C" w:rsidRDefault="0080275C"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2CEA998D" w14:textId="1D9C9CF1" w:rsidR="00370F48"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 xml:space="preserve">As pointed out by the Contemporary Commentary, “Article 4.1 requires clarity and legal certainty for the regulation of the “basic powers and responsibilities” of local government bodies. They should be prescribed by the constitution or by statute, so as to ensure predictability, permanence and protection for the benefit of local self-government. Therefore, the tasks of local authorities should not be assigned on an ad hoc basis and should be properly enshrined in written parliamentary legislation. Establishing </w:t>
      </w:r>
      <w:r w:rsidRPr="007E06F8">
        <w:rPr>
          <w:rFonts w:ascii="Arial" w:eastAsia="Calibri" w:hAnsi="Arial" w:cs="Arial"/>
          <w:color w:val="000000"/>
          <w:sz w:val="20"/>
          <w:szCs w:val="20"/>
          <w14:ligatures w14:val="standardContextual"/>
        </w:rPr>
        <w:lastRenderedPageBreak/>
        <w:t>local powers and competences by means of administrative regulation should be avoided and goes against the spirit of the Charter</w:t>
      </w:r>
      <w:r w:rsidR="0052021F">
        <w:rPr>
          <w:rFonts w:ascii="Arial" w:eastAsia="Calibri" w:hAnsi="Arial" w:cs="Arial"/>
          <w:color w:val="000000"/>
          <w:sz w:val="20"/>
          <w:szCs w:val="20"/>
          <w14:ligatures w14:val="standardContextual"/>
        </w:rPr>
        <w:t>.</w:t>
      </w:r>
      <w:r w:rsidR="0052021F" w:rsidRPr="007E06F8">
        <w:rPr>
          <w:rFonts w:ascii="Arial" w:eastAsia="Calibri" w:hAnsi="Arial" w:cs="Arial"/>
          <w:color w:val="000000"/>
          <w:sz w:val="20"/>
          <w:szCs w:val="20"/>
          <w14:ligatures w14:val="standardContextual"/>
        </w:rPr>
        <w:t>”</w:t>
      </w:r>
      <w:r w:rsidR="00C66E1B" w:rsidRPr="00EA6A10">
        <w:rPr>
          <w:rStyle w:val="FootnoteReference"/>
          <w:rFonts w:ascii="Arial" w:hAnsi="Arial" w:cs="Arial"/>
          <w:sz w:val="20"/>
          <w:szCs w:val="20"/>
        </w:rPr>
        <w:footnoteReference w:id="66"/>
      </w:r>
    </w:p>
    <w:p w14:paraId="51237BA2" w14:textId="77777777" w:rsidR="0052021F" w:rsidRPr="0052021F" w:rsidRDefault="0052021F"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20B80071" w14:textId="1A7085D0" w:rsidR="007E06F8"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On the other hand, Article 4, paragraph 4, states: “Powers given to local authorities shall normally be full and exclusive. They may not be undermined or limited by another, central or regional, authority except as provided for by the law”.</w:t>
      </w:r>
    </w:p>
    <w:p w14:paraId="104DB705" w14:textId="77777777" w:rsidR="00E71B3E" w:rsidRPr="00E71B3E" w:rsidRDefault="00E71B3E"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126AFE72" w14:textId="7C23FAB9" w:rsidR="00171C56"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7E06F8">
        <w:rPr>
          <w:rFonts w:ascii="Arial" w:eastAsia="Calibri" w:hAnsi="Arial" w:cs="Arial"/>
          <w:color w:val="000000"/>
          <w:sz w:val="20"/>
          <w:szCs w:val="20"/>
          <w14:ligatures w14:val="standardContextual"/>
        </w:rPr>
        <w:t>The Contemporary Commentary points out that “lawmakers should establish a clear definition of the responsibilities of the various tiers of government and a balanced distribution of roles between these tiers in the field of local services. Such distribution of roles, accepted by the stakeholders concerned, would make it possible to avoid both a power vacuum and the duplication of powers. Moreover, this allocation of responsibilities should promote predictability and guarantee continuity in the provision of certain local public services that are considered to be essential for the population</w:t>
      </w:r>
      <w:r w:rsidR="005E2738">
        <w:rPr>
          <w:rFonts w:ascii="Arial" w:eastAsia="Calibri" w:hAnsi="Arial" w:cs="Arial"/>
          <w:color w:val="000000"/>
          <w:sz w:val="20"/>
          <w:szCs w:val="20"/>
          <w14:ligatures w14:val="standardContextual"/>
        </w:rPr>
        <w:t>.”</w:t>
      </w:r>
      <w:r w:rsidR="00C66E1B" w:rsidRPr="00EA6A10">
        <w:rPr>
          <w:rStyle w:val="FootnoteReference"/>
          <w:rFonts w:ascii="Arial" w:hAnsi="Arial" w:cs="Arial"/>
          <w:sz w:val="20"/>
          <w:szCs w:val="20"/>
        </w:rPr>
        <w:footnoteReference w:id="67"/>
      </w:r>
    </w:p>
    <w:p w14:paraId="300E7237" w14:textId="77777777" w:rsidR="00E71B3E" w:rsidRPr="00E71B3E" w:rsidRDefault="00E71B3E"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73A6AE6C" w14:textId="06E2332D" w:rsidR="00171C56" w:rsidRDefault="007E06F8"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171C56">
        <w:rPr>
          <w:rFonts w:ascii="Arial" w:eastAsia="Calibri" w:hAnsi="Arial" w:cs="Arial"/>
          <w:color w:val="000000"/>
          <w:sz w:val="20"/>
          <w:szCs w:val="20"/>
          <w14:ligatures w14:val="standardContextual"/>
        </w:rPr>
        <w:t xml:space="preserve">Finally, Article 8 of the Charter can be mentioned, which </w:t>
      </w:r>
      <w:r w:rsidR="005E2738">
        <w:rPr>
          <w:rFonts w:ascii="Arial" w:eastAsia="Calibri" w:hAnsi="Arial" w:cs="Arial"/>
          <w:color w:val="000000"/>
          <w:sz w:val="20"/>
          <w:szCs w:val="20"/>
          <w14:ligatures w14:val="standardContextual"/>
        </w:rPr>
        <w:t>aims</w:t>
      </w:r>
      <w:r w:rsidRPr="00171C56">
        <w:rPr>
          <w:rFonts w:ascii="Arial" w:eastAsia="Calibri" w:hAnsi="Arial" w:cs="Arial"/>
          <w:color w:val="000000"/>
          <w:sz w:val="20"/>
          <w:szCs w:val="20"/>
          <w14:ligatures w14:val="standardContextual"/>
        </w:rPr>
        <w:t xml:space="preserve"> </w:t>
      </w:r>
      <w:r w:rsidR="005E2738">
        <w:rPr>
          <w:rFonts w:ascii="Arial" w:eastAsia="Calibri" w:hAnsi="Arial" w:cs="Arial"/>
          <w:color w:val="000000"/>
          <w:sz w:val="20"/>
          <w:szCs w:val="20"/>
          <w14:ligatures w14:val="standardContextual"/>
        </w:rPr>
        <w:t>to prevent</w:t>
      </w:r>
      <w:r w:rsidRPr="00171C56">
        <w:rPr>
          <w:rFonts w:ascii="Arial" w:eastAsia="Calibri" w:hAnsi="Arial" w:cs="Arial"/>
          <w:color w:val="000000"/>
          <w:sz w:val="20"/>
          <w:szCs w:val="20"/>
          <w14:ligatures w14:val="standardContextual"/>
        </w:rPr>
        <w:t xml:space="preserve"> the arbitrary use</w:t>
      </w:r>
      <w:r w:rsidR="005E2738">
        <w:rPr>
          <w:rFonts w:ascii="Arial" w:eastAsia="Calibri" w:hAnsi="Arial" w:cs="Arial"/>
          <w:color w:val="000000"/>
          <w:sz w:val="20"/>
          <w:szCs w:val="20"/>
          <w14:ligatures w14:val="standardContextual"/>
        </w:rPr>
        <w:t xml:space="preserve"> of the power of supervision</w:t>
      </w:r>
      <w:r w:rsidRPr="00171C56">
        <w:rPr>
          <w:rFonts w:ascii="Arial" w:eastAsia="Calibri" w:hAnsi="Arial" w:cs="Arial"/>
          <w:color w:val="000000"/>
          <w:sz w:val="20"/>
          <w:szCs w:val="20"/>
          <w14:ligatures w14:val="standardContextual"/>
        </w:rPr>
        <w:t>, by the State, considering that: “</w:t>
      </w:r>
      <w:r w:rsidRPr="0052021F">
        <w:rPr>
          <w:rFonts w:ascii="Arial" w:eastAsia="Calibri" w:hAnsi="Arial" w:cs="Arial"/>
          <w:i/>
          <w:iCs/>
          <w:color w:val="000000"/>
          <w:sz w:val="20"/>
          <w:szCs w:val="20"/>
          <w14:ligatures w14:val="standardContextual"/>
        </w:rPr>
        <w:t>1</w:t>
      </w:r>
      <w:r w:rsidR="007320E4">
        <w:rPr>
          <w:rFonts w:ascii="Arial" w:eastAsia="Calibri" w:hAnsi="Arial" w:cs="Arial"/>
          <w:i/>
          <w:iCs/>
          <w:color w:val="000000"/>
          <w:sz w:val="20"/>
          <w:szCs w:val="20"/>
          <w14:ligatures w14:val="standardContextual"/>
        </w:rPr>
        <w:t>.</w:t>
      </w:r>
      <w:r w:rsidRPr="00171C56">
        <w:rPr>
          <w:rFonts w:ascii="Arial" w:eastAsia="Calibri" w:hAnsi="Arial" w:cs="Arial"/>
          <w:color w:val="000000"/>
          <w:sz w:val="20"/>
          <w:szCs w:val="20"/>
          <w14:ligatures w14:val="standardContextual"/>
        </w:rPr>
        <w:t xml:space="preserve"> Any administrative supervision of local authorities may only be exercised according to such procedures and in such cases as are provided for by the constitution or by statute. </w:t>
      </w:r>
      <w:r w:rsidRPr="0052021F">
        <w:rPr>
          <w:rFonts w:ascii="Arial" w:eastAsia="Calibri" w:hAnsi="Arial" w:cs="Arial"/>
          <w:i/>
          <w:iCs/>
          <w:color w:val="000000"/>
          <w:sz w:val="20"/>
          <w:szCs w:val="20"/>
          <w14:ligatures w14:val="standardContextual"/>
        </w:rPr>
        <w:t>2</w:t>
      </w:r>
      <w:r w:rsidR="007320E4">
        <w:rPr>
          <w:rFonts w:ascii="Arial" w:eastAsia="Calibri" w:hAnsi="Arial" w:cs="Arial"/>
          <w:i/>
          <w:iCs/>
          <w:color w:val="000000"/>
          <w:sz w:val="20"/>
          <w:szCs w:val="20"/>
          <w14:ligatures w14:val="standardContextual"/>
        </w:rPr>
        <w:t>.</w:t>
      </w:r>
      <w:r w:rsidRPr="00171C56">
        <w:rPr>
          <w:rFonts w:ascii="Arial" w:eastAsia="Calibri" w:hAnsi="Arial" w:cs="Arial"/>
          <w:color w:val="000000"/>
          <w:sz w:val="20"/>
          <w:szCs w:val="20"/>
          <w14:ligatures w14:val="standardContextual"/>
        </w:rPr>
        <w:t xml:space="preserve"> Any administrative supervision of the activities of the local authorities shall normally aim only at ensuring compliance with the law and with constitutional principles. Administrative supervision may however be exercised with regard to expediency by higher-level authorities in respect of tasks the execution of which is delegated to local authorities. </w:t>
      </w:r>
      <w:r w:rsidRPr="0052021F">
        <w:rPr>
          <w:rFonts w:ascii="Arial" w:eastAsia="Calibri" w:hAnsi="Arial" w:cs="Arial"/>
          <w:i/>
          <w:iCs/>
          <w:color w:val="000000"/>
          <w:sz w:val="20"/>
          <w:szCs w:val="20"/>
          <w14:ligatures w14:val="standardContextual"/>
        </w:rPr>
        <w:t>3</w:t>
      </w:r>
      <w:r w:rsidR="007320E4">
        <w:rPr>
          <w:rFonts w:ascii="Arial" w:eastAsia="Calibri" w:hAnsi="Arial" w:cs="Arial"/>
          <w:i/>
          <w:iCs/>
          <w:color w:val="000000"/>
          <w:sz w:val="20"/>
          <w:szCs w:val="20"/>
          <w14:ligatures w14:val="standardContextual"/>
        </w:rPr>
        <w:t>.</w:t>
      </w:r>
      <w:r w:rsidRPr="00171C56">
        <w:rPr>
          <w:rFonts w:ascii="Arial" w:eastAsia="Calibri" w:hAnsi="Arial" w:cs="Arial"/>
          <w:color w:val="000000"/>
          <w:sz w:val="20"/>
          <w:szCs w:val="20"/>
          <w14:ligatures w14:val="standardContextual"/>
        </w:rPr>
        <w:t xml:space="preserve"> Administrative supervision of local authorities shall be exercised in such a way as to ensure that the intervention of the controlling authority is kept in proportion to the importance of the interests which it is intended to protect”.</w:t>
      </w:r>
    </w:p>
    <w:p w14:paraId="406060BD" w14:textId="77777777" w:rsidR="00E71B3E" w:rsidRPr="00E71B3E" w:rsidRDefault="00E71B3E"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71E47A7C" w14:textId="4B290772" w:rsidR="005622F5" w:rsidRDefault="009E5EEF"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sz w:val="20"/>
          <w:szCs w:val="20"/>
          <w14:ligatures w14:val="standardContextual"/>
        </w:rPr>
      </w:pPr>
      <w:r w:rsidRPr="00070A0C">
        <w:rPr>
          <w:rFonts w:ascii="Arial" w:eastAsia="Calibri" w:hAnsi="Arial" w:cs="Arial"/>
          <w:sz w:val="20"/>
          <w:szCs w:val="20"/>
          <w14:ligatures w14:val="standardContextual"/>
        </w:rPr>
        <w:t xml:space="preserve">Therefore, the Charter should be considered as the </w:t>
      </w:r>
      <w:r w:rsidR="005E2738">
        <w:rPr>
          <w:rFonts w:ascii="Arial" w:eastAsia="Calibri" w:hAnsi="Arial" w:cs="Arial"/>
          <w:sz w:val="20"/>
          <w:szCs w:val="20"/>
          <w14:ligatures w14:val="standardContextual"/>
        </w:rPr>
        <w:t>fundamental</w:t>
      </w:r>
      <w:r w:rsidR="005E2738" w:rsidRPr="00070A0C">
        <w:rPr>
          <w:rFonts w:ascii="Arial" w:eastAsia="Calibri" w:hAnsi="Arial" w:cs="Arial"/>
          <w:sz w:val="20"/>
          <w:szCs w:val="20"/>
          <w14:ligatures w14:val="standardContextual"/>
        </w:rPr>
        <w:t xml:space="preserve"> </w:t>
      </w:r>
      <w:r w:rsidRPr="00070A0C">
        <w:rPr>
          <w:rFonts w:ascii="Arial" w:eastAsia="Calibri" w:hAnsi="Arial" w:cs="Arial"/>
          <w:sz w:val="20"/>
          <w:szCs w:val="20"/>
          <w14:ligatures w14:val="standardContextual"/>
        </w:rPr>
        <w:t xml:space="preserve">document establishing the standards </w:t>
      </w:r>
      <w:r w:rsidR="005E2738">
        <w:rPr>
          <w:rFonts w:ascii="Arial" w:eastAsia="Calibri" w:hAnsi="Arial" w:cs="Arial"/>
          <w:sz w:val="20"/>
          <w:szCs w:val="20"/>
          <w14:ligatures w14:val="standardContextual"/>
        </w:rPr>
        <w:t xml:space="preserve">to be respected by </w:t>
      </w:r>
      <w:r w:rsidRPr="00070A0C">
        <w:rPr>
          <w:rFonts w:ascii="Arial" w:eastAsia="Calibri" w:hAnsi="Arial" w:cs="Arial"/>
          <w:sz w:val="20"/>
          <w:szCs w:val="20"/>
          <w14:ligatures w14:val="standardContextual"/>
        </w:rPr>
        <w:t xml:space="preserve">the State </w:t>
      </w:r>
      <w:r w:rsidR="0052021F" w:rsidRPr="00070A0C">
        <w:rPr>
          <w:rFonts w:ascii="Arial" w:eastAsia="Calibri" w:hAnsi="Arial" w:cs="Arial"/>
          <w:sz w:val="20"/>
          <w:szCs w:val="20"/>
          <w14:ligatures w14:val="standardContextual"/>
        </w:rPr>
        <w:t xml:space="preserve">authorities </w:t>
      </w:r>
      <w:r w:rsidR="0052021F">
        <w:rPr>
          <w:rFonts w:ascii="Arial" w:eastAsia="Calibri" w:hAnsi="Arial" w:cs="Arial"/>
          <w:sz w:val="20"/>
          <w:szCs w:val="20"/>
          <w14:ligatures w14:val="standardContextual"/>
        </w:rPr>
        <w:t>in</w:t>
      </w:r>
      <w:r w:rsidR="005E2738">
        <w:rPr>
          <w:rFonts w:ascii="Arial" w:eastAsia="Calibri" w:hAnsi="Arial" w:cs="Arial"/>
          <w:sz w:val="20"/>
          <w:szCs w:val="20"/>
          <w14:ligatures w14:val="standardContextual"/>
        </w:rPr>
        <w:t xml:space="preserve"> order</w:t>
      </w:r>
      <w:r w:rsidRPr="00070A0C">
        <w:rPr>
          <w:rFonts w:ascii="Arial" w:eastAsia="Calibri" w:hAnsi="Arial" w:cs="Arial"/>
          <w:sz w:val="20"/>
          <w:szCs w:val="20"/>
          <w14:ligatures w14:val="standardContextual"/>
        </w:rPr>
        <w:t xml:space="preserve"> to protect local self-government and create an environment where the rule of law prevails, and which enables local authorities to effectively fulfil their role of actors and guarantors of the rule of law</w:t>
      </w:r>
      <w:r w:rsidR="00AC0D0E" w:rsidRPr="00070A0C">
        <w:rPr>
          <w:rFonts w:ascii="Arial" w:eastAsia="Calibri" w:hAnsi="Arial" w:cs="Arial"/>
          <w:sz w:val="20"/>
          <w:szCs w:val="20"/>
          <w14:ligatures w14:val="standardContextual"/>
        </w:rPr>
        <w:t>, democracy and human rights</w:t>
      </w:r>
      <w:r w:rsidRPr="00070A0C">
        <w:rPr>
          <w:rFonts w:ascii="Arial" w:eastAsia="Calibri" w:hAnsi="Arial" w:cs="Arial"/>
          <w:sz w:val="20"/>
          <w:szCs w:val="20"/>
          <w14:ligatures w14:val="standardContextual"/>
        </w:rPr>
        <w:t xml:space="preserve">. </w:t>
      </w:r>
      <w:r w:rsidR="007E06F8" w:rsidRPr="00070A0C">
        <w:rPr>
          <w:rFonts w:ascii="Arial" w:eastAsia="Calibri" w:hAnsi="Arial" w:cs="Arial"/>
          <w:sz w:val="20"/>
          <w:szCs w:val="20"/>
          <w14:ligatures w14:val="standardContextual"/>
        </w:rPr>
        <w:t xml:space="preserve">The monitoring of </w:t>
      </w:r>
      <w:r w:rsidR="0088241B" w:rsidRPr="00070A0C">
        <w:rPr>
          <w:rFonts w:ascii="Arial" w:eastAsia="Calibri" w:hAnsi="Arial" w:cs="Arial"/>
          <w:sz w:val="20"/>
          <w:szCs w:val="20"/>
          <w14:ligatures w14:val="standardContextual"/>
        </w:rPr>
        <w:t>the</w:t>
      </w:r>
      <w:r w:rsidR="007E06F8" w:rsidRPr="00070A0C">
        <w:rPr>
          <w:rFonts w:ascii="Arial" w:eastAsia="Calibri" w:hAnsi="Arial" w:cs="Arial"/>
          <w:sz w:val="20"/>
          <w:szCs w:val="20"/>
          <w14:ligatures w14:val="standardContextual"/>
        </w:rPr>
        <w:t xml:space="preserve"> implementation</w:t>
      </w:r>
      <w:r w:rsidR="0088241B" w:rsidRPr="00070A0C">
        <w:rPr>
          <w:rFonts w:ascii="Arial" w:eastAsia="Calibri" w:hAnsi="Arial" w:cs="Arial"/>
          <w:sz w:val="20"/>
          <w:szCs w:val="20"/>
          <w14:ligatures w14:val="standardContextual"/>
        </w:rPr>
        <w:t xml:space="preserve"> of the Charter</w:t>
      </w:r>
      <w:r w:rsidR="007E06F8" w:rsidRPr="00070A0C">
        <w:rPr>
          <w:rFonts w:ascii="Arial" w:eastAsia="Calibri" w:hAnsi="Arial" w:cs="Arial"/>
          <w:sz w:val="20"/>
          <w:szCs w:val="20"/>
          <w14:ligatures w14:val="standardContextual"/>
        </w:rPr>
        <w:t xml:space="preserve"> in the member States by the Congress of Local and Regional Authorities </w:t>
      </w:r>
      <w:r w:rsidR="005E2738">
        <w:rPr>
          <w:rFonts w:ascii="Arial" w:eastAsia="Calibri" w:hAnsi="Arial" w:cs="Arial"/>
          <w:sz w:val="20"/>
          <w:szCs w:val="20"/>
          <w14:ligatures w14:val="standardContextual"/>
        </w:rPr>
        <w:t xml:space="preserve">is thus </w:t>
      </w:r>
      <w:r w:rsidR="007E06F8" w:rsidRPr="00070A0C">
        <w:rPr>
          <w:rFonts w:ascii="Arial" w:eastAsia="Calibri" w:hAnsi="Arial" w:cs="Arial"/>
          <w:sz w:val="20"/>
          <w:szCs w:val="20"/>
          <w14:ligatures w14:val="standardContextual"/>
        </w:rPr>
        <w:t xml:space="preserve">an important contribution to the strengthening of the rule of law. It </w:t>
      </w:r>
      <w:r w:rsidR="007320E4">
        <w:rPr>
          <w:rFonts w:ascii="Arial" w:eastAsia="Calibri" w:hAnsi="Arial" w:cs="Arial"/>
          <w:sz w:val="20"/>
          <w:szCs w:val="20"/>
          <w14:ligatures w14:val="standardContextual"/>
        </w:rPr>
        <w:t>constitutes</w:t>
      </w:r>
      <w:r w:rsidR="007E06F8" w:rsidRPr="00070A0C">
        <w:rPr>
          <w:rFonts w:ascii="Arial" w:eastAsia="Calibri" w:hAnsi="Arial" w:cs="Arial"/>
          <w:sz w:val="20"/>
          <w:szCs w:val="20"/>
          <w14:ligatures w14:val="standardContextual"/>
        </w:rPr>
        <w:t xml:space="preserve"> a</w:t>
      </w:r>
      <w:r w:rsidR="007320E4">
        <w:rPr>
          <w:rFonts w:ascii="Arial" w:eastAsia="Calibri" w:hAnsi="Arial" w:cs="Arial"/>
          <w:sz w:val="20"/>
          <w:szCs w:val="20"/>
          <w14:ligatures w14:val="standardContextual"/>
        </w:rPr>
        <w:t>n</w:t>
      </w:r>
      <w:r w:rsidR="007E06F8" w:rsidRPr="00070A0C">
        <w:rPr>
          <w:rFonts w:ascii="Arial" w:eastAsia="Calibri" w:hAnsi="Arial" w:cs="Arial"/>
          <w:sz w:val="20"/>
          <w:szCs w:val="20"/>
          <w14:ligatures w14:val="standardContextual"/>
        </w:rPr>
        <w:t xml:space="preserve"> </w:t>
      </w:r>
      <w:r w:rsidR="007320E4">
        <w:rPr>
          <w:rFonts w:ascii="Arial" w:eastAsia="Calibri" w:hAnsi="Arial" w:cs="Arial"/>
          <w:sz w:val="20"/>
          <w:szCs w:val="20"/>
          <w14:ligatures w14:val="standardContextual"/>
        </w:rPr>
        <w:t>important</w:t>
      </w:r>
      <w:r w:rsidR="007E06F8" w:rsidRPr="00070A0C">
        <w:rPr>
          <w:rFonts w:ascii="Arial" w:eastAsia="Calibri" w:hAnsi="Arial" w:cs="Arial"/>
          <w:sz w:val="20"/>
          <w:szCs w:val="20"/>
          <w14:ligatures w14:val="standardContextual"/>
        </w:rPr>
        <w:t xml:space="preserve"> </w:t>
      </w:r>
      <w:r w:rsidR="005E2738">
        <w:rPr>
          <w:rFonts w:ascii="Arial" w:eastAsia="Calibri" w:hAnsi="Arial" w:cs="Arial"/>
          <w:sz w:val="20"/>
          <w:szCs w:val="20"/>
          <w14:ligatures w14:val="standardContextual"/>
        </w:rPr>
        <w:t>instrument</w:t>
      </w:r>
      <w:r w:rsidR="005E2738" w:rsidRPr="00070A0C">
        <w:rPr>
          <w:rFonts w:ascii="Arial" w:eastAsia="Calibri" w:hAnsi="Arial" w:cs="Arial"/>
          <w:sz w:val="20"/>
          <w:szCs w:val="20"/>
          <w14:ligatures w14:val="standardContextual"/>
        </w:rPr>
        <w:t xml:space="preserve"> </w:t>
      </w:r>
      <w:r w:rsidR="007320E4">
        <w:rPr>
          <w:rFonts w:ascii="Arial" w:eastAsia="Calibri" w:hAnsi="Arial" w:cs="Arial"/>
          <w:sz w:val="20"/>
          <w:szCs w:val="20"/>
          <w14:ligatures w14:val="standardContextual"/>
        </w:rPr>
        <w:t>that can point to</w:t>
      </w:r>
      <w:r w:rsidR="007E06F8" w:rsidRPr="00070A0C">
        <w:rPr>
          <w:rFonts w:ascii="Arial" w:eastAsia="Calibri" w:hAnsi="Arial" w:cs="Arial"/>
          <w:sz w:val="20"/>
          <w:szCs w:val="20"/>
          <w14:ligatures w14:val="standardContextual"/>
        </w:rPr>
        <w:t xml:space="preserve"> possible erosion of democracy and rule of law in member States.</w:t>
      </w:r>
    </w:p>
    <w:p w14:paraId="19ED022D" w14:textId="77777777" w:rsidR="00E71B3E" w:rsidRPr="00E71B3E" w:rsidRDefault="00E71B3E" w:rsidP="00CA494E">
      <w:pPr>
        <w:pStyle w:val="ListParagraph"/>
        <w:tabs>
          <w:tab w:val="left" w:pos="426"/>
        </w:tabs>
        <w:autoSpaceDE w:val="0"/>
        <w:autoSpaceDN w:val="0"/>
        <w:adjustRightInd w:val="0"/>
        <w:spacing w:after="160"/>
        <w:ind w:left="0"/>
        <w:jc w:val="both"/>
        <w:rPr>
          <w:rFonts w:ascii="Arial" w:eastAsia="Calibri" w:hAnsi="Arial" w:cs="Arial"/>
          <w:sz w:val="20"/>
          <w:szCs w:val="20"/>
          <w14:ligatures w14:val="standardContextual"/>
        </w:rPr>
      </w:pPr>
    </w:p>
    <w:p w14:paraId="18CCF798" w14:textId="6D225DA9" w:rsidR="005622F5" w:rsidRPr="00E71B3E" w:rsidRDefault="00FC0175"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5622F5">
        <w:rPr>
          <w:rFonts w:ascii="Arial" w:eastAsia="Calibri" w:hAnsi="Arial" w:cs="Arial"/>
          <w:sz w:val="20"/>
          <w:szCs w:val="20"/>
          <w14:ligatures w14:val="standardContextual"/>
        </w:rPr>
        <w:t>S</w:t>
      </w:r>
      <w:r w:rsidR="000721AB" w:rsidRPr="005622F5">
        <w:rPr>
          <w:rFonts w:ascii="Arial" w:eastAsia="Calibri" w:hAnsi="Arial" w:cs="Arial"/>
          <w:sz w:val="20"/>
          <w:szCs w:val="20"/>
          <w14:ligatures w14:val="standardContextual"/>
        </w:rPr>
        <w:t xml:space="preserve">everal monitoring reports of the Congress of Local and Regional Authorities in </w:t>
      </w:r>
      <w:r w:rsidR="005E2738">
        <w:rPr>
          <w:rFonts w:ascii="Arial" w:eastAsia="Calibri" w:hAnsi="Arial" w:cs="Arial"/>
          <w:sz w:val="20"/>
          <w:szCs w:val="20"/>
          <w14:ligatures w14:val="standardContextual"/>
        </w:rPr>
        <w:t>recent</w:t>
      </w:r>
      <w:r w:rsidR="000721AB" w:rsidRPr="005622F5">
        <w:rPr>
          <w:rFonts w:ascii="Arial" w:eastAsia="Calibri" w:hAnsi="Arial" w:cs="Arial"/>
          <w:sz w:val="20"/>
          <w:szCs w:val="20"/>
          <w14:ligatures w14:val="standardContextual"/>
        </w:rPr>
        <w:t xml:space="preserve"> years </w:t>
      </w:r>
      <w:r w:rsidR="005E2738">
        <w:rPr>
          <w:rFonts w:ascii="Arial" w:eastAsia="Calibri" w:hAnsi="Arial" w:cs="Arial"/>
          <w:sz w:val="20"/>
          <w:szCs w:val="20"/>
          <w14:ligatures w14:val="standardContextual"/>
        </w:rPr>
        <w:t xml:space="preserve">have </w:t>
      </w:r>
      <w:r w:rsidR="000721AB" w:rsidRPr="00417C25">
        <w:rPr>
          <w:rFonts w:ascii="Arial" w:eastAsia="Calibri" w:hAnsi="Arial" w:cs="Arial"/>
          <w:sz w:val="20"/>
          <w:szCs w:val="20"/>
          <w14:ligatures w14:val="standardContextual"/>
        </w:rPr>
        <w:t>captured this aspect,</w:t>
      </w:r>
      <w:r w:rsidR="000721AB" w:rsidRPr="005622F5">
        <w:rPr>
          <w:rFonts w:ascii="Arial" w:eastAsia="Calibri" w:hAnsi="Arial" w:cs="Arial"/>
          <w:sz w:val="20"/>
          <w:szCs w:val="20"/>
          <w14:ligatures w14:val="standardContextual"/>
        </w:rPr>
        <w:t xml:space="preserve"> </w:t>
      </w:r>
      <w:r w:rsidR="00417C25">
        <w:rPr>
          <w:rFonts w:ascii="Arial" w:eastAsia="Calibri" w:hAnsi="Arial" w:cs="Arial"/>
          <w:sz w:val="20"/>
          <w:szCs w:val="20"/>
          <w14:ligatures w14:val="standardContextual"/>
        </w:rPr>
        <w:t>pointing</w:t>
      </w:r>
      <w:r w:rsidR="0088241B">
        <w:rPr>
          <w:rFonts w:ascii="Arial" w:eastAsia="Calibri" w:hAnsi="Arial" w:cs="Arial"/>
          <w:sz w:val="20"/>
          <w:szCs w:val="20"/>
          <w14:ligatures w14:val="standardContextual"/>
        </w:rPr>
        <w:t xml:space="preserve"> </w:t>
      </w:r>
      <w:r w:rsidR="000721AB" w:rsidRPr="005622F5">
        <w:rPr>
          <w:rFonts w:ascii="Arial" w:eastAsia="Calibri" w:hAnsi="Arial" w:cs="Arial"/>
          <w:sz w:val="20"/>
          <w:szCs w:val="20"/>
          <w14:ligatures w14:val="standardContextual"/>
        </w:rPr>
        <w:t xml:space="preserve">out that very often the </w:t>
      </w:r>
      <w:r w:rsidR="000721AB" w:rsidRPr="005622F5">
        <w:rPr>
          <w:rFonts w:ascii="Arial" w:eastAsia="Calibri" w:hAnsi="Arial" w:cs="Arial"/>
          <w:color w:val="161616"/>
          <w:kern w:val="2"/>
          <w:sz w:val="20"/>
          <w:szCs w:val="20"/>
          <w:shd w:val="clear" w:color="auto" w:fill="FFFFFF"/>
          <w14:ligatures w14:val="standardContextual"/>
        </w:rPr>
        <w:t xml:space="preserve">processes of </w:t>
      </w:r>
      <w:r w:rsidR="000721AB" w:rsidRPr="005622F5">
        <w:rPr>
          <w:rFonts w:ascii="Arial" w:eastAsia="Calibri" w:hAnsi="Arial" w:cs="Arial"/>
          <w:kern w:val="2"/>
          <w:sz w:val="20"/>
          <w:szCs w:val="20"/>
          <w:shd w:val="clear" w:color="auto" w:fill="FFFFFF"/>
          <w14:ligatures w14:val="standardContextual"/>
        </w:rPr>
        <w:t xml:space="preserve">democratic regression through an accumulation of piecemeal changes, resulting in the degradation of the structures and substance of constitutional democracy, go hand in hand with processes of </w:t>
      </w:r>
      <w:r w:rsidR="005E2738" w:rsidRPr="005622F5">
        <w:rPr>
          <w:rFonts w:ascii="Arial" w:eastAsia="Calibri" w:hAnsi="Arial" w:cs="Arial"/>
          <w:kern w:val="2"/>
          <w:sz w:val="20"/>
          <w:szCs w:val="20"/>
          <w:shd w:val="clear" w:color="auto" w:fill="FFFFFF"/>
          <w14:ligatures w14:val="standardContextual"/>
        </w:rPr>
        <w:t>recentrali</w:t>
      </w:r>
      <w:r w:rsidR="005E2738">
        <w:rPr>
          <w:rFonts w:ascii="Arial" w:eastAsia="Calibri" w:hAnsi="Arial" w:cs="Arial"/>
          <w:kern w:val="2"/>
          <w:sz w:val="20"/>
          <w:szCs w:val="20"/>
          <w:shd w:val="clear" w:color="auto" w:fill="FFFFFF"/>
          <w14:ligatures w14:val="standardContextual"/>
        </w:rPr>
        <w:t>s</w:t>
      </w:r>
      <w:r w:rsidR="005E2738" w:rsidRPr="005622F5">
        <w:rPr>
          <w:rFonts w:ascii="Arial" w:eastAsia="Calibri" w:hAnsi="Arial" w:cs="Arial"/>
          <w:kern w:val="2"/>
          <w:sz w:val="20"/>
          <w:szCs w:val="20"/>
          <w:shd w:val="clear" w:color="auto" w:fill="FFFFFF"/>
          <w14:ligatures w14:val="standardContextual"/>
        </w:rPr>
        <w:t>ation</w:t>
      </w:r>
      <w:r w:rsidR="000721AB" w:rsidRPr="005622F5">
        <w:rPr>
          <w:rFonts w:ascii="Arial" w:eastAsia="Calibri" w:hAnsi="Arial" w:cs="Arial"/>
          <w:kern w:val="2"/>
          <w:sz w:val="20"/>
          <w:szCs w:val="20"/>
          <w:shd w:val="clear" w:color="auto" w:fill="FFFFFF"/>
          <w14:ligatures w14:val="standardContextual"/>
        </w:rPr>
        <w:t>, eroding the level of autonomy of local authorities</w:t>
      </w:r>
      <w:r w:rsidR="007320E4">
        <w:rPr>
          <w:rFonts w:ascii="Arial" w:eastAsia="Calibri" w:hAnsi="Arial" w:cs="Arial"/>
          <w:kern w:val="2"/>
          <w:sz w:val="20"/>
          <w:szCs w:val="20"/>
          <w:shd w:val="clear" w:color="auto" w:fill="FFFFFF"/>
          <w14:ligatures w14:val="standardContextual"/>
        </w:rPr>
        <w:t>.</w:t>
      </w:r>
      <w:r w:rsidR="000721AB" w:rsidRPr="00EA6A10">
        <w:rPr>
          <w:rFonts w:ascii="Arial" w:eastAsia="Calibri" w:hAnsi="Arial" w:cs="Arial"/>
          <w:kern w:val="2"/>
          <w:sz w:val="20"/>
          <w:szCs w:val="20"/>
          <w:shd w:val="clear" w:color="auto" w:fill="FFFFFF"/>
          <w:vertAlign w:val="superscript"/>
        </w:rPr>
        <w:footnoteReference w:id="68"/>
      </w:r>
    </w:p>
    <w:p w14:paraId="3B4F4C73" w14:textId="77777777" w:rsidR="00E71B3E" w:rsidRPr="00E71B3E" w:rsidRDefault="00E71B3E"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4FCD356E" w14:textId="1F8B5F5C" w:rsidR="005622F5" w:rsidRPr="00E71B3E" w:rsidRDefault="000721AB"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5622F5">
        <w:rPr>
          <w:rFonts w:ascii="Arial" w:eastAsia="Calibri" w:hAnsi="Arial" w:cs="Arial"/>
          <w:kern w:val="2"/>
          <w:sz w:val="20"/>
          <w:szCs w:val="20"/>
          <w14:ligatures w14:val="standardContextual"/>
        </w:rPr>
        <w:t>T</w:t>
      </w:r>
      <w:r w:rsidRPr="005622F5">
        <w:rPr>
          <w:rFonts w:ascii="Arial" w:eastAsia="Calibri" w:hAnsi="Arial" w:cs="Arial"/>
          <w:sz w:val="20"/>
          <w:szCs w:val="20"/>
          <w14:ligatures w14:val="standardContextual"/>
        </w:rPr>
        <w:t xml:space="preserve">he democratic backsliding </w:t>
      </w:r>
      <w:r w:rsidR="007320E4">
        <w:rPr>
          <w:rFonts w:ascii="Arial" w:eastAsia="Calibri" w:hAnsi="Arial" w:cs="Arial"/>
          <w:sz w:val="20"/>
          <w:szCs w:val="20"/>
          <w14:ligatures w14:val="standardContextual"/>
        </w:rPr>
        <w:t>that is taking place</w:t>
      </w:r>
      <w:r w:rsidRPr="005622F5">
        <w:rPr>
          <w:rFonts w:ascii="Arial" w:eastAsia="Calibri" w:hAnsi="Arial" w:cs="Arial"/>
          <w:sz w:val="20"/>
          <w:szCs w:val="20"/>
          <w14:ligatures w14:val="standardContextual"/>
        </w:rPr>
        <w:t xml:space="preserve"> across the world and in Europe, which has resulted in a weakening </w:t>
      </w:r>
      <w:r w:rsidR="005E2738">
        <w:rPr>
          <w:rFonts w:ascii="Arial" w:eastAsia="Calibri" w:hAnsi="Arial" w:cs="Arial"/>
          <w:sz w:val="20"/>
          <w:szCs w:val="20"/>
          <w14:ligatures w14:val="standardContextual"/>
        </w:rPr>
        <w:t>of</w:t>
      </w:r>
      <w:r w:rsidRPr="005622F5">
        <w:rPr>
          <w:rFonts w:ascii="Arial" w:eastAsia="Calibri" w:hAnsi="Arial" w:cs="Arial"/>
          <w:sz w:val="20"/>
          <w:szCs w:val="20"/>
          <w14:ligatures w14:val="standardContextual"/>
        </w:rPr>
        <w:t xml:space="preserve"> checks and balances and </w:t>
      </w:r>
      <w:r w:rsidR="005E2738">
        <w:rPr>
          <w:rFonts w:ascii="Arial" w:eastAsia="Calibri" w:hAnsi="Arial" w:cs="Arial"/>
          <w:sz w:val="20"/>
          <w:szCs w:val="20"/>
          <w14:ligatures w14:val="standardContextual"/>
        </w:rPr>
        <w:t xml:space="preserve">of </w:t>
      </w:r>
      <w:r w:rsidRPr="005622F5">
        <w:rPr>
          <w:rFonts w:ascii="Arial" w:eastAsia="Calibri" w:hAnsi="Arial" w:cs="Arial"/>
          <w:sz w:val="20"/>
          <w:szCs w:val="20"/>
          <w14:ligatures w14:val="standardContextual"/>
        </w:rPr>
        <w:t xml:space="preserve">the role of the opposition, </w:t>
      </w:r>
      <w:r w:rsidR="005E2738">
        <w:rPr>
          <w:rFonts w:ascii="Arial" w:eastAsia="Calibri" w:hAnsi="Arial" w:cs="Arial"/>
          <w:sz w:val="20"/>
          <w:szCs w:val="20"/>
          <w14:ligatures w14:val="standardContextual"/>
        </w:rPr>
        <w:t xml:space="preserve">in </w:t>
      </w:r>
      <w:r w:rsidRPr="005622F5">
        <w:rPr>
          <w:rFonts w:ascii="Arial" w:eastAsia="Calibri" w:hAnsi="Arial" w:cs="Arial"/>
          <w:sz w:val="20"/>
          <w:szCs w:val="20"/>
          <w14:ligatures w14:val="standardContextual"/>
        </w:rPr>
        <w:t>obstacles</w:t>
      </w:r>
      <w:r w:rsidR="007320E4">
        <w:rPr>
          <w:rFonts w:ascii="Arial" w:eastAsia="Calibri" w:hAnsi="Arial" w:cs="Arial"/>
          <w:sz w:val="20"/>
          <w:szCs w:val="20"/>
          <w14:ligatures w14:val="standardContextual"/>
        </w:rPr>
        <w:t xml:space="preserve"> to</w:t>
      </w:r>
      <w:r w:rsidRPr="005622F5">
        <w:rPr>
          <w:rFonts w:ascii="Arial" w:eastAsia="Calibri" w:hAnsi="Arial" w:cs="Arial"/>
          <w:sz w:val="20"/>
          <w:szCs w:val="20"/>
          <w14:ligatures w14:val="standardContextual"/>
        </w:rPr>
        <w:t xml:space="preserve"> and </w:t>
      </w:r>
      <w:r w:rsidR="005E2738">
        <w:rPr>
          <w:rFonts w:ascii="Arial" w:eastAsia="Calibri" w:hAnsi="Arial" w:cs="Arial"/>
          <w:sz w:val="20"/>
          <w:szCs w:val="20"/>
          <w14:ligatures w14:val="standardContextual"/>
        </w:rPr>
        <w:t>restrictions</w:t>
      </w:r>
      <w:r w:rsidR="005E2738" w:rsidRPr="005622F5">
        <w:rPr>
          <w:rFonts w:ascii="Arial" w:eastAsia="Calibri" w:hAnsi="Arial" w:cs="Arial"/>
          <w:sz w:val="20"/>
          <w:szCs w:val="20"/>
          <w14:ligatures w14:val="standardContextual"/>
        </w:rPr>
        <w:t xml:space="preserve"> </w:t>
      </w:r>
      <w:r w:rsidR="007320E4">
        <w:rPr>
          <w:rFonts w:ascii="Arial" w:eastAsia="Calibri" w:hAnsi="Arial" w:cs="Arial"/>
          <w:sz w:val="20"/>
          <w:szCs w:val="20"/>
          <w14:ligatures w14:val="standardContextual"/>
        </w:rPr>
        <w:t>on</w:t>
      </w:r>
      <w:r w:rsidRPr="005622F5">
        <w:rPr>
          <w:rFonts w:ascii="Arial" w:eastAsia="Calibri" w:hAnsi="Arial" w:cs="Arial"/>
          <w:sz w:val="20"/>
          <w:szCs w:val="20"/>
          <w14:ligatures w14:val="standardContextual"/>
        </w:rPr>
        <w:t xml:space="preserve"> the exercise of civil and political rights and freedoms,</w:t>
      </w:r>
      <w:r w:rsidR="005E2738">
        <w:rPr>
          <w:rFonts w:ascii="Arial" w:eastAsia="Calibri" w:hAnsi="Arial" w:cs="Arial"/>
          <w:sz w:val="20"/>
          <w:szCs w:val="20"/>
          <w14:ligatures w14:val="standardContextual"/>
        </w:rPr>
        <w:t xml:space="preserve"> in</w:t>
      </w:r>
      <w:r w:rsidRPr="005622F5">
        <w:rPr>
          <w:rFonts w:ascii="Arial" w:eastAsia="Calibri" w:hAnsi="Arial" w:cs="Arial"/>
          <w:sz w:val="20"/>
          <w:szCs w:val="20"/>
          <w14:ligatures w14:val="standardContextual"/>
        </w:rPr>
        <w:t xml:space="preserve"> an erosion of the rule of law, </w:t>
      </w:r>
      <w:r w:rsidR="005E2738">
        <w:rPr>
          <w:rFonts w:ascii="Arial" w:eastAsia="Calibri" w:hAnsi="Arial" w:cs="Arial"/>
          <w:sz w:val="20"/>
          <w:szCs w:val="20"/>
          <w14:ligatures w14:val="standardContextual"/>
        </w:rPr>
        <w:t>in restrictions on</w:t>
      </w:r>
      <w:r w:rsidR="005E2738" w:rsidRPr="005622F5">
        <w:rPr>
          <w:rFonts w:ascii="Arial" w:eastAsia="Calibri" w:hAnsi="Arial" w:cs="Arial"/>
          <w:sz w:val="20"/>
          <w:szCs w:val="20"/>
          <w14:ligatures w14:val="standardContextual"/>
        </w:rPr>
        <w:t xml:space="preserve"> </w:t>
      </w:r>
      <w:r w:rsidRPr="005622F5">
        <w:rPr>
          <w:rFonts w:ascii="Arial" w:eastAsia="Calibri" w:hAnsi="Arial" w:cs="Arial"/>
          <w:sz w:val="20"/>
          <w:szCs w:val="20"/>
          <w14:ligatures w14:val="standardContextual"/>
        </w:rPr>
        <w:t xml:space="preserve">local self-government and </w:t>
      </w:r>
      <w:r w:rsidR="005E2738">
        <w:rPr>
          <w:rFonts w:ascii="Arial" w:eastAsia="Calibri" w:hAnsi="Arial" w:cs="Arial"/>
          <w:sz w:val="20"/>
          <w:szCs w:val="20"/>
          <w14:ligatures w14:val="standardContextual"/>
        </w:rPr>
        <w:t xml:space="preserve">in </w:t>
      </w:r>
      <w:r w:rsidR="005E2738" w:rsidRPr="005622F5">
        <w:rPr>
          <w:rFonts w:ascii="Arial" w:eastAsia="Calibri" w:hAnsi="Arial" w:cs="Arial"/>
          <w:sz w:val="20"/>
          <w:szCs w:val="20"/>
          <w14:ligatures w14:val="standardContextual"/>
        </w:rPr>
        <w:t>recentrali</w:t>
      </w:r>
      <w:r w:rsidR="005E2738">
        <w:rPr>
          <w:rFonts w:ascii="Arial" w:eastAsia="Calibri" w:hAnsi="Arial" w:cs="Arial"/>
          <w:sz w:val="20"/>
          <w:szCs w:val="20"/>
          <w14:ligatures w14:val="standardContextual"/>
        </w:rPr>
        <w:t>s</w:t>
      </w:r>
      <w:r w:rsidR="005E2738" w:rsidRPr="005622F5">
        <w:rPr>
          <w:rFonts w:ascii="Arial" w:eastAsia="Calibri" w:hAnsi="Arial" w:cs="Arial"/>
          <w:sz w:val="20"/>
          <w:szCs w:val="20"/>
          <w14:ligatures w14:val="standardContextual"/>
        </w:rPr>
        <w:t>ation</w:t>
      </w:r>
      <w:r w:rsidRPr="005622F5">
        <w:rPr>
          <w:rFonts w:ascii="Arial" w:eastAsia="Calibri" w:hAnsi="Arial" w:cs="Arial"/>
          <w:sz w:val="20"/>
          <w:szCs w:val="20"/>
          <w14:ligatures w14:val="standardContextual"/>
        </w:rPr>
        <w:t>, undermines genuine democracy, as enshrined in the Statute of the Council of Europe</w:t>
      </w:r>
      <w:r w:rsidR="00FC0175" w:rsidRPr="005622F5">
        <w:rPr>
          <w:rFonts w:ascii="Arial" w:eastAsia="Calibri" w:hAnsi="Arial" w:cs="Arial"/>
          <w:sz w:val="20"/>
          <w:szCs w:val="20"/>
          <w14:ligatures w14:val="standardContextual"/>
        </w:rPr>
        <w:t>.</w:t>
      </w:r>
    </w:p>
    <w:p w14:paraId="522CD84D" w14:textId="77777777" w:rsidR="00E71B3E" w:rsidRPr="00E71B3E" w:rsidRDefault="00E71B3E" w:rsidP="00CA494E">
      <w:pPr>
        <w:pStyle w:val="ListParagraph"/>
        <w:tabs>
          <w:tab w:val="left" w:pos="426"/>
        </w:tabs>
        <w:autoSpaceDE w:val="0"/>
        <w:autoSpaceDN w:val="0"/>
        <w:adjustRightInd w:val="0"/>
        <w:spacing w:after="160"/>
        <w:ind w:left="0"/>
        <w:jc w:val="both"/>
        <w:rPr>
          <w:rFonts w:ascii="Arial" w:eastAsia="Calibri" w:hAnsi="Arial" w:cs="Arial"/>
          <w:color w:val="000000"/>
          <w:sz w:val="20"/>
          <w:szCs w:val="20"/>
          <w14:ligatures w14:val="standardContextual"/>
        </w:rPr>
      </w:pPr>
    </w:p>
    <w:p w14:paraId="5D8F7C55" w14:textId="4734D7D1" w:rsidR="00441753" w:rsidRPr="005622F5" w:rsidRDefault="00441753" w:rsidP="00CA494E">
      <w:pPr>
        <w:pStyle w:val="ListParagraph"/>
        <w:numPr>
          <w:ilvl w:val="0"/>
          <w:numId w:val="29"/>
        </w:numPr>
        <w:tabs>
          <w:tab w:val="left" w:pos="426"/>
        </w:tabs>
        <w:autoSpaceDE w:val="0"/>
        <w:autoSpaceDN w:val="0"/>
        <w:adjustRightInd w:val="0"/>
        <w:spacing w:after="160"/>
        <w:ind w:left="0" w:firstLine="0"/>
        <w:jc w:val="both"/>
        <w:rPr>
          <w:rFonts w:ascii="Arial" w:eastAsia="Calibri" w:hAnsi="Arial" w:cs="Arial"/>
          <w:color w:val="000000"/>
          <w:sz w:val="20"/>
          <w:szCs w:val="20"/>
          <w14:ligatures w14:val="standardContextual"/>
        </w:rPr>
      </w:pPr>
      <w:r w:rsidRPr="005622F5">
        <w:rPr>
          <w:rFonts w:ascii="Arial" w:eastAsia="Calibri" w:hAnsi="Arial" w:cs="Arial"/>
          <w:kern w:val="2"/>
          <w:sz w:val="20"/>
          <w:szCs w:val="20"/>
          <w:shd w:val="clear" w:color="auto" w:fill="FFFFFF"/>
          <w14:ligatures w14:val="standardContextual"/>
        </w:rPr>
        <w:t xml:space="preserve">For all these reasons, </w:t>
      </w:r>
      <w:r w:rsidR="00E3676E">
        <w:rPr>
          <w:rFonts w:ascii="Arial" w:eastAsia="Calibri" w:hAnsi="Arial" w:cs="Arial"/>
          <w:kern w:val="2"/>
          <w:sz w:val="20"/>
          <w:szCs w:val="20"/>
          <w:shd w:val="clear" w:color="auto" w:fill="FFFFFF"/>
          <w14:ligatures w14:val="standardContextual"/>
        </w:rPr>
        <w:t xml:space="preserve">it is </w:t>
      </w:r>
      <w:r w:rsidR="002B39C0">
        <w:rPr>
          <w:rFonts w:ascii="Arial" w:eastAsia="Calibri" w:hAnsi="Arial" w:cs="Arial"/>
          <w:kern w:val="2"/>
          <w:sz w:val="20"/>
          <w:szCs w:val="20"/>
          <w:shd w:val="clear" w:color="auto" w:fill="FFFFFF"/>
          <w14:ligatures w14:val="standardContextual"/>
        </w:rPr>
        <w:t>essential</w:t>
      </w:r>
      <w:r w:rsidR="00E3676E">
        <w:rPr>
          <w:rFonts w:ascii="Arial" w:eastAsia="Calibri" w:hAnsi="Arial" w:cs="Arial"/>
          <w:kern w:val="2"/>
          <w:sz w:val="20"/>
          <w:szCs w:val="20"/>
          <w:shd w:val="clear" w:color="auto" w:fill="FFFFFF"/>
          <w14:ligatures w14:val="standardContextual"/>
        </w:rPr>
        <w:t xml:space="preserve"> that</w:t>
      </w:r>
      <w:r w:rsidRPr="005622F5">
        <w:rPr>
          <w:rFonts w:ascii="Arial" w:eastAsia="Calibri" w:hAnsi="Arial" w:cs="Arial"/>
          <w:kern w:val="2"/>
          <w:sz w:val="20"/>
          <w:szCs w:val="20"/>
          <w:shd w:val="clear" w:color="auto" w:fill="FFFFFF"/>
          <w14:ligatures w14:val="standardContextual"/>
        </w:rPr>
        <w:t xml:space="preserve"> the</w:t>
      </w:r>
      <w:r w:rsidR="007320E4">
        <w:rPr>
          <w:rFonts w:ascii="Arial" w:eastAsia="Calibri" w:hAnsi="Arial" w:cs="Arial"/>
          <w:kern w:val="2"/>
          <w:sz w:val="20"/>
          <w:szCs w:val="20"/>
          <w:shd w:val="clear" w:color="auto" w:fill="FFFFFF"/>
          <w14:ligatures w14:val="standardContextual"/>
        </w:rPr>
        <w:t xml:space="preserve"> outcomes of the</w:t>
      </w:r>
      <w:r w:rsidRPr="005622F5">
        <w:rPr>
          <w:rFonts w:ascii="Arial" w:eastAsia="Calibri" w:hAnsi="Arial" w:cs="Arial"/>
          <w:kern w:val="2"/>
          <w:sz w:val="20"/>
          <w:szCs w:val="20"/>
          <w:shd w:val="clear" w:color="auto" w:fill="FFFFFF"/>
          <w14:ligatures w14:val="standardContextual"/>
        </w:rPr>
        <w:t xml:space="preserve"> monitoring of the application of the European Charter of Local Self-Government</w:t>
      </w:r>
      <w:r w:rsidR="008D1C3D">
        <w:rPr>
          <w:rFonts w:ascii="Arial" w:eastAsia="Calibri" w:hAnsi="Arial" w:cs="Arial"/>
          <w:kern w:val="2"/>
          <w:sz w:val="20"/>
          <w:szCs w:val="20"/>
          <w:shd w:val="clear" w:color="auto" w:fill="FFFFFF"/>
          <w14:ligatures w14:val="standardContextual"/>
        </w:rPr>
        <w:t xml:space="preserve"> and</w:t>
      </w:r>
      <w:r w:rsidR="00D8260A">
        <w:rPr>
          <w:rFonts w:ascii="Arial" w:eastAsia="Calibri" w:hAnsi="Arial" w:cs="Arial"/>
          <w:kern w:val="2"/>
          <w:sz w:val="20"/>
          <w:szCs w:val="20"/>
          <w:shd w:val="clear" w:color="auto" w:fill="FFFFFF"/>
          <w14:ligatures w14:val="standardContextual"/>
        </w:rPr>
        <w:t xml:space="preserve"> of</w:t>
      </w:r>
      <w:r w:rsidR="00677EF6">
        <w:rPr>
          <w:rFonts w:ascii="Arial" w:eastAsia="Calibri" w:hAnsi="Arial" w:cs="Arial"/>
          <w:kern w:val="2"/>
          <w:sz w:val="20"/>
          <w:szCs w:val="20"/>
          <w:shd w:val="clear" w:color="auto" w:fill="FFFFFF"/>
          <w14:ligatures w14:val="standardContextual"/>
        </w:rPr>
        <w:t xml:space="preserve"> </w:t>
      </w:r>
      <w:r w:rsidRPr="005622F5">
        <w:rPr>
          <w:rFonts w:ascii="Arial" w:eastAsia="Calibri" w:hAnsi="Arial" w:cs="Arial"/>
          <w:kern w:val="2"/>
          <w:sz w:val="20"/>
          <w:szCs w:val="20"/>
          <w:shd w:val="clear" w:color="auto" w:fill="FFFFFF"/>
          <w14:ligatures w14:val="standardContextual"/>
        </w:rPr>
        <w:t xml:space="preserve">the implementation of the rule of law by local authorities, including the execution of </w:t>
      </w:r>
      <w:r w:rsidR="007320E4">
        <w:rPr>
          <w:rFonts w:ascii="Arial" w:eastAsia="Calibri" w:hAnsi="Arial" w:cs="Arial"/>
          <w:kern w:val="2"/>
          <w:sz w:val="20"/>
          <w:szCs w:val="20"/>
          <w:shd w:val="clear" w:color="auto" w:fill="FFFFFF"/>
          <w14:ligatures w14:val="standardContextual"/>
        </w:rPr>
        <w:t xml:space="preserve">the judgments of </w:t>
      </w:r>
      <w:r w:rsidRPr="005622F5">
        <w:rPr>
          <w:rFonts w:ascii="Arial" w:eastAsia="Calibri" w:hAnsi="Arial" w:cs="Arial"/>
          <w:kern w:val="2"/>
          <w:sz w:val="20"/>
          <w:szCs w:val="20"/>
          <w:shd w:val="clear" w:color="auto" w:fill="FFFFFF"/>
          <w14:ligatures w14:val="standardContextual"/>
        </w:rPr>
        <w:t xml:space="preserve">the </w:t>
      </w:r>
      <w:r w:rsidR="005E2738" w:rsidRPr="005E2738">
        <w:rPr>
          <w:rFonts w:ascii="Arial" w:eastAsia="Calibri" w:hAnsi="Arial" w:cs="Arial"/>
          <w:kern w:val="2"/>
          <w:sz w:val="20"/>
          <w:szCs w:val="20"/>
          <w:shd w:val="clear" w:color="auto" w:fill="FFFFFF"/>
          <w14:ligatures w14:val="standardContextual"/>
        </w:rPr>
        <w:t>European Court of Human Rights</w:t>
      </w:r>
      <w:r w:rsidR="005E2738" w:rsidRPr="005E2738" w:rsidDel="005E2738">
        <w:rPr>
          <w:rFonts w:ascii="Arial" w:eastAsia="Calibri" w:hAnsi="Arial" w:cs="Arial"/>
          <w:kern w:val="2"/>
          <w:sz w:val="20"/>
          <w:szCs w:val="20"/>
          <w:shd w:val="clear" w:color="auto" w:fill="FFFFFF"/>
          <w14:ligatures w14:val="standardContextual"/>
        </w:rPr>
        <w:t xml:space="preserve"> </w:t>
      </w:r>
      <w:r w:rsidR="00E3676E">
        <w:rPr>
          <w:rFonts w:ascii="Arial" w:eastAsia="Calibri" w:hAnsi="Arial" w:cs="Arial"/>
          <w:kern w:val="2"/>
          <w:sz w:val="20"/>
          <w:szCs w:val="20"/>
          <w:shd w:val="clear" w:color="auto" w:fill="FFFFFF"/>
          <w14:ligatures w14:val="standardContextual"/>
        </w:rPr>
        <w:t xml:space="preserve">at local level, are used by the Committee of Ministers, the </w:t>
      </w:r>
      <w:r w:rsidR="005E2738" w:rsidRPr="005E2738">
        <w:rPr>
          <w:rFonts w:ascii="Arial" w:eastAsia="Calibri" w:hAnsi="Arial" w:cs="Arial"/>
          <w:kern w:val="2"/>
          <w:sz w:val="20"/>
          <w:szCs w:val="20"/>
          <w:shd w:val="clear" w:color="auto" w:fill="FFFFFF"/>
          <w14:ligatures w14:val="standardContextual"/>
        </w:rPr>
        <w:t>Parliamentary Assembly of the Council of Europe</w:t>
      </w:r>
      <w:r w:rsidR="005E2738" w:rsidRPr="005E2738" w:rsidDel="005E2738">
        <w:rPr>
          <w:rFonts w:ascii="Arial" w:eastAsia="Calibri" w:hAnsi="Arial" w:cs="Arial"/>
          <w:kern w:val="2"/>
          <w:sz w:val="20"/>
          <w:szCs w:val="20"/>
          <w:shd w:val="clear" w:color="auto" w:fill="FFFFFF"/>
          <w14:ligatures w14:val="standardContextual"/>
        </w:rPr>
        <w:t xml:space="preserve"> </w:t>
      </w:r>
      <w:r w:rsidR="00E3676E">
        <w:rPr>
          <w:rFonts w:ascii="Arial" w:eastAsia="Calibri" w:hAnsi="Arial" w:cs="Arial"/>
          <w:kern w:val="2"/>
          <w:sz w:val="20"/>
          <w:szCs w:val="20"/>
          <w:shd w:val="clear" w:color="auto" w:fill="FFFFFF"/>
          <w14:ligatures w14:val="standardContextual"/>
        </w:rPr>
        <w:t xml:space="preserve">and the </w:t>
      </w:r>
      <w:r w:rsidR="005E2738" w:rsidRPr="005E2738">
        <w:rPr>
          <w:rFonts w:ascii="Arial" w:eastAsia="Calibri" w:hAnsi="Arial" w:cs="Arial"/>
          <w:kern w:val="2"/>
          <w:sz w:val="20"/>
          <w:szCs w:val="20"/>
          <w:shd w:val="clear" w:color="auto" w:fill="FFFFFF"/>
          <w14:ligatures w14:val="standardContextual"/>
        </w:rPr>
        <w:t>European Commission for Democracy through Law</w:t>
      </w:r>
      <w:r w:rsidR="005E2738" w:rsidRPr="005E2738" w:rsidDel="005E2738">
        <w:rPr>
          <w:rFonts w:ascii="Arial" w:eastAsia="Calibri" w:hAnsi="Arial" w:cs="Arial"/>
          <w:kern w:val="2"/>
          <w:sz w:val="20"/>
          <w:szCs w:val="20"/>
          <w:shd w:val="clear" w:color="auto" w:fill="FFFFFF"/>
          <w14:ligatures w14:val="standardContextual"/>
        </w:rPr>
        <w:t xml:space="preserve"> </w:t>
      </w:r>
      <w:r w:rsidR="00E3676E">
        <w:rPr>
          <w:rFonts w:ascii="Arial" w:eastAsia="Calibri" w:hAnsi="Arial" w:cs="Arial"/>
          <w:kern w:val="2"/>
          <w:sz w:val="20"/>
          <w:szCs w:val="20"/>
          <w:shd w:val="clear" w:color="auto" w:fill="FFFFFF"/>
          <w14:ligatures w14:val="standardContextual"/>
        </w:rPr>
        <w:t xml:space="preserve">in their activities related to </w:t>
      </w:r>
      <w:r w:rsidR="0005339E">
        <w:rPr>
          <w:rFonts w:ascii="Arial" w:eastAsia="Calibri" w:hAnsi="Arial" w:cs="Arial"/>
          <w:kern w:val="2"/>
          <w:sz w:val="20"/>
          <w:szCs w:val="20"/>
          <w:shd w:val="clear" w:color="auto" w:fill="FFFFFF"/>
          <w14:ligatures w14:val="standardContextual"/>
        </w:rPr>
        <w:t xml:space="preserve">democracy and </w:t>
      </w:r>
      <w:r w:rsidR="00E3676E">
        <w:rPr>
          <w:rFonts w:ascii="Arial" w:eastAsia="Calibri" w:hAnsi="Arial" w:cs="Arial"/>
          <w:kern w:val="2"/>
          <w:sz w:val="20"/>
          <w:szCs w:val="20"/>
          <w:shd w:val="clear" w:color="auto" w:fill="FFFFFF"/>
          <w14:ligatures w14:val="standardContextual"/>
        </w:rPr>
        <w:t>the rule of law in the C</w:t>
      </w:r>
      <w:r w:rsidR="005E2738">
        <w:rPr>
          <w:rFonts w:ascii="Arial" w:eastAsia="Calibri" w:hAnsi="Arial" w:cs="Arial"/>
          <w:kern w:val="2"/>
          <w:sz w:val="20"/>
          <w:szCs w:val="20"/>
          <w:shd w:val="clear" w:color="auto" w:fill="FFFFFF"/>
          <w14:ligatures w14:val="standardContextual"/>
        </w:rPr>
        <w:t xml:space="preserve">ouncil </w:t>
      </w:r>
      <w:r w:rsidR="00E3676E">
        <w:rPr>
          <w:rFonts w:ascii="Arial" w:eastAsia="Calibri" w:hAnsi="Arial" w:cs="Arial"/>
          <w:kern w:val="2"/>
          <w:sz w:val="20"/>
          <w:szCs w:val="20"/>
          <w:shd w:val="clear" w:color="auto" w:fill="FFFFFF"/>
          <w14:ligatures w14:val="standardContextual"/>
        </w:rPr>
        <w:t>o</w:t>
      </w:r>
      <w:r w:rsidR="005E2738">
        <w:rPr>
          <w:rFonts w:ascii="Arial" w:eastAsia="Calibri" w:hAnsi="Arial" w:cs="Arial"/>
          <w:kern w:val="2"/>
          <w:sz w:val="20"/>
          <w:szCs w:val="20"/>
          <w:shd w:val="clear" w:color="auto" w:fill="FFFFFF"/>
          <w14:ligatures w14:val="standardContextual"/>
        </w:rPr>
        <w:t xml:space="preserve">f </w:t>
      </w:r>
      <w:r w:rsidR="00E3676E">
        <w:rPr>
          <w:rFonts w:ascii="Arial" w:eastAsia="Calibri" w:hAnsi="Arial" w:cs="Arial"/>
          <w:kern w:val="2"/>
          <w:sz w:val="20"/>
          <w:szCs w:val="20"/>
          <w:shd w:val="clear" w:color="auto" w:fill="FFFFFF"/>
          <w14:ligatures w14:val="standardContextual"/>
        </w:rPr>
        <w:t>E</w:t>
      </w:r>
      <w:r w:rsidR="005E2738">
        <w:rPr>
          <w:rFonts w:ascii="Arial" w:eastAsia="Calibri" w:hAnsi="Arial" w:cs="Arial"/>
          <w:kern w:val="2"/>
          <w:sz w:val="20"/>
          <w:szCs w:val="20"/>
          <w:shd w:val="clear" w:color="auto" w:fill="FFFFFF"/>
          <w14:ligatures w14:val="standardContextual"/>
        </w:rPr>
        <w:t>urope</w:t>
      </w:r>
      <w:r w:rsidR="00E3676E">
        <w:rPr>
          <w:rFonts w:ascii="Arial" w:eastAsia="Calibri" w:hAnsi="Arial" w:cs="Arial"/>
          <w:kern w:val="2"/>
          <w:sz w:val="20"/>
          <w:szCs w:val="20"/>
          <w:shd w:val="clear" w:color="auto" w:fill="FFFFFF"/>
          <w14:ligatures w14:val="standardContextual"/>
        </w:rPr>
        <w:t xml:space="preserve"> member States</w:t>
      </w:r>
      <w:r w:rsidR="00FB1242">
        <w:rPr>
          <w:rFonts w:ascii="Arial" w:eastAsia="Calibri" w:hAnsi="Arial" w:cs="Arial"/>
          <w:kern w:val="2"/>
          <w:sz w:val="20"/>
          <w:szCs w:val="20"/>
          <w:shd w:val="clear" w:color="auto" w:fill="FFFFFF"/>
          <w14:ligatures w14:val="standardContextual"/>
        </w:rPr>
        <w:t>.</w:t>
      </w:r>
    </w:p>
    <w:sectPr w:rsidR="00441753" w:rsidRPr="005622F5" w:rsidSect="002E0C93">
      <w:pgSz w:w="11907" w:h="16839" w:code="9"/>
      <w:pgMar w:top="709" w:right="1440"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8422" w14:textId="77777777" w:rsidR="00945A06" w:rsidRDefault="00945A06" w:rsidP="00B4001B">
      <w:r>
        <w:separator/>
      </w:r>
    </w:p>
  </w:endnote>
  <w:endnote w:type="continuationSeparator" w:id="0">
    <w:p w14:paraId="7B687516" w14:textId="77777777" w:rsidR="00945A06" w:rsidRDefault="00945A06" w:rsidP="00B4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variable"/>
    <w:sig w:usb0="E00002AF" w:usb1="50006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onciniGaramondStd">
    <w:altName w:val="Yu Gothic"/>
    <w:panose1 w:val="00000000000000000000"/>
    <w:charset w:val="80"/>
    <w:family w:val="roman"/>
    <w:notTrueType/>
    <w:pitch w:val="default"/>
    <w:sig w:usb0="00000003" w:usb1="08070000" w:usb2="00000010" w:usb3="00000000" w:csb0="00020001" w:csb1="00000000"/>
  </w:font>
  <w:font w:name="SimonciniGaramondStd-Italic">
    <w:altName w:val="Yu Gothic"/>
    <w:panose1 w:val="00000000000000000000"/>
    <w:charset w:val="80"/>
    <w:family w:val="roman"/>
    <w:notTrueType/>
    <w:pitch w:val="default"/>
    <w:sig w:usb0="00000003" w:usb1="08070000" w:usb2="00000010" w:usb3="00000000" w:csb0="0002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3C1B" w14:textId="77777777" w:rsidR="005F6B2E" w:rsidRDefault="005F6B2E" w:rsidP="005F6B2E">
    <w:pPr>
      <w:pStyle w:val="Footer"/>
    </w:pPr>
  </w:p>
  <w:sdt>
    <w:sdtPr>
      <w:id w:val="-1295986871"/>
      <w:docPartObj>
        <w:docPartGallery w:val="Page Numbers (Bottom of Page)"/>
        <w:docPartUnique/>
      </w:docPartObj>
    </w:sdtPr>
    <w:sdtEndPr>
      <w:rPr>
        <w:noProof/>
      </w:rPr>
    </w:sdtEndPr>
    <w:sdtContent>
      <w:p w14:paraId="36F987C9" w14:textId="5A68C207" w:rsidR="00AD6963" w:rsidRDefault="00AD6963" w:rsidP="005F6B2E">
        <w:pPr>
          <w:pStyle w:val="Footer"/>
        </w:pPr>
        <w:r w:rsidRPr="00AD6963">
          <w:rPr>
            <w:rFonts w:ascii="Arial" w:hAnsi="Arial" w:cs="Arial"/>
            <w:sz w:val="20"/>
            <w:szCs w:val="20"/>
          </w:rPr>
          <w:fldChar w:fldCharType="begin"/>
        </w:r>
        <w:r w:rsidRPr="00AD6963">
          <w:rPr>
            <w:rFonts w:ascii="Arial" w:hAnsi="Arial" w:cs="Arial"/>
            <w:sz w:val="20"/>
            <w:szCs w:val="20"/>
          </w:rPr>
          <w:instrText xml:space="preserve"> PAGE   \* MERGEFORMAT </w:instrText>
        </w:r>
        <w:r w:rsidRPr="00AD6963">
          <w:rPr>
            <w:rFonts w:ascii="Arial" w:hAnsi="Arial" w:cs="Arial"/>
            <w:sz w:val="20"/>
            <w:szCs w:val="20"/>
          </w:rPr>
          <w:fldChar w:fldCharType="separate"/>
        </w:r>
        <w:r w:rsidRPr="00AD6963">
          <w:rPr>
            <w:rFonts w:ascii="Arial" w:hAnsi="Arial" w:cs="Arial"/>
            <w:noProof/>
            <w:sz w:val="20"/>
            <w:szCs w:val="20"/>
          </w:rPr>
          <w:t>2</w:t>
        </w:r>
        <w:r w:rsidRPr="00AD6963">
          <w:rPr>
            <w:rFonts w:ascii="Arial" w:hAnsi="Arial" w:cs="Arial"/>
            <w:noProof/>
            <w:sz w:val="20"/>
            <w:szCs w:val="20"/>
          </w:rPr>
          <w:fldChar w:fldCharType="end"/>
        </w:r>
        <w:r w:rsidRPr="00AD6963">
          <w:rPr>
            <w:rFonts w:ascii="Arial" w:hAnsi="Arial" w:cs="Arial"/>
            <w:noProof/>
            <w:sz w:val="20"/>
            <w:szCs w:val="20"/>
          </w:rPr>
          <w:t>/1</w:t>
        </w:r>
        <w:r w:rsidR="00B84119">
          <w:rPr>
            <w:rFonts w:ascii="Arial" w:hAnsi="Arial" w:cs="Arial"/>
            <w:noProof/>
            <w:sz w:val="20"/>
            <w:szCs w:val="20"/>
          </w:rPr>
          <w:t>6</w:t>
        </w:r>
      </w:p>
    </w:sdtContent>
  </w:sdt>
  <w:p w14:paraId="0F757315" w14:textId="77777777" w:rsidR="00107865" w:rsidRDefault="00107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8002"/>
      <w:docPartObj>
        <w:docPartGallery w:val="Page Numbers (Bottom of Page)"/>
        <w:docPartUnique/>
      </w:docPartObj>
    </w:sdtPr>
    <w:sdtEndPr>
      <w:rPr>
        <w:noProof/>
      </w:rPr>
    </w:sdtEndPr>
    <w:sdtContent>
      <w:p w14:paraId="0A123750" w14:textId="17768A96" w:rsidR="00AD6963" w:rsidRDefault="00AD6963" w:rsidP="005F6B2E">
        <w:pPr>
          <w:pStyle w:val="Footer"/>
          <w:jc w:val="right"/>
        </w:pPr>
        <w:r w:rsidRPr="00AD6963">
          <w:rPr>
            <w:rFonts w:ascii="Arial" w:hAnsi="Arial" w:cs="Arial"/>
            <w:sz w:val="20"/>
            <w:szCs w:val="20"/>
          </w:rPr>
          <w:fldChar w:fldCharType="begin"/>
        </w:r>
        <w:r w:rsidRPr="00AD6963">
          <w:rPr>
            <w:rFonts w:ascii="Arial" w:hAnsi="Arial" w:cs="Arial"/>
            <w:sz w:val="20"/>
            <w:szCs w:val="20"/>
          </w:rPr>
          <w:instrText xml:space="preserve"> PAGE   \* MERGEFORMAT </w:instrText>
        </w:r>
        <w:r w:rsidRPr="00AD6963">
          <w:rPr>
            <w:rFonts w:ascii="Arial" w:hAnsi="Arial" w:cs="Arial"/>
            <w:sz w:val="20"/>
            <w:szCs w:val="20"/>
          </w:rPr>
          <w:fldChar w:fldCharType="separate"/>
        </w:r>
        <w:r w:rsidRPr="00AD6963">
          <w:rPr>
            <w:rFonts w:ascii="Arial" w:hAnsi="Arial" w:cs="Arial"/>
            <w:noProof/>
            <w:sz w:val="20"/>
            <w:szCs w:val="20"/>
          </w:rPr>
          <w:t>2</w:t>
        </w:r>
        <w:r w:rsidRPr="00AD6963">
          <w:rPr>
            <w:rFonts w:ascii="Arial" w:hAnsi="Arial" w:cs="Arial"/>
            <w:noProof/>
            <w:sz w:val="20"/>
            <w:szCs w:val="20"/>
          </w:rPr>
          <w:fldChar w:fldCharType="end"/>
        </w:r>
        <w:r w:rsidRPr="00AD6963">
          <w:rPr>
            <w:rFonts w:ascii="Arial" w:hAnsi="Arial" w:cs="Arial"/>
            <w:noProof/>
            <w:sz w:val="20"/>
            <w:szCs w:val="20"/>
          </w:rPr>
          <w:t>/1</w:t>
        </w:r>
        <w:r w:rsidR="00B84119">
          <w:rPr>
            <w:rFonts w:ascii="Arial" w:hAnsi="Arial" w:cs="Arial"/>
            <w:noProof/>
            <w:sz w:val="20"/>
            <w:szCs w:val="20"/>
          </w:rPr>
          <w:t>6</w:t>
        </w:r>
      </w:p>
    </w:sdtContent>
  </w:sdt>
  <w:p w14:paraId="0CA684FC" w14:textId="77777777" w:rsidR="003B1122" w:rsidRDefault="003B1122" w:rsidP="00973888">
    <w:pPr>
      <w:pStyle w:val="Footer"/>
      <w:tabs>
        <w:tab w:val="clear" w:pos="4680"/>
        <w:tab w:val="clear" w:pos="9360"/>
        <w:tab w:val="left" w:pos="33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9DBE" w14:textId="6B27A7D1" w:rsidR="00317408" w:rsidRDefault="00317408">
    <w:pPr>
      <w:pStyle w:val="Footer"/>
    </w:pPr>
    <w:r>
      <w:rPr>
        <w:noProof/>
        <w:lang w:val="en-US"/>
      </w:rPr>
      <mc:AlternateContent>
        <mc:Choice Requires="wps">
          <w:drawing>
            <wp:anchor distT="0" distB="0" distL="114300" distR="114300" simplePos="0" relativeHeight="251683840" behindDoc="0" locked="0" layoutInCell="0" allowOverlap="0" wp14:anchorId="6B5DEE11" wp14:editId="3FA0E31A">
              <wp:simplePos x="0" y="0"/>
              <wp:positionH relativeFrom="page">
                <wp:posOffset>2157095</wp:posOffset>
              </wp:positionH>
              <wp:positionV relativeFrom="page">
                <wp:posOffset>9471025</wp:posOffset>
              </wp:positionV>
              <wp:extent cx="1130300" cy="506730"/>
              <wp:effectExtent l="0" t="0" r="12700" b="7620"/>
              <wp:wrapNone/>
              <wp:docPr id="16" name="Zone de texte 3"/>
              <wp:cNvGraphicFramePr/>
              <a:graphic xmlns:a="http://schemas.openxmlformats.org/drawingml/2006/main">
                <a:graphicData uri="http://schemas.microsoft.com/office/word/2010/wordprocessingShape">
                  <wps:wsp>
                    <wps:cNvSpPr txBox="1"/>
                    <wps:spPr>
                      <a:xfrm>
                        <a:off x="0" y="0"/>
                        <a:ext cx="1130300" cy="506730"/>
                      </a:xfrm>
                      <a:prstGeom prst="rect">
                        <a:avLst/>
                      </a:prstGeom>
                      <a:noFill/>
                      <a:ln w="6350">
                        <a:noFill/>
                      </a:ln>
                      <a:effectLst/>
                    </wps:spPr>
                    <wps:txbx>
                      <w:txbxContent>
                        <w:p w14:paraId="29CF6923" w14:textId="03FC4E6B" w:rsidR="00317408" w:rsidRPr="00362F24" w:rsidRDefault="00317408" w:rsidP="00317408">
                          <w:pPr>
                            <w:pStyle w:val="Paragraphestandard"/>
                            <w:jc w:val="center"/>
                            <w:rPr>
                              <w:rFonts w:ascii="Arial" w:hAnsi="Arial" w:cs="Arial"/>
                              <w:sz w:val="16"/>
                              <w:szCs w:val="16"/>
                            </w:rPr>
                          </w:pPr>
                          <w:r w:rsidRPr="00362F24">
                            <w:rPr>
                              <w:rFonts w:ascii="Arial" w:hAnsi="Arial" w:cs="Arial"/>
                              <w:w w:val="93"/>
                              <w:sz w:val="16"/>
                              <w:szCs w:val="16"/>
                            </w:rPr>
                            <w:t>congress.</w:t>
                          </w:r>
                          <w:r w:rsidR="00362F24" w:rsidRPr="00362F24">
                            <w:rPr>
                              <w:rFonts w:ascii="Arial" w:hAnsi="Arial" w:cs="Arial"/>
                              <w:w w:val="93"/>
                              <w:sz w:val="16"/>
                              <w:szCs w:val="16"/>
                            </w:rPr>
                            <w:t>session</w:t>
                          </w:r>
                          <w:r w:rsidRPr="00362F24">
                            <w:rPr>
                              <w:rFonts w:ascii="Arial" w:hAnsi="Arial" w:cs="Arial"/>
                              <w:w w:val="93"/>
                              <w:sz w:val="16"/>
                              <w:szCs w:val="16"/>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B5DEE11" id="_x0000_t202" coordsize="21600,21600" o:spt="202" path="m,l,21600r21600,l21600,xe">
              <v:stroke joinstyle="miter"/>
              <v:path gradientshapeok="t" o:connecttype="rect"/>
            </v:shapetype>
            <v:shape id="Zone de texte 3" o:spid="_x0000_s1026" type="#_x0000_t202" style="position:absolute;margin-left:169.85pt;margin-top:745.75pt;width:89pt;height:39.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7CgIAAB4EAAAOAAAAZHJzL2Uyb0RvYy54bWysU11r2zAUfR/sPwi9L3Yamg0Tp2QtGYPQ&#10;FtLRZ0WWYoOsq10psbNfvyvFTkq3p7EX+cr3+5yjxV3fGnZU6BuwJZ9Ocs6UlVA1dl/yHy/rT184&#10;80HYShiwquQn5fnd8uOHRecKdQM1mEohoyLWF50reR2CK7LMy1q1wk/AKUtODdiKQFfcZxWKjqq3&#10;JrvJ83nWAVYOQSrv6e/D2cmXqb7WSoYnrb0KzJScZgvpxHTu4pktF6LYo3B1I4cxxD9M0YrGUtNL&#10;qQcRBDtg80eptpEIHnSYSGgz0LqRKu1A20zzd9tsa+FU2oXA8e4Ck/9/ZeXjceuekYX+K/REYASk&#10;c77w9DPu02ts45cmZeQnCE8X2FQfmIxJ01k+y8klyXebzz/PEq7ZNduhD98UtCwaJUeiJaEljhsf&#10;qCOFjiGxmYV1Y0yixljWlXw+u81TwsVDGcbGWJVIHspcJ49W6Hf9sM4OqhNtiXAWgHdy3dAoG+HD&#10;s0BinKYnFYcnOrQBagmDxVkN+Otv/2M8EUFezjpSUMn9z4NAxZn5bomiKLfRwNHYjYY9tPdAopzS&#10;+3AymZSAwYymRmhfSdyr2IVcwkrqVXIZcLzch7OS6XlItVqlMJKVE2Fjt07G4hGiCO1L/yrQDfgH&#10;Yu4RRnWJ4h0N51hiJYJ4Rm64kAgTWcODiSp/e09R12e9/A0AAP//AwBQSwMEFAAGAAgAAAAhADij&#10;gOnjAAAADQEAAA8AAABkcnMvZG93bnJldi54bWxMj8FOwzAQRO9I/IO1SNyoY0IIDXEqhERpkajU&#10;lg9wEzdOE6+j2E3D37Oc4LgzT7Mz+WKyHRv14BuHEsQsAqaxdFWDtYSv/dvdEzAfFFaqc6glfGsP&#10;i+L6KldZ5S641eMu1IxC0GdKggmhzzj3pdFW+ZnrNZJ3dINVgc6h5tWgLhRuO34fRY/cqgbpg1G9&#10;fjW6bHdnK2HZHMV+M7Z1b9r1+/Jj9XlanYKUtzfTyzOwoKfwB8NvfaoOBXU6uDNWnnUS4nieEkrG&#10;w1wkwAhJRErSgaQkFTHwIuf/VxQ/AAAA//8DAFBLAQItABQABgAIAAAAIQC2gziS/gAAAOEBAAAT&#10;AAAAAAAAAAAAAAAAAAAAAABbQ29udGVudF9UeXBlc10ueG1sUEsBAi0AFAAGAAgAAAAhADj9If/W&#10;AAAAlAEAAAsAAAAAAAAAAAAAAAAALwEAAF9yZWxzLy5yZWxzUEsBAi0AFAAGAAgAAAAhAGH8mXsK&#10;AgAAHgQAAA4AAAAAAAAAAAAAAAAALgIAAGRycy9lMm9Eb2MueG1sUEsBAi0AFAAGAAgAAAAhADij&#10;gOnjAAAADQEAAA8AAAAAAAAAAAAAAAAAZAQAAGRycy9kb3ducmV2LnhtbFBLBQYAAAAABAAEAPMA&#10;AAB0BQAAAAA=&#10;" o:allowincell="f" o:allowoverlap="f" filled="f" stroked="f" strokeweight=".5pt">
              <v:textbox inset="0,0,0,0">
                <w:txbxContent>
                  <w:p w14:paraId="29CF6923" w14:textId="03FC4E6B" w:rsidR="00317408" w:rsidRPr="00362F24" w:rsidRDefault="00317408" w:rsidP="00317408">
                    <w:pPr>
                      <w:pStyle w:val="Paragraphestandard"/>
                      <w:jc w:val="center"/>
                      <w:rPr>
                        <w:rFonts w:ascii="Arial" w:hAnsi="Arial" w:cs="Arial"/>
                        <w:sz w:val="16"/>
                        <w:szCs w:val="16"/>
                      </w:rPr>
                    </w:pPr>
                    <w:r w:rsidRPr="00362F24">
                      <w:rPr>
                        <w:rFonts w:ascii="Arial" w:hAnsi="Arial" w:cs="Arial"/>
                        <w:w w:val="93"/>
                        <w:sz w:val="16"/>
                        <w:szCs w:val="16"/>
                      </w:rPr>
                      <w:t>congress.</w:t>
                    </w:r>
                    <w:r w:rsidR="00362F24" w:rsidRPr="00362F24">
                      <w:rPr>
                        <w:rFonts w:ascii="Arial" w:hAnsi="Arial" w:cs="Arial"/>
                        <w:w w:val="93"/>
                        <w:sz w:val="16"/>
                        <w:szCs w:val="16"/>
                      </w:rPr>
                      <w:t>session</w:t>
                    </w:r>
                    <w:r w:rsidRPr="00362F24">
                      <w:rPr>
                        <w:rFonts w:ascii="Arial" w:hAnsi="Arial" w:cs="Arial"/>
                        <w:w w:val="93"/>
                        <w:sz w:val="16"/>
                        <w:szCs w:val="16"/>
                      </w:rPr>
                      <w:t>@coe.int</w:t>
                    </w:r>
                  </w:p>
                </w:txbxContent>
              </v:textbox>
              <w10:wrap anchorx="page" anchory="page"/>
            </v:shape>
          </w:pict>
        </mc:Fallback>
      </mc:AlternateContent>
    </w:r>
    <w:r>
      <w:rPr>
        <w:rFonts w:cs="Tahoma"/>
        <w:noProof/>
        <w:sz w:val="12"/>
        <w:szCs w:val="12"/>
        <w:lang w:val="en-US"/>
      </w:rPr>
      <w:drawing>
        <wp:anchor distT="0" distB="0" distL="114300" distR="114300" simplePos="0" relativeHeight="251681792" behindDoc="0" locked="0" layoutInCell="1" allowOverlap="1" wp14:anchorId="34788639" wp14:editId="6E6078AA">
          <wp:simplePos x="0" y="0"/>
          <wp:positionH relativeFrom="column">
            <wp:posOffset>497</wp:posOffset>
          </wp:positionH>
          <wp:positionV relativeFrom="paragraph">
            <wp:posOffset>44478</wp:posOffset>
          </wp:positionV>
          <wp:extent cx="5724525" cy="704850"/>
          <wp:effectExtent l="0" t="0" r="0" b="0"/>
          <wp:wrapSquare wrapText="bothSides"/>
          <wp:docPr id="4" name="Picture 4"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pied_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4525" cy="7048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EF62" w14:textId="77777777" w:rsidR="00945A06" w:rsidRDefault="00945A06" w:rsidP="00B4001B">
      <w:r>
        <w:separator/>
      </w:r>
    </w:p>
  </w:footnote>
  <w:footnote w:type="continuationSeparator" w:id="0">
    <w:p w14:paraId="7DF5E114" w14:textId="77777777" w:rsidR="00945A06" w:rsidRDefault="00945A06" w:rsidP="00B4001B">
      <w:r>
        <w:continuationSeparator/>
      </w:r>
    </w:p>
  </w:footnote>
  <w:footnote w:id="1">
    <w:p w14:paraId="67DB7BA9" w14:textId="77777777" w:rsidR="003B1122" w:rsidRPr="009F1C1B" w:rsidRDefault="003B1122" w:rsidP="00BD38A3">
      <w:pPr>
        <w:pStyle w:val="FootnoteText"/>
        <w:jc w:val="both"/>
        <w:rPr>
          <w:rFonts w:ascii="Arial" w:hAnsi="Arial" w:cs="Arial"/>
          <w:sz w:val="16"/>
          <w:szCs w:val="16"/>
        </w:rPr>
      </w:pPr>
      <w:r w:rsidRPr="009F1C1B">
        <w:rPr>
          <w:rStyle w:val="FootnoteReference"/>
          <w:rFonts w:ascii="Arial" w:hAnsi="Arial" w:cs="Arial"/>
          <w:sz w:val="16"/>
          <w:szCs w:val="16"/>
          <w:vertAlign w:val="baseline"/>
        </w:rPr>
        <w:footnoteRef/>
      </w:r>
      <w:r w:rsidRPr="009F1C1B">
        <w:rPr>
          <w:rFonts w:ascii="Arial" w:hAnsi="Arial" w:cs="Arial"/>
          <w:sz w:val="16"/>
          <w:szCs w:val="16"/>
        </w:rPr>
        <w:t xml:space="preserve">. L: Chamber of Local Authorities / R: Chamber of Regions. </w:t>
      </w:r>
    </w:p>
    <w:p w14:paraId="6A23E6A5" w14:textId="77777777" w:rsidR="003B1122" w:rsidRPr="009F1C1B" w:rsidRDefault="003B1122" w:rsidP="00BD38A3">
      <w:pPr>
        <w:pStyle w:val="FootnoteText"/>
        <w:jc w:val="both"/>
        <w:rPr>
          <w:rFonts w:ascii="Arial" w:hAnsi="Arial" w:cs="Arial"/>
          <w:sz w:val="16"/>
          <w:szCs w:val="16"/>
        </w:rPr>
      </w:pPr>
      <w:r w:rsidRPr="009F1C1B">
        <w:rPr>
          <w:rFonts w:ascii="Arial" w:hAnsi="Arial" w:cs="Arial"/>
          <w:sz w:val="16"/>
          <w:szCs w:val="16"/>
        </w:rPr>
        <w:t xml:space="preserve">EPP/CCE: European People’s Party Group in the Congress. </w:t>
      </w:r>
    </w:p>
    <w:p w14:paraId="7E54497D" w14:textId="77777777" w:rsidR="003B1122" w:rsidRPr="009F1C1B" w:rsidRDefault="003B1122" w:rsidP="00BD38A3">
      <w:pPr>
        <w:autoSpaceDE w:val="0"/>
        <w:autoSpaceDN w:val="0"/>
        <w:adjustRightInd w:val="0"/>
        <w:jc w:val="both"/>
        <w:rPr>
          <w:rFonts w:ascii="Arial" w:eastAsiaTheme="minorHAnsi" w:hAnsi="Arial" w:cs="Arial"/>
          <w:bCs/>
          <w:sz w:val="16"/>
          <w:szCs w:val="16"/>
        </w:rPr>
      </w:pPr>
      <w:r w:rsidRPr="009F1C1B">
        <w:rPr>
          <w:rFonts w:ascii="Arial" w:hAnsi="Arial" w:cs="Arial"/>
          <w:sz w:val="16"/>
          <w:szCs w:val="16"/>
        </w:rPr>
        <w:t xml:space="preserve">SOC/G/PD: </w:t>
      </w:r>
      <w:r w:rsidRPr="009F1C1B">
        <w:rPr>
          <w:rFonts w:ascii="Arial" w:eastAsiaTheme="minorHAnsi" w:hAnsi="Arial" w:cs="Arial"/>
          <w:bCs/>
          <w:sz w:val="16"/>
          <w:szCs w:val="16"/>
        </w:rPr>
        <w:t xml:space="preserve">Group of Socialists, Greens and Progressive Democrats. </w:t>
      </w:r>
    </w:p>
    <w:p w14:paraId="029442CA" w14:textId="77777777" w:rsidR="003B1122" w:rsidRPr="009F1C1B" w:rsidRDefault="003B1122" w:rsidP="00BD38A3">
      <w:pPr>
        <w:pStyle w:val="FootnoteText"/>
        <w:jc w:val="both"/>
        <w:rPr>
          <w:rFonts w:ascii="Arial" w:hAnsi="Arial" w:cs="Arial"/>
          <w:sz w:val="16"/>
          <w:szCs w:val="16"/>
        </w:rPr>
      </w:pPr>
      <w:r w:rsidRPr="009F1C1B">
        <w:rPr>
          <w:rFonts w:ascii="Arial" w:hAnsi="Arial" w:cs="Arial"/>
          <w:sz w:val="16"/>
          <w:szCs w:val="16"/>
        </w:rPr>
        <w:t xml:space="preserve">ILDG: Independent Liberal and Democratic Group. </w:t>
      </w:r>
    </w:p>
    <w:p w14:paraId="0CD2F4F6" w14:textId="77777777" w:rsidR="003B1122" w:rsidRPr="009F1C1B" w:rsidRDefault="003B1122" w:rsidP="00BD38A3">
      <w:pPr>
        <w:pStyle w:val="FootnoteText"/>
        <w:jc w:val="both"/>
        <w:rPr>
          <w:rFonts w:ascii="Arial" w:hAnsi="Arial" w:cs="Arial"/>
          <w:sz w:val="16"/>
          <w:szCs w:val="16"/>
        </w:rPr>
      </w:pPr>
      <w:r w:rsidRPr="009F1C1B">
        <w:rPr>
          <w:rFonts w:ascii="Arial" w:hAnsi="Arial" w:cs="Arial"/>
          <w:sz w:val="16"/>
          <w:szCs w:val="16"/>
        </w:rPr>
        <w:t xml:space="preserve">ECR: European Conservatives and Reformists Group. </w:t>
      </w:r>
    </w:p>
    <w:p w14:paraId="140C2FFA" w14:textId="77777777" w:rsidR="003B1122" w:rsidRPr="009F1C1B" w:rsidRDefault="003B1122" w:rsidP="00BD38A3">
      <w:pPr>
        <w:pStyle w:val="FootnoteText"/>
        <w:jc w:val="both"/>
        <w:rPr>
          <w:rFonts w:ascii="Arial" w:hAnsi="Arial" w:cs="Arial"/>
          <w:sz w:val="16"/>
          <w:szCs w:val="16"/>
        </w:rPr>
      </w:pPr>
      <w:r w:rsidRPr="009F1C1B">
        <w:rPr>
          <w:rFonts w:ascii="Arial" w:hAnsi="Arial" w:cs="Arial"/>
          <w:sz w:val="16"/>
          <w:szCs w:val="16"/>
        </w:rPr>
        <w:t xml:space="preserve">NR: Members not belonging to a political group of the Congress. </w:t>
      </w:r>
    </w:p>
  </w:footnote>
  <w:footnote w:id="2">
    <w:p w14:paraId="378D8AB2" w14:textId="40FC4C6F" w:rsidR="00F402D8" w:rsidRPr="00377013" w:rsidRDefault="00F402D8" w:rsidP="00F402D8">
      <w:pPr>
        <w:pStyle w:val="FootnoteText"/>
        <w:jc w:val="both"/>
        <w:rPr>
          <w:rFonts w:ascii="Arial" w:hAnsi="Arial" w:cs="Arial"/>
          <w:sz w:val="16"/>
          <w:szCs w:val="16"/>
        </w:rPr>
      </w:pPr>
      <w:r w:rsidRPr="00377013">
        <w:rPr>
          <w:rStyle w:val="FootnoteReference"/>
          <w:rFonts w:ascii="Arial" w:hAnsi="Arial" w:cs="Arial"/>
          <w:sz w:val="16"/>
          <w:szCs w:val="16"/>
          <w:vertAlign w:val="baseline"/>
        </w:rPr>
        <w:footnoteRef/>
      </w:r>
      <w:r w:rsidR="00880BC1">
        <w:rPr>
          <w:rFonts w:ascii="Arial" w:hAnsi="Arial" w:cs="Arial"/>
          <w:sz w:val="16"/>
          <w:szCs w:val="16"/>
        </w:rPr>
        <w:t>.</w:t>
      </w:r>
      <w:r w:rsidRPr="00377013">
        <w:rPr>
          <w:rFonts w:ascii="Arial" w:hAnsi="Arial" w:cs="Arial"/>
          <w:sz w:val="16"/>
          <w:szCs w:val="16"/>
        </w:rPr>
        <w:t xml:space="preserve"> </w:t>
      </w:r>
      <w:r w:rsidRPr="00377013">
        <w:rPr>
          <w:rFonts w:ascii="Arial" w:hAnsi="Arial" w:cs="Arial"/>
          <w:sz w:val="16"/>
          <w:szCs w:val="16"/>
          <w:lang w:val="en-US"/>
        </w:rPr>
        <w:t>Debated and adopted by the Congress during the 4</w:t>
      </w:r>
      <w:r>
        <w:rPr>
          <w:rFonts w:ascii="Arial" w:hAnsi="Arial" w:cs="Arial"/>
          <w:sz w:val="16"/>
          <w:szCs w:val="16"/>
          <w:lang w:val="en-US"/>
        </w:rPr>
        <w:t>6</w:t>
      </w:r>
      <w:r w:rsidRPr="00377013">
        <w:rPr>
          <w:rFonts w:ascii="Arial" w:hAnsi="Arial" w:cs="Arial"/>
          <w:sz w:val="16"/>
          <w:szCs w:val="16"/>
          <w:lang w:val="en-US"/>
        </w:rPr>
        <w:t>th Session on 2</w:t>
      </w:r>
      <w:r w:rsidR="00880BC1">
        <w:rPr>
          <w:rFonts w:ascii="Arial" w:hAnsi="Arial" w:cs="Arial"/>
          <w:sz w:val="16"/>
          <w:szCs w:val="16"/>
          <w:lang w:val="en-US"/>
        </w:rPr>
        <w:t>6</w:t>
      </w:r>
      <w:r>
        <w:rPr>
          <w:rFonts w:ascii="Arial" w:hAnsi="Arial" w:cs="Arial"/>
          <w:sz w:val="16"/>
          <w:szCs w:val="16"/>
          <w:lang w:val="en-US"/>
        </w:rPr>
        <w:t xml:space="preserve"> March</w:t>
      </w:r>
      <w:r w:rsidRPr="00377013">
        <w:rPr>
          <w:rFonts w:ascii="Arial" w:hAnsi="Arial" w:cs="Arial"/>
          <w:sz w:val="16"/>
          <w:szCs w:val="16"/>
          <w:lang w:val="en-US"/>
        </w:rPr>
        <w:t xml:space="preserve"> 202</w:t>
      </w:r>
      <w:r>
        <w:rPr>
          <w:rFonts w:ascii="Arial" w:hAnsi="Arial" w:cs="Arial"/>
          <w:sz w:val="16"/>
          <w:szCs w:val="16"/>
          <w:lang w:val="en-US"/>
        </w:rPr>
        <w:t>4</w:t>
      </w:r>
      <w:r w:rsidRPr="00377013">
        <w:rPr>
          <w:rFonts w:ascii="Arial" w:hAnsi="Arial" w:cs="Arial"/>
          <w:sz w:val="16"/>
          <w:szCs w:val="16"/>
          <w:lang w:val="en-US"/>
        </w:rPr>
        <w:t xml:space="preserve"> (see document </w:t>
      </w:r>
      <w:hyperlink r:id="rId1" w:history="1">
        <w:r w:rsidRPr="00377013">
          <w:rPr>
            <w:rStyle w:val="Hyperlink"/>
            <w:szCs w:val="16"/>
            <w:lang w:val="en-US"/>
          </w:rPr>
          <w:t>CG(2024)46-</w:t>
        </w:r>
        <w:r>
          <w:rPr>
            <w:rStyle w:val="Hyperlink"/>
            <w:szCs w:val="16"/>
            <w:lang w:val="en-US"/>
          </w:rPr>
          <w:t>20</w:t>
        </w:r>
      </w:hyperlink>
      <w:r w:rsidRPr="00377013">
        <w:rPr>
          <w:rFonts w:ascii="Arial" w:hAnsi="Arial" w:cs="Arial"/>
          <w:sz w:val="16"/>
          <w:szCs w:val="16"/>
          <w:lang w:val="en-US"/>
        </w:rPr>
        <w:t xml:space="preserve">, explanatory memorandum), rapporteur: </w:t>
      </w:r>
      <w:r w:rsidRPr="00F402D8">
        <w:rPr>
          <w:rFonts w:ascii="Arial" w:hAnsi="Arial" w:cs="Arial"/>
          <w:bCs/>
          <w:sz w:val="16"/>
          <w:szCs w:val="16"/>
        </w:rPr>
        <w:t>Stewart DICKSON, United Kingdom (R, ILDG)</w:t>
      </w:r>
      <w:r>
        <w:rPr>
          <w:rFonts w:ascii="Arial" w:hAnsi="Arial" w:cs="Arial"/>
          <w:bCs/>
          <w:sz w:val="16"/>
          <w:szCs w:val="16"/>
        </w:rPr>
        <w:t>.</w:t>
      </w:r>
      <w:r w:rsidRPr="00377013">
        <w:rPr>
          <w:rFonts w:ascii="Arial" w:hAnsi="Arial" w:cs="Arial"/>
          <w:bCs/>
          <w:sz w:val="16"/>
          <w:szCs w:val="16"/>
        </w:rPr>
        <w:t xml:space="preserve"> </w:t>
      </w:r>
    </w:p>
  </w:footnote>
  <w:footnote w:id="3">
    <w:p w14:paraId="1073BC14" w14:textId="733858CC" w:rsidR="006960BC" w:rsidRPr="006960BC" w:rsidRDefault="006960BC">
      <w:pPr>
        <w:pStyle w:val="FootnoteText"/>
        <w:rPr>
          <w:rFonts w:ascii="Arial" w:hAnsi="Arial" w:cs="Arial"/>
          <w:sz w:val="16"/>
          <w:szCs w:val="16"/>
        </w:rPr>
      </w:pPr>
      <w:r w:rsidRPr="006960BC">
        <w:rPr>
          <w:rStyle w:val="FootnoteReference"/>
          <w:rFonts w:ascii="Arial" w:hAnsi="Arial" w:cs="Arial"/>
          <w:sz w:val="16"/>
          <w:szCs w:val="16"/>
          <w:vertAlign w:val="baseline"/>
        </w:rPr>
        <w:footnoteRef/>
      </w:r>
      <w:r w:rsidR="00B84119">
        <w:rPr>
          <w:rFonts w:ascii="Arial" w:hAnsi="Arial" w:cs="Arial"/>
          <w:sz w:val="16"/>
          <w:szCs w:val="16"/>
        </w:rPr>
        <w:t>.</w:t>
      </w:r>
      <w:r w:rsidRPr="006960BC">
        <w:rPr>
          <w:rFonts w:ascii="Arial" w:hAnsi="Arial" w:cs="Arial"/>
          <w:sz w:val="16"/>
          <w:szCs w:val="16"/>
        </w:rPr>
        <w:t xml:space="preserve"> See footnote on page 2.</w:t>
      </w:r>
    </w:p>
  </w:footnote>
  <w:footnote w:id="4">
    <w:p w14:paraId="79336066" w14:textId="77777777" w:rsidR="006B4A3B" w:rsidRDefault="006B4A3B" w:rsidP="006B4A3B">
      <w:pPr>
        <w:pStyle w:val="FootnoteText"/>
      </w:pPr>
      <w:r w:rsidRPr="00D542DF">
        <w:rPr>
          <w:rStyle w:val="FootnoteReference"/>
          <w:rFonts w:ascii="Arial" w:hAnsi="Arial" w:cs="Arial"/>
          <w:sz w:val="16"/>
          <w:szCs w:val="16"/>
          <w:vertAlign w:val="baseline"/>
        </w:rPr>
        <w:footnoteRef/>
      </w:r>
      <w:r w:rsidRPr="00D542DF">
        <w:rPr>
          <w:rFonts w:ascii="Arial" w:hAnsi="Arial" w:cs="Arial"/>
          <w:sz w:val="16"/>
          <w:szCs w:val="16"/>
        </w:rPr>
        <w:t>.</w:t>
      </w:r>
      <w:r w:rsidRPr="00D542DF">
        <w:t xml:space="preserve"> </w:t>
      </w:r>
      <w:r w:rsidRPr="00D542DF">
        <w:rPr>
          <w:rFonts w:ascii="Arial" w:hAnsi="Arial" w:cs="Arial"/>
          <w:sz w:val="16"/>
          <w:szCs w:val="16"/>
        </w:rPr>
        <w:t>This explanatory memorandum has been prepared with the contribution of Prof. Tania GROPPI, Vice-President of the Group of Independent Experts on the Charter and adviser to the Congress on constitutional matters.</w:t>
      </w:r>
    </w:p>
  </w:footnote>
  <w:footnote w:id="5">
    <w:p w14:paraId="2F400E57" w14:textId="1F9AC469" w:rsidR="008B0560" w:rsidRPr="00C63535" w:rsidRDefault="008B0560" w:rsidP="003F11A6">
      <w:pPr>
        <w:pStyle w:val="FootnoteText"/>
        <w:tabs>
          <w:tab w:val="left" w:pos="567"/>
          <w:tab w:val="left" w:pos="709"/>
        </w:tabs>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sidRPr="00C63535">
        <w:rPr>
          <w:lang w:val="en-US"/>
        </w:rPr>
        <w:t>.</w:t>
      </w:r>
      <w:hyperlink r:id="rId2" w:anchor=":~:text=The%20Outcome%20Document%20stated%2C%20in,cleansing%20and%20crimes%20against%20humanity" w:history="1">
        <w:r w:rsidR="00C63535" w:rsidRPr="00C63535">
          <w:rPr>
            <w:rStyle w:val="Hyperlink"/>
            <w:szCs w:val="16"/>
            <w:lang w:val="en-US"/>
          </w:rPr>
          <w:t>https://www.un.org/en/conferences/environment/newyork2005#:~:text=The%20Outcome%20Document%20stated%2C%20in,cleansing%20and%20crimes%20against%20humanity</w:t>
        </w:r>
      </w:hyperlink>
      <w:r w:rsidR="00C63535" w:rsidRPr="00C63535">
        <w:rPr>
          <w:rFonts w:ascii="Arial" w:hAnsi="Arial" w:cs="Arial"/>
          <w:sz w:val="16"/>
          <w:szCs w:val="16"/>
          <w:lang w:val="en-US"/>
        </w:rPr>
        <w:t>, access</w:t>
      </w:r>
      <w:r w:rsidR="00C63535">
        <w:rPr>
          <w:rFonts w:ascii="Arial" w:hAnsi="Arial" w:cs="Arial"/>
          <w:sz w:val="16"/>
          <w:szCs w:val="16"/>
          <w:lang w:val="en-US"/>
        </w:rPr>
        <w:t>ed 16 august 2023.</w:t>
      </w:r>
      <w:r w:rsidR="00C63535" w:rsidRPr="00C63535">
        <w:rPr>
          <w:rFonts w:ascii="Arial" w:hAnsi="Arial" w:cs="Arial"/>
          <w:sz w:val="16"/>
          <w:szCs w:val="16"/>
          <w:lang w:val="en-US"/>
        </w:rPr>
        <w:t xml:space="preserve"> </w:t>
      </w:r>
    </w:p>
  </w:footnote>
  <w:footnote w:id="6">
    <w:p w14:paraId="4772F326" w14:textId="4E3C1A65" w:rsidR="008B0560" w:rsidRPr="0022274E" w:rsidRDefault="008B0560" w:rsidP="003F11A6">
      <w:pPr>
        <w:pStyle w:val="FootnoteText"/>
        <w:jc w:val="both"/>
        <w:rPr>
          <w:rFonts w:ascii="Arial" w:hAnsi="Arial" w:cs="Arial"/>
          <w:sz w:val="16"/>
          <w:szCs w:val="16"/>
        </w:rPr>
      </w:pPr>
      <w:r w:rsidRPr="0022274E">
        <w:rPr>
          <w:rStyle w:val="FootnoteReference"/>
          <w:rFonts w:ascii="Arial" w:hAnsi="Arial" w:cs="Arial"/>
          <w:sz w:val="16"/>
          <w:szCs w:val="16"/>
          <w:vertAlign w:val="baseline"/>
        </w:rPr>
        <w:footnoteRef/>
      </w:r>
      <w:r w:rsidR="00C63535">
        <w:rPr>
          <w:rFonts w:ascii="Arial" w:hAnsi="Arial" w:cs="Arial"/>
          <w:sz w:val="16"/>
          <w:szCs w:val="16"/>
        </w:rPr>
        <w:t>.</w:t>
      </w:r>
      <w:r w:rsidRPr="0022274E">
        <w:rPr>
          <w:rFonts w:ascii="Arial" w:hAnsi="Arial" w:cs="Arial"/>
          <w:sz w:val="16"/>
          <w:szCs w:val="16"/>
        </w:rPr>
        <w:t xml:space="preserve"> </w:t>
      </w:r>
      <w:hyperlink r:id="rId3" w:history="1">
        <w:r w:rsidRPr="0022274E">
          <w:rPr>
            <w:rStyle w:val="Hyperlink"/>
            <w:szCs w:val="16"/>
          </w:rPr>
          <w:t>https://www.un.org/ruleoflaw/sdg-16/</w:t>
        </w:r>
      </w:hyperlink>
      <w:r w:rsidR="00C63535">
        <w:rPr>
          <w:rStyle w:val="Hyperlink"/>
          <w:szCs w:val="16"/>
        </w:rPr>
        <w:t xml:space="preserve">, </w:t>
      </w:r>
      <w:r w:rsidR="00C63535">
        <w:rPr>
          <w:rFonts w:ascii="Arial" w:hAnsi="Arial" w:cs="Arial"/>
          <w:sz w:val="16"/>
          <w:szCs w:val="16"/>
          <w:lang w:val="en-US"/>
        </w:rPr>
        <w:t>16 august 2023</w:t>
      </w:r>
      <w:r w:rsidR="00C63535">
        <w:rPr>
          <w:rFonts w:ascii="Arial" w:hAnsi="Arial" w:cs="Arial"/>
          <w:sz w:val="16"/>
          <w:szCs w:val="16"/>
        </w:rPr>
        <w:t>.</w:t>
      </w:r>
    </w:p>
  </w:footnote>
  <w:footnote w:id="7">
    <w:p w14:paraId="1FE6E6F4" w14:textId="1B79B0AF" w:rsidR="008B0560" w:rsidRPr="0022274E" w:rsidRDefault="008B0560" w:rsidP="003F11A6">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w:t>
      </w:r>
      <w:r w:rsidR="008933A4" w:rsidRPr="008933A4">
        <w:rPr>
          <w:rFonts w:ascii="Arial" w:hAnsi="Arial" w:cs="Arial"/>
          <w:sz w:val="16"/>
          <w:szCs w:val="16"/>
          <w:lang w:val="en-US"/>
        </w:rPr>
        <w:t>European Court of Human Rights</w:t>
      </w:r>
      <w:r w:rsidR="008933A4" w:rsidRPr="008933A4" w:rsidDel="008933A4">
        <w:rPr>
          <w:rFonts w:ascii="Arial" w:hAnsi="Arial" w:cs="Arial"/>
          <w:sz w:val="16"/>
          <w:szCs w:val="16"/>
          <w:lang w:val="en-US"/>
        </w:rPr>
        <w:t xml:space="preserve"> </w:t>
      </w:r>
      <w:r w:rsidRPr="0022274E">
        <w:rPr>
          <w:rFonts w:ascii="Arial" w:hAnsi="Arial" w:cs="Arial"/>
          <w:sz w:val="16"/>
          <w:szCs w:val="16"/>
          <w:lang w:val="en-US"/>
        </w:rPr>
        <w:t xml:space="preserve">(GC), </w:t>
      </w:r>
      <w:r w:rsidRPr="0022274E">
        <w:rPr>
          <w:rFonts w:ascii="Arial" w:hAnsi="Arial" w:cs="Arial"/>
          <w:i/>
          <w:iCs/>
          <w:sz w:val="16"/>
          <w:szCs w:val="16"/>
          <w:lang w:val="en-US"/>
        </w:rPr>
        <w:t xml:space="preserve">Dulimi and Montana Management Inc. v. Switzerland </w:t>
      </w:r>
      <w:r w:rsidRPr="0022274E">
        <w:rPr>
          <w:rFonts w:ascii="Arial" w:hAnsi="Arial" w:cs="Arial"/>
          <w:sz w:val="16"/>
          <w:szCs w:val="16"/>
          <w:lang w:val="en-US"/>
        </w:rPr>
        <w:t>ECtHR no. 5809/08, 21 June 2016, § 145</w:t>
      </w:r>
    </w:p>
  </w:footnote>
  <w:footnote w:id="8">
    <w:p w14:paraId="1FD805AA" w14:textId="7AF1CA1F" w:rsidR="005364ED" w:rsidRPr="0022274E" w:rsidRDefault="005364ED" w:rsidP="003F11A6">
      <w:pPr>
        <w:tabs>
          <w:tab w:val="left" w:pos="284"/>
        </w:tabs>
        <w:autoSpaceDE w:val="0"/>
        <w:autoSpaceDN w:val="0"/>
        <w:adjustRightInd w:val="0"/>
        <w:jc w:val="both"/>
        <w:rPr>
          <w:rFonts w:ascii="Arial" w:hAnsi="Arial" w:cs="Arial"/>
          <w:sz w:val="16"/>
          <w:szCs w:val="16"/>
          <w:lang w:val="en-US"/>
        </w:rPr>
      </w:pPr>
      <w:r w:rsidRPr="00BD38A3">
        <w:rPr>
          <w:rStyle w:val="FootnoteReference"/>
          <w:rFonts w:ascii="Arial" w:hAnsi="Arial" w:cs="Arial"/>
          <w:sz w:val="16"/>
          <w:szCs w:val="16"/>
          <w:vertAlign w:val="baseline"/>
        </w:rPr>
        <w:footnoteRef/>
      </w:r>
      <w:r w:rsidR="00C63535">
        <w:rPr>
          <w:rFonts w:ascii="Arial" w:hAnsi="Arial" w:cs="Arial"/>
          <w:i/>
          <w:iCs/>
          <w:sz w:val="16"/>
          <w:szCs w:val="16"/>
          <w:lang w:val="en-US"/>
        </w:rPr>
        <w:t xml:space="preserve">. </w:t>
      </w:r>
      <w:r w:rsidRPr="00EA6A10">
        <w:rPr>
          <w:rFonts w:ascii="Arial" w:hAnsi="Arial" w:cs="Arial"/>
          <w:sz w:val="16"/>
          <w:szCs w:val="16"/>
          <w:lang w:val="en-US"/>
        </w:rPr>
        <w:t>European Neighbourhood Policy and Enlargement Negotiations (DG NEAR),</w:t>
      </w:r>
      <w:r w:rsidR="008A5D8A" w:rsidRPr="00EA6A10">
        <w:rPr>
          <w:rFonts w:ascii="Arial" w:hAnsi="Arial" w:cs="Arial"/>
          <w:sz w:val="16"/>
          <w:szCs w:val="16"/>
          <w:lang w:val="en-US"/>
        </w:rPr>
        <w:t xml:space="preserve"> </w:t>
      </w:r>
      <w:r w:rsidR="008A5D8A">
        <w:rPr>
          <w:rFonts w:ascii="Arial" w:hAnsi="Arial" w:cs="Arial"/>
          <w:i/>
          <w:iCs/>
          <w:sz w:val="16"/>
          <w:szCs w:val="16"/>
          <w:lang w:val="en-US"/>
        </w:rPr>
        <w:br/>
      </w:r>
      <w:hyperlink r:id="rId4" w:history="1">
        <w:r w:rsidR="008A5D8A" w:rsidRPr="00694420">
          <w:rPr>
            <w:rStyle w:val="Hyperlink"/>
            <w:szCs w:val="16"/>
            <w:lang w:val="en-US"/>
          </w:rPr>
          <w:t>https://neighbourhood-enlargement.ec.europa.eu/enlargement-policy/conditions-membership_en</w:t>
        </w:r>
      </w:hyperlink>
      <w:r w:rsidR="00C63535">
        <w:rPr>
          <w:rFonts w:ascii="Arial" w:hAnsi="Arial" w:cs="Arial"/>
          <w:sz w:val="16"/>
          <w:szCs w:val="16"/>
          <w:lang w:val="en-US"/>
        </w:rPr>
        <w:t xml:space="preserve">, </w:t>
      </w:r>
      <w:r w:rsidR="008933A4">
        <w:rPr>
          <w:rFonts w:ascii="Arial" w:hAnsi="Arial" w:cs="Arial"/>
          <w:sz w:val="16"/>
          <w:szCs w:val="16"/>
          <w:lang w:val="en-US"/>
        </w:rPr>
        <w:t xml:space="preserve">accessed </w:t>
      </w:r>
      <w:r w:rsidR="00C63535">
        <w:rPr>
          <w:rFonts w:ascii="Arial" w:hAnsi="Arial" w:cs="Arial"/>
          <w:sz w:val="16"/>
          <w:szCs w:val="16"/>
          <w:lang w:val="en-US"/>
        </w:rPr>
        <w:t>16 august 2023.</w:t>
      </w:r>
    </w:p>
  </w:footnote>
  <w:footnote w:id="9">
    <w:p w14:paraId="6A38D9CB" w14:textId="517C41FA" w:rsidR="008B0560" w:rsidRPr="0022274E" w:rsidRDefault="008B0560" w:rsidP="003F11A6">
      <w:pPr>
        <w:pStyle w:val="title-bold"/>
        <w:shd w:val="clear" w:color="auto" w:fill="FFFFFF"/>
        <w:spacing w:before="0" w:beforeAutospacing="0" w:after="0" w:afterAutospacing="0"/>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Communication from the Commission to the European Parliament and the Council - A new EU Framework to strengthen the rule of law COM/2014/0158 final.</w:t>
      </w:r>
    </w:p>
  </w:footnote>
  <w:footnote w:id="10">
    <w:p w14:paraId="220827C6" w14:textId="79085506" w:rsidR="008B0560" w:rsidRPr="0022274E" w:rsidRDefault="008B0560" w:rsidP="003F11A6">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w:t>
      </w:r>
      <w:hyperlink r:id="rId5" w:history="1">
        <w:r w:rsidRPr="0022274E">
          <w:rPr>
            <w:rStyle w:val="Hyperlink"/>
            <w:szCs w:val="16"/>
            <w:lang w:val="en-US"/>
          </w:rPr>
          <w:t>https://commission.europa.eu/strategy-and-policy/policies/justice-and-fundamental-rights/upholding-rule-law/rule-law/rule-law-mechanism_en</w:t>
        </w:r>
      </w:hyperlink>
      <w:r w:rsidR="00C63535">
        <w:rPr>
          <w:rFonts w:ascii="Arial" w:hAnsi="Arial" w:cs="Arial"/>
          <w:sz w:val="16"/>
          <w:szCs w:val="16"/>
          <w:lang w:val="en-US"/>
        </w:rPr>
        <w:t xml:space="preserve">, accessed 16 </w:t>
      </w:r>
      <w:r w:rsidR="00C004C8">
        <w:rPr>
          <w:rFonts w:ascii="Arial" w:hAnsi="Arial" w:cs="Arial"/>
          <w:sz w:val="16"/>
          <w:szCs w:val="16"/>
          <w:lang w:val="en-US"/>
        </w:rPr>
        <w:t>A</w:t>
      </w:r>
      <w:r w:rsidR="00C63535">
        <w:rPr>
          <w:rFonts w:ascii="Arial" w:hAnsi="Arial" w:cs="Arial"/>
          <w:sz w:val="16"/>
          <w:szCs w:val="16"/>
          <w:lang w:val="en-US"/>
        </w:rPr>
        <w:t>ugust 2023.</w:t>
      </w:r>
    </w:p>
  </w:footnote>
  <w:footnote w:id="11">
    <w:p w14:paraId="6EB55C81" w14:textId="49668EFE" w:rsidR="00014DC6" w:rsidRPr="002A5706" w:rsidRDefault="00014DC6" w:rsidP="003F11A6">
      <w:pPr>
        <w:pStyle w:val="FootnoteText"/>
        <w:jc w:val="both"/>
        <w:rPr>
          <w:rFonts w:ascii="Arial" w:hAnsi="Arial" w:cs="Arial"/>
          <w:lang w:val="en-US"/>
        </w:rPr>
      </w:pPr>
      <w:r w:rsidRPr="00BD38A3">
        <w:rPr>
          <w:rStyle w:val="FootnoteReference"/>
          <w:rFonts w:ascii="Arial" w:hAnsi="Arial" w:cs="Arial"/>
          <w:sz w:val="16"/>
          <w:szCs w:val="16"/>
          <w:vertAlign w:val="baseline"/>
        </w:rPr>
        <w:footnoteRef/>
      </w:r>
      <w:r w:rsidR="00C63535">
        <w:t>.</w:t>
      </w:r>
      <w:hyperlink r:id="rId6" w:history="1">
        <w:r w:rsidR="00C63535" w:rsidRPr="00825489">
          <w:rPr>
            <w:rStyle w:val="Hyperlink"/>
            <w:lang w:val="en-US"/>
          </w:rPr>
          <w:t>https://commission.europa.eu/strategy-and-policy/policies/justice-and-fundamental-rights/upholding-rule-law/rule-law/rule-law-mechanism/2022-rule-law-report_en</w:t>
        </w:r>
      </w:hyperlink>
      <w:r w:rsidRPr="002A5706">
        <w:rPr>
          <w:rFonts w:ascii="Arial" w:hAnsi="Arial" w:cs="Arial"/>
          <w:lang w:val="en-US"/>
        </w:rPr>
        <w:t xml:space="preserve"> </w:t>
      </w:r>
    </w:p>
  </w:footnote>
  <w:footnote w:id="12">
    <w:p w14:paraId="2DEAA767" w14:textId="1B5DE4AC" w:rsidR="008B0560" w:rsidRPr="0022274E" w:rsidRDefault="008B0560" w:rsidP="003F11A6">
      <w:pPr>
        <w:autoSpaceDE w:val="0"/>
        <w:autoSpaceDN w:val="0"/>
        <w:adjustRightInd w:val="0"/>
        <w:jc w:val="both"/>
        <w:rPr>
          <w:rFonts w:ascii="Arial" w:eastAsia="SimonciniGaramondStd"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w:t>
      </w:r>
      <w:r w:rsidRPr="0022274E">
        <w:rPr>
          <w:rFonts w:ascii="Arial" w:eastAsia="SimonciniGaramondStd" w:hAnsi="Arial" w:cs="Arial"/>
          <w:sz w:val="16"/>
          <w:szCs w:val="16"/>
          <w:lang w:val="en-US"/>
        </w:rPr>
        <w:t xml:space="preserve">Waldron, </w:t>
      </w:r>
      <w:r w:rsidR="00C63535">
        <w:rPr>
          <w:rFonts w:ascii="Arial" w:eastAsia="SimonciniGaramondStd" w:hAnsi="Arial" w:cs="Arial"/>
          <w:sz w:val="16"/>
          <w:szCs w:val="16"/>
          <w:lang w:val="en-US"/>
        </w:rPr>
        <w:t xml:space="preserve">J. (2002), </w:t>
      </w:r>
      <w:r w:rsidRPr="0022274E">
        <w:rPr>
          <w:rFonts w:ascii="Arial" w:eastAsia="SimonciniGaramondStd-Italic" w:hAnsi="Arial" w:cs="Arial"/>
          <w:i/>
          <w:iCs/>
          <w:sz w:val="16"/>
          <w:szCs w:val="16"/>
          <w:lang w:val="en-US"/>
        </w:rPr>
        <w:t xml:space="preserve">Is the rule of law an Essentially Contested </w:t>
      </w:r>
      <w:r w:rsidR="00C63535" w:rsidRPr="0022274E">
        <w:rPr>
          <w:rFonts w:ascii="Arial" w:eastAsia="SimonciniGaramondStd-Italic" w:hAnsi="Arial" w:cs="Arial"/>
          <w:i/>
          <w:iCs/>
          <w:sz w:val="16"/>
          <w:szCs w:val="16"/>
          <w:lang w:val="en-US"/>
        </w:rPr>
        <w:t>Concept?</w:t>
      </w:r>
      <w:r w:rsidR="00C63535">
        <w:rPr>
          <w:rFonts w:ascii="Arial" w:eastAsia="SimonciniGaramondStd" w:hAnsi="Arial" w:cs="Arial"/>
          <w:sz w:val="16"/>
          <w:szCs w:val="16"/>
          <w:lang w:val="en-US"/>
        </w:rPr>
        <w:t xml:space="preserve">, </w:t>
      </w:r>
      <w:r w:rsidRPr="0022274E">
        <w:rPr>
          <w:rFonts w:ascii="Arial" w:eastAsia="SimonciniGaramondStd" w:hAnsi="Arial" w:cs="Arial"/>
          <w:sz w:val="16"/>
          <w:szCs w:val="16"/>
          <w:lang w:val="en-US"/>
        </w:rPr>
        <w:t xml:space="preserve">in </w:t>
      </w:r>
      <w:r w:rsidRPr="0022274E">
        <w:rPr>
          <w:rFonts w:ascii="Arial" w:eastAsia="SimonciniGaramondStd-Italic" w:hAnsi="Arial" w:cs="Arial"/>
          <w:i/>
          <w:iCs/>
          <w:sz w:val="16"/>
          <w:szCs w:val="16"/>
          <w:lang w:val="en-US"/>
        </w:rPr>
        <w:t>Law and Philosophy</w:t>
      </w:r>
      <w:r w:rsidRPr="0022274E">
        <w:rPr>
          <w:rFonts w:ascii="Arial" w:eastAsia="SimonciniGaramondStd" w:hAnsi="Arial" w:cs="Arial"/>
          <w:sz w:val="16"/>
          <w:szCs w:val="16"/>
          <w:lang w:val="en-US"/>
        </w:rPr>
        <w:t>, 21, pp. 137-164.</w:t>
      </w:r>
    </w:p>
  </w:footnote>
  <w:footnote w:id="13">
    <w:p w14:paraId="1E24F768" w14:textId="08D41D70" w:rsidR="008B0560" w:rsidRPr="0022274E" w:rsidRDefault="008B0560" w:rsidP="003F11A6">
      <w:pPr>
        <w:autoSpaceDE w:val="0"/>
        <w:autoSpaceDN w:val="0"/>
        <w:adjustRightInd w:val="0"/>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On the historical origins of the rule of law, European Commission for Democracy through Law (Venice Commission), </w:t>
      </w:r>
      <w:r w:rsidRPr="0022274E">
        <w:rPr>
          <w:rFonts w:ascii="Arial" w:hAnsi="Arial" w:cs="Arial"/>
          <w:i/>
          <w:iCs/>
          <w:sz w:val="16"/>
          <w:szCs w:val="16"/>
          <w:lang w:val="en-US"/>
        </w:rPr>
        <w:t>Report on the rule of law</w:t>
      </w:r>
      <w:r w:rsidRPr="0022274E">
        <w:rPr>
          <w:rFonts w:ascii="Arial" w:hAnsi="Arial" w:cs="Arial"/>
          <w:sz w:val="16"/>
          <w:szCs w:val="16"/>
          <w:lang w:val="en-US"/>
        </w:rPr>
        <w:t>, CDL-AD</w:t>
      </w:r>
      <w:r w:rsidR="00C63535">
        <w:rPr>
          <w:rFonts w:ascii="Arial" w:hAnsi="Arial" w:cs="Arial"/>
          <w:sz w:val="16"/>
          <w:szCs w:val="16"/>
          <w:lang w:val="en-US"/>
        </w:rPr>
        <w:t xml:space="preserve"> </w:t>
      </w:r>
      <w:r w:rsidRPr="0022274E">
        <w:rPr>
          <w:rFonts w:ascii="Arial" w:hAnsi="Arial" w:cs="Arial"/>
          <w:sz w:val="16"/>
          <w:szCs w:val="16"/>
          <w:lang w:val="en-US"/>
        </w:rPr>
        <w:t>(2011)003rev, para</w:t>
      </w:r>
      <w:r w:rsidR="00C63535">
        <w:rPr>
          <w:rFonts w:ascii="Arial" w:hAnsi="Arial" w:cs="Arial"/>
          <w:sz w:val="16"/>
          <w:szCs w:val="16"/>
          <w:lang w:val="en-US"/>
        </w:rPr>
        <w:t xml:space="preserve">. </w:t>
      </w:r>
      <w:r w:rsidRPr="0022274E">
        <w:rPr>
          <w:rFonts w:ascii="Arial" w:hAnsi="Arial" w:cs="Arial"/>
          <w:sz w:val="16"/>
          <w:szCs w:val="16"/>
          <w:lang w:val="en-US"/>
        </w:rPr>
        <w:t>7 ff.</w:t>
      </w:r>
    </w:p>
  </w:footnote>
  <w:footnote w:id="14">
    <w:p w14:paraId="0B341438" w14:textId="37F810D0" w:rsidR="008B0560" w:rsidRPr="0022274E" w:rsidRDefault="008B0560" w:rsidP="003F11A6">
      <w:pPr>
        <w:autoSpaceDE w:val="0"/>
        <w:autoSpaceDN w:val="0"/>
        <w:adjustRightInd w:val="0"/>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Report on the rule of law</w:t>
      </w:r>
      <w:r w:rsidRPr="0022274E">
        <w:rPr>
          <w:rFonts w:ascii="Arial" w:hAnsi="Arial" w:cs="Arial"/>
          <w:sz w:val="16"/>
          <w:szCs w:val="16"/>
          <w:lang w:val="en-US"/>
        </w:rPr>
        <w:t xml:space="preserve">, cit., para. 41; European Commission for Democracy through Law (Venice Commission), </w:t>
      </w:r>
      <w:r w:rsidRPr="0022274E">
        <w:rPr>
          <w:rFonts w:ascii="Arial" w:hAnsi="Arial" w:cs="Arial"/>
          <w:i/>
          <w:iCs/>
          <w:sz w:val="16"/>
          <w:szCs w:val="16"/>
          <w:lang w:val="en-US"/>
        </w:rPr>
        <w:t>The Rule of law Checklist</w:t>
      </w:r>
      <w:r w:rsidRPr="0022274E">
        <w:rPr>
          <w:rFonts w:ascii="Arial" w:hAnsi="Arial" w:cs="Arial"/>
          <w:sz w:val="16"/>
          <w:szCs w:val="16"/>
          <w:lang w:val="en-US"/>
        </w:rPr>
        <w:t>,</w:t>
      </w:r>
      <w:r w:rsidRPr="0022274E">
        <w:rPr>
          <w:rFonts w:ascii="Arial" w:hAnsi="Arial" w:cs="Arial"/>
          <w:i/>
          <w:iCs/>
          <w:sz w:val="16"/>
          <w:szCs w:val="16"/>
          <w:lang w:val="en-US"/>
        </w:rPr>
        <w:t xml:space="preserve"> </w:t>
      </w:r>
      <w:r w:rsidRPr="0022274E">
        <w:rPr>
          <w:rFonts w:ascii="Arial" w:hAnsi="Arial" w:cs="Arial"/>
          <w:sz w:val="16"/>
          <w:szCs w:val="16"/>
        </w:rPr>
        <w:t>CDL-AD(2016)007,</w:t>
      </w:r>
      <w:r w:rsidRPr="0022274E">
        <w:rPr>
          <w:rFonts w:ascii="Arial" w:hAnsi="Arial" w:cs="Arial"/>
          <w:sz w:val="16"/>
          <w:szCs w:val="16"/>
          <w:lang w:val="en-US"/>
        </w:rPr>
        <w:t xml:space="preserve"> para</w:t>
      </w:r>
      <w:r w:rsidR="00C63535">
        <w:rPr>
          <w:rFonts w:ascii="Arial" w:hAnsi="Arial" w:cs="Arial"/>
          <w:sz w:val="16"/>
          <w:szCs w:val="16"/>
          <w:lang w:val="en-US"/>
        </w:rPr>
        <w:t>.</w:t>
      </w:r>
      <w:r w:rsidRPr="0022274E">
        <w:rPr>
          <w:rFonts w:ascii="Arial" w:hAnsi="Arial" w:cs="Arial"/>
          <w:sz w:val="16"/>
          <w:szCs w:val="16"/>
          <w:lang w:val="en-US"/>
        </w:rPr>
        <w:t xml:space="preserve"> 18.</w:t>
      </w:r>
    </w:p>
  </w:footnote>
  <w:footnote w:id="15">
    <w:p w14:paraId="67F86E1A" w14:textId="295569B6" w:rsidR="008B0560" w:rsidRPr="00AB3AE0" w:rsidRDefault="008B0560" w:rsidP="003C0D15">
      <w:pPr>
        <w:autoSpaceDE w:val="0"/>
        <w:autoSpaceDN w:val="0"/>
        <w:adjustRightInd w:val="0"/>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Rosenfeld, </w:t>
      </w:r>
      <w:r w:rsidR="00C63535" w:rsidRPr="0022274E">
        <w:rPr>
          <w:rFonts w:ascii="Arial" w:hAnsi="Arial" w:cs="Arial"/>
          <w:sz w:val="16"/>
          <w:szCs w:val="16"/>
          <w:lang w:val="en-US"/>
        </w:rPr>
        <w:t xml:space="preserve">M. </w:t>
      </w:r>
      <w:r w:rsidR="00C63535">
        <w:rPr>
          <w:rFonts w:ascii="Arial" w:hAnsi="Arial" w:cs="Arial"/>
          <w:sz w:val="16"/>
          <w:szCs w:val="16"/>
          <w:lang w:val="en-US"/>
        </w:rPr>
        <w:t xml:space="preserve"> (2001), </w:t>
      </w:r>
      <w:r w:rsidR="00C63535" w:rsidRPr="00C63535">
        <w:rPr>
          <w:rFonts w:ascii="Arial" w:hAnsi="Arial" w:cs="Arial"/>
          <w:i/>
          <w:iCs/>
          <w:sz w:val="16"/>
          <w:szCs w:val="16"/>
          <w:lang w:val="en-US"/>
        </w:rPr>
        <w:t>“</w:t>
      </w:r>
      <w:r w:rsidRPr="00C63535">
        <w:rPr>
          <w:rFonts w:ascii="Arial" w:hAnsi="Arial" w:cs="Arial"/>
          <w:sz w:val="16"/>
          <w:szCs w:val="16"/>
          <w:lang w:val="en-US"/>
        </w:rPr>
        <w:t>The rule of law and the Legitimacy of Constitutional Democracy</w:t>
      </w:r>
      <w:r w:rsidR="00C63535" w:rsidRPr="00C63535">
        <w:rPr>
          <w:rFonts w:ascii="Arial" w:hAnsi="Arial" w:cs="Arial"/>
          <w:sz w:val="16"/>
          <w:szCs w:val="16"/>
          <w:lang w:val="en-US"/>
        </w:rPr>
        <w:t>”</w:t>
      </w:r>
      <w:r w:rsidRPr="0022274E">
        <w:rPr>
          <w:rFonts w:ascii="Arial" w:hAnsi="Arial" w:cs="Arial"/>
          <w:sz w:val="16"/>
          <w:szCs w:val="16"/>
          <w:lang w:val="en-US"/>
        </w:rPr>
        <w:t xml:space="preserve">, in </w:t>
      </w:r>
      <w:r w:rsidRPr="0022274E">
        <w:rPr>
          <w:rFonts w:ascii="Arial" w:hAnsi="Arial" w:cs="Arial"/>
          <w:i/>
          <w:iCs/>
          <w:sz w:val="16"/>
          <w:szCs w:val="16"/>
          <w:lang w:val="en-US"/>
        </w:rPr>
        <w:t>Southern California Law Review</w:t>
      </w:r>
      <w:r w:rsidRPr="0022274E">
        <w:rPr>
          <w:rFonts w:ascii="Arial" w:hAnsi="Arial" w:cs="Arial"/>
          <w:sz w:val="16"/>
          <w:szCs w:val="16"/>
          <w:lang w:val="en-US"/>
        </w:rPr>
        <w:t xml:space="preserve">, 74, pp. 1307-1346; Bingham, </w:t>
      </w:r>
      <w:r w:rsidR="00C63535" w:rsidRPr="0022274E">
        <w:rPr>
          <w:rFonts w:ascii="Arial" w:hAnsi="Arial" w:cs="Arial"/>
          <w:sz w:val="16"/>
          <w:szCs w:val="16"/>
          <w:lang w:val="en-US"/>
        </w:rPr>
        <w:t>T.</w:t>
      </w:r>
      <w:r w:rsidR="00C63535">
        <w:rPr>
          <w:rFonts w:ascii="Arial" w:hAnsi="Arial" w:cs="Arial"/>
          <w:sz w:val="16"/>
          <w:szCs w:val="16"/>
          <w:lang w:val="en-US"/>
        </w:rPr>
        <w:t xml:space="preserve"> (2010), </w:t>
      </w:r>
      <w:r w:rsidRPr="0022274E">
        <w:rPr>
          <w:rFonts w:ascii="Arial" w:hAnsi="Arial" w:cs="Arial"/>
          <w:i/>
          <w:iCs/>
          <w:sz w:val="16"/>
          <w:szCs w:val="16"/>
          <w:lang w:val="en-US"/>
        </w:rPr>
        <w:t>The rule of law</w:t>
      </w:r>
      <w:r w:rsidRPr="0022274E">
        <w:rPr>
          <w:rFonts w:ascii="Arial" w:hAnsi="Arial" w:cs="Arial"/>
          <w:sz w:val="16"/>
          <w:szCs w:val="16"/>
          <w:lang w:val="en-US"/>
        </w:rPr>
        <w:t>, London, Penguin.</w:t>
      </w:r>
    </w:p>
  </w:footnote>
  <w:footnote w:id="16">
    <w:p w14:paraId="40A4B968" w14:textId="2CA2ACAB" w:rsidR="008B0560" w:rsidRPr="0022274E" w:rsidRDefault="008B0560" w:rsidP="008B0560">
      <w:pPr>
        <w:pStyle w:val="FootnoteText"/>
        <w:jc w:val="both"/>
        <w:rPr>
          <w:rFonts w:ascii="Arial" w:hAnsi="Arial" w:cs="Arial"/>
          <w:sz w:val="16"/>
          <w:szCs w:val="16"/>
          <w:lang w:val="it-IT"/>
        </w:rPr>
      </w:pPr>
      <w:r w:rsidRPr="0022274E">
        <w:rPr>
          <w:rStyle w:val="FootnoteReference"/>
          <w:rFonts w:ascii="Arial" w:hAnsi="Arial" w:cs="Arial"/>
          <w:sz w:val="16"/>
          <w:szCs w:val="16"/>
          <w:vertAlign w:val="baseline"/>
        </w:rPr>
        <w:footnoteRef/>
      </w:r>
      <w:r w:rsidR="00C63535">
        <w:rPr>
          <w:rFonts w:ascii="Arial" w:hAnsi="Arial" w:cs="Arial"/>
          <w:sz w:val="16"/>
          <w:szCs w:val="16"/>
          <w:lang w:val="it-IT"/>
        </w:rPr>
        <w:t>.</w:t>
      </w:r>
      <w:r w:rsidRPr="0022274E">
        <w:rPr>
          <w:rFonts w:ascii="Arial" w:hAnsi="Arial" w:cs="Arial"/>
          <w:sz w:val="16"/>
          <w:szCs w:val="16"/>
          <w:lang w:val="it-IT"/>
        </w:rPr>
        <w:t xml:space="preserve"> Pin</w:t>
      </w:r>
      <w:r w:rsidRPr="0022274E">
        <w:rPr>
          <w:rFonts w:ascii="Arial" w:hAnsi="Arial" w:cs="Arial"/>
          <w:i/>
          <w:iCs/>
          <w:sz w:val="16"/>
          <w:szCs w:val="16"/>
          <w:lang w:val="it-IT"/>
        </w:rPr>
        <w:t xml:space="preserve">, </w:t>
      </w:r>
      <w:r w:rsidR="00C63535" w:rsidRPr="0022274E">
        <w:rPr>
          <w:rFonts w:ascii="Arial" w:hAnsi="Arial" w:cs="Arial"/>
          <w:sz w:val="16"/>
          <w:szCs w:val="16"/>
          <w:lang w:val="it-IT"/>
        </w:rPr>
        <w:t xml:space="preserve">A. </w:t>
      </w:r>
      <w:r w:rsidR="00C63535">
        <w:rPr>
          <w:rFonts w:ascii="Arial" w:hAnsi="Arial" w:cs="Arial"/>
          <w:sz w:val="16"/>
          <w:szCs w:val="16"/>
          <w:lang w:val="it-IT"/>
        </w:rPr>
        <w:t xml:space="preserve">(2023), </w:t>
      </w:r>
      <w:r w:rsidRPr="0022274E">
        <w:rPr>
          <w:rFonts w:ascii="Arial" w:hAnsi="Arial" w:cs="Arial"/>
          <w:i/>
          <w:iCs/>
          <w:sz w:val="16"/>
          <w:szCs w:val="16"/>
          <w:lang w:val="it-IT"/>
        </w:rPr>
        <w:t>Rule of law come parametro  costituzionale in prospettiva comparata</w:t>
      </w:r>
      <w:r w:rsidRPr="0022274E">
        <w:rPr>
          <w:rFonts w:ascii="Arial" w:hAnsi="Arial" w:cs="Arial"/>
          <w:sz w:val="16"/>
          <w:szCs w:val="16"/>
          <w:lang w:val="it-IT"/>
        </w:rPr>
        <w:t xml:space="preserve">, in T.E.Frosini (ed.), </w:t>
      </w:r>
      <w:r w:rsidRPr="0022274E">
        <w:rPr>
          <w:rFonts w:ascii="Arial" w:hAnsi="Arial" w:cs="Arial"/>
          <w:i/>
          <w:iCs/>
          <w:sz w:val="16"/>
          <w:szCs w:val="16"/>
          <w:lang w:val="it-IT"/>
        </w:rPr>
        <w:t>Rule of law come costituzionalismo</w:t>
      </w:r>
      <w:r w:rsidRPr="0022274E">
        <w:rPr>
          <w:rFonts w:ascii="Arial" w:hAnsi="Arial" w:cs="Arial"/>
          <w:sz w:val="16"/>
          <w:szCs w:val="16"/>
          <w:lang w:val="it-IT"/>
        </w:rPr>
        <w:t>, Bologna, Il Mulino, p.153 ff.</w:t>
      </w:r>
    </w:p>
  </w:footnote>
  <w:footnote w:id="17">
    <w:p w14:paraId="0A699C15" w14:textId="0B3E26DA" w:rsidR="008B0560" w:rsidRPr="0022274E" w:rsidRDefault="008B0560" w:rsidP="008B0560">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 xml:space="preserve">. </w:t>
      </w:r>
      <w:r w:rsidRPr="0022274E">
        <w:rPr>
          <w:rFonts w:ascii="Arial" w:hAnsi="Arial" w:cs="Arial"/>
          <w:sz w:val="16"/>
          <w:szCs w:val="16"/>
          <w:lang w:val="en-US"/>
        </w:rPr>
        <w:t xml:space="preserve"> Ginsburg, </w:t>
      </w:r>
      <w:r w:rsidR="00C63535" w:rsidRPr="0022274E">
        <w:rPr>
          <w:rFonts w:ascii="Arial" w:hAnsi="Arial" w:cs="Arial"/>
          <w:sz w:val="16"/>
          <w:szCs w:val="16"/>
          <w:lang w:val="en-US"/>
        </w:rPr>
        <w:t xml:space="preserve">T. </w:t>
      </w:r>
      <w:r w:rsidR="00C63535">
        <w:rPr>
          <w:rFonts w:ascii="Arial" w:hAnsi="Arial" w:cs="Arial"/>
          <w:sz w:val="16"/>
          <w:szCs w:val="16"/>
          <w:lang w:val="en-US"/>
        </w:rPr>
        <w:t xml:space="preserve"> and </w:t>
      </w:r>
      <w:r w:rsidRPr="0022274E">
        <w:rPr>
          <w:rFonts w:ascii="Arial" w:hAnsi="Arial" w:cs="Arial"/>
          <w:sz w:val="16"/>
          <w:szCs w:val="16"/>
          <w:lang w:val="en-US"/>
        </w:rPr>
        <w:t>Huq</w:t>
      </w:r>
      <w:r w:rsidRPr="0022274E">
        <w:rPr>
          <w:rFonts w:ascii="Arial" w:hAnsi="Arial" w:cs="Arial"/>
          <w:i/>
          <w:iCs/>
          <w:sz w:val="16"/>
          <w:szCs w:val="16"/>
          <w:lang w:val="en-US"/>
        </w:rPr>
        <w:t xml:space="preserve">, </w:t>
      </w:r>
      <w:r w:rsidR="00C63535" w:rsidRPr="0022274E">
        <w:rPr>
          <w:rFonts w:ascii="Arial" w:hAnsi="Arial" w:cs="Arial"/>
          <w:sz w:val="16"/>
          <w:szCs w:val="16"/>
          <w:lang w:val="en-US"/>
        </w:rPr>
        <w:t>A.</w:t>
      </w:r>
      <w:r w:rsidR="00C63535">
        <w:rPr>
          <w:rFonts w:ascii="Arial" w:hAnsi="Arial" w:cs="Arial"/>
          <w:sz w:val="16"/>
          <w:szCs w:val="16"/>
          <w:lang w:val="en-US"/>
        </w:rPr>
        <w:t xml:space="preserve"> (2018), </w:t>
      </w:r>
      <w:r w:rsidRPr="0022274E">
        <w:rPr>
          <w:rFonts w:ascii="Arial" w:hAnsi="Arial" w:cs="Arial"/>
          <w:i/>
          <w:iCs/>
          <w:sz w:val="16"/>
          <w:szCs w:val="16"/>
          <w:lang w:val="en-US"/>
        </w:rPr>
        <w:t>How to Save a Constitutional Democracy</w:t>
      </w:r>
      <w:r w:rsidRPr="0022274E">
        <w:rPr>
          <w:rFonts w:ascii="Arial" w:hAnsi="Arial" w:cs="Arial"/>
          <w:sz w:val="16"/>
          <w:szCs w:val="16"/>
          <w:lang w:val="en-US"/>
        </w:rPr>
        <w:t>, Chicago, University of Chicago Press, p.14.</w:t>
      </w:r>
    </w:p>
  </w:footnote>
  <w:footnote w:id="18">
    <w:p w14:paraId="1095882E" w14:textId="1FF88991" w:rsidR="008B0560" w:rsidRPr="0022274E" w:rsidRDefault="008B0560" w:rsidP="008B0560">
      <w:pPr>
        <w:pStyle w:val="Default"/>
        <w:jc w:val="both"/>
        <w:rPr>
          <w:rFonts w:ascii="Arial" w:hAnsi="Arial" w:cs="Arial"/>
          <w:color w:val="auto"/>
          <w:sz w:val="16"/>
          <w:szCs w:val="16"/>
          <w:lang w:val="en-US"/>
        </w:rPr>
      </w:pPr>
      <w:r w:rsidRPr="0022274E">
        <w:rPr>
          <w:rStyle w:val="FootnoteReference"/>
          <w:rFonts w:ascii="Arial" w:hAnsi="Arial" w:cs="Arial"/>
          <w:color w:val="auto"/>
          <w:sz w:val="16"/>
          <w:szCs w:val="16"/>
          <w:vertAlign w:val="baseline"/>
        </w:rPr>
        <w:footnoteRef/>
      </w:r>
      <w:r w:rsidR="00C63535">
        <w:rPr>
          <w:rFonts w:ascii="Arial" w:hAnsi="Arial" w:cs="Arial"/>
          <w:color w:val="auto"/>
          <w:sz w:val="16"/>
          <w:szCs w:val="16"/>
          <w:lang w:val="en-US"/>
        </w:rPr>
        <w:t>.</w:t>
      </w:r>
      <w:r w:rsidRPr="0022274E">
        <w:rPr>
          <w:rFonts w:ascii="Arial" w:hAnsi="Arial" w:cs="Arial"/>
          <w:color w:val="auto"/>
          <w:sz w:val="16"/>
          <w:szCs w:val="16"/>
          <w:lang w:val="en-US"/>
        </w:rPr>
        <w:t xml:space="preserve"> Jakab, </w:t>
      </w:r>
      <w:r w:rsidR="00C63535" w:rsidRPr="0022274E">
        <w:rPr>
          <w:rFonts w:ascii="Arial" w:hAnsi="Arial" w:cs="Arial"/>
          <w:smallCaps/>
          <w:color w:val="auto"/>
          <w:sz w:val="16"/>
          <w:szCs w:val="16"/>
          <w:lang w:val="en-US"/>
        </w:rPr>
        <w:t xml:space="preserve">A. </w:t>
      </w:r>
      <w:r w:rsidR="00C63535">
        <w:rPr>
          <w:rFonts w:ascii="Arial" w:hAnsi="Arial" w:cs="Arial"/>
          <w:smallCaps/>
          <w:color w:val="auto"/>
          <w:sz w:val="16"/>
          <w:szCs w:val="16"/>
          <w:lang w:val="en-US"/>
        </w:rPr>
        <w:t xml:space="preserve">(2022), </w:t>
      </w:r>
      <w:r w:rsidRPr="0022274E">
        <w:rPr>
          <w:rFonts w:ascii="Arial" w:hAnsi="Arial" w:cs="Arial"/>
          <w:i/>
          <w:iCs/>
          <w:color w:val="auto"/>
          <w:sz w:val="16"/>
          <w:szCs w:val="16"/>
          <w:lang w:val="en-US"/>
        </w:rPr>
        <w:t xml:space="preserve">Three Misconceptions about the EU rule of law Crisis, </w:t>
      </w:r>
      <w:r w:rsidRPr="0022274E">
        <w:rPr>
          <w:rFonts w:ascii="Arial" w:hAnsi="Arial" w:cs="Arial"/>
          <w:color w:val="auto"/>
          <w:sz w:val="16"/>
          <w:szCs w:val="16"/>
          <w:lang w:val="en-US"/>
        </w:rPr>
        <w:t>in</w:t>
      </w:r>
      <w:r w:rsidRPr="0022274E">
        <w:rPr>
          <w:rFonts w:ascii="Arial" w:hAnsi="Arial" w:cs="Arial"/>
          <w:i/>
          <w:iCs/>
          <w:color w:val="auto"/>
          <w:sz w:val="16"/>
          <w:szCs w:val="16"/>
          <w:lang w:val="en-US"/>
        </w:rPr>
        <w:t xml:space="preserve"> VerfBlog</w:t>
      </w:r>
      <w:r w:rsidRPr="0022274E">
        <w:rPr>
          <w:rFonts w:ascii="Arial" w:hAnsi="Arial" w:cs="Arial"/>
          <w:color w:val="auto"/>
          <w:sz w:val="16"/>
          <w:szCs w:val="16"/>
          <w:lang w:val="en-US"/>
        </w:rPr>
        <w:t xml:space="preserve">, </w:t>
      </w:r>
      <w:hyperlink r:id="rId7" w:history="1">
        <w:r w:rsidRPr="0022274E">
          <w:rPr>
            <w:rStyle w:val="Hyperlink"/>
            <w:color w:val="auto"/>
            <w:szCs w:val="16"/>
            <w:lang w:val="en-US"/>
          </w:rPr>
          <w:t>https://verfassungsblog.de/misconceptions-rol/</w:t>
        </w:r>
      </w:hyperlink>
      <w:r w:rsidR="00C63535">
        <w:rPr>
          <w:rStyle w:val="Hyperlink"/>
          <w:color w:val="auto"/>
          <w:szCs w:val="16"/>
          <w:lang w:val="en-US"/>
        </w:rPr>
        <w:t xml:space="preserve">, </w:t>
      </w:r>
      <w:r w:rsidR="00C63535" w:rsidRPr="00C63535">
        <w:rPr>
          <w:rStyle w:val="Hyperlink"/>
          <w:color w:val="auto"/>
          <w:szCs w:val="16"/>
          <w:u w:val="none"/>
          <w:lang w:val="en-US"/>
        </w:rPr>
        <w:t xml:space="preserve">accessed 16 </w:t>
      </w:r>
      <w:r w:rsidR="00C004C8">
        <w:rPr>
          <w:rStyle w:val="Hyperlink"/>
          <w:color w:val="auto"/>
          <w:szCs w:val="16"/>
          <w:u w:val="none"/>
          <w:lang w:val="en-US"/>
        </w:rPr>
        <w:t>A</w:t>
      </w:r>
      <w:r w:rsidR="00C63535" w:rsidRPr="00C63535">
        <w:rPr>
          <w:rStyle w:val="Hyperlink"/>
          <w:color w:val="auto"/>
          <w:szCs w:val="16"/>
          <w:u w:val="none"/>
          <w:lang w:val="en-US"/>
        </w:rPr>
        <w:t>ugust 2023</w:t>
      </w:r>
      <w:r w:rsidRPr="00C63535">
        <w:rPr>
          <w:rStyle w:val="Hyperlink"/>
          <w:color w:val="auto"/>
          <w:szCs w:val="16"/>
          <w:u w:val="none"/>
          <w:lang w:val="en-US"/>
        </w:rPr>
        <w:t>;</w:t>
      </w:r>
      <w:r w:rsidRPr="0022274E">
        <w:rPr>
          <w:rStyle w:val="Hyperlink"/>
          <w:color w:val="auto"/>
          <w:szCs w:val="16"/>
          <w:lang w:val="en-US"/>
        </w:rPr>
        <w:t xml:space="preserve"> </w:t>
      </w:r>
      <w:r w:rsidRPr="0022274E">
        <w:rPr>
          <w:rFonts w:ascii="Arial" w:hAnsi="Arial" w:cs="Arial"/>
          <w:color w:val="auto"/>
          <w:sz w:val="16"/>
          <w:szCs w:val="16"/>
          <w:lang w:val="en-GB"/>
        </w:rPr>
        <w:t xml:space="preserve">Jakab, </w:t>
      </w:r>
      <w:r w:rsidR="00C63535" w:rsidRPr="0022274E">
        <w:rPr>
          <w:rFonts w:ascii="Arial" w:hAnsi="Arial" w:cs="Arial"/>
          <w:color w:val="auto"/>
          <w:sz w:val="16"/>
          <w:szCs w:val="16"/>
          <w:lang w:val="en-GB"/>
        </w:rPr>
        <w:t>A.</w:t>
      </w:r>
      <w:r w:rsidR="00C63535">
        <w:rPr>
          <w:rFonts w:ascii="Arial" w:hAnsi="Arial" w:cs="Arial"/>
          <w:color w:val="auto"/>
          <w:sz w:val="16"/>
          <w:szCs w:val="16"/>
          <w:lang w:val="en-GB"/>
        </w:rPr>
        <w:t xml:space="preserve"> (2019), </w:t>
      </w:r>
      <w:r w:rsidRPr="0022274E">
        <w:rPr>
          <w:rFonts w:ascii="Arial" w:hAnsi="Arial" w:cs="Arial"/>
          <w:i/>
          <w:iCs/>
          <w:color w:val="auto"/>
          <w:sz w:val="16"/>
          <w:szCs w:val="16"/>
          <w:lang w:val="en-GB"/>
        </w:rPr>
        <w:t xml:space="preserve">What Can Constitutional Law Do Against the Erosion of Democracy and the rule of law? </w:t>
      </w:r>
      <w:r w:rsidRPr="0022274E">
        <w:rPr>
          <w:rFonts w:ascii="Arial" w:hAnsi="Arial" w:cs="Arial"/>
          <w:i/>
          <w:iCs/>
          <w:color w:val="auto"/>
          <w:sz w:val="16"/>
          <w:szCs w:val="16"/>
          <w:lang w:val="en-US"/>
        </w:rPr>
        <w:t>On the Interconnectedness of the Protection of Democracy and the rule of law</w:t>
      </w:r>
      <w:r w:rsidRPr="0022274E">
        <w:rPr>
          <w:rFonts w:ascii="Arial" w:hAnsi="Arial" w:cs="Arial"/>
          <w:color w:val="auto"/>
          <w:sz w:val="16"/>
          <w:szCs w:val="16"/>
          <w:lang w:val="en-US"/>
        </w:rPr>
        <w:t xml:space="preserve">, MPIL Working Paper, p. 7 ff.; </w:t>
      </w:r>
      <w:r w:rsidRPr="0022274E">
        <w:rPr>
          <w:rFonts w:ascii="Arial" w:hAnsi="Arial" w:cs="Arial"/>
          <w:color w:val="auto"/>
          <w:sz w:val="16"/>
          <w:szCs w:val="16"/>
          <w:shd w:val="clear" w:color="auto" w:fill="FFFFFF"/>
          <w:lang w:val="en-US"/>
        </w:rPr>
        <w:t xml:space="preserve">Binder, </w:t>
      </w:r>
      <w:r w:rsidR="00C63535" w:rsidRPr="0022274E">
        <w:rPr>
          <w:rFonts w:ascii="Arial" w:hAnsi="Arial" w:cs="Arial"/>
          <w:color w:val="auto"/>
          <w:sz w:val="16"/>
          <w:szCs w:val="16"/>
          <w:lang w:val="en-US"/>
        </w:rPr>
        <w:t xml:space="preserve">C. </w:t>
      </w:r>
      <w:r w:rsidR="00C63535">
        <w:rPr>
          <w:rFonts w:ascii="Arial" w:hAnsi="Arial" w:cs="Arial"/>
          <w:color w:val="auto"/>
          <w:sz w:val="16"/>
          <w:szCs w:val="16"/>
          <w:lang w:val="en-US"/>
        </w:rPr>
        <w:t xml:space="preserve">and </w:t>
      </w:r>
      <w:r w:rsidRPr="0022274E">
        <w:rPr>
          <w:rFonts w:ascii="Arial" w:hAnsi="Arial" w:cs="Arial"/>
          <w:color w:val="auto"/>
          <w:sz w:val="16"/>
          <w:szCs w:val="16"/>
          <w:shd w:val="clear" w:color="auto" w:fill="FFFFFF"/>
          <w:lang w:val="en-US"/>
        </w:rPr>
        <w:t>Morales Antoniazzi,</w:t>
      </w:r>
      <w:r w:rsidR="00C63535" w:rsidRPr="00C63535">
        <w:rPr>
          <w:rFonts w:ascii="Arial" w:hAnsi="Arial" w:cs="Arial"/>
          <w:color w:val="auto"/>
          <w:sz w:val="16"/>
          <w:szCs w:val="16"/>
          <w:shd w:val="clear" w:color="auto" w:fill="FFFFFF"/>
          <w:lang w:val="en-US"/>
        </w:rPr>
        <w:t xml:space="preserve"> </w:t>
      </w:r>
      <w:r w:rsidR="00C63535" w:rsidRPr="0022274E">
        <w:rPr>
          <w:rFonts w:ascii="Arial" w:hAnsi="Arial" w:cs="Arial"/>
          <w:color w:val="auto"/>
          <w:sz w:val="16"/>
          <w:szCs w:val="16"/>
          <w:shd w:val="clear" w:color="auto" w:fill="FFFFFF"/>
          <w:lang w:val="en-US"/>
        </w:rPr>
        <w:t>M</w:t>
      </w:r>
      <w:r w:rsidR="00C63535">
        <w:rPr>
          <w:rFonts w:ascii="Arial" w:hAnsi="Arial" w:cs="Arial"/>
          <w:color w:val="auto"/>
          <w:sz w:val="16"/>
          <w:szCs w:val="16"/>
          <w:shd w:val="clear" w:color="auto" w:fill="FFFFFF"/>
          <w:lang w:val="en-US"/>
        </w:rPr>
        <w:t xml:space="preserve">. (2021), </w:t>
      </w:r>
      <w:r w:rsidRPr="00C63535">
        <w:rPr>
          <w:rStyle w:val="Emphasis"/>
          <w:rFonts w:ascii="Arial" w:hAnsi="Arial" w:cs="Arial"/>
          <w:b w:val="0"/>
          <w:bCs w:val="0"/>
          <w:i/>
          <w:iCs/>
          <w:color w:val="auto"/>
          <w:sz w:val="16"/>
          <w:szCs w:val="16"/>
          <w:shd w:val="clear" w:color="auto" w:fill="FFFFFF"/>
          <w:lang w:val="en-US"/>
        </w:rPr>
        <w:t>Towards Institutional Guarantees for Democratic Rotation: The Inter-American Court’s Advisory Opinion OC-28/21 on Presidential Re-election</w:t>
      </w:r>
      <w:r w:rsidRPr="0022274E">
        <w:rPr>
          <w:rStyle w:val="Emphasis"/>
          <w:rFonts w:ascii="Arial" w:hAnsi="Arial" w:cs="Arial"/>
          <w:color w:val="auto"/>
          <w:sz w:val="16"/>
          <w:szCs w:val="16"/>
          <w:shd w:val="clear" w:color="auto" w:fill="FFFFFF"/>
          <w:lang w:val="en-US"/>
        </w:rPr>
        <w:t xml:space="preserve">, </w:t>
      </w:r>
      <w:r w:rsidRPr="0022274E">
        <w:rPr>
          <w:rStyle w:val="Emphasis"/>
          <w:rFonts w:ascii="Arial" w:hAnsi="Arial" w:cs="Arial"/>
          <w:b w:val="0"/>
          <w:bCs w:val="0"/>
          <w:color w:val="auto"/>
          <w:sz w:val="16"/>
          <w:szCs w:val="16"/>
          <w:shd w:val="clear" w:color="auto" w:fill="FFFFFF"/>
          <w:lang w:val="en-US"/>
        </w:rPr>
        <w:t>VerfBlog</w:t>
      </w:r>
      <w:r w:rsidRPr="0022274E">
        <w:rPr>
          <w:rStyle w:val="Emphasis"/>
          <w:rFonts w:ascii="Arial" w:hAnsi="Arial" w:cs="Arial"/>
          <w:color w:val="auto"/>
          <w:sz w:val="16"/>
          <w:szCs w:val="16"/>
          <w:shd w:val="clear" w:color="auto" w:fill="FFFFFF"/>
          <w:lang w:val="en-US"/>
        </w:rPr>
        <w:t>,</w:t>
      </w:r>
      <w:r w:rsidRPr="0022274E">
        <w:rPr>
          <w:rFonts w:ascii="Arial" w:hAnsi="Arial" w:cs="Arial"/>
          <w:color w:val="auto"/>
          <w:sz w:val="16"/>
          <w:szCs w:val="16"/>
          <w:shd w:val="clear" w:color="auto" w:fill="FFFFFF"/>
          <w:lang w:val="en-US"/>
        </w:rPr>
        <w:t xml:space="preserve"> </w:t>
      </w:r>
      <w:hyperlink r:id="rId8" w:history="1">
        <w:r w:rsidRPr="0022274E">
          <w:rPr>
            <w:rStyle w:val="Hyperlink"/>
            <w:color w:val="auto"/>
            <w:szCs w:val="16"/>
            <w:shd w:val="clear" w:color="auto" w:fill="FFFFFF"/>
            <w:lang w:val="en-US"/>
          </w:rPr>
          <w:t>https://verfassungsblog.de/towards-institutional-guarantees-for-democratic-rotation/</w:t>
        </w:r>
      </w:hyperlink>
      <w:r w:rsidR="00C63535">
        <w:rPr>
          <w:rFonts w:ascii="Arial" w:hAnsi="Arial" w:cs="Arial"/>
          <w:color w:val="auto"/>
          <w:sz w:val="16"/>
          <w:szCs w:val="16"/>
          <w:lang w:val="en-US"/>
        </w:rPr>
        <w:t xml:space="preserve">, accessed 16 </w:t>
      </w:r>
      <w:r w:rsidR="00C004C8">
        <w:rPr>
          <w:rFonts w:ascii="Arial" w:hAnsi="Arial" w:cs="Arial"/>
          <w:color w:val="auto"/>
          <w:sz w:val="16"/>
          <w:szCs w:val="16"/>
          <w:lang w:val="en-US"/>
        </w:rPr>
        <w:t>A</w:t>
      </w:r>
      <w:r w:rsidR="00C63535">
        <w:rPr>
          <w:rFonts w:ascii="Arial" w:hAnsi="Arial" w:cs="Arial"/>
          <w:color w:val="auto"/>
          <w:sz w:val="16"/>
          <w:szCs w:val="16"/>
          <w:lang w:val="en-US"/>
        </w:rPr>
        <w:t>ugust 2023.</w:t>
      </w:r>
    </w:p>
  </w:footnote>
  <w:footnote w:id="19">
    <w:p w14:paraId="5396092D" w14:textId="690E0A5E" w:rsidR="008B0560" w:rsidRPr="0022274E" w:rsidRDefault="008B0560" w:rsidP="008B0560">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Committee of Ministers,</w:t>
      </w:r>
      <w:r w:rsidRPr="0022274E">
        <w:rPr>
          <w:rFonts w:ascii="Arial" w:hAnsi="Arial" w:cs="Arial"/>
          <w:i/>
          <w:iCs/>
          <w:sz w:val="16"/>
          <w:szCs w:val="16"/>
          <w:lang w:val="en-US"/>
        </w:rPr>
        <w:t xml:space="preserve"> The Council of Europe and the rule of law - An overview</w:t>
      </w:r>
      <w:r w:rsidRPr="0022274E">
        <w:rPr>
          <w:rFonts w:ascii="Arial" w:hAnsi="Arial" w:cs="Arial"/>
          <w:sz w:val="16"/>
          <w:szCs w:val="16"/>
          <w:lang w:val="en-US"/>
        </w:rPr>
        <w:t xml:space="preserve"> </w:t>
      </w:r>
      <w:r w:rsidRPr="0022274E">
        <w:rPr>
          <w:rFonts w:ascii="Arial" w:hAnsi="Arial" w:cs="Arial"/>
          <w:sz w:val="16"/>
          <w:szCs w:val="16"/>
        </w:rPr>
        <w:t>CM(2008)170, para. 24 and 27.</w:t>
      </w:r>
    </w:p>
  </w:footnote>
  <w:footnote w:id="20">
    <w:p w14:paraId="3DEAF397" w14:textId="5AB0B055" w:rsidR="008B0560" w:rsidRPr="0022274E" w:rsidRDefault="008B0560" w:rsidP="008B0560">
      <w:pPr>
        <w:pStyle w:val="FootnoteText"/>
        <w:jc w:val="both"/>
        <w:rPr>
          <w:rFonts w:ascii="Arial" w:hAnsi="Arial" w:cs="Arial"/>
          <w:sz w:val="16"/>
          <w:szCs w:val="16"/>
        </w:rPr>
      </w:pPr>
      <w:r w:rsidRPr="0022274E">
        <w:rPr>
          <w:rStyle w:val="FootnoteReference"/>
          <w:rFonts w:ascii="Arial" w:hAnsi="Arial" w:cs="Arial"/>
          <w:sz w:val="16"/>
          <w:szCs w:val="16"/>
          <w:vertAlign w:val="baseline"/>
        </w:rPr>
        <w:footnoteRef/>
      </w:r>
      <w:r w:rsidR="00C63535">
        <w:rPr>
          <w:rFonts w:ascii="Arial" w:hAnsi="Arial" w:cs="Arial"/>
          <w:sz w:val="16"/>
          <w:szCs w:val="16"/>
        </w:rPr>
        <w:t>.</w:t>
      </w:r>
      <w:r w:rsidRPr="0022274E">
        <w:rPr>
          <w:rFonts w:ascii="Arial" w:hAnsi="Arial" w:cs="Arial"/>
          <w:sz w:val="16"/>
          <w:szCs w:val="16"/>
        </w:rPr>
        <w:t xml:space="preserve"> </w:t>
      </w:r>
      <w:r w:rsidRPr="0022274E">
        <w:rPr>
          <w:rFonts w:ascii="Arial" w:hAnsi="Arial" w:cs="Arial"/>
          <w:sz w:val="16"/>
          <w:szCs w:val="16"/>
          <w:lang w:val="en-US"/>
        </w:rPr>
        <w:t xml:space="preserve">Venice Commission, </w:t>
      </w:r>
      <w:r w:rsidRPr="0022274E">
        <w:rPr>
          <w:rFonts w:ascii="Arial" w:hAnsi="Arial" w:cs="Arial"/>
          <w:i/>
          <w:iCs/>
          <w:sz w:val="16"/>
          <w:szCs w:val="16"/>
          <w:lang w:val="en-US"/>
        </w:rPr>
        <w:t>Report on the rule of law</w:t>
      </w:r>
      <w:r w:rsidRPr="0022274E">
        <w:rPr>
          <w:rFonts w:ascii="Arial" w:hAnsi="Arial" w:cs="Arial"/>
          <w:sz w:val="16"/>
          <w:szCs w:val="16"/>
          <w:lang w:val="en-US"/>
        </w:rPr>
        <w:t>, para. 26.</w:t>
      </w:r>
    </w:p>
  </w:footnote>
  <w:footnote w:id="21">
    <w:p w14:paraId="798FC570" w14:textId="083BA51F" w:rsidR="008B0560" w:rsidRPr="0022274E" w:rsidRDefault="008B0560" w:rsidP="008B0560">
      <w:pPr>
        <w:autoSpaceDE w:val="0"/>
        <w:autoSpaceDN w:val="0"/>
        <w:adjustRightInd w:val="0"/>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 xml:space="preserve">The Rule of </w:t>
      </w:r>
      <w:r w:rsidR="00493058">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lang w:val="en-US"/>
        </w:rPr>
        <w:t>,</w:t>
      </w:r>
      <w:r w:rsidRPr="0022274E">
        <w:rPr>
          <w:rFonts w:ascii="Arial" w:hAnsi="Arial" w:cs="Arial"/>
          <w:i/>
          <w:iCs/>
          <w:sz w:val="16"/>
          <w:szCs w:val="16"/>
          <w:lang w:val="en-US"/>
        </w:rPr>
        <w:t xml:space="preserve"> </w:t>
      </w:r>
      <w:r w:rsidRPr="0022274E">
        <w:rPr>
          <w:rFonts w:ascii="Arial" w:hAnsi="Arial" w:cs="Arial"/>
          <w:sz w:val="16"/>
          <w:szCs w:val="16"/>
          <w:lang w:val="en-US"/>
        </w:rPr>
        <w:t xml:space="preserve">para. 33. </w:t>
      </w:r>
    </w:p>
  </w:footnote>
  <w:footnote w:id="22">
    <w:p w14:paraId="1B9654DF" w14:textId="38677B3D" w:rsidR="008B0560" w:rsidRPr="0068168D" w:rsidRDefault="008B0560" w:rsidP="008B0560">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European Commission for Democracy through Law (Venice Commission), </w:t>
      </w:r>
      <w:r w:rsidRPr="0022274E">
        <w:rPr>
          <w:rFonts w:ascii="Arial" w:hAnsi="Arial" w:cs="Arial"/>
          <w:i/>
          <w:iCs/>
          <w:sz w:val="16"/>
          <w:szCs w:val="16"/>
          <w:shd w:val="clear" w:color="auto" w:fill="FFFFFF"/>
          <w:lang w:val="en-US"/>
        </w:rPr>
        <w:t>Parameters on the Relationship between the Parliamentary Majority and the Opposition in a Democracy: a checklist</w:t>
      </w:r>
      <w:r w:rsidRPr="0022274E">
        <w:rPr>
          <w:rFonts w:ascii="Arial" w:hAnsi="Arial" w:cs="Arial"/>
          <w:sz w:val="16"/>
          <w:szCs w:val="16"/>
          <w:shd w:val="clear" w:color="auto" w:fill="FFFFFF"/>
          <w:lang w:val="en-US"/>
        </w:rPr>
        <w:t xml:space="preserve">, </w:t>
      </w:r>
      <w:r w:rsidRPr="0022274E">
        <w:rPr>
          <w:rStyle w:val="docref"/>
          <w:rFonts w:ascii="Arial" w:hAnsi="Arial" w:cs="Arial"/>
          <w:sz w:val="16"/>
          <w:szCs w:val="16"/>
          <w:shd w:val="clear" w:color="auto" w:fill="FFFFFF"/>
          <w:lang w:val="en-US"/>
        </w:rPr>
        <w:t>CDL-AD(2019)015.</w:t>
      </w:r>
    </w:p>
  </w:footnote>
  <w:footnote w:id="23">
    <w:p w14:paraId="7142BA2A" w14:textId="74EF9FA9" w:rsidR="008B0560" w:rsidRPr="0022274E" w:rsidRDefault="008B0560" w:rsidP="008B0560">
      <w:pPr>
        <w:pStyle w:val="Default"/>
        <w:jc w:val="both"/>
        <w:rPr>
          <w:rFonts w:ascii="Arial" w:hAnsi="Arial" w:cs="Arial"/>
          <w:color w:val="auto"/>
          <w:sz w:val="16"/>
          <w:szCs w:val="16"/>
          <w:lang w:val="en-GB"/>
        </w:rPr>
      </w:pPr>
      <w:r w:rsidRPr="0022274E">
        <w:rPr>
          <w:rStyle w:val="FootnoteReference"/>
          <w:rFonts w:ascii="Arial" w:hAnsi="Arial" w:cs="Arial"/>
          <w:color w:val="auto"/>
          <w:sz w:val="16"/>
          <w:szCs w:val="16"/>
          <w:vertAlign w:val="baseline"/>
        </w:rPr>
        <w:footnoteRef/>
      </w:r>
      <w:r w:rsidR="00C63535">
        <w:rPr>
          <w:rFonts w:ascii="Arial" w:hAnsi="Arial" w:cs="Arial"/>
          <w:color w:val="auto"/>
          <w:sz w:val="16"/>
          <w:szCs w:val="16"/>
          <w:lang w:val="en-GB"/>
        </w:rPr>
        <w:t>.</w:t>
      </w:r>
      <w:r w:rsidRPr="0022274E">
        <w:rPr>
          <w:rFonts w:ascii="Arial" w:hAnsi="Arial" w:cs="Arial"/>
          <w:color w:val="auto"/>
          <w:sz w:val="16"/>
          <w:szCs w:val="16"/>
          <w:lang w:val="en-GB"/>
        </w:rPr>
        <w:t xml:space="preserve"> Parliamentary Assembly, </w:t>
      </w:r>
      <w:r w:rsidRPr="0022274E">
        <w:rPr>
          <w:rFonts w:ascii="Arial" w:hAnsi="Arial" w:cs="Arial"/>
          <w:color w:val="auto"/>
          <w:sz w:val="16"/>
          <w:szCs w:val="16"/>
          <w:lang w:val="en-US"/>
        </w:rPr>
        <w:t>Doc. 15486, 25 March 2022</w:t>
      </w:r>
      <w:r w:rsidRPr="0022274E">
        <w:rPr>
          <w:rFonts w:ascii="Arial" w:hAnsi="Arial" w:cs="Arial"/>
          <w:i/>
          <w:iCs/>
          <w:color w:val="auto"/>
          <w:sz w:val="16"/>
          <w:szCs w:val="16"/>
          <w:lang w:val="en-US"/>
        </w:rPr>
        <w:t>, Safeguarding and promoting genuine democracy in Europe Report</w:t>
      </w:r>
      <w:r w:rsidRPr="0022274E">
        <w:rPr>
          <w:rFonts w:ascii="Arial" w:hAnsi="Arial" w:cs="Arial"/>
          <w:color w:val="auto"/>
          <w:sz w:val="16"/>
          <w:szCs w:val="16"/>
          <w:lang w:val="en-US"/>
        </w:rPr>
        <w:t>, para. 6.</w:t>
      </w:r>
    </w:p>
  </w:footnote>
  <w:footnote w:id="24">
    <w:p w14:paraId="5D22CDDC" w14:textId="60F7B36D" w:rsidR="007322A3" w:rsidRPr="0022274E" w:rsidRDefault="007322A3" w:rsidP="007322A3">
      <w:pPr>
        <w:autoSpaceDE w:val="0"/>
        <w:autoSpaceDN w:val="0"/>
        <w:adjustRightInd w:val="0"/>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w:t>
      </w:r>
      <w:r w:rsidR="009E6B31" w:rsidRPr="0022274E">
        <w:rPr>
          <w:rFonts w:ascii="Arial" w:hAnsi="Arial" w:cs="Arial"/>
          <w:sz w:val="16"/>
          <w:szCs w:val="16"/>
          <w:lang w:val="en-US"/>
        </w:rPr>
        <w:t xml:space="preserve">See </w:t>
      </w:r>
      <w:r w:rsidRPr="0022274E">
        <w:rPr>
          <w:rFonts w:ascii="Arial" w:hAnsi="Arial" w:cs="Arial"/>
          <w:sz w:val="16"/>
          <w:szCs w:val="16"/>
          <w:lang w:val="en-US"/>
        </w:rPr>
        <w:t>Bellamy</w:t>
      </w:r>
      <w:r w:rsidR="00C63535">
        <w:rPr>
          <w:rFonts w:ascii="Arial" w:hAnsi="Arial" w:cs="Arial"/>
          <w:sz w:val="16"/>
          <w:szCs w:val="16"/>
          <w:lang w:val="en-US"/>
        </w:rPr>
        <w:t xml:space="preserve">, </w:t>
      </w:r>
      <w:r w:rsidR="00C63535" w:rsidRPr="0022274E">
        <w:rPr>
          <w:rFonts w:ascii="Arial" w:hAnsi="Arial" w:cs="Arial"/>
          <w:sz w:val="16"/>
          <w:szCs w:val="16"/>
          <w:lang w:val="en-US"/>
        </w:rPr>
        <w:t xml:space="preserve">R. </w:t>
      </w:r>
      <w:r w:rsidR="00C63535">
        <w:rPr>
          <w:rFonts w:ascii="Arial" w:hAnsi="Arial" w:cs="Arial"/>
          <w:sz w:val="16"/>
          <w:szCs w:val="16"/>
          <w:lang w:val="en-US"/>
        </w:rPr>
        <w:t>(2016)</w:t>
      </w:r>
      <w:r w:rsidRPr="0022274E">
        <w:rPr>
          <w:rFonts w:ascii="Arial" w:hAnsi="Arial" w:cs="Arial"/>
          <w:sz w:val="16"/>
          <w:szCs w:val="16"/>
          <w:lang w:val="en-US"/>
        </w:rPr>
        <w:t xml:space="preserve"> (ed), </w:t>
      </w:r>
      <w:r w:rsidRPr="0022274E">
        <w:rPr>
          <w:rFonts w:ascii="Arial" w:hAnsi="Arial" w:cs="Arial"/>
          <w:i/>
          <w:iCs/>
          <w:sz w:val="16"/>
          <w:szCs w:val="16"/>
        </w:rPr>
        <w:t>The Rule of Law and The Separation of Powers</w:t>
      </w:r>
      <w:r w:rsidRPr="0022274E">
        <w:rPr>
          <w:rFonts w:ascii="Arial" w:hAnsi="Arial" w:cs="Arial"/>
          <w:sz w:val="16"/>
          <w:szCs w:val="16"/>
        </w:rPr>
        <w:t xml:space="preserve">, London-New York, Routledge, </w:t>
      </w:r>
      <w:r w:rsidR="009E6B31" w:rsidRPr="0022274E">
        <w:rPr>
          <w:rFonts w:ascii="Arial" w:hAnsi="Arial" w:cs="Arial"/>
          <w:sz w:val="16"/>
          <w:szCs w:val="16"/>
          <w:lang w:val="en-US"/>
        </w:rPr>
        <w:t xml:space="preserve">Waldron, </w:t>
      </w:r>
      <w:r w:rsidR="00C63535" w:rsidRPr="0022274E">
        <w:rPr>
          <w:rFonts w:ascii="Arial" w:hAnsi="Arial" w:cs="Arial"/>
          <w:sz w:val="16"/>
          <w:szCs w:val="16"/>
        </w:rPr>
        <w:t>J.</w:t>
      </w:r>
      <w:r w:rsidR="00C63535" w:rsidRPr="0022274E">
        <w:rPr>
          <w:rFonts w:ascii="Arial" w:hAnsi="Arial" w:cs="Arial"/>
          <w:sz w:val="16"/>
          <w:szCs w:val="16"/>
          <w:lang w:val="en-US"/>
        </w:rPr>
        <w:t xml:space="preserve"> </w:t>
      </w:r>
      <w:r w:rsidR="00C63535">
        <w:rPr>
          <w:rFonts w:ascii="Arial" w:hAnsi="Arial" w:cs="Arial"/>
          <w:sz w:val="16"/>
          <w:szCs w:val="16"/>
          <w:lang w:val="en-US"/>
        </w:rPr>
        <w:t xml:space="preserve">(2023), </w:t>
      </w:r>
      <w:r w:rsidR="009E6B31" w:rsidRPr="0022274E">
        <w:rPr>
          <w:rFonts w:ascii="Arial" w:hAnsi="Arial" w:cs="Arial"/>
          <w:i/>
          <w:iCs/>
          <w:sz w:val="16"/>
          <w:szCs w:val="16"/>
          <w:lang w:val="en-US"/>
        </w:rPr>
        <w:t>The Rule of Law</w:t>
      </w:r>
      <w:r w:rsidR="009E6B31" w:rsidRPr="0022274E">
        <w:rPr>
          <w:rFonts w:ascii="Arial" w:hAnsi="Arial" w:cs="Arial"/>
          <w:sz w:val="16"/>
          <w:szCs w:val="16"/>
          <w:lang w:val="en-US"/>
        </w:rPr>
        <w:t xml:space="preserve">, </w:t>
      </w:r>
      <w:r w:rsidR="009E6B31" w:rsidRPr="0022274E">
        <w:rPr>
          <w:rFonts w:ascii="Arial" w:hAnsi="Arial" w:cs="Arial"/>
          <w:i/>
          <w:iCs/>
          <w:sz w:val="16"/>
          <w:szCs w:val="16"/>
          <w:lang w:val="en-US"/>
        </w:rPr>
        <w:t>in The Stanford Encyclopedia of Philosophy</w:t>
      </w:r>
      <w:r w:rsidR="009E6B31" w:rsidRPr="0022274E">
        <w:rPr>
          <w:rFonts w:ascii="Arial" w:hAnsi="Arial" w:cs="Arial"/>
          <w:sz w:val="16"/>
          <w:szCs w:val="16"/>
          <w:lang w:val="en-US"/>
        </w:rPr>
        <w:t xml:space="preserve">, at 5.2 (Edward N. Zalta &amp; Uri Nodelman eds., Fall ed. 2023), available at </w:t>
      </w:r>
      <w:hyperlink r:id="rId9" w:history="1">
        <w:r w:rsidR="00C63535" w:rsidRPr="00825489">
          <w:rPr>
            <w:rStyle w:val="Hyperlink"/>
            <w:szCs w:val="16"/>
            <w:lang w:val="en-US"/>
          </w:rPr>
          <w:t>https://plato.stanford.edu/entries/rule-of-law/</w:t>
        </w:r>
      </w:hyperlink>
      <w:r w:rsidR="00C63535">
        <w:rPr>
          <w:rFonts w:ascii="Arial" w:hAnsi="Arial" w:cs="Arial"/>
          <w:sz w:val="16"/>
          <w:szCs w:val="16"/>
          <w:lang w:val="en-US"/>
        </w:rPr>
        <w:t>, accessed 16 august 2023</w:t>
      </w:r>
      <w:r w:rsidR="009E6B31" w:rsidRPr="0022274E">
        <w:rPr>
          <w:rFonts w:ascii="Arial" w:hAnsi="Arial" w:cs="Arial"/>
          <w:sz w:val="16"/>
          <w:szCs w:val="16"/>
          <w:lang w:val="en-US"/>
        </w:rPr>
        <w:t xml:space="preserve">; Sunstein, </w:t>
      </w:r>
      <w:r w:rsidR="00C63535" w:rsidRPr="0022274E">
        <w:rPr>
          <w:rFonts w:ascii="Arial" w:hAnsi="Arial" w:cs="Arial"/>
          <w:sz w:val="16"/>
          <w:szCs w:val="16"/>
          <w:lang w:val="en-US"/>
        </w:rPr>
        <w:t>C. R.</w:t>
      </w:r>
      <w:r w:rsidR="00C63535">
        <w:rPr>
          <w:rFonts w:ascii="Arial" w:hAnsi="Arial" w:cs="Arial"/>
          <w:sz w:val="16"/>
          <w:szCs w:val="16"/>
          <w:lang w:val="en-US"/>
        </w:rPr>
        <w:t xml:space="preserve"> (2023), </w:t>
      </w:r>
      <w:r w:rsidR="009E6B31" w:rsidRPr="0022274E">
        <w:rPr>
          <w:rFonts w:ascii="Arial" w:hAnsi="Arial" w:cs="Arial"/>
          <w:i/>
          <w:iCs/>
          <w:sz w:val="16"/>
          <w:szCs w:val="16"/>
          <w:lang w:val="en-US"/>
        </w:rPr>
        <w:t>The Rule of Law</w:t>
      </w:r>
      <w:r w:rsidR="00C63535">
        <w:rPr>
          <w:rFonts w:ascii="Arial" w:hAnsi="Arial" w:cs="Arial"/>
          <w:i/>
          <w:iCs/>
          <w:sz w:val="16"/>
          <w:szCs w:val="16"/>
          <w:lang w:val="en-US"/>
        </w:rPr>
        <w:t xml:space="preserve">, </w:t>
      </w:r>
      <w:r w:rsidR="009E6B31" w:rsidRPr="0022274E">
        <w:rPr>
          <w:rFonts w:ascii="Arial" w:hAnsi="Arial" w:cs="Arial"/>
          <w:sz w:val="16"/>
          <w:szCs w:val="16"/>
          <w:lang w:val="en-US"/>
        </w:rPr>
        <w:t>p. 5, available at https://ssrn.com/ abstract=4405238</w:t>
      </w:r>
      <w:r w:rsidR="00C63535">
        <w:rPr>
          <w:rFonts w:ascii="Arial" w:hAnsi="Arial" w:cs="Arial"/>
          <w:sz w:val="16"/>
          <w:szCs w:val="16"/>
          <w:lang w:val="en-US"/>
        </w:rPr>
        <w:t xml:space="preserve">, accessed 16 </w:t>
      </w:r>
      <w:r w:rsidR="00C004C8">
        <w:rPr>
          <w:rFonts w:ascii="Arial" w:hAnsi="Arial" w:cs="Arial"/>
          <w:sz w:val="16"/>
          <w:szCs w:val="16"/>
          <w:lang w:val="en-US"/>
        </w:rPr>
        <w:t>A</w:t>
      </w:r>
      <w:r w:rsidR="00C63535">
        <w:rPr>
          <w:rFonts w:ascii="Arial" w:hAnsi="Arial" w:cs="Arial"/>
          <w:sz w:val="16"/>
          <w:szCs w:val="16"/>
          <w:lang w:val="en-US"/>
        </w:rPr>
        <w:t>ugust 2023.</w:t>
      </w:r>
    </w:p>
  </w:footnote>
  <w:footnote w:id="25">
    <w:p w14:paraId="1B405195" w14:textId="31C80655" w:rsidR="007322A3" w:rsidRPr="0022274E" w:rsidRDefault="007322A3" w:rsidP="007322A3">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C63535">
        <w:rPr>
          <w:rFonts w:ascii="Arial" w:hAnsi="Arial" w:cs="Arial"/>
          <w:sz w:val="16"/>
          <w:szCs w:val="16"/>
          <w:lang w:val="en-US"/>
        </w:rPr>
        <w:t>.</w:t>
      </w:r>
      <w:r w:rsidRPr="0022274E">
        <w:rPr>
          <w:rFonts w:ascii="Arial" w:hAnsi="Arial" w:cs="Arial"/>
          <w:sz w:val="16"/>
          <w:szCs w:val="16"/>
          <w:lang w:val="en-US"/>
        </w:rPr>
        <w:t xml:space="preserve"> Holterhus, </w:t>
      </w:r>
      <w:r w:rsidR="00C63535" w:rsidRPr="0022274E">
        <w:rPr>
          <w:rFonts w:ascii="Arial" w:hAnsi="Arial" w:cs="Arial"/>
          <w:sz w:val="16"/>
          <w:szCs w:val="16"/>
          <w:lang w:val="en-US"/>
        </w:rPr>
        <w:t>T. P.</w:t>
      </w:r>
      <w:r w:rsidR="00C63535">
        <w:rPr>
          <w:rFonts w:ascii="Arial" w:hAnsi="Arial" w:cs="Arial"/>
          <w:sz w:val="16"/>
          <w:szCs w:val="16"/>
          <w:lang w:val="en-US"/>
        </w:rPr>
        <w:t xml:space="preserve"> (2022), </w:t>
      </w:r>
      <w:r w:rsidRPr="0022274E">
        <w:rPr>
          <w:rFonts w:ascii="Arial" w:hAnsi="Arial" w:cs="Arial"/>
          <w:i/>
          <w:iCs/>
          <w:sz w:val="16"/>
          <w:szCs w:val="16"/>
          <w:lang w:val="en-US"/>
        </w:rPr>
        <w:t>Rule of Law</w:t>
      </w:r>
      <w:r w:rsidRPr="0022274E">
        <w:rPr>
          <w:rFonts w:ascii="Arial" w:hAnsi="Arial" w:cs="Arial"/>
          <w:sz w:val="16"/>
          <w:szCs w:val="16"/>
          <w:lang w:val="en-US"/>
        </w:rPr>
        <w:t xml:space="preserve">, in </w:t>
      </w:r>
      <w:r w:rsidRPr="0022274E">
        <w:rPr>
          <w:rFonts w:ascii="Arial" w:hAnsi="Arial" w:cs="Arial"/>
          <w:sz w:val="16"/>
          <w:szCs w:val="16"/>
          <w:shd w:val="clear" w:color="auto" w:fill="FFFFFF"/>
          <w:lang w:val="en-US"/>
        </w:rPr>
        <w:t xml:space="preserve">Binder, </w:t>
      </w:r>
      <w:r w:rsidR="00C63535" w:rsidRPr="0022274E">
        <w:rPr>
          <w:rFonts w:ascii="Arial" w:hAnsi="Arial" w:cs="Arial"/>
          <w:sz w:val="16"/>
          <w:szCs w:val="16"/>
          <w:shd w:val="clear" w:color="auto" w:fill="FFFFFF"/>
          <w:lang w:val="en-US"/>
        </w:rPr>
        <w:t>C.</w:t>
      </w:r>
      <w:r w:rsidR="00C63535">
        <w:rPr>
          <w:rFonts w:ascii="Arial" w:hAnsi="Arial" w:cs="Arial"/>
          <w:sz w:val="16"/>
          <w:szCs w:val="16"/>
          <w:shd w:val="clear" w:color="auto" w:fill="FFFFFF"/>
          <w:lang w:val="en-US"/>
        </w:rPr>
        <w:t xml:space="preserve">, </w:t>
      </w:r>
      <w:r w:rsidRPr="0022274E">
        <w:rPr>
          <w:rFonts w:ascii="Arial" w:hAnsi="Arial" w:cs="Arial"/>
          <w:sz w:val="16"/>
          <w:szCs w:val="16"/>
          <w:shd w:val="clear" w:color="auto" w:fill="FFFFFF"/>
          <w:lang w:val="en-US"/>
        </w:rPr>
        <w:t xml:space="preserve">Nowak, </w:t>
      </w:r>
      <w:r w:rsidR="00C63535" w:rsidRPr="0022274E">
        <w:rPr>
          <w:rFonts w:ascii="Arial" w:hAnsi="Arial" w:cs="Arial"/>
          <w:sz w:val="16"/>
          <w:szCs w:val="16"/>
          <w:shd w:val="clear" w:color="auto" w:fill="FFFFFF"/>
          <w:lang w:val="en-US"/>
        </w:rPr>
        <w:t>M.</w:t>
      </w:r>
      <w:r w:rsidR="00C63535">
        <w:rPr>
          <w:rFonts w:ascii="Arial" w:hAnsi="Arial" w:cs="Arial"/>
          <w:sz w:val="16"/>
          <w:szCs w:val="16"/>
          <w:shd w:val="clear" w:color="auto" w:fill="FFFFFF"/>
          <w:lang w:val="en-US"/>
        </w:rPr>
        <w:t xml:space="preserve">, </w:t>
      </w:r>
      <w:r w:rsidRPr="0022274E">
        <w:rPr>
          <w:rFonts w:ascii="Arial" w:hAnsi="Arial" w:cs="Arial"/>
          <w:sz w:val="16"/>
          <w:szCs w:val="16"/>
          <w:shd w:val="clear" w:color="auto" w:fill="FFFFFF"/>
          <w:lang w:val="en-US"/>
        </w:rPr>
        <w:t xml:space="preserve">Hofbauer, </w:t>
      </w:r>
      <w:r w:rsidR="00C63535" w:rsidRPr="0022274E">
        <w:rPr>
          <w:rFonts w:ascii="Arial" w:hAnsi="Arial" w:cs="Arial"/>
          <w:sz w:val="16"/>
          <w:szCs w:val="16"/>
          <w:shd w:val="clear" w:color="auto" w:fill="FFFFFF"/>
          <w:lang w:val="en-US"/>
        </w:rPr>
        <w:t>J. A.</w:t>
      </w:r>
      <w:r w:rsidR="00C63535">
        <w:rPr>
          <w:rFonts w:ascii="Arial" w:hAnsi="Arial" w:cs="Arial"/>
          <w:sz w:val="16"/>
          <w:szCs w:val="16"/>
          <w:shd w:val="clear" w:color="auto" w:fill="FFFFFF"/>
          <w:lang w:val="en-US"/>
        </w:rPr>
        <w:t xml:space="preserve">, </w:t>
      </w:r>
      <w:r w:rsidRPr="0022274E">
        <w:rPr>
          <w:rFonts w:ascii="Arial" w:hAnsi="Arial" w:cs="Arial"/>
          <w:sz w:val="16"/>
          <w:szCs w:val="16"/>
          <w:shd w:val="clear" w:color="auto" w:fill="FFFFFF"/>
          <w:lang w:val="en-US"/>
        </w:rPr>
        <w:t>Janig</w:t>
      </w:r>
      <w:r w:rsidR="00C63535">
        <w:rPr>
          <w:rFonts w:ascii="Arial" w:hAnsi="Arial" w:cs="Arial"/>
          <w:sz w:val="16"/>
          <w:szCs w:val="16"/>
          <w:shd w:val="clear" w:color="auto" w:fill="FFFFFF"/>
          <w:lang w:val="en-US"/>
        </w:rPr>
        <w:t xml:space="preserve">, </w:t>
      </w:r>
      <w:r w:rsidR="00C63535" w:rsidRPr="0022274E">
        <w:rPr>
          <w:rFonts w:ascii="Arial" w:hAnsi="Arial" w:cs="Arial"/>
          <w:sz w:val="16"/>
          <w:szCs w:val="16"/>
          <w:shd w:val="clear" w:color="auto" w:fill="FFFFFF"/>
          <w:lang w:val="en-US"/>
        </w:rPr>
        <w:t xml:space="preserve">P. </w:t>
      </w:r>
      <w:r w:rsidRPr="0022274E">
        <w:rPr>
          <w:rFonts w:ascii="Arial" w:hAnsi="Arial" w:cs="Arial"/>
          <w:sz w:val="16"/>
          <w:szCs w:val="16"/>
          <w:shd w:val="clear" w:color="auto" w:fill="FFFFFF"/>
          <w:lang w:val="en-US"/>
        </w:rPr>
        <w:t>(eds),</w:t>
      </w:r>
      <w:r w:rsidRPr="0022274E">
        <w:rPr>
          <w:rFonts w:ascii="Arial" w:hAnsi="Arial" w:cs="Arial"/>
          <w:sz w:val="16"/>
          <w:szCs w:val="16"/>
          <w:lang w:val="en-US"/>
        </w:rPr>
        <w:t xml:space="preserve"> </w:t>
      </w:r>
      <w:r w:rsidRPr="0022274E">
        <w:rPr>
          <w:rFonts w:ascii="Arial" w:hAnsi="Arial" w:cs="Arial"/>
          <w:i/>
          <w:iCs/>
          <w:sz w:val="16"/>
          <w:szCs w:val="16"/>
          <w:lang w:val="en-US"/>
        </w:rPr>
        <w:t>Elgar Encyclopedia of Human Rights</w:t>
      </w:r>
      <w:r w:rsidRPr="0022274E">
        <w:rPr>
          <w:rFonts w:ascii="Arial" w:hAnsi="Arial" w:cs="Arial"/>
          <w:b/>
          <w:bCs/>
          <w:sz w:val="16"/>
          <w:szCs w:val="16"/>
          <w:shd w:val="clear" w:color="auto" w:fill="FFFFFF"/>
          <w:lang w:val="en-US"/>
        </w:rPr>
        <w:t xml:space="preserve">, </w:t>
      </w:r>
      <w:r w:rsidRPr="0022274E">
        <w:rPr>
          <w:rFonts w:ascii="Arial" w:hAnsi="Arial" w:cs="Arial"/>
          <w:sz w:val="16"/>
          <w:szCs w:val="16"/>
          <w:lang w:val="en-US"/>
        </w:rPr>
        <w:t>p. 212.</w:t>
      </w:r>
    </w:p>
  </w:footnote>
  <w:footnote w:id="26">
    <w:p w14:paraId="404A1F9E" w14:textId="29F3D882" w:rsidR="008B0560" w:rsidRPr="0022274E" w:rsidRDefault="008B0560" w:rsidP="008B0560">
      <w:pPr>
        <w:autoSpaceDE w:val="0"/>
        <w:autoSpaceDN w:val="0"/>
        <w:adjustRightInd w:val="0"/>
        <w:jc w:val="both"/>
        <w:rPr>
          <w:rFonts w:ascii="Arial" w:hAnsi="Arial" w:cs="Arial"/>
          <w:sz w:val="16"/>
          <w:szCs w:val="16"/>
        </w:rPr>
      </w:pPr>
      <w:r w:rsidRPr="0022274E">
        <w:rPr>
          <w:rStyle w:val="FootnoteReference"/>
          <w:rFonts w:ascii="Arial" w:hAnsi="Arial" w:cs="Arial"/>
          <w:sz w:val="16"/>
          <w:szCs w:val="16"/>
          <w:vertAlign w:val="baseline"/>
        </w:rPr>
        <w:footnoteRef/>
      </w:r>
      <w:r w:rsidR="00C63535">
        <w:rPr>
          <w:rFonts w:ascii="Arial" w:hAnsi="Arial" w:cs="Arial"/>
          <w:sz w:val="16"/>
          <w:szCs w:val="16"/>
        </w:rPr>
        <w:t>.</w:t>
      </w:r>
      <w:r w:rsidRPr="0022274E">
        <w:rPr>
          <w:rFonts w:ascii="Arial" w:hAnsi="Arial" w:cs="Arial"/>
          <w:sz w:val="16"/>
          <w:szCs w:val="16"/>
        </w:rPr>
        <w:t xml:space="preserve"> United Nations, </w:t>
      </w:r>
      <w:r w:rsidRPr="0022274E">
        <w:rPr>
          <w:rFonts w:ascii="Arial" w:hAnsi="Arial" w:cs="Arial"/>
          <w:i/>
          <w:iCs/>
          <w:sz w:val="16"/>
          <w:szCs w:val="16"/>
        </w:rPr>
        <w:t>Report of the Secretary-General on the rule of law and transitional justice in conflict and post-conflict societies</w:t>
      </w:r>
      <w:r w:rsidRPr="0022274E">
        <w:rPr>
          <w:rFonts w:ascii="Arial" w:hAnsi="Arial" w:cs="Arial"/>
          <w:sz w:val="16"/>
          <w:szCs w:val="16"/>
        </w:rPr>
        <w:t xml:space="preserve"> Doc. S/2004/616, 23 August 2004, para. 6. </w:t>
      </w:r>
    </w:p>
  </w:footnote>
  <w:footnote w:id="27">
    <w:p w14:paraId="76ABCFDB" w14:textId="0AC5CC2C" w:rsidR="008B0560" w:rsidRPr="0022274E" w:rsidRDefault="008B0560" w:rsidP="008B0560">
      <w:pPr>
        <w:autoSpaceDE w:val="0"/>
        <w:autoSpaceDN w:val="0"/>
        <w:adjustRightInd w:val="0"/>
        <w:jc w:val="both"/>
        <w:rPr>
          <w:rFonts w:ascii="Arial" w:hAnsi="Arial" w:cs="Arial"/>
          <w:sz w:val="16"/>
          <w:szCs w:val="16"/>
        </w:rPr>
      </w:pPr>
      <w:r w:rsidRPr="0022274E">
        <w:rPr>
          <w:rStyle w:val="FootnoteReference"/>
          <w:rFonts w:ascii="Arial" w:hAnsi="Arial" w:cs="Arial"/>
          <w:sz w:val="16"/>
          <w:szCs w:val="16"/>
          <w:vertAlign w:val="baseline"/>
        </w:rPr>
        <w:footnoteRef/>
      </w:r>
      <w:r w:rsidR="00C63535">
        <w:rPr>
          <w:rFonts w:ascii="Arial" w:hAnsi="Arial" w:cs="Arial"/>
          <w:sz w:val="16"/>
          <w:szCs w:val="16"/>
        </w:rPr>
        <w:t>.</w:t>
      </w:r>
      <w:r w:rsidRPr="0022274E">
        <w:rPr>
          <w:rFonts w:ascii="Arial" w:hAnsi="Arial" w:cs="Arial"/>
          <w:sz w:val="16"/>
          <w:szCs w:val="16"/>
        </w:rPr>
        <w:t xml:space="preserve"> United Nations, HR Res. 2005/32 </w:t>
      </w:r>
      <w:r w:rsidRPr="0022274E">
        <w:rPr>
          <w:rFonts w:ascii="Arial" w:hAnsi="Arial" w:cs="Arial"/>
          <w:i/>
          <w:iCs/>
          <w:sz w:val="16"/>
          <w:szCs w:val="16"/>
        </w:rPr>
        <w:t>Democracy and the rule of law</w:t>
      </w:r>
      <w:r w:rsidRPr="0022274E">
        <w:rPr>
          <w:rFonts w:ascii="Arial" w:hAnsi="Arial" w:cs="Arial"/>
          <w:sz w:val="16"/>
          <w:szCs w:val="16"/>
        </w:rPr>
        <w:t>.</w:t>
      </w:r>
    </w:p>
  </w:footnote>
  <w:footnote w:id="28">
    <w:p w14:paraId="0F1A40A4" w14:textId="61365866" w:rsidR="00014DC6" w:rsidRPr="00335682" w:rsidRDefault="00014DC6" w:rsidP="00014DC6">
      <w:pPr>
        <w:autoSpaceDE w:val="0"/>
        <w:autoSpaceDN w:val="0"/>
        <w:adjustRightInd w:val="0"/>
        <w:jc w:val="both"/>
        <w:rPr>
          <w:rFonts w:ascii="Arial" w:hAnsi="Arial" w:cs="Arial"/>
          <w:sz w:val="16"/>
          <w:szCs w:val="16"/>
          <w:lang w:val="en-US"/>
        </w:rPr>
      </w:pPr>
      <w:r w:rsidRPr="00BD38A3">
        <w:rPr>
          <w:rStyle w:val="FootnoteReference"/>
          <w:rFonts w:ascii="Arial" w:hAnsi="Arial" w:cs="Arial"/>
          <w:sz w:val="16"/>
          <w:szCs w:val="16"/>
          <w:vertAlign w:val="baseline"/>
        </w:rPr>
        <w:footnoteRef/>
      </w:r>
      <w:r w:rsidR="00C63535">
        <w:rPr>
          <w:rFonts w:ascii="Arial" w:hAnsi="Arial" w:cs="Arial"/>
          <w:sz w:val="16"/>
          <w:szCs w:val="16"/>
          <w:lang w:val="en-US"/>
        </w:rPr>
        <w:t>.</w:t>
      </w:r>
      <w:r w:rsidRPr="00335682">
        <w:rPr>
          <w:rFonts w:ascii="Arial" w:hAnsi="Arial" w:cs="Arial"/>
          <w:sz w:val="16"/>
          <w:szCs w:val="16"/>
          <w:lang w:val="en-US"/>
        </w:rPr>
        <w:t xml:space="preserve"> </w:t>
      </w:r>
      <w:r w:rsidRPr="00335682">
        <w:rPr>
          <w:rFonts w:ascii="Arial" w:eastAsia="TimesNewRomanPSMT" w:hAnsi="Arial" w:cs="Arial"/>
          <w:sz w:val="16"/>
          <w:szCs w:val="16"/>
          <w:lang w:val="en-US"/>
        </w:rPr>
        <w:t>Regulation 2020/2092 of the European Parliament and of the Council of 16 December 2020 on a general regime of conditionality for the protection of the Union budget [2020] OJ L 433 I/1 art. 2: “The rule of law’ […] includes the principles of legality implying a transparent, accountable, democratic and pluralistic law-making process; legal certainty; prohibition of arbitrariness of the executive powers; effective judicial protection, including access to justice, by independent and impartial courts, also as regards fundamental rights; separation of powers; and non-discrimination and equality before the law. The rule of law shall be understood having regard to the other Union values and principles enshrined in Article 2 TEU”.</w:t>
      </w:r>
    </w:p>
  </w:footnote>
  <w:footnote w:id="29">
    <w:p w14:paraId="7D2E9B5B" w14:textId="25EEE550" w:rsidR="00014DC6" w:rsidRPr="00163A9F" w:rsidRDefault="00014DC6" w:rsidP="00014DC6">
      <w:pPr>
        <w:autoSpaceDE w:val="0"/>
        <w:autoSpaceDN w:val="0"/>
        <w:adjustRightInd w:val="0"/>
        <w:jc w:val="both"/>
        <w:rPr>
          <w:rFonts w:ascii="Arial" w:hAnsi="Arial" w:cs="Arial"/>
          <w:lang w:val="en-US"/>
        </w:rPr>
      </w:pPr>
      <w:r w:rsidRPr="00C63535">
        <w:rPr>
          <w:rStyle w:val="FootnoteReference"/>
          <w:rFonts w:ascii="Arial" w:hAnsi="Arial" w:cs="Arial"/>
          <w:sz w:val="16"/>
          <w:szCs w:val="16"/>
          <w:vertAlign w:val="baseline"/>
        </w:rPr>
        <w:footnoteRef/>
      </w:r>
      <w:r w:rsidR="00C63535">
        <w:rPr>
          <w:rFonts w:ascii="Arial" w:hAnsi="Arial" w:cs="Arial"/>
          <w:sz w:val="16"/>
          <w:szCs w:val="16"/>
          <w:lang w:val="en-US"/>
        </w:rPr>
        <w:t>.</w:t>
      </w:r>
      <w:r w:rsidRPr="00C63535">
        <w:rPr>
          <w:rFonts w:ascii="Arial" w:hAnsi="Arial" w:cs="Arial"/>
          <w:sz w:val="16"/>
          <w:szCs w:val="16"/>
          <w:lang w:val="en-US"/>
        </w:rPr>
        <w:t xml:space="preserve"> </w:t>
      </w:r>
      <w:r w:rsidRPr="00335682">
        <w:rPr>
          <w:rFonts w:ascii="Arial" w:hAnsi="Arial" w:cs="Arial"/>
          <w:i/>
          <w:iCs/>
          <w:sz w:val="16"/>
          <w:szCs w:val="16"/>
          <w:lang w:val="en-US"/>
        </w:rPr>
        <w:t xml:space="preserve">Hungary v European Parliament </w:t>
      </w:r>
      <w:r w:rsidRPr="00335682">
        <w:rPr>
          <w:rFonts w:ascii="Arial" w:eastAsia="TimesNewRomanPSMT" w:hAnsi="Arial" w:cs="Arial"/>
          <w:sz w:val="16"/>
          <w:szCs w:val="16"/>
          <w:lang w:val="en-US"/>
        </w:rPr>
        <w:t xml:space="preserve">(C156/21) EU:C:2022:97 at [232] and </w:t>
      </w:r>
      <w:r w:rsidRPr="00335682">
        <w:rPr>
          <w:rFonts w:ascii="Arial" w:hAnsi="Arial" w:cs="Arial"/>
          <w:i/>
          <w:iCs/>
          <w:sz w:val="16"/>
          <w:szCs w:val="16"/>
          <w:lang w:val="en-US"/>
        </w:rPr>
        <w:t xml:space="preserve">Poland v European Parliament </w:t>
      </w:r>
      <w:r w:rsidRPr="00335682">
        <w:rPr>
          <w:rFonts w:ascii="Arial" w:eastAsia="TimesNewRomanPSMT" w:hAnsi="Arial" w:cs="Arial"/>
          <w:sz w:val="16"/>
          <w:szCs w:val="16"/>
          <w:lang w:val="en-US"/>
        </w:rPr>
        <w:t xml:space="preserve">(C-157/21) EU:C:2022:98 at [264]. See Pech, </w:t>
      </w:r>
      <w:r w:rsidR="00107865">
        <w:rPr>
          <w:rFonts w:ascii="Arial" w:eastAsia="TimesNewRomanPSMT" w:hAnsi="Arial" w:cs="Arial"/>
          <w:sz w:val="16"/>
          <w:szCs w:val="16"/>
          <w:lang w:val="en-US"/>
        </w:rPr>
        <w:t xml:space="preserve">L. (2023), </w:t>
      </w:r>
      <w:r w:rsidRPr="00335682">
        <w:rPr>
          <w:rFonts w:ascii="Arial" w:eastAsia="TimesNewRomanPSMT" w:hAnsi="Arial" w:cs="Arial"/>
          <w:i/>
          <w:iCs/>
          <w:sz w:val="16"/>
          <w:szCs w:val="16"/>
          <w:lang w:val="en-US"/>
        </w:rPr>
        <w:t xml:space="preserve">The European Union’s Rule of Law Crisis; From Rule of Law to Rule of Lawlessness in </w:t>
      </w:r>
      <w:r w:rsidR="00107865" w:rsidRPr="00335682">
        <w:rPr>
          <w:rFonts w:ascii="Arial" w:eastAsia="TimesNewRomanPSMT" w:hAnsi="Arial" w:cs="Arial"/>
          <w:i/>
          <w:iCs/>
          <w:sz w:val="16"/>
          <w:szCs w:val="16"/>
          <w:lang w:val="en-US"/>
        </w:rPr>
        <w:t>Europe</w:t>
      </w:r>
      <w:r w:rsidR="00107865" w:rsidRPr="00335682">
        <w:rPr>
          <w:rFonts w:ascii="Arial" w:eastAsia="TimesNewRomanPSMT" w:hAnsi="Arial" w:cs="Arial"/>
          <w:sz w:val="16"/>
          <w:szCs w:val="16"/>
          <w:lang w:val="en-US"/>
        </w:rPr>
        <w:t>?</w:t>
      </w:r>
      <w:r w:rsidRPr="00335682">
        <w:rPr>
          <w:rFonts w:ascii="Arial" w:eastAsia="TimesNewRomanPSMT" w:hAnsi="Arial" w:cs="Arial"/>
          <w:sz w:val="16"/>
          <w:szCs w:val="16"/>
          <w:lang w:val="en-US"/>
        </w:rPr>
        <w:t xml:space="preserve"> in 70 </w:t>
      </w:r>
      <w:r w:rsidRPr="00335682">
        <w:rPr>
          <w:rFonts w:ascii="Arial" w:eastAsia="TimesNewRomanPSMT" w:hAnsi="Arial" w:cs="Arial"/>
          <w:i/>
          <w:iCs/>
          <w:sz w:val="16"/>
          <w:szCs w:val="16"/>
          <w:lang w:val="en-US"/>
        </w:rPr>
        <w:t>Irish Jurist</w:t>
      </w:r>
      <w:r w:rsidRPr="00335682">
        <w:rPr>
          <w:rFonts w:ascii="Arial" w:eastAsia="TimesNewRomanPSMT" w:hAnsi="Arial" w:cs="Arial"/>
          <w:sz w:val="16"/>
          <w:szCs w:val="16"/>
          <w:lang w:val="en-US"/>
        </w:rPr>
        <w:t xml:space="preserve"> 10, pp</w:t>
      </w:r>
      <w:r w:rsidR="00107865">
        <w:rPr>
          <w:rFonts w:ascii="Arial" w:eastAsia="TimesNewRomanPSMT" w:hAnsi="Arial" w:cs="Arial"/>
          <w:sz w:val="16"/>
          <w:szCs w:val="16"/>
          <w:lang w:val="en-US"/>
        </w:rPr>
        <w:t>.</w:t>
      </w:r>
      <w:r w:rsidRPr="00335682">
        <w:rPr>
          <w:rFonts w:ascii="Arial" w:eastAsia="TimesNewRomanPSMT" w:hAnsi="Arial" w:cs="Arial"/>
          <w:sz w:val="16"/>
          <w:szCs w:val="16"/>
          <w:lang w:val="en-US"/>
        </w:rPr>
        <w:t>10-28.</w:t>
      </w:r>
    </w:p>
  </w:footnote>
  <w:footnote w:id="30">
    <w:p w14:paraId="3A2965A5" w14:textId="58DFF1A6" w:rsidR="008B0560" w:rsidRPr="0022274E" w:rsidRDefault="008B0560" w:rsidP="008B0560">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r w:rsidRPr="0022274E">
        <w:rPr>
          <w:rFonts w:ascii="Arial" w:hAnsi="Arial" w:cs="Arial"/>
          <w:sz w:val="16"/>
          <w:szCs w:val="16"/>
          <w:shd w:val="clear" w:color="auto" w:fill="FFFFFF"/>
        </w:rPr>
        <w:t xml:space="preserve">Venice Commission, </w:t>
      </w:r>
      <w:r w:rsidRPr="0022274E">
        <w:rPr>
          <w:rFonts w:ascii="Arial" w:hAnsi="Arial" w:cs="Arial"/>
          <w:i/>
          <w:iCs/>
          <w:sz w:val="16"/>
          <w:szCs w:val="16"/>
          <w:shd w:val="clear" w:color="auto" w:fill="FFFFFF"/>
        </w:rPr>
        <w:t>The Rule of law Checklist</w:t>
      </w:r>
      <w:r w:rsidRPr="0022274E">
        <w:rPr>
          <w:rFonts w:ascii="Arial" w:hAnsi="Arial" w:cs="Arial"/>
          <w:sz w:val="16"/>
          <w:szCs w:val="16"/>
          <w:shd w:val="clear" w:color="auto" w:fill="FFFFFF"/>
        </w:rPr>
        <w:t>, para. 39.</w:t>
      </w:r>
    </w:p>
  </w:footnote>
  <w:footnote w:id="31">
    <w:p w14:paraId="612D35DE" w14:textId="75DD91D3" w:rsidR="008B0560" w:rsidRPr="0022274E" w:rsidRDefault="008B0560" w:rsidP="008B0560">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rPr>
        <w:t>.</w:t>
      </w:r>
      <w:r w:rsidR="00AB3AE0" w:rsidRPr="0022274E">
        <w:rPr>
          <w:rFonts w:ascii="Arial" w:hAnsi="Arial" w:cs="Arial"/>
          <w:sz w:val="16"/>
          <w:szCs w:val="16"/>
        </w:rPr>
        <w:t xml:space="preserve"> </w:t>
      </w:r>
      <w:r w:rsidRPr="0022274E">
        <w:rPr>
          <w:rFonts w:ascii="Arial" w:hAnsi="Arial" w:cs="Arial"/>
          <w:sz w:val="16"/>
          <w:szCs w:val="16"/>
        </w:rPr>
        <w:t>Reykjavik Principles for Democracy, Appendix III, para.</w:t>
      </w:r>
      <w:r w:rsidRPr="0022274E">
        <w:rPr>
          <w:rFonts w:ascii="Arial" w:hAnsi="Arial" w:cs="Arial"/>
          <w:sz w:val="16"/>
          <w:szCs w:val="16"/>
          <w:lang w:val="en-US"/>
        </w:rPr>
        <w:t xml:space="preserve"> 4. See </w:t>
      </w:r>
      <w:hyperlink r:id="rId10" w:history="1">
        <w:r w:rsidRPr="0022274E">
          <w:rPr>
            <w:rStyle w:val="Hyperlink"/>
            <w:szCs w:val="16"/>
            <w:lang w:val="en-US"/>
          </w:rPr>
          <w:t>https://www.coe.int/en/web/portal/fourth-council-of-europe-summit</w:t>
        </w:r>
      </w:hyperlink>
      <w:r w:rsidR="00107865">
        <w:rPr>
          <w:rStyle w:val="Hyperlink"/>
          <w:szCs w:val="16"/>
          <w:lang w:val="en-US"/>
        </w:rPr>
        <w:t xml:space="preserve">, </w:t>
      </w:r>
      <w:r w:rsidR="00107865" w:rsidRPr="00107865">
        <w:rPr>
          <w:rStyle w:val="Hyperlink"/>
          <w:color w:val="auto"/>
          <w:szCs w:val="16"/>
          <w:u w:val="none"/>
          <w:lang w:val="en-US"/>
        </w:rPr>
        <w:t>accessed 16 august 2023.</w:t>
      </w:r>
      <w:r w:rsidRPr="0022274E">
        <w:rPr>
          <w:rFonts w:ascii="Arial" w:hAnsi="Arial" w:cs="Arial"/>
          <w:sz w:val="16"/>
          <w:szCs w:val="16"/>
          <w:lang w:val="en-US"/>
        </w:rPr>
        <w:t xml:space="preserve"> </w:t>
      </w:r>
    </w:p>
  </w:footnote>
  <w:footnote w:id="32">
    <w:p w14:paraId="1E787811" w14:textId="388FA8E4" w:rsidR="008B0560" w:rsidRPr="0022274E" w:rsidRDefault="008B0560" w:rsidP="008B0560">
      <w:pPr>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r w:rsidRPr="0022274E">
        <w:rPr>
          <w:rFonts w:ascii="Arial" w:hAnsi="Arial" w:cs="Arial"/>
          <w:sz w:val="16"/>
          <w:szCs w:val="16"/>
        </w:rPr>
        <w:t xml:space="preserve">Lenaerts, </w:t>
      </w:r>
      <w:r w:rsidR="00107865" w:rsidRPr="0022274E">
        <w:rPr>
          <w:rFonts w:ascii="Arial" w:hAnsi="Arial" w:cs="Arial"/>
          <w:sz w:val="16"/>
          <w:szCs w:val="16"/>
          <w:lang w:val="en-US"/>
        </w:rPr>
        <w:t>K.</w:t>
      </w:r>
      <w:r w:rsidR="00107865">
        <w:rPr>
          <w:rFonts w:ascii="Arial" w:hAnsi="Arial" w:cs="Arial"/>
          <w:sz w:val="16"/>
          <w:szCs w:val="16"/>
          <w:lang w:val="en-US"/>
        </w:rPr>
        <w:t xml:space="preserve">(1990), </w:t>
      </w:r>
      <w:r w:rsidRPr="0022274E">
        <w:rPr>
          <w:rFonts w:ascii="Arial" w:hAnsi="Arial" w:cs="Arial"/>
          <w:i/>
          <w:iCs/>
          <w:sz w:val="16"/>
          <w:szCs w:val="16"/>
        </w:rPr>
        <w:t>Constitutionalism and the Many Faces of Federalism</w:t>
      </w:r>
      <w:r w:rsidRPr="0022274E">
        <w:rPr>
          <w:rFonts w:ascii="Arial" w:hAnsi="Arial" w:cs="Arial"/>
          <w:sz w:val="16"/>
          <w:szCs w:val="16"/>
        </w:rPr>
        <w:t xml:space="preserve">, </w:t>
      </w:r>
      <w:r w:rsidRPr="0022274E">
        <w:rPr>
          <w:rFonts w:ascii="Arial" w:hAnsi="Arial" w:cs="Arial"/>
          <w:spacing w:val="-5"/>
          <w:sz w:val="16"/>
          <w:szCs w:val="16"/>
          <w:lang w:val="en-US"/>
        </w:rPr>
        <w:t>The American Journal of Comparative Law, Vol. 38, No. 2, pp. 205-263.</w:t>
      </w:r>
    </w:p>
  </w:footnote>
  <w:footnote w:id="33">
    <w:p w14:paraId="0EA2E5AB" w14:textId="1C95CEE5" w:rsidR="008B0560" w:rsidRPr="0022274E" w:rsidRDefault="008B0560" w:rsidP="008B0560">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r w:rsidRPr="0022274E">
        <w:rPr>
          <w:rFonts w:ascii="Arial" w:hAnsi="Arial" w:cs="Arial"/>
          <w:i/>
          <w:iCs/>
          <w:sz w:val="16"/>
          <w:szCs w:val="16"/>
          <w:lang w:val="en-US"/>
        </w:rPr>
        <w:t>The Federalist</w:t>
      </w:r>
      <w:r w:rsidRPr="0022274E">
        <w:rPr>
          <w:rFonts w:ascii="Arial" w:hAnsi="Arial" w:cs="Arial"/>
          <w:sz w:val="16"/>
          <w:szCs w:val="16"/>
          <w:lang w:val="en-US"/>
        </w:rPr>
        <w:t>, New York, McLean, 1788, para. 51.</w:t>
      </w:r>
    </w:p>
  </w:footnote>
  <w:footnote w:id="34">
    <w:p w14:paraId="1A517B29" w14:textId="3A2ED6C6" w:rsidR="008B0560" w:rsidRPr="0022274E" w:rsidRDefault="008B0560" w:rsidP="00C004C8">
      <w:pPr>
        <w:autoSpaceDE w:val="0"/>
        <w:autoSpaceDN w:val="0"/>
        <w:adjustRightInd w:val="0"/>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The Rule of law Checklist,</w:t>
      </w:r>
      <w:r w:rsidRPr="0022274E">
        <w:rPr>
          <w:rFonts w:ascii="Arial" w:hAnsi="Arial" w:cs="Arial"/>
          <w:sz w:val="16"/>
          <w:szCs w:val="16"/>
          <w:lang w:val="en-US"/>
        </w:rPr>
        <w:t xml:space="preserve"> para 114.</w:t>
      </w:r>
      <w:r w:rsidRPr="0022274E">
        <w:rPr>
          <w:rFonts w:ascii="Arial" w:hAnsi="Arial" w:cs="Arial"/>
          <w:i/>
          <w:iCs/>
          <w:sz w:val="16"/>
          <w:szCs w:val="16"/>
          <w:lang w:val="en-US"/>
        </w:rPr>
        <w:t xml:space="preserve"> </w:t>
      </w:r>
    </w:p>
  </w:footnote>
  <w:footnote w:id="35">
    <w:p w14:paraId="42EE838D" w14:textId="19AB3BAF" w:rsidR="008B0560" w:rsidRPr="000A223C" w:rsidRDefault="008B0560" w:rsidP="00C004C8">
      <w:pPr>
        <w:pStyle w:val="FootnoteText"/>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rPr>
        <w:t>.</w:t>
      </w:r>
      <w:r w:rsidRPr="0022274E">
        <w:rPr>
          <w:rFonts w:ascii="Arial" w:hAnsi="Arial" w:cs="Arial"/>
          <w:sz w:val="16"/>
          <w:szCs w:val="16"/>
        </w:rPr>
        <w:t xml:space="preserve"> Council of Europe, Parliamentary Assembly, Resolution 2437 (2022) Safeguarding and promoting genuine democracy in Europe, para. 10.</w:t>
      </w:r>
    </w:p>
  </w:footnote>
  <w:footnote w:id="36">
    <w:p w14:paraId="53397FC7" w14:textId="2572098F" w:rsidR="008B0560" w:rsidRPr="0022274E" w:rsidRDefault="008B0560" w:rsidP="00C004C8">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The indicators on “other institutional issues related to checks and balances” are: (iv) process for preparing and enacting laws consultations, use of fast-track procedures or emergency procedures, regime for constitutional review of laws (v) independent authorities (vi) accessibility, judicial review of administrative decisions (vii) Enabling framework for civil society”. Among the sources, the following sources are mentioned: “Council of Europe reports: in particular Venice Commission, Group of States against Corruption (GRECO)”. See </w:t>
      </w:r>
      <w:hyperlink r:id="rId11" w:history="1">
        <w:r w:rsidRPr="0022274E">
          <w:rPr>
            <w:rStyle w:val="Hyperlink"/>
            <w:szCs w:val="16"/>
            <w:lang w:val="en-US"/>
          </w:rPr>
          <w:t>https://commission.europa.eu/strategy-and-policy/policies/justice-and-fundamental-rights/upholding-rule-law/rule-law/rule-law-mechanism/2022-rule-law-report_en</w:t>
        </w:r>
      </w:hyperlink>
      <w:r w:rsidR="00107865">
        <w:rPr>
          <w:rFonts w:ascii="Arial" w:hAnsi="Arial" w:cs="Arial"/>
          <w:sz w:val="16"/>
          <w:szCs w:val="16"/>
          <w:lang w:val="en-US"/>
        </w:rPr>
        <w:t xml:space="preserve">, accessed 16 </w:t>
      </w:r>
      <w:r w:rsidR="008F5CA8">
        <w:rPr>
          <w:rFonts w:ascii="Arial" w:hAnsi="Arial" w:cs="Arial"/>
          <w:sz w:val="16"/>
          <w:szCs w:val="16"/>
          <w:lang w:val="en-US"/>
        </w:rPr>
        <w:t>A</w:t>
      </w:r>
      <w:r w:rsidR="00107865">
        <w:rPr>
          <w:rFonts w:ascii="Arial" w:hAnsi="Arial" w:cs="Arial"/>
          <w:sz w:val="16"/>
          <w:szCs w:val="16"/>
          <w:lang w:val="en-US"/>
        </w:rPr>
        <w:t>ugust 2023.</w:t>
      </w:r>
    </w:p>
  </w:footnote>
  <w:footnote w:id="37">
    <w:p w14:paraId="5FE7E10A" w14:textId="59B2DC76" w:rsidR="008B0560" w:rsidRPr="0022274E" w:rsidRDefault="008B0560" w:rsidP="00C004C8">
      <w:pPr>
        <w:autoSpaceDE w:val="0"/>
        <w:autoSpaceDN w:val="0"/>
        <w:adjustRightInd w:val="0"/>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rPr>
        <w:t>.</w:t>
      </w:r>
      <w:r w:rsidRPr="0022274E">
        <w:rPr>
          <w:rFonts w:ascii="Arial" w:hAnsi="Arial" w:cs="Arial"/>
          <w:sz w:val="16"/>
          <w:szCs w:val="16"/>
        </w:rPr>
        <w:t xml:space="preserve"> The UN indicators only refer to criminal justice institutions, including the police and other law enforcement agencies, the courts, the prosecution and the defence, and corrections. See The United Nations rule of law Indicators, 2011, </w:t>
      </w:r>
      <w:hyperlink r:id="rId12" w:history="1">
        <w:r w:rsidRPr="0022274E">
          <w:rPr>
            <w:rStyle w:val="Hyperlink"/>
            <w:szCs w:val="16"/>
          </w:rPr>
          <w:t>https://peacekeeping.un.org/sites/default/files/un_rule_of_law_indicators.pdf</w:t>
        </w:r>
      </w:hyperlink>
      <w:r w:rsidR="00107865">
        <w:rPr>
          <w:rFonts w:ascii="Arial" w:hAnsi="Arial" w:cs="Arial"/>
          <w:sz w:val="16"/>
          <w:szCs w:val="16"/>
        </w:rPr>
        <w:t xml:space="preserve">, accessed 16 </w:t>
      </w:r>
      <w:r w:rsidR="008F5CA8">
        <w:rPr>
          <w:rFonts w:ascii="Arial" w:hAnsi="Arial" w:cs="Arial"/>
          <w:sz w:val="16"/>
          <w:szCs w:val="16"/>
          <w:lang w:val="en-US"/>
        </w:rPr>
        <w:t xml:space="preserve">August </w:t>
      </w:r>
      <w:r w:rsidR="00107865">
        <w:rPr>
          <w:rFonts w:ascii="Arial" w:hAnsi="Arial" w:cs="Arial"/>
          <w:sz w:val="16"/>
          <w:szCs w:val="16"/>
        </w:rPr>
        <w:t>2023.</w:t>
      </w:r>
    </w:p>
  </w:footnote>
  <w:footnote w:id="38">
    <w:p w14:paraId="5DB11E1D" w14:textId="1E944F89" w:rsidR="008B0560" w:rsidRPr="0022274E" w:rsidRDefault="008B0560" w:rsidP="00C004C8">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hyperlink r:id="rId13" w:history="1">
        <w:r w:rsidRPr="0022274E">
          <w:rPr>
            <w:rStyle w:val="Hyperlink"/>
            <w:szCs w:val="16"/>
            <w:lang w:val="en-US"/>
          </w:rPr>
          <w:t>https://worldjusticeproject.org/rule-of-law-index/</w:t>
        </w:r>
      </w:hyperlink>
      <w:r w:rsidR="00107865">
        <w:rPr>
          <w:rFonts w:ascii="Arial" w:hAnsi="Arial" w:cs="Arial"/>
          <w:sz w:val="16"/>
          <w:szCs w:val="16"/>
          <w:lang w:val="en-US"/>
        </w:rPr>
        <w:t xml:space="preserve">, </w:t>
      </w:r>
      <w:r w:rsidR="00107865">
        <w:rPr>
          <w:rFonts w:ascii="Arial" w:hAnsi="Arial" w:cs="Arial"/>
          <w:sz w:val="16"/>
          <w:szCs w:val="16"/>
        </w:rPr>
        <w:t xml:space="preserve">accessed 16 </w:t>
      </w:r>
      <w:r w:rsidR="008F5CA8">
        <w:rPr>
          <w:rFonts w:ascii="Arial" w:hAnsi="Arial" w:cs="Arial"/>
          <w:sz w:val="16"/>
          <w:szCs w:val="16"/>
          <w:lang w:val="en-US"/>
        </w:rPr>
        <w:t xml:space="preserve">August </w:t>
      </w:r>
      <w:r w:rsidR="00107865">
        <w:rPr>
          <w:rFonts w:ascii="Arial" w:hAnsi="Arial" w:cs="Arial"/>
          <w:sz w:val="16"/>
          <w:szCs w:val="16"/>
        </w:rPr>
        <w:t>2023.</w:t>
      </w:r>
    </w:p>
  </w:footnote>
  <w:footnote w:id="39">
    <w:p w14:paraId="6EDD246F" w14:textId="59A3B68B" w:rsidR="008B0560" w:rsidRPr="0022274E" w:rsidRDefault="008B0560" w:rsidP="00C004C8">
      <w:pPr>
        <w:autoSpaceDE w:val="0"/>
        <w:autoSpaceDN w:val="0"/>
        <w:adjustRightInd w:val="0"/>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The other factors are: </w:t>
      </w:r>
      <w:r w:rsidRPr="0022274E">
        <w:rPr>
          <w:rFonts w:ascii="Arial" w:hAnsi="Arial" w:cs="Arial"/>
          <w:sz w:val="16"/>
          <w:szCs w:val="16"/>
        </w:rPr>
        <w:t xml:space="preserve">2) The laws are clear, publicized, stable, and just; are applied evenly; and protect fundamental rights, including the security of persons and property. 3) The process by which the laws are enacted, administered, and enforced is accessible, fair, and efficient. 4) Justice is delivered timely by competent, ethical, and independent representatives and neutrals who are of sufficient number, have adequate resources, and reflect the makeup of the communities they serve. </w:t>
      </w:r>
      <w:hyperlink r:id="rId14" w:history="1">
        <w:r w:rsidRPr="0022274E">
          <w:rPr>
            <w:rStyle w:val="Hyperlink"/>
            <w:szCs w:val="16"/>
          </w:rPr>
          <w:t>https://worldjusticeproject.org/about-us/overview/what-rule-law</w:t>
        </w:r>
      </w:hyperlink>
      <w:r w:rsidR="00107865">
        <w:rPr>
          <w:rFonts w:ascii="Arial" w:hAnsi="Arial" w:cs="Arial"/>
          <w:sz w:val="16"/>
          <w:szCs w:val="16"/>
        </w:rPr>
        <w:t xml:space="preserve">, accessed 16 </w:t>
      </w:r>
      <w:r w:rsidR="008F5CA8">
        <w:rPr>
          <w:rFonts w:ascii="Arial" w:hAnsi="Arial" w:cs="Arial"/>
          <w:sz w:val="16"/>
          <w:szCs w:val="16"/>
          <w:lang w:val="en-US"/>
        </w:rPr>
        <w:t xml:space="preserve">August </w:t>
      </w:r>
      <w:r w:rsidR="00107865">
        <w:rPr>
          <w:rFonts w:ascii="Arial" w:hAnsi="Arial" w:cs="Arial"/>
          <w:sz w:val="16"/>
          <w:szCs w:val="16"/>
        </w:rPr>
        <w:t>2023.</w:t>
      </w:r>
    </w:p>
  </w:footnote>
  <w:footnote w:id="40">
    <w:p w14:paraId="34CBB7BA" w14:textId="034D802A" w:rsidR="008B0560" w:rsidRPr="0022274E" w:rsidRDefault="008B0560" w:rsidP="00C004C8">
      <w:pPr>
        <w:shd w:val="clear" w:color="auto" w:fill="FFFFFF"/>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rPr>
        <w:t>.</w:t>
      </w:r>
      <w:r w:rsidRPr="0022274E">
        <w:rPr>
          <w:rFonts w:ascii="Arial" w:hAnsi="Arial" w:cs="Arial"/>
          <w:sz w:val="16"/>
          <w:szCs w:val="16"/>
        </w:rPr>
        <w:t xml:space="preserve"> </w:t>
      </w:r>
      <w:hyperlink r:id="rId15" w:anchor="whatwemeasure" w:history="1">
        <w:r w:rsidRPr="0022274E">
          <w:rPr>
            <w:rStyle w:val="Hyperlink"/>
            <w:szCs w:val="16"/>
            <w:lang w:eastAsia="it-IT"/>
          </w:rPr>
          <w:t>https://worldjusticeproject.org/rule-of-law-index/about#whatwemeasure</w:t>
        </w:r>
      </w:hyperlink>
      <w:r w:rsidR="00107865">
        <w:rPr>
          <w:rFonts w:ascii="Arial" w:hAnsi="Arial" w:cs="Arial"/>
          <w:sz w:val="16"/>
          <w:szCs w:val="16"/>
          <w:lang w:eastAsia="it-IT"/>
        </w:rPr>
        <w:t xml:space="preserve">, </w:t>
      </w:r>
      <w:r w:rsidR="00107865">
        <w:rPr>
          <w:rFonts w:ascii="Arial" w:hAnsi="Arial" w:cs="Arial"/>
          <w:sz w:val="16"/>
          <w:szCs w:val="16"/>
        </w:rPr>
        <w:t xml:space="preserve">accessed 16 </w:t>
      </w:r>
      <w:r w:rsidR="008F5CA8">
        <w:rPr>
          <w:rFonts w:ascii="Arial" w:hAnsi="Arial" w:cs="Arial"/>
          <w:sz w:val="16"/>
          <w:szCs w:val="16"/>
          <w:lang w:val="en-US"/>
        </w:rPr>
        <w:t xml:space="preserve">August </w:t>
      </w:r>
      <w:r w:rsidR="00107865">
        <w:rPr>
          <w:rFonts w:ascii="Arial" w:hAnsi="Arial" w:cs="Arial"/>
          <w:sz w:val="16"/>
          <w:szCs w:val="16"/>
        </w:rPr>
        <w:t>2023.</w:t>
      </w:r>
    </w:p>
  </w:footnote>
  <w:footnote w:id="41">
    <w:p w14:paraId="065428B9" w14:textId="0F316599" w:rsidR="008B0560" w:rsidRPr="0022274E" w:rsidRDefault="008B0560" w:rsidP="00C004C8">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r w:rsidRPr="0022274E">
        <w:rPr>
          <w:rFonts w:ascii="Arial" w:hAnsi="Arial" w:cs="Arial"/>
          <w:sz w:val="16"/>
          <w:szCs w:val="16"/>
          <w:shd w:val="clear" w:color="auto" w:fill="FFFFFF"/>
          <w:lang w:val="en-US"/>
        </w:rPr>
        <w:t>Botero,</w:t>
      </w:r>
      <w:r w:rsidR="00C35C46">
        <w:rPr>
          <w:rFonts w:ascii="Arial" w:hAnsi="Arial" w:cs="Arial"/>
          <w:sz w:val="16"/>
          <w:szCs w:val="16"/>
          <w:shd w:val="clear" w:color="auto" w:fill="FFFFFF"/>
          <w:lang w:val="en-US"/>
        </w:rPr>
        <w:t xml:space="preserve"> </w:t>
      </w:r>
      <w:r w:rsidR="00C35C46" w:rsidRPr="0022274E">
        <w:rPr>
          <w:rFonts w:ascii="Arial" w:hAnsi="Arial" w:cs="Arial"/>
          <w:sz w:val="16"/>
          <w:szCs w:val="16"/>
          <w:lang w:val="en-US"/>
        </w:rPr>
        <w:t>J. C.</w:t>
      </w:r>
      <w:r w:rsidR="00C35C46">
        <w:rPr>
          <w:rFonts w:ascii="Arial" w:hAnsi="Arial" w:cs="Arial"/>
          <w:sz w:val="16"/>
          <w:szCs w:val="16"/>
          <w:lang w:val="en-US"/>
        </w:rPr>
        <w:t>,</w:t>
      </w:r>
      <w:r w:rsidRPr="0022274E">
        <w:rPr>
          <w:rFonts w:ascii="Arial" w:hAnsi="Arial" w:cs="Arial"/>
          <w:sz w:val="16"/>
          <w:szCs w:val="16"/>
          <w:shd w:val="clear" w:color="auto" w:fill="FFFFFF"/>
          <w:lang w:val="en-US"/>
        </w:rPr>
        <w:t xml:space="preserve"> Ponce, </w:t>
      </w:r>
      <w:r w:rsidR="00C35C46">
        <w:rPr>
          <w:rFonts w:ascii="Arial" w:hAnsi="Arial" w:cs="Arial"/>
          <w:sz w:val="16"/>
          <w:szCs w:val="16"/>
          <w:shd w:val="clear" w:color="auto" w:fill="FFFFFF"/>
          <w:lang w:val="en-US"/>
        </w:rPr>
        <w:t xml:space="preserve">A., </w:t>
      </w:r>
      <w:r w:rsidRPr="0022274E">
        <w:rPr>
          <w:rFonts w:ascii="Arial" w:hAnsi="Arial" w:cs="Arial"/>
          <w:i/>
          <w:iCs/>
          <w:sz w:val="16"/>
          <w:szCs w:val="16"/>
          <w:shd w:val="clear" w:color="auto" w:fill="FFFFFF"/>
          <w:lang w:val="en-US"/>
        </w:rPr>
        <w:t>Measuring the rule of law</w:t>
      </w:r>
      <w:r w:rsidRPr="0022274E">
        <w:rPr>
          <w:rFonts w:ascii="Arial" w:hAnsi="Arial" w:cs="Arial"/>
          <w:sz w:val="16"/>
          <w:szCs w:val="16"/>
          <w:shd w:val="clear" w:color="auto" w:fill="FFFFFF"/>
          <w:lang w:val="en-US"/>
        </w:rPr>
        <w:t xml:space="preserve"> (November 30, 2011). Available at SSRN: </w:t>
      </w:r>
      <w:hyperlink r:id="rId16" w:tgtFrame="_blank" w:history="1">
        <w:r w:rsidRPr="0022274E">
          <w:rPr>
            <w:rStyle w:val="Hyperlink"/>
            <w:szCs w:val="16"/>
            <w:shd w:val="clear" w:color="auto" w:fill="FFFFFF"/>
            <w:lang w:val="en-US"/>
          </w:rPr>
          <w:t>https://ssrn.com/abstract=1966257</w:t>
        </w:r>
      </w:hyperlink>
      <w:r w:rsidRPr="0022274E">
        <w:rPr>
          <w:rFonts w:ascii="Arial" w:hAnsi="Arial" w:cs="Arial"/>
          <w:sz w:val="16"/>
          <w:szCs w:val="16"/>
          <w:shd w:val="clear" w:color="auto" w:fill="FFFFFF"/>
          <w:lang w:val="en-US"/>
        </w:rPr>
        <w:t> or </w:t>
      </w:r>
      <w:hyperlink r:id="rId17" w:tgtFrame="_blank" w:history="1">
        <w:r w:rsidRPr="0022274E">
          <w:rPr>
            <w:rStyle w:val="Hyperlink"/>
            <w:szCs w:val="16"/>
            <w:shd w:val="clear" w:color="auto" w:fill="FFFFFF"/>
            <w:lang w:val="en-US"/>
          </w:rPr>
          <w:t>http://dx.doi.org/10.2139/ssrn.1966257</w:t>
        </w:r>
      </w:hyperlink>
      <w:r w:rsidR="00107865">
        <w:rPr>
          <w:rStyle w:val="Hyperlink"/>
          <w:szCs w:val="16"/>
          <w:shd w:val="clear" w:color="auto" w:fill="FFFFFF"/>
          <w:lang w:val="en-US"/>
        </w:rPr>
        <w:t xml:space="preserve">, </w:t>
      </w:r>
      <w:r w:rsidR="00107865">
        <w:rPr>
          <w:rFonts w:ascii="Arial" w:hAnsi="Arial" w:cs="Arial"/>
          <w:sz w:val="16"/>
          <w:szCs w:val="16"/>
        </w:rPr>
        <w:t xml:space="preserve">accessed 16 </w:t>
      </w:r>
      <w:r w:rsidR="008F5CA8">
        <w:rPr>
          <w:rFonts w:ascii="Arial" w:hAnsi="Arial" w:cs="Arial"/>
          <w:sz w:val="16"/>
          <w:szCs w:val="16"/>
          <w:lang w:val="en-US"/>
        </w:rPr>
        <w:t xml:space="preserve">August </w:t>
      </w:r>
      <w:r w:rsidR="00107865">
        <w:rPr>
          <w:rFonts w:ascii="Arial" w:hAnsi="Arial" w:cs="Arial"/>
          <w:sz w:val="16"/>
          <w:szCs w:val="16"/>
        </w:rPr>
        <w:t>2023</w:t>
      </w:r>
      <w:r w:rsidR="00C35C46">
        <w:rPr>
          <w:rFonts w:ascii="Arial" w:hAnsi="Arial" w:cs="Arial"/>
          <w:sz w:val="16"/>
          <w:szCs w:val="16"/>
        </w:rPr>
        <w:t>.</w:t>
      </w:r>
    </w:p>
  </w:footnote>
  <w:footnote w:id="42">
    <w:p w14:paraId="65AB05FD" w14:textId="043998DB" w:rsidR="008B0560" w:rsidRPr="0022274E" w:rsidRDefault="008B0560" w:rsidP="00C004C8">
      <w:pPr>
        <w:autoSpaceDE w:val="0"/>
        <w:autoSpaceDN w:val="0"/>
        <w:adjustRightInd w:val="0"/>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r w:rsidRPr="0022274E">
        <w:rPr>
          <w:rFonts w:ascii="Arial" w:hAnsi="Arial" w:cs="Arial"/>
          <w:sz w:val="16"/>
          <w:szCs w:val="16"/>
        </w:rPr>
        <w:t xml:space="preserve">Freedom House subnational elections and opposition </w:t>
      </w:r>
      <w:hyperlink r:id="rId18" w:history="1">
        <w:r w:rsidRPr="0022274E">
          <w:rPr>
            <w:rStyle w:val="Hyperlink"/>
            <w:szCs w:val="16"/>
          </w:rPr>
          <w:t>https://freedomhouse.org/reports/freedom-world/freedom-world-research-methodology</w:t>
        </w:r>
      </w:hyperlink>
      <w:r w:rsidR="00107865">
        <w:rPr>
          <w:rFonts w:ascii="Arial" w:hAnsi="Arial" w:cs="Arial"/>
          <w:sz w:val="16"/>
          <w:szCs w:val="16"/>
        </w:rPr>
        <w:t xml:space="preserve">, accessed 16 </w:t>
      </w:r>
      <w:r w:rsidR="008F5CA8">
        <w:rPr>
          <w:rFonts w:ascii="Arial" w:hAnsi="Arial" w:cs="Arial"/>
          <w:sz w:val="16"/>
          <w:szCs w:val="16"/>
          <w:lang w:val="en-US"/>
        </w:rPr>
        <w:t xml:space="preserve">August </w:t>
      </w:r>
      <w:r w:rsidR="00107865">
        <w:rPr>
          <w:rFonts w:ascii="Arial" w:hAnsi="Arial" w:cs="Arial"/>
          <w:sz w:val="16"/>
          <w:szCs w:val="16"/>
        </w:rPr>
        <w:t>2023</w:t>
      </w:r>
      <w:r w:rsidRPr="0022274E">
        <w:rPr>
          <w:rFonts w:ascii="Arial" w:hAnsi="Arial" w:cs="Arial"/>
          <w:sz w:val="16"/>
          <w:szCs w:val="16"/>
        </w:rPr>
        <w:t xml:space="preserve">; </w:t>
      </w:r>
      <w:r w:rsidRPr="0022274E">
        <w:rPr>
          <w:rFonts w:ascii="Arial" w:hAnsi="Arial" w:cs="Arial"/>
          <w:sz w:val="16"/>
          <w:szCs w:val="16"/>
          <w:lang w:val="en-US"/>
        </w:rPr>
        <w:t xml:space="preserve">EUI municipal elections </w:t>
      </w:r>
      <w:hyperlink r:id="rId19" w:history="1">
        <w:r w:rsidRPr="0022274E">
          <w:rPr>
            <w:rStyle w:val="Hyperlink"/>
            <w:szCs w:val="16"/>
            <w:lang w:val="en-US"/>
          </w:rPr>
          <w:t>https://www.eiu.com/n/campaigns/democracy-index-2022/</w:t>
        </w:r>
      </w:hyperlink>
      <w:r w:rsidR="00107865">
        <w:rPr>
          <w:rFonts w:ascii="Arial" w:hAnsi="Arial" w:cs="Arial"/>
          <w:sz w:val="16"/>
          <w:szCs w:val="16"/>
          <w:lang w:val="en-US"/>
        </w:rPr>
        <w:t xml:space="preserve">, </w:t>
      </w:r>
      <w:r w:rsidR="00107865">
        <w:rPr>
          <w:rFonts w:ascii="Arial" w:hAnsi="Arial" w:cs="Arial"/>
          <w:sz w:val="16"/>
          <w:szCs w:val="16"/>
        </w:rPr>
        <w:t>accessed 16 august 2023.</w:t>
      </w:r>
    </w:p>
  </w:footnote>
  <w:footnote w:id="43">
    <w:p w14:paraId="6D11B15F" w14:textId="3F7D091E" w:rsidR="008B0560" w:rsidRPr="0022274E" w:rsidRDefault="008B0560" w:rsidP="00C004C8">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hyperlink r:id="rId20" w:history="1">
        <w:r w:rsidRPr="0022274E">
          <w:rPr>
            <w:rStyle w:val="Hyperlink"/>
            <w:szCs w:val="16"/>
            <w:lang w:val="en-US"/>
          </w:rPr>
          <w:t>https://v-dem.net/</w:t>
        </w:r>
      </w:hyperlink>
      <w:r w:rsidR="00107865">
        <w:rPr>
          <w:rFonts w:ascii="Arial" w:hAnsi="Arial" w:cs="Arial"/>
          <w:sz w:val="16"/>
          <w:szCs w:val="16"/>
          <w:lang w:val="en-US"/>
        </w:rPr>
        <w:t xml:space="preserve">, </w:t>
      </w:r>
      <w:r w:rsidR="00107865">
        <w:rPr>
          <w:rFonts w:ascii="Arial" w:hAnsi="Arial" w:cs="Arial"/>
          <w:sz w:val="16"/>
          <w:szCs w:val="16"/>
        </w:rPr>
        <w:t>accessed 16 august 2023.</w:t>
      </w:r>
    </w:p>
  </w:footnote>
  <w:footnote w:id="44">
    <w:p w14:paraId="5ACE6A05" w14:textId="0C4A565E" w:rsidR="008B0560" w:rsidRPr="0022274E" w:rsidRDefault="008B0560" w:rsidP="00AC0D44">
      <w:pPr>
        <w:autoSpaceDE w:val="0"/>
        <w:autoSpaceDN w:val="0"/>
        <w:adjustRightInd w:val="0"/>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Codebook, para. </w:t>
      </w:r>
      <w:r w:rsidRPr="0022274E">
        <w:rPr>
          <w:rFonts w:ascii="Arial" w:hAnsi="Arial" w:cs="Arial"/>
          <w:sz w:val="16"/>
          <w:szCs w:val="16"/>
        </w:rPr>
        <w:t xml:space="preserve">2.2.15, p. 54 </w:t>
      </w:r>
      <w:hyperlink r:id="rId21" w:history="1">
        <w:r w:rsidRPr="0022274E">
          <w:rPr>
            <w:rStyle w:val="Hyperlink"/>
            <w:szCs w:val="16"/>
          </w:rPr>
          <w:t>https://www.v-dem.net/data/the-v-dem-dataset/</w:t>
        </w:r>
      </w:hyperlink>
      <w:r w:rsidR="00107865">
        <w:rPr>
          <w:rStyle w:val="Hyperlink"/>
          <w:szCs w:val="16"/>
        </w:rPr>
        <w:t xml:space="preserve">, </w:t>
      </w:r>
      <w:r w:rsidR="00107865">
        <w:rPr>
          <w:rFonts w:ascii="Arial" w:hAnsi="Arial" w:cs="Arial"/>
          <w:sz w:val="16"/>
          <w:szCs w:val="16"/>
        </w:rPr>
        <w:t xml:space="preserve">accessed 16 </w:t>
      </w:r>
      <w:r w:rsidR="00FA6BB9">
        <w:rPr>
          <w:rFonts w:ascii="Arial" w:hAnsi="Arial" w:cs="Arial"/>
          <w:sz w:val="16"/>
          <w:szCs w:val="16"/>
        </w:rPr>
        <w:t>A</w:t>
      </w:r>
      <w:r w:rsidR="00107865">
        <w:rPr>
          <w:rFonts w:ascii="Arial" w:hAnsi="Arial" w:cs="Arial"/>
          <w:sz w:val="16"/>
          <w:szCs w:val="16"/>
        </w:rPr>
        <w:t>ugust 2023</w:t>
      </w:r>
      <w:r w:rsidR="00C35C46">
        <w:rPr>
          <w:rFonts w:ascii="Arial" w:hAnsi="Arial" w:cs="Arial"/>
          <w:sz w:val="16"/>
          <w:szCs w:val="16"/>
        </w:rPr>
        <w:t>.</w:t>
      </w:r>
    </w:p>
  </w:footnote>
  <w:footnote w:id="45">
    <w:p w14:paraId="45E0B6C6" w14:textId="1DB42C44" w:rsidR="007322A3" w:rsidRPr="000E25DB" w:rsidRDefault="007322A3" w:rsidP="008F5CA8">
      <w:pPr>
        <w:shd w:val="clear" w:color="auto" w:fill="FFFFFF"/>
        <w:jc w:val="both"/>
        <w:rPr>
          <w:rFonts w:ascii="Arial" w:hAnsi="Arial" w:cs="Arial"/>
          <w:sz w:val="20"/>
          <w:szCs w:val="20"/>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The seven indicators are: </w:t>
      </w:r>
      <w:r w:rsidRPr="0022274E">
        <w:rPr>
          <w:rFonts w:ascii="Arial" w:hAnsi="Arial" w:cs="Arial"/>
          <w:sz w:val="16"/>
          <w:szCs w:val="16"/>
          <w:lang w:val="en-US" w:eastAsia="it-IT"/>
        </w:rPr>
        <w:t>National Democratic Governance; Electoral Process; Civil Society; Independent Media; Local Democratic Governance; Judicial Framework and Independence; Corruption</w:t>
      </w:r>
      <w:r w:rsidRPr="0022274E">
        <w:rPr>
          <w:rFonts w:ascii="Arial" w:hAnsi="Arial" w:cs="Arial"/>
          <w:b/>
          <w:bCs/>
          <w:sz w:val="16"/>
          <w:szCs w:val="16"/>
          <w:lang w:val="en-US" w:eastAsia="it-IT"/>
        </w:rPr>
        <w:t>.</w:t>
      </w:r>
      <w:r w:rsidRPr="0022274E">
        <w:rPr>
          <w:rFonts w:ascii="Arial" w:hAnsi="Arial" w:cs="Arial"/>
          <w:sz w:val="16"/>
          <w:szCs w:val="16"/>
          <w:lang w:val="en-US"/>
        </w:rPr>
        <w:t xml:space="preserve"> See the methodology here: </w:t>
      </w:r>
      <w:hyperlink r:id="rId22" w:history="1">
        <w:r w:rsidRPr="0022274E">
          <w:rPr>
            <w:rStyle w:val="Hyperlink"/>
            <w:szCs w:val="16"/>
            <w:lang w:val="en-US"/>
          </w:rPr>
          <w:t>https://freedomhouse.org/reports/nations-transit/nations-transit-methodology</w:t>
        </w:r>
      </w:hyperlink>
      <w:r w:rsidR="00107865">
        <w:rPr>
          <w:rFonts w:ascii="Arial" w:hAnsi="Arial" w:cs="Arial"/>
          <w:sz w:val="20"/>
          <w:szCs w:val="20"/>
          <w:lang w:val="en-US"/>
        </w:rPr>
        <w:t xml:space="preserve">, </w:t>
      </w:r>
      <w:r w:rsidR="00107865">
        <w:rPr>
          <w:rFonts w:ascii="Arial" w:hAnsi="Arial" w:cs="Arial"/>
          <w:sz w:val="16"/>
          <w:szCs w:val="16"/>
        </w:rPr>
        <w:t xml:space="preserve">accessed 16 </w:t>
      </w:r>
      <w:r w:rsidR="00FA6BB9">
        <w:rPr>
          <w:rFonts w:ascii="Arial" w:hAnsi="Arial" w:cs="Arial"/>
          <w:sz w:val="16"/>
          <w:szCs w:val="16"/>
        </w:rPr>
        <w:t>A</w:t>
      </w:r>
      <w:r w:rsidR="00107865">
        <w:rPr>
          <w:rFonts w:ascii="Arial" w:hAnsi="Arial" w:cs="Arial"/>
          <w:sz w:val="16"/>
          <w:szCs w:val="16"/>
        </w:rPr>
        <w:t>ugust 2023</w:t>
      </w:r>
      <w:r w:rsidR="00E2230A">
        <w:rPr>
          <w:rFonts w:ascii="Arial" w:hAnsi="Arial" w:cs="Arial"/>
          <w:sz w:val="16"/>
          <w:szCs w:val="16"/>
        </w:rPr>
        <w:t>.</w:t>
      </w:r>
    </w:p>
  </w:footnote>
  <w:footnote w:id="46">
    <w:p w14:paraId="0B99DD4B" w14:textId="20CD3539" w:rsidR="003273CC" w:rsidRPr="0022274E" w:rsidRDefault="003273CC" w:rsidP="00E2230A">
      <w:pPr>
        <w:pStyle w:val="Default"/>
        <w:jc w:val="both"/>
        <w:rPr>
          <w:rFonts w:ascii="Arial" w:hAnsi="Arial" w:cs="Arial"/>
          <w:color w:val="auto"/>
          <w:sz w:val="16"/>
          <w:szCs w:val="16"/>
          <w:lang w:val="en-US"/>
        </w:rPr>
      </w:pPr>
      <w:r w:rsidRPr="0022274E">
        <w:rPr>
          <w:rStyle w:val="FootnoteReference"/>
          <w:rFonts w:ascii="Arial" w:hAnsi="Arial" w:cs="Arial"/>
          <w:color w:val="auto"/>
          <w:sz w:val="16"/>
          <w:szCs w:val="16"/>
          <w:vertAlign w:val="baseline"/>
        </w:rPr>
        <w:footnoteRef/>
      </w:r>
      <w:r w:rsidR="00107865">
        <w:rPr>
          <w:rFonts w:ascii="Arial" w:hAnsi="Arial" w:cs="Arial"/>
          <w:color w:val="auto"/>
          <w:sz w:val="16"/>
          <w:szCs w:val="16"/>
          <w:lang w:val="en-US"/>
        </w:rPr>
        <w:t>.</w:t>
      </w:r>
      <w:r w:rsidRPr="0022274E">
        <w:rPr>
          <w:rFonts w:ascii="Arial" w:hAnsi="Arial" w:cs="Arial"/>
          <w:color w:val="auto"/>
          <w:sz w:val="16"/>
          <w:szCs w:val="16"/>
          <w:lang w:val="en-US"/>
        </w:rPr>
        <w:t xml:space="preserve"> For example, para. 4: “the right of citizens to participate in the conduct of public affairs is one of the democratic principles that are shared by all member States of the Council of Europe”; para. 5: “it is at local level that this right can be most directly exercised”; para. 7: “the safeguarding and reinforcement of local self-government in the different European countries is an important contribution to the construction of a Europe based on the principles of democracy and the decentralisation of power”; para. 8 “this entails the existence of local authorities endowed with democratically constituted decision-making bodies and possessing a wide degree of autonomy with regard to their responsibilities, the ways and means by which those responsibilities are exercised, and the resources required for their fulfilment”. </w:t>
      </w:r>
    </w:p>
  </w:footnote>
  <w:footnote w:id="47">
    <w:p w14:paraId="28CB47E3" w14:textId="56BFEBFE" w:rsidR="003273CC" w:rsidRPr="00070A0C" w:rsidRDefault="003273CC" w:rsidP="00E2230A">
      <w:pPr>
        <w:pStyle w:val="FootnoteText"/>
        <w:jc w:val="both"/>
        <w:rPr>
          <w:rFonts w:ascii="Arial" w:hAnsi="Arial" w:cs="Arial"/>
          <w:sz w:val="16"/>
          <w:szCs w:val="16"/>
          <w:lang w:val="en-US"/>
        </w:rPr>
      </w:pPr>
      <w:r w:rsidRPr="0022274E">
        <w:rPr>
          <w:rStyle w:val="FootnoteReference"/>
          <w:rFonts w:ascii="Arial" w:eastAsiaTheme="minorHAnsi" w:hAnsi="Arial" w:cs="Arial"/>
          <w:sz w:val="16"/>
          <w:szCs w:val="16"/>
          <w:vertAlign w:val="baseline"/>
          <w:lang w:val="el-GR"/>
        </w:rPr>
        <w:footnoteRef/>
      </w:r>
      <w:r w:rsidR="00107865">
        <w:rPr>
          <w:rFonts w:ascii="Arial" w:hAnsi="Arial" w:cs="Arial"/>
          <w:sz w:val="16"/>
          <w:szCs w:val="16"/>
          <w:lang w:val="en-US"/>
        </w:rPr>
        <w:t>.</w:t>
      </w:r>
      <w:r w:rsidRPr="0022274E">
        <w:rPr>
          <w:rFonts w:ascii="Arial" w:hAnsi="Arial" w:cs="Arial"/>
          <w:sz w:val="16"/>
          <w:szCs w:val="16"/>
          <w:lang w:val="en-US"/>
        </w:rPr>
        <w:t xml:space="preserve"> Congress of Local and Regional Authorities, A contemporary commentary by the Congress on the Explanatory Report to the European Charter of Local Self-Government, CG-FORUM (2020)02-05prov, 12 February 2020, </w:t>
      </w:r>
      <w:hyperlink r:id="rId23" w:history="1">
        <w:r w:rsidR="00BF35FC" w:rsidRPr="00DD674B">
          <w:rPr>
            <w:rStyle w:val="Hyperlink"/>
            <w:szCs w:val="16"/>
            <w:lang w:val="en-US"/>
          </w:rPr>
          <w:t>https://rm.coe.int/contemporary-commentary-by-the-congress-on-the-explanatory-report-to-t/1680a06149</w:t>
        </w:r>
      </w:hyperlink>
      <w:r w:rsidR="002009CA" w:rsidRPr="002009CA">
        <w:rPr>
          <w:rFonts w:ascii="Arial" w:hAnsi="Arial" w:cs="Arial"/>
          <w:sz w:val="16"/>
          <w:szCs w:val="16"/>
          <w:lang w:val="en-US"/>
        </w:rPr>
        <w:t xml:space="preserve">, </w:t>
      </w:r>
      <w:r w:rsidRPr="002009CA">
        <w:rPr>
          <w:rFonts w:ascii="Arial" w:hAnsi="Arial" w:cs="Arial"/>
          <w:sz w:val="16"/>
          <w:szCs w:val="16"/>
          <w:lang w:val="en-US"/>
        </w:rPr>
        <w:t>para. 5</w:t>
      </w:r>
      <w:r w:rsidR="00107865" w:rsidRPr="002009CA">
        <w:rPr>
          <w:rFonts w:ascii="Arial" w:hAnsi="Arial" w:cs="Arial"/>
          <w:sz w:val="16"/>
          <w:szCs w:val="16"/>
          <w:lang w:val="en-US"/>
        </w:rPr>
        <w:t xml:space="preserve">, </w:t>
      </w:r>
      <w:r w:rsidR="00107865" w:rsidRPr="002009CA">
        <w:rPr>
          <w:rFonts w:ascii="Arial" w:hAnsi="Arial" w:cs="Arial"/>
          <w:sz w:val="16"/>
          <w:szCs w:val="16"/>
        </w:rPr>
        <w:t xml:space="preserve">accessed 16 </w:t>
      </w:r>
      <w:r w:rsidR="00FA6BB9" w:rsidRPr="002009CA">
        <w:rPr>
          <w:rFonts w:ascii="Arial" w:hAnsi="Arial" w:cs="Arial"/>
          <w:sz w:val="16"/>
          <w:szCs w:val="16"/>
        </w:rPr>
        <w:t>A</w:t>
      </w:r>
      <w:r w:rsidR="00107865" w:rsidRPr="002009CA">
        <w:rPr>
          <w:rFonts w:ascii="Arial" w:hAnsi="Arial" w:cs="Arial"/>
          <w:sz w:val="16"/>
          <w:szCs w:val="16"/>
        </w:rPr>
        <w:t>ugust 2023</w:t>
      </w:r>
      <w:r w:rsidR="00E2230A" w:rsidRPr="002009CA">
        <w:rPr>
          <w:rFonts w:ascii="Arial" w:hAnsi="Arial" w:cs="Arial"/>
          <w:sz w:val="16"/>
          <w:szCs w:val="16"/>
        </w:rPr>
        <w:t>.</w:t>
      </w:r>
    </w:p>
  </w:footnote>
  <w:footnote w:id="48">
    <w:p w14:paraId="23595EF2" w14:textId="646E5900" w:rsidR="00281B80" w:rsidRPr="00E60CEA" w:rsidRDefault="00281B80" w:rsidP="00E2230A">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hyperlink r:id="rId24" w:history="1">
        <w:r w:rsidRPr="0022274E">
          <w:rPr>
            <w:rStyle w:val="Hyperlink"/>
            <w:szCs w:val="16"/>
            <w:lang w:val="en-US"/>
          </w:rPr>
          <w:t>https://rm.coe.int/call-for-action-congress-high-level-conference-in-the-margins-of-the-c/1680ab3b97</w:t>
        </w:r>
      </w:hyperlink>
      <w:r w:rsidR="00107865">
        <w:rPr>
          <w:rFonts w:ascii="Arial" w:hAnsi="Arial" w:cs="Arial"/>
          <w:sz w:val="16"/>
          <w:szCs w:val="16"/>
          <w:lang w:val="en-US"/>
        </w:rPr>
        <w:t xml:space="preserve">, </w:t>
      </w:r>
      <w:r w:rsidR="00107865">
        <w:rPr>
          <w:rFonts w:ascii="Arial" w:hAnsi="Arial" w:cs="Arial"/>
          <w:sz w:val="16"/>
          <w:szCs w:val="16"/>
        </w:rPr>
        <w:t xml:space="preserve">accessed 16 </w:t>
      </w:r>
      <w:r w:rsidR="00FA6BB9">
        <w:rPr>
          <w:rFonts w:ascii="Arial" w:hAnsi="Arial" w:cs="Arial"/>
          <w:sz w:val="16"/>
          <w:szCs w:val="16"/>
        </w:rPr>
        <w:t>A</w:t>
      </w:r>
      <w:r w:rsidR="00107865">
        <w:rPr>
          <w:rFonts w:ascii="Arial" w:hAnsi="Arial" w:cs="Arial"/>
          <w:sz w:val="16"/>
          <w:szCs w:val="16"/>
        </w:rPr>
        <w:t>ugust 2023</w:t>
      </w:r>
      <w:r w:rsidR="008933A4">
        <w:rPr>
          <w:rFonts w:ascii="Arial" w:hAnsi="Arial" w:cs="Arial"/>
          <w:sz w:val="16"/>
          <w:szCs w:val="16"/>
        </w:rPr>
        <w:t>.</w:t>
      </w:r>
    </w:p>
  </w:footnote>
  <w:footnote w:id="49">
    <w:p w14:paraId="3CF2F2B3" w14:textId="1E78255F" w:rsidR="00DC0484" w:rsidRPr="0022274E" w:rsidRDefault="00DC0484" w:rsidP="00DC0484">
      <w:pPr>
        <w:autoSpaceDE w:val="0"/>
        <w:autoSpaceDN w:val="0"/>
        <w:adjustRightInd w:val="0"/>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 xml:space="preserve">The Rule of </w:t>
      </w:r>
      <w:r w:rsidR="00335749">
        <w:rPr>
          <w:rFonts w:ascii="Arial" w:hAnsi="Arial" w:cs="Arial"/>
          <w:i/>
          <w:iCs/>
          <w:sz w:val="16"/>
          <w:szCs w:val="16"/>
          <w:lang w:val="en-US"/>
        </w:rPr>
        <w:t>L</w:t>
      </w:r>
      <w:r w:rsidRPr="0022274E">
        <w:rPr>
          <w:rFonts w:ascii="Arial" w:hAnsi="Arial" w:cs="Arial"/>
          <w:i/>
          <w:iCs/>
          <w:sz w:val="16"/>
          <w:szCs w:val="16"/>
          <w:lang w:val="en-US"/>
        </w:rPr>
        <w:t>aw</w:t>
      </w:r>
      <w:r w:rsidRPr="0022274E">
        <w:rPr>
          <w:rFonts w:ascii="Arial" w:hAnsi="Arial" w:cs="Arial"/>
          <w:i/>
          <w:iCs/>
          <w:sz w:val="16"/>
          <w:szCs w:val="16"/>
        </w:rPr>
        <w:t xml:space="preserve"> Checklist</w:t>
      </w:r>
      <w:r w:rsidRPr="0022274E">
        <w:rPr>
          <w:rFonts w:ascii="Arial" w:hAnsi="Arial" w:cs="Arial"/>
          <w:sz w:val="16"/>
          <w:szCs w:val="16"/>
        </w:rPr>
        <w:t>, para. 17.</w:t>
      </w:r>
    </w:p>
  </w:footnote>
  <w:footnote w:id="50">
    <w:p w14:paraId="0E89ACBF" w14:textId="2DA2E104" w:rsidR="00445A3B" w:rsidRPr="0022274E" w:rsidRDefault="00445A3B" w:rsidP="00445A3B">
      <w:pPr>
        <w:pStyle w:val="FootnoteText"/>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rPr>
        <w:t>.</w:t>
      </w:r>
      <w:r w:rsidRPr="0022274E">
        <w:rPr>
          <w:rFonts w:ascii="Arial" w:hAnsi="Arial" w:cs="Arial"/>
          <w:sz w:val="16"/>
          <w:szCs w:val="16"/>
        </w:rPr>
        <w:t xml:space="preserve"> </w:t>
      </w:r>
      <w:r w:rsidRPr="0022274E">
        <w:rPr>
          <w:rFonts w:ascii="Arial" w:hAnsi="Arial" w:cs="Arial"/>
          <w:sz w:val="16"/>
          <w:szCs w:val="16"/>
          <w:lang w:val="en-US"/>
        </w:rPr>
        <w:t xml:space="preserve">Venice Commission, </w:t>
      </w:r>
      <w:r w:rsidRPr="0022274E">
        <w:rPr>
          <w:rFonts w:ascii="Arial" w:hAnsi="Arial" w:cs="Arial"/>
          <w:i/>
          <w:iCs/>
          <w:sz w:val="16"/>
          <w:szCs w:val="16"/>
          <w:lang w:val="en-US"/>
        </w:rPr>
        <w:t xml:space="preserve">The Rule of </w:t>
      </w:r>
      <w:r w:rsidR="00335749">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rPr>
        <w:t xml:space="preserve"> p.17.</w:t>
      </w:r>
    </w:p>
  </w:footnote>
  <w:footnote w:id="51">
    <w:p w14:paraId="52B4C233" w14:textId="5F2CB707" w:rsidR="00445A3B" w:rsidRPr="0022274E" w:rsidRDefault="00445A3B" w:rsidP="00445A3B">
      <w:pPr>
        <w:pStyle w:val="FootnoteText"/>
        <w:jc w:val="both"/>
        <w:rPr>
          <w:rFonts w:ascii="Arial" w:hAnsi="Arial" w:cs="Arial"/>
          <w:sz w:val="16"/>
          <w:szCs w:val="16"/>
        </w:rPr>
      </w:pPr>
      <w:r w:rsidRPr="0022274E">
        <w:rPr>
          <w:rStyle w:val="FootnoteReference"/>
          <w:rFonts w:ascii="Arial" w:hAnsi="Arial" w:cs="Arial"/>
          <w:sz w:val="16"/>
          <w:szCs w:val="16"/>
          <w:vertAlign w:val="baseline"/>
        </w:rPr>
        <w:footnoteRef/>
      </w:r>
      <w:r w:rsidR="00107865">
        <w:rPr>
          <w:rFonts w:ascii="Arial" w:hAnsi="Arial" w:cs="Arial"/>
          <w:sz w:val="16"/>
          <w:szCs w:val="16"/>
        </w:rPr>
        <w:t>.</w:t>
      </w:r>
      <w:r w:rsidRPr="0022274E">
        <w:rPr>
          <w:rFonts w:ascii="Arial" w:hAnsi="Arial" w:cs="Arial"/>
          <w:sz w:val="16"/>
          <w:szCs w:val="16"/>
        </w:rPr>
        <w:t xml:space="preserve"> </w:t>
      </w:r>
      <w:r w:rsidRPr="0022274E">
        <w:rPr>
          <w:rFonts w:ascii="Arial" w:hAnsi="Arial" w:cs="Arial"/>
          <w:sz w:val="16"/>
          <w:szCs w:val="16"/>
          <w:lang w:val="en-US"/>
        </w:rPr>
        <w:t xml:space="preserve">Venice Commission, </w:t>
      </w:r>
      <w:r w:rsidRPr="0022274E">
        <w:rPr>
          <w:rFonts w:ascii="Arial" w:hAnsi="Arial" w:cs="Arial"/>
          <w:i/>
          <w:iCs/>
          <w:sz w:val="16"/>
          <w:szCs w:val="16"/>
          <w:lang w:val="en-US"/>
        </w:rPr>
        <w:t xml:space="preserve">The Rule of </w:t>
      </w:r>
      <w:r w:rsidR="00335749">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rPr>
        <w:t xml:space="preserve"> p.29.</w:t>
      </w:r>
    </w:p>
  </w:footnote>
  <w:footnote w:id="52">
    <w:p w14:paraId="3C2ECAFD" w14:textId="46F58D97" w:rsidR="00335749" w:rsidRPr="0022274E" w:rsidRDefault="00335749" w:rsidP="00335749">
      <w:pPr>
        <w:pStyle w:val="FootnoteText"/>
        <w:jc w:val="both"/>
        <w:rPr>
          <w:rFonts w:ascii="Arial" w:hAnsi="Arial" w:cs="Arial"/>
          <w:sz w:val="16"/>
          <w:szCs w:val="16"/>
        </w:rPr>
      </w:pPr>
      <w:r w:rsidRPr="0022274E">
        <w:rPr>
          <w:rStyle w:val="FootnoteReference"/>
          <w:rFonts w:ascii="Arial" w:hAnsi="Arial" w:cs="Arial"/>
          <w:sz w:val="16"/>
          <w:szCs w:val="16"/>
          <w:vertAlign w:val="baseline"/>
        </w:rPr>
        <w:footnoteRef/>
      </w:r>
      <w:r>
        <w:rPr>
          <w:rFonts w:ascii="Arial" w:hAnsi="Arial" w:cs="Arial"/>
          <w:sz w:val="16"/>
          <w:szCs w:val="16"/>
        </w:rPr>
        <w:t>.</w:t>
      </w:r>
      <w:r w:rsidRPr="0022274E">
        <w:rPr>
          <w:rFonts w:ascii="Arial" w:hAnsi="Arial" w:cs="Arial"/>
          <w:sz w:val="16"/>
          <w:szCs w:val="16"/>
        </w:rPr>
        <w:t xml:space="preserve"> </w:t>
      </w:r>
      <w:r w:rsidRPr="0022274E">
        <w:rPr>
          <w:rFonts w:ascii="Arial" w:hAnsi="Arial" w:cs="Arial"/>
          <w:sz w:val="16"/>
          <w:szCs w:val="16"/>
          <w:lang w:val="en-US"/>
        </w:rPr>
        <w:t xml:space="preserve">Venice Commission, </w:t>
      </w:r>
      <w:r w:rsidRPr="0022274E">
        <w:rPr>
          <w:rFonts w:ascii="Arial" w:hAnsi="Arial" w:cs="Arial"/>
          <w:i/>
          <w:iCs/>
          <w:sz w:val="16"/>
          <w:szCs w:val="16"/>
          <w:lang w:val="en-US"/>
        </w:rPr>
        <w:t xml:space="preserve">The Rule of </w:t>
      </w:r>
      <w:r>
        <w:rPr>
          <w:rFonts w:ascii="Arial" w:hAnsi="Arial" w:cs="Arial"/>
          <w:i/>
          <w:iCs/>
          <w:sz w:val="16"/>
          <w:szCs w:val="16"/>
          <w:lang w:val="en-US"/>
        </w:rPr>
        <w:t>L</w:t>
      </w:r>
      <w:r w:rsidRPr="0022274E">
        <w:rPr>
          <w:rFonts w:ascii="Arial" w:hAnsi="Arial" w:cs="Arial"/>
          <w:i/>
          <w:iCs/>
          <w:sz w:val="16"/>
          <w:szCs w:val="16"/>
          <w:lang w:val="en-US"/>
        </w:rPr>
        <w:t xml:space="preserve">aw Checklist, </w:t>
      </w:r>
      <w:r w:rsidRPr="0022274E">
        <w:rPr>
          <w:rFonts w:ascii="Arial" w:hAnsi="Arial" w:cs="Arial"/>
          <w:sz w:val="16"/>
          <w:szCs w:val="16"/>
        </w:rPr>
        <w:t>p. 29.</w:t>
      </w:r>
    </w:p>
  </w:footnote>
  <w:footnote w:id="53">
    <w:p w14:paraId="1DEB39E0" w14:textId="6ECC1CAB" w:rsidR="00445A3B" w:rsidRPr="00E60CEA" w:rsidRDefault="00445A3B" w:rsidP="00445A3B">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hyperlink r:id="rId25" w:history="1">
        <w:r w:rsidRPr="0022274E">
          <w:rPr>
            <w:rStyle w:val="Hyperlink"/>
            <w:szCs w:val="16"/>
            <w:lang w:val="en-US"/>
          </w:rPr>
          <w:t>https://www.coe.int/en/web/congress/corruption-and-public-ethics</w:t>
        </w:r>
      </w:hyperlink>
      <w:r w:rsidR="00107865">
        <w:rPr>
          <w:rStyle w:val="Hyperlink"/>
          <w:szCs w:val="16"/>
          <w:lang w:val="en-US"/>
        </w:rPr>
        <w:t xml:space="preserve">, </w:t>
      </w:r>
      <w:r w:rsidR="00107865">
        <w:rPr>
          <w:rFonts w:ascii="Arial" w:hAnsi="Arial" w:cs="Arial"/>
          <w:sz w:val="16"/>
          <w:szCs w:val="16"/>
        </w:rPr>
        <w:t xml:space="preserve">accessed 16 </w:t>
      </w:r>
      <w:r w:rsidR="00335749">
        <w:rPr>
          <w:rFonts w:ascii="Arial" w:hAnsi="Arial" w:cs="Arial"/>
          <w:sz w:val="16"/>
          <w:szCs w:val="16"/>
        </w:rPr>
        <w:t>A</w:t>
      </w:r>
      <w:r w:rsidR="00107865">
        <w:rPr>
          <w:rFonts w:ascii="Arial" w:hAnsi="Arial" w:cs="Arial"/>
          <w:sz w:val="16"/>
          <w:szCs w:val="16"/>
        </w:rPr>
        <w:t>ugust 2023</w:t>
      </w:r>
      <w:r w:rsidR="008933A4">
        <w:rPr>
          <w:rFonts w:ascii="Arial" w:hAnsi="Arial" w:cs="Arial"/>
          <w:sz w:val="16"/>
          <w:szCs w:val="16"/>
        </w:rPr>
        <w:t>.</w:t>
      </w:r>
      <w:r w:rsidRPr="00E60CEA">
        <w:rPr>
          <w:rFonts w:ascii="Arial" w:hAnsi="Arial" w:cs="Arial"/>
          <w:sz w:val="16"/>
          <w:szCs w:val="16"/>
          <w:lang w:val="en-US"/>
        </w:rPr>
        <w:t xml:space="preserve"> </w:t>
      </w:r>
    </w:p>
  </w:footnote>
  <w:footnote w:id="54">
    <w:p w14:paraId="6417FBA6" w14:textId="3F489B44" w:rsidR="00445A3B" w:rsidRPr="0022274E" w:rsidRDefault="00445A3B" w:rsidP="0052021F">
      <w:pPr>
        <w:pStyle w:val="FootnoteText"/>
        <w:jc w:val="both"/>
        <w:rPr>
          <w:rFonts w:ascii="Arial" w:hAnsi="Arial" w:cs="Arial"/>
          <w:sz w:val="16"/>
          <w:szCs w:val="16"/>
          <w:lang w:val="en-US"/>
        </w:rPr>
      </w:pPr>
      <w:r w:rsidRPr="001C751C">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 xml:space="preserve">The Rule of </w:t>
      </w:r>
      <w:r w:rsidR="000535ED">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lang w:val="en-US"/>
        </w:rPr>
        <w:t>,</w:t>
      </w:r>
      <w:r w:rsidRPr="0022274E">
        <w:rPr>
          <w:rFonts w:ascii="Arial" w:hAnsi="Arial" w:cs="Arial"/>
          <w:i/>
          <w:iCs/>
          <w:sz w:val="16"/>
          <w:szCs w:val="16"/>
          <w:lang w:val="en-US"/>
        </w:rPr>
        <w:t xml:space="preserve"> </w:t>
      </w:r>
      <w:r w:rsidRPr="0022274E">
        <w:rPr>
          <w:rFonts w:ascii="Arial" w:hAnsi="Arial" w:cs="Arial"/>
          <w:sz w:val="16"/>
          <w:szCs w:val="16"/>
          <w:lang w:val="en-US"/>
        </w:rPr>
        <w:t>p. 27.</w:t>
      </w:r>
    </w:p>
  </w:footnote>
  <w:footnote w:id="55">
    <w:p w14:paraId="071DEEC4" w14:textId="4EF6C973" w:rsidR="00445A3B" w:rsidRPr="0022274E" w:rsidRDefault="00445A3B" w:rsidP="0052021F">
      <w:pPr>
        <w:pStyle w:val="FootnoteText"/>
        <w:jc w:val="both"/>
        <w:rPr>
          <w:rFonts w:ascii="Arial" w:hAnsi="Arial" w:cs="Arial"/>
          <w:sz w:val="16"/>
          <w:szCs w:val="16"/>
          <w:lang w:val="en-US"/>
        </w:rPr>
      </w:pPr>
      <w:r w:rsidRPr="001C751C">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 xml:space="preserve">The Rule of </w:t>
      </w:r>
      <w:r w:rsidR="000535ED">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lang w:val="en-US"/>
        </w:rPr>
        <w:t>,</w:t>
      </w:r>
      <w:r w:rsidRPr="0022274E">
        <w:rPr>
          <w:rFonts w:ascii="Arial" w:hAnsi="Arial" w:cs="Arial"/>
          <w:i/>
          <w:iCs/>
          <w:sz w:val="16"/>
          <w:szCs w:val="16"/>
          <w:lang w:val="en-US"/>
        </w:rPr>
        <w:t xml:space="preserve"> </w:t>
      </w:r>
      <w:r w:rsidRPr="0022274E">
        <w:rPr>
          <w:rFonts w:ascii="Arial" w:hAnsi="Arial" w:cs="Arial"/>
          <w:sz w:val="16"/>
          <w:szCs w:val="16"/>
          <w:lang w:val="en-US"/>
        </w:rPr>
        <w:t>pp. 11-12.</w:t>
      </w:r>
    </w:p>
  </w:footnote>
  <w:footnote w:id="56">
    <w:p w14:paraId="225D986A" w14:textId="5D42E993" w:rsidR="00445A3B" w:rsidRPr="00EA6A10" w:rsidRDefault="00445A3B" w:rsidP="0052021F">
      <w:pPr>
        <w:pStyle w:val="FootnoteText"/>
        <w:jc w:val="both"/>
        <w:rPr>
          <w:rFonts w:ascii="Arial" w:hAnsi="Arial" w:cs="Arial"/>
          <w:sz w:val="16"/>
          <w:szCs w:val="16"/>
        </w:rPr>
      </w:pPr>
      <w:r w:rsidRPr="001C751C">
        <w:rPr>
          <w:rStyle w:val="FootnoteReference"/>
          <w:rFonts w:ascii="Arial" w:hAnsi="Arial" w:cs="Arial"/>
          <w:sz w:val="16"/>
          <w:szCs w:val="16"/>
          <w:vertAlign w:val="baseline"/>
        </w:rPr>
        <w:footnoteRef/>
      </w:r>
      <w:r w:rsidR="00107865">
        <w:rPr>
          <w:rFonts w:ascii="Arial" w:hAnsi="Arial" w:cs="Arial"/>
          <w:sz w:val="16"/>
          <w:szCs w:val="16"/>
          <w:lang w:val="it-IT"/>
        </w:rPr>
        <w:t>.</w:t>
      </w:r>
      <w:r w:rsidRPr="0022274E">
        <w:rPr>
          <w:rFonts w:ascii="Arial" w:hAnsi="Arial" w:cs="Arial"/>
          <w:sz w:val="16"/>
          <w:szCs w:val="16"/>
          <w:lang w:val="it-IT"/>
        </w:rPr>
        <w:t xml:space="preserve"> Pavani, </w:t>
      </w:r>
      <w:r w:rsidR="00107865" w:rsidRPr="0022274E">
        <w:rPr>
          <w:rFonts w:ascii="Arial" w:hAnsi="Arial" w:cs="Arial"/>
          <w:sz w:val="16"/>
          <w:szCs w:val="16"/>
          <w:lang w:val="it-IT"/>
        </w:rPr>
        <w:t>G.</w:t>
      </w:r>
      <w:r w:rsidR="00107865">
        <w:rPr>
          <w:rFonts w:ascii="Arial" w:hAnsi="Arial" w:cs="Arial"/>
          <w:sz w:val="16"/>
          <w:szCs w:val="16"/>
          <w:lang w:val="it-IT"/>
        </w:rPr>
        <w:t xml:space="preserve">, </w:t>
      </w:r>
      <w:r w:rsidRPr="0022274E">
        <w:rPr>
          <w:rFonts w:ascii="Arial" w:hAnsi="Arial" w:cs="Arial"/>
          <w:sz w:val="16"/>
          <w:szCs w:val="16"/>
          <w:lang w:val="it-IT"/>
        </w:rPr>
        <w:t xml:space="preserve">Profeti </w:t>
      </w:r>
      <w:r w:rsidR="00107865" w:rsidRPr="0022274E">
        <w:rPr>
          <w:rFonts w:ascii="Arial" w:hAnsi="Arial" w:cs="Arial"/>
          <w:sz w:val="16"/>
          <w:szCs w:val="16"/>
          <w:lang w:val="it-IT"/>
        </w:rPr>
        <w:t>S.</w:t>
      </w:r>
      <w:r w:rsidR="00107865">
        <w:rPr>
          <w:rFonts w:ascii="Arial" w:hAnsi="Arial" w:cs="Arial"/>
          <w:sz w:val="16"/>
          <w:szCs w:val="16"/>
          <w:lang w:val="it-IT"/>
        </w:rPr>
        <w:t xml:space="preserve"> and</w:t>
      </w:r>
      <w:r w:rsidRPr="0022274E">
        <w:rPr>
          <w:rFonts w:ascii="Arial" w:hAnsi="Arial" w:cs="Arial"/>
          <w:sz w:val="16"/>
          <w:szCs w:val="16"/>
          <w:lang w:val="it-IT"/>
        </w:rPr>
        <w:t xml:space="preserve"> Tubertini,</w:t>
      </w:r>
      <w:r w:rsidR="00107865" w:rsidRPr="00107865">
        <w:rPr>
          <w:rFonts w:ascii="Arial" w:hAnsi="Arial" w:cs="Arial"/>
          <w:sz w:val="16"/>
          <w:szCs w:val="16"/>
          <w:lang w:val="it-IT"/>
        </w:rPr>
        <w:t xml:space="preserve"> </w:t>
      </w:r>
      <w:r w:rsidR="00107865" w:rsidRPr="0022274E">
        <w:rPr>
          <w:rFonts w:ascii="Arial" w:hAnsi="Arial" w:cs="Arial"/>
          <w:sz w:val="16"/>
          <w:szCs w:val="16"/>
          <w:lang w:val="it-IT"/>
        </w:rPr>
        <w:t>C.</w:t>
      </w:r>
      <w:r w:rsidR="00107865">
        <w:rPr>
          <w:rFonts w:ascii="Arial" w:hAnsi="Arial" w:cs="Arial"/>
          <w:sz w:val="16"/>
          <w:szCs w:val="16"/>
          <w:lang w:val="it-IT"/>
        </w:rPr>
        <w:t xml:space="preserve"> (2023),</w:t>
      </w:r>
      <w:r w:rsidR="00107865" w:rsidRPr="0022274E">
        <w:rPr>
          <w:rFonts w:ascii="Arial" w:hAnsi="Arial" w:cs="Arial"/>
          <w:sz w:val="16"/>
          <w:szCs w:val="16"/>
          <w:lang w:val="it-IT"/>
        </w:rPr>
        <w:t xml:space="preserve"> </w:t>
      </w:r>
      <w:r w:rsidRPr="0022274E">
        <w:rPr>
          <w:rFonts w:ascii="Arial" w:hAnsi="Arial" w:cs="Arial"/>
          <w:i/>
          <w:iCs/>
          <w:sz w:val="16"/>
          <w:szCs w:val="16"/>
          <w:lang w:val="it-IT"/>
        </w:rPr>
        <w:t xml:space="preserve">Le città collaborative ed eco-sostenibili. </w:t>
      </w:r>
      <w:r w:rsidRPr="00EA6A10">
        <w:rPr>
          <w:rFonts w:ascii="Arial" w:hAnsi="Arial" w:cs="Arial"/>
          <w:i/>
          <w:iCs/>
          <w:sz w:val="16"/>
          <w:szCs w:val="16"/>
        </w:rPr>
        <w:t>Strumenti per un percorso multidisciplinare</w:t>
      </w:r>
      <w:r w:rsidRPr="00EA6A10">
        <w:rPr>
          <w:rFonts w:ascii="Arial" w:hAnsi="Arial" w:cs="Arial"/>
          <w:sz w:val="16"/>
          <w:szCs w:val="16"/>
        </w:rPr>
        <w:t>, Bologna, Il Mulino, p 18.</w:t>
      </w:r>
    </w:p>
  </w:footnote>
  <w:footnote w:id="57">
    <w:p w14:paraId="7BACF1B9" w14:textId="706097CE" w:rsidR="00445A3B" w:rsidRPr="00107865" w:rsidRDefault="00445A3B" w:rsidP="0052021F">
      <w:pPr>
        <w:pStyle w:val="FootnoteText"/>
        <w:jc w:val="both"/>
        <w:rPr>
          <w:rFonts w:ascii="Arial" w:hAnsi="Arial" w:cs="Arial"/>
          <w:sz w:val="16"/>
          <w:szCs w:val="16"/>
        </w:rPr>
      </w:pPr>
      <w:r w:rsidRPr="001C751C">
        <w:rPr>
          <w:rStyle w:val="FootnoteReference"/>
          <w:rFonts w:ascii="Arial" w:hAnsi="Arial" w:cs="Arial"/>
          <w:sz w:val="16"/>
          <w:szCs w:val="16"/>
          <w:vertAlign w:val="baseline"/>
        </w:rPr>
        <w:footnoteRef/>
      </w:r>
      <w:r w:rsidR="00107865" w:rsidRPr="00EA6A10">
        <w:rPr>
          <w:rFonts w:ascii="Arial" w:hAnsi="Arial" w:cs="Arial"/>
          <w:sz w:val="16"/>
          <w:szCs w:val="16"/>
        </w:rPr>
        <w:t>.</w:t>
      </w:r>
      <w:r w:rsidRPr="00EA6A10">
        <w:rPr>
          <w:rFonts w:ascii="Arial" w:hAnsi="Arial" w:cs="Arial"/>
          <w:sz w:val="16"/>
          <w:szCs w:val="16"/>
        </w:rPr>
        <w:t xml:space="preserve"> </w:t>
      </w:r>
      <w:r w:rsidRPr="0022274E">
        <w:rPr>
          <w:rFonts w:ascii="Arial" w:hAnsi="Arial" w:cs="Arial"/>
          <w:sz w:val="16"/>
          <w:szCs w:val="16"/>
          <w:shd w:val="clear" w:color="auto" w:fill="FFFFFF"/>
          <w:lang w:val="en-US"/>
        </w:rPr>
        <w:t>Congress resolution to endorse the Principles on the Protection and Promotion of the Ombudsman Institution (“The Venice Principles”) -  </w:t>
      </w:r>
      <w:r w:rsidRPr="0022274E">
        <w:rPr>
          <w:rFonts w:ascii="Arial" w:hAnsi="Arial" w:cs="Arial"/>
          <w:sz w:val="16"/>
          <w:szCs w:val="16"/>
          <w:lang w:val="en-US"/>
        </w:rPr>
        <w:t>Resolution 451 (2019)</w:t>
      </w:r>
      <w:r w:rsidRPr="0022274E">
        <w:rPr>
          <w:rFonts w:ascii="Arial" w:hAnsi="Arial" w:cs="Arial"/>
          <w:sz w:val="16"/>
          <w:szCs w:val="16"/>
          <w:shd w:val="clear" w:color="auto" w:fill="FFFFFF"/>
          <w:lang w:val="en-US"/>
        </w:rPr>
        <w:t xml:space="preserve">: </w:t>
      </w:r>
      <w:hyperlink r:id="rId26" w:history="1">
        <w:r w:rsidR="00107865" w:rsidRPr="00825489">
          <w:rPr>
            <w:rStyle w:val="Hyperlink"/>
            <w:szCs w:val="16"/>
            <w:lang w:val="en-US"/>
          </w:rPr>
          <w:t>https://rm.coe.int/CoERMPublicCommonSearchServices/DisplayDCTMContent?documentId=090000168098acd3</w:t>
        </w:r>
      </w:hyperlink>
      <w:r w:rsidR="00107865">
        <w:rPr>
          <w:rFonts w:ascii="Arial" w:hAnsi="Arial" w:cs="Arial"/>
          <w:sz w:val="16"/>
          <w:szCs w:val="16"/>
          <w:lang w:val="en-US"/>
        </w:rPr>
        <w:t xml:space="preserve">, </w:t>
      </w:r>
      <w:r w:rsidR="00107865">
        <w:rPr>
          <w:rFonts w:ascii="Arial" w:hAnsi="Arial" w:cs="Arial"/>
          <w:sz w:val="16"/>
          <w:szCs w:val="16"/>
        </w:rPr>
        <w:t xml:space="preserve">accessed </w:t>
      </w:r>
      <w:r w:rsidR="000535ED">
        <w:rPr>
          <w:rFonts w:ascii="Arial" w:hAnsi="Arial" w:cs="Arial"/>
          <w:sz w:val="16"/>
          <w:szCs w:val="16"/>
        </w:rPr>
        <w:br/>
      </w:r>
      <w:r w:rsidR="00107865">
        <w:rPr>
          <w:rFonts w:ascii="Arial" w:hAnsi="Arial" w:cs="Arial"/>
          <w:sz w:val="16"/>
          <w:szCs w:val="16"/>
        </w:rPr>
        <w:t xml:space="preserve">16 </w:t>
      </w:r>
      <w:r w:rsidR="000535ED">
        <w:rPr>
          <w:rFonts w:ascii="Arial" w:hAnsi="Arial" w:cs="Arial"/>
          <w:sz w:val="16"/>
          <w:szCs w:val="16"/>
        </w:rPr>
        <w:t>A</w:t>
      </w:r>
      <w:r w:rsidR="00107865">
        <w:rPr>
          <w:rFonts w:ascii="Arial" w:hAnsi="Arial" w:cs="Arial"/>
          <w:sz w:val="16"/>
          <w:szCs w:val="16"/>
        </w:rPr>
        <w:t>ugust 2023.</w:t>
      </w:r>
    </w:p>
  </w:footnote>
  <w:footnote w:id="58">
    <w:p w14:paraId="34C23088" w14:textId="25624C10" w:rsidR="00445A3B" w:rsidRPr="0022274E" w:rsidRDefault="00445A3B" w:rsidP="0052021F">
      <w:pPr>
        <w:jc w:val="both"/>
        <w:rPr>
          <w:rFonts w:ascii="Arial" w:hAnsi="Arial" w:cs="Arial"/>
          <w:sz w:val="16"/>
          <w:szCs w:val="16"/>
          <w:lang w:val="en-US"/>
        </w:rPr>
      </w:pPr>
      <w:r w:rsidRPr="001C751C">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w:t>
      </w:r>
      <w:r w:rsidR="008933A4" w:rsidRPr="008933A4">
        <w:rPr>
          <w:rFonts w:ascii="Arial" w:hAnsi="Arial" w:cs="Arial"/>
          <w:sz w:val="16"/>
          <w:szCs w:val="16"/>
          <w:lang w:val="en-US"/>
        </w:rPr>
        <w:t>European Court of Human Rights</w:t>
      </w:r>
      <w:r w:rsidRPr="0022274E">
        <w:rPr>
          <w:rFonts w:ascii="Arial" w:hAnsi="Arial" w:cs="Arial"/>
          <w:sz w:val="16"/>
          <w:szCs w:val="16"/>
          <w:lang w:val="en-US"/>
        </w:rPr>
        <w:t xml:space="preserve">, </w:t>
      </w:r>
      <w:r w:rsidRPr="0022274E">
        <w:rPr>
          <w:rFonts w:ascii="Arial" w:hAnsi="Arial" w:cs="Arial"/>
          <w:bCs/>
          <w:i/>
          <w:iCs/>
          <w:sz w:val="16"/>
          <w:szCs w:val="16"/>
          <w:lang w:val="en-US"/>
        </w:rPr>
        <w:t>Ekholm v. Finland</w:t>
      </w:r>
      <w:r w:rsidRPr="0022274E">
        <w:rPr>
          <w:rFonts w:ascii="Arial" w:hAnsi="Arial" w:cs="Arial"/>
          <w:b/>
          <w:sz w:val="16"/>
          <w:szCs w:val="16"/>
          <w:lang w:val="en-US"/>
        </w:rPr>
        <w:t xml:space="preserve"> </w:t>
      </w:r>
      <w:r w:rsidRPr="0022274E">
        <w:rPr>
          <w:rFonts w:ascii="Arial" w:hAnsi="Arial" w:cs="Arial"/>
          <w:iCs/>
          <w:sz w:val="16"/>
          <w:szCs w:val="16"/>
          <w:lang w:val="en-US"/>
        </w:rPr>
        <w:t xml:space="preserve">no. 68050/01, </w:t>
      </w:r>
      <w:r w:rsidRPr="0022274E">
        <w:rPr>
          <w:rFonts w:ascii="Arial" w:hAnsi="Arial" w:cs="Arial"/>
          <w:sz w:val="16"/>
          <w:szCs w:val="16"/>
          <w:lang w:val="en-US"/>
        </w:rPr>
        <w:t>24 July 2007, § 73: “By lodging an appeal with the State’s highest administrative court the litigant seeks not only annulment of the impugned decision but also and above all the removal of its effects. The effective protection of a party to such proceedings and the restoration of legality presuppose an obligation on the administrative authorities’ part to comply with a judgment of that court. The Court observes in this connection that the administrative authorities form one element of a State subject to the rule of law and their interests accordingly coincide with the need for the proper administration of justice”.</w:t>
      </w:r>
    </w:p>
  </w:footnote>
  <w:footnote w:id="59">
    <w:p w14:paraId="18CCA1A8" w14:textId="2D05F5DF" w:rsidR="00445A3B" w:rsidRPr="00107865" w:rsidRDefault="00445A3B" w:rsidP="0052021F">
      <w:pPr>
        <w:pStyle w:val="FootnoteText"/>
        <w:jc w:val="both"/>
        <w:rPr>
          <w:rFonts w:ascii="Arial" w:hAnsi="Arial" w:cs="Arial"/>
          <w:sz w:val="16"/>
          <w:szCs w:val="16"/>
        </w:rPr>
      </w:pPr>
      <w:r w:rsidRPr="001C751C">
        <w:rPr>
          <w:rStyle w:val="FootnoteReference"/>
          <w:rFonts w:ascii="Arial" w:hAnsi="Arial" w:cs="Arial"/>
          <w:sz w:val="16"/>
          <w:szCs w:val="16"/>
          <w:vertAlign w:val="baseline"/>
        </w:rPr>
        <w:footnoteRef/>
      </w:r>
      <w:r w:rsidR="00107865">
        <w:rPr>
          <w:rFonts w:ascii="Arial" w:hAnsi="Arial" w:cs="Arial"/>
          <w:sz w:val="16"/>
          <w:szCs w:val="16"/>
          <w:lang w:val="en-US"/>
        </w:rPr>
        <w:t>.</w:t>
      </w:r>
      <w:r w:rsidRPr="001C751C">
        <w:rPr>
          <w:rFonts w:ascii="Arial" w:hAnsi="Arial" w:cs="Arial"/>
          <w:sz w:val="16"/>
          <w:szCs w:val="16"/>
          <w:lang w:val="en-US"/>
        </w:rPr>
        <w:t xml:space="preserve"> </w:t>
      </w:r>
      <w:r w:rsidRPr="0022274E">
        <w:rPr>
          <w:rFonts w:ascii="Arial" w:hAnsi="Arial" w:cs="Arial"/>
          <w:sz w:val="16"/>
          <w:szCs w:val="16"/>
          <w:lang w:val="en-US"/>
        </w:rPr>
        <w:t xml:space="preserve">A list of cases of </w:t>
      </w:r>
      <w:r w:rsidR="008933A4" w:rsidRPr="008933A4">
        <w:rPr>
          <w:rFonts w:ascii="Arial" w:hAnsi="Arial" w:cs="Arial"/>
          <w:sz w:val="16"/>
          <w:szCs w:val="16"/>
          <w:lang w:val="en-US"/>
        </w:rPr>
        <w:t>European Court of Human Rights</w:t>
      </w:r>
      <w:r w:rsidR="008933A4" w:rsidRPr="008933A4" w:rsidDel="008933A4">
        <w:rPr>
          <w:rFonts w:ascii="Arial" w:hAnsi="Arial" w:cs="Arial"/>
          <w:sz w:val="16"/>
          <w:szCs w:val="16"/>
          <w:lang w:val="en-US"/>
        </w:rPr>
        <w:t xml:space="preserve"> </w:t>
      </w:r>
      <w:r w:rsidRPr="0022274E">
        <w:rPr>
          <w:rFonts w:ascii="Arial" w:hAnsi="Arial" w:cs="Arial"/>
          <w:sz w:val="16"/>
          <w:szCs w:val="16"/>
          <w:lang w:val="en-US"/>
        </w:rPr>
        <w:t xml:space="preserve">dealing with local authorities may be found at the Congress webpage: </w:t>
      </w:r>
      <w:hyperlink r:id="rId27" w:history="1">
        <w:r w:rsidR="00107865" w:rsidRPr="00825489">
          <w:rPr>
            <w:rStyle w:val="Hyperlink"/>
            <w:szCs w:val="16"/>
            <w:lang w:val="en-US"/>
          </w:rPr>
          <w:t>https://www.coe.int/en/web/congress/echr-case-law</w:t>
        </w:r>
      </w:hyperlink>
      <w:r w:rsidR="00107865">
        <w:rPr>
          <w:rFonts w:ascii="Arial" w:hAnsi="Arial" w:cs="Arial"/>
          <w:sz w:val="16"/>
          <w:szCs w:val="16"/>
          <w:lang w:val="en-US"/>
        </w:rPr>
        <w:t xml:space="preserve">, </w:t>
      </w:r>
      <w:r w:rsidR="00107865">
        <w:rPr>
          <w:rFonts w:ascii="Arial" w:hAnsi="Arial" w:cs="Arial"/>
          <w:sz w:val="16"/>
          <w:szCs w:val="16"/>
        </w:rPr>
        <w:t xml:space="preserve">accessed 16 </w:t>
      </w:r>
      <w:r w:rsidR="000535ED">
        <w:rPr>
          <w:rFonts w:ascii="Arial" w:hAnsi="Arial" w:cs="Arial"/>
          <w:sz w:val="16"/>
          <w:szCs w:val="16"/>
        </w:rPr>
        <w:t>A</w:t>
      </w:r>
      <w:r w:rsidR="00107865">
        <w:rPr>
          <w:rFonts w:ascii="Arial" w:hAnsi="Arial" w:cs="Arial"/>
          <w:sz w:val="16"/>
          <w:szCs w:val="16"/>
        </w:rPr>
        <w:t>ugust 2023.</w:t>
      </w:r>
    </w:p>
  </w:footnote>
  <w:footnote w:id="60">
    <w:p w14:paraId="7D62721C" w14:textId="6B29BC3E" w:rsidR="00445A3B" w:rsidRPr="00107865" w:rsidRDefault="00445A3B" w:rsidP="00445A3B">
      <w:pPr>
        <w:pStyle w:val="FootnoteText"/>
        <w:jc w:val="both"/>
        <w:rPr>
          <w:rFonts w:ascii="Arial" w:hAnsi="Arial" w:cs="Arial"/>
          <w:sz w:val="16"/>
          <w:szCs w:val="16"/>
          <w:lang w:val="en-US"/>
        </w:rPr>
      </w:pPr>
      <w:r w:rsidRPr="00107865">
        <w:rPr>
          <w:rStyle w:val="FootnoteReference"/>
          <w:rFonts w:ascii="Arial" w:hAnsi="Arial" w:cs="Arial"/>
          <w:sz w:val="16"/>
          <w:szCs w:val="16"/>
          <w:vertAlign w:val="baseline"/>
        </w:rPr>
        <w:footnoteRef/>
      </w:r>
      <w:r w:rsidR="00107865" w:rsidRPr="00107865">
        <w:rPr>
          <w:rFonts w:ascii="Arial" w:hAnsi="Arial" w:cs="Arial"/>
          <w:sz w:val="16"/>
          <w:szCs w:val="16"/>
          <w:lang w:val="pt-BR"/>
        </w:rPr>
        <w:t>.</w:t>
      </w:r>
      <w:r w:rsidRPr="00107865">
        <w:rPr>
          <w:rFonts w:ascii="Arial" w:hAnsi="Arial" w:cs="Arial"/>
          <w:sz w:val="16"/>
          <w:szCs w:val="16"/>
          <w:lang w:val="pt-BR"/>
        </w:rPr>
        <w:t xml:space="preserve"> </w:t>
      </w:r>
      <w:r w:rsidR="008933A4" w:rsidRPr="008933A4">
        <w:rPr>
          <w:rFonts w:ascii="Arial" w:hAnsi="Arial" w:cs="Arial"/>
          <w:sz w:val="16"/>
          <w:szCs w:val="16"/>
          <w:lang w:val="pt-BR"/>
        </w:rPr>
        <w:t>European Court of Human Rights</w:t>
      </w:r>
      <w:r w:rsidRPr="00107865">
        <w:rPr>
          <w:rFonts w:ascii="Arial" w:hAnsi="Arial" w:cs="Arial"/>
          <w:sz w:val="16"/>
          <w:szCs w:val="16"/>
          <w:lang w:val="pt-BR"/>
        </w:rPr>
        <w:t xml:space="preserve">, </w:t>
      </w:r>
      <w:r w:rsidRPr="00107865">
        <w:rPr>
          <w:rFonts w:ascii="Arial" w:hAnsi="Arial" w:cs="Arial"/>
          <w:i/>
          <w:iCs/>
          <w:sz w:val="16"/>
          <w:szCs w:val="16"/>
          <w:lang w:val="pt-BR" w:eastAsia="it-IT"/>
        </w:rPr>
        <w:t>Assanidze v. Georgia</w:t>
      </w:r>
      <w:r w:rsidRPr="00107865">
        <w:rPr>
          <w:rFonts w:ascii="Arial" w:hAnsi="Arial" w:cs="Arial"/>
          <w:i/>
          <w:iCs/>
          <w:sz w:val="16"/>
          <w:szCs w:val="16"/>
          <w:lang w:val="pt-BR"/>
        </w:rPr>
        <w:t xml:space="preserve"> </w:t>
      </w:r>
      <w:r w:rsidRPr="00107865">
        <w:rPr>
          <w:rFonts w:ascii="Arial" w:hAnsi="Arial" w:cs="Arial"/>
          <w:sz w:val="16"/>
          <w:szCs w:val="16"/>
          <w:lang w:val="pt-BR"/>
        </w:rPr>
        <w:t xml:space="preserve">no. </w:t>
      </w:r>
      <w:r w:rsidRPr="00107865">
        <w:rPr>
          <w:rFonts w:ascii="Arial" w:hAnsi="Arial" w:cs="Arial"/>
          <w:i/>
          <w:iCs/>
          <w:color w:val="000000"/>
          <w:sz w:val="16"/>
          <w:szCs w:val="16"/>
          <w:shd w:val="clear" w:color="auto" w:fill="FFFFFF"/>
          <w:lang w:val="pt-BR"/>
        </w:rPr>
        <w:t> </w:t>
      </w:r>
      <w:r w:rsidRPr="00107865">
        <w:rPr>
          <w:rFonts w:ascii="Arial" w:hAnsi="Arial" w:cs="Arial"/>
          <w:sz w:val="16"/>
          <w:szCs w:val="16"/>
          <w:lang w:val="en-US"/>
        </w:rPr>
        <w:t>71503/01, 8 April 2004, §</w:t>
      </w:r>
      <w:r w:rsidRPr="00107865">
        <w:rPr>
          <w:rFonts w:ascii="Arial" w:hAnsi="Arial" w:cs="Arial"/>
          <w:sz w:val="16"/>
          <w:szCs w:val="16"/>
          <w:lang w:val="en-US" w:eastAsia="it-IT"/>
        </w:rPr>
        <w:t xml:space="preserve"> 148. From that statement, several consequences flow: 1) decentralized </w:t>
      </w:r>
      <w:r w:rsidRPr="00107865">
        <w:rPr>
          <w:rFonts w:ascii="Arial" w:hAnsi="Arial" w:cs="Arial"/>
          <w:color w:val="000000"/>
          <w:sz w:val="16"/>
          <w:szCs w:val="16"/>
          <w:shd w:val="clear" w:color="auto" w:fill="FFFFFF"/>
          <w:lang w:val="en-US"/>
        </w:rPr>
        <w:t xml:space="preserve"> authorities have no standing to make an application to the Court under Article 34 of the Convention; 2) </w:t>
      </w:r>
      <w:r w:rsidRPr="00107865">
        <w:rPr>
          <w:rStyle w:val="sbb9ee52a"/>
          <w:rFonts w:ascii="Arial" w:hAnsi="Arial" w:cs="Arial"/>
          <w:color w:val="000000"/>
          <w:sz w:val="16"/>
          <w:szCs w:val="16"/>
          <w:shd w:val="clear" w:color="auto" w:fill="FFFFFF"/>
          <w:lang w:val="en-US"/>
        </w:rPr>
        <w:t>the higher authorities of the State are strictly liable under the Convention for the conduct of their subordinates; it is only the responsibility of the State itself – not that of a domestic authority or organ – that is in issue before the Court. It is not the Court's role to deal with a multiplicity of national authorities or courts or to examine disputes between institutions or over internal politics.</w:t>
      </w:r>
    </w:p>
  </w:footnote>
  <w:footnote w:id="61">
    <w:p w14:paraId="325C46EC" w14:textId="2E2581FC" w:rsidR="00EB3943" w:rsidRPr="0022274E" w:rsidRDefault="00EB3943" w:rsidP="00EB3943">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107865">
        <w:rPr>
          <w:rFonts w:ascii="Arial" w:hAnsi="Arial" w:cs="Arial"/>
          <w:sz w:val="16"/>
          <w:szCs w:val="16"/>
          <w:lang w:val="en-US"/>
        </w:rPr>
        <w:t>.</w:t>
      </w:r>
      <w:r w:rsidRPr="0022274E">
        <w:rPr>
          <w:rFonts w:ascii="Arial" w:hAnsi="Arial" w:cs="Arial"/>
          <w:sz w:val="16"/>
          <w:szCs w:val="16"/>
          <w:lang w:val="en-US"/>
        </w:rPr>
        <w:t xml:space="preserve"> Venice Commission, </w:t>
      </w:r>
      <w:r w:rsidRPr="0022274E">
        <w:rPr>
          <w:rFonts w:ascii="Arial" w:hAnsi="Arial" w:cs="Arial"/>
          <w:i/>
          <w:iCs/>
          <w:sz w:val="16"/>
          <w:szCs w:val="16"/>
          <w:lang w:val="en-US"/>
        </w:rPr>
        <w:t xml:space="preserve">The Rule of </w:t>
      </w:r>
      <w:r w:rsidR="00F6037D">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lang w:val="en-US"/>
        </w:rPr>
        <w:t xml:space="preserve">, para. 39. Accordingly, it considers that: “Assessing whether the parameters have been met requires sources of verification (standards). For legal parameters, these will be the law in force, as well as, for example, in Europe, the legal assessments thereof by the European Court of Human Rights, the Venice Commission, Council of Europe monitoring bodies and other institutional sources” (para. 26). </w:t>
      </w:r>
    </w:p>
  </w:footnote>
  <w:footnote w:id="62">
    <w:p w14:paraId="787292C7" w14:textId="28E3CC01" w:rsidR="005808FC" w:rsidRPr="0022274E" w:rsidRDefault="005808FC" w:rsidP="005808FC">
      <w:pPr>
        <w:pStyle w:val="FootnoteText"/>
        <w:jc w:val="both"/>
        <w:rPr>
          <w:rFonts w:ascii="Arial" w:hAnsi="Arial" w:cs="Arial"/>
          <w:sz w:val="16"/>
          <w:szCs w:val="16"/>
          <w:lang w:val="en-US"/>
        </w:rPr>
      </w:pPr>
      <w:r w:rsidRPr="0022274E">
        <w:rPr>
          <w:rStyle w:val="FootnoteReference"/>
          <w:rFonts w:ascii="Arial" w:eastAsiaTheme="minorHAnsi" w:hAnsi="Arial" w:cs="Arial"/>
          <w:sz w:val="16"/>
          <w:szCs w:val="16"/>
          <w:vertAlign w:val="baseline"/>
          <w:lang w:val="el-GR"/>
        </w:rPr>
        <w:footnoteRef/>
      </w:r>
      <w:r w:rsidR="00107865">
        <w:rPr>
          <w:rStyle w:val="FootnoteReference"/>
          <w:rFonts w:eastAsiaTheme="minorHAnsi"/>
          <w:sz w:val="16"/>
          <w:szCs w:val="16"/>
          <w:vertAlign w:val="baseline"/>
          <w:lang w:val="en-US"/>
        </w:rPr>
        <w:t>.</w:t>
      </w:r>
      <w:r w:rsidRPr="0022274E">
        <w:rPr>
          <w:rStyle w:val="FootnoteReference"/>
          <w:rFonts w:eastAsiaTheme="minorHAnsi"/>
          <w:sz w:val="16"/>
          <w:szCs w:val="16"/>
          <w:vertAlign w:val="baseline"/>
          <w:lang w:val="el-GR"/>
        </w:rPr>
        <w:t xml:space="preserve"> </w:t>
      </w:r>
      <w:r w:rsidRPr="0022274E">
        <w:rPr>
          <w:rFonts w:ascii="Arial" w:hAnsi="Arial" w:cs="Arial"/>
          <w:sz w:val="16"/>
          <w:szCs w:val="16"/>
          <w:lang w:val="en-US"/>
        </w:rPr>
        <w:t xml:space="preserve">Venice Commission, </w:t>
      </w:r>
      <w:r w:rsidRPr="0022274E">
        <w:rPr>
          <w:rFonts w:ascii="Arial" w:hAnsi="Arial" w:cs="Arial"/>
          <w:i/>
          <w:iCs/>
          <w:sz w:val="16"/>
          <w:szCs w:val="16"/>
          <w:lang w:val="en-US"/>
        </w:rPr>
        <w:t xml:space="preserve">The Rule of </w:t>
      </w:r>
      <w:r w:rsidR="00F6037D">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lang w:val="en-US"/>
        </w:rPr>
        <w:t>, para. 44.</w:t>
      </w:r>
    </w:p>
  </w:footnote>
  <w:footnote w:id="63">
    <w:p w14:paraId="5E75DA78" w14:textId="54E97ABD" w:rsidR="005808FC" w:rsidRPr="004F5C2D" w:rsidRDefault="005808FC" w:rsidP="005808FC">
      <w:pPr>
        <w:pStyle w:val="FootnoteText"/>
        <w:jc w:val="both"/>
        <w:rPr>
          <w:rFonts w:ascii="Arial" w:hAnsi="Arial" w:cs="Arial"/>
          <w:lang w:val="en-US"/>
        </w:rPr>
      </w:pPr>
      <w:r w:rsidRPr="0022274E">
        <w:rPr>
          <w:rStyle w:val="FootnoteReference"/>
          <w:rFonts w:ascii="Arial" w:eastAsiaTheme="minorHAnsi" w:hAnsi="Arial" w:cs="Arial"/>
          <w:sz w:val="16"/>
          <w:szCs w:val="16"/>
          <w:vertAlign w:val="baseline"/>
          <w:lang w:val="el-GR"/>
        </w:rPr>
        <w:footnoteRef/>
      </w:r>
      <w:r w:rsidR="00107865">
        <w:rPr>
          <w:rStyle w:val="FootnoteReference"/>
          <w:rFonts w:eastAsiaTheme="minorHAnsi"/>
          <w:sz w:val="16"/>
          <w:szCs w:val="16"/>
          <w:vertAlign w:val="baseline"/>
          <w:lang w:val="en-US"/>
        </w:rPr>
        <w:t>.</w:t>
      </w:r>
      <w:r w:rsidRPr="0022274E">
        <w:rPr>
          <w:rStyle w:val="FootnoteReference"/>
          <w:rFonts w:eastAsiaTheme="minorHAnsi"/>
          <w:sz w:val="16"/>
          <w:szCs w:val="16"/>
          <w:vertAlign w:val="baseline"/>
          <w:lang w:val="el-GR"/>
        </w:rPr>
        <w:t xml:space="preserve"> </w:t>
      </w:r>
      <w:r w:rsidRPr="0022274E">
        <w:rPr>
          <w:rFonts w:ascii="Arial" w:hAnsi="Arial" w:cs="Arial"/>
          <w:sz w:val="16"/>
          <w:szCs w:val="16"/>
          <w:lang w:val="en-US"/>
        </w:rPr>
        <w:t xml:space="preserve">Venice Commission, </w:t>
      </w:r>
      <w:r w:rsidRPr="0022274E">
        <w:rPr>
          <w:rFonts w:ascii="Arial" w:hAnsi="Arial" w:cs="Arial"/>
          <w:i/>
          <w:iCs/>
          <w:sz w:val="16"/>
          <w:szCs w:val="16"/>
          <w:lang w:val="en-US"/>
        </w:rPr>
        <w:t xml:space="preserve">The Rule of </w:t>
      </w:r>
      <w:r w:rsidR="00F6037D">
        <w:rPr>
          <w:rFonts w:ascii="Arial" w:hAnsi="Arial" w:cs="Arial"/>
          <w:i/>
          <w:iCs/>
          <w:sz w:val="16"/>
          <w:szCs w:val="16"/>
          <w:lang w:val="en-US"/>
        </w:rPr>
        <w:t>l</w:t>
      </w:r>
      <w:r w:rsidRPr="0022274E">
        <w:rPr>
          <w:rFonts w:ascii="Arial" w:hAnsi="Arial" w:cs="Arial"/>
          <w:i/>
          <w:iCs/>
          <w:sz w:val="16"/>
          <w:szCs w:val="16"/>
          <w:lang w:val="en-US"/>
        </w:rPr>
        <w:t>aw Checklist</w:t>
      </w:r>
      <w:r w:rsidRPr="0022274E">
        <w:rPr>
          <w:rFonts w:ascii="Arial" w:hAnsi="Arial" w:cs="Arial"/>
          <w:sz w:val="16"/>
          <w:szCs w:val="16"/>
          <w:lang w:val="en-US"/>
        </w:rPr>
        <w:t>, para. 45.</w:t>
      </w:r>
    </w:p>
  </w:footnote>
  <w:footnote w:id="64">
    <w:p w14:paraId="3BFC66CC" w14:textId="7C47216C" w:rsidR="00C66E1B" w:rsidRPr="0022274E" w:rsidRDefault="00C66E1B" w:rsidP="00C66E1B">
      <w:pPr>
        <w:pStyle w:val="FootnoteText"/>
        <w:jc w:val="both"/>
        <w:rPr>
          <w:rFonts w:ascii="Arial" w:hAnsi="Arial" w:cs="Arial"/>
          <w:sz w:val="16"/>
          <w:szCs w:val="16"/>
          <w:lang w:val="en-US"/>
        </w:rPr>
      </w:pPr>
      <w:r w:rsidRPr="0022274E">
        <w:rPr>
          <w:rStyle w:val="FootnoteReference"/>
          <w:rFonts w:ascii="Arial" w:eastAsiaTheme="minorHAnsi" w:hAnsi="Arial" w:cs="Arial"/>
          <w:sz w:val="16"/>
          <w:szCs w:val="16"/>
          <w:vertAlign w:val="baseline"/>
          <w:lang w:val="el-GR"/>
        </w:rPr>
        <w:footnoteRef/>
      </w:r>
      <w:r w:rsidR="00107865">
        <w:rPr>
          <w:rFonts w:ascii="Arial" w:eastAsiaTheme="minorHAnsi" w:hAnsi="Arial" w:cs="Arial"/>
          <w:sz w:val="16"/>
          <w:szCs w:val="16"/>
          <w:lang w:val="en-US"/>
        </w:rPr>
        <w:t>.</w:t>
      </w:r>
      <w:r w:rsidRPr="0022274E">
        <w:rPr>
          <w:rStyle w:val="FootnoteReference"/>
          <w:rFonts w:ascii="Arial" w:eastAsiaTheme="minorHAnsi" w:hAnsi="Arial" w:cs="Arial"/>
          <w:sz w:val="16"/>
          <w:szCs w:val="16"/>
          <w:vertAlign w:val="baseline"/>
          <w:lang w:val="el-GR"/>
        </w:rPr>
        <w:t xml:space="preserve"> </w:t>
      </w:r>
      <w:r w:rsidR="008933A4" w:rsidRPr="00E60CEA">
        <w:rPr>
          <w:rFonts w:ascii="Arial" w:hAnsi="Arial" w:cs="Arial"/>
          <w:sz w:val="16"/>
          <w:szCs w:val="16"/>
          <w:lang w:val="en-US"/>
        </w:rPr>
        <w:t>Congress of Local and Regional Authorities</w:t>
      </w:r>
      <w:r w:rsidR="008933A4">
        <w:rPr>
          <w:rFonts w:ascii="Arial" w:hAnsi="Arial" w:cs="Arial"/>
          <w:sz w:val="16"/>
          <w:szCs w:val="16"/>
          <w:lang w:val="en-US"/>
        </w:rPr>
        <w:t>,</w:t>
      </w:r>
      <w:r w:rsidR="008933A4" w:rsidRPr="008933A4">
        <w:rPr>
          <w:rFonts w:ascii="Arial" w:hAnsi="Arial" w:cs="Arial"/>
          <w:sz w:val="16"/>
          <w:szCs w:val="16"/>
          <w:lang w:val="en-US"/>
        </w:rPr>
        <w:t xml:space="preserve"> CG38(2020)11prov</w:t>
      </w:r>
      <w:r w:rsidR="008933A4">
        <w:rPr>
          <w:rFonts w:ascii="Arial" w:hAnsi="Arial" w:cs="Arial"/>
          <w:sz w:val="16"/>
          <w:szCs w:val="16"/>
          <w:lang w:val="en-US"/>
        </w:rPr>
        <w:t xml:space="preserve"> “A </w:t>
      </w:r>
      <w:r w:rsidR="008933A4" w:rsidRPr="008933A4">
        <w:rPr>
          <w:rFonts w:ascii="Arial" w:hAnsi="Arial" w:cs="Arial"/>
          <w:sz w:val="16"/>
          <w:szCs w:val="16"/>
          <w:lang w:val="en-US"/>
        </w:rPr>
        <w:t>contemporary commentary by the Congress on the Explanatory Report to the European Charter of Local Self-Government</w:t>
      </w:r>
      <w:r w:rsidRPr="0022274E">
        <w:rPr>
          <w:rFonts w:ascii="Arial" w:hAnsi="Arial" w:cs="Arial"/>
          <w:sz w:val="16"/>
          <w:szCs w:val="16"/>
          <w:lang w:val="en-US"/>
        </w:rPr>
        <w:t>, para. 19.</w:t>
      </w:r>
    </w:p>
  </w:footnote>
  <w:footnote w:id="65">
    <w:p w14:paraId="4648F7C7" w14:textId="77777777" w:rsidR="007320E4" w:rsidRPr="0022274E" w:rsidRDefault="007320E4" w:rsidP="007320E4">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Pr>
          <w:rFonts w:ascii="Arial" w:hAnsi="Arial" w:cs="Arial"/>
          <w:sz w:val="16"/>
          <w:szCs w:val="16"/>
          <w:lang w:val="en-US"/>
        </w:rPr>
        <w:t>.</w:t>
      </w:r>
      <w:r w:rsidRPr="0022274E">
        <w:rPr>
          <w:rFonts w:ascii="Arial" w:hAnsi="Arial" w:cs="Arial"/>
          <w:sz w:val="16"/>
          <w:szCs w:val="16"/>
          <w:lang w:val="en-US"/>
        </w:rPr>
        <w:t xml:space="preserve"> </w:t>
      </w:r>
      <w:r w:rsidRPr="00E60CEA">
        <w:rPr>
          <w:rFonts w:ascii="Arial" w:hAnsi="Arial" w:cs="Arial"/>
          <w:sz w:val="16"/>
          <w:szCs w:val="16"/>
          <w:lang w:val="en-US"/>
        </w:rPr>
        <w:t>Congress of Local and Regional Authorities</w:t>
      </w:r>
      <w:r>
        <w:rPr>
          <w:rFonts w:ascii="Arial" w:hAnsi="Arial" w:cs="Arial"/>
          <w:sz w:val="16"/>
          <w:szCs w:val="16"/>
          <w:lang w:val="en-US"/>
        </w:rPr>
        <w:t>,</w:t>
      </w:r>
      <w:r w:rsidRPr="008933A4">
        <w:rPr>
          <w:rFonts w:ascii="Arial" w:hAnsi="Arial" w:cs="Arial"/>
          <w:sz w:val="16"/>
          <w:szCs w:val="16"/>
          <w:lang w:val="en-US"/>
        </w:rPr>
        <w:t xml:space="preserve"> CG38(2020)11prov</w:t>
      </w:r>
      <w:r>
        <w:rPr>
          <w:rFonts w:ascii="Arial" w:hAnsi="Arial" w:cs="Arial"/>
          <w:sz w:val="16"/>
          <w:szCs w:val="16"/>
          <w:lang w:val="en-US"/>
        </w:rPr>
        <w:t xml:space="preserve"> “A </w:t>
      </w:r>
      <w:r w:rsidRPr="008933A4">
        <w:rPr>
          <w:rFonts w:ascii="Arial" w:hAnsi="Arial" w:cs="Arial"/>
          <w:sz w:val="16"/>
          <w:szCs w:val="16"/>
          <w:lang w:val="en-US"/>
        </w:rPr>
        <w:t>contemporary commentary by the Congress on the Explanatory Report to the European Charter of Local Self-Government</w:t>
      </w:r>
      <w:r>
        <w:rPr>
          <w:rFonts w:ascii="Arial" w:hAnsi="Arial" w:cs="Arial"/>
          <w:sz w:val="16"/>
          <w:szCs w:val="16"/>
          <w:lang w:val="en-US"/>
        </w:rPr>
        <w:t>”</w:t>
      </w:r>
      <w:r w:rsidRPr="0022274E">
        <w:rPr>
          <w:rFonts w:ascii="Arial" w:hAnsi="Arial" w:cs="Arial"/>
          <w:sz w:val="16"/>
          <w:szCs w:val="16"/>
          <w:lang w:val="en-US"/>
        </w:rPr>
        <w:t>, para. 207.</w:t>
      </w:r>
    </w:p>
  </w:footnote>
  <w:footnote w:id="66">
    <w:p w14:paraId="059ABEF4" w14:textId="00EF008C" w:rsidR="00C66E1B" w:rsidRPr="0022274E" w:rsidRDefault="00C66E1B" w:rsidP="00C66E1B">
      <w:pPr>
        <w:pStyle w:val="FootnoteText"/>
        <w:jc w:val="both"/>
        <w:rPr>
          <w:rFonts w:ascii="Arial" w:hAnsi="Arial" w:cs="Arial"/>
          <w:sz w:val="16"/>
          <w:szCs w:val="16"/>
          <w:lang w:val="en-US"/>
        </w:rPr>
      </w:pPr>
      <w:r w:rsidRPr="0022274E">
        <w:rPr>
          <w:rStyle w:val="FootnoteReference"/>
          <w:rFonts w:ascii="Arial" w:hAnsi="Arial" w:cs="Arial"/>
          <w:sz w:val="16"/>
          <w:szCs w:val="16"/>
          <w:vertAlign w:val="baseline"/>
        </w:rPr>
        <w:footnoteRef/>
      </w:r>
      <w:r w:rsidR="008933A4">
        <w:rPr>
          <w:rFonts w:ascii="Arial" w:hAnsi="Arial" w:cs="Arial"/>
          <w:sz w:val="16"/>
          <w:szCs w:val="16"/>
          <w:lang w:val="en-US"/>
        </w:rPr>
        <w:t>.</w:t>
      </w:r>
      <w:r w:rsidRPr="0022274E">
        <w:rPr>
          <w:rFonts w:ascii="Arial" w:hAnsi="Arial" w:cs="Arial"/>
          <w:sz w:val="16"/>
          <w:szCs w:val="16"/>
          <w:lang w:val="en-US"/>
        </w:rPr>
        <w:t xml:space="preserve"> </w:t>
      </w:r>
      <w:r w:rsidR="008933A4" w:rsidRPr="00E60CEA">
        <w:rPr>
          <w:rFonts w:ascii="Arial" w:hAnsi="Arial" w:cs="Arial"/>
          <w:sz w:val="16"/>
          <w:szCs w:val="16"/>
          <w:lang w:val="en-US"/>
        </w:rPr>
        <w:t>Congress of Local and Regional Authorities</w:t>
      </w:r>
      <w:r w:rsidR="008933A4">
        <w:rPr>
          <w:rFonts w:ascii="Arial" w:hAnsi="Arial" w:cs="Arial"/>
          <w:sz w:val="16"/>
          <w:szCs w:val="16"/>
          <w:lang w:val="en-US"/>
        </w:rPr>
        <w:t xml:space="preserve">, </w:t>
      </w:r>
      <w:r w:rsidR="008933A4" w:rsidRPr="008933A4">
        <w:rPr>
          <w:rFonts w:ascii="Arial" w:hAnsi="Arial" w:cs="Arial"/>
          <w:sz w:val="16"/>
          <w:szCs w:val="16"/>
          <w:lang w:val="en-US"/>
        </w:rPr>
        <w:t>CG38(2020)11prov</w:t>
      </w:r>
      <w:r w:rsidR="008933A4">
        <w:rPr>
          <w:rFonts w:ascii="Arial" w:hAnsi="Arial" w:cs="Arial"/>
          <w:sz w:val="16"/>
          <w:szCs w:val="16"/>
          <w:lang w:val="en-US"/>
        </w:rPr>
        <w:t xml:space="preserve"> “A </w:t>
      </w:r>
      <w:r w:rsidR="008933A4" w:rsidRPr="008933A4">
        <w:rPr>
          <w:rFonts w:ascii="Arial" w:hAnsi="Arial" w:cs="Arial"/>
          <w:sz w:val="16"/>
          <w:szCs w:val="16"/>
          <w:lang w:val="en-US"/>
        </w:rPr>
        <w:t>contemporary commentary by the Congress on the Explanatory Report to the European Charter of Local Self-Government</w:t>
      </w:r>
      <w:r w:rsidR="008933A4">
        <w:rPr>
          <w:rFonts w:ascii="Arial" w:hAnsi="Arial" w:cs="Arial"/>
          <w:sz w:val="16"/>
          <w:szCs w:val="16"/>
          <w:lang w:val="en-US"/>
        </w:rPr>
        <w:t>”</w:t>
      </w:r>
      <w:r w:rsidRPr="0022274E">
        <w:rPr>
          <w:rFonts w:ascii="Arial" w:hAnsi="Arial" w:cs="Arial"/>
          <w:sz w:val="16"/>
          <w:szCs w:val="16"/>
          <w:lang w:val="en-US"/>
        </w:rPr>
        <w:t>, para.49.</w:t>
      </w:r>
    </w:p>
  </w:footnote>
  <w:footnote w:id="67">
    <w:p w14:paraId="0EE77E95" w14:textId="514850F4" w:rsidR="00C66E1B" w:rsidRPr="004F5C2D" w:rsidRDefault="00C66E1B" w:rsidP="00C66E1B">
      <w:pPr>
        <w:pStyle w:val="FootnoteText"/>
        <w:jc w:val="both"/>
        <w:rPr>
          <w:rFonts w:ascii="Arial" w:hAnsi="Arial" w:cs="Arial"/>
          <w:lang w:val="en-US"/>
        </w:rPr>
      </w:pPr>
      <w:r w:rsidRPr="0022274E">
        <w:rPr>
          <w:rStyle w:val="FootnoteReference"/>
          <w:rFonts w:ascii="Arial" w:hAnsi="Arial" w:cs="Arial"/>
          <w:sz w:val="16"/>
          <w:szCs w:val="16"/>
          <w:vertAlign w:val="baseline"/>
        </w:rPr>
        <w:footnoteRef/>
      </w:r>
      <w:r w:rsidR="008933A4">
        <w:rPr>
          <w:rFonts w:ascii="Arial" w:hAnsi="Arial" w:cs="Arial"/>
          <w:sz w:val="16"/>
          <w:szCs w:val="16"/>
          <w:lang w:val="en-US"/>
        </w:rPr>
        <w:t>.</w:t>
      </w:r>
      <w:r w:rsidRPr="0022274E">
        <w:rPr>
          <w:rFonts w:ascii="Arial" w:hAnsi="Arial" w:cs="Arial"/>
          <w:sz w:val="16"/>
          <w:szCs w:val="16"/>
          <w:lang w:val="en-US"/>
        </w:rPr>
        <w:t xml:space="preserve"> </w:t>
      </w:r>
      <w:r w:rsidR="008933A4" w:rsidRPr="00E60CEA">
        <w:rPr>
          <w:rFonts w:ascii="Arial" w:hAnsi="Arial" w:cs="Arial"/>
          <w:sz w:val="16"/>
          <w:szCs w:val="16"/>
          <w:lang w:val="en-US"/>
        </w:rPr>
        <w:t>Congress of Local and Regional Authorities</w:t>
      </w:r>
      <w:r w:rsidR="008933A4">
        <w:rPr>
          <w:rFonts w:ascii="Arial" w:hAnsi="Arial" w:cs="Arial"/>
          <w:sz w:val="16"/>
          <w:szCs w:val="16"/>
          <w:lang w:val="en-US"/>
        </w:rPr>
        <w:t xml:space="preserve">, </w:t>
      </w:r>
      <w:r w:rsidR="008933A4" w:rsidRPr="008933A4">
        <w:rPr>
          <w:rFonts w:ascii="Arial" w:hAnsi="Arial" w:cs="Arial"/>
          <w:sz w:val="16"/>
          <w:szCs w:val="16"/>
          <w:lang w:val="en-US"/>
        </w:rPr>
        <w:t>CG38(2020)11prov</w:t>
      </w:r>
      <w:r w:rsidR="008933A4">
        <w:rPr>
          <w:rFonts w:ascii="Arial" w:hAnsi="Arial" w:cs="Arial"/>
          <w:sz w:val="16"/>
          <w:szCs w:val="16"/>
          <w:lang w:val="en-US"/>
        </w:rPr>
        <w:t xml:space="preserve"> “A </w:t>
      </w:r>
      <w:r w:rsidR="008933A4" w:rsidRPr="008933A4">
        <w:rPr>
          <w:rFonts w:ascii="Arial" w:hAnsi="Arial" w:cs="Arial"/>
          <w:sz w:val="16"/>
          <w:szCs w:val="16"/>
          <w:lang w:val="en-US"/>
        </w:rPr>
        <w:t>contemporary commentary by the Congress on the Explanatory Report to the European Charter of Local Self-Government</w:t>
      </w:r>
      <w:r w:rsidR="008933A4">
        <w:rPr>
          <w:rFonts w:ascii="Arial" w:hAnsi="Arial" w:cs="Arial"/>
          <w:sz w:val="16"/>
          <w:szCs w:val="16"/>
          <w:lang w:val="en-US"/>
        </w:rPr>
        <w:t>”</w:t>
      </w:r>
      <w:r w:rsidRPr="0022274E">
        <w:rPr>
          <w:rFonts w:ascii="Arial" w:hAnsi="Arial" w:cs="Arial"/>
          <w:sz w:val="16"/>
          <w:szCs w:val="16"/>
          <w:lang w:val="en-US"/>
        </w:rPr>
        <w:t>, para. 68.</w:t>
      </w:r>
    </w:p>
  </w:footnote>
  <w:footnote w:id="68">
    <w:p w14:paraId="77391F12" w14:textId="5E568D49" w:rsidR="000721AB" w:rsidRPr="00E60CEA" w:rsidRDefault="000721AB" w:rsidP="000721AB">
      <w:pPr>
        <w:pStyle w:val="Default"/>
        <w:jc w:val="both"/>
        <w:rPr>
          <w:rFonts w:ascii="Arial" w:hAnsi="Arial" w:cs="Arial"/>
          <w:color w:val="auto"/>
          <w:sz w:val="16"/>
          <w:szCs w:val="16"/>
          <w:lang w:val="en-US"/>
        </w:rPr>
      </w:pPr>
      <w:r w:rsidRPr="00E60CEA">
        <w:rPr>
          <w:rStyle w:val="FootnoteReference"/>
          <w:rFonts w:ascii="Arial" w:hAnsi="Arial" w:cs="Arial"/>
          <w:color w:val="auto"/>
          <w:sz w:val="16"/>
          <w:szCs w:val="16"/>
          <w:vertAlign w:val="baseline"/>
        </w:rPr>
        <w:footnoteRef/>
      </w:r>
      <w:r w:rsidR="00B8173C">
        <w:rPr>
          <w:rFonts w:ascii="Arial" w:hAnsi="Arial" w:cs="Arial"/>
          <w:color w:val="auto"/>
          <w:sz w:val="16"/>
          <w:szCs w:val="16"/>
          <w:lang w:val="en-US"/>
        </w:rPr>
        <w:t>.</w:t>
      </w:r>
      <w:r w:rsidRPr="00E60CEA">
        <w:rPr>
          <w:rFonts w:ascii="Arial" w:hAnsi="Arial" w:cs="Arial"/>
          <w:color w:val="auto"/>
          <w:sz w:val="16"/>
          <w:szCs w:val="16"/>
          <w:lang w:val="en-US"/>
        </w:rPr>
        <w:t xml:space="preserve"> See Congress of Local and Regional Authorities, CG36(2019)13final 2 April 2019, Local and regional democracy in Poland, para. 35-36; Congress of Local and Regional Authorities, CG-FORUM(2021)01-03final 12 February 2021, </w:t>
      </w:r>
      <w:r w:rsidRPr="00E60CEA">
        <w:rPr>
          <w:rFonts w:ascii="Arial" w:hAnsi="Arial" w:cs="Arial"/>
          <w:color w:val="auto"/>
          <w:sz w:val="16"/>
          <w:szCs w:val="16"/>
          <w:lang w:val="en-US"/>
          <w14:ligatures w14:val="standardContextual"/>
        </w:rPr>
        <w:t>Monitoring of the European Charter of Local Self-Government in Hungary, para.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5772" w14:textId="1E590A98" w:rsidR="00683973" w:rsidRDefault="00683973" w:rsidP="00F777FA">
    <w:pPr>
      <w:rPr>
        <w:rFonts w:ascii="Arial" w:hAnsi="Arial" w:cs="Arial"/>
        <w:sz w:val="20"/>
      </w:rPr>
    </w:pPr>
  </w:p>
  <w:p w14:paraId="3CB5E6BD" w14:textId="6D9041EA" w:rsidR="003B1122" w:rsidRPr="00F777FA" w:rsidRDefault="00E71B3E" w:rsidP="00F777FA">
    <w:pPr>
      <w:rPr>
        <w:rFonts w:ascii="Arial" w:hAnsi="Arial" w:cs="Arial"/>
        <w:sz w:val="20"/>
      </w:rPr>
    </w:pPr>
    <w:r>
      <w:rPr>
        <w:rFonts w:ascii="Arial" w:hAnsi="Arial" w:cs="Arial"/>
        <w:sz w:val="20"/>
      </w:rPr>
      <w:t>CG(2024)46-20</w:t>
    </w:r>
  </w:p>
  <w:p w14:paraId="652C57DF" w14:textId="77777777" w:rsidR="005F6B2E" w:rsidRDefault="005F6B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7300" w14:textId="5AAA32AF" w:rsidR="00F25BD6" w:rsidRDefault="00F25BD6" w:rsidP="00F25BD6">
    <w:pPr>
      <w:rPr>
        <w:rFonts w:ascii="Arial" w:hAnsi="Arial" w:cs="Arial"/>
        <w:sz w:val="20"/>
      </w:rPr>
    </w:pPr>
  </w:p>
  <w:p w14:paraId="081D7D44" w14:textId="4B6EE510" w:rsidR="003B1122" w:rsidRDefault="00F25BD6" w:rsidP="00F25BD6">
    <w:pPr>
      <w:jc w:val="right"/>
      <w:rPr>
        <w:rFonts w:ascii="Arial" w:hAnsi="Arial" w:cs="Arial"/>
        <w:sz w:val="20"/>
      </w:rPr>
    </w:pPr>
    <w:r>
      <w:rPr>
        <w:rFonts w:ascii="Arial" w:hAnsi="Arial" w:cs="Arial"/>
        <w:sz w:val="20"/>
      </w:rPr>
      <w:t>CG(2024)46-20</w:t>
    </w:r>
  </w:p>
  <w:p w14:paraId="37617BA9" w14:textId="77777777" w:rsidR="00F25BD6" w:rsidRDefault="00F25BD6" w:rsidP="00F25B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3685" w14:textId="0752A40D" w:rsidR="003B1122" w:rsidRDefault="00F25BD6">
    <w:pPr>
      <w:pStyle w:val="Header"/>
    </w:pPr>
    <w:r w:rsidRPr="00F91BA0">
      <w:rPr>
        <w:noProof/>
      </w:rPr>
      <w:drawing>
        <wp:inline distT="0" distB="0" distL="0" distR="0" wp14:anchorId="6B473ACA" wp14:editId="106C0F85">
          <wp:extent cx="5716905" cy="101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905" cy="1017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728"/>
    <w:multiLevelType w:val="hybridMultilevel"/>
    <w:tmpl w:val="98C40C82"/>
    <w:lvl w:ilvl="0" w:tplc="0BC2764E">
      <w:start w:val="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26CC5"/>
    <w:multiLevelType w:val="hybridMultilevel"/>
    <w:tmpl w:val="CA1C5066"/>
    <w:lvl w:ilvl="0" w:tplc="90C8D166">
      <w:start w:val="2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D84C79"/>
    <w:multiLevelType w:val="hybridMultilevel"/>
    <w:tmpl w:val="E51CE452"/>
    <w:lvl w:ilvl="0" w:tplc="3902517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356A3"/>
    <w:multiLevelType w:val="hybridMultilevel"/>
    <w:tmpl w:val="397E2440"/>
    <w:lvl w:ilvl="0" w:tplc="FFFFFFFF">
      <w:start w:val="1"/>
      <w:numFmt w:val="decimal"/>
      <w:lvlText w:val="%1."/>
      <w:lvlJc w:val="left"/>
      <w:pPr>
        <w:ind w:left="927" w:hanging="360"/>
      </w:pPr>
      <w:rPr>
        <w:rFonts w:hint="default"/>
        <w:color w:val="auto"/>
        <w:sz w:val="20"/>
        <w:szCs w:val="18"/>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3BC1145"/>
    <w:multiLevelType w:val="hybridMultilevel"/>
    <w:tmpl w:val="88C0C112"/>
    <w:lvl w:ilvl="0" w:tplc="4CBEADCE">
      <w:start w:val="44"/>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078FE"/>
    <w:multiLevelType w:val="hybridMultilevel"/>
    <w:tmpl w:val="0A247B4C"/>
    <w:lvl w:ilvl="0" w:tplc="E6C0D26C">
      <w:start w:val="4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750868"/>
    <w:multiLevelType w:val="hybridMultilevel"/>
    <w:tmpl w:val="E73688C4"/>
    <w:lvl w:ilvl="0" w:tplc="65107B62">
      <w:start w:val="1"/>
      <w:numFmt w:val="decimal"/>
      <w:pStyle w:val="Styl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D24824"/>
    <w:multiLevelType w:val="hybridMultilevel"/>
    <w:tmpl w:val="97CCDA22"/>
    <w:lvl w:ilvl="0" w:tplc="979E15D2">
      <w:start w:val="60"/>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A2C31"/>
    <w:multiLevelType w:val="hybridMultilevel"/>
    <w:tmpl w:val="A8AA2ABA"/>
    <w:lvl w:ilvl="0" w:tplc="AA1EE628">
      <w:start w:val="1"/>
      <w:numFmt w:val="lowerLetter"/>
      <w:lvlText w:val="%1."/>
      <w:lvlJc w:val="left"/>
      <w:pPr>
        <w:ind w:left="720" w:hanging="360"/>
      </w:pPr>
      <w:rPr>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614023"/>
    <w:multiLevelType w:val="hybridMultilevel"/>
    <w:tmpl w:val="5C5A573C"/>
    <w:lvl w:ilvl="0" w:tplc="D0F8325E">
      <w:start w:val="1"/>
      <w:numFmt w:val="decimal"/>
      <w:lvlText w:val="%1."/>
      <w:lvlJc w:val="left"/>
      <w:pPr>
        <w:ind w:left="927" w:hanging="360"/>
      </w:pPr>
      <w:rPr>
        <w:rFonts w:hint="default"/>
        <w:sz w:val="20"/>
        <w:szCs w:val="1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855D27"/>
    <w:multiLevelType w:val="hybridMultilevel"/>
    <w:tmpl w:val="22D6DD9C"/>
    <w:lvl w:ilvl="0" w:tplc="364C4EB2">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9700A"/>
    <w:multiLevelType w:val="hybridMultilevel"/>
    <w:tmpl w:val="D66A55C2"/>
    <w:lvl w:ilvl="0" w:tplc="ED30D720">
      <w:start w:val="6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4A124D"/>
    <w:multiLevelType w:val="hybridMultilevel"/>
    <w:tmpl w:val="6A30121A"/>
    <w:lvl w:ilvl="0" w:tplc="4C2EF368">
      <w:start w:val="5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46EAD"/>
    <w:multiLevelType w:val="hybridMultilevel"/>
    <w:tmpl w:val="397E2440"/>
    <w:lvl w:ilvl="0" w:tplc="2208F30A">
      <w:start w:val="1"/>
      <w:numFmt w:val="decimal"/>
      <w:lvlText w:val="%1."/>
      <w:lvlJc w:val="left"/>
      <w:pPr>
        <w:ind w:left="927" w:hanging="360"/>
      </w:pPr>
      <w:rPr>
        <w:rFonts w:hint="default"/>
        <w:color w:val="auto"/>
        <w:sz w:val="20"/>
        <w:szCs w:val="18"/>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C3259C"/>
    <w:multiLevelType w:val="hybridMultilevel"/>
    <w:tmpl w:val="3034BE8C"/>
    <w:lvl w:ilvl="0" w:tplc="1EC4A5AC">
      <w:start w:val="1"/>
      <w:numFmt w:val="lowerLetter"/>
      <w:lvlText w:val="%1."/>
      <w:lvlJc w:val="left"/>
      <w:pPr>
        <w:ind w:left="0" w:firstLine="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A64495"/>
    <w:multiLevelType w:val="hybridMultilevel"/>
    <w:tmpl w:val="B24454F4"/>
    <w:lvl w:ilvl="0" w:tplc="FFFFFFFF">
      <w:start w:val="2"/>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9047150"/>
    <w:multiLevelType w:val="hybridMultilevel"/>
    <w:tmpl w:val="C19637AA"/>
    <w:lvl w:ilvl="0" w:tplc="DBBC4F0C">
      <w:start w:val="1"/>
      <w:numFmt w:val="bullet"/>
      <w:pStyle w:val="11Dash-2"/>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57E06"/>
    <w:multiLevelType w:val="hybridMultilevel"/>
    <w:tmpl w:val="B24454F4"/>
    <w:lvl w:ilvl="0" w:tplc="6C8CD33E">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51637BA4"/>
    <w:multiLevelType w:val="hybridMultilevel"/>
    <w:tmpl w:val="4B9895E0"/>
    <w:lvl w:ilvl="0" w:tplc="AA061FCE">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94937"/>
    <w:multiLevelType w:val="hybridMultilevel"/>
    <w:tmpl w:val="86C6EC3E"/>
    <w:lvl w:ilvl="0" w:tplc="AA061FCE">
      <w:start w:val="1"/>
      <w:numFmt w:val="lowerLetter"/>
      <w:lvlText w:val="%1."/>
      <w:lvlJc w:val="left"/>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3256A3C"/>
    <w:multiLevelType w:val="hybridMultilevel"/>
    <w:tmpl w:val="8D60403E"/>
    <w:lvl w:ilvl="0" w:tplc="B9E04004">
      <w:start w:val="3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0D72DC"/>
    <w:multiLevelType w:val="hybridMultilevel"/>
    <w:tmpl w:val="53D8E3BE"/>
    <w:lvl w:ilvl="0" w:tplc="E26CEC9A">
      <w:start w:val="29"/>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B3D64"/>
    <w:multiLevelType w:val="hybridMultilevel"/>
    <w:tmpl w:val="ECE242BA"/>
    <w:lvl w:ilvl="0" w:tplc="EE8AC54A">
      <w:start w:val="4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AC7F0E"/>
    <w:multiLevelType w:val="hybridMultilevel"/>
    <w:tmpl w:val="CA1C5066"/>
    <w:lvl w:ilvl="0" w:tplc="FFFFFFFF">
      <w:start w:val="2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A9082B"/>
    <w:multiLevelType w:val="hybridMultilevel"/>
    <w:tmpl w:val="D1E6EE2A"/>
    <w:lvl w:ilvl="0" w:tplc="75A48C82">
      <w:start w:val="1"/>
      <w:numFmt w:val="decimal"/>
      <w:lvlText w:val="%1."/>
      <w:lvlJc w:val="left"/>
      <w:pPr>
        <w:ind w:left="720" w:hanging="360"/>
      </w:pPr>
      <w:rPr>
        <w:rFonts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42709C"/>
    <w:multiLevelType w:val="hybridMultilevel"/>
    <w:tmpl w:val="C0EE1496"/>
    <w:lvl w:ilvl="0" w:tplc="1EC4A5AC">
      <w:start w:val="1"/>
      <w:numFmt w:val="lowerLetter"/>
      <w:lvlText w:val="%1."/>
      <w:lvlJc w:val="left"/>
      <w:pPr>
        <w:ind w:left="0" w:firstLine="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972AC2"/>
    <w:multiLevelType w:val="hybridMultilevel"/>
    <w:tmpl w:val="60B68966"/>
    <w:lvl w:ilvl="0" w:tplc="AC584296">
      <w:start w:val="1"/>
      <w:numFmt w:val="lowerLetter"/>
      <w:lvlText w:val="%1."/>
      <w:lvlJc w:val="left"/>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7B3826"/>
    <w:multiLevelType w:val="hybridMultilevel"/>
    <w:tmpl w:val="4B02EF2E"/>
    <w:lvl w:ilvl="0" w:tplc="C046C7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0F1716"/>
    <w:multiLevelType w:val="hybridMultilevel"/>
    <w:tmpl w:val="BA528226"/>
    <w:lvl w:ilvl="0" w:tplc="6DACE770">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3B62CC"/>
    <w:multiLevelType w:val="hybridMultilevel"/>
    <w:tmpl w:val="D03C2BC2"/>
    <w:lvl w:ilvl="0" w:tplc="FA4A837E">
      <w:start w:val="1"/>
      <w:numFmt w:val="decimal"/>
      <w:lvlText w:val="%1."/>
      <w:lvlJc w:val="left"/>
      <w:pPr>
        <w:ind w:left="720" w:hanging="360"/>
      </w:pPr>
      <w:rPr>
        <w:rFonts w:hint="default"/>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4230661">
    <w:abstractNumId w:val="16"/>
  </w:num>
  <w:num w:numId="2" w16cid:durableId="963653601">
    <w:abstractNumId w:val="8"/>
  </w:num>
  <w:num w:numId="3" w16cid:durableId="195197982">
    <w:abstractNumId w:val="19"/>
  </w:num>
  <w:num w:numId="4" w16cid:durableId="518390345">
    <w:abstractNumId w:val="26"/>
  </w:num>
  <w:num w:numId="5" w16cid:durableId="1157111719">
    <w:abstractNumId w:val="29"/>
  </w:num>
  <w:num w:numId="6" w16cid:durableId="2114011925">
    <w:abstractNumId w:val="24"/>
  </w:num>
  <w:num w:numId="7" w16cid:durableId="137915216">
    <w:abstractNumId w:val="6"/>
  </w:num>
  <w:num w:numId="8" w16cid:durableId="964313360">
    <w:abstractNumId w:val="13"/>
  </w:num>
  <w:num w:numId="9" w16cid:durableId="1286430270">
    <w:abstractNumId w:val="12"/>
  </w:num>
  <w:num w:numId="10" w16cid:durableId="1752121672">
    <w:abstractNumId w:val="9"/>
  </w:num>
  <w:num w:numId="11" w16cid:durableId="1924491801">
    <w:abstractNumId w:val="1"/>
  </w:num>
  <w:num w:numId="12" w16cid:durableId="679893666">
    <w:abstractNumId w:val="20"/>
  </w:num>
  <w:num w:numId="13" w16cid:durableId="132254414">
    <w:abstractNumId w:val="5"/>
  </w:num>
  <w:num w:numId="14" w16cid:durableId="1954702183">
    <w:abstractNumId w:val="17"/>
  </w:num>
  <w:num w:numId="15" w16cid:durableId="231084468">
    <w:abstractNumId w:val="23"/>
  </w:num>
  <w:num w:numId="16" w16cid:durableId="147212321">
    <w:abstractNumId w:val="27"/>
  </w:num>
  <w:num w:numId="17" w16cid:durableId="1466971422">
    <w:abstractNumId w:val="15"/>
  </w:num>
  <w:num w:numId="18" w16cid:durableId="344527548">
    <w:abstractNumId w:val="21"/>
  </w:num>
  <w:num w:numId="19" w16cid:durableId="709038585">
    <w:abstractNumId w:val="10"/>
  </w:num>
  <w:num w:numId="20" w16cid:durableId="369843568">
    <w:abstractNumId w:val="22"/>
  </w:num>
  <w:num w:numId="21" w16cid:durableId="1006858772">
    <w:abstractNumId w:val="7"/>
  </w:num>
  <w:num w:numId="22" w16cid:durableId="495540269">
    <w:abstractNumId w:val="28"/>
  </w:num>
  <w:num w:numId="23" w16cid:durableId="84693020">
    <w:abstractNumId w:val="0"/>
  </w:num>
  <w:num w:numId="24" w16cid:durableId="400719011">
    <w:abstractNumId w:val="18"/>
  </w:num>
  <w:num w:numId="25" w16cid:durableId="289676831">
    <w:abstractNumId w:val="14"/>
  </w:num>
  <w:num w:numId="26" w16cid:durableId="1366834382">
    <w:abstractNumId w:val="25"/>
  </w:num>
  <w:num w:numId="27" w16cid:durableId="1519393673">
    <w:abstractNumId w:val="2"/>
  </w:num>
  <w:num w:numId="28" w16cid:durableId="711924778">
    <w:abstractNumId w:val="4"/>
  </w:num>
  <w:num w:numId="29" w16cid:durableId="784809508">
    <w:abstractNumId w:val="11"/>
  </w:num>
  <w:num w:numId="30" w16cid:durableId="205314325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04"/>
    <w:rsid w:val="000005B5"/>
    <w:rsid w:val="0000062F"/>
    <w:rsid w:val="00001691"/>
    <w:rsid w:val="00001853"/>
    <w:rsid w:val="00001CC8"/>
    <w:rsid w:val="00002A59"/>
    <w:rsid w:val="00004D38"/>
    <w:rsid w:val="000054FB"/>
    <w:rsid w:val="000055BB"/>
    <w:rsid w:val="00005F6D"/>
    <w:rsid w:val="000062DA"/>
    <w:rsid w:val="00006C55"/>
    <w:rsid w:val="00006F7C"/>
    <w:rsid w:val="00007001"/>
    <w:rsid w:val="00007A6F"/>
    <w:rsid w:val="00007C67"/>
    <w:rsid w:val="000111D2"/>
    <w:rsid w:val="0001136E"/>
    <w:rsid w:val="000122F0"/>
    <w:rsid w:val="00014DC6"/>
    <w:rsid w:val="00014F63"/>
    <w:rsid w:val="00016844"/>
    <w:rsid w:val="00020280"/>
    <w:rsid w:val="00020C20"/>
    <w:rsid w:val="00023604"/>
    <w:rsid w:val="00025C12"/>
    <w:rsid w:val="000278F8"/>
    <w:rsid w:val="0002791C"/>
    <w:rsid w:val="00030299"/>
    <w:rsid w:val="0003097A"/>
    <w:rsid w:val="00030EA7"/>
    <w:rsid w:val="00030EAE"/>
    <w:rsid w:val="000313AB"/>
    <w:rsid w:val="00032CBF"/>
    <w:rsid w:val="00032E94"/>
    <w:rsid w:val="000334AC"/>
    <w:rsid w:val="00033698"/>
    <w:rsid w:val="000343EA"/>
    <w:rsid w:val="000360E2"/>
    <w:rsid w:val="0004101A"/>
    <w:rsid w:val="000410DA"/>
    <w:rsid w:val="00041315"/>
    <w:rsid w:val="000419EC"/>
    <w:rsid w:val="00041E9D"/>
    <w:rsid w:val="00042341"/>
    <w:rsid w:val="000441B5"/>
    <w:rsid w:val="00045441"/>
    <w:rsid w:val="00045B3C"/>
    <w:rsid w:val="00046326"/>
    <w:rsid w:val="000478E2"/>
    <w:rsid w:val="00050CCA"/>
    <w:rsid w:val="0005339E"/>
    <w:rsid w:val="000535ED"/>
    <w:rsid w:val="00053921"/>
    <w:rsid w:val="00055209"/>
    <w:rsid w:val="0005614B"/>
    <w:rsid w:val="00057592"/>
    <w:rsid w:val="000644E2"/>
    <w:rsid w:val="00065C6B"/>
    <w:rsid w:val="0006684C"/>
    <w:rsid w:val="0006746B"/>
    <w:rsid w:val="00070A0C"/>
    <w:rsid w:val="00071642"/>
    <w:rsid w:val="00071B28"/>
    <w:rsid w:val="000721AB"/>
    <w:rsid w:val="00073428"/>
    <w:rsid w:val="00073A21"/>
    <w:rsid w:val="00073C7D"/>
    <w:rsid w:val="00075F6C"/>
    <w:rsid w:val="000775FA"/>
    <w:rsid w:val="00077844"/>
    <w:rsid w:val="00081167"/>
    <w:rsid w:val="000813FE"/>
    <w:rsid w:val="0008141F"/>
    <w:rsid w:val="00082866"/>
    <w:rsid w:val="0008391E"/>
    <w:rsid w:val="0008430A"/>
    <w:rsid w:val="00084764"/>
    <w:rsid w:val="000850C7"/>
    <w:rsid w:val="000856FB"/>
    <w:rsid w:val="00085876"/>
    <w:rsid w:val="00086D3A"/>
    <w:rsid w:val="0009028F"/>
    <w:rsid w:val="00090A89"/>
    <w:rsid w:val="00091009"/>
    <w:rsid w:val="0009112C"/>
    <w:rsid w:val="00092314"/>
    <w:rsid w:val="000925B9"/>
    <w:rsid w:val="0009268D"/>
    <w:rsid w:val="0009337C"/>
    <w:rsid w:val="0009371B"/>
    <w:rsid w:val="000959CD"/>
    <w:rsid w:val="000A16B5"/>
    <w:rsid w:val="000A223C"/>
    <w:rsid w:val="000A2C6B"/>
    <w:rsid w:val="000A3C69"/>
    <w:rsid w:val="000A57F7"/>
    <w:rsid w:val="000A5ACD"/>
    <w:rsid w:val="000A6D23"/>
    <w:rsid w:val="000A6EE8"/>
    <w:rsid w:val="000B0048"/>
    <w:rsid w:val="000B1A28"/>
    <w:rsid w:val="000B2B39"/>
    <w:rsid w:val="000B2D17"/>
    <w:rsid w:val="000B2D59"/>
    <w:rsid w:val="000B40A2"/>
    <w:rsid w:val="000B756D"/>
    <w:rsid w:val="000C01B3"/>
    <w:rsid w:val="000C0221"/>
    <w:rsid w:val="000C10E0"/>
    <w:rsid w:val="000C20DF"/>
    <w:rsid w:val="000C279D"/>
    <w:rsid w:val="000C35B1"/>
    <w:rsid w:val="000C46EC"/>
    <w:rsid w:val="000C5531"/>
    <w:rsid w:val="000C5E6A"/>
    <w:rsid w:val="000C62FD"/>
    <w:rsid w:val="000C6877"/>
    <w:rsid w:val="000C6B47"/>
    <w:rsid w:val="000D0E77"/>
    <w:rsid w:val="000D406E"/>
    <w:rsid w:val="000D4091"/>
    <w:rsid w:val="000D4C29"/>
    <w:rsid w:val="000D6BFE"/>
    <w:rsid w:val="000D743C"/>
    <w:rsid w:val="000D7739"/>
    <w:rsid w:val="000E1485"/>
    <w:rsid w:val="000E2A6E"/>
    <w:rsid w:val="000E3FB2"/>
    <w:rsid w:val="000E4E89"/>
    <w:rsid w:val="000E554A"/>
    <w:rsid w:val="000E638B"/>
    <w:rsid w:val="000E64C7"/>
    <w:rsid w:val="000E76E5"/>
    <w:rsid w:val="000E774B"/>
    <w:rsid w:val="000E7C8A"/>
    <w:rsid w:val="000E7DC2"/>
    <w:rsid w:val="000F0CA3"/>
    <w:rsid w:val="000F120D"/>
    <w:rsid w:val="000F315B"/>
    <w:rsid w:val="00100E2C"/>
    <w:rsid w:val="0010249C"/>
    <w:rsid w:val="0010270F"/>
    <w:rsid w:val="00102A9E"/>
    <w:rsid w:val="00103F1F"/>
    <w:rsid w:val="001047B4"/>
    <w:rsid w:val="00104928"/>
    <w:rsid w:val="001065D8"/>
    <w:rsid w:val="00107865"/>
    <w:rsid w:val="00107A35"/>
    <w:rsid w:val="0011010E"/>
    <w:rsid w:val="00110403"/>
    <w:rsid w:val="00110D77"/>
    <w:rsid w:val="00110FA0"/>
    <w:rsid w:val="00111BA1"/>
    <w:rsid w:val="00111DDF"/>
    <w:rsid w:val="001138C3"/>
    <w:rsid w:val="00114BF7"/>
    <w:rsid w:val="00115764"/>
    <w:rsid w:val="00115C7E"/>
    <w:rsid w:val="001162C9"/>
    <w:rsid w:val="0012094F"/>
    <w:rsid w:val="00120DF8"/>
    <w:rsid w:val="00121069"/>
    <w:rsid w:val="001217F6"/>
    <w:rsid w:val="001218A9"/>
    <w:rsid w:val="0012338D"/>
    <w:rsid w:val="001233E1"/>
    <w:rsid w:val="00125015"/>
    <w:rsid w:val="001258BB"/>
    <w:rsid w:val="00126739"/>
    <w:rsid w:val="00127596"/>
    <w:rsid w:val="00127DF9"/>
    <w:rsid w:val="00130192"/>
    <w:rsid w:val="001316B0"/>
    <w:rsid w:val="00132E13"/>
    <w:rsid w:val="00134828"/>
    <w:rsid w:val="00134DC7"/>
    <w:rsid w:val="00134DFC"/>
    <w:rsid w:val="00136F84"/>
    <w:rsid w:val="001376A4"/>
    <w:rsid w:val="00137B7B"/>
    <w:rsid w:val="00141C06"/>
    <w:rsid w:val="00141C9A"/>
    <w:rsid w:val="00142D27"/>
    <w:rsid w:val="00143187"/>
    <w:rsid w:val="00143362"/>
    <w:rsid w:val="001440DA"/>
    <w:rsid w:val="00144CC9"/>
    <w:rsid w:val="00145B9D"/>
    <w:rsid w:val="00145DF0"/>
    <w:rsid w:val="00145FB4"/>
    <w:rsid w:val="001469F7"/>
    <w:rsid w:val="001479CB"/>
    <w:rsid w:val="001508F8"/>
    <w:rsid w:val="001525EE"/>
    <w:rsid w:val="001548E2"/>
    <w:rsid w:val="0015491F"/>
    <w:rsid w:val="00154AD3"/>
    <w:rsid w:val="00154D80"/>
    <w:rsid w:val="00154E4E"/>
    <w:rsid w:val="001551C6"/>
    <w:rsid w:val="00155385"/>
    <w:rsid w:val="00155DA2"/>
    <w:rsid w:val="00161909"/>
    <w:rsid w:val="001619F9"/>
    <w:rsid w:val="0016269C"/>
    <w:rsid w:val="0016346F"/>
    <w:rsid w:val="0016358C"/>
    <w:rsid w:val="00163CB3"/>
    <w:rsid w:val="00163E6A"/>
    <w:rsid w:val="00166A4A"/>
    <w:rsid w:val="00166B06"/>
    <w:rsid w:val="00171C56"/>
    <w:rsid w:val="00171E8A"/>
    <w:rsid w:val="00171F73"/>
    <w:rsid w:val="00172BEB"/>
    <w:rsid w:val="00173645"/>
    <w:rsid w:val="00173CFB"/>
    <w:rsid w:val="00175582"/>
    <w:rsid w:val="00177958"/>
    <w:rsid w:val="0018058C"/>
    <w:rsid w:val="001805F6"/>
    <w:rsid w:val="00180E6C"/>
    <w:rsid w:val="00181076"/>
    <w:rsid w:val="00181659"/>
    <w:rsid w:val="001826E8"/>
    <w:rsid w:val="0018312F"/>
    <w:rsid w:val="0018422D"/>
    <w:rsid w:val="00184B81"/>
    <w:rsid w:val="00184D2A"/>
    <w:rsid w:val="00185B6B"/>
    <w:rsid w:val="001865F5"/>
    <w:rsid w:val="0018696D"/>
    <w:rsid w:val="00187AE3"/>
    <w:rsid w:val="001906D4"/>
    <w:rsid w:val="00190DF9"/>
    <w:rsid w:val="00191AE6"/>
    <w:rsid w:val="00193051"/>
    <w:rsid w:val="0019496B"/>
    <w:rsid w:val="00194DBB"/>
    <w:rsid w:val="001958F4"/>
    <w:rsid w:val="00195CA5"/>
    <w:rsid w:val="00195E74"/>
    <w:rsid w:val="0019645A"/>
    <w:rsid w:val="001967CB"/>
    <w:rsid w:val="001A2724"/>
    <w:rsid w:val="001A27BC"/>
    <w:rsid w:val="001A3477"/>
    <w:rsid w:val="001A4C6B"/>
    <w:rsid w:val="001A565B"/>
    <w:rsid w:val="001A5773"/>
    <w:rsid w:val="001A5876"/>
    <w:rsid w:val="001A5956"/>
    <w:rsid w:val="001A7742"/>
    <w:rsid w:val="001B02DB"/>
    <w:rsid w:val="001B0808"/>
    <w:rsid w:val="001B1743"/>
    <w:rsid w:val="001B24B7"/>
    <w:rsid w:val="001B2F89"/>
    <w:rsid w:val="001B494D"/>
    <w:rsid w:val="001B4BFF"/>
    <w:rsid w:val="001B4DF5"/>
    <w:rsid w:val="001B54AC"/>
    <w:rsid w:val="001B553E"/>
    <w:rsid w:val="001B6B57"/>
    <w:rsid w:val="001B7544"/>
    <w:rsid w:val="001C0224"/>
    <w:rsid w:val="001C1476"/>
    <w:rsid w:val="001C206F"/>
    <w:rsid w:val="001C2877"/>
    <w:rsid w:val="001C2DC3"/>
    <w:rsid w:val="001C4259"/>
    <w:rsid w:val="001C4547"/>
    <w:rsid w:val="001C5FD1"/>
    <w:rsid w:val="001C6799"/>
    <w:rsid w:val="001C751C"/>
    <w:rsid w:val="001D0C1D"/>
    <w:rsid w:val="001D1DC5"/>
    <w:rsid w:val="001D1E9F"/>
    <w:rsid w:val="001D2030"/>
    <w:rsid w:val="001D25CF"/>
    <w:rsid w:val="001D2E1E"/>
    <w:rsid w:val="001D435F"/>
    <w:rsid w:val="001D55D0"/>
    <w:rsid w:val="001D5937"/>
    <w:rsid w:val="001D7361"/>
    <w:rsid w:val="001D7A22"/>
    <w:rsid w:val="001E01FE"/>
    <w:rsid w:val="001E0470"/>
    <w:rsid w:val="001E130D"/>
    <w:rsid w:val="001E142D"/>
    <w:rsid w:val="001E1A7A"/>
    <w:rsid w:val="001E35A5"/>
    <w:rsid w:val="001E38B9"/>
    <w:rsid w:val="001E53B8"/>
    <w:rsid w:val="001E6BE1"/>
    <w:rsid w:val="001E79AC"/>
    <w:rsid w:val="001E7EDC"/>
    <w:rsid w:val="001F001F"/>
    <w:rsid w:val="001F09CB"/>
    <w:rsid w:val="001F14E7"/>
    <w:rsid w:val="001F23BE"/>
    <w:rsid w:val="001F2EAA"/>
    <w:rsid w:val="001F3A2B"/>
    <w:rsid w:val="001F3E00"/>
    <w:rsid w:val="001F4AA6"/>
    <w:rsid w:val="001F4F42"/>
    <w:rsid w:val="001F599C"/>
    <w:rsid w:val="001F61D7"/>
    <w:rsid w:val="001F6854"/>
    <w:rsid w:val="001F6A5A"/>
    <w:rsid w:val="002002C2"/>
    <w:rsid w:val="002005DD"/>
    <w:rsid w:val="002009CA"/>
    <w:rsid w:val="00200FB3"/>
    <w:rsid w:val="00201450"/>
    <w:rsid w:val="00203B65"/>
    <w:rsid w:val="002046EB"/>
    <w:rsid w:val="00205291"/>
    <w:rsid w:val="00205EAF"/>
    <w:rsid w:val="00206405"/>
    <w:rsid w:val="00206778"/>
    <w:rsid w:val="00206954"/>
    <w:rsid w:val="00206D29"/>
    <w:rsid w:val="00206EA1"/>
    <w:rsid w:val="0020742E"/>
    <w:rsid w:val="00207C29"/>
    <w:rsid w:val="00210A52"/>
    <w:rsid w:val="00210D7D"/>
    <w:rsid w:val="00210FAC"/>
    <w:rsid w:val="0021108F"/>
    <w:rsid w:val="002116E8"/>
    <w:rsid w:val="0021176D"/>
    <w:rsid w:val="00211B47"/>
    <w:rsid w:val="00211D72"/>
    <w:rsid w:val="00212332"/>
    <w:rsid w:val="00212DFC"/>
    <w:rsid w:val="00215F8A"/>
    <w:rsid w:val="002166E7"/>
    <w:rsid w:val="0022029A"/>
    <w:rsid w:val="00221432"/>
    <w:rsid w:val="002217C0"/>
    <w:rsid w:val="002219BB"/>
    <w:rsid w:val="0022274E"/>
    <w:rsid w:val="00223C2E"/>
    <w:rsid w:val="0022429C"/>
    <w:rsid w:val="00224909"/>
    <w:rsid w:val="00225816"/>
    <w:rsid w:val="002260BC"/>
    <w:rsid w:val="002261E2"/>
    <w:rsid w:val="0022756A"/>
    <w:rsid w:val="0022787F"/>
    <w:rsid w:val="00227D33"/>
    <w:rsid w:val="00230AB4"/>
    <w:rsid w:val="00230AE2"/>
    <w:rsid w:val="002321FB"/>
    <w:rsid w:val="00232CEB"/>
    <w:rsid w:val="00232E0B"/>
    <w:rsid w:val="0023334F"/>
    <w:rsid w:val="00233427"/>
    <w:rsid w:val="002338A7"/>
    <w:rsid w:val="002348D4"/>
    <w:rsid w:val="00235C46"/>
    <w:rsid w:val="002362E7"/>
    <w:rsid w:val="0023658D"/>
    <w:rsid w:val="002371C6"/>
    <w:rsid w:val="00240F25"/>
    <w:rsid w:val="002410D4"/>
    <w:rsid w:val="002423B3"/>
    <w:rsid w:val="002429C0"/>
    <w:rsid w:val="002432BC"/>
    <w:rsid w:val="00243BB6"/>
    <w:rsid w:val="002442B0"/>
    <w:rsid w:val="00244A08"/>
    <w:rsid w:val="002457F6"/>
    <w:rsid w:val="0024633C"/>
    <w:rsid w:val="002463DA"/>
    <w:rsid w:val="00246BA8"/>
    <w:rsid w:val="00246F36"/>
    <w:rsid w:val="0024743F"/>
    <w:rsid w:val="0024787C"/>
    <w:rsid w:val="00247987"/>
    <w:rsid w:val="002479F0"/>
    <w:rsid w:val="00247C1C"/>
    <w:rsid w:val="00247E6C"/>
    <w:rsid w:val="00252B31"/>
    <w:rsid w:val="00252DD2"/>
    <w:rsid w:val="0025345F"/>
    <w:rsid w:val="0025379A"/>
    <w:rsid w:val="002549C0"/>
    <w:rsid w:val="002559B9"/>
    <w:rsid w:val="00255EA8"/>
    <w:rsid w:val="002562BB"/>
    <w:rsid w:val="00256501"/>
    <w:rsid w:val="00260A03"/>
    <w:rsid w:val="002611D0"/>
    <w:rsid w:val="002615E5"/>
    <w:rsid w:val="00261EDC"/>
    <w:rsid w:val="002623F0"/>
    <w:rsid w:val="00262992"/>
    <w:rsid w:val="002630A8"/>
    <w:rsid w:val="002635FB"/>
    <w:rsid w:val="002651C7"/>
    <w:rsid w:val="00265A3D"/>
    <w:rsid w:val="00265B62"/>
    <w:rsid w:val="00265E05"/>
    <w:rsid w:val="0026681D"/>
    <w:rsid w:val="002706B4"/>
    <w:rsid w:val="00272453"/>
    <w:rsid w:val="0027461F"/>
    <w:rsid w:val="00274665"/>
    <w:rsid w:val="002756F1"/>
    <w:rsid w:val="0027745E"/>
    <w:rsid w:val="00277D58"/>
    <w:rsid w:val="002805FC"/>
    <w:rsid w:val="002808E2"/>
    <w:rsid w:val="00281762"/>
    <w:rsid w:val="00281B80"/>
    <w:rsid w:val="00283078"/>
    <w:rsid w:val="00283197"/>
    <w:rsid w:val="002837D4"/>
    <w:rsid w:val="002839AB"/>
    <w:rsid w:val="00284058"/>
    <w:rsid w:val="00285217"/>
    <w:rsid w:val="00285995"/>
    <w:rsid w:val="00285F78"/>
    <w:rsid w:val="0028625D"/>
    <w:rsid w:val="00286B3A"/>
    <w:rsid w:val="00287235"/>
    <w:rsid w:val="00287694"/>
    <w:rsid w:val="00287CD8"/>
    <w:rsid w:val="002910D9"/>
    <w:rsid w:val="00291225"/>
    <w:rsid w:val="00291A92"/>
    <w:rsid w:val="0029265C"/>
    <w:rsid w:val="002927B9"/>
    <w:rsid w:val="00292F48"/>
    <w:rsid w:val="00293AE5"/>
    <w:rsid w:val="00294873"/>
    <w:rsid w:val="00294966"/>
    <w:rsid w:val="00294A52"/>
    <w:rsid w:val="00294C83"/>
    <w:rsid w:val="00295CF0"/>
    <w:rsid w:val="00295E0D"/>
    <w:rsid w:val="00296C28"/>
    <w:rsid w:val="00296CF3"/>
    <w:rsid w:val="00297178"/>
    <w:rsid w:val="00297517"/>
    <w:rsid w:val="002A0838"/>
    <w:rsid w:val="002A0910"/>
    <w:rsid w:val="002A1661"/>
    <w:rsid w:val="002A2915"/>
    <w:rsid w:val="002A341B"/>
    <w:rsid w:val="002A3847"/>
    <w:rsid w:val="002A3A1D"/>
    <w:rsid w:val="002A3E4F"/>
    <w:rsid w:val="002A3E8C"/>
    <w:rsid w:val="002A4034"/>
    <w:rsid w:val="002A7997"/>
    <w:rsid w:val="002A7A2C"/>
    <w:rsid w:val="002B0846"/>
    <w:rsid w:val="002B2B4D"/>
    <w:rsid w:val="002B34D7"/>
    <w:rsid w:val="002B34FC"/>
    <w:rsid w:val="002B39C0"/>
    <w:rsid w:val="002B39D6"/>
    <w:rsid w:val="002B537C"/>
    <w:rsid w:val="002B55C8"/>
    <w:rsid w:val="002B5A62"/>
    <w:rsid w:val="002B7937"/>
    <w:rsid w:val="002B7B1E"/>
    <w:rsid w:val="002B7F9D"/>
    <w:rsid w:val="002C0024"/>
    <w:rsid w:val="002C03CA"/>
    <w:rsid w:val="002C0485"/>
    <w:rsid w:val="002C04AD"/>
    <w:rsid w:val="002C0E3D"/>
    <w:rsid w:val="002C137A"/>
    <w:rsid w:val="002C1AFF"/>
    <w:rsid w:val="002C20B5"/>
    <w:rsid w:val="002C267D"/>
    <w:rsid w:val="002C2862"/>
    <w:rsid w:val="002C3F36"/>
    <w:rsid w:val="002C472D"/>
    <w:rsid w:val="002C473A"/>
    <w:rsid w:val="002C4830"/>
    <w:rsid w:val="002C485B"/>
    <w:rsid w:val="002C5455"/>
    <w:rsid w:val="002C5D18"/>
    <w:rsid w:val="002C6D32"/>
    <w:rsid w:val="002C73E9"/>
    <w:rsid w:val="002C7596"/>
    <w:rsid w:val="002D1EF8"/>
    <w:rsid w:val="002D31A8"/>
    <w:rsid w:val="002D4377"/>
    <w:rsid w:val="002D5173"/>
    <w:rsid w:val="002D548B"/>
    <w:rsid w:val="002D54D8"/>
    <w:rsid w:val="002D5B22"/>
    <w:rsid w:val="002D5C05"/>
    <w:rsid w:val="002D6752"/>
    <w:rsid w:val="002E05BF"/>
    <w:rsid w:val="002E0C93"/>
    <w:rsid w:val="002E3F1A"/>
    <w:rsid w:val="002E466B"/>
    <w:rsid w:val="002E491B"/>
    <w:rsid w:val="002E517F"/>
    <w:rsid w:val="002E5D73"/>
    <w:rsid w:val="002E682B"/>
    <w:rsid w:val="002E720E"/>
    <w:rsid w:val="002E79E4"/>
    <w:rsid w:val="002F0AC2"/>
    <w:rsid w:val="002F0EC4"/>
    <w:rsid w:val="002F1619"/>
    <w:rsid w:val="002F17D1"/>
    <w:rsid w:val="002F2B7D"/>
    <w:rsid w:val="002F2F28"/>
    <w:rsid w:val="002F2FDF"/>
    <w:rsid w:val="002F38C6"/>
    <w:rsid w:val="002F5369"/>
    <w:rsid w:val="002F53E5"/>
    <w:rsid w:val="002F6675"/>
    <w:rsid w:val="002F6B1E"/>
    <w:rsid w:val="0030067E"/>
    <w:rsid w:val="00301F90"/>
    <w:rsid w:val="003023BD"/>
    <w:rsid w:val="00302B7B"/>
    <w:rsid w:val="003042BD"/>
    <w:rsid w:val="0030581C"/>
    <w:rsid w:val="003071B4"/>
    <w:rsid w:val="00310C2B"/>
    <w:rsid w:val="00311C44"/>
    <w:rsid w:val="003147F1"/>
    <w:rsid w:val="0031522D"/>
    <w:rsid w:val="003159CB"/>
    <w:rsid w:val="00315E5D"/>
    <w:rsid w:val="00317081"/>
    <w:rsid w:val="00317408"/>
    <w:rsid w:val="00317A6B"/>
    <w:rsid w:val="0032062D"/>
    <w:rsid w:val="00320EA9"/>
    <w:rsid w:val="00321F6A"/>
    <w:rsid w:val="003220AC"/>
    <w:rsid w:val="0032312D"/>
    <w:rsid w:val="003237AE"/>
    <w:rsid w:val="00323A19"/>
    <w:rsid w:val="00323B34"/>
    <w:rsid w:val="00324597"/>
    <w:rsid w:val="003246E7"/>
    <w:rsid w:val="003251D1"/>
    <w:rsid w:val="00325562"/>
    <w:rsid w:val="00325E6C"/>
    <w:rsid w:val="00327104"/>
    <w:rsid w:val="003273CC"/>
    <w:rsid w:val="003300A8"/>
    <w:rsid w:val="0033050A"/>
    <w:rsid w:val="00330A22"/>
    <w:rsid w:val="00331DD7"/>
    <w:rsid w:val="003337A5"/>
    <w:rsid w:val="00334AA2"/>
    <w:rsid w:val="00335682"/>
    <w:rsid w:val="00335749"/>
    <w:rsid w:val="0033613D"/>
    <w:rsid w:val="0033629D"/>
    <w:rsid w:val="003376D6"/>
    <w:rsid w:val="0034010C"/>
    <w:rsid w:val="003402A1"/>
    <w:rsid w:val="00340505"/>
    <w:rsid w:val="00340677"/>
    <w:rsid w:val="00340ECA"/>
    <w:rsid w:val="00341C6E"/>
    <w:rsid w:val="00342520"/>
    <w:rsid w:val="003432C4"/>
    <w:rsid w:val="00344EAC"/>
    <w:rsid w:val="00346056"/>
    <w:rsid w:val="00346727"/>
    <w:rsid w:val="003479F5"/>
    <w:rsid w:val="00347E14"/>
    <w:rsid w:val="00350EA6"/>
    <w:rsid w:val="003526B1"/>
    <w:rsid w:val="00352AB9"/>
    <w:rsid w:val="00352CD7"/>
    <w:rsid w:val="00352EC6"/>
    <w:rsid w:val="00353382"/>
    <w:rsid w:val="003540FD"/>
    <w:rsid w:val="003542B5"/>
    <w:rsid w:val="00354843"/>
    <w:rsid w:val="00355F17"/>
    <w:rsid w:val="0035622E"/>
    <w:rsid w:val="0035626E"/>
    <w:rsid w:val="00357424"/>
    <w:rsid w:val="0035747D"/>
    <w:rsid w:val="003612B9"/>
    <w:rsid w:val="00361A43"/>
    <w:rsid w:val="003623B2"/>
    <w:rsid w:val="00362F24"/>
    <w:rsid w:val="0036424B"/>
    <w:rsid w:val="00365546"/>
    <w:rsid w:val="00366530"/>
    <w:rsid w:val="003670D0"/>
    <w:rsid w:val="003678A8"/>
    <w:rsid w:val="00370528"/>
    <w:rsid w:val="00370F48"/>
    <w:rsid w:val="00370F74"/>
    <w:rsid w:val="0037222A"/>
    <w:rsid w:val="0037239A"/>
    <w:rsid w:val="00372790"/>
    <w:rsid w:val="0037486A"/>
    <w:rsid w:val="0037496B"/>
    <w:rsid w:val="0037534C"/>
    <w:rsid w:val="003755C4"/>
    <w:rsid w:val="00375A31"/>
    <w:rsid w:val="00376AAA"/>
    <w:rsid w:val="00376DF9"/>
    <w:rsid w:val="003778D0"/>
    <w:rsid w:val="003814FB"/>
    <w:rsid w:val="00381619"/>
    <w:rsid w:val="00381F90"/>
    <w:rsid w:val="00382079"/>
    <w:rsid w:val="003825C6"/>
    <w:rsid w:val="0038369F"/>
    <w:rsid w:val="003836BF"/>
    <w:rsid w:val="00384096"/>
    <w:rsid w:val="00384647"/>
    <w:rsid w:val="00386503"/>
    <w:rsid w:val="00386CBE"/>
    <w:rsid w:val="00390772"/>
    <w:rsid w:val="00390E4E"/>
    <w:rsid w:val="003919F0"/>
    <w:rsid w:val="00391CC0"/>
    <w:rsid w:val="00393031"/>
    <w:rsid w:val="00393B13"/>
    <w:rsid w:val="00393E06"/>
    <w:rsid w:val="00393F1C"/>
    <w:rsid w:val="003944D3"/>
    <w:rsid w:val="003949E5"/>
    <w:rsid w:val="003953AB"/>
    <w:rsid w:val="003953CB"/>
    <w:rsid w:val="00395413"/>
    <w:rsid w:val="0039542F"/>
    <w:rsid w:val="00396BE7"/>
    <w:rsid w:val="00397CB8"/>
    <w:rsid w:val="003A03E9"/>
    <w:rsid w:val="003A18F6"/>
    <w:rsid w:val="003A23FD"/>
    <w:rsid w:val="003A2AC4"/>
    <w:rsid w:val="003A412A"/>
    <w:rsid w:val="003A4DC1"/>
    <w:rsid w:val="003A570C"/>
    <w:rsid w:val="003A5715"/>
    <w:rsid w:val="003A7134"/>
    <w:rsid w:val="003A79BB"/>
    <w:rsid w:val="003B0783"/>
    <w:rsid w:val="003B1122"/>
    <w:rsid w:val="003B2187"/>
    <w:rsid w:val="003B23CB"/>
    <w:rsid w:val="003B36B2"/>
    <w:rsid w:val="003B3A1E"/>
    <w:rsid w:val="003B59F2"/>
    <w:rsid w:val="003C0861"/>
    <w:rsid w:val="003C0D15"/>
    <w:rsid w:val="003C163F"/>
    <w:rsid w:val="003C1DED"/>
    <w:rsid w:val="003C2A82"/>
    <w:rsid w:val="003C3789"/>
    <w:rsid w:val="003C3B9C"/>
    <w:rsid w:val="003C4DBC"/>
    <w:rsid w:val="003C68B6"/>
    <w:rsid w:val="003C70C3"/>
    <w:rsid w:val="003D0133"/>
    <w:rsid w:val="003D0C6D"/>
    <w:rsid w:val="003D12C2"/>
    <w:rsid w:val="003D1E2D"/>
    <w:rsid w:val="003D20BE"/>
    <w:rsid w:val="003D3C27"/>
    <w:rsid w:val="003D3C79"/>
    <w:rsid w:val="003D50D0"/>
    <w:rsid w:val="003D5B0E"/>
    <w:rsid w:val="003E0761"/>
    <w:rsid w:val="003E16BC"/>
    <w:rsid w:val="003E3CB5"/>
    <w:rsid w:val="003E4C74"/>
    <w:rsid w:val="003E4E85"/>
    <w:rsid w:val="003E4FBA"/>
    <w:rsid w:val="003E59F7"/>
    <w:rsid w:val="003E631F"/>
    <w:rsid w:val="003E7091"/>
    <w:rsid w:val="003E7095"/>
    <w:rsid w:val="003F02CF"/>
    <w:rsid w:val="003F11A6"/>
    <w:rsid w:val="003F2174"/>
    <w:rsid w:val="003F2B75"/>
    <w:rsid w:val="003F2E47"/>
    <w:rsid w:val="003F2E4A"/>
    <w:rsid w:val="003F3E16"/>
    <w:rsid w:val="003F41C9"/>
    <w:rsid w:val="003F4981"/>
    <w:rsid w:val="003F545C"/>
    <w:rsid w:val="003F765A"/>
    <w:rsid w:val="004001AA"/>
    <w:rsid w:val="00401D12"/>
    <w:rsid w:val="0040496D"/>
    <w:rsid w:val="00404D0D"/>
    <w:rsid w:val="00406ECA"/>
    <w:rsid w:val="0041008F"/>
    <w:rsid w:val="004100FB"/>
    <w:rsid w:val="004109B2"/>
    <w:rsid w:val="00410B8D"/>
    <w:rsid w:val="004127D3"/>
    <w:rsid w:val="00414016"/>
    <w:rsid w:val="004150A3"/>
    <w:rsid w:val="00415C84"/>
    <w:rsid w:val="0041684C"/>
    <w:rsid w:val="00417C25"/>
    <w:rsid w:val="00417C99"/>
    <w:rsid w:val="00421522"/>
    <w:rsid w:val="00421741"/>
    <w:rsid w:val="00423EE9"/>
    <w:rsid w:val="004246F4"/>
    <w:rsid w:val="00424E7F"/>
    <w:rsid w:val="004261FD"/>
    <w:rsid w:val="00430A55"/>
    <w:rsid w:val="004310B1"/>
    <w:rsid w:val="00431107"/>
    <w:rsid w:val="0043141A"/>
    <w:rsid w:val="00433809"/>
    <w:rsid w:val="00434570"/>
    <w:rsid w:val="00434979"/>
    <w:rsid w:val="004350E5"/>
    <w:rsid w:val="0043576A"/>
    <w:rsid w:val="0043655B"/>
    <w:rsid w:val="00436C0E"/>
    <w:rsid w:val="00437B9E"/>
    <w:rsid w:val="00437BB3"/>
    <w:rsid w:val="00440DDF"/>
    <w:rsid w:val="00441753"/>
    <w:rsid w:val="00441C81"/>
    <w:rsid w:val="0044299F"/>
    <w:rsid w:val="004432E3"/>
    <w:rsid w:val="00443A5F"/>
    <w:rsid w:val="004449B6"/>
    <w:rsid w:val="00445A3B"/>
    <w:rsid w:val="00446380"/>
    <w:rsid w:val="00451610"/>
    <w:rsid w:val="004548FC"/>
    <w:rsid w:val="004557E1"/>
    <w:rsid w:val="00457473"/>
    <w:rsid w:val="00457A44"/>
    <w:rsid w:val="00461C16"/>
    <w:rsid w:val="00462804"/>
    <w:rsid w:val="00462A68"/>
    <w:rsid w:val="004630D3"/>
    <w:rsid w:val="00463253"/>
    <w:rsid w:val="004635E9"/>
    <w:rsid w:val="00464BF9"/>
    <w:rsid w:val="004659AA"/>
    <w:rsid w:val="00466C69"/>
    <w:rsid w:val="004671DE"/>
    <w:rsid w:val="0047031F"/>
    <w:rsid w:val="00470328"/>
    <w:rsid w:val="0047048C"/>
    <w:rsid w:val="0047185A"/>
    <w:rsid w:val="00472131"/>
    <w:rsid w:val="00474FC9"/>
    <w:rsid w:val="00475239"/>
    <w:rsid w:val="00480CA5"/>
    <w:rsid w:val="00481378"/>
    <w:rsid w:val="00482283"/>
    <w:rsid w:val="004826BB"/>
    <w:rsid w:val="004835F1"/>
    <w:rsid w:val="00483A0E"/>
    <w:rsid w:val="004852D2"/>
    <w:rsid w:val="00485FE2"/>
    <w:rsid w:val="00486C8B"/>
    <w:rsid w:val="00486D72"/>
    <w:rsid w:val="00486FE8"/>
    <w:rsid w:val="00487481"/>
    <w:rsid w:val="00491CB6"/>
    <w:rsid w:val="00492D95"/>
    <w:rsid w:val="00493058"/>
    <w:rsid w:val="004938EF"/>
    <w:rsid w:val="00494CFA"/>
    <w:rsid w:val="0049651C"/>
    <w:rsid w:val="00496B0D"/>
    <w:rsid w:val="0049755B"/>
    <w:rsid w:val="00497907"/>
    <w:rsid w:val="004979F9"/>
    <w:rsid w:val="004A0353"/>
    <w:rsid w:val="004A13E4"/>
    <w:rsid w:val="004A24E5"/>
    <w:rsid w:val="004A2868"/>
    <w:rsid w:val="004A3508"/>
    <w:rsid w:val="004A36F1"/>
    <w:rsid w:val="004A3DE9"/>
    <w:rsid w:val="004A4B2A"/>
    <w:rsid w:val="004A5011"/>
    <w:rsid w:val="004A593D"/>
    <w:rsid w:val="004A5AD2"/>
    <w:rsid w:val="004A5B5C"/>
    <w:rsid w:val="004A5E3C"/>
    <w:rsid w:val="004A7260"/>
    <w:rsid w:val="004A7860"/>
    <w:rsid w:val="004A7C45"/>
    <w:rsid w:val="004B0283"/>
    <w:rsid w:val="004B1D0A"/>
    <w:rsid w:val="004B2BBD"/>
    <w:rsid w:val="004B3083"/>
    <w:rsid w:val="004B4078"/>
    <w:rsid w:val="004B59BE"/>
    <w:rsid w:val="004B64C7"/>
    <w:rsid w:val="004B7464"/>
    <w:rsid w:val="004C1A79"/>
    <w:rsid w:val="004C5AC7"/>
    <w:rsid w:val="004C5D00"/>
    <w:rsid w:val="004C647C"/>
    <w:rsid w:val="004D0385"/>
    <w:rsid w:val="004D1BA2"/>
    <w:rsid w:val="004D2554"/>
    <w:rsid w:val="004D289B"/>
    <w:rsid w:val="004D2B88"/>
    <w:rsid w:val="004D33A5"/>
    <w:rsid w:val="004D34D7"/>
    <w:rsid w:val="004D365C"/>
    <w:rsid w:val="004D4ADB"/>
    <w:rsid w:val="004D4EEC"/>
    <w:rsid w:val="004D7022"/>
    <w:rsid w:val="004D706D"/>
    <w:rsid w:val="004D7AF7"/>
    <w:rsid w:val="004E00E1"/>
    <w:rsid w:val="004E074D"/>
    <w:rsid w:val="004E15DE"/>
    <w:rsid w:val="004E1F21"/>
    <w:rsid w:val="004E2842"/>
    <w:rsid w:val="004E2A1F"/>
    <w:rsid w:val="004E3064"/>
    <w:rsid w:val="004E316B"/>
    <w:rsid w:val="004E4001"/>
    <w:rsid w:val="004E47D7"/>
    <w:rsid w:val="004E4960"/>
    <w:rsid w:val="004E5863"/>
    <w:rsid w:val="004E6254"/>
    <w:rsid w:val="004E66DD"/>
    <w:rsid w:val="004E7143"/>
    <w:rsid w:val="004F1939"/>
    <w:rsid w:val="004F1AEF"/>
    <w:rsid w:val="004F249A"/>
    <w:rsid w:val="004F29E9"/>
    <w:rsid w:val="004F30E7"/>
    <w:rsid w:val="004F48B8"/>
    <w:rsid w:val="004F5F36"/>
    <w:rsid w:val="004F6543"/>
    <w:rsid w:val="004F6BD2"/>
    <w:rsid w:val="0050035C"/>
    <w:rsid w:val="00500CE0"/>
    <w:rsid w:val="0050140C"/>
    <w:rsid w:val="00501601"/>
    <w:rsid w:val="00504A9D"/>
    <w:rsid w:val="005054FF"/>
    <w:rsid w:val="00506D78"/>
    <w:rsid w:val="00506F7B"/>
    <w:rsid w:val="00507BAD"/>
    <w:rsid w:val="005103E2"/>
    <w:rsid w:val="00510406"/>
    <w:rsid w:val="0051043E"/>
    <w:rsid w:val="00510D74"/>
    <w:rsid w:val="0051111C"/>
    <w:rsid w:val="005112F4"/>
    <w:rsid w:val="00511B61"/>
    <w:rsid w:val="0051305F"/>
    <w:rsid w:val="00513250"/>
    <w:rsid w:val="005137FB"/>
    <w:rsid w:val="005139D7"/>
    <w:rsid w:val="005142C4"/>
    <w:rsid w:val="00514868"/>
    <w:rsid w:val="00515784"/>
    <w:rsid w:val="00516F75"/>
    <w:rsid w:val="0052021F"/>
    <w:rsid w:val="00520482"/>
    <w:rsid w:val="00521058"/>
    <w:rsid w:val="00523974"/>
    <w:rsid w:val="005248B8"/>
    <w:rsid w:val="005250A5"/>
    <w:rsid w:val="005252D8"/>
    <w:rsid w:val="0052565B"/>
    <w:rsid w:val="00526108"/>
    <w:rsid w:val="00526309"/>
    <w:rsid w:val="005271FF"/>
    <w:rsid w:val="0053064D"/>
    <w:rsid w:val="00530B2F"/>
    <w:rsid w:val="00531574"/>
    <w:rsid w:val="00532221"/>
    <w:rsid w:val="00532B7B"/>
    <w:rsid w:val="00534D3D"/>
    <w:rsid w:val="005356DA"/>
    <w:rsid w:val="00535B0B"/>
    <w:rsid w:val="005364ED"/>
    <w:rsid w:val="00536722"/>
    <w:rsid w:val="00536D8B"/>
    <w:rsid w:val="00536EFD"/>
    <w:rsid w:val="0053725D"/>
    <w:rsid w:val="00543293"/>
    <w:rsid w:val="00543FBA"/>
    <w:rsid w:val="00544086"/>
    <w:rsid w:val="00544192"/>
    <w:rsid w:val="00544576"/>
    <w:rsid w:val="00544736"/>
    <w:rsid w:val="0054500B"/>
    <w:rsid w:val="005458FD"/>
    <w:rsid w:val="00546A57"/>
    <w:rsid w:val="005472A6"/>
    <w:rsid w:val="00547714"/>
    <w:rsid w:val="005522AC"/>
    <w:rsid w:val="005527F8"/>
    <w:rsid w:val="00552DFE"/>
    <w:rsid w:val="00554B14"/>
    <w:rsid w:val="005554ED"/>
    <w:rsid w:val="00555E6A"/>
    <w:rsid w:val="00555F8A"/>
    <w:rsid w:val="005568CD"/>
    <w:rsid w:val="00556B82"/>
    <w:rsid w:val="00560AA7"/>
    <w:rsid w:val="005611CB"/>
    <w:rsid w:val="00561770"/>
    <w:rsid w:val="00561BBD"/>
    <w:rsid w:val="005620DB"/>
    <w:rsid w:val="0056229F"/>
    <w:rsid w:val="005622F5"/>
    <w:rsid w:val="00562DB1"/>
    <w:rsid w:val="005638E2"/>
    <w:rsid w:val="00563F80"/>
    <w:rsid w:val="00565269"/>
    <w:rsid w:val="00565616"/>
    <w:rsid w:val="0056600B"/>
    <w:rsid w:val="005667C1"/>
    <w:rsid w:val="0056693A"/>
    <w:rsid w:val="00566E4D"/>
    <w:rsid w:val="005678EF"/>
    <w:rsid w:val="00567F6F"/>
    <w:rsid w:val="00570548"/>
    <w:rsid w:val="00570D29"/>
    <w:rsid w:val="00570EE6"/>
    <w:rsid w:val="00571610"/>
    <w:rsid w:val="0057237D"/>
    <w:rsid w:val="00572CFC"/>
    <w:rsid w:val="00573B36"/>
    <w:rsid w:val="005765A2"/>
    <w:rsid w:val="00577F5F"/>
    <w:rsid w:val="005808FC"/>
    <w:rsid w:val="0058097F"/>
    <w:rsid w:val="00580A4E"/>
    <w:rsid w:val="00581EAE"/>
    <w:rsid w:val="00583110"/>
    <w:rsid w:val="00583893"/>
    <w:rsid w:val="00584346"/>
    <w:rsid w:val="0058440C"/>
    <w:rsid w:val="00585D53"/>
    <w:rsid w:val="005860AD"/>
    <w:rsid w:val="00586779"/>
    <w:rsid w:val="005917A2"/>
    <w:rsid w:val="005918DC"/>
    <w:rsid w:val="005919AB"/>
    <w:rsid w:val="005924D9"/>
    <w:rsid w:val="005925F7"/>
    <w:rsid w:val="00595E50"/>
    <w:rsid w:val="00597208"/>
    <w:rsid w:val="00597CDD"/>
    <w:rsid w:val="005A1DF2"/>
    <w:rsid w:val="005A30D6"/>
    <w:rsid w:val="005A3AEE"/>
    <w:rsid w:val="005A4438"/>
    <w:rsid w:val="005A5456"/>
    <w:rsid w:val="005A5DDB"/>
    <w:rsid w:val="005A678E"/>
    <w:rsid w:val="005A7239"/>
    <w:rsid w:val="005B095A"/>
    <w:rsid w:val="005B1BEE"/>
    <w:rsid w:val="005B1C10"/>
    <w:rsid w:val="005B235D"/>
    <w:rsid w:val="005B2517"/>
    <w:rsid w:val="005B321A"/>
    <w:rsid w:val="005B3AE2"/>
    <w:rsid w:val="005B69B7"/>
    <w:rsid w:val="005B69DA"/>
    <w:rsid w:val="005B6D15"/>
    <w:rsid w:val="005B7AAA"/>
    <w:rsid w:val="005C029C"/>
    <w:rsid w:val="005C0497"/>
    <w:rsid w:val="005C308E"/>
    <w:rsid w:val="005C437E"/>
    <w:rsid w:val="005C5815"/>
    <w:rsid w:val="005C5C58"/>
    <w:rsid w:val="005C621F"/>
    <w:rsid w:val="005C6A8C"/>
    <w:rsid w:val="005C6B30"/>
    <w:rsid w:val="005D0E97"/>
    <w:rsid w:val="005D0F1E"/>
    <w:rsid w:val="005D128A"/>
    <w:rsid w:val="005D5022"/>
    <w:rsid w:val="005D502D"/>
    <w:rsid w:val="005D5526"/>
    <w:rsid w:val="005D591E"/>
    <w:rsid w:val="005D6266"/>
    <w:rsid w:val="005E1898"/>
    <w:rsid w:val="005E2738"/>
    <w:rsid w:val="005E2961"/>
    <w:rsid w:val="005E2A1A"/>
    <w:rsid w:val="005E2F3D"/>
    <w:rsid w:val="005E3F35"/>
    <w:rsid w:val="005E4DCB"/>
    <w:rsid w:val="005E4F9A"/>
    <w:rsid w:val="005E5A20"/>
    <w:rsid w:val="005E6278"/>
    <w:rsid w:val="005E64BF"/>
    <w:rsid w:val="005E7F9C"/>
    <w:rsid w:val="005F0CD5"/>
    <w:rsid w:val="005F243A"/>
    <w:rsid w:val="005F2941"/>
    <w:rsid w:val="005F4538"/>
    <w:rsid w:val="005F4CF8"/>
    <w:rsid w:val="005F5163"/>
    <w:rsid w:val="005F52F6"/>
    <w:rsid w:val="005F6B2E"/>
    <w:rsid w:val="005F7B7D"/>
    <w:rsid w:val="005F7E5B"/>
    <w:rsid w:val="00600963"/>
    <w:rsid w:val="006016A2"/>
    <w:rsid w:val="00601BB6"/>
    <w:rsid w:val="00601EDE"/>
    <w:rsid w:val="006028EE"/>
    <w:rsid w:val="00603C86"/>
    <w:rsid w:val="006046EB"/>
    <w:rsid w:val="00604CA7"/>
    <w:rsid w:val="00605FC9"/>
    <w:rsid w:val="006060CA"/>
    <w:rsid w:val="00606B98"/>
    <w:rsid w:val="00607E66"/>
    <w:rsid w:val="00613442"/>
    <w:rsid w:val="00613E44"/>
    <w:rsid w:val="0061444B"/>
    <w:rsid w:val="006147B1"/>
    <w:rsid w:val="00617346"/>
    <w:rsid w:val="0061749F"/>
    <w:rsid w:val="00617FD0"/>
    <w:rsid w:val="006217AD"/>
    <w:rsid w:val="00621D4D"/>
    <w:rsid w:val="00622112"/>
    <w:rsid w:val="0062269E"/>
    <w:rsid w:val="006235C2"/>
    <w:rsid w:val="00624396"/>
    <w:rsid w:val="00624666"/>
    <w:rsid w:val="00625663"/>
    <w:rsid w:val="00625C3E"/>
    <w:rsid w:val="00626E13"/>
    <w:rsid w:val="00630122"/>
    <w:rsid w:val="00630DA0"/>
    <w:rsid w:val="0063122E"/>
    <w:rsid w:val="006316D4"/>
    <w:rsid w:val="00631963"/>
    <w:rsid w:val="006320F6"/>
    <w:rsid w:val="006332B1"/>
    <w:rsid w:val="00633F9E"/>
    <w:rsid w:val="00634183"/>
    <w:rsid w:val="00634986"/>
    <w:rsid w:val="00635397"/>
    <w:rsid w:val="00635845"/>
    <w:rsid w:val="00637229"/>
    <w:rsid w:val="00637E0A"/>
    <w:rsid w:val="006408C9"/>
    <w:rsid w:val="00641C87"/>
    <w:rsid w:val="0064252F"/>
    <w:rsid w:val="00642A3B"/>
    <w:rsid w:val="00643F99"/>
    <w:rsid w:val="006441E7"/>
    <w:rsid w:val="00644302"/>
    <w:rsid w:val="00644D1E"/>
    <w:rsid w:val="006455F0"/>
    <w:rsid w:val="00647DE1"/>
    <w:rsid w:val="00647F0B"/>
    <w:rsid w:val="00650115"/>
    <w:rsid w:val="006501F0"/>
    <w:rsid w:val="00650EA5"/>
    <w:rsid w:val="00652CF9"/>
    <w:rsid w:val="00653516"/>
    <w:rsid w:val="0065450E"/>
    <w:rsid w:val="00654E83"/>
    <w:rsid w:val="00656D2E"/>
    <w:rsid w:val="00657D46"/>
    <w:rsid w:val="0066049E"/>
    <w:rsid w:val="006608EA"/>
    <w:rsid w:val="00660BB4"/>
    <w:rsid w:val="00661C0E"/>
    <w:rsid w:val="00662289"/>
    <w:rsid w:val="00664ADB"/>
    <w:rsid w:val="00664B71"/>
    <w:rsid w:val="0066514A"/>
    <w:rsid w:val="006659CC"/>
    <w:rsid w:val="00665D6A"/>
    <w:rsid w:val="006662BE"/>
    <w:rsid w:val="00666AD2"/>
    <w:rsid w:val="00666E1D"/>
    <w:rsid w:val="00667BBC"/>
    <w:rsid w:val="0067070E"/>
    <w:rsid w:val="006721AA"/>
    <w:rsid w:val="006731D5"/>
    <w:rsid w:val="00673F83"/>
    <w:rsid w:val="006743ED"/>
    <w:rsid w:val="00674DCE"/>
    <w:rsid w:val="00675546"/>
    <w:rsid w:val="00675BAA"/>
    <w:rsid w:val="00675C97"/>
    <w:rsid w:val="00676329"/>
    <w:rsid w:val="00677083"/>
    <w:rsid w:val="00677C14"/>
    <w:rsid w:val="00677ED1"/>
    <w:rsid w:val="00677EF6"/>
    <w:rsid w:val="00677F5B"/>
    <w:rsid w:val="0068168D"/>
    <w:rsid w:val="00683973"/>
    <w:rsid w:val="00683A3C"/>
    <w:rsid w:val="0068415E"/>
    <w:rsid w:val="006852D8"/>
    <w:rsid w:val="006859FF"/>
    <w:rsid w:val="00685A84"/>
    <w:rsid w:val="00686C38"/>
    <w:rsid w:val="006876D4"/>
    <w:rsid w:val="006910BE"/>
    <w:rsid w:val="0069161A"/>
    <w:rsid w:val="0069173F"/>
    <w:rsid w:val="00691FE4"/>
    <w:rsid w:val="0069477A"/>
    <w:rsid w:val="00694C79"/>
    <w:rsid w:val="006960BC"/>
    <w:rsid w:val="006965BC"/>
    <w:rsid w:val="00696B14"/>
    <w:rsid w:val="00697838"/>
    <w:rsid w:val="006A0C10"/>
    <w:rsid w:val="006A0F1A"/>
    <w:rsid w:val="006A1125"/>
    <w:rsid w:val="006A1373"/>
    <w:rsid w:val="006A1B3E"/>
    <w:rsid w:val="006A2637"/>
    <w:rsid w:val="006A2BF2"/>
    <w:rsid w:val="006A3060"/>
    <w:rsid w:val="006A352D"/>
    <w:rsid w:val="006A50BE"/>
    <w:rsid w:val="006A55F2"/>
    <w:rsid w:val="006A6124"/>
    <w:rsid w:val="006A64BC"/>
    <w:rsid w:val="006A7139"/>
    <w:rsid w:val="006A7740"/>
    <w:rsid w:val="006B053E"/>
    <w:rsid w:val="006B262C"/>
    <w:rsid w:val="006B3103"/>
    <w:rsid w:val="006B39D7"/>
    <w:rsid w:val="006B3F7B"/>
    <w:rsid w:val="006B4053"/>
    <w:rsid w:val="006B4A3B"/>
    <w:rsid w:val="006B6150"/>
    <w:rsid w:val="006B6ABA"/>
    <w:rsid w:val="006B7C9D"/>
    <w:rsid w:val="006C0194"/>
    <w:rsid w:val="006C2FDB"/>
    <w:rsid w:val="006C45E4"/>
    <w:rsid w:val="006C49DB"/>
    <w:rsid w:val="006C6222"/>
    <w:rsid w:val="006C7C06"/>
    <w:rsid w:val="006D069F"/>
    <w:rsid w:val="006D0934"/>
    <w:rsid w:val="006D2DCB"/>
    <w:rsid w:val="006D2EA9"/>
    <w:rsid w:val="006D302C"/>
    <w:rsid w:val="006D346A"/>
    <w:rsid w:val="006D48EB"/>
    <w:rsid w:val="006D50D4"/>
    <w:rsid w:val="006D6997"/>
    <w:rsid w:val="006D6D91"/>
    <w:rsid w:val="006D703F"/>
    <w:rsid w:val="006D7949"/>
    <w:rsid w:val="006E06E3"/>
    <w:rsid w:val="006E0A88"/>
    <w:rsid w:val="006E21C0"/>
    <w:rsid w:val="006E32AE"/>
    <w:rsid w:val="006E4851"/>
    <w:rsid w:val="006E51D9"/>
    <w:rsid w:val="006E5330"/>
    <w:rsid w:val="006E57BC"/>
    <w:rsid w:val="006E5D06"/>
    <w:rsid w:val="006E60F3"/>
    <w:rsid w:val="006E6550"/>
    <w:rsid w:val="006E70BC"/>
    <w:rsid w:val="006E7284"/>
    <w:rsid w:val="006E7B81"/>
    <w:rsid w:val="006F0007"/>
    <w:rsid w:val="006F0096"/>
    <w:rsid w:val="006F2893"/>
    <w:rsid w:val="006F32DA"/>
    <w:rsid w:val="006F3D20"/>
    <w:rsid w:val="006F4618"/>
    <w:rsid w:val="006F5D58"/>
    <w:rsid w:val="006F5E7B"/>
    <w:rsid w:val="006F6CF9"/>
    <w:rsid w:val="00700448"/>
    <w:rsid w:val="00701368"/>
    <w:rsid w:val="0070230B"/>
    <w:rsid w:val="007029B6"/>
    <w:rsid w:val="00704702"/>
    <w:rsid w:val="00705A17"/>
    <w:rsid w:val="00706E0B"/>
    <w:rsid w:val="00706F59"/>
    <w:rsid w:val="00710105"/>
    <w:rsid w:val="0071069D"/>
    <w:rsid w:val="0071144C"/>
    <w:rsid w:val="00711E47"/>
    <w:rsid w:val="00712AC7"/>
    <w:rsid w:val="00713C36"/>
    <w:rsid w:val="00716A4B"/>
    <w:rsid w:val="00721316"/>
    <w:rsid w:val="00721651"/>
    <w:rsid w:val="00721B6A"/>
    <w:rsid w:val="00722B67"/>
    <w:rsid w:val="00722BA9"/>
    <w:rsid w:val="007230AC"/>
    <w:rsid w:val="007252CB"/>
    <w:rsid w:val="00725C37"/>
    <w:rsid w:val="00726953"/>
    <w:rsid w:val="00726BFB"/>
    <w:rsid w:val="007277A6"/>
    <w:rsid w:val="00730241"/>
    <w:rsid w:val="007305AE"/>
    <w:rsid w:val="007311E7"/>
    <w:rsid w:val="00731672"/>
    <w:rsid w:val="007320E4"/>
    <w:rsid w:val="007322A3"/>
    <w:rsid w:val="007332A7"/>
    <w:rsid w:val="007356AB"/>
    <w:rsid w:val="00735E7D"/>
    <w:rsid w:val="00736D6A"/>
    <w:rsid w:val="00740021"/>
    <w:rsid w:val="00740131"/>
    <w:rsid w:val="0074027A"/>
    <w:rsid w:val="00740595"/>
    <w:rsid w:val="00742DE0"/>
    <w:rsid w:val="0074323E"/>
    <w:rsid w:val="00744823"/>
    <w:rsid w:val="00745BD0"/>
    <w:rsid w:val="0074680D"/>
    <w:rsid w:val="00746B5A"/>
    <w:rsid w:val="00750A9D"/>
    <w:rsid w:val="00750B17"/>
    <w:rsid w:val="00750F7B"/>
    <w:rsid w:val="0075117B"/>
    <w:rsid w:val="00751572"/>
    <w:rsid w:val="00752568"/>
    <w:rsid w:val="0075289F"/>
    <w:rsid w:val="00752C94"/>
    <w:rsid w:val="00755C03"/>
    <w:rsid w:val="007564DF"/>
    <w:rsid w:val="007567C0"/>
    <w:rsid w:val="00756991"/>
    <w:rsid w:val="007571BB"/>
    <w:rsid w:val="00757C29"/>
    <w:rsid w:val="00760626"/>
    <w:rsid w:val="00760F13"/>
    <w:rsid w:val="00761731"/>
    <w:rsid w:val="00761D10"/>
    <w:rsid w:val="0076217E"/>
    <w:rsid w:val="0076229D"/>
    <w:rsid w:val="00762CB2"/>
    <w:rsid w:val="00762D10"/>
    <w:rsid w:val="007633A4"/>
    <w:rsid w:val="00765664"/>
    <w:rsid w:val="00765E95"/>
    <w:rsid w:val="00765F0C"/>
    <w:rsid w:val="007662DC"/>
    <w:rsid w:val="0076643D"/>
    <w:rsid w:val="007668E0"/>
    <w:rsid w:val="00767D3F"/>
    <w:rsid w:val="00770263"/>
    <w:rsid w:val="00770846"/>
    <w:rsid w:val="00771BB1"/>
    <w:rsid w:val="00773943"/>
    <w:rsid w:val="00775948"/>
    <w:rsid w:val="007772D8"/>
    <w:rsid w:val="00777D1E"/>
    <w:rsid w:val="007804E7"/>
    <w:rsid w:val="007811DC"/>
    <w:rsid w:val="00781974"/>
    <w:rsid w:val="00781C21"/>
    <w:rsid w:val="0078260C"/>
    <w:rsid w:val="007830A9"/>
    <w:rsid w:val="007837CD"/>
    <w:rsid w:val="00784856"/>
    <w:rsid w:val="00785858"/>
    <w:rsid w:val="00785F7A"/>
    <w:rsid w:val="00786BF7"/>
    <w:rsid w:val="007871C7"/>
    <w:rsid w:val="00787A45"/>
    <w:rsid w:val="007911A8"/>
    <w:rsid w:val="00791AFE"/>
    <w:rsid w:val="00791C9C"/>
    <w:rsid w:val="007934FF"/>
    <w:rsid w:val="0079363B"/>
    <w:rsid w:val="00794268"/>
    <w:rsid w:val="0079429B"/>
    <w:rsid w:val="007944BE"/>
    <w:rsid w:val="00795F30"/>
    <w:rsid w:val="0079653A"/>
    <w:rsid w:val="00796F94"/>
    <w:rsid w:val="00797D75"/>
    <w:rsid w:val="007A0544"/>
    <w:rsid w:val="007A2407"/>
    <w:rsid w:val="007A2559"/>
    <w:rsid w:val="007A2BC2"/>
    <w:rsid w:val="007A3A47"/>
    <w:rsid w:val="007A4DB6"/>
    <w:rsid w:val="007A5972"/>
    <w:rsid w:val="007A5F49"/>
    <w:rsid w:val="007A707C"/>
    <w:rsid w:val="007A74FF"/>
    <w:rsid w:val="007A7C76"/>
    <w:rsid w:val="007B0465"/>
    <w:rsid w:val="007B0A0A"/>
    <w:rsid w:val="007B18F1"/>
    <w:rsid w:val="007B7368"/>
    <w:rsid w:val="007B78C9"/>
    <w:rsid w:val="007C142C"/>
    <w:rsid w:val="007C25CA"/>
    <w:rsid w:val="007C547C"/>
    <w:rsid w:val="007C59F4"/>
    <w:rsid w:val="007C640F"/>
    <w:rsid w:val="007C6E75"/>
    <w:rsid w:val="007C6E7A"/>
    <w:rsid w:val="007D0682"/>
    <w:rsid w:val="007D1A33"/>
    <w:rsid w:val="007D305F"/>
    <w:rsid w:val="007D3180"/>
    <w:rsid w:val="007D55B1"/>
    <w:rsid w:val="007D58A1"/>
    <w:rsid w:val="007D5D41"/>
    <w:rsid w:val="007D5E3A"/>
    <w:rsid w:val="007D60C8"/>
    <w:rsid w:val="007D6749"/>
    <w:rsid w:val="007E06F8"/>
    <w:rsid w:val="007E184D"/>
    <w:rsid w:val="007E1FF6"/>
    <w:rsid w:val="007E4DC9"/>
    <w:rsid w:val="007E58C7"/>
    <w:rsid w:val="007F10FC"/>
    <w:rsid w:val="007F18AE"/>
    <w:rsid w:val="007F1CDE"/>
    <w:rsid w:val="007F1D2D"/>
    <w:rsid w:val="007F1DFE"/>
    <w:rsid w:val="007F279F"/>
    <w:rsid w:val="007F2B13"/>
    <w:rsid w:val="007F2DEE"/>
    <w:rsid w:val="007F5424"/>
    <w:rsid w:val="007F595B"/>
    <w:rsid w:val="007F5D9A"/>
    <w:rsid w:val="007F6E4C"/>
    <w:rsid w:val="007F78AC"/>
    <w:rsid w:val="007F7955"/>
    <w:rsid w:val="007F7D80"/>
    <w:rsid w:val="00800FBB"/>
    <w:rsid w:val="00801E32"/>
    <w:rsid w:val="0080275C"/>
    <w:rsid w:val="0080364F"/>
    <w:rsid w:val="00804D5D"/>
    <w:rsid w:val="00805DD2"/>
    <w:rsid w:val="00806345"/>
    <w:rsid w:val="00807861"/>
    <w:rsid w:val="008078CA"/>
    <w:rsid w:val="00810506"/>
    <w:rsid w:val="00810AD4"/>
    <w:rsid w:val="0081112A"/>
    <w:rsid w:val="0081178F"/>
    <w:rsid w:val="00811854"/>
    <w:rsid w:val="00813165"/>
    <w:rsid w:val="00813C44"/>
    <w:rsid w:val="008145AE"/>
    <w:rsid w:val="008168A3"/>
    <w:rsid w:val="00816E83"/>
    <w:rsid w:val="00820BCE"/>
    <w:rsid w:val="00820DDD"/>
    <w:rsid w:val="00821189"/>
    <w:rsid w:val="0082177C"/>
    <w:rsid w:val="00821866"/>
    <w:rsid w:val="008225E5"/>
    <w:rsid w:val="00822FCB"/>
    <w:rsid w:val="008240DC"/>
    <w:rsid w:val="00824B0D"/>
    <w:rsid w:val="00825BD3"/>
    <w:rsid w:val="008262FA"/>
    <w:rsid w:val="00830037"/>
    <w:rsid w:val="0083273E"/>
    <w:rsid w:val="00833BB0"/>
    <w:rsid w:val="00834599"/>
    <w:rsid w:val="008346D3"/>
    <w:rsid w:val="0083749C"/>
    <w:rsid w:val="00837F10"/>
    <w:rsid w:val="0084135B"/>
    <w:rsid w:val="008422CE"/>
    <w:rsid w:val="008424A6"/>
    <w:rsid w:val="008434AF"/>
    <w:rsid w:val="008434B6"/>
    <w:rsid w:val="00843914"/>
    <w:rsid w:val="008454CA"/>
    <w:rsid w:val="0084577C"/>
    <w:rsid w:val="00847996"/>
    <w:rsid w:val="00847B9A"/>
    <w:rsid w:val="00847BD4"/>
    <w:rsid w:val="00850FA8"/>
    <w:rsid w:val="00851B56"/>
    <w:rsid w:val="00852002"/>
    <w:rsid w:val="008532C5"/>
    <w:rsid w:val="00854B56"/>
    <w:rsid w:val="0085514F"/>
    <w:rsid w:val="00855832"/>
    <w:rsid w:val="0085606A"/>
    <w:rsid w:val="00856219"/>
    <w:rsid w:val="0085640B"/>
    <w:rsid w:val="00857153"/>
    <w:rsid w:val="008577CE"/>
    <w:rsid w:val="00857851"/>
    <w:rsid w:val="008609EC"/>
    <w:rsid w:val="00860A9D"/>
    <w:rsid w:val="008629D0"/>
    <w:rsid w:val="0086363B"/>
    <w:rsid w:val="00863866"/>
    <w:rsid w:val="00864280"/>
    <w:rsid w:val="00864B35"/>
    <w:rsid w:val="00865BD5"/>
    <w:rsid w:val="00865D56"/>
    <w:rsid w:val="00866214"/>
    <w:rsid w:val="00866A08"/>
    <w:rsid w:val="0086757B"/>
    <w:rsid w:val="008676C2"/>
    <w:rsid w:val="00867D81"/>
    <w:rsid w:val="00870102"/>
    <w:rsid w:val="00872743"/>
    <w:rsid w:val="00872748"/>
    <w:rsid w:val="00872F8A"/>
    <w:rsid w:val="008734B1"/>
    <w:rsid w:val="008735FE"/>
    <w:rsid w:val="00874A16"/>
    <w:rsid w:val="00875303"/>
    <w:rsid w:val="008754A4"/>
    <w:rsid w:val="0087584E"/>
    <w:rsid w:val="00875BFE"/>
    <w:rsid w:val="008764F0"/>
    <w:rsid w:val="00876F45"/>
    <w:rsid w:val="0088051F"/>
    <w:rsid w:val="0088089D"/>
    <w:rsid w:val="00880BC1"/>
    <w:rsid w:val="00881D8E"/>
    <w:rsid w:val="00881E2F"/>
    <w:rsid w:val="0088241B"/>
    <w:rsid w:val="0088255B"/>
    <w:rsid w:val="00882A0E"/>
    <w:rsid w:val="008831EA"/>
    <w:rsid w:val="008846B5"/>
    <w:rsid w:val="00884A7B"/>
    <w:rsid w:val="00885623"/>
    <w:rsid w:val="00887B6C"/>
    <w:rsid w:val="00892E08"/>
    <w:rsid w:val="00892F43"/>
    <w:rsid w:val="00893292"/>
    <w:rsid w:val="008933A4"/>
    <w:rsid w:val="00893830"/>
    <w:rsid w:val="00893B5C"/>
    <w:rsid w:val="00894474"/>
    <w:rsid w:val="0089470D"/>
    <w:rsid w:val="0089556D"/>
    <w:rsid w:val="00895BEF"/>
    <w:rsid w:val="00897D15"/>
    <w:rsid w:val="00897E04"/>
    <w:rsid w:val="00897F76"/>
    <w:rsid w:val="008A2883"/>
    <w:rsid w:val="008A28C5"/>
    <w:rsid w:val="008A2A4D"/>
    <w:rsid w:val="008A2F59"/>
    <w:rsid w:val="008A3294"/>
    <w:rsid w:val="008A367E"/>
    <w:rsid w:val="008A45BD"/>
    <w:rsid w:val="008A48D6"/>
    <w:rsid w:val="008A4C7B"/>
    <w:rsid w:val="008A57F7"/>
    <w:rsid w:val="008A597D"/>
    <w:rsid w:val="008A5D8A"/>
    <w:rsid w:val="008A61D5"/>
    <w:rsid w:val="008A6B22"/>
    <w:rsid w:val="008A6F86"/>
    <w:rsid w:val="008A7685"/>
    <w:rsid w:val="008A76AF"/>
    <w:rsid w:val="008A7B45"/>
    <w:rsid w:val="008A7C48"/>
    <w:rsid w:val="008B0560"/>
    <w:rsid w:val="008B16C5"/>
    <w:rsid w:val="008B27B3"/>
    <w:rsid w:val="008B3CF9"/>
    <w:rsid w:val="008B4037"/>
    <w:rsid w:val="008B4703"/>
    <w:rsid w:val="008B4B56"/>
    <w:rsid w:val="008B5710"/>
    <w:rsid w:val="008B5F85"/>
    <w:rsid w:val="008B66A8"/>
    <w:rsid w:val="008B69A9"/>
    <w:rsid w:val="008C0C3B"/>
    <w:rsid w:val="008C162F"/>
    <w:rsid w:val="008C187A"/>
    <w:rsid w:val="008C4765"/>
    <w:rsid w:val="008C49E7"/>
    <w:rsid w:val="008C51B0"/>
    <w:rsid w:val="008C5832"/>
    <w:rsid w:val="008C6975"/>
    <w:rsid w:val="008D1381"/>
    <w:rsid w:val="008D1C3D"/>
    <w:rsid w:val="008D3D54"/>
    <w:rsid w:val="008D3DFD"/>
    <w:rsid w:val="008D4179"/>
    <w:rsid w:val="008D5A7A"/>
    <w:rsid w:val="008D6E7F"/>
    <w:rsid w:val="008E0453"/>
    <w:rsid w:val="008E0885"/>
    <w:rsid w:val="008E106A"/>
    <w:rsid w:val="008E2104"/>
    <w:rsid w:val="008E26D6"/>
    <w:rsid w:val="008E29C7"/>
    <w:rsid w:val="008E3168"/>
    <w:rsid w:val="008E3542"/>
    <w:rsid w:val="008E7F7B"/>
    <w:rsid w:val="008F2615"/>
    <w:rsid w:val="008F2AE7"/>
    <w:rsid w:val="008F2DD1"/>
    <w:rsid w:val="008F416F"/>
    <w:rsid w:val="008F42C8"/>
    <w:rsid w:val="008F510A"/>
    <w:rsid w:val="008F52C7"/>
    <w:rsid w:val="008F5CA8"/>
    <w:rsid w:val="008F6876"/>
    <w:rsid w:val="008F68F3"/>
    <w:rsid w:val="008F74A1"/>
    <w:rsid w:val="008F7540"/>
    <w:rsid w:val="008F76A8"/>
    <w:rsid w:val="008F7747"/>
    <w:rsid w:val="008F77D2"/>
    <w:rsid w:val="008F7BF8"/>
    <w:rsid w:val="00900426"/>
    <w:rsid w:val="00901126"/>
    <w:rsid w:val="009026BD"/>
    <w:rsid w:val="00902F32"/>
    <w:rsid w:val="00904872"/>
    <w:rsid w:val="009065BC"/>
    <w:rsid w:val="0091037C"/>
    <w:rsid w:val="00910388"/>
    <w:rsid w:val="00910394"/>
    <w:rsid w:val="0091159E"/>
    <w:rsid w:val="009122BF"/>
    <w:rsid w:val="00912F8E"/>
    <w:rsid w:val="0091431B"/>
    <w:rsid w:val="00914792"/>
    <w:rsid w:val="0091584E"/>
    <w:rsid w:val="00917D1E"/>
    <w:rsid w:val="00917D8D"/>
    <w:rsid w:val="00917F4D"/>
    <w:rsid w:val="009211D8"/>
    <w:rsid w:val="00921E3E"/>
    <w:rsid w:val="00921FB5"/>
    <w:rsid w:val="00922C33"/>
    <w:rsid w:val="00922E44"/>
    <w:rsid w:val="00923177"/>
    <w:rsid w:val="0092346D"/>
    <w:rsid w:val="0092615C"/>
    <w:rsid w:val="00926DA1"/>
    <w:rsid w:val="00930380"/>
    <w:rsid w:val="0093128A"/>
    <w:rsid w:val="0093226F"/>
    <w:rsid w:val="00932710"/>
    <w:rsid w:val="009354EF"/>
    <w:rsid w:val="009355E5"/>
    <w:rsid w:val="00940BCD"/>
    <w:rsid w:val="009416FF"/>
    <w:rsid w:val="0094283A"/>
    <w:rsid w:val="00943932"/>
    <w:rsid w:val="00943EAA"/>
    <w:rsid w:val="00944801"/>
    <w:rsid w:val="009448E8"/>
    <w:rsid w:val="00944D1F"/>
    <w:rsid w:val="00944DBC"/>
    <w:rsid w:val="0094569E"/>
    <w:rsid w:val="0094576B"/>
    <w:rsid w:val="00945A06"/>
    <w:rsid w:val="00945F8B"/>
    <w:rsid w:val="00946813"/>
    <w:rsid w:val="00946DF5"/>
    <w:rsid w:val="00946F11"/>
    <w:rsid w:val="00947940"/>
    <w:rsid w:val="009517F9"/>
    <w:rsid w:val="00952CC8"/>
    <w:rsid w:val="0095376C"/>
    <w:rsid w:val="009538BF"/>
    <w:rsid w:val="0095409C"/>
    <w:rsid w:val="00954BAF"/>
    <w:rsid w:val="00954D6B"/>
    <w:rsid w:val="00956507"/>
    <w:rsid w:val="00960DB1"/>
    <w:rsid w:val="00961027"/>
    <w:rsid w:val="00961268"/>
    <w:rsid w:val="00961280"/>
    <w:rsid w:val="00961473"/>
    <w:rsid w:val="00961918"/>
    <w:rsid w:val="0096323B"/>
    <w:rsid w:val="00963BA2"/>
    <w:rsid w:val="00964F6C"/>
    <w:rsid w:val="00965CAF"/>
    <w:rsid w:val="00965E85"/>
    <w:rsid w:val="00966E04"/>
    <w:rsid w:val="009676BE"/>
    <w:rsid w:val="009703D9"/>
    <w:rsid w:val="00970670"/>
    <w:rsid w:val="00970BE3"/>
    <w:rsid w:val="0097115C"/>
    <w:rsid w:val="009713C4"/>
    <w:rsid w:val="009717C5"/>
    <w:rsid w:val="00971933"/>
    <w:rsid w:val="00971B10"/>
    <w:rsid w:val="00972130"/>
    <w:rsid w:val="009724DF"/>
    <w:rsid w:val="009728AE"/>
    <w:rsid w:val="00973888"/>
    <w:rsid w:val="0097462D"/>
    <w:rsid w:val="00974D4C"/>
    <w:rsid w:val="009767A8"/>
    <w:rsid w:val="00976BFD"/>
    <w:rsid w:val="00976D8A"/>
    <w:rsid w:val="00980D0F"/>
    <w:rsid w:val="00982293"/>
    <w:rsid w:val="0098230D"/>
    <w:rsid w:val="0098258D"/>
    <w:rsid w:val="00982FFA"/>
    <w:rsid w:val="00983273"/>
    <w:rsid w:val="009835AD"/>
    <w:rsid w:val="009846A5"/>
    <w:rsid w:val="00984C5A"/>
    <w:rsid w:val="0098649B"/>
    <w:rsid w:val="009905FA"/>
    <w:rsid w:val="009932C3"/>
    <w:rsid w:val="00993DE9"/>
    <w:rsid w:val="00993EE4"/>
    <w:rsid w:val="00994249"/>
    <w:rsid w:val="00995EC4"/>
    <w:rsid w:val="00996265"/>
    <w:rsid w:val="00996807"/>
    <w:rsid w:val="009A048F"/>
    <w:rsid w:val="009A0D8F"/>
    <w:rsid w:val="009A144C"/>
    <w:rsid w:val="009A1C42"/>
    <w:rsid w:val="009A215F"/>
    <w:rsid w:val="009A28CD"/>
    <w:rsid w:val="009A3576"/>
    <w:rsid w:val="009A3B01"/>
    <w:rsid w:val="009A4B4A"/>
    <w:rsid w:val="009A6B8A"/>
    <w:rsid w:val="009A7453"/>
    <w:rsid w:val="009A78B7"/>
    <w:rsid w:val="009A7CB9"/>
    <w:rsid w:val="009A7E3C"/>
    <w:rsid w:val="009B0F00"/>
    <w:rsid w:val="009B274E"/>
    <w:rsid w:val="009B2DCA"/>
    <w:rsid w:val="009B3029"/>
    <w:rsid w:val="009B3C33"/>
    <w:rsid w:val="009B40C1"/>
    <w:rsid w:val="009B5ABE"/>
    <w:rsid w:val="009B5BB5"/>
    <w:rsid w:val="009B60D2"/>
    <w:rsid w:val="009B6E1C"/>
    <w:rsid w:val="009B768E"/>
    <w:rsid w:val="009C0351"/>
    <w:rsid w:val="009C0A67"/>
    <w:rsid w:val="009C0EBA"/>
    <w:rsid w:val="009C1DF7"/>
    <w:rsid w:val="009C22F8"/>
    <w:rsid w:val="009C365C"/>
    <w:rsid w:val="009C3A02"/>
    <w:rsid w:val="009C57C1"/>
    <w:rsid w:val="009C607D"/>
    <w:rsid w:val="009C641A"/>
    <w:rsid w:val="009C6E02"/>
    <w:rsid w:val="009C703D"/>
    <w:rsid w:val="009C729F"/>
    <w:rsid w:val="009C7362"/>
    <w:rsid w:val="009C7DC3"/>
    <w:rsid w:val="009D12FB"/>
    <w:rsid w:val="009D22CB"/>
    <w:rsid w:val="009D3579"/>
    <w:rsid w:val="009D3928"/>
    <w:rsid w:val="009D3995"/>
    <w:rsid w:val="009D3D79"/>
    <w:rsid w:val="009D3DCC"/>
    <w:rsid w:val="009D3FAC"/>
    <w:rsid w:val="009D4A90"/>
    <w:rsid w:val="009D533D"/>
    <w:rsid w:val="009D57C3"/>
    <w:rsid w:val="009D620B"/>
    <w:rsid w:val="009D672C"/>
    <w:rsid w:val="009D7624"/>
    <w:rsid w:val="009E0E15"/>
    <w:rsid w:val="009E19D1"/>
    <w:rsid w:val="009E2471"/>
    <w:rsid w:val="009E2BCF"/>
    <w:rsid w:val="009E2D99"/>
    <w:rsid w:val="009E45E2"/>
    <w:rsid w:val="009E5B02"/>
    <w:rsid w:val="009E5BEE"/>
    <w:rsid w:val="009E5EEF"/>
    <w:rsid w:val="009E6B31"/>
    <w:rsid w:val="009F13F8"/>
    <w:rsid w:val="009F1C1B"/>
    <w:rsid w:val="009F3413"/>
    <w:rsid w:val="009F4191"/>
    <w:rsid w:val="009F41B0"/>
    <w:rsid w:val="009F4979"/>
    <w:rsid w:val="009F4B1E"/>
    <w:rsid w:val="009F6B7A"/>
    <w:rsid w:val="009F7944"/>
    <w:rsid w:val="00A006AC"/>
    <w:rsid w:val="00A012F2"/>
    <w:rsid w:val="00A03365"/>
    <w:rsid w:val="00A04DDD"/>
    <w:rsid w:val="00A0786E"/>
    <w:rsid w:val="00A07C10"/>
    <w:rsid w:val="00A106CB"/>
    <w:rsid w:val="00A12F49"/>
    <w:rsid w:val="00A1396A"/>
    <w:rsid w:val="00A14812"/>
    <w:rsid w:val="00A14C04"/>
    <w:rsid w:val="00A154F9"/>
    <w:rsid w:val="00A20526"/>
    <w:rsid w:val="00A2070A"/>
    <w:rsid w:val="00A20A27"/>
    <w:rsid w:val="00A20EE3"/>
    <w:rsid w:val="00A2162C"/>
    <w:rsid w:val="00A2188D"/>
    <w:rsid w:val="00A23BA7"/>
    <w:rsid w:val="00A2475D"/>
    <w:rsid w:val="00A26563"/>
    <w:rsid w:val="00A27AD8"/>
    <w:rsid w:val="00A27DBF"/>
    <w:rsid w:val="00A311D4"/>
    <w:rsid w:val="00A31820"/>
    <w:rsid w:val="00A32333"/>
    <w:rsid w:val="00A33A23"/>
    <w:rsid w:val="00A341C0"/>
    <w:rsid w:val="00A34C84"/>
    <w:rsid w:val="00A35810"/>
    <w:rsid w:val="00A35AD7"/>
    <w:rsid w:val="00A375B0"/>
    <w:rsid w:val="00A40EFD"/>
    <w:rsid w:val="00A4114B"/>
    <w:rsid w:val="00A41E8D"/>
    <w:rsid w:val="00A425FC"/>
    <w:rsid w:val="00A42AFD"/>
    <w:rsid w:val="00A43903"/>
    <w:rsid w:val="00A43C20"/>
    <w:rsid w:val="00A44C3C"/>
    <w:rsid w:val="00A4528A"/>
    <w:rsid w:val="00A452D3"/>
    <w:rsid w:val="00A47444"/>
    <w:rsid w:val="00A474EF"/>
    <w:rsid w:val="00A47F46"/>
    <w:rsid w:val="00A5244C"/>
    <w:rsid w:val="00A52614"/>
    <w:rsid w:val="00A528A2"/>
    <w:rsid w:val="00A52D0B"/>
    <w:rsid w:val="00A53DC3"/>
    <w:rsid w:val="00A53F0E"/>
    <w:rsid w:val="00A547EC"/>
    <w:rsid w:val="00A558E9"/>
    <w:rsid w:val="00A56107"/>
    <w:rsid w:val="00A5635B"/>
    <w:rsid w:val="00A5707F"/>
    <w:rsid w:val="00A575E4"/>
    <w:rsid w:val="00A57D6E"/>
    <w:rsid w:val="00A57F18"/>
    <w:rsid w:val="00A60453"/>
    <w:rsid w:val="00A61482"/>
    <w:rsid w:val="00A61BB0"/>
    <w:rsid w:val="00A61D9E"/>
    <w:rsid w:val="00A62A4D"/>
    <w:rsid w:val="00A6344A"/>
    <w:rsid w:val="00A6444A"/>
    <w:rsid w:val="00A6447A"/>
    <w:rsid w:val="00A64570"/>
    <w:rsid w:val="00A647D8"/>
    <w:rsid w:val="00A64BBC"/>
    <w:rsid w:val="00A64F98"/>
    <w:rsid w:val="00A6559D"/>
    <w:rsid w:val="00A65715"/>
    <w:rsid w:val="00A65845"/>
    <w:rsid w:val="00A672DD"/>
    <w:rsid w:val="00A67698"/>
    <w:rsid w:val="00A703CA"/>
    <w:rsid w:val="00A71077"/>
    <w:rsid w:val="00A71B83"/>
    <w:rsid w:val="00A72184"/>
    <w:rsid w:val="00A7479B"/>
    <w:rsid w:val="00A756BF"/>
    <w:rsid w:val="00A76076"/>
    <w:rsid w:val="00A763F6"/>
    <w:rsid w:val="00A7648A"/>
    <w:rsid w:val="00A76B58"/>
    <w:rsid w:val="00A770E2"/>
    <w:rsid w:val="00A814F4"/>
    <w:rsid w:val="00A8152A"/>
    <w:rsid w:val="00A8355A"/>
    <w:rsid w:val="00A83A3C"/>
    <w:rsid w:val="00A84560"/>
    <w:rsid w:val="00A84E2F"/>
    <w:rsid w:val="00A857ED"/>
    <w:rsid w:val="00A85B31"/>
    <w:rsid w:val="00A85C36"/>
    <w:rsid w:val="00A85C49"/>
    <w:rsid w:val="00A87F61"/>
    <w:rsid w:val="00A87FCA"/>
    <w:rsid w:val="00A90007"/>
    <w:rsid w:val="00A90BAC"/>
    <w:rsid w:val="00A92861"/>
    <w:rsid w:val="00A933AD"/>
    <w:rsid w:val="00A93F12"/>
    <w:rsid w:val="00A9748E"/>
    <w:rsid w:val="00A97802"/>
    <w:rsid w:val="00A97FD9"/>
    <w:rsid w:val="00AA05E7"/>
    <w:rsid w:val="00AA0755"/>
    <w:rsid w:val="00AA1C06"/>
    <w:rsid w:val="00AA2657"/>
    <w:rsid w:val="00AA293B"/>
    <w:rsid w:val="00AA2A97"/>
    <w:rsid w:val="00AA3F59"/>
    <w:rsid w:val="00AA5825"/>
    <w:rsid w:val="00AA627B"/>
    <w:rsid w:val="00AA67BC"/>
    <w:rsid w:val="00AA67C6"/>
    <w:rsid w:val="00AB0661"/>
    <w:rsid w:val="00AB1898"/>
    <w:rsid w:val="00AB1BC7"/>
    <w:rsid w:val="00AB2815"/>
    <w:rsid w:val="00AB293A"/>
    <w:rsid w:val="00AB3A2E"/>
    <w:rsid w:val="00AB3AE0"/>
    <w:rsid w:val="00AB4238"/>
    <w:rsid w:val="00AB4265"/>
    <w:rsid w:val="00AB78B7"/>
    <w:rsid w:val="00AB7EA2"/>
    <w:rsid w:val="00AC0D0E"/>
    <w:rsid w:val="00AC0D44"/>
    <w:rsid w:val="00AC1F0C"/>
    <w:rsid w:val="00AC24C0"/>
    <w:rsid w:val="00AC5188"/>
    <w:rsid w:val="00AC572D"/>
    <w:rsid w:val="00AC5984"/>
    <w:rsid w:val="00AC691E"/>
    <w:rsid w:val="00AC6B76"/>
    <w:rsid w:val="00AC7A6C"/>
    <w:rsid w:val="00AD0EBA"/>
    <w:rsid w:val="00AD1F32"/>
    <w:rsid w:val="00AD3438"/>
    <w:rsid w:val="00AD34B9"/>
    <w:rsid w:val="00AD3753"/>
    <w:rsid w:val="00AD3944"/>
    <w:rsid w:val="00AD3E70"/>
    <w:rsid w:val="00AD457E"/>
    <w:rsid w:val="00AD52D3"/>
    <w:rsid w:val="00AD6963"/>
    <w:rsid w:val="00AD6B45"/>
    <w:rsid w:val="00AD6DB0"/>
    <w:rsid w:val="00AD7D52"/>
    <w:rsid w:val="00AE0ED3"/>
    <w:rsid w:val="00AE1028"/>
    <w:rsid w:val="00AE28F9"/>
    <w:rsid w:val="00AE40DC"/>
    <w:rsid w:val="00AE4CD0"/>
    <w:rsid w:val="00AE4EF0"/>
    <w:rsid w:val="00AE557D"/>
    <w:rsid w:val="00AE67AA"/>
    <w:rsid w:val="00AE7A0A"/>
    <w:rsid w:val="00AF0155"/>
    <w:rsid w:val="00AF1388"/>
    <w:rsid w:val="00AF14A2"/>
    <w:rsid w:val="00AF17F2"/>
    <w:rsid w:val="00AF2123"/>
    <w:rsid w:val="00AF387A"/>
    <w:rsid w:val="00AF4209"/>
    <w:rsid w:val="00AF517D"/>
    <w:rsid w:val="00AF5970"/>
    <w:rsid w:val="00AF5B85"/>
    <w:rsid w:val="00AF620E"/>
    <w:rsid w:val="00AF6A8A"/>
    <w:rsid w:val="00AF6DDD"/>
    <w:rsid w:val="00AF7124"/>
    <w:rsid w:val="00B0238C"/>
    <w:rsid w:val="00B02854"/>
    <w:rsid w:val="00B04799"/>
    <w:rsid w:val="00B04E72"/>
    <w:rsid w:val="00B04EF5"/>
    <w:rsid w:val="00B06DF0"/>
    <w:rsid w:val="00B10F97"/>
    <w:rsid w:val="00B13347"/>
    <w:rsid w:val="00B155F5"/>
    <w:rsid w:val="00B1577E"/>
    <w:rsid w:val="00B15F6D"/>
    <w:rsid w:val="00B1634B"/>
    <w:rsid w:val="00B17300"/>
    <w:rsid w:val="00B206AA"/>
    <w:rsid w:val="00B207FB"/>
    <w:rsid w:val="00B20B0B"/>
    <w:rsid w:val="00B20D67"/>
    <w:rsid w:val="00B24C98"/>
    <w:rsid w:val="00B258B0"/>
    <w:rsid w:val="00B25DD6"/>
    <w:rsid w:val="00B25E66"/>
    <w:rsid w:val="00B27093"/>
    <w:rsid w:val="00B30373"/>
    <w:rsid w:val="00B31E7A"/>
    <w:rsid w:val="00B33429"/>
    <w:rsid w:val="00B337D6"/>
    <w:rsid w:val="00B33E48"/>
    <w:rsid w:val="00B34442"/>
    <w:rsid w:val="00B34E8F"/>
    <w:rsid w:val="00B3730B"/>
    <w:rsid w:val="00B37987"/>
    <w:rsid w:val="00B4001B"/>
    <w:rsid w:val="00B414BD"/>
    <w:rsid w:val="00B44488"/>
    <w:rsid w:val="00B45538"/>
    <w:rsid w:val="00B457D3"/>
    <w:rsid w:val="00B459C2"/>
    <w:rsid w:val="00B46F75"/>
    <w:rsid w:val="00B50EF4"/>
    <w:rsid w:val="00B514B4"/>
    <w:rsid w:val="00B51FD4"/>
    <w:rsid w:val="00B52888"/>
    <w:rsid w:val="00B549F1"/>
    <w:rsid w:val="00B562AA"/>
    <w:rsid w:val="00B56BBE"/>
    <w:rsid w:val="00B609A4"/>
    <w:rsid w:val="00B62BDA"/>
    <w:rsid w:val="00B6301E"/>
    <w:rsid w:val="00B65395"/>
    <w:rsid w:val="00B66047"/>
    <w:rsid w:val="00B6629A"/>
    <w:rsid w:val="00B66D38"/>
    <w:rsid w:val="00B70DFF"/>
    <w:rsid w:val="00B716FC"/>
    <w:rsid w:val="00B7273B"/>
    <w:rsid w:val="00B7354D"/>
    <w:rsid w:val="00B73E8B"/>
    <w:rsid w:val="00B741DE"/>
    <w:rsid w:val="00B74F42"/>
    <w:rsid w:val="00B75E2E"/>
    <w:rsid w:val="00B762EC"/>
    <w:rsid w:val="00B76691"/>
    <w:rsid w:val="00B76C47"/>
    <w:rsid w:val="00B77B8D"/>
    <w:rsid w:val="00B77E7E"/>
    <w:rsid w:val="00B812AB"/>
    <w:rsid w:val="00B8173C"/>
    <w:rsid w:val="00B8260A"/>
    <w:rsid w:val="00B840FC"/>
    <w:rsid w:val="00B84119"/>
    <w:rsid w:val="00B8469E"/>
    <w:rsid w:val="00B84E3A"/>
    <w:rsid w:val="00B853A6"/>
    <w:rsid w:val="00B90845"/>
    <w:rsid w:val="00B91DCF"/>
    <w:rsid w:val="00B9290B"/>
    <w:rsid w:val="00B933C0"/>
    <w:rsid w:val="00B933D9"/>
    <w:rsid w:val="00B9363F"/>
    <w:rsid w:val="00B937AF"/>
    <w:rsid w:val="00B93947"/>
    <w:rsid w:val="00B943C5"/>
    <w:rsid w:val="00B9522D"/>
    <w:rsid w:val="00B962DE"/>
    <w:rsid w:val="00BA121A"/>
    <w:rsid w:val="00BA27F1"/>
    <w:rsid w:val="00BA34B3"/>
    <w:rsid w:val="00BA4ABF"/>
    <w:rsid w:val="00BA5E1D"/>
    <w:rsid w:val="00BA6057"/>
    <w:rsid w:val="00BA6A0C"/>
    <w:rsid w:val="00BA7486"/>
    <w:rsid w:val="00BB04DA"/>
    <w:rsid w:val="00BB2346"/>
    <w:rsid w:val="00BB266C"/>
    <w:rsid w:val="00BB455A"/>
    <w:rsid w:val="00BB48C5"/>
    <w:rsid w:val="00BB63DF"/>
    <w:rsid w:val="00BB66E0"/>
    <w:rsid w:val="00BB7675"/>
    <w:rsid w:val="00BB7DB0"/>
    <w:rsid w:val="00BC0599"/>
    <w:rsid w:val="00BC0798"/>
    <w:rsid w:val="00BC2291"/>
    <w:rsid w:val="00BC26B4"/>
    <w:rsid w:val="00BC2BE2"/>
    <w:rsid w:val="00BC34B5"/>
    <w:rsid w:val="00BC3636"/>
    <w:rsid w:val="00BC392A"/>
    <w:rsid w:val="00BC3D4A"/>
    <w:rsid w:val="00BC4C51"/>
    <w:rsid w:val="00BC5499"/>
    <w:rsid w:val="00BC54F2"/>
    <w:rsid w:val="00BC5590"/>
    <w:rsid w:val="00BC6307"/>
    <w:rsid w:val="00BC6C67"/>
    <w:rsid w:val="00BC7233"/>
    <w:rsid w:val="00BC7CE7"/>
    <w:rsid w:val="00BD0801"/>
    <w:rsid w:val="00BD1519"/>
    <w:rsid w:val="00BD2476"/>
    <w:rsid w:val="00BD38A3"/>
    <w:rsid w:val="00BD426B"/>
    <w:rsid w:val="00BD4CCC"/>
    <w:rsid w:val="00BD5592"/>
    <w:rsid w:val="00BD5933"/>
    <w:rsid w:val="00BD64EA"/>
    <w:rsid w:val="00BD71D8"/>
    <w:rsid w:val="00BE0523"/>
    <w:rsid w:val="00BE10DC"/>
    <w:rsid w:val="00BE2565"/>
    <w:rsid w:val="00BE2A7B"/>
    <w:rsid w:val="00BE3B88"/>
    <w:rsid w:val="00BE49ED"/>
    <w:rsid w:val="00BE4F74"/>
    <w:rsid w:val="00BE7030"/>
    <w:rsid w:val="00BF0B67"/>
    <w:rsid w:val="00BF0D36"/>
    <w:rsid w:val="00BF2163"/>
    <w:rsid w:val="00BF2716"/>
    <w:rsid w:val="00BF29BB"/>
    <w:rsid w:val="00BF35FC"/>
    <w:rsid w:val="00BF3D37"/>
    <w:rsid w:val="00BF56D1"/>
    <w:rsid w:val="00BF5F9B"/>
    <w:rsid w:val="00BF6594"/>
    <w:rsid w:val="00BF6751"/>
    <w:rsid w:val="00C004C8"/>
    <w:rsid w:val="00C03B24"/>
    <w:rsid w:val="00C048F9"/>
    <w:rsid w:val="00C06671"/>
    <w:rsid w:val="00C06756"/>
    <w:rsid w:val="00C06D7D"/>
    <w:rsid w:val="00C06E6A"/>
    <w:rsid w:val="00C07C25"/>
    <w:rsid w:val="00C12055"/>
    <w:rsid w:val="00C12532"/>
    <w:rsid w:val="00C12EE2"/>
    <w:rsid w:val="00C12F2D"/>
    <w:rsid w:val="00C1375F"/>
    <w:rsid w:val="00C20CF1"/>
    <w:rsid w:val="00C2150D"/>
    <w:rsid w:val="00C22231"/>
    <w:rsid w:val="00C23476"/>
    <w:rsid w:val="00C23ABC"/>
    <w:rsid w:val="00C23FBD"/>
    <w:rsid w:val="00C250C4"/>
    <w:rsid w:val="00C2698F"/>
    <w:rsid w:val="00C270FC"/>
    <w:rsid w:val="00C27750"/>
    <w:rsid w:val="00C27FED"/>
    <w:rsid w:val="00C304CA"/>
    <w:rsid w:val="00C320C3"/>
    <w:rsid w:val="00C33F77"/>
    <w:rsid w:val="00C3481F"/>
    <w:rsid w:val="00C34AB4"/>
    <w:rsid w:val="00C351A0"/>
    <w:rsid w:val="00C35C46"/>
    <w:rsid w:val="00C36BEE"/>
    <w:rsid w:val="00C378D8"/>
    <w:rsid w:val="00C37B40"/>
    <w:rsid w:val="00C418B1"/>
    <w:rsid w:val="00C42801"/>
    <w:rsid w:val="00C43277"/>
    <w:rsid w:val="00C467C5"/>
    <w:rsid w:val="00C46A7B"/>
    <w:rsid w:val="00C47133"/>
    <w:rsid w:val="00C47BDE"/>
    <w:rsid w:val="00C503F3"/>
    <w:rsid w:val="00C50561"/>
    <w:rsid w:val="00C514A4"/>
    <w:rsid w:val="00C52470"/>
    <w:rsid w:val="00C5300E"/>
    <w:rsid w:val="00C54126"/>
    <w:rsid w:val="00C55EC6"/>
    <w:rsid w:val="00C56AEB"/>
    <w:rsid w:val="00C5764B"/>
    <w:rsid w:val="00C57B52"/>
    <w:rsid w:val="00C60EB1"/>
    <w:rsid w:val="00C617AD"/>
    <w:rsid w:val="00C6255B"/>
    <w:rsid w:val="00C63006"/>
    <w:rsid w:val="00C63535"/>
    <w:rsid w:val="00C639F6"/>
    <w:rsid w:val="00C6415F"/>
    <w:rsid w:val="00C65DBA"/>
    <w:rsid w:val="00C665FD"/>
    <w:rsid w:val="00C66633"/>
    <w:rsid w:val="00C66E1B"/>
    <w:rsid w:val="00C66E3B"/>
    <w:rsid w:val="00C678CC"/>
    <w:rsid w:val="00C67CB8"/>
    <w:rsid w:val="00C70D6C"/>
    <w:rsid w:val="00C70FB8"/>
    <w:rsid w:val="00C71405"/>
    <w:rsid w:val="00C71549"/>
    <w:rsid w:val="00C71607"/>
    <w:rsid w:val="00C71ED5"/>
    <w:rsid w:val="00C71FBC"/>
    <w:rsid w:val="00C7227D"/>
    <w:rsid w:val="00C73103"/>
    <w:rsid w:val="00C7478A"/>
    <w:rsid w:val="00C77291"/>
    <w:rsid w:val="00C77590"/>
    <w:rsid w:val="00C77C40"/>
    <w:rsid w:val="00C77EB1"/>
    <w:rsid w:val="00C8017D"/>
    <w:rsid w:val="00C81221"/>
    <w:rsid w:val="00C824C8"/>
    <w:rsid w:val="00C82674"/>
    <w:rsid w:val="00C838CB"/>
    <w:rsid w:val="00C84810"/>
    <w:rsid w:val="00C850CB"/>
    <w:rsid w:val="00C8525B"/>
    <w:rsid w:val="00C87EF2"/>
    <w:rsid w:val="00C9011E"/>
    <w:rsid w:val="00C90175"/>
    <w:rsid w:val="00C90667"/>
    <w:rsid w:val="00C90EBC"/>
    <w:rsid w:val="00C911A1"/>
    <w:rsid w:val="00C92D79"/>
    <w:rsid w:val="00C93972"/>
    <w:rsid w:val="00C943BE"/>
    <w:rsid w:val="00CA2C02"/>
    <w:rsid w:val="00CA2DE7"/>
    <w:rsid w:val="00CA38F6"/>
    <w:rsid w:val="00CA494E"/>
    <w:rsid w:val="00CA545C"/>
    <w:rsid w:val="00CA585A"/>
    <w:rsid w:val="00CA5AEE"/>
    <w:rsid w:val="00CA6132"/>
    <w:rsid w:val="00CA6885"/>
    <w:rsid w:val="00CA77D9"/>
    <w:rsid w:val="00CB1A59"/>
    <w:rsid w:val="00CB1E54"/>
    <w:rsid w:val="00CB2276"/>
    <w:rsid w:val="00CB3C32"/>
    <w:rsid w:val="00CB40F3"/>
    <w:rsid w:val="00CB7D51"/>
    <w:rsid w:val="00CC324E"/>
    <w:rsid w:val="00CC36C4"/>
    <w:rsid w:val="00CC4518"/>
    <w:rsid w:val="00CC5713"/>
    <w:rsid w:val="00CC6D41"/>
    <w:rsid w:val="00CD154D"/>
    <w:rsid w:val="00CD185E"/>
    <w:rsid w:val="00CD193C"/>
    <w:rsid w:val="00CD1DD3"/>
    <w:rsid w:val="00CD21E0"/>
    <w:rsid w:val="00CD2D07"/>
    <w:rsid w:val="00CD2D48"/>
    <w:rsid w:val="00CD303F"/>
    <w:rsid w:val="00CD37A5"/>
    <w:rsid w:val="00CD3BBA"/>
    <w:rsid w:val="00CD48F7"/>
    <w:rsid w:val="00CD4CF2"/>
    <w:rsid w:val="00CD4EF0"/>
    <w:rsid w:val="00CD51B8"/>
    <w:rsid w:val="00CD57AD"/>
    <w:rsid w:val="00CD58F6"/>
    <w:rsid w:val="00CD5B3D"/>
    <w:rsid w:val="00CD6377"/>
    <w:rsid w:val="00CD6500"/>
    <w:rsid w:val="00CE01DE"/>
    <w:rsid w:val="00CE0233"/>
    <w:rsid w:val="00CE087C"/>
    <w:rsid w:val="00CE13D6"/>
    <w:rsid w:val="00CE2160"/>
    <w:rsid w:val="00CE268E"/>
    <w:rsid w:val="00CE26E2"/>
    <w:rsid w:val="00CE2C7C"/>
    <w:rsid w:val="00CE3213"/>
    <w:rsid w:val="00CE33EE"/>
    <w:rsid w:val="00CE3DE1"/>
    <w:rsid w:val="00CE3F39"/>
    <w:rsid w:val="00CE4B38"/>
    <w:rsid w:val="00CE4D90"/>
    <w:rsid w:val="00CE4F54"/>
    <w:rsid w:val="00CE5172"/>
    <w:rsid w:val="00CE64D4"/>
    <w:rsid w:val="00CE6C01"/>
    <w:rsid w:val="00CE6D6E"/>
    <w:rsid w:val="00CE725E"/>
    <w:rsid w:val="00CF0C8F"/>
    <w:rsid w:val="00CF10A0"/>
    <w:rsid w:val="00CF116F"/>
    <w:rsid w:val="00CF1646"/>
    <w:rsid w:val="00CF353E"/>
    <w:rsid w:val="00CF37D4"/>
    <w:rsid w:val="00CF3ED4"/>
    <w:rsid w:val="00CF40F3"/>
    <w:rsid w:val="00CF4549"/>
    <w:rsid w:val="00CF492A"/>
    <w:rsid w:val="00CF4A17"/>
    <w:rsid w:val="00CF69D0"/>
    <w:rsid w:val="00D00247"/>
    <w:rsid w:val="00D0128E"/>
    <w:rsid w:val="00D01F02"/>
    <w:rsid w:val="00D0214C"/>
    <w:rsid w:val="00D03610"/>
    <w:rsid w:val="00D041CE"/>
    <w:rsid w:val="00D0420B"/>
    <w:rsid w:val="00D05E4B"/>
    <w:rsid w:val="00D07978"/>
    <w:rsid w:val="00D079F6"/>
    <w:rsid w:val="00D10191"/>
    <w:rsid w:val="00D10199"/>
    <w:rsid w:val="00D101C4"/>
    <w:rsid w:val="00D11085"/>
    <w:rsid w:val="00D112AC"/>
    <w:rsid w:val="00D11437"/>
    <w:rsid w:val="00D11718"/>
    <w:rsid w:val="00D118DB"/>
    <w:rsid w:val="00D13F8B"/>
    <w:rsid w:val="00D1423B"/>
    <w:rsid w:val="00D17595"/>
    <w:rsid w:val="00D1763E"/>
    <w:rsid w:val="00D17B02"/>
    <w:rsid w:val="00D17C60"/>
    <w:rsid w:val="00D202A5"/>
    <w:rsid w:val="00D205FE"/>
    <w:rsid w:val="00D20986"/>
    <w:rsid w:val="00D20E2C"/>
    <w:rsid w:val="00D214D5"/>
    <w:rsid w:val="00D224C7"/>
    <w:rsid w:val="00D22584"/>
    <w:rsid w:val="00D25460"/>
    <w:rsid w:val="00D2557D"/>
    <w:rsid w:val="00D255BD"/>
    <w:rsid w:val="00D26C1C"/>
    <w:rsid w:val="00D30A7B"/>
    <w:rsid w:val="00D3118D"/>
    <w:rsid w:val="00D312FF"/>
    <w:rsid w:val="00D31B8D"/>
    <w:rsid w:val="00D31ED2"/>
    <w:rsid w:val="00D323DF"/>
    <w:rsid w:val="00D32DEB"/>
    <w:rsid w:val="00D34728"/>
    <w:rsid w:val="00D34825"/>
    <w:rsid w:val="00D352E9"/>
    <w:rsid w:val="00D356F7"/>
    <w:rsid w:val="00D35D70"/>
    <w:rsid w:val="00D36087"/>
    <w:rsid w:val="00D367DC"/>
    <w:rsid w:val="00D37220"/>
    <w:rsid w:val="00D378A5"/>
    <w:rsid w:val="00D3792E"/>
    <w:rsid w:val="00D37FEA"/>
    <w:rsid w:val="00D41995"/>
    <w:rsid w:val="00D41AA5"/>
    <w:rsid w:val="00D41BD0"/>
    <w:rsid w:val="00D43B10"/>
    <w:rsid w:val="00D43D9C"/>
    <w:rsid w:val="00D450D2"/>
    <w:rsid w:val="00D46088"/>
    <w:rsid w:val="00D4675E"/>
    <w:rsid w:val="00D4683C"/>
    <w:rsid w:val="00D46980"/>
    <w:rsid w:val="00D47753"/>
    <w:rsid w:val="00D47C17"/>
    <w:rsid w:val="00D47FFD"/>
    <w:rsid w:val="00D5013F"/>
    <w:rsid w:val="00D50E1E"/>
    <w:rsid w:val="00D51216"/>
    <w:rsid w:val="00D515CF"/>
    <w:rsid w:val="00D51CC5"/>
    <w:rsid w:val="00D520CD"/>
    <w:rsid w:val="00D525E2"/>
    <w:rsid w:val="00D52CE2"/>
    <w:rsid w:val="00D542DF"/>
    <w:rsid w:val="00D557F8"/>
    <w:rsid w:val="00D558E6"/>
    <w:rsid w:val="00D55E14"/>
    <w:rsid w:val="00D56B06"/>
    <w:rsid w:val="00D600DC"/>
    <w:rsid w:val="00D604A5"/>
    <w:rsid w:val="00D6264E"/>
    <w:rsid w:val="00D643BB"/>
    <w:rsid w:val="00D64C51"/>
    <w:rsid w:val="00D64E63"/>
    <w:rsid w:val="00D65020"/>
    <w:rsid w:val="00D65F8A"/>
    <w:rsid w:val="00D667F2"/>
    <w:rsid w:val="00D67859"/>
    <w:rsid w:val="00D679AC"/>
    <w:rsid w:val="00D67A64"/>
    <w:rsid w:val="00D70823"/>
    <w:rsid w:val="00D716D5"/>
    <w:rsid w:val="00D72532"/>
    <w:rsid w:val="00D72669"/>
    <w:rsid w:val="00D728BD"/>
    <w:rsid w:val="00D73488"/>
    <w:rsid w:val="00D73E6A"/>
    <w:rsid w:val="00D76222"/>
    <w:rsid w:val="00D769BB"/>
    <w:rsid w:val="00D77450"/>
    <w:rsid w:val="00D77CDE"/>
    <w:rsid w:val="00D811C1"/>
    <w:rsid w:val="00D81A30"/>
    <w:rsid w:val="00D8260A"/>
    <w:rsid w:val="00D82AD7"/>
    <w:rsid w:val="00D83B34"/>
    <w:rsid w:val="00D856D5"/>
    <w:rsid w:val="00D8668F"/>
    <w:rsid w:val="00D87608"/>
    <w:rsid w:val="00D879D4"/>
    <w:rsid w:val="00D87B3F"/>
    <w:rsid w:val="00D905A8"/>
    <w:rsid w:val="00D91705"/>
    <w:rsid w:val="00D91D38"/>
    <w:rsid w:val="00D92722"/>
    <w:rsid w:val="00D9414F"/>
    <w:rsid w:val="00D94B95"/>
    <w:rsid w:val="00D96418"/>
    <w:rsid w:val="00D966AB"/>
    <w:rsid w:val="00D971C0"/>
    <w:rsid w:val="00D97FF4"/>
    <w:rsid w:val="00DA02E7"/>
    <w:rsid w:val="00DA0D44"/>
    <w:rsid w:val="00DA1FB8"/>
    <w:rsid w:val="00DA224E"/>
    <w:rsid w:val="00DA497E"/>
    <w:rsid w:val="00DA61CD"/>
    <w:rsid w:val="00DA689C"/>
    <w:rsid w:val="00DA6958"/>
    <w:rsid w:val="00DA7975"/>
    <w:rsid w:val="00DB0B77"/>
    <w:rsid w:val="00DB412A"/>
    <w:rsid w:val="00DB4C1E"/>
    <w:rsid w:val="00DB4E5D"/>
    <w:rsid w:val="00DB5582"/>
    <w:rsid w:val="00DB558E"/>
    <w:rsid w:val="00DB59A9"/>
    <w:rsid w:val="00DB5CB0"/>
    <w:rsid w:val="00DB5F07"/>
    <w:rsid w:val="00DB6591"/>
    <w:rsid w:val="00DB6827"/>
    <w:rsid w:val="00DB68EC"/>
    <w:rsid w:val="00DB6E24"/>
    <w:rsid w:val="00DB710C"/>
    <w:rsid w:val="00DB7F2E"/>
    <w:rsid w:val="00DC0484"/>
    <w:rsid w:val="00DC0DC5"/>
    <w:rsid w:val="00DC1645"/>
    <w:rsid w:val="00DC1D07"/>
    <w:rsid w:val="00DC2A65"/>
    <w:rsid w:val="00DC397D"/>
    <w:rsid w:val="00DC3FE7"/>
    <w:rsid w:val="00DC4167"/>
    <w:rsid w:val="00DC43AE"/>
    <w:rsid w:val="00DC454C"/>
    <w:rsid w:val="00DC49E4"/>
    <w:rsid w:val="00DC5ED9"/>
    <w:rsid w:val="00DC6DAA"/>
    <w:rsid w:val="00DD0E62"/>
    <w:rsid w:val="00DD12FA"/>
    <w:rsid w:val="00DD4049"/>
    <w:rsid w:val="00DD43F0"/>
    <w:rsid w:val="00DD4F39"/>
    <w:rsid w:val="00DD56F3"/>
    <w:rsid w:val="00DD7B47"/>
    <w:rsid w:val="00DD7DD2"/>
    <w:rsid w:val="00DE019D"/>
    <w:rsid w:val="00DE0C84"/>
    <w:rsid w:val="00DE1395"/>
    <w:rsid w:val="00DE1CCA"/>
    <w:rsid w:val="00DE3533"/>
    <w:rsid w:val="00DE42BE"/>
    <w:rsid w:val="00DE4A4A"/>
    <w:rsid w:val="00DE4A98"/>
    <w:rsid w:val="00DE62D4"/>
    <w:rsid w:val="00DE6517"/>
    <w:rsid w:val="00DE6696"/>
    <w:rsid w:val="00DE7A98"/>
    <w:rsid w:val="00DF11DA"/>
    <w:rsid w:val="00DF2857"/>
    <w:rsid w:val="00DF439E"/>
    <w:rsid w:val="00DF515F"/>
    <w:rsid w:val="00DF5E25"/>
    <w:rsid w:val="00DF692E"/>
    <w:rsid w:val="00DF7574"/>
    <w:rsid w:val="00E0209F"/>
    <w:rsid w:val="00E02465"/>
    <w:rsid w:val="00E0306C"/>
    <w:rsid w:val="00E03B0F"/>
    <w:rsid w:val="00E04B1B"/>
    <w:rsid w:val="00E050BB"/>
    <w:rsid w:val="00E05366"/>
    <w:rsid w:val="00E062D7"/>
    <w:rsid w:val="00E0726E"/>
    <w:rsid w:val="00E0770E"/>
    <w:rsid w:val="00E121A8"/>
    <w:rsid w:val="00E12255"/>
    <w:rsid w:val="00E122EF"/>
    <w:rsid w:val="00E12431"/>
    <w:rsid w:val="00E12AFE"/>
    <w:rsid w:val="00E13349"/>
    <w:rsid w:val="00E13385"/>
    <w:rsid w:val="00E1369A"/>
    <w:rsid w:val="00E13B28"/>
    <w:rsid w:val="00E1478A"/>
    <w:rsid w:val="00E15265"/>
    <w:rsid w:val="00E15EAA"/>
    <w:rsid w:val="00E15F42"/>
    <w:rsid w:val="00E16015"/>
    <w:rsid w:val="00E173F3"/>
    <w:rsid w:val="00E1761A"/>
    <w:rsid w:val="00E20083"/>
    <w:rsid w:val="00E20BA0"/>
    <w:rsid w:val="00E20CD5"/>
    <w:rsid w:val="00E20E2C"/>
    <w:rsid w:val="00E213B6"/>
    <w:rsid w:val="00E214AD"/>
    <w:rsid w:val="00E22107"/>
    <w:rsid w:val="00E2230A"/>
    <w:rsid w:val="00E22AB7"/>
    <w:rsid w:val="00E22C22"/>
    <w:rsid w:val="00E23B14"/>
    <w:rsid w:val="00E25315"/>
    <w:rsid w:val="00E254BB"/>
    <w:rsid w:val="00E25E29"/>
    <w:rsid w:val="00E273AB"/>
    <w:rsid w:val="00E3103B"/>
    <w:rsid w:val="00E31B65"/>
    <w:rsid w:val="00E337C3"/>
    <w:rsid w:val="00E33EC5"/>
    <w:rsid w:val="00E343D2"/>
    <w:rsid w:val="00E344FC"/>
    <w:rsid w:val="00E34537"/>
    <w:rsid w:val="00E3676E"/>
    <w:rsid w:val="00E378EC"/>
    <w:rsid w:val="00E37E8F"/>
    <w:rsid w:val="00E40655"/>
    <w:rsid w:val="00E4081C"/>
    <w:rsid w:val="00E423E3"/>
    <w:rsid w:val="00E42727"/>
    <w:rsid w:val="00E42DFA"/>
    <w:rsid w:val="00E432BC"/>
    <w:rsid w:val="00E43A90"/>
    <w:rsid w:val="00E43B79"/>
    <w:rsid w:val="00E43C63"/>
    <w:rsid w:val="00E43EE9"/>
    <w:rsid w:val="00E441DD"/>
    <w:rsid w:val="00E44638"/>
    <w:rsid w:val="00E45216"/>
    <w:rsid w:val="00E467C6"/>
    <w:rsid w:val="00E46D13"/>
    <w:rsid w:val="00E50438"/>
    <w:rsid w:val="00E5062F"/>
    <w:rsid w:val="00E50A64"/>
    <w:rsid w:val="00E51ABF"/>
    <w:rsid w:val="00E526BA"/>
    <w:rsid w:val="00E52A63"/>
    <w:rsid w:val="00E5381C"/>
    <w:rsid w:val="00E54422"/>
    <w:rsid w:val="00E56104"/>
    <w:rsid w:val="00E56268"/>
    <w:rsid w:val="00E56348"/>
    <w:rsid w:val="00E60661"/>
    <w:rsid w:val="00E60B19"/>
    <w:rsid w:val="00E60CB3"/>
    <w:rsid w:val="00E60CEA"/>
    <w:rsid w:val="00E61C0D"/>
    <w:rsid w:val="00E6254A"/>
    <w:rsid w:val="00E62C54"/>
    <w:rsid w:val="00E62FBD"/>
    <w:rsid w:val="00E64F48"/>
    <w:rsid w:val="00E6535C"/>
    <w:rsid w:val="00E65C3B"/>
    <w:rsid w:val="00E66F68"/>
    <w:rsid w:val="00E66FF9"/>
    <w:rsid w:val="00E67CA2"/>
    <w:rsid w:val="00E70584"/>
    <w:rsid w:val="00E71537"/>
    <w:rsid w:val="00E7175E"/>
    <w:rsid w:val="00E71B3E"/>
    <w:rsid w:val="00E757BC"/>
    <w:rsid w:val="00E75B7F"/>
    <w:rsid w:val="00E76273"/>
    <w:rsid w:val="00E76CD1"/>
    <w:rsid w:val="00E77070"/>
    <w:rsid w:val="00E7713F"/>
    <w:rsid w:val="00E77C96"/>
    <w:rsid w:val="00E81952"/>
    <w:rsid w:val="00E822DC"/>
    <w:rsid w:val="00E82B52"/>
    <w:rsid w:val="00E82F59"/>
    <w:rsid w:val="00E844EC"/>
    <w:rsid w:val="00E8533C"/>
    <w:rsid w:val="00E85AAE"/>
    <w:rsid w:val="00E85B6B"/>
    <w:rsid w:val="00E9088D"/>
    <w:rsid w:val="00E90F04"/>
    <w:rsid w:val="00E9138F"/>
    <w:rsid w:val="00E91760"/>
    <w:rsid w:val="00E92201"/>
    <w:rsid w:val="00E92469"/>
    <w:rsid w:val="00E92B0E"/>
    <w:rsid w:val="00E92F4B"/>
    <w:rsid w:val="00E934D6"/>
    <w:rsid w:val="00E9477A"/>
    <w:rsid w:val="00E950CC"/>
    <w:rsid w:val="00E95185"/>
    <w:rsid w:val="00E96D7D"/>
    <w:rsid w:val="00EA03C4"/>
    <w:rsid w:val="00EA0A51"/>
    <w:rsid w:val="00EA1BA5"/>
    <w:rsid w:val="00EA25FA"/>
    <w:rsid w:val="00EA3119"/>
    <w:rsid w:val="00EA322F"/>
    <w:rsid w:val="00EA3F7A"/>
    <w:rsid w:val="00EA4D2C"/>
    <w:rsid w:val="00EA6A10"/>
    <w:rsid w:val="00EA7133"/>
    <w:rsid w:val="00EA747F"/>
    <w:rsid w:val="00EA763E"/>
    <w:rsid w:val="00EA7E6E"/>
    <w:rsid w:val="00EB0540"/>
    <w:rsid w:val="00EB0D13"/>
    <w:rsid w:val="00EB1B96"/>
    <w:rsid w:val="00EB2706"/>
    <w:rsid w:val="00EB2E10"/>
    <w:rsid w:val="00EB3943"/>
    <w:rsid w:val="00EB5288"/>
    <w:rsid w:val="00EB52D2"/>
    <w:rsid w:val="00EB6396"/>
    <w:rsid w:val="00EB6416"/>
    <w:rsid w:val="00EB6510"/>
    <w:rsid w:val="00EB67EF"/>
    <w:rsid w:val="00EB694F"/>
    <w:rsid w:val="00EB717E"/>
    <w:rsid w:val="00EB76DB"/>
    <w:rsid w:val="00EC0003"/>
    <w:rsid w:val="00EC0981"/>
    <w:rsid w:val="00EC0A86"/>
    <w:rsid w:val="00EC26F8"/>
    <w:rsid w:val="00EC2B76"/>
    <w:rsid w:val="00EC3A5C"/>
    <w:rsid w:val="00EC4129"/>
    <w:rsid w:val="00EC4C32"/>
    <w:rsid w:val="00EC527B"/>
    <w:rsid w:val="00EC7A04"/>
    <w:rsid w:val="00EC7B34"/>
    <w:rsid w:val="00ED146A"/>
    <w:rsid w:val="00ED1C88"/>
    <w:rsid w:val="00ED1CF1"/>
    <w:rsid w:val="00ED29C0"/>
    <w:rsid w:val="00ED3B71"/>
    <w:rsid w:val="00ED513F"/>
    <w:rsid w:val="00ED58C4"/>
    <w:rsid w:val="00ED63F4"/>
    <w:rsid w:val="00ED66C1"/>
    <w:rsid w:val="00ED6847"/>
    <w:rsid w:val="00ED6AAD"/>
    <w:rsid w:val="00EE0FF8"/>
    <w:rsid w:val="00EE12BF"/>
    <w:rsid w:val="00EE136C"/>
    <w:rsid w:val="00EE1C7C"/>
    <w:rsid w:val="00EE2E7C"/>
    <w:rsid w:val="00EE3580"/>
    <w:rsid w:val="00EE4007"/>
    <w:rsid w:val="00EE5AD4"/>
    <w:rsid w:val="00EF05C6"/>
    <w:rsid w:val="00EF29B1"/>
    <w:rsid w:val="00EF4474"/>
    <w:rsid w:val="00EF45B2"/>
    <w:rsid w:val="00EF6288"/>
    <w:rsid w:val="00EF6C35"/>
    <w:rsid w:val="00EF6C3F"/>
    <w:rsid w:val="00EF770A"/>
    <w:rsid w:val="00EF7E0C"/>
    <w:rsid w:val="00F04022"/>
    <w:rsid w:val="00F04027"/>
    <w:rsid w:val="00F04742"/>
    <w:rsid w:val="00F04F31"/>
    <w:rsid w:val="00F05379"/>
    <w:rsid w:val="00F0611B"/>
    <w:rsid w:val="00F06555"/>
    <w:rsid w:val="00F06FE7"/>
    <w:rsid w:val="00F07B91"/>
    <w:rsid w:val="00F07FC4"/>
    <w:rsid w:val="00F10577"/>
    <w:rsid w:val="00F13364"/>
    <w:rsid w:val="00F144FC"/>
    <w:rsid w:val="00F145D3"/>
    <w:rsid w:val="00F1531A"/>
    <w:rsid w:val="00F16D04"/>
    <w:rsid w:val="00F17F57"/>
    <w:rsid w:val="00F2043D"/>
    <w:rsid w:val="00F213B5"/>
    <w:rsid w:val="00F21BB8"/>
    <w:rsid w:val="00F22414"/>
    <w:rsid w:val="00F225B7"/>
    <w:rsid w:val="00F2369F"/>
    <w:rsid w:val="00F23996"/>
    <w:rsid w:val="00F239C7"/>
    <w:rsid w:val="00F2454B"/>
    <w:rsid w:val="00F2502F"/>
    <w:rsid w:val="00F25BD6"/>
    <w:rsid w:val="00F2719D"/>
    <w:rsid w:val="00F278EA"/>
    <w:rsid w:val="00F316CB"/>
    <w:rsid w:val="00F328F8"/>
    <w:rsid w:val="00F32D5C"/>
    <w:rsid w:val="00F3303F"/>
    <w:rsid w:val="00F330F3"/>
    <w:rsid w:val="00F36061"/>
    <w:rsid w:val="00F360A4"/>
    <w:rsid w:val="00F366EC"/>
    <w:rsid w:val="00F367C0"/>
    <w:rsid w:val="00F402D8"/>
    <w:rsid w:val="00F410DA"/>
    <w:rsid w:val="00F41B13"/>
    <w:rsid w:val="00F42B20"/>
    <w:rsid w:val="00F4442D"/>
    <w:rsid w:val="00F44624"/>
    <w:rsid w:val="00F44764"/>
    <w:rsid w:val="00F460A6"/>
    <w:rsid w:val="00F47EB1"/>
    <w:rsid w:val="00F50079"/>
    <w:rsid w:val="00F50D40"/>
    <w:rsid w:val="00F514D2"/>
    <w:rsid w:val="00F51542"/>
    <w:rsid w:val="00F51DF2"/>
    <w:rsid w:val="00F51E8E"/>
    <w:rsid w:val="00F52B3E"/>
    <w:rsid w:val="00F52E9F"/>
    <w:rsid w:val="00F532CF"/>
    <w:rsid w:val="00F53CD9"/>
    <w:rsid w:val="00F53FFA"/>
    <w:rsid w:val="00F54191"/>
    <w:rsid w:val="00F545A5"/>
    <w:rsid w:val="00F5488D"/>
    <w:rsid w:val="00F54CF1"/>
    <w:rsid w:val="00F55992"/>
    <w:rsid w:val="00F57F7B"/>
    <w:rsid w:val="00F6037D"/>
    <w:rsid w:val="00F61563"/>
    <w:rsid w:val="00F61AA5"/>
    <w:rsid w:val="00F61C76"/>
    <w:rsid w:val="00F62298"/>
    <w:rsid w:val="00F64295"/>
    <w:rsid w:val="00F64557"/>
    <w:rsid w:val="00F655FA"/>
    <w:rsid w:val="00F6661D"/>
    <w:rsid w:val="00F66C7D"/>
    <w:rsid w:val="00F67004"/>
    <w:rsid w:val="00F67B4C"/>
    <w:rsid w:val="00F67BC6"/>
    <w:rsid w:val="00F7036B"/>
    <w:rsid w:val="00F705AC"/>
    <w:rsid w:val="00F70D94"/>
    <w:rsid w:val="00F7247A"/>
    <w:rsid w:val="00F7271B"/>
    <w:rsid w:val="00F72996"/>
    <w:rsid w:val="00F73E73"/>
    <w:rsid w:val="00F745B3"/>
    <w:rsid w:val="00F74CC1"/>
    <w:rsid w:val="00F7508E"/>
    <w:rsid w:val="00F757EB"/>
    <w:rsid w:val="00F777FA"/>
    <w:rsid w:val="00F809E9"/>
    <w:rsid w:val="00F8116B"/>
    <w:rsid w:val="00F82A26"/>
    <w:rsid w:val="00F82A37"/>
    <w:rsid w:val="00F8377A"/>
    <w:rsid w:val="00F83BDB"/>
    <w:rsid w:val="00F840C6"/>
    <w:rsid w:val="00F858A5"/>
    <w:rsid w:val="00F860E0"/>
    <w:rsid w:val="00F86916"/>
    <w:rsid w:val="00F86EDC"/>
    <w:rsid w:val="00F87B77"/>
    <w:rsid w:val="00F930BE"/>
    <w:rsid w:val="00F93992"/>
    <w:rsid w:val="00F939E1"/>
    <w:rsid w:val="00F93A79"/>
    <w:rsid w:val="00F93BEC"/>
    <w:rsid w:val="00F9584C"/>
    <w:rsid w:val="00F95D1C"/>
    <w:rsid w:val="00F9660E"/>
    <w:rsid w:val="00F974D9"/>
    <w:rsid w:val="00FA0219"/>
    <w:rsid w:val="00FA084D"/>
    <w:rsid w:val="00FA08E5"/>
    <w:rsid w:val="00FA12BE"/>
    <w:rsid w:val="00FA1FEA"/>
    <w:rsid w:val="00FA2718"/>
    <w:rsid w:val="00FA2C19"/>
    <w:rsid w:val="00FA408A"/>
    <w:rsid w:val="00FA4EFF"/>
    <w:rsid w:val="00FA6BB9"/>
    <w:rsid w:val="00FA7548"/>
    <w:rsid w:val="00FB1242"/>
    <w:rsid w:val="00FB1B1D"/>
    <w:rsid w:val="00FB2BB7"/>
    <w:rsid w:val="00FB428B"/>
    <w:rsid w:val="00FB4652"/>
    <w:rsid w:val="00FB5DA0"/>
    <w:rsid w:val="00FB66CF"/>
    <w:rsid w:val="00FB6913"/>
    <w:rsid w:val="00FB691E"/>
    <w:rsid w:val="00FB69A0"/>
    <w:rsid w:val="00FB6AC5"/>
    <w:rsid w:val="00FB70BE"/>
    <w:rsid w:val="00FB75C4"/>
    <w:rsid w:val="00FB77C7"/>
    <w:rsid w:val="00FB7EF1"/>
    <w:rsid w:val="00FC0175"/>
    <w:rsid w:val="00FC0BCA"/>
    <w:rsid w:val="00FC119C"/>
    <w:rsid w:val="00FC1876"/>
    <w:rsid w:val="00FC1DA3"/>
    <w:rsid w:val="00FC27B0"/>
    <w:rsid w:val="00FC3274"/>
    <w:rsid w:val="00FC3AA2"/>
    <w:rsid w:val="00FC7C7F"/>
    <w:rsid w:val="00FD167E"/>
    <w:rsid w:val="00FD280A"/>
    <w:rsid w:val="00FD34DC"/>
    <w:rsid w:val="00FD3C57"/>
    <w:rsid w:val="00FD4D96"/>
    <w:rsid w:val="00FD529A"/>
    <w:rsid w:val="00FE05A6"/>
    <w:rsid w:val="00FE0EA5"/>
    <w:rsid w:val="00FE1058"/>
    <w:rsid w:val="00FE187B"/>
    <w:rsid w:val="00FE1D06"/>
    <w:rsid w:val="00FE20EA"/>
    <w:rsid w:val="00FE2800"/>
    <w:rsid w:val="00FE42B8"/>
    <w:rsid w:val="00FE42FF"/>
    <w:rsid w:val="00FE452C"/>
    <w:rsid w:val="00FE4ABB"/>
    <w:rsid w:val="00FE55C1"/>
    <w:rsid w:val="00FE5D78"/>
    <w:rsid w:val="00FE6980"/>
    <w:rsid w:val="00FE6E34"/>
    <w:rsid w:val="00FE706D"/>
    <w:rsid w:val="00FE744A"/>
    <w:rsid w:val="00FF117D"/>
    <w:rsid w:val="00FF166F"/>
    <w:rsid w:val="00FF17B4"/>
    <w:rsid w:val="00FF19C3"/>
    <w:rsid w:val="00FF1A05"/>
    <w:rsid w:val="00FF1DAF"/>
    <w:rsid w:val="00FF1E76"/>
    <w:rsid w:val="00FF3892"/>
    <w:rsid w:val="00FF4759"/>
    <w:rsid w:val="00FF4D2B"/>
    <w:rsid w:val="00FF52B0"/>
    <w:rsid w:val="00FF5698"/>
    <w:rsid w:val="00FF59BF"/>
    <w:rsid w:val="00FF5B11"/>
    <w:rsid w:val="00FF6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88E82"/>
  <w15:docId w15:val="{A39D06A4-7CF4-46AA-8199-60D9F757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5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43A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A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AE28F9"/>
    <w:pPr>
      <w:keepNext/>
      <w:spacing w:before="240"/>
      <w:ind w:left="-567" w:right="43"/>
      <w:jc w:val="both"/>
      <w:outlineLvl w:val="2"/>
    </w:pPr>
    <w:rPr>
      <w:rFonts w:ascii="Tahoma" w:hAnsi="Tahoma"/>
      <w:b/>
      <w:szCs w:val="20"/>
      <w:lang w:val="fr-FR" w:eastAsia="fr-FR" w:bidi="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3A5F"/>
    <w:rPr>
      <w:rFonts w:ascii="Arial" w:hAnsi="Arial" w:cs="Arial" w:hint="default"/>
      <w:color w:val="0000FF"/>
      <w:sz w:val="16"/>
      <w:u w:val="single"/>
    </w:rPr>
  </w:style>
  <w:style w:type="paragraph" w:styleId="TOC1">
    <w:name w:val="toc 1"/>
    <w:basedOn w:val="Normal"/>
    <w:next w:val="Normal"/>
    <w:autoRedefine/>
    <w:uiPriority w:val="39"/>
    <w:unhideWhenUsed/>
    <w:rsid w:val="00042341"/>
    <w:pPr>
      <w:tabs>
        <w:tab w:val="right" w:leader="dot" w:pos="9060"/>
      </w:tabs>
      <w:ind w:left="709" w:hanging="709"/>
    </w:pPr>
    <w:rPr>
      <w:rFonts w:ascii="Arial" w:hAnsi="Arial" w:cs="Arial"/>
      <w:b/>
      <w:bCs/>
      <w:noProof/>
      <w:snapToGrid w:val="0"/>
      <w:sz w:val="20"/>
      <w:szCs w:val="20"/>
      <w:lang w:val="fr-FR" w:eastAsia="fr-FR"/>
    </w:rPr>
  </w:style>
  <w:style w:type="paragraph" w:styleId="TOC2">
    <w:name w:val="toc 2"/>
    <w:basedOn w:val="Normal"/>
    <w:next w:val="Normal"/>
    <w:autoRedefine/>
    <w:uiPriority w:val="39"/>
    <w:unhideWhenUsed/>
    <w:rsid w:val="00421741"/>
    <w:pPr>
      <w:tabs>
        <w:tab w:val="left" w:pos="284"/>
        <w:tab w:val="left" w:pos="567"/>
        <w:tab w:val="right" w:leader="dot" w:pos="8931"/>
        <w:tab w:val="right" w:leader="dot" w:pos="9060"/>
      </w:tabs>
      <w:spacing w:line="360" w:lineRule="auto"/>
      <w:ind w:left="284" w:right="118"/>
      <w:jc w:val="both"/>
    </w:pPr>
    <w:rPr>
      <w:rFonts w:ascii="Arial" w:hAnsi="Arial" w:cs="Arial"/>
      <w:sz w:val="20"/>
      <w:szCs w:val="20"/>
      <w:lang w:val="fr-FR"/>
    </w:rPr>
  </w:style>
  <w:style w:type="paragraph" w:styleId="TOC3">
    <w:name w:val="toc 3"/>
    <w:basedOn w:val="Normal"/>
    <w:next w:val="Normal"/>
    <w:autoRedefine/>
    <w:uiPriority w:val="39"/>
    <w:unhideWhenUsed/>
    <w:rsid w:val="0022429C"/>
    <w:pPr>
      <w:tabs>
        <w:tab w:val="right" w:leader="dot" w:pos="9060"/>
      </w:tabs>
      <w:ind w:left="284" w:right="1084" w:hanging="284"/>
      <w:jc w:val="both"/>
    </w:pPr>
    <w:rPr>
      <w:rFonts w:ascii="Arial" w:hAnsi="Arial" w:cs="Arial"/>
      <w:sz w:val="20"/>
      <w:szCs w:val="20"/>
      <w:lang w:val="fr-FR"/>
    </w:rPr>
  </w:style>
  <w:style w:type="character" w:customStyle="1" w:styleId="COEHeading1Char">
    <w:name w:val="COE_Heading1 Char"/>
    <w:link w:val="COEHeading1"/>
    <w:locked/>
    <w:rsid w:val="00443A5F"/>
    <w:rPr>
      <w:rFonts w:ascii="Arial" w:hAnsi="Arial" w:cs="Arial"/>
      <w:b/>
      <w:bCs/>
      <w:caps/>
      <w:noProof/>
      <w:color w:val="000000"/>
      <w:lang w:eastAsia="fr-FR"/>
    </w:rPr>
  </w:style>
  <w:style w:type="paragraph" w:customStyle="1" w:styleId="COEHeading1">
    <w:name w:val="COE_Heading1"/>
    <w:basedOn w:val="Heading1"/>
    <w:link w:val="COEHeading1Char"/>
    <w:rsid w:val="00443A5F"/>
    <w:pPr>
      <w:keepNext w:val="0"/>
      <w:keepLines w:val="0"/>
      <w:snapToGrid w:val="0"/>
      <w:spacing w:before="0"/>
      <w:ind w:left="567" w:right="70" w:hanging="567"/>
    </w:pPr>
    <w:rPr>
      <w:rFonts w:ascii="Arial" w:eastAsiaTheme="minorHAnsi" w:hAnsi="Arial" w:cs="Arial"/>
      <w:caps/>
      <w:noProof/>
      <w:color w:val="000000"/>
      <w:sz w:val="22"/>
      <w:szCs w:val="22"/>
      <w:lang w:val="en-US" w:eastAsia="fr-FR"/>
    </w:rPr>
  </w:style>
  <w:style w:type="character" w:customStyle="1" w:styleId="Heading1Char">
    <w:name w:val="Heading 1 Char"/>
    <w:basedOn w:val="DefaultParagraphFont"/>
    <w:link w:val="Heading1"/>
    <w:uiPriority w:val="9"/>
    <w:rsid w:val="00443A5F"/>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443A5F"/>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443A5F"/>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link w:val="ListParagraphChar"/>
    <w:uiPriority w:val="34"/>
    <w:qFormat/>
    <w:rsid w:val="0019496B"/>
    <w:pPr>
      <w:ind w:left="720"/>
      <w:contextualSpacing/>
    </w:pPr>
  </w:style>
  <w:style w:type="character" w:customStyle="1" w:styleId="COETitreChar">
    <w:name w:val="COE_Titre Char"/>
    <w:link w:val="COETitre"/>
    <w:locked/>
    <w:rsid w:val="006A1125"/>
    <w:rPr>
      <w:rFonts w:ascii="Arial" w:hAnsi="Arial" w:cs="Arial"/>
      <w:sz w:val="36"/>
      <w:lang w:eastAsia="fr-FR"/>
    </w:rPr>
  </w:style>
  <w:style w:type="paragraph" w:customStyle="1" w:styleId="COETitre">
    <w:name w:val="COE_Titre"/>
    <w:basedOn w:val="Normal"/>
    <w:link w:val="COETitreChar"/>
    <w:rsid w:val="006A1125"/>
    <w:pPr>
      <w:jc w:val="both"/>
    </w:pPr>
    <w:rPr>
      <w:rFonts w:ascii="Arial" w:eastAsiaTheme="minorHAnsi" w:hAnsi="Arial" w:cs="Arial"/>
      <w:sz w:val="36"/>
      <w:szCs w:val="22"/>
      <w:lang w:val="en-US" w:eastAsia="fr-FR"/>
    </w:rPr>
  </w:style>
  <w:style w:type="paragraph" w:styleId="Header">
    <w:name w:val="header"/>
    <w:basedOn w:val="Normal"/>
    <w:link w:val="HeaderChar"/>
    <w:unhideWhenUsed/>
    <w:rsid w:val="00B4001B"/>
    <w:pPr>
      <w:tabs>
        <w:tab w:val="center" w:pos="4680"/>
        <w:tab w:val="right" w:pos="9360"/>
      </w:tabs>
    </w:pPr>
  </w:style>
  <w:style w:type="character" w:customStyle="1" w:styleId="HeaderChar">
    <w:name w:val="Header Char"/>
    <w:basedOn w:val="DefaultParagraphFont"/>
    <w:link w:val="Header"/>
    <w:rsid w:val="00B4001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4001B"/>
    <w:pPr>
      <w:tabs>
        <w:tab w:val="center" w:pos="4680"/>
        <w:tab w:val="right" w:pos="9360"/>
      </w:tabs>
    </w:pPr>
  </w:style>
  <w:style w:type="character" w:customStyle="1" w:styleId="FooterChar">
    <w:name w:val="Footer Char"/>
    <w:basedOn w:val="DefaultParagraphFont"/>
    <w:link w:val="Footer"/>
    <w:uiPriority w:val="99"/>
    <w:rsid w:val="00B4001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B7368"/>
    <w:rPr>
      <w:rFonts w:ascii="Tahoma" w:hAnsi="Tahoma" w:cs="Tahoma"/>
      <w:sz w:val="16"/>
      <w:szCs w:val="16"/>
    </w:rPr>
  </w:style>
  <w:style w:type="character" w:customStyle="1" w:styleId="BalloonTextChar">
    <w:name w:val="Balloon Text Char"/>
    <w:basedOn w:val="DefaultParagraphFont"/>
    <w:link w:val="BalloonText"/>
    <w:uiPriority w:val="99"/>
    <w:semiHidden/>
    <w:rsid w:val="007B7368"/>
    <w:rPr>
      <w:rFonts w:ascii="Tahoma" w:eastAsia="Times New Roman" w:hAnsi="Tahoma" w:cs="Tahoma"/>
      <w:sz w:val="16"/>
      <w:szCs w:val="16"/>
      <w:lang w:val="en-GB"/>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heme="minorHAnsi" w:hAnsi="Minion Pro" w:cs="Minion Pro"/>
      <w:color w:val="000000"/>
      <w:lang w:val="fr-FR"/>
    </w:rPr>
  </w:style>
  <w:style w:type="character" w:customStyle="1" w:styleId="Heading3Char">
    <w:name w:val="Heading 3 Char"/>
    <w:basedOn w:val="DefaultParagraphFont"/>
    <w:link w:val="Heading3"/>
    <w:uiPriority w:val="9"/>
    <w:rsid w:val="00AE28F9"/>
    <w:rPr>
      <w:rFonts w:ascii="Tahoma" w:eastAsia="Times New Roman" w:hAnsi="Tahoma" w:cs="Times New Roman"/>
      <w:b/>
      <w:sz w:val="24"/>
      <w:szCs w:val="20"/>
      <w:lang w:val="fr-FR" w:eastAsia="fr-FR" w:bidi="fr-FR"/>
    </w:rPr>
  </w:style>
  <w:style w:type="character" w:customStyle="1" w:styleId="shorttext">
    <w:name w:val="short_text"/>
    <w:basedOn w:val="DefaultParagraphFont"/>
    <w:rsid w:val="00FF6CAF"/>
  </w:style>
  <w:style w:type="character" w:styleId="CommentReference">
    <w:name w:val="annotation reference"/>
    <w:basedOn w:val="DefaultParagraphFont"/>
    <w:uiPriority w:val="99"/>
    <w:semiHidden/>
    <w:unhideWhenUsed/>
    <w:rsid w:val="00381F90"/>
    <w:rPr>
      <w:sz w:val="16"/>
      <w:szCs w:val="16"/>
    </w:rPr>
  </w:style>
  <w:style w:type="paragraph" w:styleId="CommentText">
    <w:name w:val="annotation text"/>
    <w:basedOn w:val="Normal"/>
    <w:link w:val="CommentTextChar"/>
    <w:uiPriority w:val="99"/>
    <w:unhideWhenUsed/>
    <w:rsid w:val="00381F90"/>
    <w:rPr>
      <w:sz w:val="20"/>
      <w:szCs w:val="20"/>
    </w:rPr>
  </w:style>
  <w:style w:type="character" w:customStyle="1" w:styleId="CommentTextChar">
    <w:name w:val="Comment Text Char"/>
    <w:basedOn w:val="DefaultParagraphFont"/>
    <w:link w:val="CommentText"/>
    <w:uiPriority w:val="99"/>
    <w:rsid w:val="00381F9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81F90"/>
    <w:rPr>
      <w:b/>
      <w:bCs/>
    </w:rPr>
  </w:style>
  <w:style w:type="character" w:customStyle="1" w:styleId="CommentSubjectChar">
    <w:name w:val="Comment Subject Char"/>
    <w:basedOn w:val="CommentTextChar"/>
    <w:link w:val="CommentSubject"/>
    <w:uiPriority w:val="99"/>
    <w:semiHidden/>
    <w:rsid w:val="00381F90"/>
    <w:rPr>
      <w:rFonts w:ascii="Times New Roman" w:eastAsia="Times New Roman" w:hAnsi="Times New Roman" w:cs="Times New Roman"/>
      <w:b/>
      <w:bCs/>
      <w:sz w:val="20"/>
      <w:szCs w:val="20"/>
      <w:lang w:val="en-GB"/>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fussnote,5_G"/>
    <w:basedOn w:val="Normal"/>
    <w:link w:val="FootnoteTextChar"/>
    <w:unhideWhenUsed/>
    <w:rsid w:val="00740021"/>
    <w:rPr>
      <w:sz w:val="20"/>
      <w:szCs w:val="20"/>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fussnote Char,5_G Char"/>
    <w:basedOn w:val="DefaultParagraphFont"/>
    <w:link w:val="FootnoteText"/>
    <w:rsid w:val="00740021"/>
    <w:rPr>
      <w:rFonts w:ascii="Times New Roman" w:eastAsia="Times New Roman" w:hAnsi="Times New Roman" w:cs="Times New Roman"/>
      <w:sz w:val="20"/>
      <w:szCs w:val="20"/>
      <w:lang w:val="en-GB"/>
    </w:rPr>
  </w:style>
  <w:style w:type="character" w:styleId="FootnoteReference">
    <w:name w:val="footnote reference"/>
    <w:aliases w:val="SUPERS,Footnote symbol,Times 10 Point,Exposant 3 Point,Footnote,Fußnotenzeichen_Raxen,Car Char Car Char Car Char Char Char Char Char Char Char,Footnote Refernece Char Char,Footnote Refernece Char,Footnotes refss,callout,BVI fnr"/>
    <w:basedOn w:val="DefaultParagraphFont"/>
    <w:link w:val="Char2"/>
    <w:unhideWhenUsed/>
    <w:qFormat/>
    <w:rsid w:val="00740021"/>
    <w:rPr>
      <w:vertAlign w:val="superscript"/>
    </w:rPr>
  </w:style>
  <w:style w:type="paragraph" w:customStyle="1" w:styleId="Default">
    <w:name w:val="Default"/>
    <w:rsid w:val="00D51216"/>
    <w:pPr>
      <w:autoSpaceDE w:val="0"/>
      <w:autoSpaceDN w:val="0"/>
      <w:adjustRightInd w:val="0"/>
      <w:spacing w:after="0" w:line="240" w:lineRule="auto"/>
    </w:pPr>
    <w:rPr>
      <w:rFonts w:ascii="Calibri" w:hAnsi="Calibri" w:cs="Calibri"/>
      <w:color w:val="000000"/>
      <w:sz w:val="24"/>
      <w:szCs w:val="24"/>
      <w:lang w:val="el-GR"/>
    </w:rPr>
  </w:style>
  <w:style w:type="paragraph" w:customStyle="1" w:styleId="abzacixml">
    <w:name w:val="abzaci_xml"/>
    <w:basedOn w:val="PlainText"/>
    <w:link w:val="abzacixmlChar"/>
    <w:autoRedefine/>
    <w:uiPriority w:val="99"/>
    <w:qFormat/>
    <w:rsid w:val="008F52C7"/>
    <w:pPr>
      <w:ind w:firstLine="283"/>
      <w:jc w:val="both"/>
    </w:pPr>
    <w:rPr>
      <w:rFonts w:ascii="Sylfaen" w:hAnsi="Sylfaen" w:cs="Times New Roman"/>
      <w:noProof/>
      <w:sz w:val="22"/>
      <w:szCs w:val="22"/>
      <w:lang w:val="ka-GE"/>
    </w:rPr>
  </w:style>
  <w:style w:type="character" w:customStyle="1" w:styleId="abzacixmlChar">
    <w:name w:val="abzaci_xml Char"/>
    <w:link w:val="abzacixml"/>
    <w:uiPriority w:val="99"/>
    <w:rsid w:val="008F52C7"/>
    <w:rPr>
      <w:rFonts w:ascii="Sylfaen" w:eastAsia="Times New Roman" w:hAnsi="Sylfaen" w:cs="Times New Roman"/>
      <w:noProof/>
      <w:lang w:val="ka-GE"/>
    </w:rPr>
  </w:style>
  <w:style w:type="paragraph" w:styleId="PlainText">
    <w:name w:val="Plain Text"/>
    <w:basedOn w:val="Normal"/>
    <w:link w:val="PlainTextChar"/>
    <w:uiPriority w:val="99"/>
    <w:semiHidden/>
    <w:unhideWhenUsed/>
    <w:rsid w:val="008F52C7"/>
    <w:rPr>
      <w:rFonts w:ascii="Consolas" w:hAnsi="Consolas" w:cs="Consolas"/>
      <w:sz w:val="21"/>
      <w:szCs w:val="21"/>
    </w:rPr>
  </w:style>
  <w:style w:type="character" w:customStyle="1" w:styleId="PlainTextChar">
    <w:name w:val="Plain Text Char"/>
    <w:basedOn w:val="DefaultParagraphFont"/>
    <w:link w:val="PlainText"/>
    <w:uiPriority w:val="99"/>
    <w:semiHidden/>
    <w:rsid w:val="008F52C7"/>
    <w:rPr>
      <w:rFonts w:ascii="Consolas" w:eastAsia="Times New Roman" w:hAnsi="Consolas" w:cs="Consolas"/>
      <w:sz w:val="21"/>
      <w:szCs w:val="21"/>
      <w:lang w:val="en-GB"/>
    </w:rPr>
  </w:style>
  <w:style w:type="character" w:customStyle="1" w:styleId="xbe">
    <w:name w:val="_xbe"/>
    <w:basedOn w:val="DefaultParagraphFont"/>
    <w:rsid w:val="008629D0"/>
  </w:style>
  <w:style w:type="character" w:customStyle="1" w:styleId="st1">
    <w:name w:val="st1"/>
    <w:basedOn w:val="DefaultParagraphFont"/>
    <w:rsid w:val="008629D0"/>
  </w:style>
  <w:style w:type="character" w:styleId="FollowedHyperlink">
    <w:name w:val="FollowedHyperlink"/>
    <w:basedOn w:val="DefaultParagraphFont"/>
    <w:uiPriority w:val="99"/>
    <w:semiHidden/>
    <w:unhideWhenUsed/>
    <w:rsid w:val="008629D0"/>
    <w:rPr>
      <w:color w:val="800080" w:themeColor="followedHyperlink"/>
      <w:u w:val="single"/>
    </w:rPr>
  </w:style>
  <w:style w:type="character" w:styleId="Strong">
    <w:name w:val="Strong"/>
    <w:basedOn w:val="DefaultParagraphFont"/>
    <w:uiPriority w:val="22"/>
    <w:qFormat/>
    <w:rsid w:val="008629D0"/>
    <w:rPr>
      <w:b/>
      <w:bCs/>
    </w:rPr>
  </w:style>
  <w:style w:type="character" w:styleId="Emphasis">
    <w:name w:val="Emphasis"/>
    <w:basedOn w:val="DefaultParagraphFont"/>
    <w:uiPriority w:val="20"/>
    <w:qFormat/>
    <w:rsid w:val="008629D0"/>
    <w:rPr>
      <w:b/>
      <w:bCs/>
      <w:i w:val="0"/>
      <w:iCs w:val="0"/>
    </w:rPr>
  </w:style>
  <w:style w:type="paragraph" w:customStyle="1" w:styleId="COEFootnote">
    <w:name w:val="COE_Footnote"/>
    <w:basedOn w:val="FootnoteText"/>
    <w:link w:val="COEFootnoteChar"/>
    <w:qFormat/>
    <w:rsid w:val="008629D0"/>
    <w:pPr>
      <w:jc w:val="both"/>
    </w:pPr>
    <w:rPr>
      <w:rFonts w:ascii="Times" w:hAnsi="Times"/>
      <w:sz w:val="22"/>
      <w:szCs w:val="24"/>
      <w:lang w:val="fr-FR"/>
    </w:rPr>
  </w:style>
  <w:style w:type="table" w:styleId="TableGrid">
    <w:name w:val="Table Grid"/>
    <w:basedOn w:val="TableNormal"/>
    <w:rsid w:val="008629D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rsid w:val="008629D0"/>
    <w:rPr>
      <w:rFonts w:ascii="Times" w:eastAsia="Times New Roman" w:hAnsi="Times" w:cs="Times New Roman"/>
      <w:szCs w:val="24"/>
      <w:lang w:val="fr-FR"/>
    </w:rPr>
  </w:style>
  <w:style w:type="paragraph" w:styleId="NormalWeb">
    <w:name w:val="Normal (Web)"/>
    <w:basedOn w:val="Normal"/>
    <w:uiPriority w:val="99"/>
    <w:unhideWhenUsed/>
    <w:rsid w:val="008629D0"/>
    <w:pPr>
      <w:spacing w:before="100" w:beforeAutospacing="1" w:after="100" w:afterAutospacing="1"/>
    </w:pPr>
    <w:rPr>
      <w:rFonts w:eastAsiaTheme="minorHAnsi"/>
      <w:lang w:val="en-US"/>
    </w:rPr>
  </w:style>
  <w:style w:type="paragraph" w:customStyle="1" w:styleId="COETitreRapport">
    <w:name w:val="COE_Titre_Rapport"/>
    <w:basedOn w:val="COETitre"/>
    <w:rsid w:val="00677F5B"/>
    <w:pPr>
      <w:jc w:val="left"/>
    </w:pPr>
    <w:rPr>
      <w:rFonts w:eastAsia="Times New Roman"/>
      <w:b/>
      <w:sz w:val="32"/>
      <w:szCs w:val="20"/>
    </w:rPr>
  </w:style>
  <w:style w:type="paragraph" w:customStyle="1" w:styleId="FootnoteReference0">
    <w:name w:val="Footnote_Reference"/>
    <w:basedOn w:val="Normal"/>
    <w:link w:val="FootnoteReferenceChar"/>
    <w:autoRedefine/>
    <w:rsid w:val="00677F5B"/>
    <w:pPr>
      <w:jc w:val="both"/>
    </w:pPr>
    <w:rPr>
      <w:rFonts w:ascii="Arial" w:hAnsi="Arial"/>
      <w:sz w:val="16"/>
      <w:szCs w:val="16"/>
      <w:vertAlign w:val="superscript"/>
      <w:lang w:val="fr-FR"/>
    </w:rPr>
  </w:style>
  <w:style w:type="character" w:customStyle="1" w:styleId="FootnoteReferenceChar">
    <w:name w:val="Footnote_Reference Char"/>
    <w:link w:val="FootnoteReference0"/>
    <w:rsid w:val="00677F5B"/>
    <w:rPr>
      <w:rFonts w:ascii="Arial" w:eastAsia="Times New Roman" w:hAnsi="Arial" w:cs="Times New Roman"/>
      <w:sz w:val="16"/>
      <w:szCs w:val="16"/>
      <w:vertAlign w:val="superscript"/>
      <w:lang w:val="fr-FR"/>
    </w:rPr>
  </w:style>
  <w:style w:type="character" w:customStyle="1" w:styleId="lrzxr">
    <w:name w:val="lrzxr"/>
    <w:basedOn w:val="DefaultParagraphFont"/>
    <w:rsid w:val="00173645"/>
  </w:style>
  <w:style w:type="character" w:styleId="HTMLCite">
    <w:name w:val="HTML Cite"/>
    <w:basedOn w:val="DefaultParagraphFont"/>
    <w:uiPriority w:val="99"/>
    <w:semiHidden/>
    <w:unhideWhenUsed/>
    <w:rsid w:val="00664ADB"/>
    <w:rPr>
      <w:i/>
      <w:iCs/>
    </w:rPr>
  </w:style>
  <w:style w:type="paragraph" w:styleId="Revision">
    <w:name w:val="Revision"/>
    <w:hidden/>
    <w:uiPriority w:val="99"/>
    <w:semiHidden/>
    <w:rsid w:val="0066514A"/>
    <w:pPr>
      <w:spacing w:after="0" w:line="240" w:lineRule="auto"/>
    </w:pPr>
    <w:rPr>
      <w:rFonts w:ascii="Times New Roman" w:eastAsia="Times New Roman" w:hAnsi="Times New Roman" w:cs="Times New Roman"/>
      <w:sz w:val="24"/>
      <w:szCs w:val="24"/>
      <w:lang w:val="en-GB"/>
    </w:rPr>
  </w:style>
  <w:style w:type="paragraph" w:customStyle="1" w:styleId="11Dash-2">
    <w:name w:val="11. Dash-2"/>
    <w:basedOn w:val="Normal"/>
    <w:rsid w:val="000360E2"/>
    <w:pPr>
      <w:numPr>
        <w:numId w:val="1"/>
      </w:numPr>
    </w:pPr>
  </w:style>
  <w:style w:type="character" w:customStyle="1" w:styleId="css-4x41l7">
    <w:name w:val="css-4x41l7"/>
    <w:basedOn w:val="DefaultParagraphFont"/>
    <w:rsid w:val="00EC4C32"/>
  </w:style>
  <w:style w:type="character" w:styleId="HTMLCode">
    <w:name w:val="HTML Code"/>
    <w:basedOn w:val="DefaultParagraphFont"/>
    <w:uiPriority w:val="99"/>
    <w:semiHidden/>
    <w:unhideWhenUsed/>
    <w:rsid w:val="00486FE8"/>
    <w:rPr>
      <w:rFonts w:ascii="Courier New" w:eastAsia="Times New Roman" w:hAnsi="Courier New" w:cs="Courier New"/>
      <w:sz w:val="20"/>
      <w:szCs w:val="20"/>
    </w:rPr>
  </w:style>
  <w:style w:type="paragraph" w:customStyle="1" w:styleId="Char2">
    <w:name w:val="Char2"/>
    <w:basedOn w:val="Normal"/>
    <w:link w:val="FootnoteReference"/>
    <w:rsid w:val="008B0560"/>
    <w:pPr>
      <w:spacing w:after="160" w:line="240" w:lineRule="exact"/>
    </w:pPr>
    <w:rPr>
      <w:rFonts w:asciiTheme="minorHAnsi" w:eastAsiaTheme="minorHAnsi" w:hAnsiTheme="minorHAnsi" w:cstheme="minorBidi"/>
      <w:sz w:val="22"/>
      <w:szCs w:val="22"/>
      <w:vertAlign w:val="superscript"/>
      <w:lang w:val="en-US"/>
    </w:rPr>
  </w:style>
  <w:style w:type="paragraph" w:customStyle="1" w:styleId="title-bold">
    <w:name w:val="title-bold"/>
    <w:basedOn w:val="Normal"/>
    <w:rsid w:val="008B0560"/>
    <w:pPr>
      <w:spacing w:before="100" w:beforeAutospacing="1" w:after="100" w:afterAutospacing="1"/>
    </w:pPr>
    <w:rPr>
      <w:lang w:val="it-IT" w:eastAsia="it-IT"/>
    </w:rPr>
  </w:style>
  <w:style w:type="character" w:customStyle="1" w:styleId="docref">
    <w:name w:val="docref"/>
    <w:basedOn w:val="DefaultParagraphFont"/>
    <w:rsid w:val="008B0560"/>
  </w:style>
  <w:style w:type="character" w:styleId="UnresolvedMention">
    <w:name w:val="Unresolved Mention"/>
    <w:basedOn w:val="DefaultParagraphFont"/>
    <w:uiPriority w:val="99"/>
    <w:semiHidden/>
    <w:unhideWhenUsed/>
    <w:rsid w:val="003C0D15"/>
    <w:rPr>
      <w:color w:val="605E5C"/>
      <w:shd w:val="clear" w:color="auto" w:fill="E1DFDD"/>
    </w:rPr>
  </w:style>
  <w:style w:type="paragraph" w:styleId="TOCHeading">
    <w:name w:val="TOC Heading"/>
    <w:basedOn w:val="Heading1"/>
    <w:next w:val="Normal"/>
    <w:uiPriority w:val="39"/>
    <w:unhideWhenUsed/>
    <w:qFormat/>
    <w:rsid w:val="00E60CEA"/>
    <w:pPr>
      <w:spacing w:before="240" w:line="259" w:lineRule="auto"/>
      <w:outlineLvl w:val="9"/>
    </w:pPr>
    <w:rPr>
      <w:b w:val="0"/>
      <w:bCs w:val="0"/>
      <w:sz w:val="32"/>
      <w:szCs w:val="32"/>
      <w:lang w:val="en-US"/>
    </w:rPr>
  </w:style>
  <w:style w:type="paragraph" w:customStyle="1" w:styleId="Style1">
    <w:name w:val="Style1"/>
    <w:basedOn w:val="ListParagraph"/>
    <w:link w:val="Style1Char"/>
    <w:qFormat/>
    <w:rsid w:val="002442B0"/>
    <w:pPr>
      <w:numPr>
        <w:numId w:val="7"/>
      </w:numPr>
      <w:tabs>
        <w:tab w:val="left" w:pos="567"/>
      </w:tabs>
      <w:autoSpaceDE w:val="0"/>
      <w:autoSpaceDN w:val="0"/>
      <w:adjustRightInd w:val="0"/>
      <w:spacing w:after="160"/>
      <w:jc w:val="both"/>
    </w:pPr>
    <w:rPr>
      <w:rFonts w:ascii="Arial" w:eastAsia="Calibri" w:hAnsi="Arial" w:cs="Arial"/>
      <w:b/>
      <w:bCs/>
      <w:i/>
      <w:iCs/>
      <w:sz w:val="20"/>
      <w:szCs w:val="20"/>
      <w14:ligatures w14:val="standardContextual"/>
    </w:rPr>
  </w:style>
  <w:style w:type="paragraph" w:customStyle="1" w:styleId="Style2">
    <w:name w:val="Style2"/>
    <w:basedOn w:val="Heading1"/>
    <w:link w:val="Style2Char"/>
    <w:qFormat/>
    <w:rsid w:val="002442B0"/>
    <w:rPr>
      <w:rFonts w:ascii="Arial" w:hAnsi="Arial"/>
      <w:color w:val="auto"/>
      <w:sz w:val="20"/>
    </w:rPr>
  </w:style>
  <w:style w:type="character" w:customStyle="1" w:styleId="ListParagraphChar">
    <w:name w:val="List Paragraph Char"/>
    <w:basedOn w:val="DefaultParagraphFont"/>
    <w:link w:val="ListParagraph"/>
    <w:uiPriority w:val="34"/>
    <w:rsid w:val="002442B0"/>
    <w:rPr>
      <w:rFonts w:ascii="Times New Roman" w:eastAsia="Times New Roman" w:hAnsi="Times New Roman" w:cs="Times New Roman"/>
      <w:sz w:val="24"/>
      <w:szCs w:val="24"/>
      <w:lang w:val="en-GB"/>
    </w:rPr>
  </w:style>
  <w:style w:type="character" w:customStyle="1" w:styleId="Style1Char">
    <w:name w:val="Style1 Char"/>
    <w:basedOn w:val="ListParagraphChar"/>
    <w:link w:val="Style1"/>
    <w:rsid w:val="002442B0"/>
    <w:rPr>
      <w:rFonts w:ascii="Arial" w:eastAsia="Calibri" w:hAnsi="Arial" w:cs="Arial"/>
      <w:b/>
      <w:bCs/>
      <w:i/>
      <w:iCs/>
      <w:sz w:val="20"/>
      <w:szCs w:val="20"/>
      <w:lang w:val="en-GB"/>
      <w14:ligatures w14:val="standardContextual"/>
    </w:rPr>
  </w:style>
  <w:style w:type="character" w:customStyle="1" w:styleId="Style2Char">
    <w:name w:val="Style2 Char"/>
    <w:basedOn w:val="Heading1Char"/>
    <w:link w:val="Style2"/>
    <w:rsid w:val="002442B0"/>
    <w:rPr>
      <w:rFonts w:ascii="Arial" w:eastAsiaTheme="majorEastAsia" w:hAnsi="Arial" w:cstheme="majorBidi"/>
      <w:b/>
      <w:bCs/>
      <w:color w:val="365F91" w:themeColor="accent1" w:themeShade="BF"/>
      <w:sz w:val="20"/>
      <w:szCs w:val="28"/>
      <w:lang w:val="en-GB"/>
    </w:rPr>
  </w:style>
  <w:style w:type="character" w:customStyle="1" w:styleId="sbb9ee52a">
    <w:name w:val="sbb9ee52a"/>
    <w:basedOn w:val="DefaultParagraphFont"/>
    <w:rsid w:val="00C66E1B"/>
  </w:style>
  <w:style w:type="character" w:customStyle="1" w:styleId="cf01">
    <w:name w:val="cf01"/>
    <w:basedOn w:val="DefaultParagraphFont"/>
    <w:rsid w:val="00352A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1723">
      <w:bodyDiv w:val="1"/>
      <w:marLeft w:val="0"/>
      <w:marRight w:val="0"/>
      <w:marTop w:val="0"/>
      <w:marBottom w:val="0"/>
      <w:divBdr>
        <w:top w:val="none" w:sz="0" w:space="0" w:color="auto"/>
        <w:left w:val="none" w:sz="0" w:space="0" w:color="auto"/>
        <w:bottom w:val="none" w:sz="0" w:space="0" w:color="auto"/>
        <w:right w:val="none" w:sz="0" w:space="0" w:color="auto"/>
      </w:divBdr>
      <w:divsChild>
        <w:div w:id="357894064">
          <w:marLeft w:val="0"/>
          <w:marRight w:val="0"/>
          <w:marTop w:val="0"/>
          <w:marBottom w:val="0"/>
          <w:divBdr>
            <w:top w:val="none" w:sz="0" w:space="0" w:color="auto"/>
            <w:left w:val="none" w:sz="0" w:space="0" w:color="auto"/>
            <w:bottom w:val="none" w:sz="0" w:space="0" w:color="auto"/>
            <w:right w:val="none" w:sz="0" w:space="0" w:color="auto"/>
          </w:divBdr>
          <w:divsChild>
            <w:div w:id="1819297347">
              <w:marLeft w:val="0"/>
              <w:marRight w:val="0"/>
              <w:marTop w:val="0"/>
              <w:marBottom w:val="0"/>
              <w:divBdr>
                <w:top w:val="none" w:sz="0" w:space="0" w:color="auto"/>
                <w:left w:val="none" w:sz="0" w:space="0" w:color="auto"/>
                <w:bottom w:val="none" w:sz="0" w:space="0" w:color="auto"/>
                <w:right w:val="none" w:sz="0" w:space="0" w:color="auto"/>
              </w:divBdr>
              <w:divsChild>
                <w:div w:id="455224896">
                  <w:marLeft w:val="0"/>
                  <w:marRight w:val="0"/>
                  <w:marTop w:val="0"/>
                  <w:marBottom w:val="0"/>
                  <w:divBdr>
                    <w:top w:val="none" w:sz="0" w:space="0" w:color="auto"/>
                    <w:left w:val="none" w:sz="0" w:space="0" w:color="auto"/>
                    <w:bottom w:val="none" w:sz="0" w:space="0" w:color="auto"/>
                    <w:right w:val="none" w:sz="0" w:space="0" w:color="auto"/>
                  </w:divBdr>
                  <w:divsChild>
                    <w:div w:id="1465392804">
                      <w:marLeft w:val="0"/>
                      <w:marRight w:val="0"/>
                      <w:marTop w:val="0"/>
                      <w:marBottom w:val="0"/>
                      <w:divBdr>
                        <w:top w:val="none" w:sz="0" w:space="0" w:color="auto"/>
                        <w:left w:val="none" w:sz="0" w:space="0" w:color="auto"/>
                        <w:bottom w:val="none" w:sz="0" w:space="0" w:color="auto"/>
                        <w:right w:val="none" w:sz="0" w:space="0" w:color="auto"/>
                      </w:divBdr>
                      <w:divsChild>
                        <w:div w:id="2046056730">
                          <w:marLeft w:val="0"/>
                          <w:marRight w:val="0"/>
                          <w:marTop w:val="0"/>
                          <w:marBottom w:val="0"/>
                          <w:divBdr>
                            <w:top w:val="none" w:sz="0" w:space="0" w:color="auto"/>
                            <w:left w:val="none" w:sz="0" w:space="0" w:color="auto"/>
                            <w:bottom w:val="none" w:sz="0" w:space="0" w:color="auto"/>
                            <w:right w:val="none" w:sz="0" w:space="0" w:color="auto"/>
                          </w:divBdr>
                          <w:divsChild>
                            <w:div w:id="1578172659">
                              <w:marLeft w:val="0"/>
                              <w:marRight w:val="0"/>
                              <w:marTop w:val="0"/>
                              <w:marBottom w:val="0"/>
                              <w:divBdr>
                                <w:top w:val="none" w:sz="0" w:space="0" w:color="auto"/>
                                <w:left w:val="none" w:sz="0" w:space="0" w:color="auto"/>
                                <w:bottom w:val="none" w:sz="0" w:space="0" w:color="auto"/>
                                <w:right w:val="none" w:sz="0" w:space="0" w:color="auto"/>
                              </w:divBdr>
                              <w:divsChild>
                                <w:div w:id="870991396">
                                  <w:marLeft w:val="0"/>
                                  <w:marRight w:val="0"/>
                                  <w:marTop w:val="0"/>
                                  <w:marBottom w:val="0"/>
                                  <w:divBdr>
                                    <w:top w:val="none" w:sz="0" w:space="0" w:color="auto"/>
                                    <w:left w:val="none" w:sz="0" w:space="0" w:color="auto"/>
                                    <w:bottom w:val="none" w:sz="0" w:space="0" w:color="auto"/>
                                    <w:right w:val="none" w:sz="0" w:space="0" w:color="auto"/>
                                  </w:divBdr>
                                  <w:divsChild>
                                    <w:div w:id="733435388">
                                      <w:marLeft w:val="60"/>
                                      <w:marRight w:val="0"/>
                                      <w:marTop w:val="0"/>
                                      <w:marBottom w:val="0"/>
                                      <w:divBdr>
                                        <w:top w:val="none" w:sz="0" w:space="0" w:color="auto"/>
                                        <w:left w:val="none" w:sz="0" w:space="0" w:color="auto"/>
                                        <w:bottom w:val="none" w:sz="0" w:space="0" w:color="auto"/>
                                        <w:right w:val="none" w:sz="0" w:space="0" w:color="auto"/>
                                      </w:divBdr>
                                      <w:divsChild>
                                        <w:div w:id="1525437470">
                                          <w:marLeft w:val="0"/>
                                          <w:marRight w:val="0"/>
                                          <w:marTop w:val="0"/>
                                          <w:marBottom w:val="0"/>
                                          <w:divBdr>
                                            <w:top w:val="none" w:sz="0" w:space="0" w:color="auto"/>
                                            <w:left w:val="none" w:sz="0" w:space="0" w:color="auto"/>
                                            <w:bottom w:val="none" w:sz="0" w:space="0" w:color="auto"/>
                                            <w:right w:val="none" w:sz="0" w:space="0" w:color="auto"/>
                                          </w:divBdr>
                                          <w:divsChild>
                                            <w:div w:id="1346977568">
                                              <w:marLeft w:val="0"/>
                                              <w:marRight w:val="0"/>
                                              <w:marTop w:val="0"/>
                                              <w:marBottom w:val="120"/>
                                              <w:divBdr>
                                                <w:top w:val="single" w:sz="6" w:space="0" w:color="F5F5F5"/>
                                                <w:left w:val="single" w:sz="6" w:space="0" w:color="F5F5F5"/>
                                                <w:bottom w:val="single" w:sz="6" w:space="0" w:color="F5F5F5"/>
                                                <w:right w:val="single" w:sz="6" w:space="0" w:color="F5F5F5"/>
                                              </w:divBdr>
                                              <w:divsChild>
                                                <w:div w:id="230846430">
                                                  <w:marLeft w:val="0"/>
                                                  <w:marRight w:val="0"/>
                                                  <w:marTop w:val="0"/>
                                                  <w:marBottom w:val="0"/>
                                                  <w:divBdr>
                                                    <w:top w:val="none" w:sz="0" w:space="0" w:color="auto"/>
                                                    <w:left w:val="none" w:sz="0" w:space="0" w:color="auto"/>
                                                    <w:bottom w:val="none" w:sz="0" w:space="0" w:color="auto"/>
                                                    <w:right w:val="none" w:sz="0" w:space="0" w:color="auto"/>
                                                  </w:divBdr>
                                                  <w:divsChild>
                                                    <w:div w:id="14738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84578">
      <w:bodyDiv w:val="1"/>
      <w:marLeft w:val="0"/>
      <w:marRight w:val="0"/>
      <w:marTop w:val="0"/>
      <w:marBottom w:val="0"/>
      <w:divBdr>
        <w:top w:val="none" w:sz="0" w:space="0" w:color="auto"/>
        <w:left w:val="none" w:sz="0" w:space="0" w:color="auto"/>
        <w:bottom w:val="none" w:sz="0" w:space="0" w:color="auto"/>
        <w:right w:val="none" w:sz="0" w:space="0" w:color="auto"/>
      </w:divBdr>
    </w:div>
    <w:div w:id="252514011">
      <w:bodyDiv w:val="1"/>
      <w:marLeft w:val="0"/>
      <w:marRight w:val="0"/>
      <w:marTop w:val="0"/>
      <w:marBottom w:val="0"/>
      <w:divBdr>
        <w:top w:val="none" w:sz="0" w:space="0" w:color="auto"/>
        <w:left w:val="none" w:sz="0" w:space="0" w:color="auto"/>
        <w:bottom w:val="none" w:sz="0" w:space="0" w:color="auto"/>
        <w:right w:val="none" w:sz="0" w:space="0" w:color="auto"/>
      </w:divBdr>
    </w:div>
    <w:div w:id="376012072">
      <w:bodyDiv w:val="1"/>
      <w:marLeft w:val="0"/>
      <w:marRight w:val="0"/>
      <w:marTop w:val="0"/>
      <w:marBottom w:val="0"/>
      <w:divBdr>
        <w:top w:val="none" w:sz="0" w:space="0" w:color="auto"/>
        <w:left w:val="none" w:sz="0" w:space="0" w:color="auto"/>
        <w:bottom w:val="none" w:sz="0" w:space="0" w:color="auto"/>
        <w:right w:val="none" w:sz="0" w:space="0" w:color="auto"/>
      </w:divBdr>
    </w:div>
    <w:div w:id="412360692">
      <w:bodyDiv w:val="1"/>
      <w:marLeft w:val="0"/>
      <w:marRight w:val="0"/>
      <w:marTop w:val="0"/>
      <w:marBottom w:val="0"/>
      <w:divBdr>
        <w:top w:val="none" w:sz="0" w:space="0" w:color="auto"/>
        <w:left w:val="none" w:sz="0" w:space="0" w:color="auto"/>
        <w:bottom w:val="none" w:sz="0" w:space="0" w:color="auto"/>
        <w:right w:val="none" w:sz="0" w:space="0" w:color="auto"/>
      </w:divBdr>
    </w:div>
    <w:div w:id="689067894">
      <w:bodyDiv w:val="1"/>
      <w:marLeft w:val="0"/>
      <w:marRight w:val="0"/>
      <w:marTop w:val="0"/>
      <w:marBottom w:val="0"/>
      <w:divBdr>
        <w:top w:val="none" w:sz="0" w:space="0" w:color="auto"/>
        <w:left w:val="none" w:sz="0" w:space="0" w:color="auto"/>
        <w:bottom w:val="none" w:sz="0" w:space="0" w:color="auto"/>
        <w:right w:val="none" w:sz="0" w:space="0" w:color="auto"/>
      </w:divBdr>
      <w:divsChild>
        <w:div w:id="2074115776">
          <w:marLeft w:val="0"/>
          <w:marRight w:val="0"/>
          <w:marTop w:val="0"/>
          <w:marBottom w:val="0"/>
          <w:divBdr>
            <w:top w:val="none" w:sz="0" w:space="0" w:color="auto"/>
            <w:left w:val="none" w:sz="0" w:space="0" w:color="auto"/>
            <w:bottom w:val="none" w:sz="0" w:space="0" w:color="auto"/>
            <w:right w:val="none" w:sz="0" w:space="0" w:color="auto"/>
          </w:divBdr>
          <w:divsChild>
            <w:div w:id="948197499">
              <w:marLeft w:val="0"/>
              <w:marRight w:val="0"/>
              <w:marTop w:val="0"/>
              <w:marBottom w:val="0"/>
              <w:divBdr>
                <w:top w:val="none" w:sz="0" w:space="0" w:color="auto"/>
                <w:left w:val="none" w:sz="0" w:space="0" w:color="auto"/>
                <w:bottom w:val="none" w:sz="0" w:space="0" w:color="auto"/>
                <w:right w:val="none" w:sz="0" w:space="0" w:color="auto"/>
              </w:divBdr>
              <w:divsChild>
                <w:div w:id="1469930691">
                  <w:marLeft w:val="0"/>
                  <w:marRight w:val="0"/>
                  <w:marTop w:val="0"/>
                  <w:marBottom w:val="0"/>
                  <w:divBdr>
                    <w:top w:val="none" w:sz="0" w:space="0" w:color="auto"/>
                    <w:left w:val="none" w:sz="0" w:space="0" w:color="auto"/>
                    <w:bottom w:val="none" w:sz="0" w:space="0" w:color="auto"/>
                    <w:right w:val="none" w:sz="0" w:space="0" w:color="auto"/>
                  </w:divBdr>
                  <w:divsChild>
                    <w:div w:id="1038549178">
                      <w:marLeft w:val="0"/>
                      <w:marRight w:val="0"/>
                      <w:marTop w:val="45"/>
                      <w:marBottom w:val="0"/>
                      <w:divBdr>
                        <w:top w:val="none" w:sz="0" w:space="0" w:color="auto"/>
                        <w:left w:val="none" w:sz="0" w:space="0" w:color="auto"/>
                        <w:bottom w:val="none" w:sz="0" w:space="0" w:color="auto"/>
                        <w:right w:val="none" w:sz="0" w:space="0" w:color="auto"/>
                      </w:divBdr>
                      <w:divsChild>
                        <w:div w:id="1004816637">
                          <w:marLeft w:val="0"/>
                          <w:marRight w:val="0"/>
                          <w:marTop w:val="0"/>
                          <w:marBottom w:val="0"/>
                          <w:divBdr>
                            <w:top w:val="none" w:sz="0" w:space="0" w:color="auto"/>
                            <w:left w:val="none" w:sz="0" w:space="0" w:color="auto"/>
                            <w:bottom w:val="none" w:sz="0" w:space="0" w:color="auto"/>
                            <w:right w:val="none" w:sz="0" w:space="0" w:color="auto"/>
                          </w:divBdr>
                          <w:divsChild>
                            <w:div w:id="1873960231">
                              <w:marLeft w:val="12300"/>
                              <w:marRight w:val="0"/>
                              <w:marTop w:val="0"/>
                              <w:marBottom w:val="0"/>
                              <w:divBdr>
                                <w:top w:val="none" w:sz="0" w:space="0" w:color="auto"/>
                                <w:left w:val="none" w:sz="0" w:space="0" w:color="auto"/>
                                <w:bottom w:val="none" w:sz="0" w:space="0" w:color="auto"/>
                                <w:right w:val="none" w:sz="0" w:space="0" w:color="auto"/>
                              </w:divBdr>
                              <w:divsChild>
                                <w:div w:id="534267545">
                                  <w:marLeft w:val="0"/>
                                  <w:marRight w:val="0"/>
                                  <w:marTop w:val="0"/>
                                  <w:marBottom w:val="0"/>
                                  <w:divBdr>
                                    <w:top w:val="none" w:sz="0" w:space="0" w:color="auto"/>
                                    <w:left w:val="none" w:sz="0" w:space="0" w:color="auto"/>
                                    <w:bottom w:val="none" w:sz="0" w:space="0" w:color="auto"/>
                                    <w:right w:val="none" w:sz="0" w:space="0" w:color="auto"/>
                                  </w:divBdr>
                                  <w:divsChild>
                                    <w:div w:id="2028409331">
                                      <w:marLeft w:val="0"/>
                                      <w:marRight w:val="0"/>
                                      <w:marTop w:val="0"/>
                                      <w:marBottom w:val="390"/>
                                      <w:divBdr>
                                        <w:top w:val="none" w:sz="0" w:space="0" w:color="auto"/>
                                        <w:left w:val="none" w:sz="0" w:space="0" w:color="auto"/>
                                        <w:bottom w:val="none" w:sz="0" w:space="0" w:color="auto"/>
                                        <w:right w:val="none" w:sz="0" w:space="0" w:color="auto"/>
                                      </w:divBdr>
                                      <w:divsChild>
                                        <w:div w:id="720986225">
                                          <w:marLeft w:val="0"/>
                                          <w:marRight w:val="0"/>
                                          <w:marTop w:val="0"/>
                                          <w:marBottom w:val="0"/>
                                          <w:divBdr>
                                            <w:top w:val="none" w:sz="0" w:space="0" w:color="auto"/>
                                            <w:left w:val="none" w:sz="0" w:space="0" w:color="auto"/>
                                            <w:bottom w:val="none" w:sz="0" w:space="0" w:color="auto"/>
                                            <w:right w:val="none" w:sz="0" w:space="0" w:color="auto"/>
                                          </w:divBdr>
                                          <w:divsChild>
                                            <w:div w:id="1194806912">
                                              <w:marLeft w:val="0"/>
                                              <w:marRight w:val="0"/>
                                              <w:marTop w:val="0"/>
                                              <w:marBottom w:val="0"/>
                                              <w:divBdr>
                                                <w:top w:val="none" w:sz="0" w:space="0" w:color="auto"/>
                                                <w:left w:val="none" w:sz="0" w:space="0" w:color="auto"/>
                                                <w:bottom w:val="none" w:sz="0" w:space="0" w:color="auto"/>
                                                <w:right w:val="none" w:sz="0" w:space="0" w:color="auto"/>
                                              </w:divBdr>
                                              <w:divsChild>
                                                <w:div w:id="743455006">
                                                  <w:marLeft w:val="0"/>
                                                  <w:marRight w:val="0"/>
                                                  <w:marTop w:val="0"/>
                                                  <w:marBottom w:val="0"/>
                                                  <w:divBdr>
                                                    <w:top w:val="none" w:sz="0" w:space="0" w:color="auto"/>
                                                    <w:left w:val="none" w:sz="0" w:space="0" w:color="auto"/>
                                                    <w:bottom w:val="none" w:sz="0" w:space="0" w:color="auto"/>
                                                    <w:right w:val="none" w:sz="0" w:space="0" w:color="auto"/>
                                                  </w:divBdr>
                                                  <w:divsChild>
                                                    <w:div w:id="750204553">
                                                      <w:marLeft w:val="0"/>
                                                      <w:marRight w:val="0"/>
                                                      <w:marTop w:val="0"/>
                                                      <w:marBottom w:val="0"/>
                                                      <w:divBdr>
                                                        <w:top w:val="none" w:sz="0" w:space="0" w:color="auto"/>
                                                        <w:left w:val="none" w:sz="0" w:space="0" w:color="auto"/>
                                                        <w:bottom w:val="none" w:sz="0" w:space="0" w:color="auto"/>
                                                        <w:right w:val="none" w:sz="0" w:space="0" w:color="auto"/>
                                                      </w:divBdr>
                                                      <w:divsChild>
                                                        <w:div w:id="378629536">
                                                          <w:marLeft w:val="0"/>
                                                          <w:marRight w:val="0"/>
                                                          <w:marTop w:val="0"/>
                                                          <w:marBottom w:val="0"/>
                                                          <w:divBdr>
                                                            <w:top w:val="none" w:sz="0" w:space="0" w:color="auto"/>
                                                            <w:left w:val="none" w:sz="0" w:space="0" w:color="auto"/>
                                                            <w:bottom w:val="none" w:sz="0" w:space="0" w:color="auto"/>
                                                            <w:right w:val="none" w:sz="0" w:space="0" w:color="auto"/>
                                                          </w:divBdr>
                                                          <w:divsChild>
                                                            <w:div w:id="606161032">
                                                              <w:marLeft w:val="0"/>
                                                              <w:marRight w:val="0"/>
                                                              <w:marTop w:val="0"/>
                                                              <w:marBottom w:val="0"/>
                                                              <w:divBdr>
                                                                <w:top w:val="none" w:sz="0" w:space="0" w:color="auto"/>
                                                                <w:left w:val="none" w:sz="0" w:space="0" w:color="auto"/>
                                                                <w:bottom w:val="none" w:sz="0" w:space="0" w:color="auto"/>
                                                                <w:right w:val="none" w:sz="0" w:space="0" w:color="auto"/>
                                                              </w:divBdr>
                                                              <w:divsChild>
                                                                <w:div w:id="1540389834">
                                                                  <w:marLeft w:val="0"/>
                                                                  <w:marRight w:val="0"/>
                                                                  <w:marTop w:val="0"/>
                                                                  <w:marBottom w:val="0"/>
                                                                  <w:divBdr>
                                                                    <w:top w:val="none" w:sz="0" w:space="0" w:color="auto"/>
                                                                    <w:left w:val="none" w:sz="0" w:space="0" w:color="auto"/>
                                                                    <w:bottom w:val="none" w:sz="0" w:space="0" w:color="auto"/>
                                                                    <w:right w:val="none" w:sz="0" w:space="0" w:color="auto"/>
                                                                  </w:divBdr>
                                                                  <w:divsChild>
                                                                    <w:div w:id="944531455">
                                                                      <w:marLeft w:val="0"/>
                                                                      <w:marRight w:val="0"/>
                                                                      <w:marTop w:val="0"/>
                                                                      <w:marBottom w:val="0"/>
                                                                      <w:divBdr>
                                                                        <w:top w:val="none" w:sz="0" w:space="0" w:color="auto"/>
                                                                        <w:left w:val="none" w:sz="0" w:space="0" w:color="auto"/>
                                                                        <w:bottom w:val="none" w:sz="0" w:space="0" w:color="auto"/>
                                                                        <w:right w:val="none" w:sz="0" w:space="0" w:color="auto"/>
                                                                      </w:divBdr>
                                                                      <w:divsChild>
                                                                        <w:div w:id="451826628">
                                                                          <w:marLeft w:val="0"/>
                                                                          <w:marRight w:val="0"/>
                                                                          <w:marTop w:val="0"/>
                                                                          <w:marBottom w:val="0"/>
                                                                          <w:divBdr>
                                                                            <w:top w:val="none" w:sz="0" w:space="0" w:color="auto"/>
                                                                            <w:left w:val="none" w:sz="0" w:space="0" w:color="auto"/>
                                                                            <w:bottom w:val="none" w:sz="0" w:space="0" w:color="auto"/>
                                                                            <w:right w:val="none" w:sz="0" w:space="0" w:color="auto"/>
                                                                          </w:divBdr>
                                                                          <w:divsChild>
                                                                            <w:div w:id="293488022">
                                                                              <w:marLeft w:val="0"/>
                                                                              <w:marRight w:val="0"/>
                                                                              <w:marTop w:val="0"/>
                                                                              <w:marBottom w:val="0"/>
                                                                              <w:divBdr>
                                                                                <w:top w:val="none" w:sz="0" w:space="0" w:color="auto"/>
                                                                                <w:left w:val="none" w:sz="0" w:space="0" w:color="auto"/>
                                                                                <w:bottom w:val="none" w:sz="0" w:space="0" w:color="auto"/>
                                                                                <w:right w:val="none" w:sz="0" w:space="0" w:color="auto"/>
                                                                              </w:divBdr>
                                                                              <w:divsChild>
                                                                                <w:div w:id="12569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5467">
      <w:bodyDiv w:val="1"/>
      <w:marLeft w:val="0"/>
      <w:marRight w:val="0"/>
      <w:marTop w:val="0"/>
      <w:marBottom w:val="0"/>
      <w:divBdr>
        <w:top w:val="none" w:sz="0" w:space="0" w:color="auto"/>
        <w:left w:val="none" w:sz="0" w:space="0" w:color="auto"/>
        <w:bottom w:val="none" w:sz="0" w:space="0" w:color="auto"/>
        <w:right w:val="none" w:sz="0" w:space="0" w:color="auto"/>
      </w:divBdr>
    </w:div>
    <w:div w:id="816068597">
      <w:bodyDiv w:val="1"/>
      <w:marLeft w:val="0"/>
      <w:marRight w:val="0"/>
      <w:marTop w:val="0"/>
      <w:marBottom w:val="0"/>
      <w:divBdr>
        <w:top w:val="none" w:sz="0" w:space="0" w:color="auto"/>
        <w:left w:val="none" w:sz="0" w:space="0" w:color="auto"/>
        <w:bottom w:val="none" w:sz="0" w:space="0" w:color="auto"/>
        <w:right w:val="none" w:sz="0" w:space="0" w:color="auto"/>
      </w:divBdr>
    </w:div>
    <w:div w:id="837304060">
      <w:bodyDiv w:val="1"/>
      <w:marLeft w:val="0"/>
      <w:marRight w:val="0"/>
      <w:marTop w:val="0"/>
      <w:marBottom w:val="0"/>
      <w:divBdr>
        <w:top w:val="none" w:sz="0" w:space="0" w:color="auto"/>
        <w:left w:val="none" w:sz="0" w:space="0" w:color="auto"/>
        <w:bottom w:val="none" w:sz="0" w:space="0" w:color="auto"/>
        <w:right w:val="none" w:sz="0" w:space="0" w:color="auto"/>
      </w:divBdr>
    </w:div>
    <w:div w:id="971248566">
      <w:bodyDiv w:val="1"/>
      <w:marLeft w:val="0"/>
      <w:marRight w:val="0"/>
      <w:marTop w:val="0"/>
      <w:marBottom w:val="0"/>
      <w:divBdr>
        <w:top w:val="none" w:sz="0" w:space="0" w:color="auto"/>
        <w:left w:val="none" w:sz="0" w:space="0" w:color="auto"/>
        <w:bottom w:val="none" w:sz="0" w:space="0" w:color="auto"/>
        <w:right w:val="none" w:sz="0" w:space="0" w:color="auto"/>
      </w:divBdr>
    </w:div>
    <w:div w:id="1007096428">
      <w:bodyDiv w:val="1"/>
      <w:marLeft w:val="0"/>
      <w:marRight w:val="0"/>
      <w:marTop w:val="0"/>
      <w:marBottom w:val="0"/>
      <w:divBdr>
        <w:top w:val="none" w:sz="0" w:space="0" w:color="auto"/>
        <w:left w:val="none" w:sz="0" w:space="0" w:color="auto"/>
        <w:bottom w:val="none" w:sz="0" w:space="0" w:color="auto"/>
        <w:right w:val="none" w:sz="0" w:space="0" w:color="auto"/>
      </w:divBdr>
    </w:div>
    <w:div w:id="1044986538">
      <w:bodyDiv w:val="1"/>
      <w:marLeft w:val="0"/>
      <w:marRight w:val="0"/>
      <w:marTop w:val="0"/>
      <w:marBottom w:val="0"/>
      <w:divBdr>
        <w:top w:val="none" w:sz="0" w:space="0" w:color="auto"/>
        <w:left w:val="none" w:sz="0" w:space="0" w:color="auto"/>
        <w:bottom w:val="none" w:sz="0" w:space="0" w:color="auto"/>
        <w:right w:val="none" w:sz="0" w:space="0" w:color="auto"/>
      </w:divBdr>
      <w:divsChild>
        <w:div w:id="2055153738">
          <w:marLeft w:val="0"/>
          <w:marRight w:val="0"/>
          <w:marTop w:val="0"/>
          <w:marBottom w:val="0"/>
          <w:divBdr>
            <w:top w:val="none" w:sz="0" w:space="0" w:color="auto"/>
            <w:left w:val="none" w:sz="0" w:space="0" w:color="auto"/>
            <w:bottom w:val="none" w:sz="0" w:space="0" w:color="auto"/>
            <w:right w:val="none" w:sz="0" w:space="0" w:color="auto"/>
          </w:divBdr>
          <w:divsChild>
            <w:div w:id="252125573">
              <w:marLeft w:val="0"/>
              <w:marRight w:val="0"/>
              <w:marTop w:val="0"/>
              <w:marBottom w:val="0"/>
              <w:divBdr>
                <w:top w:val="none" w:sz="0" w:space="0" w:color="auto"/>
                <w:left w:val="none" w:sz="0" w:space="0" w:color="auto"/>
                <w:bottom w:val="none" w:sz="0" w:space="0" w:color="auto"/>
                <w:right w:val="none" w:sz="0" w:space="0" w:color="auto"/>
              </w:divBdr>
              <w:divsChild>
                <w:div w:id="2082288190">
                  <w:marLeft w:val="0"/>
                  <w:marRight w:val="0"/>
                  <w:marTop w:val="0"/>
                  <w:marBottom w:val="0"/>
                  <w:divBdr>
                    <w:top w:val="none" w:sz="0" w:space="0" w:color="auto"/>
                    <w:left w:val="none" w:sz="0" w:space="0" w:color="auto"/>
                    <w:bottom w:val="none" w:sz="0" w:space="0" w:color="auto"/>
                    <w:right w:val="none" w:sz="0" w:space="0" w:color="auto"/>
                  </w:divBdr>
                  <w:divsChild>
                    <w:div w:id="1345088933">
                      <w:marLeft w:val="0"/>
                      <w:marRight w:val="0"/>
                      <w:marTop w:val="0"/>
                      <w:marBottom w:val="0"/>
                      <w:divBdr>
                        <w:top w:val="none" w:sz="0" w:space="0" w:color="auto"/>
                        <w:left w:val="none" w:sz="0" w:space="0" w:color="auto"/>
                        <w:bottom w:val="none" w:sz="0" w:space="0" w:color="auto"/>
                        <w:right w:val="none" w:sz="0" w:space="0" w:color="auto"/>
                      </w:divBdr>
                      <w:divsChild>
                        <w:div w:id="143858942">
                          <w:marLeft w:val="0"/>
                          <w:marRight w:val="0"/>
                          <w:marTop w:val="0"/>
                          <w:marBottom w:val="0"/>
                          <w:divBdr>
                            <w:top w:val="none" w:sz="0" w:space="0" w:color="auto"/>
                            <w:left w:val="none" w:sz="0" w:space="0" w:color="auto"/>
                            <w:bottom w:val="none" w:sz="0" w:space="0" w:color="auto"/>
                            <w:right w:val="none" w:sz="0" w:space="0" w:color="auto"/>
                          </w:divBdr>
                          <w:divsChild>
                            <w:div w:id="393088868">
                              <w:marLeft w:val="0"/>
                              <w:marRight w:val="0"/>
                              <w:marTop w:val="0"/>
                              <w:marBottom w:val="0"/>
                              <w:divBdr>
                                <w:top w:val="none" w:sz="0" w:space="0" w:color="auto"/>
                                <w:left w:val="none" w:sz="0" w:space="0" w:color="auto"/>
                                <w:bottom w:val="none" w:sz="0" w:space="0" w:color="auto"/>
                                <w:right w:val="none" w:sz="0" w:space="0" w:color="auto"/>
                              </w:divBdr>
                              <w:divsChild>
                                <w:div w:id="88428977">
                                  <w:marLeft w:val="0"/>
                                  <w:marRight w:val="0"/>
                                  <w:marTop w:val="0"/>
                                  <w:marBottom w:val="0"/>
                                  <w:divBdr>
                                    <w:top w:val="none" w:sz="0" w:space="0" w:color="auto"/>
                                    <w:left w:val="none" w:sz="0" w:space="0" w:color="auto"/>
                                    <w:bottom w:val="none" w:sz="0" w:space="0" w:color="auto"/>
                                    <w:right w:val="none" w:sz="0" w:space="0" w:color="auto"/>
                                  </w:divBdr>
                                  <w:divsChild>
                                    <w:div w:id="432553408">
                                      <w:marLeft w:val="60"/>
                                      <w:marRight w:val="0"/>
                                      <w:marTop w:val="0"/>
                                      <w:marBottom w:val="0"/>
                                      <w:divBdr>
                                        <w:top w:val="none" w:sz="0" w:space="0" w:color="auto"/>
                                        <w:left w:val="none" w:sz="0" w:space="0" w:color="auto"/>
                                        <w:bottom w:val="none" w:sz="0" w:space="0" w:color="auto"/>
                                        <w:right w:val="none" w:sz="0" w:space="0" w:color="auto"/>
                                      </w:divBdr>
                                      <w:divsChild>
                                        <w:div w:id="1766458472">
                                          <w:marLeft w:val="0"/>
                                          <w:marRight w:val="0"/>
                                          <w:marTop w:val="0"/>
                                          <w:marBottom w:val="0"/>
                                          <w:divBdr>
                                            <w:top w:val="none" w:sz="0" w:space="0" w:color="auto"/>
                                            <w:left w:val="none" w:sz="0" w:space="0" w:color="auto"/>
                                            <w:bottom w:val="none" w:sz="0" w:space="0" w:color="auto"/>
                                            <w:right w:val="none" w:sz="0" w:space="0" w:color="auto"/>
                                          </w:divBdr>
                                          <w:divsChild>
                                            <w:div w:id="1002004613">
                                              <w:marLeft w:val="0"/>
                                              <w:marRight w:val="0"/>
                                              <w:marTop w:val="0"/>
                                              <w:marBottom w:val="120"/>
                                              <w:divBdr>
                                                <w:top w:val="single" w:sz="6" w:space="0" w:color="F5F5F5"/>
                                                <w:left w:val="single" w:sz="6" w:space="0" w:color="F5F5F5"/>
                                                <w:bottom w:val="single" w:sz="6" w:space="0" w:color="F5F5F5"/>
                                                <w:right w:val="single" w:sz="6" w:space="0" w:color="F5F5F5"/>
                                              </w:divBdr>
                                              <w:divsChild>
                                                <w:div w:id="427193647">
                                                  <w:marLeft w:val="0"/>
                                                  <w:marRight w:val="0"/>
                                                  <w:marTop w:val="0"/>
                                                  <w:marBottom w:val="0"/>
                                                  <w:divBdr>
                                                    <w:top w:val="none" w:sz="0" w:space="0" w:color="auto"/>
                                                    <w:left w:val="none" w:sz="0" w:space="0" w:color="auto"/>
                                                    <w:bottom w:val="none" w:sz="0" w:space="0" w:color="auto"/>
                                                    <w:right w:val="none" w:sz="0" w:space="0" w:color="auto"/>
                                                  </w:divBdr>
                                                  <w:divsChild>
                                                    <w:div w:id="9505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163903">
      <w:bodyDiv w:val="1"/>
      <w:marLeft w:val="0"/>
      <w:marRight w:val="0"/>
      <w:marTop w:val="0"/>
      <w:marBottom w:val="0"/>
      <w:divBdr>
        <w:top w:val="none" w:sz="0" w:space="0" w:color="auto"/>
        <w:left w:val="none" w:sz="0" w:space="0" w:color="auto"/>
        <w:bottom w:val="none" w:sz="0" w:space="0" w:color="auto"/>
        <w:right w:val="none" w:sz="0" w:space="0" w:color="auto"/>
      </w:divBdr>
    </w:div>
    <w:div w:id="1867718854">
      <w:bodyDiv w:val="1"/>
      <w:marLeft w:val="0"/>
      <w:marRight w:val="0"/>
      <w:marTop w:val="0"/>
      <w:marBottom w:val="0"/>
      <w:divBdr>
        <w:top w:val="none" w:sz="0" w:space="0" w:color="auto"/>
        <w:left w:val="none" w:sz="0" w:space="0" w:color="auto"/>
        <w:bottom w:val="none" w:sz="0" w:space="0" w:color="auto"/>
        <w:right w:val="none" w:sz="0" w:space="0" w:color="auto"/>
      </w:divBdr>
      <w:divsChild>
        <w:div w:id="635381545">
          <w:marLeft w:val="0"/>
          <w:marRight w:val="0"/>
          <w:marTop w:val="0"/>
          <w:marBottom w:val="0"/>
          <w:divBdr>
            <w:top w:val="none" w:sz="0" w:space="0" w:color="auto"/>
            <w:left w:val="none" w:sz="0" w:space="0" w:color="auto"/>
            <w:bottom w:val="none" w:sz="0" w:space="0" w:color="auto"/>
            <w:right w:val="none" w:sz="0" w:space="0" w:color="auto"/>
          </w:divBdr>
          <w:divsChild>
            <w:div w:id="765152172">
              <w:marLeft w:val="0"/>
              <w:marRight w:val="0"/>
              <w:marTop w:val="0"/>
              <w:marBottom w:val="0"/>
              <w:divBdr>
                <w:top w:val="none" w:sz="0" w:space="0" w:color="auto"/>
                <w:left w:val="none" w:sz="0" w:space="0" w:color="auto"/>
                <w:bottom w:val="none" w:sz="0" w:space="0" w:color="auto"/>
                <w:right w:val="none" w:sz="0" w:space="0" w:color="auto"/>
              </w:divBdr>
              <w:divsChild>
                <w:div w:id="689450555">
                  <w:marLeft w:val="0"/>
                  <w:marRight w:val="0"/>
                  <w:marTop w:val="0"/>
                  <w:marBottom w:val="0"/>
                  <w:divBdr>
                    <w:top w:val="none" w:sz="0" w:space="0" w:color="auto"/>
                    <w:left w:val="none" w:sz="0" w:space="0" w:color="auto"/>
                    <w:bottom w:val="none" w:sz="0" w:space="0" w:color="auto"/>
                    <w:right w:val="none" w:sz="0" w:space="0" w:color="auto"/>
                  </w:divBdr>
                  <w:divsChild>
                    <w:div w:id="1757243937">
                      <w:marLeft w:val="0"/>
                      <w:marRight w:val="0"/>
                      <w:marTop w:val="45"/>
                      <w:marBottom w:val="0"/>
                      <w:divBdr>
                        <w:top w:val="none" w:sz="0" w:space="0" w:color="auto"/>
                        <w:left w:val="none" w:sz="0" w:space="0" w:color="auto"/>
                        <w:bottom w:val="none" w:sz="0" w:space="0" w:color="auto"/>
                        <w:right w:val="none" w:sz="0" w:space="0" w:color="auto"/>
                      </w:divBdr>
                      <w:divsChild>
                        <w:div w:id="822161004">
                          <w:marLeft w:val="0"/>
                          <w:marRight w:val="0"/>
                          <w:marTop w:val="0"/>
                          <w:marBottom w:val="0"/>
                          <w:divBdr>
                            <w:top w:val="none" w:sz="0" w:space="0" w:color="auto"/>
                            <w:left w:val="none" w:sz="0" w:space="0" w:color="auto"/>
                            <w:bottom w:val="none" w:sz="0" w:space="0" w:color="auto"/>
                            <w:right w:val="none" w:sz="0" w:space="0" w:color="auto"/>
                          </w:divBdr>
                          <w:divsChild>
                            <w:div w:id="745345357">
                              <w:marLeft w:val="12300"/>
                              <w:marRight w:val="0"/>
                              <w:marTop w:val="0"/>
                              <w:marBottom w:val="0"/>
                              <w:divBdr>
                                <w:top w:val="none" w:sz="0" w:space="0" w:color="auto"/>
                                <w:left w:val="none" w:sz="0" w:space="0" w:color="auto"/>
                                <w:bottom w:val="none" w:sz="0" w:space="0" w:color="auto"/>
                                <w:right w:val="none" w:sz="0" w:space="0" w:color="auto"/>
                              </w:divBdr>
                              <w:divsChild>
                                <w:div w:id="1094519500">
                                  <w:marLeft w:val="0"/>
                                  <w:marRight w:val="0"/>
                                  <w:marTop w:val="0"/>
                                  <w:marBottom w:val="0"/>
                                  <w:divBdr>
                                    <w:top w:val="none" w:sz="0" w:space="0" w:color="auto"/>
                                    <w:left w:val="none" w:sz="0" w:space="0" w:color="auto"/>
                                    <w:bottom w:val="none" w:sz="0" w:space="0" w:color="auto"/>
                                    <w:right w:val="none" w:sz="0" w:space="0" w:color="auto"/>
                                  </w:divBdr>
                                  <w:divsChild>
                                    <w:div w:id="988442950">
                                      <w:marLeft w:val="0"/>
                                      <w:marRight w:val="0"/>
                                      <w:marTop w:val="0"/>
                                      <w:marBottom w:val="390"/>
                                      <w:divBdr>
                                        <w:top w:val="none" w:sz="0" w:space="0" w:color="auto"/>
                                        <w:left w:val="none" w:sz="0" w:space="0" w:color="auto"/>
                                        <w:bottom w:val="none" w:sz="0" w:space="0" w:color="auto"/>
                                        <w:right w:val="none" w:sz="0" w:space="0" w:color="auto"/>
                                      </w:divBdr>
                                      <w:divsChild>
                                        <w:div w:id="583151414">
                                          <w:marLeft w:val="0"/>
                                          <w:marRight w:val="0"/>
                                          <w:marTop w:val="0"/>
                                          <w:marBottom w:val="0"/>
                                          <w:divBdr>
                                            <w:top w:val="none" w:sz="0" w:space="0" w:color="auto"/>
                                            <w:left w:val="none" w:sz="0" w:space="0" w:color="auto"/>
                                            <w:bottom w:val="none" w:sz="0" w:space="0" w:color="auto"/>
                                            <w:right w:val="none" w:sz="0" w:space="0" w:color="auto"/>
                                          </w:divBdr>
                                          <w:divsChild>
                                            <w:div w:id="1925071220">
                                              <w:marLeft w:val="0"/>
                                              <w:marRight w:val="0"/>
                                              <w:marTop w:val="0"/>
                                              <w:marBottom w:val="0"/>
                                              <w:divBdr>
                                                <w:top w:val="none" w:sz="0" w:space="0" w:color="auto"/>
                                                <w:left w:val="none" w:sz="0" w:space="0" w:color="auto"/>
                                                <w:bottom w:val="none" w:sz="0" w:space="0" w:color="auto"/>
                                                <w:right w:val="none" w:sz="0" w:space="0" w:color="auto"/>
                                              </w:divBdr>
                                              <w:divsChild>
                                                <w:div w:id="913515972">
                                                  <w:marLeft w:val="0"/>
                                                  <w:marRight w:val="0"/>
                                                  <w:marTop w:val="0"/>
                                                  <w:marBottom w:val="0"/>
                                                  <w:divBdr>
                                                    <w:top w:val="none" w:sz="0" w:space="0" w:color="auto"/>
                                                    <w:left w:val="none" w:sz="0" w:space="0" w:color="auto"/>
                                                    <w:bottom w:val="none" w:sz="0" w:space="0" w:color="auto"/>
                                                    <w:right w:val="none" w:sz="0" w:space="0" w:color="auto"/>
                                                  </w:divBdr>
                                                  <w:divsChild>
                                                    <w:div w:id="142241548">
                                                      <w:marLeft w:val="0"/>
                                                      <w:marRight w:val="0"/>
                                                      <w:marTop w:val="0"/>
                                                      <w:marBottom w:val="0"/>
                                                      <w:divBdr>
                                                        <w:top w:val="none" w:sz="0" w:space="0" w:color="auto"/>
                                                        <w:left w:val="none" w:sz="0" w:space="0" w:color="auto"/>
                                                        <w:bottom w:val="none" w:sz="0" w:space="0" w:color="auto"/>
                                                        <w:right w:val="none" w:sz="0" w:space="0" w:color="auto"/>
                                                      </w:divBdr>
                                                      <w:divsChild>
                                                        <w:div w:id="1044669597">
                                                          <w:marLeft w:val="0"/>
                                                          <w:marRight w:val="0"/>
                                                          <w:marTop w:val="0"/>
                                                          <w:marBottom w:val="0"/>
                                                          <w:divBdr>
                                                            <w:top w:val="none" w:sz="0" w:space="0" w:color="auto"/>
                                                            <w:left w:val="none" w:sz="0" w:space="0" w:color="auto"/>
                                                            <w:bottom w:val="none" w:sz="0" w:space="0" w:color="auto"/>
                                                            <w:right w:val="none" w:sz="0" w:space="0" w:color="auto"/>
                                                          </w:divBdr>
                                                          <w:divsChild>
                                                            <w:div w:id="218712835">
                                                              <w:marLeft w:val="0"/>
                                                              <w:marRight w:val="0"/>
                                                              <w:marTop w:val="0"/>
                                                              <w:marBottom w:val="0"/>
                                                              <w:divBdr>
                                                                <w:top w:val="none" w:sz="0" w:space="0" w:color="auto"/>
                                                                <w:left w:val="none" w:sz="0" w:space="0" w:color="auto"/>
                                                                <w:bottom w:val="none" w:sz="0" w:space="0" w:color="auto"/>
                                                                <w:right w:val="none" w:sz="0" w:space="0" w:color="auto"/>
                                                              </w:divBdr>
                                                              <w:divsChild>
                                                                <w:div w:id="1307395934">
                                                                  <w:marLeft w:val="0"/>
                                                                  <w:marRight w:val="0"/>
                                                                  <w:marTop w:val="0"/>
                                                                  <w:marBottom w:val="0"/>
                                                                  <w:divBdr>
                                                                    <w:top w:val="none" w:sz="0" w:space="0" w:color="auto"/>
                                                                    <w:left w:val="none" w:sz="0" w:space="0" w:color="auto"/>
                                                                    <w:bottom w:val="none" w:sz="0" w:space="0" w:color="auto"/>
                                                                    <w:right w:val="none" w:sz="0" w:space="0" w:color="auto"/>
                                                                  </w:divBdr>
                                                                  <w:divsChild>
                                                                    <w:div w:id="65541864">
                                                                      <w:marLeft w:val="0"/>
                                                                      <w:marRight w:val="0"/>
                                                                      <w:marTop w:val="0"/>
                                                                      <w:marBottom w:val="0"/>
                                                                      <w:divBdr>
                                                                        <w:top w:val="none" w:sz="0" w:space="0" w:color="auto"/>
                                                                        <w:left w:val="none" w:sz="0" w:space="0" w:color="auto"/>
                                                                        <w:bottom w:val="none" w:sz="0" w:space="0" w:color="auto"/>
                                                                        <w:right w:val="none" w:sz="0" w:space="0" w:color="auto"/>
                                                                      </w:divBdr>
                                                                      <w:divsChild>
                                                                        <w:div w:id="1444110840">
                                                                          <w:marLeft w:val="0"/>
                                                                          <w:marRight w:val="0"/>
                                                                          <w:marTop w:val="0"/>
                                                                          <w:marBottom w:val="0"/>
                                                                          <w:divBdr>
                                                                            <w:top w:val="none" w:sz="0" w:space="0" w:color="auto"/>
                                                                            <w:left w:val="none" w:sz="0" w:space="0" w:color="auto"/>
                                                                            <w:bottom w:val="none" w:sz="0" w:space="0" w:color="auto"/>
                                                                            <w:right w:val="none" w:sz="0" w:space="0" w:color="auto"/>
                                                                          </w:divBdr>
                                                                          <w:divsChild>
                                                                            <w:div w:id="972322416">
                                                                              <w:marLeft w:val="0"/>
                                                                              <w:marRight w:val="0"/>
                                                                              <w:marTop w:val="0"/>
                                                                              <w:marBottom w:val="0"/>
                                                                              <w:divBdr>
                                                                                <w:top w:val="none" w:sz="0" w:space="0" w:color="auto"/>
                                                                                <w:left w:val="none" w:sz="0" w:space="0" w:color="auto"/>
                                                                                <w:bottom w:val="none" w:sz="0" w:space="0" w:color="auto"/>
                                                                                <w:right w:val="none" w:sz="0" w:space="0" w:color="auto"/>
                                                                              </w:divBdr>
                                                                              <w:divsChild>
                                                                                <w:div w:id="1059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484962">
      <w:bodyDiv w:val="1"/>
      <w:marLeft w:val="0"/>
      <w:marRight w:val="0"/>
      <w:marTop w:val="0"/>
      <w:marBottom w:val="0"/>
      <w:divBdr>
        <w:top w:val="none" w:sz="0" w:space="0" w:color="auto"/>
        <w:left w:val="none" w:sz="0" w:space="0" w:color="auto"/>
        <w:bottom w:val="none" w:sz="0" w:space="0" w:color="auto"/>
        <w:right w:val="none" w:sz="0" w:space="0" w:color="auto"/>
      </w:divBdr>
      <w:divsChild>
        <w:div w:id="2121682732">
          <w:marLeft w:val="0"/>
          <w:marRight w:val="0"/>
          <w:marTop w:val="0"/>
          <w:marBottom w:val="0"/>
          <w:divBdr>
            <w:top w:val="none" w:sz="0" w:space="0" w:color="auto"/>
            <w:left w:val="none" w:sz="0" w:space="0" w:color="auto"/>
            <w:bottom w:val="none" w:sz="0" w:space="0" w:color="auto"/>
            <w:right w:val="none" w:sz="0" w:space="0" w:color="auto"/>
          </w:divBdr>
          <w:divsChild>
            <w:div w:id="1130440370">
              <w:marLeft w:val="-225"/>
              <w:marRight w:val="-225"/>
              <w:marTop w:val="0"/>
              <w:marBottom w:val="0"/>
              <w:divBdr>
                <w:top w:val="none" w:sz="0" w:space="0" w:color="auto"/>
                <w:left w:val="none" w:sz="0" w:space="0" w:color="auto"/>
                <w:bottom w:val="none" w:sz="0" w:space="0" w:color="auto"/>
                <w:right w:val="none" w:sz="0" w:space="0" w:color="auto"/>
              </w:divBdr>
              <w:divsChild>
                <w:div w:id="1678997080">
                  <w:marLeft w:val="0"/>
                  <w:marRight w:val="0"/>
                  <w:marTop w:val="0"/>
                  <w:marBottom w:val="0"/>
                  <w:divBdr>
                    <w:top w:val="none" w:sz="0" w:space="0" w:color="auto"/>
                    <w:left w:val="none" w:sz="0" w:space="0" w:color="auto"/>
                    <w:bottom w:val="none" w:sz="0" w:space="0" w:color="auto"/>
                    <w:right w:val="none" w:sz="0" w:space="0" w:color="auto"/>
                  </w:divBdr>
                  <w:divsChild>
                    <w:div w:id="2067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m.coe.int/4th-summit-of-heads-of-state-and-government-of-the-council-of-europe/1680ab40c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verfassungsblog.de/towards-institutional-guarantees-for-democratic-rotation/" TargetMode="External"/><Relationship Id="rId13" Type="http://schemas.openxmlformats.org/officeDocument/2006/relationships/hyperlink" Target="https://worldjusticeproject.org/rule-of-law-index/" TargetMode="External"/><Relationship Id="rId18" Type="http://schemas.openxmlformats.org/officeDocument/2006/relationships/hyperlink" Target="https://freedomhouse.org/reports/freedom-world/freedom-world-research-methodology" TargetMode="External"/><Relationship Id="rId26" Type="http://schemas.openxmlformats.org/officeDocument/2006/relationships/hyperlink" Target="https://rm.coe.int/CoERMPublicCommonSearchServices/DisplayDCTMContent?documentId=090000168098acd3" TargetMode="External"/><Relationship Id="rId3" Type="http://schemas.openxmlformats.org/officeDocument/2006/relationships/hyperlink" Target="https://www.un.org/ruleoflaw/sdg-16/" TargetMode="External"/><Relationship Id="rId21" Type="http://schemas.openxmlformats.org/officeDocument/2006/relationships/hyperlink" Target="https://www.v-dem.net/data/the-v-dem-dataset/" TargetMode="External"/><Relationship Id="rId7" Type="http://schemas.openxmlformats.org/officeDocument/2006/relationships/hyperlink" Target="https://verfassungsblog.de/misconceptions-rol/" TargetMode="External"/><Relationship Id="rId12" Type="http://schemas.openxmlformats.org/officeDocument/2006/relationships/hyperlink" Target="https://peacekeeping.un.org/sites/default/files/un_rule_of_law_indicators.pdf" TargetMode="External"/><Relationship Id="rId17" Type="http://schemas.openxmlformats.org/officeDocument/2006/relationships/hyperlink" Target="https://dx.doi.org/10.2139/ssrn.1966257" TargetMode="External"/><Relationship Id="rId25" Type="http://schemas.openxmlformats.org/officeDocument/2006/relationships/hyperlink" Target="https://www.coe.int/en/web/congress/corruption-and-public-ethics" TargetMode="External"/><Relationship Id="rId2" Type="http://schemas.openxmlformats.org/officeDocument/2006/relationships/hyperlink" Target="https://www.un.org/en/conferences/environment/newyork2005" TargetMode="External"/><Relationship Id="rId16" Type="http://schemas.openxmlformats.org/officeDocument/2006/relationships/hyperlink" Target="https://ssrn.com/abstract=1966257" TargetMode="External"/><Relationship Id="rId20" Type="http://schemas.openxmlformats.org/officeDocument/2006/relationships/hyperlink" Target="https://v-dem.net/" TargetMode="External"/><Relationship Id="rId1" Type="http://schemas.openxmlformats.org/officeDocument/2006/relationships/hyperlink" Target="https://rm.coe.int/native/0900001680aed669" TargetMode="External"/><Relationship Id="rId6" Type="http://schemas.openxmlformats.org/officeDocument/2006/relationships/hyperlink" Target="https://commission.europa.eu/strategy-and-policy/policies/justice-and-fundamental-rights/upholding-rule-law/rule-law/rule-law-mechanism/2022-rule-law-report_en" TargetMode="External"/><Relationship Id="rId11" Type="http://schemas.openxmlformats.org/officeDocument/2006/relationships/hyperlink" Target="https://commission.europa.eu/strategy-and-policy/policies/justice-and-fundamental-rights/upholding-rule-law/rule-law/rule-law-mechanism/2022-rule-law-report_en" TargetMode="External"/><Relationship Id="rId24" Type="http://schemas.openxmlformats.org/officeDocument/2006/relationships/hyperlink" Target="https://rm.coe.int/call-for-action-congress-high-level-conference-in-the-margins-of-the-c/1680ab3b97" TargetMode="External"/><Relationship Id="rId5" Type="http://schemas.openxmlformats.org/officeDocument/2006/relationships/hyperlink" Target="https://commission.europa.eu/strategy-and-policy/policies/justice-and-fundamental-rights/upholding-rule-law/rule-law/rule-law-mechanism_en" TargetMode="External"/><Relationship Id="rId15" Type="http://schemas.openxmlformats.org/officeDocument/2006/relationships/hyperlink" Target="https://worldjusticeproject.org/rule-of-law-index/about" TargetMode="External"/><Relationship Id="rId23" Type="http://schemas.openxmlformats.org/officeDocument/2006/relationships/hyperlink" Target="https://rm.coe.int/contemporary-commentary-by-the-congress-on-the-explanatory-report-to-t/1680a06149" TargetMode="External"/><Relationship Id="rId10" Type="http://schemas.openxmlformats.org/officeDocument/2006/relationships/hyperlink" Target="https://www.coe.int/en/web/portal/fourth-council-of-europe-summit" TargetMode="External"/><Relationship Id="rId19" Type="http://schemas.openxmlformats.org/officeDocument/2006/relationships/hyperlink" Target="https://www.eiu.com/n/campaigns/democracy-index-2022/" TargetMode="External"/><Relationship Id="rId4" Type="http://schemas.openxmlformats.org/officeDocument/2006/relationships/hyperlink" Target="https://neighbourhood-enlargement.ec.europa.eu/enlargement-policy/conditions-membership_en" TargetMode="External"/><Relationship Id="rId9" Type="http://schemas.openxmlformats.org/officeDocument/2006/relationships/hyperlink" Target="https://plato.stanford.edu/entries/rule-of-law/" TargetMode="External"/><Relationship Id="rId14" Type="http://schemas.openxmlformats.org/officeDocument/2006/relationships/hyperlink" Target="https://worldjusticeproject.org/about-us/overview/what-rule-law" TargetMode="External"/><Relationship Id="rId22" Type="http://schemas.openxmlformats.org/officeDocument/2006/relationships/hyperlink" Target="https://freedomhouse.org/reports/nations-transit/nations-transit-methodology" TargetMode="External"/><Relationship Id="rId27" Type="http://schemas.openxmlformats.org/officeDocument/2006/relationships/hyperlink" Target="https://www.coe.int/en/web/congress/echr-case-la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6229-1F6E-4A5B-B8A5-39EDF2ED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16</Pages>
  <Words>7652</Words>
  <Characters>42088</Characters>
  <Application>Microsoft Office Word</Application>
  <DocSecurity>0</DocSecurity>
  <Lines>350</Lines>
  <Paragraphs>99</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Council of Europe</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PEREVERTEN Svitlana</dc:creator>
  <cp:lastModifiedBy>DUMITRESCU Gratiela</cp:lastModifiedBy>
  <cp:revision>81</cp:revision>
  <cp:lastPrinted>2024-03-26T17:40:00Z</cp:lastPrinted>
  <dcterms:created xsi:type="dcterms:W3CDTF">2024-02-09T08:43:00Z</dcterms:created>
  <dcterms:modified xsi:type="dcterms:W3CDTF">2024-03-27T08:06:00Z</dcterms:modified>
</cp:coreProperties>
</file>