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1AC13024" w14:textId="77777777" w:rsidTr="00E54322">
        <w:trPr>
          <w:trHeight w:val="737"/>
        </w:trPr>
        <w:tc>
          <w:tcPr>
            <w:tcW w:w="1250" w:type="pct"/>
            <w:shd w:val="clear" w:color="auto" w:fill="auto"/>
            <w:vAlign w:val="center"/>
          </w:tcPr>
          <w:p w14:paraId="25F9901C"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21A448E"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74C4F93D" w14:textId="0593C231" w:rsidR="002D11B8" w:rsidRPr="008E7000" w:rsidRDefault="008E7000" w:rsidP="00FE16E3">
            <w:pPr>
              <w:ind w:left="-40"/>
              <w:jc w:val="center"/>
              <w:rPr>
                <w:rFonts w:ascii="Arial Narrow" w:hAnsi="Arial Narrow" w:cs="Arial"/>
                <w:b/>
                <w:sz w:val="24"/>
                <w:szCs w:val="24"/>
              </w:rPr>
            </w:pPr>
            <w:r w:rsidRPr="008E7000">
              <w:rPr>
                <w:rFonts w:ascii="Arial Narrow" w:hAnsi="Arial Narrow" w:cs="Calibri"/>
                <w:b/>
                <w:sz w:val="24"/>
                <w:szCs w:val="24"/>
              </w:rPr>
              <w:t>CM(2024)33-add</w:t>
            </w:r>
            <w:r w:rsidR="007F4F6E">
              <w:rPr>
                <w:rFonts w:ascii="Arial Narrow" w:hAnsi="Arial Narrow" w:cs="Calibri"/>
                <w:b/>
                <w:sz w:val="24"/>
                <w:szCs w:val="24"/>
              </w:rPr>
              <w:t>final</w:t>
            </w:r>
          </w:p>
        </w:tc>
        <w:tc>
          <w:tcPr>
            <w:tcW w:w="1250" w:type="pct"/>
            <w:shd w:val="clear" w:color="auto" w:fill="auto"/>
            <w:vAlign w:val="center"/>
          </w:tcPr>
          <w:p w14:paraId="439A8A87" w14:textId="01BA2388" w:rsidR="002D11B8" w:rsidRPr="00F96689" w:rsidRDefault="00293449" w:rsidP="00FE16E3">
            <w:pPr>
              <w:jc w:val="right"/>
              <w:rPr>
                <w:rFonts w:ascii="Arial Narrow" w:hAnsi="Arial Narrow" w:cs="Arial"/>
                <w:sz w:val="16"/>
                <w:szCs w:val="16"/>
              </w:rPr>
            </w:pPr>
            <w:r>
              <w:rPr>
                <w:rFonts w:ascii="Arial Narrow" w:hAnsi="Arial Narrow" w:cs="Calibri"/>
                <w:sz w:val="16"/>
                <w:szCs w:val="16"/>
              </w:rPr>
              <w:t>24 April</w:t>
            </w:r>
            <w:r w:rsidR="002D11B8" w:rsidRPr="00F96689">
              <w:rPr>
                <w:rFonts w:ascii="Arial Narrow" w:hAnsi="Arial Narrow" w:cs="Calibri"/>
                <w:sz w:val="16"/>
                <w:szCs w:val="16"/>
              </w:rPr>
              <w:t xml:space="preserve"> </w:t>
            </w:r>
            <w:r w:rsidR="00681C0C">
              <w:rPr>
                <w:rFonts w:ascii="Arial Narrow" w:hAnsi="Arial Narrow" w:cs="Calibri"/>
                <w:sz w:val="16"/>
                <w:szCs w:val="16"/>
              </w:rPr>
              <w:t>2024</w:t>
            </w:r>
          </w:p>
        </w:tc>
      </w:tr>
    </w:tbl>
    <w:p w14:paraId="0060996B"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F3D4164" w14:textId="77777777" w:rsidTr="00E54322">
        <w:tc>
          <w:tcPr>
            <w:tcW w:w="9399" w:type="dxa"/>
            <w:shd w:val="clear" w:color="auto" w:fill="auto"/>
            <w:tcMar>
              <w:top w:w="227" w:type="dxa"/>
              <w:bottom w:w="227" w:type="dxa"/>
            </w:tcMar>
            <w:vAlign w:val="center"/>
          </w:tcPr>
          <w:p w14:paraId="2CCD8B30" w14:textId="77777777" w:rsidR="007D7B2E" w:rsidRPr="009A3946" w:rsidRDefault="007D7B2E" w:rsidP="007D7B2E">
            <w:pPr>
              <w:rPr>
                <w:rFonts w:ascii="Open Sans" w:hAnsi="Open Sans" w:cs="Open Sans"/>
                <w:szCs w:val="20"/>
                <w:lang w:eastAsia="fr-FR"/>
              </w:rPr>
            </w:pPr>
            <w:r w:rsidRPr="009A3946">
              <w:rPr>
                <w:rStyle w:val="Strong"/>
                <w:rFonts w:ascii="Arial Narrow" w:hAnsi="Arial Narrow" w:cs="Open Sans"/>
                <w:sz w:val="32"/>
                <w:szCs w:val="32"/>
              </w:rPr>
              <w:t>133</w:t>
            </w:r>
            <w:r w:rsidRPr="009A3946">
              <w:rPr>
                <w:rStyle w:val="Strong"/>
                <w:rFonts w:ascii="Arial Narrow" w:hAnsi="Arial Narrow" w:cs="Open Sans"/>
                <w:sz w:val="32"/>
                <w:szCs w:val="32"/>
                <w:vertAlign w:val="superscript"/>
              </w:rPr>
              <w:t>rd</w:t>
            </w:r>
            <w:r w:rsidRPr="009A3946">
              <w:rPr>
                <w:rStyle w:val="Strong"/>
                <w:rFonts w:ascii="Arial Narrow" w:hAnsi="Arial Narrow" w:cs="Open Sans"/>
                <w:sz w:val="32"/>
                <w:szCs w:val="32"/>
              </w:rPr>
              <w:t> Session of the Committee of Ministers</w:t>
            </w:r>
          </w:p>
          <w:p w14:paraId="6461773E" w14:textId="542129B6" w:rsidR="007D7B2E" w:rsidRPr="009A3946" w:rsidRDefault="007D7B2E" w:rsidP="007D7B2E">
            <w:pPr>
              <w:rPr>
                <w:rFonts w:ascii="Open Sans" w:hAnsi="Open Sans" w:cs="Open Sans"/>
                <w:szCs w:val="20"/>
              </w:rPr>
            </w:pPr>
            <w:r w:rsidRPr="009A3946">
              <w:rPr>
                <w:rStyle w:val="Strong"/>
                <w:rFonts w:ascii="Arial Narrow" w:hAnsi="Arial Narrow" w:cs="Open Sans"/>
                <w:sz w:val="32"/>
                <w:szCs w:val="32"/>
              </w:rPr>
              <w:t xml:space="preserve">(Strasbourg, </w:t>
            </w:r>
            <w:r w:rsidR="00E97CD0">
              <w:rPr>
                <w:rStyle w:val="Strong"/>
                <w:rFonts w:ascii="Arial Narrow" w:hAnsi="Arial Narrow" w:cs="Open Sans"/>
                <w:sz w:val="32"/>
                <w:szCs w:val="32"/>
              </w:rPr>
              <w:t>16-</w:t>
            </w:r>
            <w:r w:rsidRPr="009A3946">
              <w:rPr>
                <w:rStyle w:val="Strong"/>
                <w:rFonts w:ascii="Arial Narrow" w:hAnsi="Arial Narrow" w:cs="Open Sans"/>
                <w:sz w:val="32"/>
                <w:szCs w:val="32"/>
              </w:rPr>
              <w:t>17 May 2024)</w:t>
            </w:r>
          </w:p>
          <w:p w14:paraId="2B1B8309" w14:textId="77777777" w:rsidR="008E74B8" w:rsidRPr="009A3946" w:rsidRDefault="008E74B8" w:rsidP="008E74B8">
            <w:pPr>
              <w:rPr>
                <w:rFonts w:ascii="Arial Narrow" w:hAnsi="Arial Narrow" w:cs="Calibri"/>
                <w:sz w:val="22"/>
              </w:rPr>
            </w:pPr>
          </w:p>
          <w:p w14:paraId="019293D0" w14:textId="44F9D5C9" w:rsidR="00E457C3" w:rsidRPr="00D9220B" w:rsidRDefault="009E1215" w:rsidP="008E74B8">
            <w:pPr>
              <w:rPr>
                <w:rFonts w:ascii="Arial Narrow" w:hAnsi="Arial Narrow" w:cs="Calibri"/>
                <w:b/>
                <w:szCs w:val="20"/>
              </w:rPr>
            </w:pPr>
            <w:r w:rsidRPr="009A3946">
              <w:rPr>
                <w:rStyle w:val="Strong"/>
                <w:rFonts w:ascii="Arial Narrow" w:hAnsi="Arial Narrow" w:cs="Open Sans"/>
                <w:sz w:val="28"/>
                <w:szCs w:val="28"/>
                <w:shd w:val="clear" w:color="auto" w:fill="FFFFFF"/>
              </w:rPr>
              <w:t>Joint Programmes between the Council of Europe and the European Union in 2023 – Information document</w:t>
            </w:r>
          </w:p>
        </w:tc>
      </w:tr>
    </w:tbl>
    <w:p w14:paraId="1C028754" w14:textId="77777777" w:rsidR="00E54322" w:rsidRDefault="00E54322" w:rsidP="0037200F">
      <w:pPr>
        <w:rPr>
          <w:rFonts w:eastAsia="Times New Roman"/>
          <w:szCs w:val="24"/>
        </w:rPr>
      </w:pPr>
      <w:r>
        <w:rPr>
          <w:rFonts w:eastAsia="Times New Roman"/>
          <w:szCs w:val="24"/>
        </w:rPr>
        <w:t xml:space="preserve"> </w:t>
      </w:r>
    </w:p>
    <w:p w14:paraId="0B066223" w14:textId="77777777" w:rsidR="00681C0C" w:rsidRDefault="00681C0C">
      <w:pPr>
        <w:rPr>
          <w:rFonts w:eastAsia="Times New Roman"/>
          <w:szCs w:val="24"/>
        </w:rPr>
      </w:pPr>
    </w:p>
    <w:p w14:paraId="4030CB0D" w14:textId="77777777" w:rsidR="008E74B8" w:rsidRPr="00783A5E" w:rsidRDefault="008E74B8" w:rsidP="008E74B8">
      <w:pPr>
        <w:spacing w:before="120" w:after="120" w:line="240" w:lineRule="atLeast"/>
        <w:jc w:val="both"/>
        <w:rPr>
          <w:rFonts w:eastAsia="Times New Roman" w:cs="Arial"/>
          <w:szCs w:val="20"/>
        </w:rPr>
      </w:pPr>
      <w:r w:rsidRPr="000254B2">
        <w:rPr>
          <w:rFonts w:eastAsia="Times New Roman" w:cs="Arial"/>
          <w:b/>
          <w:bCs/>
          <w:szCs w:val="20"/>
        </w:rPr>
        <w:t>I.</w:t>
      </w:r>
      <w:r w:rsidRPr="000254B2">
        <w:rPr>
          <w:rFonts w:eastAsia="Times New Roman" w:cs="Arial"/>
          <w:szCs w:val="20"/>
        </w:rPr>
        <w:t xml:space="preserve"> </w:t>
      </w:r>
      <w:r>
        <w:rPr>
          <w:rFonts w:eastAsia="Times New Roman" w:cs="Arial"/>
          <w:szCs w:val="20"/>
        </w:rPr>
        <w:tab/>
      </w:r>
      <w:r w:rsidRPr="000254B2">
        <w:rPr>
          <w:rFonts w:cs="Arial"/>
          <w:b/>
          <w:szCs w:val="20"/>
        </w:rPr>
        <w:t>GENERAL DEVELOPMENTS</w:t>
      </w:r>
    </w:p>
    <w:p w14:paraId="2AEA8FAF" w14:textId="77777777" w:rsidR="008E74B8" w:rsidRDefault="008E74B8" w:rsidP="008E74B8">
      <w:pPr>
        <w:numPr>
          <w:ilvl w:val="0"/>
          <w:numId w:val="4"/>
        </w:numPr>
        <w:spacing w:before="120" w:after="120" w:line="240" w:lineRule="atLeast"/>
        <w:ind w:left="0" w:firstLine="0"/>
        <w:rPr>
          <w:rFonts w:eastAsia="Times New Roman" w:cs="Arial"/>
          <w:szCs w:val="20"/>
        </w:rPr>
      </w:pPr>
      <w:r w:rsidRPr="00783A5E">
        <w:rPr>
          <w:rFonts w:eastAsia="Times New Roman" w:cs="Arial"/>
          <w:szCs w:val="20"/>
        </w:rPr>
        <w:t xml:space="preserve">Co-operation within the framework of Joint Programmes (JPs) is one of the pillars of the strategic partnership between the Council of Europe and the European Union (EU), based on common values and shared priorities. </w:t>
      </w:r>
      <w:r w:rsidRPr="00783A5E">
        <w:rPr>
          <w:rFonts w:eastAsia="Times New Roman" w:cs="Arial"/>
          <w:szCs w:val="20"/>
          <w:lang w:val="en-US" w:eastAsia="fr-FR"/>
        </w:rPr>
        <w:t>A</w:t>
      </w:r>
      <w:r w:rsidRPr="00783A5E">
        <w:rPr>
          <w:rFonts w:cs="Arial"/>
          <w:szCs w:val="20"/>
          <w:shd w:val="clear" w:color="auto" w:fill="FFFFFF"/>
        </w:rPr>
        <w:t>t their Fourth Summit held in Reykjavik on 16-17 May 2023, Heads of State and Government of the Co</w:t>
      </w:r>
      <w:r>
        <w:rPr>
          <w:rFonts w:cs="Arial"/>
          <w:szCs w:val="20"/>
          <w:shd w:val="clear" w:color="auto" w:fill="FFFFFF"/>
        </w:rPr>
        <w:t>uncil of Europe</w:t>
      </w:r>
      <w:r w:rsidRPr="00783A5E">
        <w:rPr>
          <w:rFonts w:cs="Arial"/>
          <w:szCs w:val="20"/>
          <w:shd w:val="clear" w:color="auto" w:fill="FFFFFF"/>
        </w:rPr>
        <w:t xml:space="preserve"> recognised that the EU “is the main institutional partner of the Co</w:t>
      </w:r>
      <w:r>
        <w:rPr>
          <w:rFonts w:cs="Arial"/>
          <w:szCs w:val="20"/>
          <w:shd w:val="clear" w:color="auto" w:fill="FFFFFF"/>
        </w:rPr>
        <w:t xml:space="preserve">uncil of </w:t>
      </w:r>
      <w:r w:rsidRPr="00783A5E">
        <w:rPr>
          <w:rFonts w:cs="Arial"/>
          <w:szCs w:val="20"/>
          <w:shd w:val="clear" w:color="auto" w:fill="FFFFFF"/>
        </w:rPr>
        <w:t>E</w:t>
      </w:r>
      <w:r>
        <w:rPr>
          <w:rFonts w:cs="Arial"/>
          <w:szCs w:val="20"/>
          <w:shd w:val="clear" w:color="auto" w:fill="FFFFFF"/>
        </w:rPr>
        <w:t>urope</w:t>
      </w:r>
      <w:r w:rsidRPr="00783A5E">
        <w:rPr>
          <w:rFonts w:cs="Arial"/>
          <w:szCs w:val="20"/>
          <w:shd w:val="clear" w:color="auto" w:fill="FFFFFF"/>
        </w:rPr>
        <w:t xml:space="preserve"> in political, legal, and financial terms”.</w:t>
      </w:r>
      <w:r w:rsidRPr="00783A5E">
        <w:rPr>
          <w:rFonts w:eastAsia="Times New Roman" w:cs="Arial"/>
          <w:bCs/>
          <w:szCs w:val="20"/>
          <w:lang w:eastAsia="fr-FR"/>
        </w:rPr>
        <w:t xml:space="preserve"> </w:t>
      </w:r>
      <w:r w:rsidRPr="00591619">
        <w:rPr>
          <w:rFonts w:eastAsia="Times New Roman" w:cs="Arial"/>
          <w:bCs/>
          <w:szCs w:val="20"/>
          <w:lang w:eastAsia="fr-FR"/>
        </w:rPr>
        <w:t xml:space="preserve">The Reykjavik Declaration further </w:t>
      </w:r>
      <w:r w:rsidRPr="00591619">
        <w:rPr>
          <w:rFonts w:cs="Arial"/>
          <w:szCs w:val="20"/>
        </w:rPr>
        <w:t>acknowledged</w:t>
      </w:r>
      <w:r w:rsidRPr="00591619">
        <w:rPr>
          <w:rFonts w:cs="Arial"/>
          <w:i/>
          <w:iCs/>
          <w:szCs w:val="20"/>
        </w:rPr>
        <w:t xml:space="preserve"> </w:t>
      </w:r>
      <w:r w:rsidRPr="00591619">
        <w:rPr>
          <w:rFonts w:cs="Arial"/>
          <w:szCs w:val="20"/>
        </w:rPr>
        <w:t>“the</w:t>
      </w:r>
      <w:r w:rsidRPr="00783A5E">
        <w:rPr>
          <w:rFonts w:cs="Arial"/>
          <w:szCs w:val="20"/>
        </w:rPr>
        <w:t xml:space="preserve"> importance of joint programmes between the European Union and the Co</w:t>
      </w:r>
      <w:r>
        <w:rPr>
          <w:rFonts w:cs="Arial"/>
          <w:szCs w:val="20"/>
        </w:rPr>
        <w:t xml:space="preserve">uncil of Europe </w:t>
      </w:r>
      <w:r w:rsidRPr="00783A5E">
        <w:rPr>
          <w:rFonts w:cs="Arial"/>
          <w:szCs w:val="20"/>
        </w:rPr>
        <w:t>as a key expression of this strategic partnership and mutual commitment to promoting common values”.</w:t>
      </w:r>
    </w:p>
    <w:p w14:paraId="0396FDE0" w14:textId="77777777" w:rsidR="008E74B8" w:rsidRPr="00783A5E" w:rsidRDefault="008E74B8" w:rsidP="008E74B8">
      <w:pPr>
        <w:numPr>
          <w:ilvl w:val="0"/>
          <w:numId w:val="4"/>
        </w:numPr>
        <w:spacing w:before="120" w:after="120" w:line="240" w:lineRule="atLeast"/>
        <w:ind w:left="0" w:firstLine="0"/>
        <w:rPr>
          <w:rFonts w:eastAsia="Times New Roman" w:cs="Arial"/>
          <w:color w:val="000000" w:themeColor="text1"/>
          <w:szCs w:val="20"/>
        </w:rPr>
      </w:pPr>
      <w:r>
        <w:rPr>
          <w:rFonts w:eastAsia="Times New Roman" w:cs="Arial"/>
          <w:color w:val="000000" w:themeColor="text1"/>
          <w:szCs w:val="20"/>
        </w:rPr>
        <w:t>On 30</w:t>
      </w:r>
      <w:r>
        <w:rPr>
          <w:rFonts w:eastAsia="Times New Roman" w:cs="Arial"/>
          <w:color w:val="000000" w:themeColor="text1"/>
          <w:szCs w:val="20"/>
          <w:vertAlign w:val="superscript"/>
        </w:rPr>
        <w:t xml:space="preserve"> </w:t>
      </w:r>
      <w:r>
        <w:rPr>
          <w:rFonts w:eastAsia="Times New Roman" w:cs="Arial"/>
          <w:color w:val="000000" w:themeColor="text1"/>
          <w:szCs w:val="20"/>
        </w:rPr>
        <w:t>January 2023, t</w:t>
      </w:r>
      <w:r w:rsidRPr="00783A5E">
        <w:rPr>
          <w:rFonts w:eastAsia="Times New Roman" w:cs="Arial"/>
          <w:color w:val="000000" w:themeColor="text1"/>
          <w:szCs w:val="20"/>
        </w:rPr>
        <w:t>he Council of the European Union approved</w:t>
      </w:r>
      <w:r>
        <w:rPr>
          <w:rFonts w:eastAsia="Times New Roman" w:cs="Arial"/>
          <w:color w:val="000000" w:themeColor="text1"/>
          <w:szCs w:val="20"/>
        </w:rPr>
        <w:t xml:space="preserve"> the </w:t>
      </w:r>
      <w:r w:rsidRPr="00783A5E">
        <w:rPr>
          <w:rFonts w:eastAsia="Times New Roman" w:cs="Arial"/>
          <w:color w:val="000000" w:themeColor="text1"/>
          <w:szCs w:val="20"/>
        </w:rPr>
        <w:t xml:space="preserve">conclusions on EU priorities for cooperation with the Council of Europe </w:t>
      </w:r>
      <w:r>
        <w:rPr>
          <w:rFonts w:eastAsia="Times New Roman" w:cs="Arial"/>
          <w:color w:val="000000" w:themeColor="text1"/>
          <w:szCs w:val="20"/>
        </w:rPr>
        <w:t xml:space="preserve">in </w:t>
      </w:r>
      <w:r w:rsidRPr="00783A5E">
        <w:rPr>
          <w:rFonts w:eastAsia="Times New Roman" w:cs="Arial"/>
          <w:color w:val="000000" w:themeColor="text1"/>
          <w:szCs w:val="20"/>
        </w:rPr>
        <w:t>2023-2024. Th</w:t>
      </w:r>
      <w:r>
        <w:rPr>
          <w:rFonts w:eastAsia="Times New Roman" w:cs="Arial"/>
          <w:color w:val="000000" w:themeColor="text1"/>
          <w:szCs w:val="20"/>
        </w:rPr>
        <w:t xml:space="preserve">ese conclusions </w:t>
      </w:r>
      <w:r w:rsidRPr="00783A5E">
        <w:rPr>
          <w:rFonts w:eastAsia="Times New Roman" w:cs="Arial"/>
          <w:color w:val="000000" w:themeColor="text1"/>
          <w:szCs w:val="20"/>
        </w:rPr>
        <w:t>highlight</w:t>
      </w:r>
      <w:r>
        <w:rPr>
          <w:rFonts w:eastAsia="Times New Roman" w:cs="Arial"/>
          <w:color w:val="000000" w:themeColor="text1"/>
          <w:szCs w:val="20"/>
        </w:rPr>
        <w:t xml:space="preserve">ed </w:t>
      </w:r>
      <w:r w:rsidRPr="00783A5E">
        <w:rPr>
          <w:rFonts w:eastAsia="Times New Roman" w:cs="Arial"/>
          <w:color w:val="000000" w:themeColor="text1"/>
          <w:szCs w:val="20"/>
        </w:rPr>
        <w:t xml:space="preserve">the extent and depth </w:t>
      </w:r>
      <w:r w:rsidRPr="00821C45">
        <w:rPr>
          <w:rFonts w:eastAsia="Times New Roman" w:cs="Arial"/>
          <w:color w:val="000000" w:themeColor="text1"/>
          <w:szCs w:val="20"/>
        </w:rPr>
        <w:t>of this co-operation,</w:t>
      </w:r>
      <w:r w:rsidRPr="00783A5E">
        <w:rPr>
          <w:rFonts w:eastAsia="Times New Roman" w:cs="Arial"/>
          <w:color w:val="000000" w:themeColor="text1"/>
          <w:szCs w:val="20"/>
        </w:rPr>
        <w:t xml:space="preserve"> including through Joint </w:t>
      </w:r>
      <w:r>
        <w:rPr>
          <w:rFonts w:eastAsia="Times New Roman" w:cs="Arial"/>
          <w:color w:val="000000" w:themeColor="text1"/>
          <w:szCs w:val="20"/>
        </w:rPr>
        <w:t>P</w:t>
      </w:r>
      <w:r w:rsidRPr="00783A5E">
        <w:rPr>
          <w:rFonts w:eastAsia="Times New Roman" w:cs="Arial"/>
          <w:color w:val="000000" w:themeColor="text1"/>
          <w:szCs w:val="20"/>
        </w:rPr>
        <w:t>rogrammes,</w:t>
      </w:r>
      <w:r>
        <w:rPr>
          <w:rFonts w:eastAsia="Times New Roman" w:cs="Arial"/>
          <w:color w:val="000000" w:themeColor="text1"/>
          <w:szCs w:val="20"/>
        </w:rPr>
        <w:t xml:space="preserve"> </w:t>
      </w:r>
      <w:r w:rsidRPr="00783A5E">
        <w:rPr>
          <w:rFonts w:eastAsia="Times New Roman" w:cs="Arial"/>
          <w:color w:val="000000" w:themeColor="text1"/>
          <w:szCs w:val="20"/>
        </w:rPr>
        <w:t>in the fields of human rights, democracy and rule of law</w:t>
      </w:r>
      <w:r>
        <w:rPr>
          <w:rFonts w:eastAsia="Times New Roman" w:cs="Arial"/>
          <w:color w:val="000000" w:themeColor="text1"/>
          <w:szCs w:val="20"/>
        </w:rPr>
        <w:t xml:space="preserve">. The document also acknowledged </w:t>
      </w:r>
      <w:r w:rsidRPr="00783A5E">
        <w:rPr>
          <w:rFonts w:eastAsia="Times New Roman" w:cs="Arial"/>
          <w:color w:val="000000" w:themeColor="text1"/>
          <w:szCs w:val="20"/>
        </w:rPr>
        <w:t>“</w:t>
      </w:r>
      <w:r w:rsidRPr="00783A5E">
        <w:rPr>
          <w:rFonts w:cs="Arial"/>
          <w:color w:val="000000" w:themeColor="text1"/>
          <w:shd w:val="clear" w:color="auto" w:fill="FFFFFF"/>
        </w:rPr>
        <w:t>the Council of Europe’s important role in supporting the alignment with European Standards and strengthening the capacity building of important institutions during the reform processes in the Western Balkans and the Eastern Partnership countries” as well as the key nature of the</w:t>
      </w:r>
      <w:r>
        <w:rPr>
          <w:rFonts w:cs="Arial"/>
          <w:color w:val="000000" w:themeColor="text1"/>
          <w:shd w:val="clear" w:color="auto" w:fill="FFFFFF"/>
        </w:rPr>
        <w:t xml:space="preserve"> </w:t>
      </w:r>
      <w:r w:rsidRPr="00783A5E">
        <w:rPr>
          <w:rFonts w:cs="Arial"/>
          <w:color w:val="000000" w:themeColor="text1"/>
          <w:shd w:val="clear" w:color="auto" w:fill="FFFFFF"/>
        </w:rPr>
        <w:t>Council of Europe’s Southern Neighbourhood Policy and the European Centre for Global Interdependence and Solidarity “in improving dialogue and co</w:t>
      </w:r>
      <w:r>
        <w:rPr>
          <w:rFonts w:cs="Arial"/>
          <w:color w:val="000000" w:themeColor="text1"/>
          <w:shd w:val="clear" w:color="auto" w:fill="FFFFFF"/>
        </w:rPr>
        <w:t>-</w:t>
      </w:r>
      <w:r w:rsidRPr="00783A5E">
        <w:rPr>
          <w:rFonts w:cs="Arial"/>
          <w:color w:val="000000" w:themeColor="text1"/>
          <w:shd w:val="clear" w:color="auto" w:fill="FFFFFF"/>
        </w:rPr>
        <w:t>operation between North and South, fostering solidarity and promoting stability and democratic security in both Europe and its neighbouring regions”.</w:t>
      </w:r>
      <w:r>
        <w:rPr>
          <w:rFonts w:cs="Arial"/>
          <w:color w:val="000000" w:themeColor="text1"/>
          <w:shd w:val="clear" w:color="auto" w:fill="FFFFFF"/>
        </w:rPr>
        <w:t xml:space="preserve"> </w:t>
      </w:r>
      <w:r w:rsidRPr="00783A5E">
        <w:rPr>
          <w:rFonts w:eastAsia="Times New Roman" w:cs="Arial"/>
          <w:color w:val="000000" w:themeColor="text1"/>
          <w:szCs w:val="20"/>
        </w:rPr>
        <w:t xml:space="preserve"> </w:t>
      </w:r>
    </w:p>
    <w:p w14:paraId="529630EC" w14:textId="6D82C49B" w:rsidR="00D9220B" w:rsidRDefault="008E74B8" w:rsidP="008E74B8">
      <w:pPr>
        <w:numPr>
          <w:ilvl w:val="0"/>
          <w:numId w:val="4"/>
        </w:numPr>
        <w:spacing w:before="120" w:after="120" w:line="240" w:lineRule="atLeast"/>
        <w:ind w:left="0" w:firstLine="0"/>
        <w:rPr>
          <w:rFonts w:eastAsia="Times New Roman" w:cs="Arial"/>
          <w:color w:val="3F4A52"/>
          <w:szCs w:val="20"/>
          <w:shd w:val="clear" w:color="auto" w:fill="FFFFFF"/>
        </w:rPr>
      </w:pPr>
      <w:r w:rsidRPr="000254B2">
        <w:rPr>
          <w:rFonts w:eastAsia="Times New Roman" w:cs="Arial"/>
          <w:szCs w:val="20"/>
        </w:rPr>
        <w:t>In 202</w:t>
      </w:r>
      <w:r>
        <w:rPr>
          <w:rFonts w:eastAsia="Times New Roman" w:cs="Arial"/>
          <w:szCs w:val="20"/>
        </w:rPr>
        <w:t>3</w:t>
      </w:r>
      <w:r w:rsidRPr="000254B2">
        <w:rPr>
          <w:rFonts w:eastAsia="Times New Roman" w:cs="Arial"/>
          <w:szCs w:val="20"/>
        </w:rPr>
        <w:t>, co</w:t>
      </w:r>
      <w:r>
        <w:rPr>
          <w:rFonts w:eastAsia="Times New Roman" w:cs="Arial"/>
          <w:szCs w:val="20"/>
        </w:rPr>
        <w:t>-</w:t>
      </w:r>
      <w:r w:rsidRPr="000254B2">
        <w:rPr>
          <w:rFonts w:eastAsia="Times New Roman" w:cs="Arial"/>
          <w:szCs w:val="20"/>
        </w:rPr>
        <w:t xml:space="preserve">operation through Joint Programmes continued supporting member States and partners in the neighbourhood in strengthening democracy, human rights and the rule of law. </w:t>
      </w:r>
      <w:r>
        <w:rPr>
          <w:rFonts w:eastAsia="Times New Roman" w:cs="Arial"/>
          <w:szCs w:val="20"/>
        </w:rPr>
        <w:t xml:space="preserve">Since the first joint co-operation undertakings in the early nineties, </w:t>
      </w:r>
      <w:r w:rsidRPr="000254B2">
        <w:rPr>
          <w:rFonts w:eastAsia="Times New Roman" w:cs="Arial"/>
          <w:szCs w:val="20"/>
        </w:rPr>
        <w:t>Joint Programme</w:t>
      </w:r>
      <w:r>
        <w:rPr>
          <w:rFonts w:eastAsia="Times New Roman" w:cs="Arial"/>
          <w:szCs w:val="20"/>
        </w:rPr>
        <w:t xml:space="preserve"> co-operation</w:t>
      </w:r>
      <w:r w:rsidRPr="000254B2">
        <w:rPr>
          <w:rFonts w:eastAsia="Times New Roman" w:cs="Arial"/>
          <w:szCs w:val="20"/>
        </w:rPr>
        <w:t xml:space="preserve"> ha</w:t>
      </w:r>
      <w:r>
        <w:rPr>
          <w:rFonts w:eastAsia="Times New Roman" w:cs="Arial"/>
          <w:szCs w:val="20"/>
        </w:rPr>
        <w:t>s</w:t>
      </w:r>
      <w:r w:rsidRPr="000254B2">
        <w:rPr>
          <w:rFonts w:eastAsia="Times New Roman" w:cs="Arial"/>
          <w:szCs w:val="20"/>
        </w:rPr>
        <w:t xml:space="preserve"> grown significantly and brought tangible results. </w:t>
      </w:r>
      <w:bookmarkStart w:id="0" w:name="_Hlk155793256"/>
      <w:r>
        <w:rPr>
          <w:rFonts w:cs="Arial"/>
          <w:bCs/>
          <w:szCs w:val="20"/>
        </w:rPr>
        <w:t>T</w:t>
      </w:r>
      <w:r w:rsidRPr="00570A62">
        <w:rPr>
          <w:rFonts w:cs="Arial"/>
          <w:bCs/>
          <w:szCs w:val="20"/>
        </w:rPr>
        <w:t>hree large-scale multiannual multi-</w:t>
      </w:r>
      <w:r>
        <w:rPr>
          <w:rFonts w:cs="Arial"/>
          <w:bCs/>
          <w:szCs w:val="20"/>
        </w:rPr>
        <w:t>Beneficiary</w:t>
      </w:r>
      <w:r w:rsidRPr="00570A62">
        <w:rPr>
          <w:rFonts w:cs="Arial"/>
          <w:bCs/>
          <w:szCs w:val="20"/>
        </w:rPr>
        <w:t xml:space="preserve"> programmes (known as “regional programmatic facilities”) have been implemented, in successive phases since 2015</w:t>
      </w:r>
      <w:r>
        <w:rPr>
          <w:rFonts w:cs="Arial"/>
          <w:bCs/>
          <w:szCs w:val="20"/>
        </w:rPr>
        <w:t>/2016</w:t>
      </w:r>
      <w:r w:rsidRPr="0011433B">
        <w:rPr>
          <w:rFonts w:cs="Arial"/>
          <w:bCs/>
          <w:szCs w:val="20"/>
        </w:rPr>
        <w:t xml:space="preserve">, in </w:t>
      </w:r>
      <w:r w:rsidRPr="0011433B">
        <w:rPr>
          <w:rFonts w:cs="Arial"/>
          <w:bCs/>
          <w:szCs w:val="20"/>
          <w:lang w:eastAsia="en-GB"/>
        </w:rPr>
        <w:t>South-East Europe</w:t>
      </w:r>
      <w:r>
        <w:rPr>
          <w:rFonts w:cs="Arial"/>
          <w:bCs/>
          <w:szCs w:val="20"/>
          <w:lang w:eastAsia="en-GB"/>
        </w:rPr>
        <w:t xml:space="preserve">, </w:t>
      </w:r>
      <w:r w:rsidRPr="00570A62">
        <w:rPr>
          <w:rFonts w:cs="Arial"/>
          <w:bCs/>
          <w:szCs w:val="20"/>
        </w:rPr>
        <w:t>Türkiye and in the EU Eastern and Southern Neighbourhood. On</w:t>
      </w:r>
      <w:r>
        <w:rPr>
          <w:rFonts w:cs="Arial"/>
          <w:bCs/>
          <w:szCs w:val="20"/>
        </w:rPr>
        <w:t xml:space="preserve"> </w:t>
      </w:r>
      <w:r w:rsidRPr="00570A62">
        <w:rPr>
          <w:rFonts w:cs="Arial"/>
          <w:bCs/>
          <w:szCs w:val="20"/>
        </w:rPr>
        <w:t>27 February 2023, the Secretary</w:t>
      </w:r>
      <w:r>
        <w:rPr>
          <w:rFonts w:cs="Arial"/>
          <w:bCs/>
          <w:szCs w:val="20"/>
        </w:rPr>
        <w:t xml:space="preserve"> </w:t>
      </w:r>
      <w:r w:rsidRPr="00570A62">
        <w:rPr>
          <w:rFonts w:cs="Arial"/>
          <w:bCs/>
          <w:szCs w:val="20"/>
        </w:rPr>
        <w:t xml:space="preserve">General </w:t>
      </w:r>
      <w:r>
        <w:rPr>
          <w:rFonts w:cs="Arial"/>
          <w:bCs/>
          <w:szCs w:val="20"/>
        </w:rPr>
        <w:t xml:space="preserve">of the Council of Europe </w:t>
      </w:r>
      <w:r w:rsidRPr="00570A62">
        <w:rPr>
          <w:rFonts w:cs="Arial"/>
          <w:bCs/>
          <w:szCs w:val="20"/>
        </w:rPr>
        <w:t xml:space="preserve">and </w:t>
      </w:r>
      <w:r>
        <w:rPr>
          <w:rFonts w:cs="Arial"/>
          <w:bCs/>
          <w:szCs w:val="20"/>
        </w:rPr>
        <w:t xml:space="preserve">the European </w:t>
      </w:r>
      <w:r w:rsidRPr="00570A62">
        <w:rPr>
          <w:rFonts w:cs="Arial"/>
          <w:bCs/>
          <w:szCs w:val="20"/>
        </w:rPr>
        <w:t>Commissioner</w:t>
      </w:r>
      <w:r>
        <w:rPr>
          <w:rFonts w:cs="Arial"/>
          <w:bCs/>
          <w:szCs w:val="20"/>
        </w:rPr>
        <w:t xml:space="preserve"> for Neighbourhood and Enlargement </w:t>
      </w:r>
      <w:r w:rsidRPr="00570A62">
        <w:rPr>
          <w:rFonts w:cs="Arial"/>
          <w:bCs/>
          <w:szCs w:val="20"/>
        </w:rPr>
        <w:t xml:space="preserve">launched </w:t>
      </w:r>
      <w:r>
        <w:rPr>
          <w:rFonts w:cs="Arial"/>
          <w:bCs/>
          <w:szCs w:val="20"/>
        </w:rPr>
        <w:t xml:space="preserve">the third phases of </w:t>
      </w:r>
      <w:r w:rsidRPr="00570A62">
        <w:rPr>
          <w:rFonts w:cs="Arial"/>
          <w:bCs/>
          <w:szCs w:val="20"/>
        </w:rPr>
        <w:t>two of these major co</w:t>
      </w:r>
      <w:r>
        <w:rPr>
          <w:rFonts w:cs="Arial"/>
          <w:bCs/>
          <w:szCs w:val="20"/>
        </w:rPr>
        <w:t>-</w:t>
      </w:r>
      <w:r w:rsidRPr="00570A62">
        <w:rPr>
          <w:rFonts w:cs="Arial"/>
          <w:bCs/>
          <w:szCs w:val="20"/>
        </w:rPr>
        <w:t>operation programmes for the promotion of the rule of law and fundamental rights, namely the</w:t>
      </w:r>
      <w:r>
        <w:rPr>
          <w:rFonts w:cs="Arial"/>
          <w:bCs/>
          <w:szCs w:val="20"/>
        </w:rPr>
        <w:t xml:space="preserve"> Horizontal Facility </w:t>
      </w:r>
      <w:r w:rsidRPr="00570A62">
        <w:rPr>
          <w:rFonts w:cs="Arial"/>
          <w:bCs/>
          <w:szCs w:val="20"/>
        </w:rPr>
        <w:t xml:space="preserve">for the Western Balkans and Türkiye </w:t>
      </w:r>
      <w:r>
        <w:rPr>
          <w:rFonts w:cs="Arial"/>
          <w:bCs/>
          <w:szCs w:val="20"/>
        </w:rPr>
        <w:t xml:space="preserve">- </w:t>
      </w:r>
      <w:r w:rsidRPr="00570A62">
        <w:rPr>
          <w:rFonts w:cs="Arial"/>
          <w:bCs/>
          <w:szCs w:val="20"/>
        </w:rPr>
        <w:t xml:space="preserve">III and the </w:t>
      </w:r>
      <w:hyperlink r:id="rId8" w:history="1">
        <w:r w:rsidRPr="00570A62">
          <w:rPr>
            <w:rStyle w:val="Hyperlink"/>
            <w:rFonts w:cs="Arial"/>
            <w:bCs/>
            <w:szCs w:val="20"/>
          </w:rPr>
          <w:t>Partnership for Good Governance</w:t>
        </w:r>
      </w:hyperlink>
      <w:r>
        <w:rPr>
          <w:rStyle w:val="Hyperlink"/>
          <w:rFonts w:cs="Arial"/>
          <w:bCs/>
          <w:szCs w:val="20"/>
        </w:rPr>
        <w:t xml:space="preserve"> -</w:t>
      </w:r>
      <w:r w:rsidRPr="00570A62">
        <w:rPr>
          <w:rFonts w:cs="Arial"/>
          <w:bCs/>
          <w:szCs w:val="20"/>
        </w:rPr>
        <w:t xml:space="preserve"> III.</w:t>
      </w:r>
      <w:r>
        <w:rPr>
          <w:rFonts w:cs="Arial"/>
          <w:bCs/>
          <w:szCs w:val="20"/>
        </w:rPr>
        <w:t xml:space="preserve"> </w:t>
      </w:r>
      <w:r w:rsidRPr="00895717">
        <w:t>The fifth phase of the South Programme started earlier, in September 2022</w:t>
      </w:r>
      <w:r>
        <w:rPr>
          <w:rFonts w:eastAsia="Times New Roman" w:cs="Arial"/>
          <w:szCs w:val="20"/>
        </w:rPr>
        <w:t xml:space="preserve">. </w:t>
      </w:r>
      <w:r w:rsidRPr="00570A62">
        <w:rPr>
          <w:rFonts w:cs="Arial"/>
          <w:bCs/>
          <w:szCs w:val="20"/>
        </w:rPr>
        <w:t xml:space="preserve">Increasingly, the facilities are being complemented by </w:t>
      </w:r>
      <w:r>
        <w:rPr>
          <w:rFonts w:cs="Arial"/>
          <w:bCs/>
          <w:szCs w:val="20"/>
        </w:rPr>
        <w:t>Beneficiary</w:t>
      </w:r>
      <w:r w:rsidRPr="00570A62">
        <w:rPr>
          <w:rFonts w:cs="Arial"/>
          <w:bCs/>
          <w:szCs w:val="20"/>
        </w:rPr>
        <w:t xml:space="preserve">-specific and regional thematic </w:t>
      </w:r>
      <w:r>
        <w:rPr>
          <w:rFonts w:cs="Arial"/>
          <w:bCs/>
          <w:szCs w:val="20"/>
        </w:rPr>
        <w:t xml:space="preserve">programmes. </w:t>
      </w:r>
      <w:r>
        <w:rPr>
          <w:rFonts w:eastAsia="Times New Roman" w:cs="Arial"/>
          <w:szCs w:val="20"/>
        </w:rPr>
        <w:t xml:space="preserve">Moreover, </w:t>
      </w:r>
      <w:r w:rsidRPr="000254B2">
        <w:rPr>
          <w:rFonts w:eastAsia="Times New Roman" w:cs="Arial"/>
          <w:szCs w:val="20"/>
          <w:shd w:val="clear" w:color="auto" w:fill="FFFFFF"/>
        </w:rPr>
        <w:t xml:space="preserve">a new </w:t>
      </w:r>
      <w:r>
        <w:rPr>
          <w:rFonts w:eastAsia="Times New Roman" w:cs="Arial"/>
          <w:szCs w:val="20"/>
          <w:shd w:val="clear" w:color="auto" w:fill="FFFFFF"/>
        </w:rPr>
        <w:t xml:space="preserve">strand </w:t>
      </w:r>
      <w:r w:rsidRPr="000254B2">
        <w:rPr>
          <w:rFonts w:eastAsia="Times New Roman" w:cs="Arial"/>
          <w:szCs w:val="20"/>
          <w:shd w:val="clear" w:color="auto" w:fill="FFFFFF"/>
        </w:rPr>
        <w:t>of co</w:t>
      </w:r>
      <w:r>
        <w:rPr>
          <w:rFonts w:eastAsia="Times New Roman" w:cs="Arial"/>
          <w:szCs w:val="20"/>
          <w:shd w:val="clear" w:color="auto" w:fill="FFFFFF"/>
        </w:rPr>
        <w:t>-</w:t>
      </w:r>
      <w:r w:rsidRPr="000254B2">
        <w:rPr>
          <w:rFonts w:eastAsia="Times New Roman" w:cs="Arial"/>
          <w:szCs w:val="20"/>
          <w:shd w:val="clear" w:color="auto" w:fill="FFFFFF"/>
        </w:rPr>
        <w:t xml:space="preserve">operation </w:t>
      </w:r>
      <w:r>
        <w:rPr>
          <w:rFonts w:eastAsia="Times New Roman" w:cs="Arial"/>
          <w:szCs w:val="20"/>
          <w:shd w:val="clear" w:color="auto" w:fill="FFFFFF"/>
        </w:rPr>
        <w:t>started in 2019</w:t>
      </w:r>
      <w:r w:rsidRPr="000254B2">
        <w:rPr>
          <w:rFonts w:eastAsia="Times New Roman" w:cs="Arial"/>
          <w:szCs w:val="20"/>
          <w:shd w:val="clear" w:color="auto" w:fill="FFFFFF"/>
        </w:rPr>
        <w:t xml:space="preserve"> </w:t>
      </w:r>
      <w:r>
        <w:rPr>
          <w:rFonts w:eastAsia="Times New Roman" w:cs="Arial"/>
          <w:szCs w:val="20"/>
          <w:shd w:val="clear" w:color="auto" w:fill="FFFFFF"/>
        </w:rPr>
        <w:t>intending</w:t>
      </w:r>
      <w:r w:rsidRPr="000254B2">
        <w:rPr>
          <w:rFonts w:eastAsia="Times New Roman" w:cs="Arial"/>
          <w:szCs w:val="20"/>
          <w:shd w:val="clear" w:color="auto" w:fill="FFFFFF"/>
        </w:rPr>
        <w:t xml:space="preserve"> to support the EU member States’</w:t>
      </w:r>
      <w:r w:rsidRPr="000254B2">
        <w:rPr>
          <w:rFonts w:cs="Arial"/>
          <w:szCs w:val="20"/>
        </w:rPr>
        <w:t xml:space="preserve"> </w:t>
      </w:r>
      <w:r w:rsidRPr="000254B2">
        <w:rPr>
          <w:rFonts w:eastAsia="Times New Roman" w:cs="Arial"/>
          <w:szCs w:val="20"/>
          <w:shd w:val="clear" w:color="auto" w:fill="FFFFFF"/>
        </w:rPr>
        <w:t>capacity to sustain structural reforms in the field of rule of law, human rights protection, and democratic governance</w:t>
      </w:r>
      <w:r>
        <w:rPr>
          <w:rFonts w:eastAsia="Times New Roman" w:cs="Arial"/>
          <w:szCs w:val="20"/>
          <w:shd w:val="clear" w:color="auto" w:fill="FFFFFF"/>
        </w:rPr>
        <w:t xml:space="preserve">, in collaboration with the European Commission’s DG REFORM. </w:t>
      </w:r>
      <w:bookmarkEnd w:id="0"/>
      <w:r>
        <w:rPr>
          <w:rFonts w:eastAsia="Times New Roman" w:cs="Arial"/>
          <w:szCs w:val="20"/>
        </w:rPr>
        <w:t xml:space="preserve">Furthermore, </w:t>
      </w:r>
      <w:r w:rsidRPr="000254B2">
        <w:rPr>
          <w:rFonts w:eastAsia="Times New Roman" w:cs="Arial"/>
          <w:szCs w:val="20"/>
          <w:shd w:val="clear" w:color="auto" w:fill="FFFFFF"/>
        </w:rPr>
        <w:t>a large-scale rule of law Joint Programme has been developed for Central Asia</w:t>
      </w:r>
      <w:r w:rsidRPr="000254B2">
        <w:rPr>
          <w:rFonts w:eastAsia="Times New Roman" w:cs="Arial"/>
          <w:color w:val="3F4A52"/>
          <w:szCs w:val="20"/>
          <w:shd w:val="clear" w:color="auto" w:fill="FFFFFF"/>
        </w:rPr>
        <w:t xml:space="preserve">. </w:t>
      </w:r>
    </w:p>
    <w:p w14:paraId="4CBD6046" w14:textId="77777777" w:rsidR="00D9220B" w:rsidRDefault="00D9220B">
      <w:pPr>
        <w:rPr>
          <w:rFonts w:eastAsia="Times New Roman" w:cs="Arial"/>
          <w:color w:val="3F4A52"/>
          <w:szCs w:val="20"/>
          <w:shd w:val="clear" w:color="auto" w:fill="FFFFFF"/>
        </w:rPr>
      </w:pPr>
      <w:r>
        <w:rPr>
          <w:rFonts w:eastAsia="Times New Roman" w:cs="Arial"/>
          <w:color w:val="3F4A52"/>
          <w:szCs w:val="20"/>
          <w:shd w:val="clear" w:color="auto" w:fill="FFFFFF"/>
        </w:rPr>
        <w:br w:type="page"/>
      </w:r>
    </w:p>
    <w:p w14:paraId="4C6583EC" w14:textId="77777777" w:rsidR="008E74B8" w:rsidRPr="00C468B4" w:rsidRDefault="008E74B8" w:rsidP="007E0D7D">
      <w:pPr>
        <w:rPr>
          <w:rFonts w:eastAsia="Times New Roman" w:cs="Arial"/>
          <w:szCs w:val="20"/>
        </w:rPr>
      </w:pPr>
    </w:p>
    <w:p w14:paraId="66DFB090" w14:textId="77777777" w:rsidR="008E74B8" w:rsidRPr="007E0D7D" w:rsidRDefault="008E74B8" w:rsidP="007E0D7D">
      <w:pPr>
        <w:numPr>
          <w:ilvl w:val="0"/>
          <w:numId w:val="4"/>
        </w:numPr>
        <w:ind w:left="0" w:firstLine="0"/>
        <w:rPr>
          <w:rFonts w:eastAsia="Times New Roman" w:cs="Arial"/>
          <w:szCs w:val="20"/>
        </w:rPr>
      </w:pPr>
      <w:r>
        <w:rPr>
          <w:rFonts w:cs="Arial"/>
          <w:bCs/>
          <w:szCs w:val="20"/>
        </w:rPr>
        <w:t xml:space="preserve">In 2023, the </w:t>
      </w:r>
      <w:r w:rsidRPr="00F63D4D">
        <w:rPr>
          <w:rFonts w:cs="Arial"/>
          <w:bCs/>
          <w:szCs w:val="20"/>
        </w:rPr>
        <w:t>consequences of the Russian Federation</w:t>
      </w:r>
      <w:r>
        <w:rPr>
          <w:rFonts w:cs="Arial"/>
          <w:bCs/>
          <w:szCs w:val="20"/>
        </w:rPr>
        <w:t xml:space="preserve">’s war of aggression </w:t>
      </w:r>
      <w:r w:rsidRPr="00F63D4D">
        <w:rPr>
          <w:rFonts w:cs="Arial"/>
          <w:bCs/>
          <w:szCs w:val="20"/>
        </w:rPr>
        <w:t>against Ukraine</w:t>
      </w:r>
      <w:r>
        <w:rPr>
          <w:rFonts w:cs="Arial"/>
          <w:bCs/>
          <w:szCs w:val="20"/>
        </w:rPr>
        <w:t xml:space="preserve"> and other</w:t>
      </w:r>
      <w:r w:rsidRPr="00F63D4D">
        <w:rPr>
          <w:rFonts w:cs="Arial"/>
          <w:bCs/>
          <w:szCs w:val="20"/>
        </w:rPr>
        <w:t xml:space="preserve"> </w:t>
      </w:r>
      <w:r>
        <w:rPr>
          <w:rFonts w:cs="Arial"/>
          <w:bCs/>
          <w:szCs w:val="20"/>
        </w:rPr>
        <w:t xml:space="preserve">geopolitical developments </w:t>
      </w:r>
      <w:r w:rsidRPr="00F63D4D">
        <w:rPr>
          <w:rFonts w:cs="Arial"/>
          <w:bCs/>
          <w:szCs w:val="20"/>
        </w:rPr>
        <w:t>continued to impact the CoE’s co</w:t>
      </w:r>
      <w:r>
        <w:rPr>
          <w:rFonts w:cs="Arial"/>
          <w:bCs/>
          <w:szCs w:val="20"/>
        </w:rPr>
        <w:t>-</w:t>
      </w:r>
      <w:r w:rsidRPr="00F63D4D">
        <w:rPr>
          <w:rFonts w:cs="Arial"/>
          <w:bCs/>
          <w:szCs w:val="20"/>
        </w:rPr>
        <w:t>operation activities, including Joint Programmes. The</w:t>
      </w:r>
      <w:r>
        <w:rPr>
          <w:rFonts w:cs="Arial"/>
          <w:bCs/>
          <w:szCs w:val="20"/>
        </w:rPr>
        <w:t>se</w:t>
      </w:r>
      <w:r w:rsidRPr="00F63D4D">
        <w:rPr>
          <w:rFonts w:cs="Arial"/>
          <w:bCs/>
          <w:szCs w:val="20"/>
        </w:rPr>
        <w:t xml:space="preserve"> developments have required </w:t>
      </w:r>
      <w:r>
        <w:rPr>
          <w:rFonts w:cs="Arial"/>
          <w:bCs/>
          <w:szCs w:val="20"/>
        </w:rPr>
        <w:t>the</w:t>
      </w:r>
      <w:r w:rsidRPr="00F63D4D">
        <w:rPr>
          <w:rFonts w:cs="Arial"/>
          <w:bCs/>
          <w:szCs w:val="20"/>
        </w:rPr>
        <w:t xml:space="preserve"> flexibility that the EU/CoE programmatic facilities were able to offer. </w:t>
      </w:r>
      <w:r>
        <w:rPr>
          <w:rFonts w:cs="Arial"/>
          <w:bCs/>
          <w:szCs w:val="20"/>
        </w:rPr>
        <w:t>T</w:t>
      </w:r>
      <w:r w:rsidRPr="00F63D4D">
        <w:rPr>
          <w:rFonts w:cs="Arial"/>
          <w:bCs/>
          <w:szCs w:val="20"/>
        </w:rPr>
        <w:t xml:space="preserve">he Council of Europe responded to the needs of Ukraine by adjusting its ongoing support. The same flexibility allowed for the adjustment of cooperation to emerging needs relating to the consequences of the </w:t>
      </w:r>
      <w:r w:rsidRPr="00821C45">
        <w:rPr>
          <w:rFonts w:cs="Arial"/>
          <w:bCs/>
          <w:szCs w:val="20"/>
        </w:rPr>
        <w:t>mass influx of refugees</w:t>
      </w:r>
      <w:r>
        <w:rPr>
          <w:rFonts w:cs="Arial"/>
          <w:bCs/>
          <w:szCs w:val="20"/>
        </w:rPr>
        <w:t xml:space="preserve"> </w:t>
      </w:r>
      <w:r w:rsidRPr="00F63D4D">
        <w:rPr>
          <w:rFonts w:cs="Arial"/>
          <w:bCs/>
          <w:szCs w:val="20"/>
        </w:rPr>
        <w:t>in the Republic of Moldova and more recently in Armenia</w:t>
      </w:r>
      <w:r>
        <w:rPr>
          <w:rFonts w:cs="Arial"/>
          <w:bCs/>
          <w:szCs w:val="20"/>
        </w:rPr>
        <w:t xml:space="preserve">. </w:t>
      </w:r>
    </w:p>
    <w:p w14:paraId="37676E91" w14:textId="77777777" w:rsidR="007E0D7D" w:rsidRPr="000254B2" w:rsidRDefault="007E0D7D" w:rsidP="007E0D7D">
      <w:pPr>
        <w:rPr>
          <w:rFonts w:eastAsia="Times New Roman" w:cs="Arial"/>
          <w:szCs w:val="20"/>
        </w:rPr>
      </w:pPr>
    </w:p>
    <w:p w14:paraId="2E85748E" w14:textId="77777777" w:rsidR="008E74B8" w:rsidRPr="007E0D7D" w:rsidRDefault="008E74B8" w:rsidP="007E0D7D">
      <w:pPr>
        <w:pStyle w:val="ListParagraph"/>
        <w:numPr>
          <w:ilvl w:val="0"/>
          <w:numId w:val="4"/>
        </w:numPr>
        <w:ind w:left="0" w:firstLine="0"/>
        <w:rPr>
          <w:rFonts w:ascii="Arial" w:eastAsia="Times New Roman" w:hAnsi="Arial" w:cs="Arial"/>
          <w:sz w:val="20"/>
          <w:szCs w:val="20"/>
        </w:rPr>
      </w:pPr>
      <w:r w:rsidRPr="00821C45">
        <w:rPr>
          <w:rFonts w:ascii="Arial" w:hAnsi="Arial" w:cs="Arial"/>
          <w:sz w:val="20"/>
          <w:szCs w:val="20"/>
        </w:rPr>
        <w:t>In December 2023, EU leaders decided to open accession negotiations with the Republic of Moldova and Ukraine and granted the status of candidate country to Georgia</w:t>
      </w:r>
      <w:r w:rsidRPr="0011433B">
        <w:rPr>
          <w:rFonts w:ascii="Arial" w:hAnsi="Arial" w:cs="Arial"/>
          <w:sz w:val="20"/>
          <w:szCs w:val="20"/>
        </w:rPr>
        <w:t xml:space="preserve"> </w:t>
      </w:r>
      <w:r w:rsidRPr="008A4650">
        <w:rPr>
          <w:rFonts w:ascii="Arial" w:hAnsi="Arial" w:cs="Arial"/>
          <w:sz w:val="20"/>
          <w:szCs w:val="20"/>
        </w:rPr>
        <w:t xml:space="preserve">on the understanding that the relevant steps set out in the Commission recommendation of 8 November 2023 are taken. </w:t>
      </w:r>
      <w:r w:rsidRPr="00821C45">
        <w:rPr>
          <w:rFonts w:ascii="Arial" w:hAnsi="Arial" w:cs="Arial"/>
          <w:bCs/>
          <w:sz w:val="20"/>
          <w:szCs w:val="20"/>
        </w:rPr>
        <w:t>These decisions gave an impetus for strengthening the Joint Programme co-operation. The assistance that the Council of Europe can provide to these countries can make a significant contribution to their respective reform agendas in the areas of democracy, the rule of law and human rights. The countries’ EU accession perspective will shape the priorities for co-operation (including through the Partnership for Good Governance), based on the recommendations of the Council of Europe’s monitoring and advisory bodies and the case</w:t>
      </w:r>
      <w:r w:rsidRPr="00821C45">
        <w:rPr>
          <w:rFonts w:ascii="Arial" w:hAnsi="Arial" w:cs="Arial"/>
          <w:bCs/>
          <w:sz w:val="20"/>
          <w:szCs w:val="20"/>
        </w:rPr>
        <w:noBreakHyphen/>
        <w:t xml:space="preserve">law of the European Court of Human Rights. </w:t>
      </w:r>
      <w:r w:rsidRPr="00821C45">
        <w:rPr>
          <w:rFonts w:ascii="Arial" w:eastAsia="Times New Roman" w:hAnsi="Arial" w:cs="Arial"/>
          <w:sz w:val="20"/>
          <w:szCs w:val="20"/>
        </w:rPr>
        <w:t xml:space="preserve">Building on the experience of </w:t>
      </w:r>
      <w:r>
        <w:rPr>
          <w:rFonts w:ascii="Arial" w:eastAsia="Times New Roman" w:hAnsi="Arial" w:cs="Arial"/>
          <w:sz w:val="20"/>
          <w:szCs w:val="20"/>
        </w:rPr>
        <w:t>J</w:t>
      </w:r>
      <w:r w:rsidRPr="00821C45">
        <w:rPr>
          <w:rFonts w:ascii="Arial" w:eastAsia="Times New Roman" w:hAnsi="Arial" w:cs="Arial"/>
          <w:sz w:val="20"/>
          <w:szCs w:val="20"/>
        </w:rPr>
        <w:t xml:space="preserve">oint </w:t>
      </w:r>
      <w:r>
        <w:rPr>
          <w:rFonts w:ascii="Arial" w:eastAsia="Times New Roman" w:hAnsi="Arial" w:cs="Arial"/>
          <w:sz w:val="20"/>
          <w:szCs w:val="20"/>
        </w:rPr>
        <w:t>P</w:t>
      </w:r>
      <w:r w:rsidRPr="00821C45">
        <w:rPr>
          <w:rFonts w:ascii="Arial" w:eastAsia="Times New Roman" w:hAnsi="Arial" w:cs="Arial"/>
          <w:sz w:val="20"/>
          <w:szCs w:val="20"/>
        </w:rPr>
        <w:t xml:space="preserve">rogrammes in the </w:t>
      </w:r>
      <w:r>
        <w:rPr>
          <w:rFonts w:ascii="Arial" w:eastAsia="Times New Roman" w:hAnsi="Arial" w:cs="Arial"/>
          <w:sz w:val="20"/>
          <w:szCs w:val="20"/>
        </w:rPr>
        <w:t>e</w:t>
      </w:r>
      <w:r w:rsidRPr="00821C45">
        <w:rPr>
          <w:rFonts w:ascii="Arial" w:eastAsia="Times New Roman" w:hAnsi="Arial" w:cs="Arial"/>
          <w:sz w:val="20"/>
          <w:szCs w:val="20"/>
        </w:rPr>
        <w:t>nlargement area in South-East Europe is key for joint co-operation in Ukraine, the Republic of Moldova and Georgia</w:t>
      </w:r>
      <w:r w:rsidRPr="00821C45">
        <w:rPr>
          <w:rFonts w:ascii="Arial" w:hAnsi="Arial" w:cs="Arial"/>
          <w:bCs/>
          <w:sz w:val="20"/>
          <w:szCs w:val="20"/>
        </w:rPr>
        <w:t xml:space="preserve">. The </w:t>
      </w:r>
      <w:r w:rsidRPr="00821C45">
        <w:rPr>
          <w:rFonts w:ascii="Arial" w:hAnsi="Arial" w:cs="Arial"/>
          <w:sz w:val="20"/>
          <w:szCs w:val="20"/>
        </w:rPr>
        <w:t>Partnership for Good Governance will at the same time remain instrumental in supporting Armenia and Azerbaijan in fulfilling their obligations as Council of Europe member States, addressing recommendations of the Council of Europe monitoring and advisory bodies and executing judgements of the European Court of Human Rights. Support and co-operation will continue with Belarusian democratic forces and civil society through the action plan for 2024-2025 agreed in the framework of the Contact Group.</w:t>
      </w:r>
    </w:p>
    <w:p w14:paraId="7A7A863C" w14:textId="77777777" w:rsidR="007E0D7D" w:rsidRPr="00821C45" w:rsidRDefault="007E0D7D" w:rsidP="007E0D7D">
      <w:pPr>
        <w:pStyle w:val="ListParagraph"/>
        <w:ind w:left="0"/>
        <w:rPr>
          <w:rFonts w:ascii="Arial" w:eastAsia="Times New Roman" w:hAnsi="Arial" w:cs="Arial"/>
          <w:sz w:val="20"/>
          <w:szCs w:val="20"/>
        </w:rPr>
      </w:pPr>
    </w:p>
    <w:p w14:paraId="50D5492C" w14:textId="77777777" w:rsidR="008E74B8" w:rsidRPr="007E0D7D" w:rsidRDefault="008E74B8" w:rsidP="007E0D7D">
      <w:pPr>
        <w:numPr>
          <w:ilvl w:val="0"/>
          <w:numId w:val="4"/>
        </w:numPr>
        <w:ind w:left="0" w:firstLine="0"/>
        <w:rPr>
          <w:rFonts w:cs="Arial"/>
          <w:bCs/>
          <w:szCs w:val="20"/>
        </w:rPr>
      </w:pPr>
      <w:r w:rsidRPr="00DF1A05">
        <w:rPr>
          <w:rFonts w:eastAsia="Times New Roman" w:cs="Arial"/>
          <w:szCs w:val="20"/>
        </w:rPr>
        <w:t xml:space="preserve">In 2023, the </w:t>
      </w:r>
      <w:r>
        <w:rPr>
          <w:rFonts w:eastAsia="Times New Roman" w:cs="Arial"/>
          <w:szCs w:val="20"/>
        </w:rPr>
        <w:t xml:space="preserve">financial volume </w:t>
      </w:r>
      <w:r w:rsidRPr="00DF1A05">
        <w:rPr>
          <w:rFonts w:eastAsia="Times New Roman" w:cs="Arial"/>
          <w:szCs w:val="20"/>
        </w:rPr>
        <w:t>of Joint Programme co</w:t>
      </w:r>
      <w:r>
        <w:rPr>
          <w:rFonts w:eastAsia="Times New Roman" w:cs="Arial"/>
          <w:szCs w:val="20"/>
        </w:rPr>
        <w:t>-</w:t>
      </w:r>
      <w:r w:rsidRPr="00DF1A05">
        <w:rPr>
          <w:rFonts w:eastAsia="Times New Roman" w:cs="Arial"/>
          <w:szCs w:val="20"/>
        </w:rPr>
        <w:t>operation remained</w:t>
      </w:r>
      <w:r>
        <w:rPr>
          <w:rFonts w:eastAsia="Times New Roman" w:cs="Arial"/>
          <w:szCs w:val="20"/>
        </w:rPr>
        <w:t xml:space="preserve"> </w:t>
      </w:r>
      <w:r w:rsidRPr="00DF1A05">
        <w:rPr>
          <w:rFonts w:eastAsia="Times New Roman" w:cs="Arial"/>
          <w:szCs w:val="20"/>
        </w:rPr>
        <w:t xml:space="preserve">stable (for further information, see Section II). </w:t>
      </w:r>
      <w:r w:rsidRPr="00DF1A05">
        <w:rPr>
          <w:rFonts w:eastAsia="Times New Roman" w:cs="Arial"/>
          <w:szCs w:val="20"/>
          <w:lang w:eastAsia="fr-FR"/>
        </w:rPr>
        <w:t>Contractual negotiations on new programmes have been facilitated by the European Union-Council of Europe Financial Framework Partnership Agreement (FFPA) of October 2020</w:t>
      </w:r>
      <w:r>
        <w:rPr>
          <w:rStyle w:val="FootnoteReference"/>
          <w:rFonts w:eastAsia="Times New Roman" w:cs="Arial"/>
          <w:szCs w:val="20"/>
          <w:lang w:eastAsia="fr-FR"/>
        </w:rPr>
        <w:footnoteReference w:id="1"/>
      </w:r>
      <w:r w:rsidRPr="00DF1A05">
        <w:rPr>
          <w:rFonts w:eastAsia="Times New Roman" w:cs="Arial"/>
          <w:szCs w:val="20"/>
          <w:lang w:eastAsia="fr-FR"/>
        </w:rPr>
        <w:t xml:space="preserve">. </w:t>
      </w:r>
    </w:p>
    <w:p w14:paraId="723C8617" w14:textId="77777777" w:rsidR="007E0D7D" w:rsidRPr="00DF1A05" w:rsidRDefault="007E0D7D" w:rsidP="007E0D7D">
      <w:pPr>
        <w:rPr>
          <w:rFonts w:cs="Arial"/>
          <w:bCs/>
          <w:szCs w:val="20"/>
        </w:rPr>
      </w:pPr>
    </w:p>
    <w:p w14:paraId="2164F1CE" w14:textId="77777777" w:rsidR="008E74B8" w:rsidRDefault="008E74B8" w:rsidP="007E0D7D">
      <w:pPr>
        <w:numPr>
          <w:ilvl w:val="0"/>
          <w:numId w:val="4"/>
        </w:numPr>
        <w:ind w:left="0" w:firstLine="0"/>
        <w:rPr>
          <w:rFonts w:eastAsia="Times New Roman" w:cs="Arial"/>
          <w:szCs w:val="20"/>
        </w:rPr>
      </w:pPr>
      <w:r w:rsidRPr="000254B2">
        <w:rPr>
          <w:rFonts w:eastAsia="Times New Roman" w:cs="Arial"/>
          <w:szCs w:val="20"/>
        </w:rPr>
        <w:t>To accompany the development of Joint Programme co</w:t>
      </w:r>
      <w:r>
        <w:rPr>
          <w:rFonts w:eastAsia="Times New Roman" w:cs="Arial"/>
          <w:szCs w:val="20"/>
        </w:rPr>
        <w:t>-</w:t>
      </w:r>
      <w:r w:rsidRPr="000254B2">
        <w:rPr>
          <w:rFonts w:eastAsia="Times New Roman" w:cs="Arial"/>
          <w:szCs w:val="20"/>
        </w:rPr>
        <w:t xml:space="preserve">operation, the Council of Europe continued to </w:t>
      </w:r>
      <w:r>
        <w:rPr>
          <w:rFonts w:eastAsia="Times New Roman" w:cs="Arial"/>
          <w:szCs w:val="20"/>
        </w:rPr>
        <w:t>strengthen</w:t>
      </w:r>
      <w:r w:rsidRPr="000254B2">
        <w:rPr>
          <w:rFonts w:eastAsia="Times New Roman" w:cs="Arial"/>
          <w:szCs w:val="20"/>
        </w:rPr>
        <w:t xml:space="preserve"> its project management capacity: training for project teams in the Council of Europe project management methodology (PMM)</w:t>
      </w:r>
      <w:r>
        <w:rPr>
          <w:rFonts w:eastAsia="Times New Roman" w:cs="Arial"/>
          <w:szCs w:val="20"/>
        </w:rPr>
        <w:t xml:space="preserve"> and </w:t>
      </w:r>
      <w:r w:rsidRPr="000254B2">
        <w:rPr>
          <w:rFonts w:eastAsia="Times New Roman" w:cs="Arial"/>
          <w:szCs w:val="20"/>
        </w:rPr>
        <w:t>result-based reporting</w:t>
      </w:r>
      <w:r>
        <w:rPr>
          <w:rFonts w:eastAsia="Times New Roman" w:cs="Arial"/>
          <w:szCs w:val="20"/>
        </w:rPr>
        <w:t xml:space="preserve"> continued</w:t>
      </w:r>
      <w:r w:rsidRPr="000254B2">
        <w:rPr>
          <w:rFonts w:eastAsia="Times New Roman" w:cs="Arial"/>
          <w:szCs w:val="20"/>
        </w:rPr>
        <w:t xml:space="preserve">. In the context of </w:t>
      </w:r>
      <w:r>
        <w:rPr>
          <w:rFonts w:eastAsia="Times New Roman" w:cs="Arial"/>
          <w:szCs w:val="20"/>
        </w:rPr>
        <w:t xml:space="preserve">the </w:t>
      </w:r>
      <w:r w:rsidRPr="000254B2">
        <w:rPr>
          <w:rFonts w:eastAsia="Times New Roman" w:cs="Arial"/>
          <w:szCs w:val="20"/>
        </w:rPr>
        <w:t xml:space="preserve">digitalisation </w:t>
      </w:r>
      <w:r w:rsidRPr="00821C45">
        <w:rPr>
          <w:rFonts w:eastAsia="Times New Roman" w:cs="Arial"/>
          <w:szCs w:val="20"/>
        </w:rPr>
        <w:t xml:space="preserve">of the Joint Programmes’ reporting processes, finalising the work on a data transfer mechanism between the </w:t>
      </w:r>
      <w:r w:rsidRPr="00821C45">
        <w:rPr>
          <w:rFonts w:eastAsiaTheme="minorHAnsi" w:cs="Arial"/>
          <w:szCs w:val="20"/>
        </w:rPr>
        <w:t>Council of Europe</w:t>
      </w:r>
      <w:r w:rsidRPr="00821C45">
        <w:rPr>
          <w:rFonts w:eastAsia="Times New Roman" w:cs="Arial"/>
          <w:szCs w:val="20"/>
        </w:rPr>
        <w:t xml:space="preserve"> PMM IT tool and the EU electronic exchange system (OPSYS), agreed under the FFPA of October 2020, remains a priority for 2024.</w:t>
      </w:r>
      <w:r w:rsidRPr="000254B2">
        <w:rPr>
          <w:rFonts w:eastAsia="Times New Roman" w:cs="Arial"/>
          <w:szCs w:val="20"/>
        </w:rPr>
        <w:t xml:space="preserve"> </w:t>
      </w:r>
    </w:p>
    <w:p w14:paraId="4DB17B67" w14:textId="77777777" w:rsidR="007E0D7D" w:rsidRPr="000254B2" w:rsidRDefault="007E0D7D" w:rsidP="007E0D7D">
      <w:pPr>
        <w:rPr>
          <w:rFonts w:eastAsia="Times New Roman" w:cs="Arial"/>
          <w:szCs w:val="20"/>
        </w:rPr>
      </w:pPr>
    </w:p>
    <w:p w14:paraId="389D36FD" w14:textId="77777777" w:rsidR="008E74B8" w:rsidRDefault="008E74B8" w:rsidP="007E0D7D">
      <w:pPr>
        <w:numPr>
          <w:ilvl w:val="0"/>
          <w:numId w:val="4"/>
        </w:numPr>
        <w:ind w:left="0" w:firstLine="0"/>
        <w:rPr>
          <w:rFonts w:cs="Arial"/>
          <w:szCs w:val="20"/>
        </w:rPr>
      </w:pPr>
      <w:r w:rsidRPr="000254B2">
        <w:rPr>
          <w:rFonts w:eastAsiaTheme="minorHAnsi" w:cs="Arial"/>
          <w:szCs w:val="20"/>
        </w:rPr>
        <w:t>Transversal dimensions were further strengthened, in particular regarding the human rights approach,</w:t>
      </w:r>
      <w:r w:rsidRPr="000254B2">
        <w:rPr>
          <w:rStyle w:val="FootnoteReference"/>
          <w:rFonts w:eastAsiaTheme="minorHAnsi" w:cs="Arial"/>
          <w:szCs w:val="20"/>
        </w:rPr>
        <w:footnoteReference w:id="2"/>
      </w:r>
      <w:r w:rsidRPr="000254B2">
        <w:rPr>
          <w:rFonts w:eastAsiaTheme="minorHAnsi" w:cs="Arial"/>
          <w:szCs w:val="20"/>
        </w:rPr>
        <w:t xml:space="preserve"> gender mainstreaming</w:t>
      </w:r>
      <w:r w:rsidRPr="000254B2">
        <w:rPr>
          <w:rFonts w:eastAsiaTheme="minorHAnsi" w:cs="Arial"/>
          <w:szCs w:val="20"/>
          <w:vertAlign w:val="superscript"/>
        </w:rPr>
        <w:footnoteReference w:id="3"/>
      </w:r>
      <w:r w:rsidRPr="000254B2">
        <w:rPr>
          <w:rFonts w:eastAsiaTheme="minorHAnsi" w:cs="Arial"/>
          <w:szCs w:val="20"/>
        </w:rPr>
        <w:t xml:space="preserve"> and support </w:t>
      </w:r>
      <w:r>
        <w:rPr>
          <w:rFonts w:eastAsiaTheme="minorHAnsi" w:cs="Arial"/>
          <w:szCs w:val="20"/>
        </w:rPr>
        <w:t>of</w:t>
      </w:r>
      <w:r w:rsidRPr="000254B2">
        <w:rPr>
          <w:rFonts w:eastAsiaTheme="minorHAnsi" w:cs="Arial"/>
          <w:szCs w:val="20"/>
        </w:rPr>
        <w:t xml:space="preserve"> the UN 2030 Agenda for Sustainable Development. The gender dimension was mainstreamed into cooperation activities in line with the </w:t>
      </w:r>
      <w:hyperlink r:id="rId9" w:history="1">
        <w:r w:rsidRPr="000254B2">
          <w:rPr>
            <w:rFonts w:eastAsiaTheme="minorHAnsi" w:cs="Arial"/>
            <w:szCs w:val="20"/>
          </w:rPr>
          <w:t>Council of Europe Gender Equality Strategy 2018-2023</w:t>
        </w:r>
      </w:hyperlink>
      <w:r w:rsidRPr="000254B2">
        <w:rPr>
          <w:rFonts w:eastAsiaTheme="minorHAnsi" w:cs="Arial"/>
          <w:szCs w:val="20"/>
        </w:rPr>
        <w:t xml:space="preserve"> and using the</w:t>
      </w:r>
      <w:r w:rsidRPr="000254B2">
        <w:rPr>
          <w:rFonts w:eastAsiaTheme="minorHAnsi" w:cs="Arial"/>
          <w:i/>
          <w:iCs/>
          <w:szCs w:val="20"/>
        </w:rPr>
        <w:t xml:space="preserve"> </w:t>
      </w:r>
      <w:hyperlink r:id="rId10" w:history="1">
        <w:r>
          <w:rPr>
            <w:rFonts w:eastAsiaTheme="minorHAnsi" w:cs="Arial"/>
            <w:szCs w:val="20"/>
          </w:rPr>
          <w:t>Gender Mainstreaming Toolkit for cooperation projects</w:t>
        </w:r>
      </w:hyperlink>
      <w:r w:rsidRPr="000254B2">
        <w:rPr>
          <w:rFonts w:eastAsiaTheme="minorHAnsi" w:cs="Arial"/>
          <w:i/>
          <w:iCs/>
          <w:szCs w:val="20"/>
        </w:rPr>
        <w:t xml:space="preserve">. </w:t>
      </w:r>
      <w:r w:rsidRPr="000254B2">
        <w:rPr>
          <w:rFonts w:eastAsiaTheme="minorHAnsi" w:cs="Arial"/>
          <w:szCs w:val="20"/>
        </w:rPr>
        <w:t>Training activities for project teams on gender mainstreaming in co</w:t>
      </w:r>
      <w:r>
        <w:rPr>
          <w:rFonts w:eastAsiaTheme="minorHAnsi" w:cs="Arial"/>
          <w:szCs w:val="20"/>
        </w:rPr>
        <w:t>-</w:t>
      </w:r>
      <w:r w:rsidRPr="000254B2">
        <w:rPr>
          <w:rFonts w:eastAsiaTheme="minorHAnsi" w:cs="Arial"/>
          <w:szCs w:val="20"/>
        </w:rPr>
        <w:t>operation continued</w:t>
      </w:r>
      <w:r>
        <w:rPr>
          <w:rFonts w:eastAsiaTheme="minorHAnsi" w:cs="Arial"/>
          <w:szCs w:val="20"/>
        </w:rPr>
        <w:t xml:space="preserve">. </w:t>
      </w:r>
      <w:r w:rsidRPr="000254B2">
        <w:rPr>
          <w:rFonts w:cs="Arial"/>
          <w:szCs w:val="20"/>
        </w:rPr>
        <w:t xml:space="preserve">The </w:t>
      </w:r>
      <w:hyperlink r:id="rId11" w:history="1">
        <w:r w:rsidRPr="000254B2">
          <w:rPr>
            <w:rStyle w:val="Hyperlink"/>
            <w:rFonts w:cs="Arial"/>
            <w:szCs w:val="20"/>
          </w:rPr>
          <w:t>UN 2030 Agenda for Sustainable Development</w:t>
        </w:r>
      </w:hyperlink>
      <w:r w:rsidRPr="000254B2">
        <w:rPr>
          <w:rFonts w:cs="Arial"/>
          <w:szCs w:val="20"/>
        </w:rPr>
        <w:t xml:space="preserve"> has been highly relevant for the Council of Europe with its global and overarching political approach. The Council of Europe Programme and Budget indicates, where relevant, the link between the Organisation’s sector and programmes and the specific Sustainable Development Goals (SDGs).</w:t>
      </w:r>
      <w:r w:rsidRPr="000254B2">
        <w:rPr>
          <w:rFonts w:cs="Arial"/>
          <w:szCs w:val="20"/>
          <w:lang w:eastAsia="fr-FR"/>
        </w:rPr>
        <w:t xml:space="preserve"> Most, if not all</w:t>
      </w:r>
      <w:r>
        <w:rPr>
          <w:rFonts w:cs="Arial"/>
          <w:szCs w:val="20"/>
          <w:lang w:eastAsia="fr-FR"/>
        </w:rPr>
        <w:t xml:space="preserve">, </w:t>
      </w:r>
      <w:r w:rsidRPr="000254B2">
        <w:rPr>
          <w:rFonts w:cs="Arial"/>
          <w:szCs w:val="20"/>
          <w:lang w:eastAsia="fr-FR"/>
        </w:rPr>
        <w:t>Joint Programmes, contribute to the implementation of the UN 2030 Agenda and the achievement of the SDGs</w:t>
      </w:r>
      <w:r>
        <w:rPr>
          <w:rFonts w:cs="Arial"/>
          <w:szCs w:val="20"/>
          <w:lang w:eastAsia="fr-FR"/>
        </w:rPr>
        <w:t xml:space="preserve">, </w:t>
      </w:r>
      <w:r w:rsidRPr="000254B2">
        <w:rPr>
          <w:rFonts w:cs="Arial"/>
          <w:szCs w:val="20"/>
        </w:rPr>
        <w:t>support</w:t>
      </w:r>
      <w:r>
        <w:rPr>
          <w:rFonts w:cs="Arial"/>
          <w:szCs w:val="20"/>
        </w:rPr>
        <w:t xml:space="preserve">ing primarily </w:t>
      </w:r>
      <w:r w:rsidRPr="000254B2">
        <w:rPr>
          <w:rFonts w:cs="Arial"/>
          <w:szCs w:val="20"/>
        </w:rPr>
        <w:t xml:space="preserve">SDG-16 “Peace, justice and strong institutions”. </w:t>
      </w:r>
      <w:r>
        <w:rPr>
          <w:rFonts w:cs="Arial"/>
          <w:szCs w:val="20"/>
        </w:rPr>
        <w:t>Joint Programmes</w:t>
      </w:r>
      <w:r w:rsidRPr="000254B2">
        <w:rPr>
          <w:rFonts w:cs="Arial"/>
          <w:szCs w:val="20"/>
        </w:rPr>
        <w:t xml:space="preserve"> also contribute to the achievement of SDG-1 “No poverty”, SDG-3 “Good health and well-being”, SDG-4 “Quality education”, SDG-5 “Gender equality”, SDG-8 “Decent work and economic growth”, SDG-10 “Reduced inequalities”, SDG-11 “Sustainable cities and communities” and SDG-17 “Partnerships for the goals”. </w:t>
      </w:r>
    </w:p>
    <w:p w14:paraId="751D20D1" w14:textId="7980E0E4" w:rsidR="007E0D7D" w:rsidRDefault="007E0D7D">
      <w:pPr>
        <w:rPr>
          <w:rFonts w:cs="Arial"/>
          <w:szCs w:val="20"/>
        </w:rPr>
      </w:pPr>
      <w:r>
        <w:rPr>
          <w:rFonts w:cs="Arial"/>
          <w:szCs w:val="20"/>
        </w:rPr>
        <w:br w:type="page"/>
      </w:r>
    </w:p>
    <w:p w14:paraId="60408B7A" w14:textId="77777777" w:rsidR="007E0D7D" w:rsidRDefault="007E0D7D" w:rsidP="007E0D7D">
      <w:pPr>
        <w:rPr>
          <w:rFonts w:cs="Arial"/>
          <w:szCs w:val="20"/>
        </w:rPr>
      </w:pPr>
    </w:p>
    <w:p w14:paraId="025368DF" w14:textId="77777777" w:rsidR="008E74B8" w:rsidRDefault="008E74B8" w:rsidP="007E0D7D">
      <w:pPr>
        <w:rPr>
          <w:rFonts w:cs="Arial"/>
          <w:szCs w:val="20"/>
        </w:rPr>
      </w:pPr>
      <w:r w:rsidRPr="000254B2">
        <w:rPr>
          <w:rFonts w:eastAsiaTheme="minorHAnsi" w:cs="Arial"/>
          <w:szCs w:val="20"/>
        </w:rPr>
        <w:t xml:space="preserve">Another important cross-cutting dimension is the fight against climate change and for the protection of </w:t>
      </w:r>
      <w:r>
        <w:rPr>
          <w:rFonts w:eastAsiaTheme="minorHAnsi" w:cs="Arial"/>
          <w:szCs w:val="20"/>
        </w:rPr>
        <w:t xml:space="preserve">the </w:t>
      </w:r>
      <w:r w:rsidRPr="000254B2">
        <w:rPr>
          <w:rFonts w:eastAsiaTheme="minorHAnsi" w:cs="Arial"/>
          <w:szCs w:val="20"/>
        </w:rPr>
        <w:t>environment. The Council of Europe</w:t>
      </w:r>
      <w:r>
        <w:rPr>
          <w:rFonts w:eastAsiaTheme="minorHAnsi" w:cs="Arial"/>
          <w:szCs w:val="20"/>
        </w:rPr>
        <w:t>'s</w:t>
      </w:r>
      <w:r w:rsidRPr="000254B2">
        <w:rPr>
          <w:rFonts w:eastAsiaTheme="minorHAnsi" w:cs="Arial"/>
          <w:szCs w:val="20"/>
        </w:rPr>
        <w:t xml:space="preserve"> co</w:t>
      </w:r>
      <w:r>
        <w:rPr>
          <w:rFonts w:eastAsiaTheme="minorHAnsi" w:cs="Arial"/>
          <w:szCs w:val="20"/>
        </w:rPr>
        <w:t>-</w:t>
      </w:r>
      <w:r w:rsidRPr="000254B2">
        <w:rPr>
          <w:rFonts w:eastAsiaTheme="minorHAnsi" w:cs="Arial"/>
          <w:szCs w:val="20"/>
        </w:rPr>
        <w:t xml:space="preserve">operation </w:t>
      </w:r>
      <w:r>
        <w:rPr>
          <w:rFonts w:eastAsiaTheme="minorHAnsi" w:cs="Arial"/>
          <w:szCs w:val="20"/>
        </w:rPr>
        <w:t xml:space="preserve">activities </w:t>
      </w:r>
      <w:r w:rsidRPr="000254B2">
        <w:rPr>
          <w:rFonts w:eastAsiaTheme="minorHAnsi" w:cs="Arial"/>
          <w:szCs w:val="20"/>
        </w:rPr>
        <w:t>ha</w:t>
      </w:r>
      <w:r>
        <w:rPr>
          <w:rFonts w:eastAsiaTheme="minorHAnsi" w:cs="Arial"/>
          <w:szCs w:val="20"/>
        </w:rPr>
        <w:t>ve</w:t>
      </w:r>
      <w:r w:rsidRPr="000254B2">
        <w:rPr>
          <w:rFonts w:eastAsiaTheme="minorHAnsi" w:cs="Arial"/>
          <w:szCs w:val="20"/>
        </w:rPr>
        <w:t xml:space="preserve"> an indirect positive contribution to environment protection through its support to member States </w:t>
      </w:r>
      <w:r>
        <w:rPr>
          <w:rFonts w:eastAsiaTheme="minorHAnsi" w:cs="Arial"/>
          <w:szCs w:val="20"/>
        </w:rPr>
        <w:t xml:space="preserve">with </w:t>
      </w:r>
      <w:r w:rsidRPr="000254B2">
        <w:rPr>
          <w:rFonts w:eastAsiaTheme="minorHAnsi" w:cs="Arial"/>
          <w:szCs w:val="20"/>
        </w:rPr>
        <w:t xml:space="preserve">strengthening good governance structures and thus enabling </w:t>
      </w:r>
      <w:r>
        <w:rPr>
          <w:rFonts w:eastAsiaTheme="minorHAnsi" w:cs="Arial"/>
          <w:szCs w:val="20"/>
        </w:rPr>
        <w:t>a more effective tackling of</w:t>
      </w:r>
      <w:r w:rsidRPr="000254B2">
        <w:rPr>
          <w:rFonts w:eastAsiaTheme="minorHAnsi" w:cs="Arial"/>
          <w:szCs w:val="20"/>
        </w:rPr>
        <w:t xml:space="preserve"> environmental challenges</w:t>
      </w:r>
      <w:r>
        <w:rPr>
          <w:rFonts w:eastAsiaTheme="minorHAnsi" w:cs="Arial"/>
          <w:szCs w:val="20"/>
        </w:rPr>
        <w:t xml:space="preserve">. </w:t>
      </w:r>
      <w:r w:rsidRPr="00EC0B27">
        <w:rPr>
          <w:rFonts w:eastAsiaTheme="minorHAnsi" w:cs="Arial"/>
          <w:szCs w:val="20"/>
        </w:rPr>
        <w:t>The Reykjav</w:t>
      </w:r>
      <w:r w:rsidRPr="00EC0B27">
        <w:t>í</w:t>
      </w:r>
      <w:r w:rsidRPr="00EC0B27">
        <w:rPr>
          <w:rFonts w:eastAsiaTheme="minorHAnsi" w:cs="Arial"/>
          <w:szCs w:val="20"/>
        </w:rPr>
        <w:t xml:space="preserve">k Declaration acknowledged “the urgency of taking co-ordinated action to protect the environment by countering the triple planetary crisis of pollution, climate change and loss of biodiversity.” On the basis of the Council of Europe’s expertise “not only in the area of human rights, democracy and the rule of law, but with a long-standing and widely acknowledged track record in protecting the environment, environmentally friendly landscape management and public health”, co-operation sector has the potential to introduce a climate and environmental dimension into discussions in the sectors and among stakeholders not traditionally used to considering these themes. In doing so it can rely on the Council of Europe’s binding commitments and treaties directly or indirectly addressing environmental concerns. Within this context, the Council of Europe’s co-operation sector aims to make the fight against climate change and environmental degradation an integral and more visible part of its action. </w:t>
      </w:r>
      <w:r w:rsidRPr="00EC0B27">
        <w:t>Further to the Reykjavík Declaration, the Secretary General has created a new Directorate in DGI on Social Rights, Health and Environment and, within this Directorate, a Department on the Reykjavík process and the Environment. This Directorate will develop co-operation in the field of the environment.</w:t>
      </w:r>
      <w:r>
        <w:t xml:space="preserve"> </w:t>
      </w:r>
    </w:p>
    <w:p w14:paraId="54EAE823" w14:textId="77777777" w:rsidR="008E74B8" w:rsidRPr="000254B2" w:rsidRDefault="008E74B8" w:rsidP="008E74B8">
      <w:pPr>
        <w:spacing w:before="120" w:after="120" w:line="240" w:lineRule="atLeast"/>
        <w:rPr>
          <w:rFonts w:cs="Arial"/>
          <w:szCs w:val="20"/>
        </w:rPr>
      </w:pPr>
    </w:p>
    <w:p w14:paraId="52D8583D" w14:textId="77777777" w:rsidR="008E74B8" w:rsidRDefault="008E74B8" w:rsidP="008E74B8">
      <w:pPr>
        <w:spacing w:before="120" w:after="120" w:line="240" w:lineRule="atLeast"/>
        <w:rPr>
          <w:rFonts w:cs="Arial"/>
          <w:szCs w:val="20"/>
        </w:rPr>
      </w:pPr>
      <w:r w:rsidRPr="000254B2">
        <w:rPr>
          <w:rFonts w:cs="Arial"/>
          <w:b/>
          <w:szCs w:val="20"/>
        </w:rPr>
        <w:t xml:space="preserve">II. </w:t>
      </w:r>
      <w:r w:rsidRPr="000254B2">
        <w:rPr>
          <w:rFonts w:cs="Arial"/>
          <w:b/>
          <w:szCs w:val="20"/>
        </w:rPr>
        <w:tab/>
        <w:t>STATISTICAL ANALYSIS</w:t>
      </w:r>
    </w:p>
    <w:p w14:paraId="50BDFE9E" w14:textId="77777777" w:rsidR="008E74B8" w:rsidRPr="00A15DB9" w:rsidRDefault="008E74B8" w:rsidP="008E74B8">
      <w:pPr>
        <w:pStyle w:val="ListParagraph"/>
        <w:numPr>
          <w:ilvl w:val="0"/>
          <w:numId w:val="4"/>
        </w:numPr>
        <w:spacing w:before="120" w:after="120" w:line="240" w:lineRule="atLeast"/>
        <w:ind w:left="0" w:firstLine="0"/>
        <w:rPr>
          <w:rFonts w:ascii="Arial" w:hAnsi="Arial" w:cs="Arial"/>
          <w:sz w:val="20"/>
          <w:szCs w:val="20"/>
        </w:rPr>
      </w:pPr>
      <w:bookmarkStart w:id="1" w:name="_Hlk34161213"/>
      <w:bookmarkStart w:id="2" w:name="_Hlk34057183"/>
      <w:bookmarkStart w:id="3" w:name="_Hlk34148139"/>
      <w:r w:rsidRPr="00A15DB9">
        <w:rPr>
          <w:rFonts w:ascii="Arial" w:hAnsi="Arial" w:cs="Arial"/>
          <w:sz w:val="20"/>
          <w:szCs w:val="20"/>
        </w:rPr>
        <w:t>In 2023, 54 EU-Council of Europe Joint Programme agreements were under implementation, with a multi-annual Cumulative Budgetary Envelope (CBE)</w:t>
      </w:r>
      <w:r w:rsidRPr="00A15DB9">
        <w:rPr>
          <w:rFonts w:ascii="Arial" w:hAnsi="Arial" w:cs="Arial"/>
          <w:sz w:val="20"/>
          <w:szCs w:val="20"/>
          <w:vertAlign w:val="superscript"/>
        </w:rPr>
        <w:footnoteReference w:id="4"/>
      </w:r>
      <w:r w:rsidRPr="00A15DB9">
        <w:rPr>
          <w:rFonts w:ascii="Arial" w:hAnsi="Arial" w:cs="Arial"/>
          <w:sz w:val="20"/>
          <w:szCs w:val="20"/>
        </w:rPr>
        <w:t xml:space="preserve"> of </w:t>
      </w:r>
      <w:r w:rsidRPr="00A15DB9">
        <w:rPr>
          <w:rFonts w:ascii="Arial" w:eastAsia="Times New Roman" w:hAnsi="Arial" w:cs="Arial"/>
          <w:sz w:val="20"/>
          <w:szCs w:val="20"/>
          <w:lang w:val="en-US" w:eastAsia="fr-FR"/>
        </w:rPr>
        <w:t xml:space="preserve">€ 245.9 </w:t>
      </w:r>
      <w:r w:rsidRPr="00A15DB9">
        <w:rPr>
          <w:rFonts w:ascii="Arial" w:hAnsi="Arial" w:cs="Arial"/>
          <w:sz w:val="20"/>
          <w:szCs w:val="20"/>
        </w:rPr>
        <w:t>million. The European Union’s contractual commitments to these programmes amounted to €210.2. million (85.5. %)</w:t>
      </w:r>
      <w:r>
        <w:rPr>
          <w:rFonts w:ascii="Arial" w:hAnsi="Arial" w:cs="Arial"/>
          <w:sz w:val="20"/>
          <w:szCs w:val="20"/>
        </w:rPr>
        <w:t xml:space="preserve"> </w:t>
      </w:r>
      <w:r w:rsidRPr="00A15DB9">
        <w:rPr>
          <w:rFonts w:ascii="Arial" w:hAnsi="Arial" w:cs="Arial"/>
          <w:sz w:val="20"/>
          <w:szCs w:val="20"/>
        </w:rPr>
        <w:t>and the Council of Europe’s co-financing – to €35.7 million (14.5%).</w:t>
      </w:r>
      <w:r>
        <w:rPr>
          <w:rFonts w:ascii="Arial" w:eastAsia="Times New Roman" w:hAnsi="Arial" w:cs="Arial"/>
          <w:sz w:val="20"/>
          <w:szCs w:val="20"/>
          <w:lang w:eastAsia="fr-FR"/>
        </w:rPr>
        <w:t xml:space="preserve"> </w:t>
      </w:r>
      <w:r w:rsidRPr="00A15DB9">
        <w:rPr>
          <w:rFonts w:ascii="Arial" w:eastAsia="Times New Roman" w:hAnsi="Arial" w:cs="Arial"/>
          <w:sz w:val="20"/>
          <w:szCs w:val="20"/>
          <w:lang w:eastAsia="fr-FR"/>
        </w:rPr>
        <w:t xml:space="preserve">The list of programmes under implementation in 2023 is presented in </w:t>
      </w:r>
      <w:r w:rsidRPr="00A15DB9">
        <w:rPr>
          <w:rFonts w:ascii="Arial" w:hAnsi="Arial" w:cs="Arial"/>
          <w:sz w:val="20"/>
          <w:szCs w:val="20"/>
        </w:rPr>
        <w:t>Appendix I.</w:t>
      </w:r>
    </w:p>
    <w:p w14:paraId="23DDC0CD" w14:textId="77777777" w:rsidR="008E74B8" w:rsidRPr="00DF1A05" w:rsidRDefault="008E74B8" w:rsidP="008E74B8">
      <w:pPr>
        <w:pStyle w:val="ListParagraph"/>
        <w:numPr>
          <w:ilvl w:val="0"/>
          <w:numId w:val="4"/>
        </w:numPr>
        <w:spacing w:before="120" w:after="120" w:line="240" w:lineRule="atLeast"/>
        <w:ind w:left="0" w:firstLine="0"/>
        <w:rPr>
          <w:rFonts w:ascii="Arial" w:hAnsi="Arial" w:cs="Arial"/>
          <w:sz w:val="20"/>
          <w:szCs w:val="20"/>
        </w:rPr>
      </w:pPr>
      <w:r w:rsidRPr="000254B2">
        <w:rPr>
          <w:rFonts w:ascii="Arial" w:hAnsi="Arial" w:cs="Arial"/>
          <w:sz w:val="20"/>
          <w:szCs w:val="20"/>
        </w:rPr>
        <w:t>The annualised envelope (Annual Budgetary Envelope prorated (ABE))</w:t>
      </w:r>
      <w:r w:rsidRPr="000254B2">
        <w:rPr>
          <w:rFonts w:ascii="Arial" w:hAnsi="Arial" w:cs="Arial"/>
          <w:sz w:val="20"/>
          <w:szCs w:val="20"/>
          <w:vertAlign w:val="superscript"/>
        </w:rPr>
        <w:footnoteReference w:id="5"/>
      </w:r>
      <w:r w:rsidRPr="000254B2">
        <w:rPr>
          <w:rFonts w:ascii="Arial" w:hAnsi="Arial" w:cs="Arial"/>
          <w:sz w:val="20"/>
          <w:szCs w:val="20"/>
        </w:rPr>
        <w:t xml:space="preserve"> </w:t>
      </w:r>
      <w:r>
        <w:rPr>
          <w:rFonts w:ascii="Arial" w:hAnsi="Arial" w:cs="Arial"/>
          <w:sz w:val="20"/>
          <w:szCs w:val="20"/>
        </w:rPr>
        <w:t xml:space="preserve">amounted </w:t>
      </w:r>
      <w:r w:rsidRPr="000254B2">
        <w:rPr>
          <w:rFonts w:ascii="Arial" w:hAnsi="Arial" w:cs="Arial"/>
          <w:sz w:val="20"/>
          <w:szCs w:val="20"/>
        </w:rPr>
        <w:t>in 202</w:t>
      </w:r>
      <w:r>
        <w:rPr>
          <w:rFonts w:ascii="Arial" w:hAnsi="Arial" w:cs="Arial"/>
          <w:sz w:val="20"/>
          <w:szCs w:val="20"/>
        </w:rPr>
        <w:t>3</w:t>
      </w:r>
      <w:r w:rsidRPr="000254B2">
        <w:rPr>
          <w:rFonts w:ascii="Arial" w:hAnsi="Arial" w:cs="Arial"/>
          <w:sz w:val="20"/>
          <w:szCs w:val="20"/>
        </w:rPr>
        <w:t xml:space="preserve"> </w:t>
      </w:r>
      <w:r>
        <w:rPr>
          <w:rFonts w:ascii="Arial" w:hAnsi="Arial" w:cs="Arial"/>
          <w:sz w:val="20"/>
          <w:szCs w:val="20"/>
        </w:rPr>
        <w:t xml:space="preserve">to </w:t>
      </w:r>
      <w:r w:rsidRPr="000254B2">
        <w:rPr>
          <w:rFonts w:ascii="Arial" w:hAnsi="Arial" w:cs="Arial"/>
          <w:sz w:val="20"/>
          <w:szCs w:val="20"/>
        </w:rPr>
        <w:t>€</w:t>
      </w:r>
      <w:r>
        <w:rPr>
          <w:rFonts w:ascii="Arial" w:hAnsi="Arial" w:cs="Arial"/>
          <w:sz w:val="20"/>
          <w:szCs w:val="20"/>
        </w:rPr>
        <w:t xml:space="preserve"> 54.7 </w:t>
      </w:r>
      <w:r w:rsidRPr="000254B2">
        <w:rPr>
          <w:rFonts w:ascii="Arial" w:hAnsi="Arial" w:cs="Arial"/>
          <w:sz w:val="20"/>
          <w:szCs w:val="20"/>
        </w:rPr>
        <w:t>million (European Union: €</w:t>
      </w:r>
      <w:r>
        <w:rPr>
          <w:rFonts w:ascii="Arial" w:hAnsi="Arial" w:cs="Arial"/>
          <w:sz w:val="20"/>
          <w:szCs w:val="20"/>
        </w:rPr>
        <w:t xml:space="preserve"> 46.3 </w:t>
      </w:r>
      <w:r w:rsidRPr="000254B2">
        <w:rPr>
          <w:rFonts w:ascii="Arial" w:hAnsi="Arial" w:cs="Arial"/>
          <w:sz w:val="20"/>
          <w:szCs w:val="20"/>
        </w:rPr>
        <w:t>million</w:t>
      </w:r>
      <w:r>
        <w:rPr>
          <w:rFonts w:ascii="Arial" w:hAnsi="Arial" w:cs="Arial"/>
          <w:sz w:val="20"/>
          <w:szCs w:val="20"/>
        </w:rPr>
        <w:t xml:space="preserve">; </w:t>
      </w:r>
      <w:r w:rsidRPr="000254B2">
        <w:rPr>
          <w:rFonts w:ascii="Arial" w:hAnsi="Arial" w:cs="Arial"/>
          <w:sz w:val="20"/>
          <w:szCs w:val="20"/>
        </w:rPr>
        <w:t>8</w:t>
      </w:r>
      <w:r>
        <w:rPr>
          <w:rFonts w:ascii="Arial" w:hAnsi="Arial" w:cs="Arial"/>
          <w:sz w:val="20"/>
          <w:szCs w:val="20"/>
        </w:rPr>
        <w:t>4.6</w:t>
      </w:r>
      <w:r w:rsidRPr="000254B2">
        <w:rPr>
          <w:rFonts w:ascii="Arial" w:hAnsi="Arial" w:cs="Arial"/>
          <w:sz w:val="20"/>
          <w:szCs w:val="20"/>
        </w:rPr>
        <w:t>%), Council of Europe: €8.</w:t>
      </w:r>
      <w:r>
        <w:rPr>
          <w:rFonts w:ascii="Arial" w:hAnsi="Arial" w:cs="Arial"/>
          <w:sz w:val="20"/>
          <w:szCs w:val="20"/>
        </w:rPr>
        <w:t>4</w:t>
      </w:r>
      <w:r w:rsidRPr="000254B2">
        <w:rPr>
          <w:rFonts w:ascii="Arial" w:hAnsi="Arial" w:cs="Arial"/>
          <w:sz w:val="20"/>
          <w:szCs w:val="20"/>
        </w:rPr>
        <w:t xml:space="preserve"> million</w:t>
      </w:r>
      <w:r>
        <w:rPr>
          <w:rFonts w:ascii="Arial" w:hAnsi="Arial" w:cs="Arial"/>
          <w:sz w:val="20"/>
          <w:szCs w:val="20"/>
        </w:rPr>
        <w:t>; 15.4</w:t>
      </w:r>
      <w:r w:rsidRPr="000254B2">
        <w:rPr>
          <w:rFonts w:ascii="Arial" w:hAnsi="Arial" w:cs="Arial"/>
          <w:sz w:val="20"/>
          <w:szCs w:val="20"/>
        </w:rPr>
        <w:t>%).</w:t>
      </w:r>
    </w:p>
    <w:p w14:paraId="0D3A444E" w14:textId="77777777" w:rsidR="008E74B8" w:rsidRPr="00EC0B27" w:rsidRDefault="008E74B8" w:rsidP="008E74B8">
      <w:pPr>
        <w:pStyle w:val="ListParagraph"/>
        <w:numPr>
          <w:ilvl w:val="0"/>
          <w:numId w:val="4"/>
        </w:numPr>
        <w:spacing w:before="120" w:after="120" w:line="240" w:lineRule="atLeast"/>
        <w:ind w:left="0" w:firstLine="0"/>
        <w:rPr>
          <w:rFonts w:ascii="Arial" w:hAnsi="Arial" w:cs="Arial"/>
          <w:sz w:val="20"/>
          <w:szCs w:val="20"/>
        </w:rPr>
      </w:pPr>
      <w:bookmarkStart w:id="4" w:name="_Hlk126686628"/>
      <w:r w:rsidRPr="000254B2">
        <w:rPr>
          <w:rFonts w:ascii="Arial" w:hAnsi="Arial" w:cs="Arial"/>
          <w:sz w:val="20"/>
          <w:szCs w:val="20"/>
        </w:rPr>
        <w:t>The total of EU payments under Joint Programmes received between 1 January and 31 December 202</w:t>
      </w:r>
      <w:r>
        <w:rPr>
          <w:rFonts w:ascii="Arial" w:hAnsi="Arial" w:cs="Arial"/>
          <w:sz w:val="20"/>
          <w:szCs w:val="20"/>
        </w:rPr>
        <w:t>3</w:t>
      </w:r>
      <w:r w:rsidRPr="000254B2">
        <w:rPr>
          <w:rFonts w:ascii="Arial" w:hAnsi="Arial" w:cs="Arial"/>
          <w:sz w:val="20"/>
          <w:szCs w:val="20"/>
        </w:rPr>
        <w:t xml:space="preserve"> (JP annual receipts) </w:t>
      </w:r>
      <w:r>
        <w:rPr>
          <w:rFonts w:ascii="Arial" w:hAnsi="Arial" w:cs="Arial"/>
          <w:sz w:val="20"/>
          <w:szCs w:val="20"/>
        </w:rPr>
        <w:t>stood at</w:t>
      </w:r>
      <w:r w:rsidRPr="000254B2">
        <w:rPr>
          <w:rFonts w:ascii="Arial" w:hAnsi="Arial" w:cs="Arial"/>
          <w:sz w:val="20"/>
          <w:szCs w:val="20"/>
        </w:rPr>
        <w:t xml:space="preserve"> </w:t>
      </w:r>
      <w:r w:rsidRPr="00C423CA">
        <w:rPr>
          <w:rFonts w:ascii="Arial" w:hAnsi="Arial" w:cs="Arial"/>
          <w:sz w:val="20"/>
          <w:szCs w:val="20"/>
        </w:rPr>
        <w:t>€37.3 million</w:t>
      </w:r>
      <w:r w:rsidRPr="000254B2">
        <w:rPr>
          <w:rFonts w:ascii="Arial" w:hAnsi="Arial" w:cs="Arial"/>
          <w:sz w:val="20"/>
          <w:szCs w:val="20"/>
        </w:rPr>
        <w:t xml:space="preserve">. With </w:t>
      </w:r>
      <w:r>
        <w:rPr>
          <w:rFonts w:ascii="Arial" w:hAnsi="Arial" w:cs="Arial"/>
          <w:sz w:val="20"/>
          <w:szCs w:val="20"/>
        </w:rPr>
        <w:t xml:space="preserve">an </w:t>
      </w:r>
      <w:r w:rsidRPr="000254B2">
        <w:rPr>
          <w:rFonts w:ascii="Arial" w:hAnsi="Arial" w:cs="Arial"/>
          <w:sz w:val="20"/>
          <w:szCs w:val="20"/>
        </w:rPr>
        <w:t xml:space="preserve">additional €1.6 million of payments from the co-operation undertakings other than Joint Programmes, the European Union’s share in the Council of Europe’s revenue from all extra-budgetary </w:t>
      </w:r>
      <w:r>
        <w:rPr>
          <w:rFonts w:ascii="Arial" w:hAnsi="Arial" w:cs="Arial"/>
          <w:sz w:val="20"/>
          <w:szCs w:val="20"/>
        </w:rPr>
        <w:t xml:space="preserve">resources </w:t>
      </w:r>
      <w:r w:rsidRPr="000254B2">
        <w:rPr>
          <w:rFonts w:ascii="Arial" w:hAnsi="Arial" w:cs="Arial"/>
          <w:sz w:val="20"/>
          <w:szCs w:val="20"/>
        </w:rPr>
        <w:t>in 202</w:t>
      </w:r>
      <w:r>
        <w:rPr>
          <w:rFonts w:ascii="Arial" w:hAnsi="Arial" w:cs="Arial"/>
          <w:sz w:val="20"/>
          <w:szCs w:val="20"/>
        </w:rPr>
        <w:t>3</w:t>
      </w:r>
      <w:r w:rsidRPr="000254B2">
        <w:rPr>
          <w:rFonts w:ascii="Arial" w:hAnsi="Arial" w:cs="Arial"/>
          <w:sz w:val="20"/>
          <w:szCs w:val="20"/>
        </w:rPr>
        <w:t xml:space="preserve"> </w:t>
      </w:r>
      <w:r>
        <w:rPr>
          <w:rFonts w:ascii="Arial" w:hAnsi="Arial" w:cs="Arial"/>
          <w:sz w:val="20"/>
          <w:szCs w:val="20"/>
        </w:rPr>
        <w:t xml:space="preserve">represented </w:t>
      </w:r>
      <w:r w:rsidRPr="00EC0B27">
        <w:rPr>
          <w:rFonts w:ascii="Arial" w:hAnsi="Arial" w:cs="Arial"/>
          <w:sz w:val="20"/>
          <w:szCs w:val="20"/>
        </w:rPr>
        <w:t>47.</w:t>
      </w:r>
      <w:r>
        <w:rPr>
          <w:rFonts w:ascii="Arial" w:hAnsi="Arial" w:cs="Arial"/>
          <w:sz w:val="20"/>
          <w:szCs w:val="20"/>
        </w:rPr>
        <w:t>9</w:t>
      </w:r>
      <w:r w:rsidRPr="00EC0B27">
        <w:rPr>
          <w:rFonts w:ascii="Arial" w:hAnsi="Arial" w:cs="Arial"/>
          <w:sz w:val="20"/>
          <w:szCs w:val="20"/>
        </w:rPr>
        <w:t xml:space="preserve">%. </w:t>
      </w:r>
      <w:bookmarkStart w:id="5" w:name="_Hlk156489550"/>
      <w:r w:rsidRPr="00EC0B27">
        <w:rPr>
          <w:rFonts w:ascii="Arial" w:hAnsi="Arial" w:cs="Arial"/>
          <w:sz w:val="20"/>
          <w:szCs w:val="20"/>
        </w:rPr>
        <w:t xml:space="preserve">The European Union remains the largest single donor to the Council of Europe's co-operation activities. </w:t>
      </w:r>
      <w:bookmarkEnd w:id="5"/>
    </w:p>
    <w:bookmarkEnd w:id="4"/>
    <w:p w14:paraId="0F5B10EC" w14:textId="77777777" w:rsidR="008E74B8" w:rsidRPr="00EC0B27" w:rsidRDefault="008E74B8" w:rsidP="008E74B8">
      <w:pPr>
        <w:numPr>
          <w:ilvl w:val="0"/>
          <w:numId w:val="4"/>
        </w:numPr>
        <w:spacing w:before="120" w:after="120" w:line="240" w:lineRule="atLeast"/>
        <w:ind w:left="0" w:firstLine="0"/>
        <w:rPr>
          <w:rFonts w:cs="Arial"/>
          <w:szCs w:val="20"/>
        </w:rPr>
      </w:pPr>
      <w:r w:rsidRPr="00EC0B27">
        <w:rPr>
          <w:rFonts w:cs="Arial"/>
          <w:szCs w:val="20"/>
        </w:rPr>
        <w:t xml:space="preserve">In terms of new injections in Joint Programme co-operation, in 2023 the EU and the Council of Europe signed 13 new Joint Programmes, with an overall total of </w:t>
      </w:r>
      <w:r w:rsidRPr="00EC0B27">
        <w:rPr>
          <w:rFonts w:eastAsia="Times New Roman" w:cs="Arial"/>
          <w:szCs w:val="20"/>
          <w:lang w:eastAsia="fr-FR"/>
        </w:rPr>
        <w:t>€</w:t>
      </w:r>
      <w:r w:rsidRPr="00EC0B27">
        <w:rPr>
          <w:rFonts w:cs="Arial"/>
          <w:szCs w:val="20"/>
        </w:rPr>
        <w:t>53.1 million (European Union:</w:t>
      </w:r>
      <w:r w:rsidRPr="00EC0B27">
        <w:rPr>
          <w:rFonts w:eastAsia="Times New Roman" w:cs="Arial"/>
          <w:szCs w:val="20"/>
          <w:lang w:eastAsia="fr-FR"/>
        </w:rPr>
        <w:t xml:space="preserve"> €</w:t>
      </w:r>
      <w:r w:rsidRPr="00EC0B27">
        <w:rPr>
          <w:rFonts w:cs="Arial"/>
          <w:szCs w:val="20"/>
        </w:rPr>
        <w:t xml:space="preserve"> 33.1 million (62.3%), Council of Europe’s co-financing: </w:t>
      </w:r>
      <w:r w:rsidRPr="00EC0B27">
        <w:rPr>
          <w:rFonts w:eastAsia="Times New Roman" w:cs="Arial"/>
          <w:szCs w:val="20"/>
          <w:lang w:eastAsia="fr-FR"/>
        </w:rPr>
        <w:t xml:space="preserve">€20 </w:t>
      </w:r>
      <w:r w:rsidRPr="00EC0B27">
        <w:rPr>
          <w:rFonts w:cs="Arial"/>
          <w:szCs w:val="20"/>
        </w:rPr>
        <w:t>million (37.7%</w:t>
      </w:r>
      <w:r w:rsidRPr="00EC0B27">
        <w:rPr>
          <w:rStyle w:val="FootnoteReference"/>
          <w:rFonts w:cs="Arial"/>
          <w:szCs w:val="20"/>
        </w:rPr>
        <w:footnoteReference w:id="6"/>
      </w:r>
      <w:r w:rsidRPr="00EC0B27">
        <w:rPr>
          <w:rFonts w:cs="Arial"/>
          <w:szCs w:val="20"/>
        </w:rPr>
        <w:t xml:space="preserve">)). Some of </w:t>
      </w:r>
      <w:r w:rsidRPr="00EC0B27">
        <w:rPr>
          <w:rFonts w:cs="Arial"/>
          <w:bCs/>
          <w:szCs w:val="20"/>
        </w:rPr>
        <w:t>these programmes were launched in 2023, others start in January 2024.</w:t>
      </w:r>
      <w:r w:rsidRPr="00EC0B27">
        <w:rPr>
          <w:rStyle w:val="FootnoteReference"/>
          <w:rFonts w:cs="Arial"/>
          <w:bCs/>
          <w:szCs w:val="20"/>
        </w:rPr>
        <w:footnoteReference w:id="7"/>
      </w:r>
      <w:r w:rsidRPr="00EC0B27">
        <w:rPr>
          <w:rFonts w:cs="Arial"/>
          <w:bCs/>
          <w:szCs w:val="20"/>
        </w:rPr>
        <w:t xml:space="preserve"> The list of programmes signed in 2023 can be found in Appendix II. </w:t>
      </w:r>
    </w:p>
    <w:p w14:paraId="33A4E422" w14:textId="4921DFEF" w:rsidR="007E0D7D" w:rsidRDefault="008E74B8" w:rsidP="008E74B8">
      <w:pPr>
        <w:numPr>
          <w:ilvl w:val="0"/>
          <w:numId w:val="4"/>
        </w:numPr>
        <w:spacing w:before="120" w:after="120" w:line="240" w:lineRule="atLeast"/>
        <w:ind w:left="0" w:firstLine="0"/>
        <w:rPr>
          <w:rFonts w:cs="Arial"/>
          <w:szCs w:val="20"/>
        </w:rPr>
      </w:pPr>
      <w:r w:rsidRPr="00EC0B27">
        <w:rPr>
          <w:rFonts w:cs="Arial"/>
          <w:szCs w:val="20"/>
        </w:rPr>
        <w:t xml:space="preserve">Overall, the financial situation of Joint Programmes remained stable. While the substantial new injections in Joint Programme co-operation have contributed to the exceptionally high value of the CBE in 2023, the latter also translates the accumulation of the relatively old programmes, that had been extended to mitigate delays encountered during the Covid-19 pandemic and which were finishing in 2023. The annualised envelope (ABE) decreased by 6.5% compared to the record high level of the ABE in 2022, yet, the ABE - 2023 remained firmly anchored within the range of the values observed in the past three years. The EU actual payments under the multi-annual contracts (JP annual receipts) showed a negative fluctuation of 16,5% compared to the exceptionally high level of payments received in 2022. This fluctuation can be attributed to the cyclical nature of Joint Programmes and the </w:t>
      </w:r>
      <w:r w:rsidRPr="00EC0B27">
        <w:rPr>
          <w:rFonts w:cs="Arial"/>
          <w:i/>
          <w:iCs/>
          <w:szCs w:val="20"/>
        </w:rPr>
        <w:t>aléas</w:t>
      </w:r>
      <w:r w:rsidRPr="00EC0B27">
        <w:rPr>
          <w:rFonts w:cs="Arial"/>
          <w:szCs w:val="20"/>
        </w:rPr>
        <w:t xml:space="preserve"> of the payment schedules, yet the lack of absorption remains a factor strongly affecting JP annual receipts and needs to be paid close attention to.</w:t>
      </w:r>
      <w:bookmarkEnd w:id="1"/>
      <w:bookmarkEnd w:id="2"/>
      <w:bookmarkEnd w:id="3"/>
      <w:r w:rsidRPr="00EC0B27">
        <w:rPr>
          <w:rFonts w:cs="Arial"/>
          <w:szCs w:val="20"/>
        </w:rPr>
        <w:t xml:space="preserve"> Part of this decrease can also be attributed to EU measures against Kosovo* imposed in June 2023, which prevented the signature of new projects in 2023. </w:t>
      </w:r>
    </w:p>
    <w:p w14:paraId="3398BAA0" w14:textId="77777777" w:rsidR="007E0D7D" w:rsidRDefault="007E0D7D">
      <w:pPr>
        <w:rPr>
          <w:rFonts w:cs="Arial"/>
          <w:szCs w:val="20"/>
        </w:rPr>
      </w:pPr>
      <w:r>
        <w:rPr>
          <w:rFonts w:cs="Arial"/>
          <w:szCs w:val="20"/>
        </w:rPr>
        <w:br w:type="page"/>
      </w:r>
    </w:p>
    <w:p w14:paraId="1FACF439" w14:textId="77777777" w:rsidR="008E74B8" w:rsidRPr="00EC0B27" w:rsidRDefault="008E74B8" w:rsidP="007E0D7D">
      <w:pPr>
        <w:spacing w:before="120" w:after="120" w:line="240" w:lineRule="atLeast"/>
        <w:rPr>
          <w:rFonts w:cs="Arial"/>
          <w:szCs w:val="20"/>
        </w:rPr>
      </w:pPr>
    </w:p>
    <w:p w14:paraId="57D0C13F" w14:textId="77777777" w:rsidR="008E74B8" w:rsidRPr="00DF1A05" w:rsidRDefault="008E74B8" w:rsidP="008E74B8">
      <w:pPr>
        <w:numPr>
          <w:ilvl w:val="0"/>
          <w:numId w:val="4"/>
        </w:numPr>
        <w:spacing w:before="120" w:after="120" w:line="240" w:lineRule="atLeast"/>
        <w:ind w:left="0" w:firstLine="0"/>
        <w:rPr>
          <w:rFonts w:cs="Arial"/>
          <w:szCs w:val="20"/>
        </w:rPr>
      </w:pPr>
      <w:r w:rsidRPr="00DF1A05">
        <w:rPr>
          <w:rFonts w:cs="Arial"/>
          <w:szCs w:val="20"/>
        </w:rPr>
        <w:t>The charts below show the evolution in the Joint Programme co-operation over the past ten years</w:t>
      </w:r>
      <w:r>
        <w:rPr>
          <w:rFonts w:cs="Arial"/>
          <w:szCs w:val="20"/>
        </w:rPr>
        <w:t xml:space="preserve">.  </w:t>
      </w:r>
    </w:p>
    <w:p w14:paraId="7E926001" w14:textId="77777777" w:rsidR="008E74B8" w:rsidRDefault="008E74B8" w:rsidP="008E74B8">
      <w:pPr>
        <w:spacing w:before="120" w:after="120" w:line="240" w:lineRule="atLeast"/>
        <w:rPr>
          <w:rFonts w:cs="Arial"/>
          <w:szCs w:val="20"/>
        </w:rPr>
      </w:pPr>
    </w:p>
    <w:p w14:paraId="507A0990" w14:textId="77777777" w:rsidR="008E74B8" w:rsidRPr="000254B2" w:rsidRDefault="008E74B8" w:rsidP="008E74B8">
      <w:pPr>
        <w:spacing w:before="120" w:after="120" w:line="240" w:lineRule="atLeast"/>
        <w:rPr>
          <w:rFonts w:cs="Arial"/>
          <w:szCs w:val="20"/>
        </w:rPr>
      </w:pPr>
      <w:r>
        <w:rPr>
          <w:rFonts w:cs="Arial"/>
          <w:noProof/>
          <w:szCs w:val="20"/>
        </w:rPr>
        <w:drawing>
          <wp:inline distT="0" distB="0" distL="0" distR="0" wp14:anchorId="69BEFC52" wp14:editId="5EE2B88B">
            <wp:extent cx="6280150" cy="3594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0150" cy="3594100"/>
                    </a:xfrm>
                    <a:prstGeom prst="rect">
                      <a:avLst/>
                    </a:prstGeom>
                    <a:noFill/>
                  </pic:spPr>
                </pic:pic>
              </a:graphicData>
            </a:graphic>
          </wp:inline>
        </w:drawing>
      </w:r>
    </w:p>
    <w:p w14:paraId="74CDB53F" w14:textId="77777777" w:rsidR="008E74B8" w:rsidRPr="000254B2" w:rsidRDefault="008E74B8" w:rsidP="008E74B8">
      <w:pPr>
        <w:spacing w:before="120" w:after="120" w:line="240" w:lineRule="atLeast"/>
        <w:rPr>
          <w:rFonts w:cs="Arial"/>
          <w:szCs w:val="20"/>
        </w:rPr>
      </w:pPr>
    </w:p>
    <w:p w14:paraId="12AF2D39" w14:textId="77777777" w:rsidR="008E74B8" w:rsidRPr="000254B2" w:rsidRDefault="008E74B8" w:rsidP="008E74B8">
      <w:pPr>
        <w:spacing w:before="120" w:after="120" w:line="240" w:lineRule="atLeast"/>
        <w:rPr>
          <w:rFonts w:cs="Arial"/>
          <w:szCs w:val="20"/>
        </w:rPr>
      </w:pPr>
      <w:r>
        <w:rPr>
          <w:rFonts w:cs="Arial"/>
          <w:noProof/>
          <w:szCs w:val="20"/>
        </w:rPr>
        <w:drawing>
          <wp:inline distT="0" distB="0" distL="0" distR="0" wp14:anchorId="3ACE95C5" wp14:editId="22548846">
            <wp:extent cx="6248400" cy="389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8400" cy="3892550"/>
                    </a:xfrm>
                    <a:prstGeom prst="rect">
                      <a:avLst/>
                    </a:prstGeom>
                    <a:noFill/>
                  </pic:spPr>
                </pic:pic>
              </a:graphicData>
            </a:graphic>
          </wp:inline>
        </w:drawing>
      </w:r>
    </w:p>
    <w:p w14:paraId="65669695" w14:textId="77777777" w:rsidR="008E74B8" w:rsidRPr="000254B2" w:rsidRDefault="008E74B8" w:rsidP="008E74B8">
      <w:pPr>
        <w:spacing w:before="120" w:after="120" w:line="240" w:lineRule="atLeast"/>
        <w:rPr>
          <w:rFonts w:cs="Arial"/>
          <w:szCs w:val="20"/>
        </w:rPr>
      </w:pPr>
    </w:p>
    <w:p w14:paraId="2BABB8C8" w14:textId="77777777" w:rsidR="008E74B8" w:rsidRPr="000254B2" w:rsidRDefault="008E74B8" w:rsidP="008E74B8">
      <w:pPr>
        <w:spacing w:before="120" w:after="120" w:line="240" w:lineRule="atLeast"/>
        <w:rPr>
          <w:rFonts w:cs="Arial"/>
          <w:szCs w:val="20"/>
        </w:rPr>
      </w:pPr>
      <w:r>
        <w:rPr>
          <w:rFonts w:cs="Arial"/>
          <w:noProof/>
          <w:szCs w:val="20"/>
        </w:rPr>
        <w:lastRenderedPageBreak/>
        <w:drawing>
          <wp:inline distT="0" distB="0" distL="0" distR="0" wp14:anchorId="1FFCB9E0" wp14:editId="1C9E87D7">
            <wp:extent cx="6254750" cy="3638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54750" cy="3638550"/>
                    </a:xfrm>
                    <a:prstGeom prst="rect">
                      <a:avLst/>
                    </a:prstGeom>
                    <a:noFill/>
                  </pic:spPr>
                </pic:pic>
              </a:graphicData>
            </a:graphic>
          </wp:inline>
        </w:drawing>
      </w:r>
    </w:p>
    <w:p w14:paraId="75DCA4A6" w14:textId="77777777" w:rsidR="008E74B8" w:rsidRPr="000254B2" w:rsidRDefault="008E74B8" w:rsidP="008E74B8">
      <w:pPr>
        <w:spacing w:before="120" w:after="120" w:line="240" w:lineRule="atLeast"/>
        <w:rPr>
          <w:rFonts w:cs="Arial"/>
          <w:szCs w:val="20"/>
        </w:rPr>
      </w:pPr>
    </w:p>
    <w:p w14:paraId="2CA565E6" w14:textId="22CB0766" w:rsidR="008E74B8" w:rsidRPr="000254B2" w:rsidRDefault="008E74B8" w:rsidP="008E74B8">
      <w:pPr>
        <w:rPr>
          <w:rFonts w:cs="Arial"/>
          <w:b/>
          <w:szCs w:val="20"/>
        </w:rPr>
      </w:pPr>
      <w:bookmarkStart w:id="6" w:name="_Hlk33210935"/>
      <w:r>
        <w:rPr>
          <w:rFonts w:cs="Arial"/>
          <w:b/>
          <w:noProof/>
          <w:szCs w:val="20"/>
        </w:rPr>
        <w:drawing>
          <wp:inline distT="0" distB="0" distL="0" distR="0" wp14:anchorId="1629E2ED" wp14:editId="5FF35159">
            <wp:extent cx="6267450" cy="368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3683000"/>
                    </a:xfrm>
                    <a:prstGeom prst="rect">
                      <a:avLst/>
                    </a:prstGeom>
                    <a:noFill/>
                  </pic:spPr>
                </pic:pic>
              </a:graphicData>
            </a:graphic>
          </wp:inline>
        </w:drawing>
      </w:r>
    </w:p>
    <w:p w14:paraId="6042EA1E" w14:textId="77777777" w:rsidR="008E74B8" w:rsidRPr="00DF1A05" w:rsidRDefault="008E74B8" w:rsidP="008E74B8">
      <w:pPr>
        <w:numPr>
          <w:ilvl w:val="0"/>
          <w:numId w:val="4"/>
        </w:numPr>
        <w:spacing w:before="120" w:after="120" w:line="240" w:lineRule="atLeast"/>
        <w:ind w:left="0" w:firstLine="0"/>
        <w:rPr>
          <w:rFonts w:cs="Arial"/>
          <w:strike/>
          <w:szCs w:val="20"/>
        </w:rPr>
      </w:pPr>
      <w:r w:rsidRPr="000254B2">
        <w:rPr>
          <w:rFonts w:eastAsia="Times New Roman" w:cs="Arial"/>
          <w:szCs w:val="20"/>
          <w:lang w:eastAsia="fr-FR"/>
        </w:rPr>
        <w:t xml:space="preserve">As regards Joint Programmes’ </w:t>
      </w:r>
      <w:r w:rsidRPr="000254B2">
        <w:rPr>
          <w:rFonts w:eastAsia="Times New Roman" w:cs="Arial"/>
          <w:b/>
          <w:bCs/>
          <w:szCs w:val="20"/>
          <w:lang w:eastAsia="fr-FR"/>
        </w:rPr>
        <w:t>geographical distribution</w:t>
      </w:r>
      <w:r w:rsidRPr="000254B2">
        <w:rPr>
          <w:rFonts w:eastAsia="Times New Roman" w:cs="Arial"/>
          <w:szCs w:val="20"/>
          <w:lang w:eastAsia="fr-FR"/>
        </w:rPr>
        <w:t>:</w:t>
      </w:r>
      <w:r>
        <w:rPr>
          <w:rFonts w:eastAsia="Times New Roman" w:cs="Arial"/>
          <w:szCs w:val="20"/>
          <w:lang w:eastAsia="fr-FR"/>
        </w:rPr>
        <w:t xml:space="preserve"> </w:t>
      </w:r>
    </w:p>
    <w:p w14:paraId="021C5845" w14:textId="77777777" w:rsidR="008E74B8" w:rsidRPr="001C2589" w:rsidRDefault="008E74B8" w:rsidP="008E74B8">
      <w:pPr>
        <w:pStyle w:val="ListParagraph"/>
        <w:numPr>
          <w:ilvl w:val="0"/>
          <w:numId w:val="6"/>
        </w:numPr>
        <w:spacing w:before="120" w:after="120" w:line="240" w:lineRule="atLeast"/>
        <w:rPr>
          <w:rFonts w:cs="Arial"/>
          <w:szCs w:val="20"/>
        </w:rPr>
      </w:pPr>
      <w:bookmarkStart w:id="7" w:name="_Hlk64448348"/>
      <w:r w:rsidRPr="000254B2">
        <w:rPr>
          <w:rFonts w:ascii="Arial" w:eastAsia="Times New Roman" w:hAnsi="Arial" w:cs="Arial"/>
          <w:sz w:val="20"/>
          <w:szCs w:val="20"/>
          <w:lang w:eastAsia="fr-FR"/>
        </w:rPr>
        <w:t>In line with the long-lasting trend, more than half of the Joint Programmes</w:t>
      </w:r>
      <w:r>
        <w:rPr>
          <w:rFonts w:ascii="Arial" w:eastAsia="Times New Roman" w:hAnsi="Arial" w:cs="Arial"/>
          <w:sz w:val="20"/>
          <w:szCs w:val="20"/>
          <w:lang w:eastAsia="fr-FR"/>
        </w:rPr>
        <w:t>'</w:t>
      </w:r>
      <w:r w:rsidRPr="000254B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annualised </w:t>
      </w:r>
      <w:r w:rsidRPr="000254B2">
        <w:rPr>
          <w:rFonts w:ascii="Arial" w:eastAsia="Times New Roman" w:hAnsi="Arial" w:cs="Arial"/>
          <w:sz w:val="20"/>
          <w:szCs w:val="20"/>
          <w:lang w:eastAsia="fr-FR"/>
        </w:rPr>
        <w:t xml:space="preserve">financial volume </w:t>
      </w:r>
      <w:r>
        <w:rPr>
          <w:rFonts w:ascii="Arial" w:eastAsia="Times New Roman" w:hAnsi="Arial" w:cs="Arial"/>
          <w:sz w:val="20"/>
          <w:szCs w:val="20"/>
          <w:lang w:eastAsia="fr-FR"/>
        </w:rPr>
        <w:t xml:space="preserve">continued to be </w:t>
      </w:r>
      <w:r w:rsidRPr="000254B2">
        <w:rPr>
          <w:rFonts w:ascii="Arial" w:eastAsia="Times New Roman" w:hAnsi="Arial" w:cs="Arial"/>
          <w:sz w:val="20"/>
          <w:szCs w:val="20"/>
          <w:lang w:eastAsia="fr-FR"/>
        </w:rPr>
        <w:t xml:space="preserve">channelled to </w:t>
      </w:r>
      <w:r>
        <w:rPr>
          <w:rFonts w:ascii="Arial" w:eastAsia="Times New Roman" w:hAnsi="Arial" w:cs="Arial"/>
          <w:sz w:val="20"/>
          <w:szCs w:val="20"/>
          <w:lang w:eastAsia="fr-FR"/>
        </w:rPr>
        <w:t xml:space="preserve">the </w:t>
      </w:r>
      <w:r w:rsidRPr="000254B2">
        <w:rPr>
          <w:rFonts w:ascii="Arial" w:eastAsia="Times New Roman" w:hAnsi="Arial" w:cs="Arial"/>
          <w:sz w:val="20"/>
          <w:szCs w:val="20"/>
          <w:lang w:eastAsia="fr-FR"/>
        </w:rPr>
        <w:t xml:space="preserve">co-operation in </w:t>
      </w:r>
      <w:r w:rsidRPr="000254B2">
        <w:rPr>
          <w:rFonts w:ascii="Arial" w:eastAsia="Times New Roman" w:hAnsi="Arial" w:cs="Arial"/>
          <w:b/>
          <w:bCs/>
          <w:sz w:val="20"/>
          <w:szCs w:val="20"/>
          <w:lang w:eastAsia="fr-FR"/>
        </w:rPr>
        <w:t>South-East Europe, Türkiye, Eastern Europe</w:t>
      </w:r>
      <w:r>
        <w:rPr>
          <w:rFonts w:ascii="Arial" w:eastAsia="Times New Roman" w:hAnsi="Arial" w:cs="Arial"/>
          <w:b/>
          <w:bCs/>
          <w:sz w:val="20"/>
          <w:szCs w:val="20"/>
          <w:lang w:eastAsia="fr-FR"/>
        </w:rPr>
        <w:t xml:space="preserve"> (Ukraine and the Republic of Moldova)</w:t>
      </w:r>
      <w:r w:rsidRPr="000254B2">
        <w:rPr>
          <w:rFonts w:ascii="Arial" w:eastAsia="Times New Roman" w:hAnsi="Arial" w:cs="Arial"/>
          <w:b/>
          <w:bCs/>
          <w:sz w:val="20"/>
          <w:szCs w:val="20"/>
          <w:lang w:eastAsia="fr-FR"/>
        </w:rPr>
        <w:t xml:space="preserve"> and the</w:t>
      </w:r>
      <w:r>
        <w:rPr>
          <w:rFonts w:ascii="Arial" w:eastAsia="Times New Roman" w:hAnsi="Arial" w:cs="Arial"/>
          <w:b/>
          <w:bCs/>
          <w:sz w:val="20"/>
          <w:szCs w:val="20"/>
          <w:lang w:eastAsia="fr-FR"/>
        </w:rPr>
        <w:t xml:space="preserve"> </w:t>
      </w:r>
      <w:r w:rsidRPr="000254B2">
        <w:rPr>
          <w:rFonts w:ascii="Arial" w:eastAsia="Times New Roman" w:hAnsi="Arial" w:cs="Arial"/>
          <w:b/>
          <w:bCs/>
          <w:sz w:val="20"/>
          <w:szCs w:val="20"/>
          <w:lang w:eastAsia="fr-FR"/>
        </w:rPr>
        <w:t>South Caucasus</w:t>
      </w:r>
      <w:r w:rsidRPr="000254B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54% of ABE 2023; </w:t>
      </w:r>
      <w:r w:rsidRPr="000254B2">
        <w:rPr>
          <w:rFonts w:ascii="Arial" w:hAnsi="Arial" w:cs="Arial"/>
          <w:sz w:val="20"/>
          <w:szCs w:val="20"/>
        </w:rPr>
        <w:t>€</w:t>
      </w:r>
      <w:r>
        <w:rPr>
          <w:rFonts w:ascii="Arial" w:hAnsi="Arial" w:cs="Arial"/>
          <w:sz w:val="20"/>
          <w:szCs w:val="20"/>
        </w:rPr>
        <w:t>29.5</w:t>
      </w:r>
      <w:r w:rsidRPr="000254B2">
        <w:rPr>
          <w:rFonts w:ascii="Arial" w:hAnsi="Arial" w:cs="Arial"/>
          <w:sz w:val="20"/>
          <w:szCs w:val="20"/>
        </w:rPr>
        <w:t xml:space="preserve"> </w:t>
      </w:r>
      <w:r w:rsidRPr="000254B2">
        <w:rPr>
          <w:rFonts w:ascii="Arial" w:eastAsia="Times New Roman" w:hAnsi="Arial" w:cs="Arial"/>
          <w:sz w:val="20"/>
          <w:szCs w:val="20"/>
          <w:lang w:eastAsia="fr-FR"/>
        </w:rPr>
        <w:t>million in annualised figures</w:t>
      </w:r>
      <w:r w:rsidRPr="000254B2">
        <w:rPr>
          <w:rFonts w:ascii="Arial" w:eastAsia="Times New Roman" w:hAnsi="Arial" w:cs="Arial"/>
          <w:sz w:val="20"/>
          <w:szCs w:val="20"/>
          <w:vertAlign w:val="superscript"/>
          <w:lang w:eastAsia="fr-FR"/>
        </w:rPr>
        <w:footnoteReference w:id="8"/>
      </w:r>
      <w:r w:rsidRPr="000254B2">
        <w:rPr>
          <w:rFonts w:ascii="Arial" w:eastAsia="Times New Roman" w:hAnsi="Arial" w:cs="Arial"/>
          <w:sz w:val="20"/>
          <w:szCs w:val="20"/>
          <w:lang w:eastAsia="fr-FR"/>
        </w:rPr>
        <w:t>)</w:t>
      </w:r>
      <w:r>
        <w:rPr>
          <w:rFonts w:ascii="Arial" w:eastAsia="Times New Roman" w:hAnsi="Arial" w:cs="Arial"/>
          <w:sz w:val="20"/>
          <w:szCs w:val="20"/>
          <w:lang w:eastAsia="fr-FR"/>
        </w:rPr>
        <w:t xml:space="preserve">, with </w:t>
      </w:r>
      <w:r w:rsidRPr="000254B2">
        <w:rPr>
          <w:rFonts w:ascii="Arial" w:eastAsia="Times New Roman" w:hAnsi="Arial" w:cs="Arial"/>
          <w:sz w:val="20"/>
          <w:szCs w:val="20"/>
          <w:lang w:eastAsia="fr-FR"/>
        </w:rPr>
        <w:t>South-East Europe and Türkiye benefit</w:t>
      </w:r>
      <w:r>
        <w:rPr>
          <w:rFonts w:ascii="Arial" w:eastAsia="Times New Roman" w:hAnsi="Arial" w:cs="Arial"/>
          <w:sz w:val="20"/>
          <w:szCs w:val="20"/>
          <w:lang w:eastAsia="fr-FR"/>
        </w:rPr>
        <w:t>ting</w:t>
      </w:r>
      <w:r w:rsidRPr="000254B2">
        <w:rPr>
          <w:rFonts w:ascii="Arial" w:eastAsia="Times New Roman" w:hAnsi="Arial" w:cs="Arial"/>
          <w:sz w:val="20"/>
          <w:szCs w:val="20"/>
          <w:lang w:eastAsia="fr-FR"/>
        </w:rPr>
        <w:t xml:space="preserve"> of the </w:t>
      </w:r>
      <w:r>
        <w:rPr>
          <w:rFonts w:ascii="Arial" w:eastAsia="Times New Roman" w:hAnsi="Arial" w:cs="Arial"/>
          <w:sz w:val="20"/>
          <w:szCs w:val="20"/>
          <w:lang w:eastAsia="fr-FR"/>
        </w:rPr>
        <w:t>considerably larger</w:t>
      </w:r>
      <w:r w:rsidRPr="000254B2">
        <w:rPr>
          <w:rFonts w:ascii="Arial" w:eastAsia="Times New Roman" w:hAnsi="Arial" w:cs="Arial"/>
          <w:sz w:val="20"/>
          <w:szCs w:val="20"/>
          <w:lang w:eastAsia="fr-FR"/>
        </w:rPr>
        <w:t xml:space="preserve"> financial injections</w:t>
      </w:r>
      <w:r>
        <w:rPr>
          <w:rFonts w:ascii="Arial" w:eastAsia="Times New Roman" w:hAnsi="Arial" w:cs="Arial"/>
          <w:sz w:val="20"/>
          <w:szCs w:val="20"/>
          <w:lang w:eastAsia="fr-FR"/>
        </w:rPr>
        <w:t>.</w:t>
      </w:r>
      <w:r w:rsidRPr="000254B2">
        <w:rPr>
          <w:rFonts w:ascii="Arial" w:eastAsia="Times New Roman" w:hAnsi="Arial" w:cs="Arial"/>
          <w:sz w:val="20"/>
          <w:szCs w:val="20"/>
          <w:lang w:eastAsia="fr-FR"/>
        </w:rPr>
        <w:t xml:space="preserve"> </w:t>
      </w:r>
      <w:r w:rsidRPr="000254B2">
        <w:rPr>
          <w:rFonts w:ascii="Arial" w:hAnsi="Arial" w:cs="Arial"/>
          <w:sz w:val="20"/>
          <w:szCs w:val="20"/>
        </w:rPr>
        <w:t>In</w:t>
      </w:r>
      <w:r>
        <w:rPr>
          <w:rFonts w:ascii="Arial" w:hAnsi="Arial" w:cs="Arial"/>
          <w:sz w:val="20"/>
          <w:szCs w:val="20"/>
        </w:rPr>
        <w:t xml:space="preserve"> both regions, </w:t>
      </w:r>
      <w:r w:rsidRPr="000254B2">
        <w:rPr>
          <w:rFonts w:ascii="Arial" w:hAnsi="Arial" w:cs="Arial"/>
          <w:sz w:val="20"/>
          <w:szCs w:val="20"/>
        </w:rPr>
        <w:t xml:space="preserve">the </w:t>
      </w:r>
      <w:r>
        <w:rPr>
          <w:rFonts w:ascii="Arial" w:hAnsi="Arial" w:cs="Arial"/>
          <w:sz w:val="20"/>
          <w:szCs w:val="20"/>
        </w:rPr>
        <w:t xml:space="preserve">dedicated </w:t>
      </w:r>
      <w:r w:rsidRPr="000254B2">
        <w:rPr>
          <w:rFonts w:ascii="Arial" w:hAnsi="Arial" w:cs="Arial"/>
          <w:sz w:val="20"/>
          <w:szCs w:val="20"/>
        </w:rPr>
        <w:t>programmatic facilities (“Partnership for Good Governance” and “Horizon</w:t>
      </w:r>
      <w:r>
        <w:rPr>
          <w:rFonts w:ascii="Arial" w:hAnsi="Arial" w:cs="Arial"/>
          <w:sz w:val="20"/>
          <w:szCs w:val="20"/>
        </w:rPr>
        <w:t>t</w:t>
      </w:r>
      <w:r w:rsidRPr="000254B2">
        <w:rPr>
          <w:rFonts w:ascii="Arial" w:hAnsi="Arial" w:cs="Arial"/>
          <w:sz w:val="20"/>
          <w:szCs w:val="20"/>
        </w:rPr>
        <w:t xml:space="preserve">al Facility for the Western Balkans and Türkiye”) remained </w:t>
      </w:r>
      <w:r>
        <w:rPr>
          <w:rFonts w:ascii="Arial" w:hAnsi="Arial" w:cs="Arial"/>
          <w:sz w:val="20"/>
          <w:szCs w:val="20"/>
        </w:rPr>
        <w:t xml:space="preserve">the cornerstone of the co-operation architecture; in parallel, the increased efforts have been deployed to complement these with the </w:t>
      </w:r>
      <w:r w:rsidRPr="000254B2">
        <w:rPr>
          <w:rFonts w:ascii="Arial" w:hAnsi="Arial" w:cs="Arial"/>
          <w:sz w:val="20"/>
          <w:szCs w:val="20"/>
        </w:rPr>
        <w:t xml:space="preserve">individual Joint Programmes, regional and </w:t>
      </w:r>
      <w:r>
        <w:rPr>
          <w:rFonts w:ascii="Arial" w:hAnsi="Arial" w:cs="Arial"/>
          <w:sz w:val="20"/>
          <w:szCs w:val="20"/>
        </w:rPr>
        <w:t>Beneficiary</w:t>
      </w:r>
      <w:r w:rsidRPr="000254B2">
        <w:rPr>
          <w:rFonts w:ascii="Arial" w:hAnsi="Arial" w:cs="Arial"/>
          <w:sz w:val="20"/>
          <w:szCs w:val="20"/>
        </w:rPr>
        <w:t>-specific</w:t>
      </w:r>
      <w:r>
        <w:rPr>
          <w:rFonts w:ascii="Arial" w:hAnsi="Arial" w:cs="Arial"/>
          <w:sz w:val="20"/>
          <w:szCs w:val="20"/>
        </w:rPr>
        <w:t xml:space="preserve">. In this respect, it is important to mention the speedy negotiation and launch of </w:t>
      </w:r>
      <w:r>
        <w:rPr>
          <w:rFonts w:ascii="Arial" w:hAnsi="Arial" w:cs="Arial"/>
          <w:sz w:val="20"/>
          <w:szCs w:val="20"/>
        </w:rPr>
        <w:lastRenderedPageBreak/>
        <w:t>a new Beneficiary-specific programme for Ukraine, supporting the implementation of the standards on anti-discrimination and the rights of the persons belonging to the national minorities, and a new programme for the Republic of Moldova, focusing on the reform of the justice system in the country. Moreover,</w:t>
      </w:r>
      <w:r w:rsidRPr="000254B2">
        <w:rPr>
          <w:rFonts w:ascii="Arial" w:hAnsi="Arial" w:cs="Arial"/>
          <w:sz w:val="20"/>
          <w:szCs w:val="20"/>
        </w:rPr>
        <w:t xml:space="preserve"> </w:t>
      </w:r>
      <w:r>
        <w:rPr>
          <w:rFonts w:ascii="Arial" w:hAnsi="Arial" w:cs="Arial"/>
          <w:sz w:val="20"/>
          <w:szCs w:val="20"/>
        </w:rPr>
        <w:t xml:space="preserve">a </w:t>
      </w:r>
      <w:r w:rsidRPr="000254B2">
        <w:rPr>
          <w:rFonts w:ascii="Arial" w:hAnsi="Arial" w:cs="Arial"/>
          <w:sz w:val="20"/>
          <w:szCs w:val="20"/>
        </w:rPr>
        <w:t>new regional J</w:t>
      </w:r>
      <w:r>
        <w:rPr>
          <w:rFonts w:ascii="Arial" w:hAnsi="Arial" w:cs="Arial"/>
          <w:sz w:val="20"/>
          <w:szCs w:val="20"/>
        </w:rPr>
        <w:t xml:space="preserve">P </w:t>
      </w:r>
      <w:r w:rsidRPr="000254B2">
        <w:rPr>
          <w:rFonts w:ascii="Arial" w:hAnsi="Arial" w:cs="Arial"/>
          <w:sz w:val="20"/>
          <w:szCs w:val="20"/>
        </w:rPr>
        <w:t>on Roma integration</w:t>
      </w:r>
      <w:r>
        <w:rPr>
          <w:rFonts w:ascii="Arial" w:hAnsi="Arial" w:cs="Arial"/>
          <w:sz w:val="20"/>
          <w:szCs w:val="20"/>
        </w:rPr>
        <w:t xml:space="preserve"> has begun implementation in </w:t>
      </w:r>
      <w:r w:rsidRPr="000254B2">
        <w:rPr>
          <w:rFonts w:ascii="Arial" w:hAnsi="Arial" w:cs="Arial"/>
          <w:sz w:val="20"/>
          <w:szCs w:val="20"/>
        </w:rPr>
        <w:t>South-East Europe and Türkiye</w:t>
      </w:r>
      <w:r>
        <w:rPr>
          <w:rFonts w:ascii="Arial" w:hAnsi="Arial" w:cs="Arial"/>
          <w:sz w:val="20"/>
          <w:szCs w:val="20"/>
        </w:rPr>
        <w:t xml:space="preserve">. Furthermore, active negotiations on the next phases of the regional programmes i-Proceeds /CyberSEE and CyberEast continued throughout 2023, </w:t>
      </w:r>
      <w:r w:rsidRPr="008A4650">
        <w:rPr>
          <w:rFonts w:ascii="Arial" w:hAnsi="Arial" w:cs="Arial"/>
          <w:sz w:val="20"/>
          <w:szCs w:val="20"/>
        </w:rPr>
        <w:t xml:space="preserve">with signatures foreseen in early 2024. </w:t>
      </w:r>
      <w:r w:rsidRPr="000254B2">
        <w:rPr>
          <w:rFonts w:ascii="Arial" w:hAnsi="Arial" w:cs="Arial"/>
          <w:sz w:val="20"/>
          <w:szCs w:val="20"/>
        </w:rPr>
        <w:t xml:space="preserve">While </w:t>
      </w:r>
      <w:bookmarkStart w:id="8" w:name="_Hlk127285351"/>
      <w:r w:rsidRPr="000254B2">
        <w:rPr>
          <w:rFonts w:ascii="Arial" w:hAnsi="Arial" w:cs="Arial"/>
          <w:sz w:val="20"/>
          <w:szCs w:val="20"/>
        </w:rPr>
        <w:t xml:space="preserve">Türkiye </w:t>
      </w:r>
      <w:bookmarkEnd w:id="8"/>
      <w:r w:rsidRPr="000254B2">
        <w:rPr>
          <w:rFonts w:ascii="Arial" w:hAnsi="Arial" w:cs="Arial"/>
          <w:sz w:val="20"/>
          <w:szCs w:val="20"/>
        </w:rPr>
        <w:t>is part of the corresponding programmatic facility, the large-scale co</w:t>
      </w:r>
      <w:r>
        <w:rPr>
          <w:rFonts w:ascii="Arial" w:hAnsi="Arial" w:cs="Arial"/>
          <w:sz w:val="20"/>
          <w:szCs w:val="20"/>
        </w:rPr>
        <w:t>-</w:t>
      </w:r>
      <w:r w:rsidRPr="000254B2">
        <w:rPr>
          <w:rFonts w:ascii="Arial" w:hAnsi="Arial" w:cs="Arial"/>
          <w:sz w:val="20"/>
          <w:szCs w:val="20"/>
        </w:rPr>
        <w:t xml:space="preserve">operation continued here primarily </w:t>
      </w:r>
      <w:r>
        <w:rPr>
          <w:rFonts w:ascii="Arial" w:hAnsi="Arial" w:cs="Arial"/>
          <w:sz w:val="20"/>
          <w:szCs w:val="20"/>
        </w:rPr>
        <w:t>based on</w:t>
      </w:r>
      <w:r w:rsidRPr="000254B2">
        <w:rPr>
          <w:rFonts w:ascii="Arial" w:hAnsi="Arial" w:cs="Arial"/>
          <w:sz w:val="20"/>
          <w:szCs w:val="20"/>
        </w:rPr>
        <w:t xml:space="preserve"> country-specific </w:t>
      </w:r>
      <w:r w:rsidRPr="00A94A01">
        <w:rPr>
          <w:rFonts w:ascii="Arial" w:hAnsi="Arial" w:cs="Arial"/>
          <w:sz w:val="20"/>
          <w:szCs w:val="20"/>
        </w:rPr>
        <w:t>funds (</w:t>
      </w:r>
      <w:r>
        <w:rPr>
          <w:rFonts w:ascii="Arial" w:hAnsi="Arial" w:cs="Arial"/>
          <w:sz w:val="20"/>
          <w:szCs w:val="20"/>
        </w:rPr>
        <w:t>seven</w:t>
      </w:r>
      <w:r w:rsidRPr="00A94A01">
        <w:rPr>
          <w:rFonts w:ascii="Arial" w:hAnsi="Arial" w:cs="Arial"/>
          <w:sz w:val="20"/>
          <w:szCs w:val="20"/>
        </w:rPr>
        <w:t xml:space="preserve"> individual programmes in 202</w:t>
      </w:r>
      <w:r>
        <w:rPr>
          <w:rFonts w:ascii="Arial" w:hAnsi="Arial" w:cs="Arial"/>
          <w:sz w:val="20"/>
          <w:szCs w:val="20"/>
        </w:rPr>
        <w:t>3</w:t>
      </w:r>
      <w:r w:rsidRPr="00A94A01">
        <w:rPr>
          <w:rFonts w:ascii="Arial" w:eastAsia="Times New Roman" w:hAnsi="Arial" w:cs="Arial"/>
          <w:sz w:val="20"/>
          <w:szCs w:val="20"/>
          <w:lang w:eastAsia="fr-FR"/>
        </w:rPr>
        <w:t>)</w:t>
      </w:r>
      <w:r w:rsidRPr="00A94A01">
        <w:rPr>
          <w:rFonts w:ascii="Arial" w:hAnsi="Arial" w:cs="Arial"/>
          <w:sz w:val="20"/>
          <w:szCs w:val="20"/>
        </w:rPr>
        <w:t>.</w:t>
      </w:r>
      <w:r w:rsidRPr="000254B2">
        <w:rPr>
          <w:rFonts w:ascii="Arial" w:hAnsi="Arial" w:cs="Arial"/>
          <w:sz w:val="20"/>
          <w:szCs w:val="20"/>
        </w:rPr>
        <w:t xml:space="preserve"> </w:t>
      </w:r>
      <w:r>
        <w:rPr>
          <w:rFonts w:ascii="Arial" w:hAnsi="Arial" w:cs="Arial"/>
          <w:sz w:val="20"/>
          <w:szCs w:val="20"/>
        </w:rPr>
        <w:t>T</w:t>
      </w:r>
      <w:r w:rsidRPr="000254B2">
        <w:rPr>
          <w:rFonts w:ascii="Arial" w:hAnsi="Arial" w:cs="Arial"/>
          <w:sz w:val="20"/>
          <w:szCs w:val="20"/>
        </w:rPr>
        <w:t>he exhaustive list of the programmes of relevance to both geographical regions</w:t>
      </w:r>
      <w:r>
        <w:rPr>
          <w:rFonts w:ascii="Arial" w:hAnsi="Arial" w:cs="Arial"/>
          <w:sz w:val="20"/>
          <w:szCs w:val="20"/>
        </w:rPr>
        <w:t xml:space="preserve"> is presented </w:t>
      </w:r>
      <w:r w:rsidRPr="000254B2">
        <w:rPr>
          <w:rFonts w:ascii="Arial" w:hAnsi="Arial" w:cs="Arial"/>
          <w:sz w:val="20"/>
          <w:szCs w:val="20"/>
        </w:rPr>
        <w:t>in Appendi</w:t>
      </w:r>
      <w:r>
        <w:rPr>
          <w:rFonts w:ascii="Arial" w:hAnsi="Arial" w:cs="Arial"/>
          <w:sz w:val="20"/>
          <w:szCs w:val="20"/>
        </w:rPr>
        <w:t xml:space="preserve">x I. </w:t>
      </w:r>
      <w:r w:rsidRPr="000254B2">
        <w:rPr>
          <w:rFonts w:ascii="Arial" w:hAnsi="Arial" w:cs="Arial"/>
          <w:sz w:val="20"/>
          <w:szCs w:val="20"/>
        </w:rPr>
        <w:t>Information on the</w:t>
      </w:r>
      <w:r>
        <w:rPr>
          <w:rFonts w:ascii="Arial" w:hAnsi="Arial" w:cs="Arial"/>
          <w:sz w:val="20"/>
          <w:szCs w:val="20"/>
        </w:rPr>
        <w:t xml:space="preserve"> results under the </w:t>
      </w:r>
      <w:r w:rsidRPr="000254B2">
        <w:rPr>
          <w:rFonts w:ascii="Arial" w:hAnsi="Arial" w:cs="Arial"/>
          <w:sz w:val="20"/>
          <w:szCs w:val="20"/>
        </w:rPr>
        <w:t>facilitie</w:t>
      </w:r>
      <w:r>
        <w:rPr>
          <w:rFonts w:ascii="Arial" w:hAnsi="Arial" w:cs="Arial"/>
          <w:sz w:val="20"/>
          <w:szCs w:val="20"/>
        </w:rPr>
        <w:t xml:space="preserve">s and other geographical Joint Programmes </w:t>
      </w:r>
      <w:r w:rsidRPr="000254B2">
        <w:rPr>
          <w:rFonts w:ascii="Arial" w:hAnsi="Arial" w:cs="Arial"/>
          <w:sz w:val="20"/>
          <w:szCs w:val="20"/>
        </w:rPr>
        <w:t>can be found in Section III</w:t>
      </w:r>
      <w:r>
        <w:rPr>
          <w:rFonts w:ascii="Arial" w:hAnsi="Arial" w:cs="Arial"/>
          <w:sz w:val="20"/>
          <w:szCs w:val="20"/>
        </w:rPr>
        <w:t xml:space="preserve">. </w:t>
      </w:r>
    </w:p>
    <w:p w14:paraId="1472FA9A" w14:textId="77777777" w:rsidR="008E74B8" w:rsidRPr="00DF1A05" w:rsidRDefault="008E74B8" w:rsidP="008E74B8">
      <w:pPr>
        <w:pStyle w:val="ListParagraph"/>
        <w:numPr>
          <w:ilvl w:val="0"/>
          <w:numId w:val="6"/>
        </w:numPr>
        <w:spacing w:before="120" w:after="120" w:line="240" w:lineRule="atLeast"/>
        <w:rPr>
          <w:rFonts w:ascii="Arial" w:hAnsi="Arial" w:cs="Arial"/>
          <w:color w:val="000000" w:themeColor="text1"/>
          <w:sz w:val="20"/>
          <w:szCs w:val="20"/>
        </w:rPr>
      </w:pPr>
      <w:bookmarkStart w:id="9" w:name="_Hlk127286284"/>
      <w:r w:rsidRPr="00DF1A05">
        <w:rPr>
          <w:rFonts w:ascii="Arial" w:hAnsi="Arial" w:cs="Arial"/>
          <w:color w:val="000000" w:themeColor="text1"/>
          <w:sz w:val="20"/>
          <w:szCs w:val="20"/>
        </w:rPr>
        <w:t>Importantly, the share of technical assistance programmes targeted at those</w:t>
      </w:r>
      <w:r w:rsidRPr="00DF1A05">
        <w:rPr>
          <w:rFonts w:ascii="Arial" w:hAnsi="Arial" w:cs="Arial"/>
          <w:b/>
          <w:color w:val="000000" w:themeColor="text1"/>
          <w:sz w:val="20"/>
          <w:szCs w:val="20"/>
        </w:rPr>
        <w:t xml:space="preserve"> Council of Europe member States which are also member States of the European Union </w:t>
      </w:r>
      <w:r w:rsidRPr="00DF1A05">
        <w:rPr>
          <w:rFonts w:ascii="Arial" w:hAnsi="Arial" w:cs="Arial"/>
          <w:color w:val="000000" w:themeColor="text1"/>
          <w:sz w:val="20"/>
          <w:szCs w:val="20"/>
        </w:rPr>
        <w:t>continued to progress</w:t>
      </w:r>
      <w:r>
        <w:rPr>
          <w:rFonts w:ascii="Arial" w:hAnsi="Arial" w:cs="Arial"/>
          <w:color w:val="000000" w:themeColor="text1"/>
          <w:sz w:val="20"/>
          <w:szCs w:val="20"/>
        </w:rPr>
        <w:t xml:space="preserve"> </w:t>
      </w:r>
      <w:r w:rsidRPr="00DF1A05">
        <w:rPr>
          <w:rFonts w:ascii="Arial" w:hAnsi="Arial" w:cs="Arial"/>
          <w:color w:val="000000" w:themeColor="text1"/>
          <w:sz w:val="20"/>
          <w:szCs w:val="20"/>
        </w:rPr>
        <w:t xml:space="preserve">(17.8% of ABE 2023; </w:t>
      </w:r>
      <w:bookmarkStart w:id="10" w:name="_Hlk157038289"/>
      <w:r w:rsidRPr="00DF1A05">
        <w:rPr>
          <w:rFonts w:ascii="Arial" w:hAnsi="Arial" w:cs="Arial"/>
          <w:color w:val="000000" w:themeColor="text1"/>
          <w:sz w:val="20"/>
          <w:szCs w:val="20"/>
        </w:rPr>
        <w:t>€</w:t>
      </w:r>
      <w:bookmarkEnd w:id="10"/>
      <w:r w:rsidRPr="00DF1A05">
        <w:rPr>
          <w:rFonts w:ascii="Arial" w:hAnsi="Arial" w:cs="Arial"/>
          <w:color w:val="000000" w:themeColor="text1"/>
          <w:sz w:val="20"/>
          <w:szCs w:val="20"/>
        </w:rPr>
        <w:t>9.7 million in annualised figures), anchoring this strand of programmes at the forefront of the Council of Europe co-operation dimension. The main driver of this development was the structured co</w:t>
      </w:r>
      <w:r>
        <w:rPr>
          <w:rFonts w:ascii="Arial" w:hAnsi="Arial" w:cs="Arial"/>
          <w:color w:val="000000" w:themeColor="text1"/>
          <w:sz w:val="20"/>
          <w:szCs w:val="20"/>
        </w:rPr>
        <w:t>-</w:t>
      </w:r>
      <w:r w:rsidRPr="00DF1A05">
        <w:rPr>
          <w:rFonts w:ascii="Arial" w:hAnsi="Arial" w:cs="Arial"/>
          <w:color w:val="000000" w:themeColor="text1"/>
          <w:sz w:val="20"/>
          <w:szCs w:val="20"/>
        </w:rPr>
        <w:t>operation with DG REFORM under the EU Technical Support Instrument. Four Council of Europe/DG REFORM tri-annual framework agreements, with an overall budget of</w:t>
      </w:r>
      <w:r>
        <w:rPr>
          <w:rFonts w:ascii="Arial" w:hAnsi="Arial" w:cs="Arial"/>
          <w:color w:val="000000" w:themeColor="text1"/>
          <w:sz w:val="20"/>
          <w:szCs w:val="20"/>
        </w:rPr>
        <w:t xml:space="preserve"> </w:t>
      </w:r>
      <w:r w:rsidRPr="00DF1A05">
        <w:rPr>
          <w:rFonts w:ascii="Arial" w:hAnsi="Arial" w:cs="Arial"/>
          <w:color w:val="000000" w:themeColor="text1"/>
          <w:sz w:val="20"/>
          <w:szCs w:val="20"/>
        </w:rPr>
        <w:t>€20.9 million,</w:t>
      </w:r>
      <w:r>
        <w:rPr>
          <w:rFonts w:ascii="Arial" w:hAnsi="Arial" w:cs="Arial"/>
          <w:color w:val="000000" w:themeColor="text1"/>
          <w:sz w:val="20"/>
          <w:szCs w:val="20"/>
        </w:rPr>
        <w:t xml:space="preserve"> </w:t>
      </w:r>
      <w:r w:rsidRPr="00DF1A05">
        <w:rPr>
          <w:rFonts w:ascii="Arial" w:hAnsi="Arial" w:cs="Arial"/>
          <w:color w:val="000000" w:themeColor="text1"/>
          <w:sz w:val="20"/>
          <w:szCs w:val="20"/>
        </w:rPr>
        <w:t>were under implementation in 2023, encompassing</w:t>
      </w:r>
      <w:r>
        <w:rPr>
          <w:rFonts w:ascii="Arial" w:hAnsi="Arial" w:cs="Arial"/>
          <w:color w:val="000000" w:themeColor="text1"/>
          <w:sz w:val="20"/>
          <w:szCs w:val="20"/>
        </w:rPr>
        <w:t xml:space="preserve"> </w:t>
      </w:r>
      <w:r w:rsidRPr="00C423CA">
        <w:rPr>
          <w:rFonts w:ascii="Arial" w:hAnsi="Arial" w:cs="Arial"/>
          <w:color w:val="000000" w:themeColor="text1"/>
          <w:sz w:val="20"/>
          <w:szCs w:val="20"/>
        </w:rPr>
        <w:t>37</w:t>
      </w:r>
      <w:r>
        <w:rPr>
          <w:rFonts w:ascii="Arial" w:hAnsi="Arial" w:cs="Arial"/>
          <w:color w:val="000000" w:themeColor="text1"/>
          <w:sz w:val="20"/>
          <w:szCs w:val="20"/>
        </w:rPr>
        <w:t xml:space="preserve"> </w:t>
      </w:r>
      <w:r w:rsidRPr="00DF1A05">
        <w:rPr>
          <w:rFonts w:ascii="Arial" w:hAnsi="Arial" w:cs="Arial"/>
          <w:color w:val="000000" w:themeColor="text1"/>
          <w:sz w:val="20"/>
          <w:szCs w:val="20"/>
        </w:rPr>
        <w:t>projects in numerous EU member States.</w:t>
      </w:r>
      <w:r>
        <w:rPr>
          <w:rFonts w:ascii="Arial" w:hAnsi="Arial" w:cs="Arial"/>
          <w:color w:val="000000" w:themeColor="text1"/>
          <w:sz w:val="20"/>
          <w:szCs w:val="20"/>
        </w:rPr>
        <w:t xml:space="preserve"> </w:t>
      </w:r>
      <w:r w:rsidRPr="00DF1A05">
        <w:rPr>
          <w:rFonts w:ascii="Arial" w:hAnsi="Arial" w:cs="Arial"/>
          <w:color w:val="000000" w:themeColor="text1"/>
          <w:sz w:val="20"/>
          <w:szCs w:val="20"/>
        </w:rPr>
        <w:t>The preparation of the 2024</w:t>
      </w:r>
      <w:r>
        <w:rPr>
          <w:rFonts w:ascii="Arial" w:hAnsi="Arial" w:cs="Arial"/>
          <w:color w:val="000000" w:themeColor="text1"/>
          <w:sz w:val="20"/>
          <w:szCs w:val="20"/>
        </w:rPr>
        <w:t xml:space="preserve"> </w:t>
      </w:r>
      <w:r w:rsidRPr="00DF1A05">
        <w:rPr>
          <w:rFonts w:ascii="Arial" w:eastAsia="Times New Roman" w:hAnsi="Arial" w:cs="Arial"/>
          <w:color w:val="000000" w:themeColor="text1"/>
          <w:sz w:val="20"/>
          <w:szCs w:val="20"/>
        </w:rPr>
        <w:t>framework agreement started in autumn 2023, with the signature expected in spring 2024.</w:t>
      </w:r>
      <w:r w:rsidRPr="00DF1A05">
        <w:rPr>
          <w:rFonts w:ascii="Arial" w:hAnsi="Arial" w:cs="Arial"/>
          <w:color w:val="000000" w:themeColor="text1"/>
          <w:sz w:val="20"/>
          <w:szCs w:val="20"/>
        </w:rPr>
        <w:t xml:space="preserve"> Moreover, in 2023, cooperation with DG JUST gained momentum,</w:t>
      </w:r>
      <w:r>
        <w:rPr>
          <w:rFonts w:ascii="Arial" w:hAnsi="Arial" w:cs="Arial"/>
          <w:color w:val="000000" w:themeColor="text1"/>
          <w:sz w:val="20"/>
          <w:szCs w:val="20"/>
        </w:rPr>
        <w:t xml:space="preserve"> </w:t>
      </w:r>
      <w:r w:rsidRPr="00DF1A05">
        <w:rPr>
          <w:rFonts w:ascii="Arial" w:hAnsi="Arial" w:cs="Arial"/>
          <w:color w:val="000000" w:themeColor="text1"/>
          <w:sz w:val="20"/>
          <w:szCs w:val="20"/>
        </w:rPr>
        <w:t xml:space="preserve">with </w:t>
      </w:r>
      <w:r>
        <w:rPr>
          <w:rFonts w:ascii="Arial" w:hAnsi="Arial" w:cs="Arial"/>
          <w:color w:val="000000" w:themeColor="text1"/>
          <w:sz w:val="20"/>
          <w:szCs w:val="20"/>
        </w:rPr>
        <w:t xml:space="preserve">the </w:t>
      </w:r>
      <w:r w:rsidRPr="00DF1A05">
        <w:rPr>
          <w:rFonts w:ascii="Arial" w:hAnsi="Arial" w:cs="Arial"/>
          <w:color w:val="000000" w:themeColor="text1"/>
          <w:sz w:val="20"/>
          <w:szCs w:val="20"/>
        </w:rPr>
        <w:t>signature of the three new sizable programmes to support respectively the combat against anti-LGBTIQ violence, the civil society's capacity to tackle hate speech online, and child-friendly justice. These new programmes join the co-operation undertakings that have been supported by DG JUST for several years, namely HELP-based judicial training programmes (currently implemented programmes</w:t>
      </w:r>
      <w:r>
        <w:rPr>
          <w:rFonts w:ascii="Arial" w:hAnsi="Arial" w:cs="Arial"/>
          <w:color w:val="000000" w:themeColor="text1"/>
          <w:sz w:val="20"/>
          <w:szCs w:val="20"/>
        </w:rPr>
        <w:t xml:space="preserve"> </w:t>
      </w:r>
      <w:r w:rsidRPr="00352406">
        <w:rPr>
          <w:rFonts w:ascii="Arial" w:hAnsi="Arial" w:cs="Arial"/>
          <w:color w:val="000000" w:themeColor="text1"/>
          <w:sz w:val="20"/>
          <w:szCs w:val="20"/>
          <w:lang w:val="en-US" w:eastAsia="en-GB"/>
        </w:rPr>
        <w:t xml:space="preserve">Human Rights Education for Legal Professionals in the European Union - III and Judicial Training on Rule of Law and Fundamental Rights) and work on the rights of Roma (currently implemented </w:t>
      </w:r>
      <w:r w:rsidRPr="00DF1A05">
        <w:rPr>
          <w:rFonts w:ascii="Arial" w:hAnsi="Arial" w:cs="Arial"/>
          <w:color w:val="000000" w:themeColor="text1"/>
          <w:sz w:val="20"/>
          <w:szCs w:val="20"/>
        </w:rPr>
        <w:t>JP</w:t>
      </w:r>
      <w:r>
        <w:rPr>
          <w:rFonts w:ascii="Arial" w:hAnsi="Arial" w:cs="Arial"/>
          <w:color w:val="000000" w:themeColor="text1"/>
          <w:sz w:val="20"/>
          <w:szCs w:val="20"/>
        </w:rPr>
        <w:t xml:space="preserve"> </w:t>
      </w:r>
      <w:r w:rsidRPr="00DF1A05">
        <w:rPr>
          <w:rFonts w:ascii="Arial" w:hAnsi="Arial" w:cs="Arial"/>
          <w:color w:val="000000" w:themeColor="text1"/>
          <w:sz w:val="20"/>
          <w:szCs w:val="20"/>
        </w:rPr>
        <w:t>EQUIROM on equality and freedom from discrimination for Roma). Furthermore, co</w:t>
      </w:r>
      <w:r>
        <w:rPr>
          <w:rFonts w:ascii="Arial" w:hAnsi="Arial" w:cs="Arial"/>
          <w:color w:val="000000" w:themeColor="text1"/>
          <w:sz w:val="20"/>
          <w:szCs w:val="20"/>
        </w:rPr>
        <w:t>-</w:t>
      </w:r>
      <w:r w:rsidRPr="00DF1A05">
        <w:rPr>
          <w:rFonts w:ascii="Arial" w:hAnsi="Arial" w:cs="Arial"/>
          <w:color w:val="000000" w:themeColor="text1"/>
          <w:sz w:val="20"/>
          <w:szCs w:val="20"/>
        </w:rPr>
        <w:t>operation and technical assistance programmes towards EU member States are sustained also thanks to the well-established co</w:t>
      </w:r>
      <w:r>
        <w:rPr>
          <w:rFonts w:ascii="Arial" w:hAnsi="Arial" w:cs="Arial"/>
          <w:color w:val="000000" w:themeColor="text1"/>
          <w:sz w:val="20"/>
          <w:szCs w:val="20"/>
        </w:rPr>
        <w:t>-</w:t>
      </w:r>
      <w:r w:rsidRPr="00DF1A05">
        <w:rPr>
          <w:rFonts w:ascii="Arial" w:hAnsi="Arial" w:cs="Arial"/>
          <w:color w:val="000000" w:themeColor="text1"/>
          <w:sz w:val="20"/>
          <w:szCs w:val="20"/>
        </w:rPr>
        <w:t>operation with DG EMP</w:t>
      </w:r>
      <w:r>
        <w:rPr>
          <w:rFonts w:ascii="Arial" w:hAnsi="Arial" w:cs="Arial"/>
          <w:color w:val="000000" w:themeColor="text1"/>
          <w:sz w:val="20"/>
          <w:szCs w:val="20"/>
        </w:rPr>
        <w:t>L</w:t>
      </w:r>
      <w:r w:rsidRPr="00DF1A05">
        <w:rPr>
          <w:rFonts w:ascii="Arial" w:hAnsi="Arial" w:cs="Arial"/>
          <w:color w:val="000000" w:themeColor="text1"/>
          <w:sz w:val="20"/>
          <w:szCs w:val="20"/>
        </w:rPr>
        <w:t xml:space="preserve"> (within the framework of JP ROMACT on Roma inclusion at the local level) and with DG EAC. With the latter, common work was underway notably in the area of language teaching,</w:t>
      </w:r>
      <w:r>
        <w:rPr>
          <w:rFonts w:ascii="Arial" w:hAnsi="Arial" w:cs="Arial"/>
          <w:color w:val="000000" w:themeColor="text1"/>
          <w:sz w:val="20"/>
          <w:szCs w:val="20"/>
        </w:rPr>
        <w:t xml:space="preserve"> </w:t>
      </w:r>
      <w:r w:rsidRPr="00DF1A05">
        <w:rPr>
          <w:rFonts w:ascii="Arial" w:hAnsi="Arial" w:cs="Arial"/>
          <w:color w:val="000000" w:themeColor="text1"/>
          <w:sz w:val="20"/>
          <w:szCs w:val="20"/>
          <w:shd w:val="clear" w:color="auto" w:fill="FFFFFF"/>
        </w:rPr>
        <w:t>based on annual co</w:t>
      </w:r>
      <w:r>
        <w:rPr>
          <w:rFonts w:ascii="Arial" w:hAnsi="Arial" w:cs="Arial"/>
          <w:color w:val="000000" w:themeColor="text1"/>
          <w:sz w:val="20"/>
          <w:szCs w:val="20"/>
          <w:shd w:val="clear" w:color="auto" w:fill="FFFFFF"/>
        </w:rPr>
        <w:t>-</w:t>
      </w:r>
      <w:r w:rsidRPr="00DF1A05">
        <w:rPr>
          <w:rFonts w:ascii="Arial" w:hAnsi="Arial" w:cs="Arial"/>
          <w:color w:val="000000" w:themeColor="text1"/>
          <w:sz w:val="20"/>
          <w:szCs w:val="20"/>
          <w:shd w:val="clear" w:color="auto" w:fill="FFFFFF"/>
        </w:rPr>
        <w:t>operation agreements implemented by the European Centre for Modern Languages of the Council of Europe. This co</w:t>
      </w:r>
      <w:r>
        <w:rPr>
          <w:rFonts w:ascii="Arial" w:hAnsi="Arial" w:cs="Arial"/>
          <w:color w:val="000000" w:themeColor="text1"/>
          <w:sz w:val="20"/>
          <w:szCs w:val="20"/>
          <w:shd w:val="clear" w:color="auto" w:fill="FFFFFF"/>
        </w:rPr>
        <w:t>-</w:t>
      </w:r>
      <w:r w:rsidRPr="00DF1A05">
        <w:rPr>
          <w:rFonts w:ascii="Arial" w:hAnsi="Arial" w:cs="Arial"/>
          <w:color w:val="000000" w:themeColor="text1"/>
          <w:sz w:val="20"/>
          <w:szCs w:val="20"/>
          <w:shd w:val="clear" w:color="auto" w:fill="FFFFFF"/>
        </w:rPr>
        <w:t>operation aims to promote equality and non-discrimination through the definition of a common European approach to language learning and quality education in particular for migrant learners, linguistic competencies being a key in supporting integration, employability and social cohesion</w:t>
      </w:r>
      <w:r w:rsidRPr="00DF1A05">
        <w:rPr>
          <w:rFonts w:ascii="Arial" w:hAnsi="Arial" w:cs="Arial"/>
          <w:color w:val="000000" w:themeColor="text1"/>
          <w:sz w:val="20"/>
          <w:szCs w:val="20"/>
        </w:rPr>
        <w:t xml:space="preserve">. </w:t>
      </w:r>
      <w:r w:rsidRPr="00DF1A05">
        <w:rPr>
          <w:rFonts w:ascii="Arial" w:hAnsi="Arial" w:cs="Arial"/>
          <w:color w:val="000000" w:themeColor="text1"/>
          <w:sz w:val="20"/>
          <w:szCs w:val="20"/>
          <w:shd w:val="clear" w:color="auto" w:fill="FFFFFF"/>
        </w:rPr>
        <w:t xml:space="preserve">Moreover, fruitful cooperation with DG EAC continued in the field of education, focusing on effective, equal and inclusive access to quality education for all, including Roma children (JP </w:t>
      </w:r>
      <w:r w:rsidRPr="00DF1A05">
        <w:rPr>
          <w:rFonts w:ascii="Arial" w:hAnsi="Arial" w:cs="Arial"/>
          <w:color w:val="000000" w:themeColor="text1"/>
          <w:sz w:val="20"/>
          <w:szCs w:val="20"/>
        </w:rPr>
        <w:t>INSCHOOL - III). Importantly,</w:t>
      </w:r>
      <w:r>
        <w:rPr>
          <w:rFonts w:ascii="Arial" w:hAnsi="Arial" w:cs="Arial"/>
          <w:color w:val="000000" w:themeColor="text1"/>
          <w:sz w:val="20"/>
          <w:szCs w:val="20"/>
        </w:rPr>
        <w:t xml:space="preserve"> </w:t>
      </w:r>
      <w:r w:rsidRPr="00DF1A05">
        <w:rPr>
          <w:rFonts w:ascii="Arial" w:hAnsi="Arial" w:cs="Arial"/>
          <w:color w:val="000000" w:themeColor="text1"/>
          <w:sz w:val="20"/>
          <w:szCs w:val="20"/>
        </w:rPr>
        <w:t>the co</w:t>
      </w:r>
      <w:r>
        <w:rPr>
          <w:rFonts w:ascii="Arial" w:hAnsi="Arial" w:cs="Arial"/>
          <w:color w:val="000000" w:themeColor="text1"/>
          <w:sz w:val="20"/>
          <w:szCs w:val="20"/>
        </w:rPr>
        <w:t>-</w:t>
      </w:r>
      <w:r w:rsidRPr="00DF1A05">
        <w:rPr>
          <w:rFonts w:ascii="Arial" w:hAnsi="Arial" w:cs="Arial"/>
          <w:color w:val="000000" w:themeColor="text1"/>
          <w:sz w:val="20"/>
          <w:szCs w:val="20"/>
        </w:rPr>
        <w:t xml:space="preserve">operation against cybercrime in EU member States has been given a new impetus, with the preparations </w:t>
      </w:r>
      <w:r>
        <w:rPr>
          <w:rFonts w:ascii="Arial" w:hAnsi="Arial" w:cs="Arial"/>
          <w:color w:val="000000" w:themeColor="text1"/>
          <w:sz w:val="20"/>
          <w:szCs w:val="20"/>
        </w:rPr>
        <w:t>for</w:t>
      </w:r>
      <w:r w:rsidRPr="00DF1A05">
        <w:rPr>
          <w:rFonts w:ascii="Arial" w:hAnsi="Arial" w:cs="Arial"/>
          <w:color w:val="000000" w:themeColor="text1"/>
          <w:sz w:val="20"/>
          <w:szCs w:val="20"/>
        </w:rPr>
        <w:t xml:space="preserve"> the new programme to support ratification and implementation of the Second Additional Protocol to the Budapest Convention on Cybercrime by EU member States; the programme is </w:t>
      </w:r>
      <w:r>
        <w:rPr>
          <w:rFonts w:ascii="Arial" w:hAnsi="Arial" w:cs="Arial"/>
          <w:color w:val="000000" w:themeColor="text1"/>
          <w:sz w:val="20"/>
          <w:szCs w:val="20"/>
        </w:rPr>
        <w:t>planned to be signed</w:t>
      </w:r>
      <w:r w:rsidRPr="00DF1A05">
        <w:rPr>
          <w:rFonts w:ascii="Arial" w:hAnsi="Arial" w:cs="Arial"/>
          <w:color w:val="000000" w:themeColor="text1"/>
          <w:sz w:val="20"/>
          <w:szCs w:val="20"/>
        </w:rPr>
        <w:t xml:space="preserve"> in early 2024 with DG HOME. It is also worth noting that many multilateral programmes (see the section below) are also primarily targeted at EU member States. For more information, see Section III and Appendices I and II.</w:t>
      </w:r>
      <w:r>
        <w:rPr>
          <w:rFonts w:ascii="Arial" w:hAnsi="Arial" w:cs="Arial"/>
          <w:color w:val="000000" w:themeColor="text1"/>
          <w:sz w:val="20"/>
          <w:szCs w:val="20"/>
          <w:shd w:val="clear" w:color="auto" w:fill="FFFFFF"/>
        </w:rPr>
        <w:t xml:space="preserve"> </w:t>
      </w:r>
    </w:p>
    <w:bookmarkEnd w:id="9"/>
    <w:p w14:paraId="1A04ADE2" w14:textId="77777777" w:rsidR="008E74B8" w:rsidRPr="00DF1A05" w:rsidRDefault="008E74B8" w:rsidP="008E74B8">
      <w:pPr>
        <w:pStyle w:val="ListParagraph"/>
        <w:numPr>
          <w:ilvl w:val="0"/>
          <w:numId w:val="6"/>
        </w:numPr>
        <w:contextualSpacing/>
        <w:rPr>
          <w:rFonts w:ascii="Arial" w:hAnsi="Arial" w:cs="Arial"/>
          <w:color w:val="000000" w:themeColor="text1"/>
          <w:sz w:val="20"/>
          <w:szCs w:val="20"/>
        </w:rPr>
      </w:pPr>
      <w:r w:rsidRPr="00352406">
        <w:rPr>
          <w:rFonts w:ascii="Arial" w:hAnsi="Arial" w:cs="Arial"/>
          <w:color w:val="000000" w:themeColor="text1"/>
          <w:sz w:val="20"/>
          <w:szCs w:val="20"/>
          <w:lang w:val="en-US" w:eastAsia="en-GB"/>
        </w:rPr>
        <w:t xml:space="preserve">In </w:t>
      </w:r>
      <w:r w:rsidRPr="00DF1A05">
        <w:rPr>
          <w:rFonts w:ascii="Arial" w:hAnsi="Arial" w:cs="Arial"/>
          <w:color w:val="000000" w:themeColor="text1"/>
          <w:sz w:val="20"/>
          <w:szCs w:val="20"/>
        </w:rPr>
        <w:t>2023</w:t>
      </w:r>
      <w:r>
        <w:rPr>
          <w:rFonts w:ascii="Arial" w:hAnsi="Arial" w:cs="Arial"/>
          <w:color w:val="000000" w:themeColor="text1"/>
          <w:sz w:val="20"/>
          <w:szCs w:val="20"/>
        </w:rPr>
        <w:t xml:space="preserve">, </w:t>
      </w:r>
      <w:r w:rsidRPr="00DF1A05">
        <w:rPr>
          <w:rFonts w:ascii="Arial" w:hAnsi="Arial" w:cs="Arial"/>
          <w:color w:val="000000" w:themeColor="text1"/>
          <w:sz w:val="20"/>
          <w:szCs w:val="20"/>
        </w:rPr>
        <w:t xml:space="preserve">the volume of </w:t>
      </w:r>
      <w:r w:rsidRPr="00DF1A05">
        <w:rPr>
          <w:rFonts w:ascii="Arial" w:hAnsi="Arial" w:cs="Arial"/>
          <w:b/>
          <w:bCs/>
          <w:color w:val="000000" w:themeColor="text1"/>
          <w:sz w:val="20"/>
          <w:szCs w:val="20"/>
        </w:rPr>
        <w:t>thematic multilateral Joint Programmes</w:t>
      </w:r>
      <w:r w:rsidRPr="00DF1A05">
        <w:rPr>
          <w:rFonts w:ascii="Arial" w:hAnsi="Arial" w:cs="Arial"/>
          <w:color w:val="000000" w:themeColor="text1"/>
          <w:sz w:val="20"/>
          <w:szCs w:val="20"/>
        </w:rPr>
        <w:t xml:space="preserve"> continued to increase </w:t>
      </w:r>
      <w:r w:rsidRPr="00DF1A05">
        <w:rPr>
          <w:rFonts w:ascii="Arial" w:hAnsi="Arial" w:cs="Arial"/>
          <w:bCs/>
          <w:color w:val="000000" w:themeColor="text1"/>
          <w:sz w:val="20"/>
          <w:szCs w:val="20"/>
        </w:rPr>
        <w:t>(16.3% of ABE 2023, € 8.9 million in annualised figures). This development is mainly due to the launch in 2023 of the JP Global Action against Economic Crime Enhanced (GLACY-e), a follow</w:t>
      </w:r>
      <w:r>
        <w:rPr>
          <w:rFonts w:ascii="Arial" w:hAnsi="Arial" w:cs="Arial"/>
          <w:bCs/>
          <w:color w:val="000000" w:themeColor="text1"/>
          <w:sz w:val="20"/>
          <w:szCs w:val="20"/>
        </w:rPr>
        <w:t>-</w:t>
      </w:r>
      <w:r w:rsidRPr="00DF1A05">
        <w:rPr>
          <w:rFonts w:ascii="Arial" w:hAnsi="Arial" w:cs="Arial"/>
          <w:bCs/>
          <w:color w:val="000000" w:themeColor="text1"/>
          <w:sz w:val="20"/>
          <w:szCs w:val="20"/>
        </w:rPr>
        <w:t xml:space="preserve">up programme of the JP GLACY+ (2016-2024), a major undertaking in the field of action against cybercrime, implemented worldwide in collaboration with Interpol. The category of thematic multilateral programmes </w:t>
      </w:r>
      <w:r>
        <w:rPr>
          <w:rFonts w:ascii="Arial" w:hAnsi="Arial" w:cs="Arial"/>
          <w:bCs/>
          <w:color w:val="000000" w:themeColor="text1"/>
          <w:sz w:val="20"/>
          <w:szCs w:val="20"/>
        </w:rPr>
        <w:t xml:space="preserve">was </w:t>
      </w:r>
      <w:r w:rsidRPr="00DF1A05">
        <w:rPr>
          <w:rFonts w:ascii="Arial" w:hAnsi="Arial" w:cs="Arial"/>
          <w:bCs/>
          <w:color w:val="000000" w:themeColor="text1"/>
          <w:sz w:val="20"/>
          <w:szCs w:val="20"/>
        </w:rPr>
        <w:t xml:space="preserve">also represented by </w:t>
      </w:r>
      <w:r>
        <w:rPr>
          <w:rFonts w:ascii="Arial" w:hAnsi="Arial" w:cs="Arial"/>
          <w:bCs/>
          <w:color w:val="000000" w:themeColor="text1"/>
          <w:sz w:val="20"/>
          <w:szCs w:val="20"/>
        </w:rPr>
        <w:t>many</w:t>
      </w:r>
      <w:r w:rsidRPr="00DF1A05">
        <w:rPr>
          <w:rFonts w:ascii="Arial" w:hAnsi="Arial" w:cs="Arial"/>
          <w:bCs/>
          <w:color w:val="000000" w:themeColor="text1"/>
          <w:sz w:val="20"/>
          <w:szCs w:val="20"/>
        </w:rPr>
        <w:t xml:space="preserve"> other important</w:t>
      </w:r>
      <w:r>
        <w:rPr>
          <w:rFonts w:ascii="Arial" w:hAnsi="Arial" w:cs="Arial"/>
          <w:bCs/>
          <w:color w:val="000000" w:themeColor="text1"/>
          <w:sz w:val="20"/>
          <w:szCs w:val="20"/>
        </w:rPr>
        <w:t xml:space="preserve"> continuous</w:t>
      </w:r>
      <w:r w:rsidRPr="00DF1A05">
        <w:rPr>
          <w:rFonts w:ascii="Arial" w:hAnsi="Arial" w:cs="Arial"/>
          <w:bCs/>
          <w:color w:val="000000" w:themeColor="text1"/>
          <w:sz w:val="20"/>
          <w:szCs w:val="20"/>
        </w:rPr>
        <w:t xml:space="preserve"> co</w:t>
      </w:r>
      <w:r>
        <w:rPr>
          <w:rFonts w:ascii="Arial" w:hAnsi="Arial" w:cs="Arial"/>
          <w:bCs/>
          <w:color w:val="000000" w:themeColor="text1"/>
          <w:sz w:val="20"/>
          <w:szCs w:val="20"/>
        </w:rPr>
        <w:t>-</w:t>
      </w:r>
      <w:r w:rsidRPr="00DF1A05">
        <w:rPr>
          <w:rFonts w:ascii="Arial" w:hAnsi="Arial" w:cs="Arial"/>
          <w:bCs/>
          <w:color w:val="000000" w:themeColor="text1"/>
          <w:sz w:val="20"/>
          <w:szCs w:val="20"/>
        </w:rPr>
        <w:t>operation undertakings aimed at strengthening democracy and human rights.</w:t>
      </w:r>
      <w:r>
        <w:rPr>
          <w:rFonts w:ascii="Arial" w:hAnsi="Arial" w:cs="Arial"/>
          <w:bCs/>
          <w:color w:val="000000" w:themeColor="text1"/>
          <w:sz w:val="20"/>
          <w:szCs w:val="20"/>
        </w:rPr>
        <w:t xml:space="preserve"> In particular, </w:t>
      </w:r>
      <w:r>
        <w:rPr>
          <w:rFonts w:ascii="Arial" w:hAnsi="Arial" w:cs="Arial"/>
          <w:color w:val="000000" w:themeColor="text1"/>
          <w:sz w:val="20"/>
          <w:szCs w:val="20"/>
          <w:shd w:val="clear" w:color="auto" w:fill="FFFFFF"/>
        </w:rPr>
        <w:t>t</w:t>
      </w:r>
      <w:r w:rsidRPr="00DF1A05">
        <w:rPr>
          <w:rFonts w:ascii="Arial" w:hAnsi="Arial" w:cs="Arial"/>
          <w:color w:val="000000" w:themeColor="text1"/>
          <w:sz w:val="20"/>
          <w:szCs w:val="20"/>
          <w:shd w:val="clear" w:color="auto" w:fill="FFFFFF"/>
        </w:rPr>
        <w:t xml:space="preserve">he EU and the Council of Europe have a longstanding and impactful partnership in the field of </w:t>
      </w:r>
      <w:r>
        <w:rPr>
          <w:rFonts w:ascii="Arial" w:hAnsi="Arial" w:cs="Arial"/>
          <w:color w:val="000000" w:themeColor="text1"/>
          <w:sz w:val="20"/>
          <w:szCs w:val="20"/>
          <w:shd w:val="clear" w:color="auto" w:fill="FFFFFF"/>
        </w:rPr>
        <w:t>y</w:t>
      </w:r>
      <w:r w:rsidRPr="00DF1A05">
        <w:rPr>
          <w:rFonts w:ascii="Arial" w:hAnsi="Arial" w:cs="Arial"/>
          <w:color w:val="000000" w:themeColor="text1"/>
          <w:sz w:val="20"/>
          <w:szCs w:val="20"/>
          <w:shd w:val="clear" w:color="auto" w:fill="FFFFFF"/>
        </w:rPr>
        <w:t>outh, which promotes participatory youth policies across a range of fields, including support for education and providing the right tools for young people in view of the digital transition.</w:t>
      </w:r>
      <w:r>
        <w:rPr>
          <w:rFonts w:ascii="Arial" w:hAnsi="Arial" w:cs="Arial"/>
          <w:color w:val="000000" w:themeColor="text1"/>
          <w:sz w:val="20"/>
          <w:szCs w:val="20"/>
          <w:shd w:val="clear" w:color="auto" w:fill="FFFFFF"/>
        </w:rPr>
        <w:t xml:space="preserve"> </w:t>
      </w:r>
      <w:r w:rsidRPr="00DF1A05">
        <w:rPr>
          <w:rFonts w:ascii="Arial" w:hAnsi="Arial" w:cs="Arial"/>
          <w:color w:val="000000" w:themeColor="text1"/>
          <w:sz w:val="20"/>
          <w:szCs w:val="20"/>
          <w:shd w:val="clear" w:color="auto" w:fill="FFFFFF"/>
        </w:rPr>
        <w:t>Moreover, Joint Programme co</w:t>
      </w:r>
      <w:r>
        <w:rPr>
          <w:rFonts w:ascii="Arial" w:hAnsi="Arial" w:cs="Arial"/>
          <w:color w:val="000000" w:themeColor="text1"/>
          <w:sz w:val="20"/>
          <w:szCs w:val="20"/>
          <w:shd w:val="clear" w:color="auto" w:fill="FFFFFF"/>
        </w:rPr>
        <w:t>-</w:t>
      </w:r>
      <w:r w:rsidRPr="00DF1A05">
        <w:rPr>
          <w:rFonts w:ascii="Arial" w:hAnsi="Arial" w:cs="Arial"/>
          <w:color w:val="000000" w:themeColor="text1"/>
          <w:sz w:val="20"/>
          <w:szCs w:val="20"/>
          <w:shd w:val="clear" w:color="auto" w:fill="FFFFFF"/>
        </w:rPr>
        <w:t>operation supports the HISTOLAB project of the</w:t>
      </w:r>
      <w:r>
        <w:rPr>
          <w:rFonts w:ascii="Arial" w:hAnsi="Arial" w:cs="Arial"/>
          <w:color w:val="000000" w:themeColor="text1"/>
          <w:sz w:val="20"/>
          <w:szCs w:val="20"/>
          <w:shd w:val="clear" w:color="auto" w:fill="FFFFFF"/>
        </w:rPr>
        <w:t xml:space="preserve"> O</w:t>
      </w:r>
      <w:r w:rsidRPr="00DF1A05">
        <w:rPr>
          <w:rFonts w:ascii="Arial" w:hAnsi="Arial" w:cs="Arial"/>
          <w:color w:val="000000" w:themeColor="text1"/>
          <w:sz w:val="20"/>
          <w:szCs w:val="20"/>
          <w:shd w:val="clear" w:color="auto" w:fill="FFFFFF"/>
        </w:rPr>
        <w:t xml:space="preserve">bservatory of History Teaching in Europe which enhances the importance of history education in preserving democracy in Europe. </w:t>
      </w:r>
      <w:r w:rsidRPr="00DF1A05">
        <w:rPr>
          <w:rFonts w:ascii="Arial" w:hAnsi="Arial" w:cs="Arial"/>
          <w:color w:val="000000" w:themeColor="text1"/>
          <w:sz w:val="20"/>
          <w:szCs w:val="20"/>
        </w:rPr>
        <w:t xml:space="preserve">The programme i-Legend-III, managed by North-South Centre </w:t>
      </w:r>
      <w:r>
        <w:rPr>
          <w:rFonts w:ascii="Arial" w:hAnsi="Arial" w:cs="Arial"/>
          <w:color w:val="000000" w:themeColor="text1"/>
          <w:sz w:val="20"/>
          <w:szCs w:val="20"/>
        </w:rPr>
        <w:t xml:space="preserve">of the Council of Europe </w:t>
      </w:r>
      <w:r w:rsidRPr="00DF1A05">
        <w:rPr>
          <w:rFonts w:ascii="Arial" w:hAnsi="Arial" w:cs="Arial"/>
          <w:color w:val="000000" w:themeColor="text1"/>
          <w:sz w:val="20"/>
          <w:szCs w:val="20"/>
        </w:rPr>
        <w:t>fosters</w:t>
      </w:r>
      <w:r w:rsidRPr="00DF1A05">
        <w:rPr>
          <w:rFonts w:ascii="Arial" w:hAnsi="Arial" w:cs="Arial"/>
          <w:color w:val="000000" w:themeColor="text1"/>
          <w:sz w:val="20"/>
          <w:szCs w:val="20"/>
          <w:shd w:val="clear" w:color="auto" w:fill="F8F8F8"/>
        </w:rPr>
        <w:t xml:space="preserve"> solidarity and raises awareness of global interdependence</w:t>
      </w:r>
      <w:r w:rsidRPr="00DF1A05">
        <w:rPr>
          <w:rFonts w:ascii="Arial" w:hAnsi="Arial" w:cs="Arial"/>
          <w:color w:val="000000" w:themeColor="text1"/>
          <w:sz w:val="20"/>
          <w:szCs w:val="20"/>
        </w:rPr>
        <w:t xml:space="preserve"> by supporting the intercultural learning exchange through global education, networking and dialogue.</w:t>
      </w:r>
      <w:r>
        <w:rPr>
          <w:rFonts w:ascii="Arial" w:hAnsi="Arial" w:cs="Arial"/>
          <w:color w:val="000000" w:themeColor="text1"/>
          <w:sz w:val="20"/>
          <w:szCs w:val="20"/>
        </w:rPr>
        <w:t xml:space="preserve"> </w:t>
      </w:r>
      <w:r w:rsidRPr="00DF1A05">
        <w:rPr>
          <w:rFonts w:ascii="Arial" w:hAnsi="Arial" w:cs="Arial"/>
          <w:color w:val="000000" w:themeColor="text1"/>
          <w:sz w:val="20"/>
          <w:szCs w:val="20"/>
        </w:rPr>
        <w:t xml:space="preserve"> Vibrant co-operation exists in the field of sport, with two programmes - on combatting hate speech and on promoting gender equality </w:t>
      </w:r>
      <w:r>
        <w:rPr>
          <w:rFonts w:ascii="Arial" w:hAnsi="Arial" w:cs="Arial"/>
          <w:color w:val="000000" w:themeColor="text1"/>
          <w:sz w:val="20"/>
          <w:szCs w:val="20"/>
        </w:rPr>
        <w:t>in sports</w:t>
      </w:r>
      <w:r w:rsidRPr="00DF1A05">
        <w:rPr>
          <w:rFonts w:ascii="Arial" w:hAnsi="Arial" w:cs="Arial"/>
          <w:color w:val="000000" w:themeColor="text1"/>
          <w:sz w:val="20"/>
          <w:szCs w:val="20"/>
        </w:rPr>
        <w:t>– underway in 2023 and a new one, to be launched in early 2024,</w:t>
      </w:r>
      <w:r>
        <w:rPr>
          <w:rFonts w:ascii="Arial" w:hAnsi="Arial" w:cs="Arial"/>
          <w:color w:val="000000" w:themeColor="text1"/>
          <w:sz w:val="20"/>
          <w:szCs w:val="20"/>
        </w:rPr>
        <w:t xml:space="preserve"> </w:t>
      </w:r>
      <w:r w:rsidRPr="00DF1A05">
        <w:rPr>
          <w:rFonts w:ascii="Arial" w:hAnsi="Arial" w:cs="Arial"/>
          <w:color w:val="000000" w:themeColor="text1"/>
          <w:sz w:val="20"/>
          <w:szCs w:val="20"/>
        </w:rPr>
        <w:t>focusing on strengthening the Safety and Se</w:t>
      </w:r>
      <w:r>
        <w:rPr>
          <w:rFonts w:ascii="Arial" w:hAnsi="Arial" w:cs="Arial"/>
          <w:color w:val="000000" w:themeColor="text1"/>
          <w:sz w:val="20"/>
          <w:szCs w:val="20"/>
        </w:rPr>
        <w:t xml:space="preserve">rvice </w:t>
      </w:r>
      <w:r w:rsidRPr="00DF1A05">
        <w:rPr>
          <w:rFonts w:ascii="Arial" w:hAnsi="Arial" w:cs="Arial"/>
          <w:color w:val="000000" w:themeColor="text1"/>
          <w:sz w:val="20"/>
          <w:szCs w:val="20"/>
        </w:rPr>
        <w:t xml:space="preserve">Pillars of the Saint-Denis Convention. </w:t>
      </w:r>
      <w:r w:rsidRPr="00352406">
        <w:rPr>
          <w:rFonts w:ascii="Arial" w:hAnsi="Arial" w:cs="Arial"/>
          <w:color w:val="000000" w:themeColor="text1"/>
          <w:sz w:val="20"/>
          <w:szCs w:val="20"/>
          <w:lang w:val="en-US" w:eastAsia="en-GB"/>
        </w:rPr>
        <w:t xml:space="preserve">The EU and the Council </w:t>
      </w:r>
      <w:r w:rsidRPr="00352406">
        <w:rPr>
          <w:rFonts w:ascii="Arial" w:hAnsi="Arial" w:cs="Arial"/>
          <w:color w:val="000000" w:themeColor="text1"/>
          <w:sz w:val="20"/>
          <w:szCs w:val="20"/>
          <w:lang w:val="en-US" w:eastAsia="en-GB"/>
        </w:rPr>
        <w:lastRenderedPageBreak/>
        <w:t>of Europe also continue to co</w:t>
      </w:r>
      <w:r>
        <w:rPr>
          <w:rFonts w:ascii="Arial" w:hAnsi="Arial" w:cs="Arial"/>
          <w:color w:val="000000" w:themeColor="text1"/>
          <w:sz w:val="20"/>
          <w:szCs w:val="20"/>
          <w:lang w:val="en-US" w:eastAsia="en-GB"/>
        </w:rPr>
        <w:t>-</w:t>
      </w:r>
      <w:r w:rsidRPr="00352406">
        <w:rPr>
          <w:rFonts w:ascii="Arial" w:hAnsi="Arial" w:cs="Arial"/>
          <w:color w:val="000000" w:themeColor="text1"/>
          <w:sz w:val="20"/>
          <w:szCs w:val="20"/>
          <w:lang w:val="en-US" w:eastAsia="en-GB"/>
        </w:rPr>
        <w:t>operate in the organisation of the European Heritage</w:t>
      </w:r>
      <w:r>
        <w:rPr>
          <w:rFonts w:ascii="Arial" w:hAnsi="Arial" w:cs="Arial"/>
          <w:color w:val="000000" w:themeColor="text1"/>
          <w:sz w:val="20"/>
          <w:szCs w:val="20"/>
          <w:lang w:val="en-US" w:eastAsia="en-GB"/>
        </w:rPr>
        <w:t xml:space="preserve"> </w:t>
      </w:r>
      <w:r w:rsidRPr="00352406">
        <w:rPr>
          <w:rFonts w:ascii="Arial" w:hAnsi="Arial" w:cs="Arial"/>
          <w:color w:val="000000" w:themeColor="text1"/>
          <w:sz w:val="20"/>
          <w:szCs w:val="20"/>
          <w:lang w:val="en-US" w:eastAsia="en-GB"/>
        </w:rPr>
        <w:t>Days,</w:t>
      </w:r>
      <w:r>
        <w:rPr>
          <w:rFonts w:ascii="Arial" w:hAnsi="Arial" w:cs="Arial"/>
          <w:color w:val="000000" w:themeColor="text1"/>
          <w:sz w:val="20"/>
          <w:szCs w:val="20"/>
          <w:lang w:val="en-US" w:eastAsia="en-GB"/>
        </w:rPr>
        <w:t xml:space="preserve"> the longest EU-Council of Europe joint action</w:t>
      </w:r>
      <w:r w:rsidRPr="00352406">
        <w:rPr>
          <w:rFonts w:ascii="Arial" w:hAnsi="Arial" w:cs="Arial"/>
          <w:color w:val="000000" w:themeColor="text1"/>
          <w:sz w:val="20"/>
          <w:szCs w:val="20"/>
          <w:lang w:val="en-US" w:eastAsia="en-GB"/>
        </w:rPr>
        <w:t xml:space="preserve">, </w:t>
      </w:r>
      <w:r w:rsidRPr="00352406">
        <w:rPr>
          <w:rFonts w:ascii="Arial" w:eastAsia="Times New Roman" w:hAnsi="Arial" w:cs="Arial"/>
          <w:color w:val="000000" w:themeColor="text1"/>
          <w:sz w:val="20"/>
          <w:szCs w:val="20"/>
          <w:lang w:val="en-US" w:eastAsia="fr-FR"/>
        </w:rPr>
        <w:t>aimed at raising the European citizens’ awareness of their shared cultural heritage and fostering their involvement in the safeguarding of this heritage for present and future generations.</w:t>
      </w:r>
      <w:r w:rsidRPr="00DF1A05">
        <w:rPr>
          <w:rFonts w:ascii="Arial" w:hAnsi="Arial" w:cs="Arial"/>
          <w:color w:val="000000" w:themeColor="text1"/>
          <w:sz w:val="20"/>
          <w:szCs w:val="20"/>
        </w:rPr>
        <w:t xml:space="preserve"> </w:t>
      </w:r>
      <w:r>
        <w:rPr>
          <w:rFonts w:ascii="Arial" w:hAnsi="Arial" w:cs="Arial"/>
          <w:color w:val="000000" w:themeColor="text1"/>
          <w:sz w:val="20"/>
          <w:szCs w:val="20"/>
        </w:rPr>
        <w:t>For</w:t>
      </w:r>
      <w:r w:rsidRPr="00DF1A05">
        <w:rPr>
          <w:rFonts w:ascii="Arial" w:hAnsi="Arial" w:cs="Arial"/>
          <w:color w:val="000000" w:themeColor="text1"/>
          <w:sz w:val="20"/>
          <w:szCs w:val="20"/>
        </w:rPr>
        <w:t xml:space="preserve"> several years, a DG JUST co-funded programme </w:t>
      </w:r>
      <w:r>
        <w:rPr>
          <w:rFonts w:ascii="Arial" w:hAnsi="Arial" w:cs="Arial"/>
          <w:color w:val="000000" w:themeColor="text1"/>
          <w:sz w:val="20"/>
          <w:szCs w:val="20"/>
        </w:rPr>
        <w:t>continues to support</w:t>
      </w:r>
      <w:r w:rsidRPr="00DF1A05">
        <w:rPr>
          <w:rFonts w:ascii="Arial" w:hAnsi="Arial" w:cs="Arial"/>
          <w:color w:val="000000" w:themeColor="text1"/>
          <w:sz w:val="20"/>
          <w:szCs w:val="20"/>
        </w:rPr>
        <w:t xml:space="preserve"> the Council of Europe</w:t>
      </w:r>
      <w:r>
        <w:rPr>
          <w:rFonts w:ascii="Arial" w:hAnsi="Arial" w:cs="Arial"/>
          <w:color w:val="000000" w:themeColor="text1"/>
          <w:sz w:val="20"/>
          <w:szCs w:val="20"/>
        </w:rPr>
        <w:t>'s</w:t>
      </w:r>
      <w:r w:rsidRPr="00DF1A05">
        <w:rPr>
          <w:rFonts w:ascii="Arial" w:hAnsi="Arial" w:cs="Arial"/>
          <w:color w:val="000000" w:themeColor="text1"/>
          <w:sz w:val="20"/>
          <w:szCs w:val="20"/>
        </w:rPr>
        <w:t xml:space="preserve"> work with the National preventive mechanism</w:t>
      </w:r>
      <w:r>
        <w:rPr>
          <w:rFonts w:ascii="Arial" w:hAnsi="Arial" w:cs="Arial"/>
          <w:color w:val="000000" w:themeColor="text1"/>
          <w:sz w:val="20"/>
          <w:szCs w:val="20"/>
        </w:rPr>
        <w:t>s</w:t>
      </w:r>
      <w:r w:rsidRPr="00DF1A05">
        <w:rPr>
          <w:rFonts w:ascii="Arial" w:hAnsi="Arial" w:cs="Arial"/>
          <w:color w:val="000000" w:themeColor="text1"/>
          <w:sz w:val="20"/>
          <w:szCs w:val="20"/>
        </w:rPr>
        <w:t xml:space="preserve"> against torture, in particular the European network of prison monitoring bodies. EDQM implements a programme on the substances of human origin (SOHO), </w:t>
      </w:r>
      <w:r>
        <w:rPr>
          <w:rFonts w:ascii="Arial" w:hAnsi="Arial" w:cs="Arial"/>
          <w:color w:val="000000" w:themeColor="text1"/>
          <w:sz w:val="20"/>
          <w:szCs w:val="20"/>
        </w:rPr>
        <w:t>co-funded by</w:t>
      </w:r>
      <w:r w:rsidRPr="00DF1A05">
        <w:rPr>
          <w:rFonts w:ascii="Arial" w:hAnsi="Arial" w:cs="Arial"/>
          <w:color w:val="000000" w:themeColor="text1"/>
          <w:sz w:val="20"/>
          <w:szCs w:val="20"/>
        </w:rPr>
        <w:t xml:space="preserve"> DG HEALTH.</w:t>
      </w:r>
      <w:r>
        <w:rPr>
          <w:rFonts w:ascii="Arial" w:hAnsi="Arial" w:cs="Arial"/>
          <w:color w:val="000000" w:themeColor="text1"/>
          <w:sz w:val="20"/>
          <w:szCs w:val="20"/>
        </w:rPr>
        <w:t xml:space="preserve"> </w:t>
      </w:r>
      <w:r w:rsidRPr="00DF1A05">
        <w:rPr>
          <w:rFonts w:ascii="Arial" w:hAnsi="Arial" w:cs="Arial"/>
          <w:color w:val="000000" w:themeColor="text1"/>
          <w:sz w:val="20"/>
          <w:szCs w:val="20"/>
        </w:rPr>
        <w:t xml:space="preserve">Additionally, </w:t>
      </w:r>
      <w:r>
        <w:rPr>
          <w:rFonts w:ascii="Arial" w:hAnsi="Arial" w:cs="Arial"/>
          <w:color w:val="000000" w:themeColor="text1"/>
          <w:sz w:val="20"/>
          <w:szCs w:val="20"/>
        </w:rPr>
        <w:t xml:space="preserve">EDQM and DG HEALTH also co-operate in the domain of pharmaceuticals/biological standardisation, with the 2024 edition of the corresponding programme starting </w:t>
      </w:r>
      <w:r w:rsidRPr="00DF1A05">
        <w:rPr>
          <w:rFonts w:ascii="Arial" w:hAnsi="Arial" w:cs="Arial"/>
          <w:color w:val="000000" w:themeColor="text1"/>
          <w:sz w:val="20"/>
          <w:szCs w:val="20"/>
        </w:rPr>
        <w:t>in January 2024</w:t>
      </w:r>
      <w:r>
        <w:rPr>
          <w:rFonts w:ascii="Arial" w:hAnsi="Arial" w:cs="Arial"/>
          <w:color w:val="000000" w:themeColor="text1"/>
          <w:sz w:val="20"/>
          <w:szCs w:val="20"/>
        </w:rPr>
        <w:t xml:space="preserve">. </w:t>
      </w:r>
      <w:r w:rsidRPr="00DF1A05">
        <w:rPr>
          <w:rFonts w:ascii="Arial" w:hAnsi="Arial" w:cs="Arial"/>
          <w:sz w:val="20"/>
          <w:szCs w:val="20"/>
        </w:rPr>
        <w:t>For more details</w:t>
      </w:r>
      <w:r>
        <w:rPr>
          <w:rFonts w:ascii="Arial" w:hAnsi="Arial" w:cs="Arial"/>
          <w:sz w:val="20"/>
          <w:szCs w:val="20"/>
        </w:rPr>
        <w:t xml:space="preserve"> on thematic multilateral programmes</w:t>
      </w:r>
      <w:r w:rsidRPr="00DF1A05">
        <w:rPr>
          <w:rFonts w:ascii="Arial" w:hAnsi="Arial" w:cs="Arial"/>
          <w:sz w:val="20"/>
          <w:szCs w:val="20"/>
        </w:rPr>
        <w:t>, see Appendices I and II.</w:t>
      </w:r>
    </w:p>
    <w:p w14:paraId="408F699B" w14:textId="77777777" w:rsidR="008E74B8" w:rsidRPr="00DF1A05" w:rsidRDefault="008E74B8" w:rsidP="008E74B8">
      <w:pPr>
        <w:pStyle w:val="ListParagraph"/>
        <w:contextualSpacing/>
        <w:rPr>
          <w:rFonts w:ascii="Arial" w:hAnsi="Arial" w:cs="Arial"/>
          <w:color w:val="000000" w:themeColor="text1"/>
          <w:sz w:val="20"/>
          <w:szCs w:val="20"/>
        </w:rPr>
      </w:pPr>
    </w:p>
    <w:p w14:paraId="58D3231E" w14:textId="77777777" w:rsidR="008E74B8" w:rsidRPr="00DF1A05" w:rsidRDefault="008E74B8" w:rsidP="008E74B8">
      <w:pPr>
        <w:pStyle w:val="ListParagraph"/>
        <w:numPr>
          <w:ilvl w:val="0"/>
          <w:numId w:val="6"/>
        </w:numPr>
        <w:contextualSpacing/>
        <w:rPr>
          <w:rFonts w:ascii="Arial" w:hAnsi="Arial" w:cs="Arial"/>
          <w:color w:val="000000" w:themeColor="text1"/>
          <w:sz w:val="20"/>
          <w:szCs w:val="20"/>
        </w:rPr>
      </w:pPr>
      <w:r w:rsidRPr="00DF1A05">
        <w:rPr>
          <w:rFonts w:ascii="Arial" w:hAnsi="Arial" w:cs="Arial"/>
          <w:sz w:val="20"/>
          <w:szCs w:val="20"/>
        </w:rPr>
        <w:t xml:space="preserve">The share and volume of co-operation with non-member States in </w:t>
      </w:r>
      <w:r w:rsidRPr="008A4650">
        <w:rPr>
          <w:rFonts w:ascii="Arial" w:hAnsi="Arial" w:cs="Arial"/>
          <w:sz w:val="20"/>
          <w:szCs w:val="20"/>
        </w:rPr>
        <w:t xml:space="preserve">the </w:t>
      </w:r>
      <w:r w:rsidRPr="008A4650">
        <w:rPr>
          <w:rFonts w:ascii="Arial" w:hAnsi="Arial" w:cs="Arial"/>
          <w:b/>
          <w:sz w:val="20"/>
          <w:szCs w:val="20"/>
        </w:rPr>
        <w:t xml:space="preserve">Southern Neighbourhood  </w:t>
      </w:r>
      <w:r w:rsidRPr="008A4650">
        <w:rPr>
          <w:rFonts w:ascii="Arial" w:hAnsi="Arial" w:cs="Arial"/>
          <w:sz w:val="20"/>
          <w:szCs w:val="20"/>
        </w:rPr>
        <w:t xml:space="preserve">and </w:t>
      </w:r>
      <w:r w:rsidRPr="008A4650">
        <w:rPr>
          <w:rFonts w:ascii="Arial" w:hAnsi="Arial" w:cs="Arial"/>
          <w:b/>
          <w:sz w:val="20"/>
          <w:szCs w:val="20"/>
        </w:rPr>
        <w:t xml:space="preserve">Central Asia, </w:t>
      </w:r>
      <w:r w:rsidRPr="008A4650">
        <w:rPr>
          <w:rFonts w:ascii="Arial" w:hAnsi="Arial" w:cs="Arial"/>
          <w:bCs/>
          <w:sz w:val="20"/>
          <w:szCs w:val="20"/>
        </w:rPr>
        <w:t xml:space="preserve">under </w:t>
      </w:r>
      <w:r w:rsidRPr="008A4650">
        <w:rPr>
          <w:rFonts w:ascii="Arial" w:eastAsia="Times New Roman" w:hAnsi="Arial" w:cs="Arial"/>
          <w:bCs/>
          <w:sz w:val="20"/>
          <w:szCs w:val="20"/>
          <w:lang w:eastAsia="fr-FR"/>
        </w:rPr>
        <w:t>the</w:t>
      </w:r>
      <w:r w:rsidRPr="008A4650">
        <w:rPr>
          <w:rFonts w:ascii="Arial" w:eastAsia="Times New Roman" w:hAnsi="Arial" w:cs="Arial"/>
          <w:sz w:val="20"/>
          <w:szCs w:val="20"/>
          <w:lang w:eastAsia="fr-FR"/>
        </w:rPr>
        <w:t xml:space="preserve"> </w:t>
      </w:r>
      <w:r w:rsidRPr="008A4650">
        <w:rPr>
          <w:rFonts w:ascii="Arial" w:eastAsiaTheme="minorHAnsi" w:hAnsi="Arial" w:cs="Arial"/>
          <w:sz w:val="20"/>
          <w:szCs w:val="20"/>
        </w:rPr>
        <w:t xml:space="preserve">Council of Europe </w:t>
      </w:r>
      <w:r w:rsidRPr="008A4650">
        <w:rPr>
          <w:rFonts w:ascii="Arial" w:eastAsia="Times New Roman" w:hAnsi="Arial" w:cs="Arial"/>
          <w:sz w:val="20"/>
          <w:szCs w:val="20"/>
          <w:lang w:eastAsia="fr-FR"/>
        </w:rPr>
        <w:t>Policy towards Neighbouring Regions</w:t>
      </w:r>
      <w:r w:rsidRPr="008A4650">
        <w:rPr>
          <w:rFonts w:ascii="Arial" w:hAnsi="Arial" w:cs="Arial"/>
          <w:sz w:val="20"/>
          <w:szCs w:val="20"/>
        </w:rPr>
        <w:t>, decreased in the past year (11.9% of ABE 2023</w:t>
      </w:r>
      <w:r w:rsidRPr="008A4650">
        <w:rPr>
          <w:rFonts w:ascii="Arial" w:eastAsia="Times New Roman" w:hAnsi="Arial" w:cs="Arial"/>
          <w:sz w:val="20"/>
          <w:szCs w:val="20"/>
          <w:lang w:eastAsia="fr-FR"/>
        </w:rPr>
        <w:t xml:space="preserve">; </w:t>
      </w:r>
      <w:r w:rsidRPr="008A4650">
        <w:rPr>
          <w:rFonts w:ascii="Arial" w:hAnsi="Arial" w:cs="Arial"/>
          <w:sz w:val="20"/>
          <w:szCs w:val="20"/>
        </w:rPr>
        <w:t>€6.5</w:t>
      </w:r>
      <w:r w:rsidRPr="008A4650">
        <w:rPr>
          <w:rFonts w:ascii="Arial" w:eastAsia="Times New Roman" w:hAnsi="Arial" w:cs="Arial"/>
          <w:sz w:val="20"/>
          <w:szCs w:val="20"/>
          <w:lang w:eastAsia="fr-FR"/>
        </w:rPr>
        <w:t xml:space="preserve"> million in annualised figures). </w:t>
      </w:r>
      <w:r w:rsidRPr="008A4650">
        <w:rPr>
          <w:rFonts w:ascii="Arial" w:hAnsi="Arial" w:cs="Arial"/>
          <w:sz w:val="20"/>
          <w:szCs w:val="20"/>
        </w:rPr>
        <w:t xml:space="preserve">In the </w:t>
      </w:r>
      <w:r w:rsidRPr="008A4650">
        <w:rPr>
          <w:rFonts w:ascii="Arial" w:hAnsi="Arial" w:cs="Arial"/>
          <w:b/>
          <w:sz w:val="20"/>
          <w:szCs w:val="20"/>
        </w:rPr>
        <w:t>Southern  Neighbourhood</w:t>
      </w:r>
      <w:r w:rsidRPr="008A4650">
        <w:rPr>
          <w:rFonts w:ascii="Arial" w:hAnsi="Arial" w:cs="Arial"/>
          <w:sz w:val="20"/>
          <w:szCs w:val="20"/>
        </w:rPr>
        <w:t xml:space="preserve">, the co-operation continued within the framework of the core </w:t>
      </w:r>
      <w:r w:rsidRPr="008A4650">
        <w:rPr>
          <w:rFonts w:ascii="Arial" w:hAnsi="Arial" w:cs="Arial"/>
          <w:bCs/>
          <w:sz w:val="20"/>
          <w:szCs w:val="20"/>
        </w:rPr>
        <w:t>South Programme, phase V of which started in September 2022 with an increased envelope.</w:t>
      </w:r>
      <w:r w:rsidRPr="008A4650">
        <w:rPr>
          <w:rFonts w:ascii="Arial" w:eastAsia="Times New Roman" w:hAnsi="Arial" w:cs="Arial"/>
          <w:sz w:val="20"/>
          <w:szCs w:val="20"/>
          <w:lang w:eastAsia="fr-FR"/>
        </w:rPr>
        <w:t xml:space="preserve"> The South Programme was complemented by the </w:t>
      </w:r>
      <w:r w:rsidRPr="008A4650">
        <w:rPr>
          <w:rFonts w:ascii="Arial" w:hAnsi="Arial" w:cs="Arial"/>
          <w:sz w:val="20"/>
          <w:szCs w:val="20"/>
        </w:rPr>
        <w:t xml:space="preserve">regional programme CyberSouth (completed by the end of 2023), </w:t>
      </w:r>
      <w:r w:rsidRPr="008A4650">
        <w:rPr>
          <w:rFonts w:ascii="Arial" w:eastAsia="Times New Roman" w:hAnsi="Arial" w:cs="Arial"/>
          <w:sz w:val="20"/>
          <w:szCs w:val="20"/>
          <w:lang w:eastAsia="fr-FR"/>
        </w:rPr>
        <w:t xml:space="preserve">a country-specific programme in Morocco (focused on the role of the Parliament and the National Preventive Mechanism against Torture) and </w:t>
      </w:r>
      <w:r w:rsidRPr="008A4650">
        <w:rPr>
          <w:rFonts w:ascii="Arial" w:hAnsi="Arial" w:cs="Arial"/>
          <w:sz w:val="20"/>
          <w:szCs w:val="20"/>
        </w:rPr>
        <w:t>two country-specific programmes in Tunisia</w:t>
      </w:r>
      <w:r w:rsidRPr="008A4650">
        <w:rPr>
          <w:rFonts w:ascii="Arial" w:eastAsia="Times New Roman" w:hAnsi="Arial" w:cs="Arial"/>
          <w:sz w:val="20"/>
          <w:szCs w:val="20"/>
          <w:lang w:eastAsia="fr-FR"/>
        </w:rPr>
        <w:t xml:space="preserve"> (assistance to the reform of the justice system and support to independent instances). The follow-up to the regional programme CyberSouth has been negotiated, with signature and start of implementation in </w:t>
      </w:r>
      <w:r>
        <w:rPr>
          <w:rFonts w:ascii="Arial" w:eastAsia="Times New Roman" w:hAnsi="Arial" w:cs="Arial"/>
          <w:sz w:val="20"/>
          <w:szCs w:val="20"/>
          <w:lang w:eastAsia="fr-FR"/>
        </w:rPr>
        <w:t xml:space="preserve">January </w:t>
      </w:r>
      <w:r w:rsidRPr="008A4650">
        <w:rPr>
          <w:rFonts w:ascii="Arial" w:eastAsia="Times New Roman" w:hAnsi="Arial" w:cs="Arial"/>
          <w:sz w:val="20"/>
          <w:szCs w:val="20"/>
          <w:lang w:eastAsia="fr-FR"/>
        </w:rPr>
        <w:t xml:space="preserve">2024. Active negotiations on the new programme for Morocco, in the judicial reform field, continued throughout 2023, to be concluded in 2024. In </w:t>
      </w:r>
      <w:r w:rsidRPr="008A4650">
        <w:rPr>
          <w:rFonts w:ascii="Arial" w:eastAsia="Times New Roman" w:hAnsi="Arial" w:cs="Arial"/>
          <w:b/>
          <w:bCs/>
          <w:sz w:val="20"/>
          <w:szCs w:val="20"/>
          <w:lang w:eastAsia="fr-FR"/>
        </w:rPr>
        <w:t>Central Asia</w:t>
      </w:r>
      <w:r w:rsidRPr="008A4650">
        <w:rPr>
          <w:rFonts w:ascii="Arial" w:eastAsia="Times New Roman" w:hAnsi="Arial" w:cs="Arial"/>
          <w:sz w:val="20"/>
          <w:szCs w:val="20"/>
          <w:lang w:eastAsia="fr-FR"/>
        </w:rPr>
        <w:t xml:space="preserve">, co-operation continued through the large-scale regional “Central Asia Rule </w:t>
      </w:r>
      <w:r w:rsidRPr="00DF1A05">
        <w:rPr>
          <w:rFonts w:ascii="Arial" w:eastAsia="Times New Roman" w:hAnsi="Arial" w:cs="Arial"/>
          <w:sz w:val="20"/>
          <w:szCs w:val="20"/>
          <w:lang w:eastAsia="fr-FR"/>
        </w:rPr>
        <w:t xml:space="preserve">of Law Programme”, extended </w:t>
      </w:r>
      <w:r>
        <w:rPr>
          <w:rFonts w:ascii="Arial" w:eastAsia="Times New Roman" w:hAnsi="Arial" w:cs="Arial"/>
          <w:sz w:val="20"/>
          <w:szCs w:val="20"/>
          <w:lang w:eastAsia="fr-FR"/>
        </w:rPr>
        <w:t xml:space="preserve">by 6 months, </w:t>
      </w:r>
      <w:r w:rsidRPr="00DF1A05">
        <w:rPr>
          <w:rFonts w:ascii="Arial" w:eastAsia="Times New Roman" w:hAnsi="Arial" w:cs="Arial"/>
          <w:sz w:val="20"/>
          <w:szCs w:val="20"/>
          <w:lang w:eastAsia="fr-FR"/>
        </w:rPr>
        <w:t xml:space="preserve">to mid-2024. </w:t>
      </w:r>
      <w:r w:rsidRPr="00DF1A05">
        <w:rPr>
          <w:rFonts w:ascii="Arial" w:hAnsi="Arial" w:cs="Arial"/>
          <w:sz w:val="20"/>
          <w:szCs w:val="20"/>
        </w:rPr>
        <w:t xml:space="preserve">Following the signature of the programme “Support to democratic reforms, </w:t>
      </w:r>
      <w:r>
        <w:rPr>
          <w:rFonts w:ascii="Arial" w:hAnsi="Arial" w:cs="Arial"/>
          <w:sz w:val="20"/>
          <w:szCs w:val="20"/>
        </w:rPr>
        <w:t>human rights m</w:t>
      </w:r>
      <w:r w:rsidRPr="00DF1A05">
        <w:rPr>
          <w:rFonts w:ascii="Arial" w:hAnsi="Arial" w:cs="Arial"/>
          <w:sz w:val="20"/>
          <w:szCs w:val="20"/>
        </w:rPr>
        <w:t xml:space="preserve">echanisms and rule of law principles in Latin America, Central Asia and Mongolia” at the end of 2023, </w:t>
      </w:r>
      <w:r w:rsidRPr="00DF1A05">
        <w:rPr>
          <w:rFonts w:ascii="Arial" w:eastAsia="Times New Roman" w:hAnsi="Arial" w:cs="Arial"/>
          <w:sz w:val="20"/>
          <w:szCs w:val="20"/>
          <w:lang w:eastAsia="fr-FR"/>
        </w:rPr>
        <w:t>the Venice Commission’s assistance to the countries of Central Asia will continue, building on the results of the earlier programme</w:t>
      </w:r>
      <w:r>
        <w:rPr>
          <w:rFonts w:ascii="Arial" w:eastAsia="Times New Roman" w:hAnsi="Arial" w:cs="Arial"/>
          <w:sz w:val="20"/>
          <w:szCs w:val="20"/>
          <w:lang w:eastAsia="fr-FR"/>
        </w:rPr>
        <w:t xml:space="preserve">, </w:t>
      </w:r>
      <w:r w:rsidRPr="00DF1A05">
        <w:rPr>
          <w:rFonts w:ascii="Arial" w:eastAsia="Times New Roman" w:hAnsi="Arial" w:cs="Arial"/>
          <w:sz w:val="20"/>
          <w:szCs w:val="20"/>
          <w:lang w:eastAsia="fr-FR"/>
        </w:rPr>
        <w:t>completed in 2022</w:t>
      </w:r>
      <w:r w:rsidRPr="00DF1A05">
        <w:rPr>
          <w:rFonts w:ascii="Arial" w:hAnsi="Arial" w:cs="Arial"/>
          <w:sz w:val="20"/>
          <w:szCs w:val="20"/>
        </w:rPr>
        <w:t>.</w:t>
      </w:r>
      <w:bookmarkStart w:id="11" w:name="_Hlk93884928"/>
      <w:r>
        <w:rPr>
          <w:rFonts w:ascii="Arial" w:hAnsi="Arial" w:cs="Arial"/>
          <w:sz w:val="20"/>
          <w:szCs w:val="20"/>
        </w:rPr>
        <w:t xml:space="preserve"> </w:t>
      </w:r>
      <w:r w:rsidRPr="00DF1A05">
        <w:rPr>
          <w:rFonts w:ascii="Arial" w:hAnsi="Arial" w:cs="Arial"/>
          <w:sz w:val="20"/>
          <w:szCs w:val="20"/>
        </w:rPr>
        <w:t>For more information, see Section III and Appendi</w:t>
      </w:r>
      <w:r>
        <w:rPr>
          <w:rFonts w:ascii="Arial" w:hAnsi="Arial" w:cs="Arial"/>
          <w:sz w:val="20"/>
          <w:szCs w:val="20"/>
        </w:rPr>
        <w:t xml:space="preserve">ces </w:t>
      </w:r>
      <w:r w:rsidRPr="00DF1A05">
        <w:rPr>
          <w:rFonts w:ascii="Arial" w:hAnsi="Arial" w:cs="Arial"/>
          <w:sz w:val="20"/>
          <w:szCs w:val="20"/>
        </w:rPr>
        <w:t xml:space="preserve">I and II. </w:t>
      </w:r>
      <w:bookmarkEnd w:id="11"/>
    </w:p>
    <w:bookmarkEnd w:id="6"/>
    <w:bookmarkEnd w:id="7"/>
    <w:p w14:paraId="36F71E80" w14:textId="77777777" w:rsidR="008E74B8" w:rsidRPr="00104F6F" w:rsidRDefault="008E74B8" w:rsidP="008E74B8">
      <w:pPr>
        <w:numPr>
          <w:ilvl w:val="0"/>
          <w:numId w:val="4"/>
        </w:numPr>
        <w:spacing w:before="120" w:after="120" w:line="240" w:lineRule="atLeast"/>
        <w:ind w:left="0" w:firstLine="0"/>
        <w:rPr>
          <w:rFonts w:cs="Arial"/>
          <w:szCs w:val="20"/>
        </w:rPr>
      </w:pPr>
      <w:r w:rsidRPr="000254B2">
        <w:rPr>
          <w:rFonts w:cs="Arial"/>
          <w:szCs w:val="20"/>
        </w:rPr>
        <w:t>The chart below shows the geographical distribution of Joint Programme co-operation in 202</w:t>
      </w:r>
      <w:r>
        <w:rPr>
          <w:rFonts w:cs="Arial"/>
          <w:szCs w:val="20"/>
        </w:rPr>
        <w:t>3</w:t>
      </w:r>
      <w:r w:rsidRPr="000254B2">
        <w:rPr>
          <w:rFonts w:cs="Arial"/>
          <w:szCs w:val="20"/>
        </w:rPr>
        <w:t xml:space="preserve">. </w:t>
      </w:r>
      <w:r>
        <w:rPr>
          <w:rFonts w:cs="Arial"/>
          <w:noProof/>
          <w:szCs w:val="20"/>
        </w:rPr>
        <w:drawing>
          <wp:inline distT="0" distB="0" distL="0" distR="0" wp14:anchorId="1484A677" wp14:editId="55118816">
            <wp:extent cx="5762625" cy="3333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2625" cy="3333750"/>
                    </a:xfrm>
                    <a:prstGeom prst="rect">
                      <a:avLst/>
                    </a:prstGeom>
                    <a:noFill/>
                  </pic:spPr>
                </pic:pic>
              </a:graphicData>
            </a:graphic>
          </wp:inline>
        </w:drawing>
      </w:r>
    </w:p>
    <w:p w14:paraId="4159DDDB" w14:textId="77777777" w:rsidR="008E74B8" w:rsidRDefault="008E74B8" w:rsidP="008E74B8">
      <w:pPr>
        <w:spacing w:before="120" w:after="120" w:line="240" w:lineRule="atLeast"/>
        <w:rPr>
          <w:rFonts w:cs="Arial"/>
          <w:szCs w:val="20"/>
        </w:rPr>
      </w:pPr>
    </w:p>
    <w:p w14:paraId="2FA0EDBB" w14:textId="6D387824" w:rsidR="007E0D7D" w:rsidRDefault="007E0D7D">
      <w:pPr>
        <w:rPr>
          <w:rFonts w:cs="Arial"/>
          <w:szCs w:val="20"/>
        </w:rPr>
      </w:pPr>
      <w:r>
        <w:rPr>
          <w:rFonts w:cs="Arial"/>
          <w:szCs w:val="20"/>
        </w:rPr>
        <w:br w:type="page"/>
      </w:r>
    </w:p>
    <w:p w14:paraId="2A65DEF0" w14:textId="77777777" w:rsidR="008E74B8" w:rsidRPr="00B43E17" w:rsidRDefault="008E74B8" w:rsidP="008E74B8">
      <w:pPr>
        <w:spacing w:before="120" w:after="120" w:line="240" w:lineRule="atLeast"/>
        <w:rPr>
          <w:rFonts w:cs="Arial"/>
          <w:szCs w:val="20"/>
        </w:rPr>
      </w:pPr>
    </w:p>
    <w:p w14:paraId="4BCCEA3C" w14:textId="77777777" w:rsidR="008E74B8" w:rsidRPr="00AC382A" w:rsidRDefault="008E74B8" w:rsidP="008E74B8">
      <w:pPr>
        <w:numPr>
          <w:ilvl w:val="0"/>
          <w:numId w:val="4"/>
        </w:numPr>
        <w:spacing w:before="120" w:after="120" w:line="240" w:lineRule="atLeast"/>
        <w:ind w:left="0" w:firstLine="0"/>
        <w:rPr>
          <w:rFonts w:cs="Arial"/>
          <w:szCs w:val="20"/>
        </w:rPr>
      </w:pPr>
      <w:r w:rsidRPr="000254B2">
        <w:rPr>
          <w:rFonts w:cs="Arial"/>
          <w:bCs/>
          <w:szCs w:val="20"/>
        </w:rPr>
        <w:t xml:space="preserve">As regards Joint Programmes’ </w:t>
      </w:r>
      <w:r w:rsidRPr="000254B2">
        <w:rPr>
          <w:rFonts w:cs="Arial"/>
          <w:b/>
          <w:szCs w:val="20"/>
        </w:rPr>
        <w:t>thematic distribution</w:t>
      </w:r>
      <w:r>
        <w:rPr>
          <w:rFonts w:cs="Arial"/>
          <w:b/>
          <w:szCs w:val="20"/>
        </w:rPr>
        <w:t xml:space="preserve"> in 2023</w:t>
      </w:r>
      <w:r w:rsidRPr="000254B2">
        <w:rPr>
          <w:rFonts w:cs="Arial"/>
          <w:bCs/>
          <w:szCs w:val="20"/>
        </w:rPr>
        <w:t xml:space="preserve">, </w:t>
      </w:r>
      <w:r>
        <w:rPr>
          <w:rFonts w:cs="Arial"/>
          <w:bCs/>
          <w:szCs w:val="20"/>
        </w:rPr>
        <w:t xml:space="preserve">the long-standing trends remained static: </w:t>
      </w:r>
    </w:p>
    <w:p w14:paraId="0F42EEB2" w14:textId="77777777" w:rsidR="008E74B8" w:rsidRDefault="008E74B8" w:rsidP="008E74B8">
      <w:pPr>
        <w:numPr>
          <w:ilvl w:val="0"/>
          <w:numId w:val="5"/>
        </w:numPr>
        <w:spacing w:before="120" w:after="120" w:line="240" w:lineRule="atLeast"/>
        <w:ind w:left="709" w:hanging="283"/>
        <w:rPr>
          <w:rFonts w:eastAsia="Times New Roman" w:cs="Arial"/>
          <w:szCs w:val="20"/>
          <w:lang w:eastAsia="fr-FR"/>
        </w:rPr>
      </w:pPr>
      <w:r w:rsidRPr="000254B2">
        <w:rPr>
          <w:rFonts w:eastAsia="Times New Roman" w:cs="Arial"/>
          <w:b/>
          <w:szCs w:val="20"/>
          <w:lang w:eastAsia="fr-FR"/>
        </w:rPr>
        <w:t>Programmes of the Rule of Law pillar</w:t>
      </w:r>
      <w:r w:rsidRPr="000254B2">
        <w:rPr>
          <w:rFonts w:eastAsia="Times New Roman" w:cs="Arial"/>
          <w:szCs w:val="20"/>
          <w:lang w:eastAsia="fr-FR"/>
        </w:rPr>
        <w:t xml:space="preserve"> continued to prevail in number and volume, accounting for 54.</w:t>
      </w:r>
      <w:r>
        <w:rPr>
          <w:rFonts w:eastAsia="Times New Roman" w:cs="Arial"/>
          <w:szCs w:val="20"/>
          <w:lang w:eastAsia="fr-FR"/>
        </w:rPr>
        <w:t>2</w:t>
      </w:r>
      <w:r w:rsidRPr="000254B2">
        <w:rPr>
          <w:rFonts w:eastAsia="Times New Roman" w:cs="Arial"/>
          <w:szCs w:val="20"/>
          <w:lang w:eastAsia="fr-FR"/>
        </w:rPr>
        <w:t>% of</w:t>
      </w:r>
      <w:r>
        <w:rPr>
          <w:rFonts w:eastAsia="Times New Roman" w:cs="Arial"/>
          <w:szCs w:val="20"/>
          <w:lang w:eastAsia="fr-FR"/>
        </w:rPr>
        <w:t xml:space="preserve"> ABE 2023</w:t>
      </w:r>
      <w:r w:rsidRPr="000254B2">
        <w:rPr>
          <w:rFonts w:eastAsia="Times New Roman" w:cs="Arial"/>
          <w:szCs w:val="20"/>
          <w:lang w:eastAsia="fr-FR"/>
        </w:rPr>
        <w:t xml:space="preserve"> (</w:t>
      </w:r>
      <w:r w:rsidRPr="000254B2">
        <w:rPr>
          <w:rFonts w:cs="Arial"/>
          <w:bCs/>
          <w:szCs w:val="20"/>
        </w:rPr>
        <w:t>€</w:t>
      </w:r>
      <w:r>
        <w:rPr>
          <w:rFonts w:eastAsia="Times New Roman" w:cs="Arial"/>
          <w:szCs w:val="20"/>
          <w:lang w:eastAsia="fr-FR"/>
        </w:rPr>
        <w:t>29.7 in annualised figures</w:t>
      </w:r>
      <w:r w:rsidRPr="000254B2">
        <w:rPr>
          <w:rFonts w:eastAsia="Times New Roman" w:cs="Arial"/>
          <w:szCs w:val="20"/>
          <w:lang w:eastAsia="fr-FR"/>
        </w:rPr>
        <w:t xml:space="preserve">). These programmes were implemented over a wide range of areas of the Council of Europe expertise, with two sectors – fight against cybercrime and economic crime and independence and efficiency of justice – </w:t>
      </w:r>
      <w:r>
        <w:rPr>
          <w:rFonts w:eastAsia="Times New Roman" w:cs="Arial"/>
          <w:szCs w:val="20"/>
          <w:lang w:eastAsia="fr-FR"/>
        </w:rPr>
        <w:t xml:space="preserve">benefitting from </w:t>
      </w:r>
      <w:r w:rsidRPr="000254B2">
        <w:rPr>
          <w:rFonts w:eastAsia="Times New Roman" w:cs="Arial"/>
          <w:szCs w:val="20"/>
          <w:lang w:eastAsia="fr-FR"/>
        </w:rPr>
        <w:t xml:space="preserve">the </w:t>
      </w:r>
      <w:r>
        <w:rPr>
          <w:rFonts w:eastAsia="Times New Roman" w:cs="Arial"/>
          <w:szCs w:val="20"/>
          <w:lang w:eastAsia="fr-FR"/>
        </w:rPr>
        <w:t>largest</w:t>
      </w:r>
      <w:r w:rsidRPr="000254B2">
        <w:rPr>
          <w:rFonts w:eastAsia="Times New Roman" w:cs="Arial"/>
          <w:szCs w:val="20"/>
          <w:lang w:eastAsia="fr-FR"/>
        </w:rPr>
        <w:t xml:space="preserve"> financial injections. The remainder of </w:t>
      </w:r>
      <w:r>
        <w:rPr>
          <w:rFonts w:eastAsia="Times New Roman" w:cs="Arial"/>
          <w:szCs w:val="20"/>
          <w:lang w:eastAsia="fr-FR"/>
        </w:rPr>
        <w:t xml:space="preserve">the </w:t>
      </w:r>
      <w:r w:rsidRPr="000254B2">
        <w:rPr>
          <w:rFonts w:eastAsia="Times New Roman" w:cs="Arial"/>
          <w:szCs w:val="20"/>
          <w:lang w:eastAsia="fr-FR"/>
        </w:rPr>
        <w:t xml:space="preserve">funding is </w:t>
      </w:r>
      <w:r>
        <w:rPr>
          <w:rFonts w:eastAsia="Times New Roman" w:cs="Arial"/>
          <w:szCs w:val="20"/>
          <w:lang w:eastAsia="fr-FR"/>
        </w:rPr>
        <w:t>distributed between</w:t>
      </w:r>
      <w:r w:rsidRPr="000254B2">
        <w:rPr>
          <w:rFonts w:eastAsia="Times New Roman" w:cs="Arial"/>
          <w:szCs w:val="20"/>
          <w:lang w:eastAsia="fr-FR"/>
        </w:rPr>
        <w:t xml:space="preserve"> the programmes/projects on prisons and police, assistance activities of the Venice Commission, the EDQM’s actions on the quality of medicines /protection of health, and programmes related to sport</w:t>
      </w:r>
      <w:r>
        <w:rPr>
          <w:rFonts w:eastAsia="Times New Roman" w:cs="Arial"/>
          <w:szCs w:val="20"/>
          <w:lang w:eastAsia="fr-FR"/>
        </w:rPr>
        <w:t>s</w:t>
      </w:r>
      <w:r w:rsidRPr="000254B2">
        <w:rPr>
          <w:rFonts w:eastAsia="Times New Roman" w:cs="Arial"/>
          <w:szCs w:val="20"/>
          <w:lang w:eastAsia="fr-FR"/>
        </w:rPr>
        <w:t xml:space="preserve"> conventions. </w:t>
      </w:r>
    </w:p>
    <w:p w14:paraId="15CBCF8D" w14:textId="77777777" w:rsidR="008E74B8" w:rsidRPr="00A15DB9" w:rsidRDefault="008E74B8" w:rsidP="008E74B8">
      <w:pPr>
        <w:pStyle w:val="ListParagraph"/>
        <w:numPr>
          <w:ilvl w:val="0"/>
          <w:numId w:val="5"/>
        </w:numPr>
        <w:rPr>
          <w:rFonts w:ascii="Arial" w:eastAsia="Times New Roman" w:hAnsi="Arial" w:cs="Arial"/>
          <w:sz w:val="20"/>
          <w:szCs w:val="20"/>
          <w:lang w:eastAsia="fr-FR"/>
        </w:rPr>
      </w:pPr>
      <w:r w:rsidRPr="00A15DB9">
        <w:rPr>
          <w:rFonts w:ascii="Arial" w:hAnsi="Arial" w:cs="Arial"/>
          <w:sz w:val="20"/>
          <w:szCs w:val="20"/>
        </w:rPr>
        <w:t xml:space="preserve">The </w:t>
      </w:r>
      <w:r w:rsidRPr="00A15DB9">
        <w:rPr>
          <w:rFonts w:ascii="Arial" w:hAnsi="Arial" w:cs="Arial"/>
          <w:b/>
          <w:sz w:val="20"/>
          <w:szCs w:val="20"/>
        </w:rPr>
        <w:t>Human Rights pillar’s programmes</w:t>
      </w:r>
      <w:r w:rsidRPr="00A15DB9">
        <w:rPr>
          <w:rFonts w:ascii="Arial" w:hAnsi="Arial" w:cs="Arial"/>
          <w:sz w:val="20"/>
          <w:szCs w:val="20"/>
        </w:rPr>
        <w:t xml:space="preserve"> </w:t>
      </w:r>
      <w:bookmarkStart w:id="12" w:name="_Hlk63043234"/>
      <w:r w:rsidRPr="00A15DB9">
        <w:rPr>
          <w:rFonts w:ascii="Arial" w:hAnsi="Arial" w:cs="Arial"/>
          <w:sz w:val="20"/>
          <w:szCs w:val="20"/>
        </w:rPr>
        <w:t>accounted for 32.6% of ABE in 2023 (</w:t>
      </w:r>
      <w:r w:rsidRPr="00A15DB9">
        <w:rPr>
          <w:rFonts w:ascii="Arial" w:hAnsi="Arial" w:cs="Arial"/>
          <w:bCs/>
          <w:sz w:val="20"/>
          <w:szCs w:val="20"/>
        </w:rPr>
        <w:t>€17.8</w:t>
      </w:r>
      <w:r>
        <w:rPr>
          <w:rFonts w:ascii="Arial" w:hAnsi="Arial" w:cs="Arial"/>
          <w:bCs/>
          <w:sz w:val="20"/>
          <w:szCs w:val="20"/>
        </w:rPr>
        <w:t xml:space="preserve"> </w:t>
      </w:r>
      <w:r w:rsidRPr="00A15DB9">
        <w:rPr>
          <w:rFonts w:ascii="Arial" w:hAnsi="Arial" w:cs="Arial"/>
          <w:bCs/>
          <w:sz w:val="20"/>
          <w:szCs w:val="20"/>
        </w:rPr>
        <w:t>million</w:t>
      </w:r>
      <w:bookmarkEnd w:id="12"/>
      <w:r w:rsidRPr="00A15DB9">
        <w:rPr>
          <w:rFonts w:ascii="Arial" w:hAnsi="Arial" w:cs="Arial"/>
          <w:bCs/>
          <w:sz w:val="20"/>
          <w:szCs w:val="20"/>
        </w:rPr>
        <w:t xml:space="preserve"> in annualised figures</w:t>
      </w:r>
      <w:r w:rsidRPr="00A15DB9">
        <w:rPr>
          <w:rFonts w:ascii="Arial" w:hAnsi="Arial" w:cs="Arial"/>
          <w:sz w:val="20"/>
          <w:szCs w:val="20"/>
        </w:rPr>
        <w:t xml:space="preserve">). The bulk of this funding </w:t>
      </w:r>
      <w:r>
        <w:rPr>
          <w:rFonts w:ascii="Arial" w:hAnsi="Arial" w:cs="Arial"/>
          <w:sz w:val="20"/>
          <w:szCs w:val="20"/>
        </w:rPr>
        <w:t>continued to be</w:t>
      </w:r>
      <w:r w:rsidRPr="00A15DB9">
        <w:rPr>
          <w:rFonts w:ascii="Arial" w:hAnsi="Arial" w:cs="Arial"/>
          <w:sz w:val="20"/>
          <w:szCs w:val="20"/>
        </w:rPr>
        <w:t xml:space="preserve"> channelled into enhancing the effectiveness of the ECHR system at national and European levels and into actions against discrimination and for Roma empowerment and inclusion. The remainder</w:t>
      </w:r>
      <w:r>
        <w:rPr>
          <w:rFonts w:ascii="Arial" w:hAnsi="Arial" w:cs="Arial"/>
          <w:sz w:val="20"/>
          <w:szCs w:val="20"/>
        </w:rPr>
        <w:t xml:space="preserve"> continued to</w:t>
      </w:r>
      <w:r w:rsidRPr="00A15DB9">
        <w:rPr>
          <w:rFonts w:ascii="Arial" w:hAnsi="Arial" w:cs="Arial"/>
          <w:sz w:val="20"/>
          <w:szCs w:val="20"/>
        </w:rPr>
        <w:t xml:space="preserve"> finance programmes/projects on freedom of expression and information,</w:t>
      </w:r>
      <w:r>
        <w:rPr>
          <w:rFonts w:ascii="Arial" w:hAnsi="Arial" w:cs="Arial"/>
          <w:sz w:val="20"/>
          <w:szCs w:val="20"/>
        </w:rPr>
        <w:t xml:space="preserve"> </w:t>
      </w:r>
      <w:r w:rsidRPr="00A15DB9">
        <w:rPr>
          <w:rFonts w:ascii="Arial" w:hAnsi="Arial" w:cs="Arial"/>
          <w:sz w:val="20"/>
          <w:szCs w:val="20"/>
        </w:rPr>
        <w:t>children’s rights and equality and human dignity.</w:t>
      </w:r>
      <w:r>
        <w:rPr>
          <w:rFonts w:ascii="Arial" w:hAnsi="Arial" w:cs="Arial"/>
          <w:sz w:val="20"/>
          <w:szCs w:val="20"/>
        </w:rPr>
        <w:t xml:space="preserve"> </w:t>
      </w:r>
    </w:p>
    <w:p w14:paraId="46E60021" w14:textId="77777777" w:rsidR="008E74B8" w:rsidRPr="000254B2" w:rsidRDefault="008E74B8" w:rsidP="008E74B8">
      <w:pPr>
        <w:numPr>
          <w:ilvl w:val="0"/>
          <w:numId w:val="5"/>
        </w:numPr>
        <w:tabs>
          <w:tab w:val="left" w:pos="709"/>
        </w:tabs>
        <w:spacing w:before="120" w:after="120" w:line="240" w:lineRule="atLeast"/>
        <w:ind w:left="709" w:hanging="283"/>
        <w:rPr>
          <w:rFonts w:cs="Arial"/>
          <w:szCs w:val="20"/>
        </w:rPr>
      </w:pPr>
      <w:r w:rsidRPr="00F92546">
        <w:rPr>
          <w:rFonts w:cs="Arial"/>
          <w:b/>
          <w:bCs/>
          <w:szCs w:val="20"/>
        </w:rPr>
        <w:t>Programmes in the Democracy pillar</w:t>
      </w:r>
      <w:r w:rsidRPr="000254B2">
        <w:rPr>
          <w:rFonts w:cs="Arial"/>
          <w:szCs w:val="20"/>
        </w:rPr>
        <w:t xml:space="preserve"> </w:t>
      </w:r>
      <w:r>
        <w:rPr>
          <w:rFonts w:cs="Arial"/>
          <w:szCs w:val="20"/>
        </w:rPr>
        <w:t>corresponded to</w:t>
      </w:r>
      <w:r w:rsidRPr="000254B2">
        <w:rPr>
          <w:rFonts w:cs="Arial"/>
          <w:szCs w:val="20"/>
        </w:rPr>
        <w:t xml:space="preserve"> </w:t>
      </w:r>
      <w:r>
        <w:rPr>
          <w:rFonts w:cs="Arial"/>
          <w:szCs w:val="20"/>
        </w:rPr>
        <w:t xml:space="preserve">13.2% </w:t>
      </w:r>
      <w:r w:rsidRPr="000254B2">
        <w:rPr>
          <w:rFonts w:cs="Arial"/>
          <w:szCs w:val="20"/>
        </w:rPr>
        <w:t>of</w:t>
      </w:r>
      <w:r>
        <w:rPr>
          <w:rFonts w:cs="Arial"/>
          <w:szCs w:val="20"/>
        </w:rPr>
        <w:t xml:space="preserve"> ABE 2023</w:t>
      </w:r>
      <w:r w:rsidRPr="000254B2">
        <w:rPr>
          <w:rFonts w:cs="Arial"/>
          <w:szCs w:val="20"/>
        </w:rPr>
        <w:t xml:space="preserve"> (</w:t>
      </w:r>
      <w:r w:rsidRPr="000254B2">
        <w:rPr>
          <w:rFonts w:cs="Arial"/>
          <w:bCs/>
          <w:szCs w:val="20"/>
        </w:rPr>
        <w:t>€</w:t>
      </w:r>
      <w:r>
        <w:rPr>
          <w:rFonts w:cs="Arial"/>
          <w:bCs/>
          <w:szCs w:val="20"/>
        </w:rPr>
        <w:t xml:space="preserve">7.2 </w:t>
      </w:r>
      <w:r w:rsidRPr="000254B2">
        <w:rPr>
          <w:rFonts w:cs="Arial"/>
          <w:szCs w:val="20"/>
        </w:rPr>
        <w:t>million</w:t>
      </w:r>
      <w:r>
        <w:rPr>
          <w:rFonts w:cs="Arial"/>
          <w:szCs w:val="20"/>
        </w:rPr>
        <w:t xml:space="preserve"> in annualised figures</w:t>
      </w:r>
      <w:r w:rsidRPr="000254B2">
        <w:rPr>
          <w:rFonts w:cs="Arial"/>
          <w:szCs w:val="20"/>
        </w:rPr>
        <w:t>) and concentrated mainly in education for democracy</w:t>
      </w:r>
      <w:r>
        <w:rPr>
          <w:rFonts w:cs="Arial"/>
          <w:szCs w:val="20"/>
        </w:rPr>
        <w:t>, youth for democracy</w:t>
      </w:r>
      <w:r w:rsidRPr="000254B2">
        <w:rPr>
          <w:rFonts w:cs="Arial"/>
          <w:szCs w:val="20"/>
        </w:rPr>
        <w:t xml:space="preserve"> and democratic governance sectors. </w:t>
      </w:r>
    </w:p>
    <w:p w14:paraId="009FDCC4" w14:textId="77777777" w:rsidR="008E74B8" w:rsidRPr="00375674" w:rsidRDefault="008E74B8" w:rsidP="008E74B8">
      <w:pPr>
        <w:keepNext/>
        <w:keepLines/>
        <w:numPr>
          <w:ilvl w:val="0"/>
          <w:numId w:val="4"/>
        </w:numPr>
        <w:spacing w:before="120" w:after="120" w:line="240" w:lineRule="atLeast"/>
        <w:ind w:left="0" w:firstLine="0"/>
        <w:jc w:val="both"/>
        <w:rPr>
          <w:rFonts w:cs="Arial"/>
          <w:szCs w:val="20"/>
        </w:rPr>
      </w:pPr>
      <w:r w:rsidRPr="000254B2">
        <w:rPr>
          <w:rFonts w:cs="Arial"/>
          <w:szCs w:val="20"/>
        </w:rPr>
        <w:t>The chart below shows the thematic distribution of Joint Programmes in 202</w:t>
      </w:r>
      <w:r>
        <w:rPr>
          <w:rFonts w:cs="Arial"/>
          <w:szCs w:val="20"/>
        </w:rPr>
        <w:t>3</w:t>
      </w:r>
      <w:r w:rsidRPr="000254B2">
        <w:rPr>
          <w:rFonts w:cs="Arial"/>
          <w:szCs w:val="20"/>
        </w:rPr>
        <w:t xml:space="preserve">. </w:t>
      </w:r>
      <w:r>
        <w:rPr>
          <w:rFonts w:cs="Arial"/>
          <w:szCs w:val="20"/>
        </w:rPr>
        <w:br/>
      </w:r>
    </w:p>
    <w:p w14:paraId="0FE4F877" w14:textId="77777777" w:rsidR="008E74B8" w:rsidRDefault="008E74B8" w:rsidP="008E74B8">
      <w:pPr>
        <w:tabs>
          <w:tab w:val="left" w:pos="709"/>
        </w:tabs>
        <w:spacing w:before="120" w:after="120" w:line="240" w:lineRule="atLeast"/>
        <w:rPr>
          <w:rFonts w:cs="Arial"/>
          <w:szCs w:val="20"/>
        </w:rPr>
      </w:pPr>
      <w:r>
        <w:rPr>
          <w:rFonts w:cs="Arial"/>
          <w:noProof/>
          <w:szCs w:val="20"/>
        </w:rPr>
        <w:drawing>
          <wp:anchor distT="0" distB="0" distL="114300" distR="114300" simplePos="0" relativeHeight="251659264" behindDoc="0" locked="0" layoutInCell="1" allowOverlap="1" wp14:anchorId="63ECBADC" wp14:editId="0BC9869B">
            <wp:simplePos x="685800" y="4476750"/>
            <wp:positionH relativeFrom="column">
              <wp:align>left</wp:align>
            </wp:positionH>
            <wp:positionV relativeFrom="paragraph">
              <wp:align>top</wp:align>
            </wp:positionV>
            <wp:extent cx="5657850" cy="3019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7850" cy="3019425"/>
                    </a:xfrm>
                    <a:prstGeom prst="rect">
                      <a:avLst/>
                    </a:prstGeom>
                    <a:noFill/>
                  </pic:spPr>
                </pic:pic>
              </a:graphicData>
            </a:graphic>
          </wp:anchor>
        </w:drawing>
      </w:r>
      <w:r>
        <w:rPr>
          <w:rFonts w:cs="Arial"/>
          <w:szCs w:val="20"/>
        </w:rPr>
        <w:br w:type="textWrapping" w:clear="all"/>
      </w:r>
    </w:p>
    <w:p w14:paraId="5E1C959E" w14:textId="77777777" w:rsidR="008E74B8" w:rsidRPr="000254B2" w:rsidRDefault="008E74B8" w:rsidP="008E74B8">
      <w:pPr>
        <w:tabs>
          <w:tab w:val="left" w:pos="709"/>
        </w:tabs>
        <w:spacing w:before="120" w:after="120" w:line="240" w:lineRule="atLeast"/>
        <w:rPr>
          <w:rFonts w:cs="Arial"/>
          <w:szCs w:val="20"/>
        </w:rPr>
      </w:pPr>
    </w:p>
    <w:p w14:paraId="09A4B012" w14:textId="77777777" w:rsidR="008E74B8" w:rsidRPr="00922F7C" w:rsidRDefault="008E74B8" w:rsidP="008E74B8">
      <w:pPr>
        <w:numPr>
          <w:ilvl w:val="0"/>
          <w:numId w:val="4"/>
        </w:numPr>
        <w:tabs>
          <w:tab w:val="left" w:pos="709"/>
        </w:tabs>
        <w:spacing w:before="120" w:after="120" w:line="240" w:lineRule="atLeast"/>
        <w:ind w:left="0" w:firstLine="0"/>
        <w:rPr>
          <w:rFonts w:cs="Arial"/>
          <w:szCs w:val="20"/>
        </w:rPr>
      </w:pPr>
      <w:r w:rsidRPr="000254B2">
        <w:rPr>
          <w:rFonts w:cs="Arial"/>
          <w:szCs w:val="20"/>
        </w:rPr>
        <w:t xml:space="preserve">In terms of </w:t>
      </w:r>
      <w:r w:rsidRPr="000254B2">
        <w:rPr>
          <w:rFonts w:cs="Arial"/>
          <w:b/>
          <w:szCs w:val="20"/>
        </w:rPr>
        <w:t xml:space="preserve">funding instruments, </w:t>
      </w:r>
      <w:r w:rsidRPr="000254B2">
        <w:rPr>
          <w:rFonts w:cs="Arial"/>
          <w:szCs w:val="20"/>
        </w:rPr>
        <w:t>the EU instruments of External Action remained the main source of funding for the Joint Programme co-operation</w:t>
      </w:r>
      <w:r>
        <w:rPr>
          <w:rFonts w:cs="Arial"/>
          <w:szCs w:val="20"/>
        </w:rPr>
        <w:t>,</w:t>
      </w:r>
      <w:r w:rsidRPr="000254B2">
        <w:rPr>
          <w:rFonts w:cs="Arial"/>
          <w:szCs w:val="20"/>
        </w:rPr>
        <w:t xml:space="preserve"> with a preponderance of </w:t>
      </w:r>
      <w:r w:rsidRPr="000254B2">
        <w:rPr>
          <w:rFonts w:cs="Arial"/>
          <w:b/>
          <w:bCs/>
          <w:szCs w:val="20"/>
        </w:rPr>
        <w:t>the Instrument of Pre-accession</w:t>
      </w:r>
      <w:r w:rsidRPr="000254B2">
        <w:rPr>
          <w:rFonts w:cs="Arial"/>
          <w:szCs w:val="20"/>
        </w:rPr>
        <w:t xml:space="preserve"> (</w:t>
      </w:r>
      <w:r>
        <w:rPr>
          <w:rFonts w:cs="Arial"/>
          <w:szCs w:val="20"/>
        </w:rPr>
        <w:t>36.5</w:t>
      </w:r>
      <w:r w:rsidRPr="000254B2">
        <w:rPr>
          <w:rFonts w:cs="Arial"/>
          <w:szCs w:val="20"/>
        </w:rPr>
        <w:t>%)</w:t>
      </w:r>
      <w:r>
        <w:rPr>
          <w:rFonts w:cs="Arial"/>
          <w:szCs w:val="20"/>
        </w:rPr>
        <w:t xml:space="preserve"> and the </w:t>
      </w:r>
      <w:r w:rsidRPr="000254B2">
        <w:rPr>
          <w:rFonts w:cs="Arial"/>
          <w:b/>
          <w:bCs/>
          <w:szCs w:val="20"/>
        </w:rPr>
        <w:t>European Neighbourhood Instrument</w:t>
      </w:r>
      <w:r w:rsidRPr="000254B2">
        <w:rPr>
          <w:rFonts w:cs="Arial"/>
          <w:szCs w:val="20"/>
        </w:rPr>
        <w:t xml:space="preserve"> </w:t>
      </w:r>
      <w:r>
        <w:rPr>
          <w:rFonts w:cs="Arial"/>
          <w:szCs w:val="20"/>
        </w:rPr>
        <w:t>/</w:t>
      </w:r>
      <w:r w:rsidRPr="00783A5E">
        <w:rPr>
          <w:rFonts w:cs="Arial"/>
          <w:b/>
          <w:bCs/>
          <w:szCs w:val="20"/>
        </w:rPr>
        <w:t xml:space="preserve">Neighbourhood, Development and International Cooperation Instrument (NDICI-Global Europe) </w:t>
      </w:r>
      <w:r>
        <w:rPr>
          <w:rFonts w:cs="Arial"/>
          <w:szCs w:val="20"/>
        </w:rPr>
        <w:t>(34.3%</w:t>
      </w:r>
      <w:r w:rsidRPr="000254B2">
        <w:rPr>
          <w:rFonts w:cs="Arial"/>
          <w:szCs w:val="20"/>
        </w:rPr>
        <w:t xml:space="preserve">). </w:t>
      </w:r>
      <w:r>
        <w:rPr>
          <w:rFonts w:cs="Arial"/>
          <w:szCs w:val="20"/>
        </w:rPr>
        <w:t>Several</w:t>
      </w:r>
      <w:r w:rsidRPr="000254B2">
        <w:rPr>
          <w:rFonts w:cs="Arial"/>
          <w:szCs w:val="20"/>
        </w:rPr>
        <w:t xml:space="preserve"> other instruments and funding programmes were involved</w:t>
      </w:r>
      <w:r>
        <w:rPr>
          <w:rFonts w:cs="Arial"/>
          <w:szCs w:val="20"/>
        </w:rPr>
        <w:t xml:space="preserve"> </w:t>
      </w:r>
      <w:r w:rsidRPr="000254B2">
        <w:rPr>
          <w:rFonts w:cs="Arial"/>
          <w:szCs w:val="20"/>
        </w:rPr>
        <w:t>(notably the Technical Support Instrument (TSI)</w:t>
      </w:r>
      <w:r>
        <w:rPr>
          <w:rFonts w:cs="Arial"/>
          <w:szCs w:val="20"/>
        </w:rPr>
        <w:t xml:space="preserve"> and funding programmes managed by</w:t>
      </w:r>
      <w:r w:rsidRPr="00DF474B">
        <w:rPr>
          <w:rFonts w:cs="Arial"/>
          <w:szCs w:val="20"/>
        </w:rPr>
        <w:t xml:space="preserve"> </w:t>
      </w:r>
      <w:r>
        <w:rPr>
          <w:rFonts w:cs="Arial"/>
          <w:szCs w:val="20"/>
        </w:rPr>
        <w:t>DG JUST and DG EAC)</w:t>
      </w:r>
      <w:r w:rsidRPr="000254B2">
        <w:rPr>
          <w:rFonts w:cs="Arial"/>
          <w:szCs w:val="20"/>
        </w:rPr>
        <w:t>, with their</w:t>
      </w:r>
      <w:r>
        <w:rPr>
          <w:rFonts w:cs="Arial"/>
          <w:szCs w:val="20"/>
        </w:rPr>
        <w:t xml:space="preserve"> </w:t>
      </w:r>
      <w:r w:rsidRPr="000254B2">
        <w:rPr>
          <w:rFonts w:cs="Arial"/>
          <w:szCs w:val="20"/>
        </w:rPr>
        <w:t xml:space="preserve">shares remaining under 10%. </w:t>
      </w:r>
    </w:p>
    <w:p w14:paraId="0E036049" w14:textId="77777777" w:rsidR="008E74B8" w:rsidRPr="000254B2" w:rsidRDefault="008E74B8" w:rsidP="008E74B8">
      <w:pPr>
        <w:tabs>
          <w:tab w:val="left" w:pos="709"/>
        </w:tabs>
        <w:spacing w:before="120" w:after="120" w:line="240" w:lineRule="atLeast"/>
        <w:rPr>
          <w:rFonts w:cs="Arial"/>
          <w:szCs w:val="20"/>
        </w:rPr>
      </w:pPr>
    </w:p>
    <w:p w14:paraId="32917769" w14:textId="77777777" w:rsidR="008E74B8" w:rsidRPr="000254B2" w:rsidRDefault="008E74B8" w:rsidP="008E74B8">
      <w:pPr>
        <w:spacing w:before="120" w:after="120" w:line="240" w:lineRule="atLeast"/>
        <w:rPr>
          <w:rFonts w:cs="Arial"/>
          <w:b/>
          <w:szCs w:val="20"/>
        </w:rPr>
      </w:pPr>
      <w:r w:rsidRPr="000254B2">
        <w:rPr>
          <w:rFonts w:cs="Arial"/>
          <w:b/>
          <w:szCs w:val="20"/>
        </w:rPr>
        <w:t xml:space="preserve">III. </w:t>
      </w:r>
      <w:r w:rsidRPr="000254B2">
        <w:rPr>
          <w:rFonts w:cs="Arial"/>
          <w:b/>
          <w:szCs w:val="20"/>
        </w:rPr>
        <w:tab/>
        <w:t xml:space="preserve">ACHIEVEMENTS OF JOINT PROGRAMME CO-OPERATION </w:t>
      </w:r>
    </w:p>
    <w:p w14:paraId="119EB50A" w14:textId="77777777" w:rsidR="008E74B8" w:rsidRPr="000254B2" w:rsidRDefault="008E74B8" w:rsidP="008E74B8">
      <w:pPr>
        <w:numPr>
          <w:ilvl w:val="0"/>
          <w:numId w:val="4"/>
        </w:numPr>
        <w:spacing w:before="120" w:after="120" w:line="240" w:lineRule="atLeast"/>
        <w:ind w:left="0" w:firstLine="0"/>
        <w:rPr>
          <w:rFonts w:eastAsia="Times New Roman" w:cs="Arial"/>
          <w:color w:val="000000" w:themeColor="text1"/>
          <w:szCs w:val="20"/>
          <w:lang w:eastAsia="fr-FR"/>
        </w:rPr>
      </w:pPr>
      <w:r w:rsidRPr="000254B2">
        <w:rPr>
          <w:rFonts w:eastAsia="Times New Roman" w:cs="Arial"/>
          <w:color w:val="000000" w:themeColor="text1"/>
          <w:szCs w:val="20"/>
          <w:lang w:eastAsia="fr-FR"/>
        </w:rPr>
        <w:t>This section presents, in brief, the achievements of Joint Programme co</w:t>
      </w:r>
      <w:r>
        <w:rPr>
          <w:rFonts w:eastAsia="Times New Roman" w:cs="Arial"/>
          <w:color w:val="000000" w:themeColor="text1"/>
          <w:szCs w:val="20"/>
          <w:lang w:eastAsia="fr-FR"/>
        </w:rPr>
        <w:t>-</w:t>
      </w:r>
      <w:r w:rsidRPr="000254B2">
        <w:rPr>
          <w:rFonts w:eastAsia="Times New Roman" w:cs="Arial"/>
          <w:color w:val="000000" w:themeColor="text1"/>
          <w:szCs w:val="20"/>
          <w:lang w:eastAsia="fr-FR"/>
        </w:rPr>
        <w:t>operation by geographical area, with a particular focus on the results of the corresponding regional programmatic facilities. It also describes other major co</w:t>
      </w:r>
      <w:r>
        <w:rPr>
          <w:rFonts w:eastAsia="Times New Roman" w:cs="Arial"/>
          <w:color w:val="000000" w:themeColor="text1"/>
          <w:szCs w:val="20"/>
          <w:lang w:eastAsia="fr-FR"/>
        </w:rPr>
        <w:t>-</w:t>
      </w:r>
      <w:r w:rsidRPr="000254B2">
        <w:rPr>
          <w:rFonts w:eastAsia="Times New Roman" w:cs="Arial"/>
          <w:color w:val="000000" w:themeColor="text1"/>
          <w:szCs w:val="20"/>
          <w:lang w:eastAsia="fr-FR"/>
        </w:rPr>
        <w:t xml:space="preserve">operation undertakings such as the Central Asia Rule of Law Programme, </w:t>
      </w:r>
      <w:r>
        <w:rPr>
          <w:rFonts w:eastAsia="Times New Roman" w:cs="Arial"/>
          <w:color w:val="000000" w:themeColor="text1"/>
          <w:szCs w:val="20"/>
          <w:lang w:eastAsia="fr-FR"/>
        </w:rPr>
        <w:t xml:space="preserve">and </w:t>
      </w:r>
      <w:r w:rsidRPr="000254B2">
        <w:rPr>
          <w:rFonts w:eastAsia="Times New Roman" w:cs="Arial"/>
          <w:color w:val="000000" w:themeColor="text1"/>
          <w:szCs w:val="20"/>
          <w:lang w:eastAsia="fr-FR"/>
        </w:rPr>
        <w:t>the co</w:t>
      </w:r>
      <w:r>
        <w:rPr>
          <w:rFonts w:eastAsia="Times New Roman" w:cs="Arial"/>
          <w:color w:val="000000" w:themeColor="text1"/>
          <w:szCs w:val="20"/>
          <w:lang w:eastAsia="fr-FR"/>
        </w:rPr>
        <w:t>-</w:t>
      </w:r>
      <w:r w:rsidRPr="000254B2">
        <w:rPr>
          <w:rFonts w:eastAsia="Times New Roman" w:cs="Arial"/>
          <w:color w:val="000000" w:themeColor="text1"/>
          <w:szCs w:val="20"/>
          <w:lang w:eastAsia="fr-FR"/>
        </w:rPr>
        <w:t>operation framework with DG REFORM in EU member States</w:t>
      </w:r>
      <w:r>
        <w:rPr>
          <w:rFonts w:eastAsia="Times New Roman" w:cs="Arial"/>
          <w:color w:val="000000" w:themeColor="text1"/>
          <w:szCs w:val="20"/>
          <w:lang w:eastAsia="fr-FR"/>
        </w:rPr>
        <w:t xml:space="preserve">. </w:t>
      </w:r>
    </w:p>
    <w:p w14:paraId="1F355FAB" w14:textId="77777777" w:rsidR="007E0D7D" w:rsidRDefault="008E74B8" w:rsidP="008E74B8">
      <w:pPr>
        <w:jc w:val="both"/>
        <w:rPr>
          <w:rFonts w:eastAsia="Times New Roman" w:cs="Arial"/>
          <w:b/>
          <w:szCs w:val="20"/>
          <w:lang w:eastAsia="fr-FR"/>
        </w:rPr>
      </w:pPr>
      <w:r>
        <w:rPr>
          <w:rFonts w:eastAsia="Times New Roman" w:cs="Arial"/>
          <w:b/>
          <w:szCs w:val="20"/>
          <w:lang w:eastAsia="fr-FR"/>
        </w:rPr>
        <w:br w:type="page"/>
      </w:r>
    </w:p>
    <w:p w14:paraId="3E8FF3FC" w14:textId="77777777" w:rsidR="007E0D7D" w:rsidRDefault="007E0D7D" w:rsidP="007E0D7D">
      <w:pPr>
        <w:jc w:val="both"/>
        <w:rPr>
          <w:rFonts w:eastAsia="Times New Roman" w:cs="Arial"/>
          <w:b/>
          <w:szCs w:val="20"/>
          <w:lang w:eastAsia="fr-FR"/>
        </w:rPr>
      </w:pPr>
    </w:p>
    <w:p w14:paraId="1093F576" w14:textId="1985D6D9" w:rsidR="008E74B8" w:rsidRDefault="008E74B8" w:rsidP="007E0D7D">
      <w:pPr>
        <w:jc w:val="both"/>
        <w:rPr>
          <w:rFonts w:eastAsia="Times New Roman" w:cs="Arial"/>
          <w:b/>
          <w:szCs w:val="20"/>
          <w:lang w:eastAsia="fr-FR"/>
        </w:rPr>
      </w:pPr>
      <w:r>
        <w:rPr>
          <w:rFonts w:eastAsia="Times New Roman" w:cs="Arial"/>
          <w:b/>
          <w:szCs w:val="20"/>
          <w:lang w:eastAsia="fr-FR"/>
        </w:rPr>
        <w:t>Joint Programme co-operation in Eastern Europe and the South Caucasu</w:t>
      </w:r>
      <w:r w:rsidR="007E0D7D">
        <w:rPr>
          <w:rFonts w:eastAsia="Times New Roman" w:cs="Arial"/>
          <w:b/>
          <w:szCs w:val="20"/>
          <w:lang w:eastAsia="fr-FR"/>
        </w:rPr>
        <w:t>s</w:t>
      </w:r>
    </w:p>
    <w:p w14:paraId="13793F33" w14:textId="77777777" w:rsidR="007E0D7D" w:rsidRPr="00D84E92" w:rsidRDefault="007E0D7D" w:rsidP="007E0D7D">
      <w:pPr>
        <w:jc w:val="both"/>
        <w:rPr>
          <w:rFonts w:eastAsia="Times New Roman" w:cs="Arial"/>
          <w:b/>
          <w:szCs w:val="20"/>
          <w:lang w:eastAsia="fr-FR"/>
        </w:rPr>
      </w:pPr>
    </w:p>
    <w:p w14:paraId="173C6585" w14:textId="77777777" w:rsidR="008E74B8" w:rsidRDefault="008E74B8" w:rsidP="007E0D7D">
      <w:pPr>
        <w:numPr>
          <w:ilvl w:val="0"/>
          <w:numId w:val="4"/>
        </w:numPr>
        <w:ind w:left="0" w:firstLine="0"/>
        <w:rPr>
          <w:rFonts w:cs="Arial"/>
          <w:i/>
          <w:iCs/>
          <w:szCs w:val="20"/>
          <w:u w:val="single"/>
        </w:rPr>
      </w:pPr>
      <w:r w:rsidRPr="00C423CA">
        <w:rPr>
          <w:rFonts w:cs="Arial"/>
          <w:i/>
          <w:iCs/>
          <w:szCs w:val="20"/>
          <w:u w:val="single"/>
        </w:rPr>
        <w:t xml:space="preserve">Partnership for Good Governance </w:t>
      </w:r>
    </w:p>
    <w:p w14:paraId="398817B7" w14:textId="77777777" w:rsidR="007E0D7D" w:rsidRPr="00D84E92" w:rsidRDefault="007E0D7D" w:rsidP="007E0D7D">
      <w:pPr>
        <w:rPr>
          <w:rFonts w:cs="Arial"/>
          <w:i/>
          <w:iCs/>
          <w:szCs w:val="20"/>
          <w:u w:val="single"/>
        </w:rPr>
      </w:pPr>
    </w:p>
    <w:p w14:paraId="030F54E5" w14:textId="77777777" w:rsidR="008E74B8" w:rsidRDefault="008E74B8" w:rsidP="007E0D7D">
      <w:pPr>
        <w:rPr>
          <w:rFonts w:cs="Arial"/>
          <w:szCs w:val="20"/>
        </w:rPr>
      </w:pPr>
      <w:r>
        <w:rPr>
          <w:rFonts w:cs="Arial"/>
          <w:szCs w:val="20"/>
        </w:rPr>
        <w:t>The Partnership for Good Governance</w:t>
      </w:r>
      <w:r w:rsidRPr="00A15DB9">
        <w:rPr>
          <w:rFonts w:cs="Arial"/>
          <w:szCs w:val="20"/>
        </w:rPr>
        <w:t xml:space="preserve"> </w:t>
      </w:r>
      <w:r>
        <w:rPr>
          <w:rFonts w:cs="Arial"/>
          <w:szCs w:val="20"/>
        </w:rPr>
        <w:t>(PGG)</w:t>
      </w:r>
      <w:r w:rsidRPr="00A15DB9">
        <w:rPr>
          <w:rFonts w:cs="Arial"/>
          <w:szCs w:val="20"/>
        </w:rPr>
        <w:t xml:space="preserve"> for the Eastern Partnership (EaP) was the first European Union</w:t>
      </w:r>
      <w:r w:rsidRPr="00A15DB9">
        <w:rPr>
          <w:rFonts w:cs="Arial"/>
          <w:szCs w:val="20"/>
        </w:rPr>
        <w:noBreakHyphen/>
        <w:t xml:space="preserve">Council of Europe programmatic facility </w:t>
      </w:r>
      <w:r>
        <w:rPr>
          <w:rFonts w:cs="Arial"/>
          <w:szCs w:val="20"/>
        </w:rPr>
        <w:t>operationalised</w:t>
      </w:r>
      <w:r w:rsidRPr="00A15DB9">
        <w:rPr>
          <w:rFonts w:cs="Arial"/>
          <w:szCs w:val="20"/>
        </w:rPr>
        <w:t xml:space="preserve"> in 2015. Its Phase II (PGG II) with a total budgetary envelope of €17.5 million ran from January 2019 to the end of February 2023. It provided tailor-made support to the national reforms in the framework of Council of Europe country-specific action plans, also contributing to the </w:t>
      </w:r>
      <w:r w:rsidRPr="00A15DB9">
        <w:rPr>
          <w:rFonts w:eastAsiaTheme="minorHAnsi" w:cs="Arial"/>
          <w:szCs w:val="20"/>
        </w:rPr>
        <w:t xml:space="preserve">achievement of the EU 2020 deliverables for the EaP countries and to the </w:t>
      </w:r>
      <w:r w:rsidRPr="00A15DB9">
        <w:rPr>
          <w:rFonts w:cs="Arial"/>
          <w:szCs w:val="20"/>
        </w:rPr>
        <w:t>post-2020 Eastern Partnership priorities</w:t>
      </w:r>
      <w:r w:rsidRPr="00A15DB9">
        <w:rPr>
          <w:rFonts w:eastAsiaTheme="minorHAnsi" w:cs="Arial"/>
          <w:szCs w:val="20"/>
        </w:rPr>
        <w:t>.</w:t>
      </w:r>
      <w:r w:rsidRPr="00A15DB9">
        <w:rPr>
          <w:rFonts w:cs="Arial"/>
          <w:szCs w:val="20"/>
        </w:rPr>
        <w:t xml:space="preserve"> The PGG II included 12 country-specific and four regional projects organised under three themes: i) strengthening the rule of law and mechanisms to combat corruption, money</w:t>
      </w:r>
      <w:r>
        <w:rPr>
          <w:rFonts w:cs="Arial"/>
          <w:szCs w:val="20"/>
        </w:rPr>
        <w:t xml:space="preserve"> </w:t>
      </w:r>
      <w:r w:rsidRPr="00A15DB9">
        <w:rPr>
          <w:rFonts w:cs="Arial"/>
          <w:szCs w:val="20"/>
        </w:rPr>
        <w:t xml:space="preserve">laundering and terrorist financing; ii) implementation of key judicial reforms; and iii) combating discrimination and protecting the rights of vulnerable groups and women (cross-cutting issues). </w:t>
      </w:r>
    </w:p>
    <w:p w14:paraId="4821C569" w14:textId="77777777" w:rsidR="007E0D7D" w:rsidRPr="00A15DB9" w:rsidRDefault="007E0D7D" w:rsidP="007E0D7D">
      <w:pPr>
        <w:rPr>
          <w:rFonts w:cs="Arial"/>
          <w:szCs w:val="20"/>
        </w:rPr>
      </w:pPr>
    </w:p>
    <w:p w14:paraId="7E3883CB" w14:textId="77777777" w:rsidR="008E74B8" w:rsidRDefault="008E74B8" w:rsidP="007E0D7D">
      <w:pPr>
        <w:rPr>
          <w:rFonts w:cs="Arial"/>
          <w:szCs w:val="20"/>
          <w:lang w:val="en-US"/>
        </w:rPr>
      </w:pPr>
      <w:r w:rsidRPr="000254B2">
        <w:rPr>
          <w:rFonts w:cs="Arial"/>
          <w:color w:val="000000"/>
          <w:szCs w:val="20"/>
          <w:lang w:val="en-US"/>
        </w:rPr>
        <w:t xml:space="preserve">Following </w:t>
      </w:r>
      <w:r>
        <w:rPr>
          <w:rFonts w:cs="Arial"/>
          <w:color w:val="000000"/>
          <w:szCs w:val="20"/>
          <w:lang w:val="en-US"/>
        </w:rPr>
        <w:t xml:space="preserve">the </w:t>
      </w:r>
      <w:r w:rsidRPr="000254B2">
        <w:rPr>
          <w:rFonts w:cs="Arial"/>
          <w:color w:val="000000"/>
          <w:szCs w:val="20"/>
          <w:lang w:val="en-US"/>
        </w:rPr>
        <w:t>Russia</w:t>
      </w:r>
      <w:r>
        <w:rPr>
          <w:rFonts w:cs="Arial"/>
          <w:color w:val="000000"/>
          <w:szCs w:val="20"/>
          <w:lang w:val="en-US"/>
        </w:rPr>
        <w:t>n Federation</w:t>
      </w:r>
      <w:r w:rsidRPr="000254B2">
        <w:rPr>
          <w:rFonts w:cs="Arial"/>
          <w:color w:val="000000"/>
          <w:szCs w:val="20"/>
          <w:lang w:val="en-US"/>
        </w:rPr>
        <w:t>’s</w:t>
      </w:r>
      <w:r>
        <w:rPr>
          <w:rFonts w:cs="Arial"/>
          <w:color w:val="000000"/>
          <w:szCs w:val="20"/>
          <w:lang w:val="en-US"/>
        </w:rPr>
        <w:t xml:space="preserve"> war</w:t>
      </w:r>
      <w:r w:rsidRPr="000254B2">
        <w:rPr>
          <w:rFonts w:cs="Arial"/>
          <w:color w:val="000000"/>
          <w:szCs w:val="20"/>
          <w:lang w:val="en-US"/>
        </w:rPr>
        <w:t xml:space="preserve"> </w:t>
      </w:r>
      <w:r>
        <w:rPr>
          <w:rFonts w:cs="Arial"/>
          <w:color w:val="000000"/>
          <w:szCs w:val="20"/>
          <w:lang w:val="en-US"/>
        </w:rPr>
        <w:t xml:space="preserve">of </w:t>
      </w:r>
      <w:r w:rsidRPr="000254B2">
        <w:rPr>
          <w:rFonts w:cs="Arial"/>
          <w:color w:val="000000"/>
          <w:szCs w:val="20"/>
          <w:lang w:val="en-US"/>
        </w:rPr>
        <w:t>aggression against Ukraine, the PGG II continued to address the Ukrainian partners’ emerging needs regarding the fight against economic crime,</w:t>
      </w:r>
      <w:r w:rsidRPr="000254B2">
        <w:rPr>
          <w:rFonts w:cs="Arial"/>
          <w:szCs w:val="20"/>
          <w:lang w:val="en-US"/>
        </w:rPr>
        <w:t xml:space="preserve"> i</w:t>
      </w:r>
      <w:r w:rsidRPr="000254B2">
        <w:rPr>
          <w:rFonts w:cs="Arial"/>
          <w:color w:val="000000"/>
          <w:szCs w:val="20"/>
          <w:lang w:val="en-US"/>
        </w:rPr>
        <w:t xml:space="preserve">n consultation with the European Union, and with strict respect </w:t>
      </w:r>
      <w:r>
        <w:rPr>
          <w:rFonts w:cs="Arial"/>
          <w:color w:val="000000"/>
          <w:szCs w:val="20"/>
          <w:lang w:val="en-US"/>
        </w:rPr>
        <w:t>for</w:t>
      </w:r>
      <w:r w:rsidRPr="000254B2">
        <w:rPr>
          <w:rFonts w:cs="Arial"/>
          <w:color w:val="000000"/>
          <w:szCs w:val="20"/>
          <w:lang w:val="en-US"/>
        </w:rPr>
        <w:t xml:space="preserve"> the security requirements. PGG II projects accommodated the Moldovan partners</w:t>
      </w:r>
      <w:r>
        <w:rPr>
          <w:rFonts w:cs="Arial"/>
          <w:color w:val="000000"/>
          <w:szCs w:val="20"/>
          <w:lang w:val="en-US"/>
        </w:rPr>
        <w:t>'</w:t>
      </w:r>
      <w:r w:rsidRPr="000254B2">
        <w:rPr>
          <w:rFonts w:cs="Arial"/>
          <w:color w:val="000000"/>
          <w:szCs w:val="20"/>
          <w:lang w:val="en-US"/>
        </w:rPr>
        <w:t xml:space="preserve"> needs regarding the related migration crisis in the framework of the projects’ overall objectives.</w:t>
      </w:r>
      <w:r>
        <w:rPr>
          <w:rFonts w:cs="Arial"/>
          <w:color w:val="000000"/>
          <w:szCs w:val="20"/>
          <w:shd w:val="clear" w:color="auto" w:fill="FFFFFF"/>
          <w:lang w:val="en-US"/>
        </w:rPr>
        <w:t xml:space="preserve"> </w:t>
      </w:r>
      <w:r w:rsidRPr="000254B2">
        <w:rPr>
          <w:rFonts w:cs="Arial"/>
          <w:color w:val="000000"/>
          <w:szCs w:val="20"/>
          <w:shd w:val="clear" w:color="auto" w:fill="FFFFFF"/>
          <w:lang w:val="en-US"/>
        </w:rPr>
        <w:t xml:space="preserve">To allow for continued implementation, the PGG II </w:t>
      </w:r>
      <w:r w:rsidRPr="000254B2">
        <w:rPr>
          <w:rFonts w:cs="Arial"/>
          <w:szCs w:val="20"/>
          <w:lang w:val="en-US"/>
        </w:rPr>
        <w:t>applied a set of mitigation measures to address the political challenges in the region, adjusted the working methods and refocused some actions, while also taking into consideration the impact of the European Commission Opinion</w:t>
      </w:r>
      <w:r>
        <w:rPr>
          <w:rFonts w:cs="Arial"/>
          <w:szCs w:val="20"/>
          <w:lang w:val="en-US"/>
        </w:rPr>
        <w:t xml:space="preserve"> and </w:t>
      </w:r>
      <w:r w:rsidRPr="000254B2">
        <w:rPr>
          <w:rFonts w:cs="Arial"/>
          <w:szCs w:val="20"/>
          <w:lang w:val="en-US"/>
        </w:rPr>
        <w:t>European Council Decision on membership application</w:t>
      </w:r>
      <w:r>
        <w:rPr>
          <w:rFonts w:cs="Arial"/>
          <w:szCs w:val="20"/>
          <w:lang w:val="en-US"/>
        </w:rPr>
        <w:t>s</w:t>
      </w:r>
      <w:r w:rsidRPr="000254B2">
        <w:rPr>
          <w:rFonts w:cs="Arial"/>
          <w:szCs w:val="20"/>
          <w:lang w:val="en-US"/>
        </w:rPr>
        <w:t xml:space="preserve"> of</w:t>
      </w:r>
      <w:r>
        <w:rPr>
          <w:rFonts w:cs="Arial"/>
          <w:szCs w:val="20"/>
          <w:lang w:val="en-US"/>
        </w:rPr>
        <w:t xml:space="preserve"> Georgia</w:t>
      </w:r>
      <w:r w:rsidRPr="000254B2">
        <w:rPr>
          <w:rFonts w:cs="Arial"/>
          <w:szCs w:val="20"/>
          <w:lang w:val="en-US"/>
        </w:rPr>
        <w:t>, the Republic of Moldova and</w:t>
      </w:r>
      <w:r>
        <w:rPr>
          <w:rFonts w:cs="Arial"/>
          <w:szCs w:val="20"/>
          <w:lang w:val="en-US"/>
        </w:rPr>
        <w:t xml:space="preserve"> Ukraine</w:t>
      </w:r>
      <w:r w:rsidRPr="000254B2">
        <w:rPr>
          <w:rFonts w:cs="Arial"/>
          <w:szCs w:val="20"/>
          <w:lang w:val="en-US"/>
        </w:rPr>
        <w:t>.</w:t>
      </w:r>
    </w:p>
    <w:p w14:paraId="3EFD9F57" w14:textId="77777777" w:rsidR="007E0D7D" w:rsidRPr="000254B2" w:rsidRDefault="007E0D7D" w:rsidP="007E0D7D">
      <w:pPr>
        <w:rPr>
          <w:rFonts w:cs="Arial"/>
          <w:szCs w:val="20"/>
          <w:lang w:val="en-US"/>
        </w:rPr>
      </w:pPr>
    </w:p>
    <w:p w14:paraId="59250233" w14:textId="77777777" w:rsidR="008E74B8" w:rsidRDefault="008E74B8" w:rsidP="007E0D7D">
      <w:pPr>
        <w:rPr>
          <w:rFonts w:cs="Arial"/>
          <w:szCs w:val="20"/>
        </w:rPr>
      </w:pPr>
      <w:r w:rsidRPr="000254B2">
        <w:rPr>
          <w:rFonts w:cs="Arial"/>
          <w:szCs w:val="20"/>
        </w:rPr>
        <w:t xml:space="preserve">The PGG II </w:t>
      </w:r>
      <w:r>
        <w:rPr>
          <w:rFonts w:cs="Arial"/>
          <w:szCs w:val="20"/>
        </w:rPr>
        <w:t xml:space="preserve">external </w:t>
      </w:r>
      <w:r w:rsidRPr="000254B2">
        <w:rPr>
          <w:rFonts w:cs="Arial"/>
          <w:szCs w:val="20"/>
        </w:rPr>
        <w:t>evaluation confirmed that the Programme was a relevant and efficient co</w:t>
      </w:r>
      <w:r>
        <w:rPr>
          <w:rFonts w:cs="Arial"/>
          <w:szCs w:val="20"/>
        </w:rPr>
        <w:t>-</w:t>
      </w:r>
      <w:r w:rsidRPr="000254B2">
        <w:rPr>
          <w:rFonts w:cs="Arial"/>
          <w:szCs w:val="20"/>
        </w:rPr>
        <w:t>operation tool, providing targeted support to the EaP countries for the implementation of national reforms in the PGG priority areas. The Quick Response Mechanism (QRM)</w:t>
      </w:r>
      <w:r>
        <w:rPr>
          <w:rFonts w:cs="Arial"/>
          <w:szCs w:val="20"/>
        </w:rPr>
        <w:t xml:space="preserve">, channelling </w:t>
      </w:r>
      <w:r w:rsidRPr="000254B2">
        <w:rPr>
          <w:rFonts w:cs="Arial"/>
          <w:szCs w:val="20"/>
        </w:rPr>
        <w:t>legal expertise and policy advice from Council of Europe bodies, and in particular that of the Venice Commission, to the beneficiary countries has proven its added value.</w:t>
      </w:r>
    </w:p>
    <w:p w14:paraId="1E63449B" w14:textId="77777777" w:rsidR="007E0D7D" w:rsidRPr="000254B2" w:rsidRDefault="007E0D7D" w:rsidP="007E0D7D">
      <w:pPr>
        <w:rPr>
          <w:rFonts w:cs="Arial"/>
          <w:szCs w:val="20"/>
        </w:rPr>
      </w:pPr>
    </w:p>
    <w:p w14:paraId="7BD24E3E" w14:textId="77777777" w:rsidR="008E74B8" w:rsidRDefault="008E74B8" w:rsidP="007E0D7D">
      <w:pPr>
        <w:pStyle w:val="Heading1"/>
        <w:spacing w:before="0"/>
        <w:rPr>
          <w:rStyle w:val="bumpedfont15"/>
          <w:rFonts w:ascii="Arial" w:hAnsi="Arial" w:cs="Arial"/>
          <w:color w:val="auto"/>
          <w:sz w:val="20"/>
          <w:szCs w:val="20"/>
        </w:rPr>
      </w:pPr>
      <w:r w:rsidRPr="001721D0">
        <w:rPr>
          <w:rFonts w:ascii="Arial" w:hAnsi="Arial" w:cs="Arial"/>
          <w:color w:val="auto"/>
          <w:sz w:val="20"/>
          <w:szCs w:val="20"/>
        </w:rPr>
        <w:t xml:space="preserve">The third phase of PGG started in March 2023 and will be implemented over four years </w:t>
      </w:r>
      <w:r w:rsidRPr="001721D0">
        <w:rPr>
          <w:rFonts w:ascii="Arial" w:hAnsi="Arial" w:cs="Arial"/>
          <w:bCs/>
          <w:color w:val="auto"/>
          <w:sz w:val="20"/>
          <w:szCs w:val="20"/>
        </w:rPr>
        <w:t>until February 2027</w:t>
      </w:r>
      <w:r>
        <w:rPr>
          <w:rFonts w:ascii="Arial" w:hAnsi="Arial" w:cs="Arial"/>
          <w:bCs/>
          <w:color w:val="auto"/>
          <w:sz w:val="20"/>
          <w:szCs w:val="20"/>
        </w:rPr>
        <w:t xml:space="preserve">, with a </w:t>
      </w:r>
      <w:r w:rsidRPr="001721D0">
        <w:rPr>
          <w:rFonts w:ascii="Arial" w:hAnsi="Arial" w:cs="Arial"/>
          <w:bCs/>
          <w:color w:val="auto"/>
          <w:sz w:val="20"/>
          <w:szCs w:val="20"/>
        </w:rPr>
        <w:t>total budgetary envelop</w:t>
      </w:r>
      <w:r>
        <w:rPr>
          <w:rFonts w:ascii="Arial" w:hAnsi="Arial" w:cs="Arial"/>
          <w:bCs/>
          <w:color w:val="auto"/>
          <w:sz w:val="20"/>
          <w:szCs w:val="20"/>
        </w:rPr>
        <w:t>e</w:t>
      </w:r>
      <w:r w:rsidRPr="001721D0">
        <w:rPr>
          <w:rFonts w:ascii="Arial" w:hAnsi="Arial" w:cs="Arial"/>
          <w:bCs/>
          <w:color w:val="auto"/>
          <w:sz w:val="20"/>
          <w:szCs w:val="20"/>
        </w:rPr>
        <w:t xml:space="preserve"> </w:t>
      </w:r>
      <w:r>
        <w:rPr>
          <w:rFonts w:ascii="Arial" w:hAnsi="Arial" w:cs="Arial"/>
          <w:bCs/>
          <w:color w:val="auto"/>
          <w:sz w:val="20"/>
          <w:szCs w:val="20"/>
        </w:rPr>
        <w:t xml:space="preserve">of </w:t>
      </w:r>
      <w:r w:rsidRPr="001721D0">
        <w:rPr>
          <w:rFonts w:ascii="Arial" w:hAnsi="Arial" w:cs="Arial"/>
          <w:bCs/>
          <w:color w:val="auto"/>
          <w:sz w:val="20"/>
          <w:szCs w:val="20"/>
        </w:rPr>
        <w:t>€19.3 million</w:t>
      </w:r>
      <w:r>
        <w:rPr>
          <w:rFonts w:ascii="Arial" w:hAnsi="Arial" w:cs="Arial"/>
          <w:bCs/>
          <w:color w:val="auto"/>
          <w:sz w:val="20"/>
          <w:szCs w:val="20"/>
        </w:rPr>
        <w:t xml:space="preserve">. </w:t>
      </w:r>
      <w:r w:rsidRPr="00C15589">
        <w:rPr>
          <w:rStyle w:val="bumpedfont15"/>
          <w:rFonts w:ascii="Arial" w:hAnsi="Arial" w:cs="Arial"/>
          <w:color w:val="auto"/>
          <w:sz w:val="20"/>
          <w:szCs w:val="20"/>
        </w:rPr>
        <w:t xml:space="preserve">17 country-specific and four regional projects are implemented across </w:t>
      </w:r>
      <w:r>
        <w:rPr>
          <w:rStyle w:val="bumpedfont15"/>
          <w:rFonts w:ascii="Arial" w:hAnsi="Arial" w:cs="Arial"/>
          <w:color w:val="auto"/>
          <w:sz w:val="20"/>
          <w:szCs w:val="20"/>
        </w:rPr>
        <w:t>PGG beneficiary</w:t>
      </w:r>
      <w:r w:rsidRPr="00C15589">
        <w:rPr>
          <w:rStyle w:val="bumpedfont15"/>
          <w:rFonts w:ascii="Arial" w:hAnsi="Arial" w:cs="Arial"/>
          <w:color w:val="auto"/>
          <w:sz w:val="20"/>
          <w:szCs w:val="20"/>
        </w:rPr>
        <w:t xml:space="preserve"> countries</w:t>
      </w:r>
      <w:r w:rsidRPr="000254B2">
        <w:rPr>
          <w:rStyle w:val="bumpedfont15"/>
          <w:rFonts w:ascii="Arial" w:hAnsi="Arial" w:cs="Arial"/>
          <w:color w:val="auto"/>
          <w:sz w:val="20"/>
          <w:szCs w:val="20"/>
        </w:rPr>
        <w:t xml:space="preserve"> under PGG</w:t>
      </w:r>
      <w:r>
        <w:rPr>
          <w:rStyle w:val="bumpedfont15"/>
          <w:rFonts w:ascii="Arial" w:hAnsi="Arial" w:cs="Arial"/>
          <w:color w:val="auto"/>
          <w:sz w:val="20"/>
          <w:szCs w:val="20"/>
        </w:rPr>
        <w:t xml:space="preserve"> </w:t>
      </w:r>
      <w:r w:rsidRPr="000254B2">
        <w:rPr>
          <w:rStyle w:val="bumpedfont15"/>
          <w:rFonts w:ascii="Arial" w:hAnsi="Arial" w:cs="Arial"/>
          <w:color w:val="auto"/>
          <w:sz w:val="20"/>
          <w:szCs w:val="20"/>
        </w:rPr>
        <w:t>III</w:t>
      </w:r>
      <w:r>
        <w:rPr>
          <w:rStyle w:val="bumpedfont15"/>
          <w:rFonts w:ascii="Arial" w:hAnsi="Arial" w:cs="Arial"/>
          <w:color w:val="auto"/>
          <w:sz w:val="20"/>
          <w:szCs w:val="20"/>
        </w:rPr>
        <w:t>.</w:t>
      </w:r>
      <w:r w:rsidRPr="000254B2">
        <w:rPr>
          <w:rStyle w:val="bumpedfont15"/>
          <w:rFonts w:ascii="Arial" w:hAnsi="Arial" w:cs="Arial"/>
          <w:color w:val="auto"/>
          <w:sz w:val="20"/>
          <w:szCs w:val="20"/>
        </w:rPr>
        <w:t xml:space="preserve"> </w:t>
      </w:r>
      <w:r>
        <w:rPr>
          <w:rStyle w:val="bumpedfont15"/>
          <w:rFonts w:ascii="Arial" w:hAnsi="Arial" w:cs="Arial"/>
          <w:color w:val="auto"/>
          <w:sz w:val="20"/>
          <w:szCs w:val="20"/>
        </w:rPr>
        <w:t>M</w:t>
      </w:r>
      <w:r w:rsidRPr="001D4B74">
        <w:rPr>
          <w:rStyle w:val="bumpedfont15"/>
          <w:rFonts w:ascii="Arial" w:hAnsi="Arial" w:cs="Arial"/>
          <w:color w:val="auto"/>
          <w:sz w:val="20"/>
          <w:szCs w:val="20"/>
        </w:rPr>
        <w:t>ost PGG</w:t>
      </w:r>
      <w:r>
        <w:rPr>
          <w:rStyle w:val="bumpedfont15"/>
          <w:rFonts w:ascii="Arial" w:hAnsi="Arial" w:cs="Arial"/>
          <w:color w:val="auto"/>
          <w:sz w:val="20"/>
          <w:szCs w:val="20"/>
        </w:rPr>
        <w:t xml:space="preserve"> </w:t>
      </w:r>
      <w:r w:rsidRPr="001D4B74">
        <w:rPr>
          <w:rStyle w:val="bumpedfont15"/>
          <w:rFonts w:ascii="Arial" w:hAnsi="Arial" w:cs="Arial"/>
          <w:color w:val="auto"/>
          <w:sz w:val="20"/>
          <w:szCs w:val="20"/>
        </w:rPr>
        <w:t xml:space="preserve">III projects are in </w:t>
      </w:r>
      <w:r>
        <w:rPr>
          <w:rStyle w:val="bumpedfont15"/>
          <w:rFonts w:ascii="Arial" w:hAnsi="Arial" w:cs="Arial"/>
          <w:color w:val="auto"/>
          <w:sz w:val="20"/>
          <w:szCs w:val="20"/>
        </w:rPr>
        <w:t>the continuity of the programme’s previous phase.</w:t>
      </w:r>
      <w:r w:rsidRPr="001D4B74">
        <w:t xml:space="preserve"> </w:t>
      </w:r>
      <w:r w:rsidRPr="001D4B74">
        <w:rPr>
          <w:rStyle w:val="bumpedfont15"/>
          <w:rFonts w:ascii="Arial" w:hAnsi="Arial" w:cs="Arial"/>
          <w:color w:val="auto"/>
          <w:sz w:val="20"/>
          <w:szCs w:val="20"/>
        </w:rPr>
        <w:t xml:space="preserve">Novel interventions include </w:t>
      </w:r>
      <w:r>
        <w:rPr>
          <w:rStyle w:val="bumpedfont15"/>
          <w:rFonts w:ascii="Arial" w:hAnsi="Arial" w:cs="Arial"/>
          <w:color w:val="auto"/>
          <w:sz w:val="20"/>
          <w:szCs w:val="20"/>
        </w:rPr>
        <w:t xml:space="preserve">projects </w:t>
      </w:r>
      <w:r w:rsidRPr="001D4B74">
        <w:rPr>
          <w:rStyle w:val="bumpedfont15"/>
          <w:rFonts w:ascii="Arial" w:hAnsi="Arial" w:cs="Arial"/>
          <w:color w:val="auto"/>
          <w:sz w:val="20"/>
          <w:szCs w:val="20"/>
        </w:rPr>
        <w:t>in the field of efficiency of justice</w:t>
      </w:r>
      <w:r>
        <w:rPr>
          <w:rStyle w:val="bumpedfont15"/>
          <w:rFonts w:ascii="Arial" w:hAnsi="Arial" w:cs="Arial"/>
          <w:color w:val="auto"/>
          <w:sz w:val="20"/>
          <w:szCs w:val="20"/>
        </w:rPr>
        <w:t xml:space="preserve"> in Azerbaijan, the fight against economic crime in </w:t>
      </w:r>
      <w:r w:rsidRPr="001D4B74">
        <w:rPr>
          <w:rStyle w:val="bumpedfont15"/>
          <w:rFonts w:ascii="Arial" w:hAnsi="Arial" w:cs="Arial"/>
          <w:color w:val="auto"/>
          <w:sz w:val="20"/>
          <w:szCs w:val="20"/>
        </w:rPr>
        <w:t>the Republic of Moldova</w:t>
      </w:r>
      <w:r>
        <w:rPr>
          <w:rStyle w:val="bumpedfont15"/>
          <w:rFonts w:ascii="Arial" w:hAnsi="Arial" w:cs="Arial"/>
          <w:color w:val="auto"/>
          <w:sz w:val="20"/>
          <w:szCs w:val="20"/>
        </w:rPr>
        <w:t>, s</w:t>
      </w:r>
      <w:r w:rsidRPr="001D4B74">
        <w:rPr>
          <w:rStyle w:val="bumpedfont15"/>
          <w:rFonts w:ascii="Arial" w:hAnsi="Arial" w:cs="Arial"/>
          <w:color w:val="auto"/>
          <w:sz w:val="20"/>
          <w:szCs w:val="20"/>
        </w:rPr>
        <w:t xml:space="preserve">upport </w:t>
      </w:r>
      <w:r>
        <w:rPr>
          <w:rStyle w:val="bumpedfont15"/>
          <w:rFonts w:ascii="Arial" w:hAnsi="Arial" w:cs="Arial"/>
          <w:color w:val="auto"/>
          <w:sz w:val="20"/>
          <w:szCs w:val="20"/>
        </w:rPr>
        <w:t>for</w:t>
      </w:r>
      <w:r w:rsidRPr="001D4B74">
        <w:rPr>
          <w:rStyle w:val="bumpedfont15"/>
          <w:rFonts w:ascii="Arial" w:hAnsi="Arial" w:cs="Arial"/>
          <w:color w:val="auto"/>
          <w:sz w:val="20"/>
          <w:szCs w:val="20"/>
        </w:rPr>
        <w:t xml:space="preserve"> development of the constitutional justice in Ukraine and</w:t>
      </w:r>
      <w:r>
        <w:rPr>
          <w:rStyle w:val="bumpedfont15"/>
          <w:rFonts w:ascii="Arial" w:hAnsi="Arial" w:cs="Arial"/>
          <w:color w:val="auto"/>
          <w:sz w:val="20"/>
          <w:szCs w:val="20"/>
        </w:rPr>
        <w:t xml:space="preserve"> for</w:t>
      </w:r>
      <w:r w:rsidRPr="001D4B74">
        <w:rPr>
          <w:rStyle w:val="bumpedfont15"/>
          <w:rFonts w:ascii="Arial" w:hAnsi="Arial" w:cs="Arial"/>
          <w:color w:val="auto"/>
          <w:sz w:val="20"/>
          <w:szCs w:val="20"/>
        </w:rPr>
        <w:t xml:space="preserve"> </w:t>
      </w:r>
      <w:r>
        <w:rPr>
          <w:rStyle w:val="bumpedfont15"/>
          <w:rFonts w:ascii="Arial" w:hAnsi="Arial" w:cs="Arial"/>
          <w:color w:val="auto"/>
          <w:sz w:val="20"/>
          <w:szCs w:val="20"/>
        </w:rPr>
        <w:t>p</w:t>
      </w:r>
      <w:r w:rsidRPr="001D4B74">
        <w:rPr>
          <w:rStyle w:val="bumpedfont15"/>
          <w:rFonts w:ascii="Arial" w:hAnsi="Arial" w:cs="Arial"/>
          <w:color w:val="auto"/>
          <w:sz w:val="20"/>
          <w:szCs w:val="20"/>
        </w:rPr>
        <w:t>romoting equality in Azerbaijan</w:t>
      </w:r>
      <w:r>
        <w:rPr>
          <w:rStyle w:val="bumpedfont15"/>
          <w:rFonts w:ascii="Arial" w:hAnsi="Arial" w:cs="Arial"/>
          <w:color w:val="auto"/>
          <w:sz w:val="20"/>
          <w:szCs w:val="20"/>
        </w:rPr>
        <w:t>.</w:t>
      </w:r>
      <w:r w:rsidRPr="001D4B74">
        <w:rPr>
          <w:rStyle w:val="bumpedfont15"/>
          <w:rFonts w:ascii="Arial" w:hAnsi="Arial" w:cs="Arial"/>
          <w:color w:val="auto"/>
          <w:sz w:val="20"/>
          <w:szCs w:val="20"/>
        </w:rPr>
        <w:t xml:space="preserve"> </w:t>
      </w:r>
      <w:r w:rsidRPr="00C15589">
        <w:rPr>
          <w:rStyle w:val="bumpedfont15"/>
          <w:rFonts w:ascii="Arial" w:hAnsi="Arial" w:cs="Arial"/>
          <w:color w:val="auto"/>
          <w:sz w:val="20"/>
          <w:szCs w:val="20"/>
        </w:rPr>
        <w:t>The programme was designed</w:t>
      </w:r>
      <w:r>
        <w:rPr>
          <w:rStyle w:val="bumpedfont15"/>
          <w:rFonts w:ascii="Arial" w:hAnsi="Arial" w:cs="Arial"/>
          <w:color w:val="auto"/>
          <w:sz w:val="20"/>
          <w:szCs w:val="20"/>
        </w:rPr>
        <w:t xml:space="preserve"> </w:t>
      </w:r>
      <w:r w:rsidRPr="000254B2">
        <w:rPr>
          <w:rStyle w:val="bumpedfont15"/>
          <w:rFonts w:ascii="Arial" w:hAnsi="Arial" w:cs="Arial"/>
          <w:color w:val="auto"/>
          <w:sz w:val="20"/>
          <w:szCs w:val="20"/>
        </w:rPr>
        <w:t xml:space="preserve">based on findings of the Council of Europe monitoring </w:t>
      </w:r>
      <w:r>
        <w:rPr>
          <w:rStyle w:val="bumpedfont15"/>
          <w:rFonts w:ascii="Arial" w:hAnsi="Arial" w:cs="Arial"/>
          <w:color w:val="auto"/>
          <w:sz w:val="20"/>
          <w:szCs w:val="20"/>
        </w:rPr>
        <w:t xml:space="preserve">and advisory </w:t>
      </w:r>
      <w:r w:rsidRPr="000254B2">
        <w:rPr>
          <w:rStyle w:val="bumpedfont15"/>
          <w:rFonts w:ascii="Arial" w:hAnsi="Arial" w:cs="Arial"/>
          <w:color w:val="auto"/>
          <w:sz w:val="20"/>
          <w:szCs w:val="20"/>
        </w:rPr>
        <w:t>bodies</w:t>
      </w:r>
      <w:r w:rsidRPr="00C15589">
        <w:rPr>
          <w:rStyle w:val="bumpedfont15"/>
          <w:rFonts w:ascii="Arial" w:hAnsi="Arial" w:cs="Arial"/>
          <w:color w:val="auto"/>
          <w:sz w:val="20"/>
          <w:szCs w:val="20"/>
        </w:rPr>
        <w:t xml:space="preserve">, </w:t>
      </w:r>
      <w:r>
        <w:rPr>
          <w:rStyle w:val="bumpedfont15"/>
          <w:rFonts w:ascii="Arial" w:hAnsi="Arial" w:cs="Arial"/>
          <w:color w:val="auto"/>
          <w:sz w:val="20"/>
          <w:szCs w:val="20"/>
        </w:rPr>
        <w:t xml:space="preserve">and in line with </w:t>
      </w:r>
      <w:r w:rsidRPr="00C15589">
        <w:rPr>
          <w:rStyle w:val="bumpedfont15"/>
          <w:rFonts w:ascii="Arial" w:hAnsi="Arial" w:cs="Arial"/>
          <w:color w:val="auto"/>
          <w:sz w:val="20"/>
          <w:szCs w:val="20"/>
        </w:rPr>
        <w:t>the Council of Europe’s country-specific Action Plans and the European</w:t>
      </w:r>
      <w:r>
        <w:rPr>
          <w:rStyle w:val="bumpedfont15"/>
          <w:rFonts w:ascii="Arial" w:hAnsi="Arial" w:cs="Arial"/>
          <w:color w:val="auto"/>
          <w:sz w:val="20"/>
          <w:szCs w:val="20"/>
        </w:rPr>
        <w:t xml:space="preserve"> </w:t>
      </w:r>
      <w:r w:rsidRPr="00C15589">
        <w:rPr>
          <w:rStyle w:val="bumpedfont15"/>
          <w:rFonts w:ascii="Arial" w:hAnsi="Arial" w:cs="Arial"/>
          <w:color w:val="auto"/>
          <w:sz w:val="20"/>
          <w:szCs w:val="20"/>
        </w:rPr>
        <w:t>Union’s priorities for the E</w:t>
      </w:r>
      <w:r>
        <w:rPr>
          <w:rStyle w:val="bumpedfont15"/>
          <w:rFonts w:ascii="Arial" w:hAnsi="Arial" w:cs="Arial"/>
          <w:color w:val="auto"/>
          <w:sz w:val="20"/>
          <w:szCs w:val="20"/>
        </w:rPr>
        <w:t xml:space="preserve">aP </w:t>
      </w:r>
      <w:r w:rsidRPr="00C15589">
        <w:rPr>
          <w:rStyle w:val="bumpedfont15"/>
          <w:rFonts w:ascii="Arial" w:hAnsi="Arial" w:cs="Arial"/>
          <w:color w:val="auto"/>
          <w:sz w:val="20"/>
          <w:szCs w:val="20"/>
        </w:rPr>
        <w:t>region</w:t>
      </w:r>
      <w:r>
        <w:rPr>
          <w:rStyle w:val="bumpedfont15"/>
          <w:rFonts w:ascii="Arial" w:hAnsi="Arial" w:cs="Arial"/>
          <w:color w:val="auto"/>
          <w:sz w:val="20"/>
          <w:szCs w:val="20"/>
        </w:rPr>
        <w:t>.</w:t>
      </w:r>
      <w:r w:rsidRPr="000254B2">
        <w:rPr>
          <w:rStyle w:val="bumpedfont15"/>
          <w:rFonts w:ascii="Arial" w:hAnsi="Arial" w:cs="Arial"/>
          <w:color w:val="auto"/>
          <w:sz w:val="20"/>
          <w:szCs w:val="20"/>
        </w:rPr>
        <w:t xml:space="preserve"> </w:t>
      </w:r>
      <w:r w:rsidRPr="003A1F21">
        <w:rPr>
          <w:rStyle w:val="bumpedfont15"/>
          <w:rFonts w:ascii="Arial" w:hAnsi="Arial" w:cs="Arial"/>
          <w:color w:val="auto"/>
          <w:sz w:val="20"/>
          <w:szCs w:val="20"/>
        </w:rPr>
        <w:t>Progress in</w:t>
      </w:r>
      <w:r>
        <w:rPr>
          <w:rStyle w:val="bumpedfont15"/>
          <w:rFonts w:ascii="Arial" w:hAnsi="Arial" w:cs="Arial"/>
          <w:color w:val="auto"/>
          <w:sz w:val="20"/>
          <w:szCs w:val="20"/>
        </w:rPr>
        <w:t xml:space="preserve"> </w:t>
      </w:r>
      <w:r w:rsidRPr="003A1F21">
        <w:rPr>
          <w:rStyle w:val="bumpedfont15"/>
          <w:rFonts w:ascii="Arial" w:hAnsi="Arial" w:cs="Arial"/>
          <w:color w:val="auto"/>
          <w:sz w:val="20"/>
          <w:szCs w:val="20"/>
        </w:rPr>
        <w:t>the implementation of the EU accession priorities is in focus</w:t>
      </w:r>
      <w:r>
        <w:rPr>
          <w:rStyle w:val="bumpedfont15"/>
          <w:rFonts w:ascii="Arial" w:hAnsi="Arial" w:cs="Arial"/>
          <w:color w:val="auto"/>
          <w:sz w:val="20"/>
          <w:szCs w:val="20"/>
        </w:rPr>
        <w:t xml:space="preserve"> </w:t>
      </w:r>
      <w:r w:rsidRPr="003A1F21">
        <w:rPr>
          <w:rStyle w:val="bumpedfont15"/>
          <w:rFonts w:ascii="Arial" w:hAnsi="Arial" w:cs="Arial"/>
          <w:color w:val="auto"/>
          <w:sz w:val="20"/>
          <w:szCs w:val="20"/>
        </w:rPr>
        <w:t>for the Republic of Moldova</w:t>
      </w:r>
      <w:r>
        <w:rPr>
          <w:rStyle w:val="bumpedfont15"/>
          <w:rFonts w:ascii="Arial" w:hAnsi="Arial" w:cs="Arial"/>
          <w:color w:val="auto"/>
          <w:sz w:val="20"/>
          <w:szCs w:val="20"/>
        </w:rPr>
        <w:t xml:space="preserve">, </w:t>
      </w:r>
      <w:r w:rsidRPr="003A1F21">
        <w:rPr>
          <w:rStyle w:val="bumpedfont15"/>
          <w:rFonts w:ascii="Arial" w:hAnsi="Arial" w:cs="Arial"/>
          <w:color w:val="auto"/>
          <w:sz w:val="20"/>
          <w:szCs w:val="20"/>
        </w:rPr>
        <w:t xml:space="preserve">Ukraine, </w:t>
      </w:r>
      <w:r w:rsidRPr="00C423CA">
        <w:rPr>
          <w:rStyle w:val="bumpedfont15"/>
          <w:rFonts w:ascii="Arial" w:hAnsi="Arial" w:cs="Arial"/>
          <w:color w:val="auto"/>
          <w:sz w:val="20"/>
          <w:szCs w:val="20"/>
        </w:rPr>
        <w:t>and Georgia.</w:t>
      </w:r>
      <w:r w:rsidRPr="000254B2">
        <w:rPr>
          <w:rStyle w:val="bumpedfont15"/>
          <w:rFonts w:ascii="Arial" w:hAnsi="Arial" w:cs="Arial"/>
          <w:color w:val="auto"/>
          <w:sz w:val="20"/>
          <w:szCs w:val="20"/>
        </w:rPr>
        <w:t xml:space="preserve"> The QRM continue</w:t>
      </w:r>
      <w:r>
        <w:rPr>
          <w:rStyle w:val="bumpedfont15"/>
          <w:rFonts w:ascii="Arial" w:hAnsi="Arial" w:cs="Arial"/>
          <w:color w:val="auto"/>
          <w:sz w:val="20"/>
          <w:szCs w:val="20"/>
        </w:rPr>
        <w:t>s</w:t>
      </w:r>
      <w:r w:rsidRPr="000254B2">
        <w:rPr>
          <w:rStyle w:val="bumpedfont15"/>
          <w:rFonts w:ascii="Arial" w:hAnsi="Arial" w:cs="Arial"/>
          <w:color w:val="auto"/>
          <w:sz w:val="20"/>
          <w:szCs w:val="20"/>
        </w:rPr>
        <w:t xml:space="preserve"> to function under the third phase of PGG </w:t>
      </w:r>
      <w:r w:rsidRPr="009B3DC8">
        <w:rPr>
          <w:rStyle w:val="bumpedfont15"/>
          <w:rFonts w:ascii="Arial" w:hAnsi="Arial" w:cs="Arial"/>
          <w:color w:val="auto"/>
          <w:sz w:val="20"/>
          <w:szCs w:val="20"/>
        </w:rPr>
        <w:t>and will offer important assistance in the context of the accession perspective for Georgia, the Republic of Moldova, and Ukraine</w:t>
      </w:r>
      <w:r>
        <w:rPr>
          <w:rStyle w:val="bumpedfont15"/>
          <w:rFonts w:ascii="Arial" w:hAnsi="Arial" w:cs="Arial"/>
          <w:color w:val="auto"/>
          <w:sz w:val="20"/>
          <w:szCs w:val="20"/>
        </w:rPr>
        <w:t>. In October and December 2023, t</w:t>
      </w:r>
      <w:r w:rsidRPr="00DD67AC">
        <w:rPr>
          <w:rStyle w:val="bumpedfont15"/>
          <w:rFonts w:ascii="Arial" w:hAnsi="Arial" w:cs="Arial"/>
          <w:color w:val="auto"/>
          <w:sz w:val="20"/>
          <w:szCs w:val="20"/>
        </w:rPr>
        <w:t xml:space="preserve">he Venice Commission </w:t>
      </w:r>
      <w:r>
        <w:rPr>
          <w:rStyle w:val="bumpedfont15"/>
          <w:rFonts w:ascii="Arial" w:hAnsi="Arial" w:cs="Arial"/>
          <w:color w:val="auto"/>
          <w:sz w:val="20"/>
          <w:szCs w:val="20"/>
        </w:rPr>
        <w:t>adopted 10</w:t>
      </w:r>
      <w:r w:rsidRPr="00DD67AC">
        <w:rPr>
          <w:rStyle w:val="bumpedfont15"/>
          <w:rFonts w:ascii="Arial" w:hAnsi="Arial" w:cs="Arial"/>
          <w:color w:val="auto"/>
          <w:sz w:val="20"/>
          <w:szCs w:val="20"/>
        </w:rPr>
        <w:t xml:space="preserve"> </w:t>
      </w:r>
      <w:r>
        <w:rPr>
          <w:rStyle w:val="bumpedfont15"/>
          <w:rFonts w:ascii="Arial" w:hAnsi="Arial" w:cs="Arial"/>
          <w:color w:val="auto"/>
          <w:sz w:val="20"/>
          <w:szCs w:val="20"/>
        </w:rPr>
        <w:t>O</w:t>
      </w:r>
      <w:r w:rsidRPr="00DD67AC">
        <w:rPr>
          <w:rStyle w:val="bumpedfont15"/>
          <w:rFonts w:ascii="Arial" w:hAnsi="Arial" w:cs="Arial"/>
          <w:color w:val="auto"/>
          <w:sz w:val="20"/>
          <w:szCs w:val="20"/>
        </w:rPr>
        <w:t xml:space="preserve">pinions and </w:t>
      </w:r>
      <w:r>
        <w:rPr>
          <w:rStyle w:val="bumpedfont15"/>
          <w:rFonts w:ascii="Arial" w:hAnsi="Arial" w:cs="Arial"/>
          <w:color w:val="auto"/>
          <w:sz w:val="20"/>
          <w:szCs w:val="20"/>
        </w:rPr>
        <w:t xml:space="preserve">an </w:t>
      </w:r>
      <w:r w:rsidRPr="00DD67AC">
        <w:rPr>
          <w:rStyle w:val="bumpedfont15"/>
          <w:rFonts w:ascii="Arial" w:hAnsi="Arial" w:cs="Arial"/>
          <w:color w:val="auto"/>
          <w:sz w:val="20"/>
          <w:szCs w:val="20"/>
        </w:rPr>
        <w:t>amicus curiae brief concerning Armenia, Georgia, and the Republic of Moldova</w:t>
      </w:r>
      <w:r>
        <w:rPr>
          <w:rStyle w:val="bumpedfont15"/>
          <w:rFonts w:ascii="Arial" w:hAnsi="Arial" w:cs="Arial"/>
          <w:color w:val="auto"/>
          <w:sz w:val="20"/>
          <w:szCs w:val="20"/>
        </w:rPr>
        <w:t>.</w:t>
      </w:r>
    </w:p>
    <w:p w14:paraId="3297F37F" w14:textId="77777777" w:rsidR="007E0D7D" w:rsidRPr="007E0D7D" w:rsidRDefault="007E0D7D" w:rsidP="007E0D7D"/>
    <w:p w14:paraId="4E109A0E" w14:textId="77777777" w:rsidR="008E74B8" w:rsidRDefault="008E74B8" w:rsidP="007E0D7D">
      <w:pPr>
        <w:rPr>
          <w:rFonts w:cs="Arial"/>
          <w:szCs w:val="20"/>
        </w:rPr>
      </w:pPr>
      <w:r w:rsidRPr="000254B2">
        <w:rPr>
          <w:rFonts w:cs="Arial"/>
          <w:szCs w:val="20"/>
        </w:rPr>
        <w:t xml:space="preserve">A non-exhaustive list of the results achieved </w:t>
      </w:r>
      <w:r>
        <w:rPr>
          <w:rFonts w:cs="Arial"/>
          <w:szCs w:val="20"/>
        </w:rPr>
        <w:t>by the time of completion of</w:t>
      </w:r>
      <w:r w:rsidRPr="000254B2">
        <w:rPr>
          <w:rFonts w:cs="Arial"/>
          <w:szCs w:val="20"/>
        </w:rPr>
        <w:t xml:space="preserve"> PGGII includes:</w:t>
      </w:r>
    </w:p>
    <w:p w14:paraId="6510FCCF" w14:textId="77777777" w:rsidR="007E0D7D" w:rsidRPr="000254B2" w:rsidRDefault="007E0D7D" w:rsidP="007E0D7D">
      <w:pPr>
        <w:rPr>
          <w:rFonts w:cs="Arial"/>
          <w:szCs w:val="20"/>
        </w:rPr>
      </w:pPr>
    </w:p>
    <w:p w14:paraId="6DF2FCE6" w14:textId="77777777" w:rsidR="008E74B8" w:rsidRDefault="008E74B8" w:rsidP="007E0D7D">
      <w:pPr>
        <w:pStyle w:val="ListParagraph"/>
        <w:numPr>
          <w:ilvl w:val="0"/>
          <w:numId w:val="11"/>
        </w:numPr>
        <w:rPr>
          <w:rFonts w:ascii="Arial" w:hAnsi="Arial" w:cs="Arial"/>
          <w:bCs/>
          <w:sz w:val="20"/>
          <w:szCs w:val="20"/>
        </w:rPr>
      </w:pPr>
      <w:r w:rsidRPr="000254B2">
        <w:rPr>
          <w:rFonts w:ascii="Arial" w:hAnsi="Arial" w:cs="Arial"/>
          <w:bCs/>
          <w:sz w:val="20"/>
          <w:szCs w:val="20"/>
        </w:rPr>
        <w:t>Improved</w:t>
      </w:r>
      <w:r w:rsidRPr="000254B2">
        <w:rPr>
          <w:rFonts w:ascii="Arial" w:hAnsi="Arial" w:cs="Arial"/>
          <w:b/>
          <w:sz w:val="20"/>
          <w:szCs w:val="20"/>
        </w:rPr>
        <w:t xml:space="preserve"> </w:t>
      </w:r>
      <w:r w:rsidRPr="00783A5E">
        <w:rPr>
          <w:rFonts w:ascii="Arial" w:hAnsi="Arial" w:cs="Arial"/>
          <w:bCs/>
          <w:sz w:val="20"/>
          <w:szCs w:val="20"/>
        </w:rPr>
        <w:t>legal and</w:t>
      </w:r>
      <w:r>
        <w:rPr>
          <w:rFonts w:ascii="Arial" w:hAnsi="Arial" w:cs="Arial"/>
          <w:b/>
          <w:sz w:val="20"/>
          <w:szCs w:val="20"/>
        </w:rPr>
        <w:t xml:space="preserve"> </w:t>
      </w:r>
      <w:r w:rsidRPr="000254B2">
        <w:rPr>
          <w:rFonts w:ascii="Arial" w:hAnsi="Arial" w:cs="Arial"/>
          <w:bCs/>
          <w:sz w:val="20"/>
          <w:szCs w:val="20"/>
        </w:rPr>
        <w:t>institutional framework in the area of anti-corruption</w:t>
      </w:r>
      <w:r w:rsidRPr="000254B2">
        <w:rPr>
          <w:rFonts w:ascii="Arial" w:hAnsi="Arial" w:cs="Arial"/>
          <w:b/>
          <w:sz w:val="20"/>
          <w:szCs w:val="20"/>
        </w:rPr>
        <w:t xml:space="preserve"> </w:t>
      </w:r>
      <w:r w:rsidRPr="000254B2">
        <w:rPr>
          <w:rFonts w:ascii="Arial" w:hAnsi="Arial" w:cs="Arial"/>
          <w:bCs/>
          <w:sz w:val="20"/>
          <w:szCs w:val="20"/>
        </w:rPr>
        <w:t xml:space="preserve">and </w:t>
      </w:r>
      <w:r>
        <w:rPr>
          <w:rFonts w:ascii="Arial" w:hAnsi="Arial" w:cs="Arial"/>
          <w:bCs/>
          <w:sz w:val="20"/>
          <w:szCs w:val="20"/>
        </w:rPr>
        <w:t>anti-</w:t>
      </w:r>
      <w:r w:rsidRPr="000254B2">
        <w:rPr>
          <w:rFonts w:ascii="Arial" w:hAnsi="Arial" w:cs="Arial"/>
          <w:bCs/>
          <w:sz w:val="20"/>
          <w:szCs w:val="20"/>
        </w:rPr>
        <w:t>money laundering</w:t>
      </w:r>
      <w:r>
        <w:rPr>
          <w:rFonts w:ascii="Arial" w:hAnsi="Arial" w:cs="Arial"/>
          <w:bCs/>
          <w:sz w:val="20"/>
          <w:szCs w:val="20"/>
        </w:rPr>
        <w:t xml:space="preserve">, </w:t>
      </w:r>
      <w:r w:rsidRPr="000254B2">
        <w:rPr>
          <w:rFonts w:ascii="Arial" w:hAnsi="Arial" w:cs="Arial"/>
          <w:bCs/>
          <w:sz w:val="20"/>
          <w:szCs w:val="20"/>
        </w:rPr>
        <w:t>countering of financing of terrorism</w:t>
      </w:r>
      <w:r>
        <w:rPr>
          <w:rFonts w:ascii="Arial" w:hAnsi="Arial" w:cs="Arial"/>
          <w:bCs/>
          <w:sz w:val="20"/>
          <w:szCs w:val="20"/>
        </w:rPr>
        <w:t>, asset recovery</w:t>
      </w:r>
      <w:r w:rsidRPr="008623B0">
        <w:t xml:space="preserve"> </w:t>
      </w:r>
      <w:r w:rsidRPr="008623B0">
        <w:rPr>
          <w:rFonts w:ascii="Arial" w:hAnsi="Arial" w:cs="Arial"/>
          <w:bCs/>
          <w:sz w:val="20"/>
          <w:szCs w:val="20"/>
        </w:rPr>
        <w:t>as well as financing of proliferation of weapons of mass destruction</w:t>
      </w:r>
      <w:r w:rsidRPr="000254B2">
        <w:rPr>
          <w:rFonts w:ascii="Arial" w:hAnsi="Arial" w:cs="Arial"/>
          <w:bCs/>
          <w:sz w:val="20"/>
          <w:szCs w:val="20"/>
        </w:rPr>
        <w:t xml:space="preserve"> in Armenia, Azerbaijan</w:t>
      </w:r>
      <w:r>
        <w:rPr>
          <w:rFonts w:ascii="Arial" w:hAnsi="Arial" w:cs="Arial"/>
          <w:bCs/>
          <w:sz w:val="20"/>
          <w:szCs w:val="20"/>
        </w:rPr>
        <w:t xml:space="preserve">, </w:t>
      </w:r>
      <w:r w:rsidRPr="000254B2">
        <w:rPr>
          <w:rFonts w:ascii="Arial" w:hAnsi="Arial" w:cs="Arial"/>
          <w:bCs/>
          <w:sz w:val="20"/>
          <w:szCs w:val="20"/>
        </w:rPr>
        <w:t>Georgia, and Ukraine.</w:t>
      </w:r>
    </w:p>
    <w:p w14:paraId="6A768DE2" w14:textId="77777777" w:rsidR="007E0D7D" w:rsidRPr="000254B2" w:rsidRDefault="007E0D7D" w:rsidP="007E0D7D">
      <w:pPr>
        <w:pStyle w:val="ListParagraph"/>
        <w:ind w:left="1080"/>
        <w:rPr>
          <w:rFonts w:ascii="Arial" w:hAnsi="Arial" w:cs="Arial"/>
          <w:bCs/>
          <w:sz w:val="20"/>
          <w:szCs w:val="20"/>
        </w:rPr>
      </w:pPr>
    </w:p>
    <w:p w14:paraId="1DDD0063" w14:textId="77777777" w:rsidR="008E74B8" w:rsidRDefault="008E74B8" w:rsidP="007E0D7D">
      <w:pPr>
        <w:pStyle w:val="ListParagraph"/>
        <w:numPr>
          <w:ilvl w:val="0"/>
          <w:numId w:val="11"/>
        </w:numPr>
        <w:rPr>
          <w:rFonts w:ascii="Arial" w:hAnsi="Arial" w:cs="Arial"/>
          <w:bCs/>
          <w:sz w:val="20"/>
          <w:szCs w:val="20"/>
        </w:rPr>
      </w:pPr>
      <w:r>
        <w:rPr>
          <w:rFonts w:ascii="Arial" w:hAnsi="Arial" w:cs="Arial"/>
          <w:sz w:val="20"/>
          <w:szCs w:val="20"/>
        </w:rPr>
        <w:t xml:space="preserve">Adoption </w:t>
      </w:r>
      <w:r w:rsidRPr="000254B2">
        <w:rPr>
          <w:rFonts w:ascii="Arial" w:hAnsi="Arial" w:cs="Arial"/>
          <w:sz w:val="20"/>
          <w:szCs w:val="20"/>
        </w:rPr>
        <w:t xml:space="preserve">of </w:t>
      </w:r>
      <w:r w:rsidRPr="000254B2">
        <w:rPr>
          <w:rFonts w:ascii="Arial" w:hAnsi="Arial" w:cs="Arial"/>
          <w:bCs/>
          <w:sz w:val="20"/>
          <w:szCs w:val="20"/>
        </w:rPr>
        <w:t>anti-corruption strategies and update of the national risk assessments</w:t>
      </w:r>
      <w:r>
        <w:rPr>
          <w:rFonts w:ascii="Arial" w:hAnsi="Arial" w:cs="Arial"/>
          <w:bCs/>
          <w:sz w:val="20"/>
          <w:szCs w:val="20"/>
        </w:rPr>
        <w:t xml:space="preserve"> and respective action plans</w:t>
      </w:r>
      <w:r w:rsidRPr="000254B2">
        <w:rPr>
          <w:rFonts w:ascii="Arial" w:hAnsi="Arial" w:cs="Arial"/>
          <w:bCs/>
          <w:sz w:val="20"/>
          <w:szCs w:val="20"/>
        </w:rPr>
        <w:t xml:space="preserve"> in Azerbaijan, Georgia, and Ukraine as a </w:t>
      </w:r>
      <w:r w:rsidRPr="000254B2">
        <w:rPr>
          <w:rFonts w:ascii="Arial" w:hAnsi="Arial" w:cs="Arial"/>
          <w:bCs/>
          <w:noProof/>
          <w:sz w:val="20"/>
          <w:szCs w:val="20"/>
        </w:rPr>
        <w:t xml:space="preserve">key </w:t>
      </w:r>
      <w:r w:rsidRPr="000254B2">
        <w:rPr>
          <w:rFonts w:ascii="Arial" w:hAnsi="Arial" w:cs="Arial"/>
          <w:bCs/>
          <w:sz w:val="20"/>
          <w:szCs w:val="20"/>
        </w:rPr>
        <w:t xml:space="preserve">step in </w:t>
      </w:r>
      <w:r>
        <w:rPr>
          <w:rFonts w:ascii="Arial" w:hAnsi="Arial" w:cs="Arial"/>
          <w:bCs/>
          <w:sz w:val="20"/>
          <w:szCs w:val="20"/>
        </w:rPr>
        <w:t xml:space="preserve">implementing a risk-based-approach, increasing the </w:t>
      </w:r>
      <w:r w:rsidRPr="000254B2">
        <w:rPr>
          <w:rFonts w:ascii="Arial" w:hAnsi="Arial" w:cs="Arial"/>
          <w:bCs/>
          <w:sz w:val="20"/>
          <w:szCs w:val="20"/>
        </w:rPr>
        <w:t>integrity</w:t>
      </w:r>
      <w:r>
        <w:rPr>
          <w:rFonts w:ascii="Arial" w:hAnsi="Arial" w:cs="Arial"/>
          <w:bCs/>
          <w:sz w:val="20"/>
          <w:szCs w:val="20"/>
        </w:rPr>
        <w:t>,</w:t>
      </w:r>
      <w:r w:rsidRPr="000254B2">
        <w:rPr>
          <w:rFonts w:ascii="Arial" w:hAnsi="Arial" w:cs="Arial"/>
          <w:bCs/>
          <w:sz w:val="20"/>
          <w:szCs w:val="20"/>
        </w:rPr>
        <w:t xml:space="preserve"> transparency, and effectiveness of the anti-corruption</w:t>
      </w:r>
      <w:r w:rsidRPr="000254B2">
        <w:rPr>
          <w:rFonts w:ascii="Arial" w:hAnsi="Arial" w:cs="Arial"/>
          <w:b/>
          <w:sz w:val="20"/>
          <w:szCs w:val="20"/>
        </w:rPr>
        <w:t xml:space="preserve"> </w:t>
      </w:r>
      <w:r w:rsidRPr="000254B2">
        <w:rPr>
          <w:rFonts w:ascii="Arial" w:hAnsi="Arial" w:cs="Arial"/>
          <w:bCs/>
          <w:sz w:val="20"/>
          <w:szCs w:val="20"/>
        </w:rPr>
        <w:t xml:space="preserve">and anti-money laundering and terrorist financing measures. </w:t>
      </w:r>
    </w:p>
    <w:p w14:paraId="40943942" w14:textId="77777777" w:rsidR="007E0D7D" w:rsidRPr="000254B2" w:rsidRDefault="007E0D7D" w:rsidP="007E0D7D">
      <w:pPr>
        <w:pStyle w:val="ListParagraph"/>
        <w:ind w:left="1080"/>
        <w:rPr>
          <w:rFonts w:ascii="Arial" w:hAnsi="Arial" w:cs="Arial"/>
          <w:bCs/>
          <w:sz w:val="20"/>
          <w:szCs w:val="20"/>
        </w:rPr>
      </w:pPr>
    </w:p>
    <w:p w14:paraId="4264A11E" w14:textId="77777777" w:rsidR="008E74B8" w:rsidRDefault="008E74B8" w:rsidP="007E0D7D">
      <w:pPr>
        <w:pStyle w:val="ListParagraph"/>
        <w:numPr>
          <w:ilvl w:val="0"/>
          <w:numId w:val="11"/>
        </w:numPr>
        <w:rPr>
          <w:rFonts w:ascii="Arial" w:hAnsi="Arial" w:cs="Arial"/>
          <w:bCs/>
          <w:sz w:val="20"/>
          <w:szCs w:val="20"/>
        </w:rPr>
      </w:pPr>
      <w:r w:rsidRPr="000254B2">
        <w:rPr>
          <w:rFonts w:ascii="Arial" w:hAnsi="Arial" w:cs="Arial"/>
          <w:bCs/>
          <w:sz w:val="20"/>
          <w:szCs w:val="20"/>
        </w:rPr>
        <w:t>Establishment of</w:t>
      </w:r>
      <w:r>
        <w:rPr>
          <w:rFonts w:ascii="Arial" w:hAnsi="Arial" w:cs="Arial"/>
          <w:bCs/>
          <w:sz w:val="20"/>
          <w:szCs w:val="20"/>
        </w:rPr>
        <w:t xml:space="preserve"> specialised</w:t>
      </w:r>
      <w:r w:rsidRPr="000254B2">
        <w:rPr>
          <w:rFonts w:ascii="Arial" w:hAnsi="Arial" w:cs="Arial"/>
          <w:bCs/>
          <w:sz w:val="20"/>
          <w:szCs w:val="20"/>
        </w:rPr>
        <w:t xml:space="preserve"> anti-corruption</w:t>
      </w:r>
      <w:r>
        <w:rPr>
          <w:rFonts w:ascii="Arial" w:hAnsi="Arial" w:cs="Arial"/>
          <w:bCs/>
          <w:sz w:val="20"/>
          <w:szCs w:val="20"/>
        </w:rPr>
        <w:t xml:space="preserve"> and economic crime</w:t>
      </w:r>
      <w:r w:rsidRPr="000254B2">
        <w:rPr>
          <w:rFonts w:ascii="Arial" w:hAnsi="Arial" w:cs="Arial"/>
          <w:bCs/>
          <w:sz w:val="20"/>
          <w:szCs w:val="20"/>
        </w:rPr>
        <w:t xml:space="preserve"> bodies in Armenia and Georgia and reinforcement of the</w:t>
      </w:r>
      <w:r>
        <w:rPr>
          <w:rFonts w:ascii="Arial" w:hAnsi="Arial" w:cs="Arial"/>
          <w:bCs/>
          <w:sz w:val="20"/>
          <w:szCs w:val="20"/>
        </w:rPr>
        <w:t>ir</w:t>
      </w:r>
      <w:r w:rsidRPr="000254B2">
        <w:rPr>
          <w:rFonts w:ascii="Arial" w:hAnsi="Arial" w:cs="Arial"/>
          <w:bCs/>
          <w:sz w:val="20"/>
          <w:szCs w:val="20"/>
        </w:rPr>
        <w:t xml:space="preserve"> institutional capacit</w:t>
      </w:r>
      <w:r>
        <w:rPr>
          <w:rFonts w:ascii="Arial" w:hAnsi="Arial" w:cs="Arial"/>
          <w:bCs/>
          <w:sz w:val="20"/>
          <w:szCs w:val="20"/>
        </w:rPr>
        <w:t>ies</w:t>
      </w:r>
      <w:r w:rsidRPr="000254B2">
        <w:rPr>
          <w:rFonts w:ascii="Arial" w:hAnsi="Arial" w:cs="Arial"/>
          <w:bCs/>
          <w:sz w:val="20"/>
          <w:szCs w:val="20"/>
        </w:rPr>
        <w:t xml:space="preserve"> </w:t>
      </w:r>
      <w:r>
        <w:rPr>
          <w:rFonts w:ascii="Arial" w:hAnsi="Arial" w:cs="Arial"/>
          <w:bCs/>
          <w:sz w:val="20"/>
          <w:szCs w:val="20"/>
        </w:rPr>
        <w:t xml:space="preserve">to effectively </w:t>
      </w:r>
      <w:r w:rsidRPr="000254B2">
        <w:rPr>
          <w:rFonts w:ascii="Arial" w:hAnsi="Arial" w:cs="Arial"/>
          <w:bCs/>
          <w:sz w:val="20"/>
          <w:szCs w:val="20"/>
        </w:rPr>
        <w:t>address corruption, money laundering and terrorist financing as well as strengthening the capacities for asset recovery and international cooperation.</w:t>
      </w:r>
    </w:p>
    <w:p w14:paraId="7B37B600" w14:textId="0A651B7E" w:rsidR="007E0D7D" w:rsidRDefault="007E0D7D">
      <w:pPr>
        <w:rPr>
          <w:rFonts w:cs="Arial"/>
          <w:bCs/>
          <w:szCs w:val="20"/>
        </w:rPr>
      </w:pPr>
      <w:r>
        <w:rPr>
          <w:rFonts w:cs="Arial"/>
          <w:bCs/>
          <w:szCs w:val="20"/>
        </w:rPr>
        <w:br w:type="page"/>
      </w:r>
    </w:p>
    <w:p w14:paraId="63DC67C5" w14:textId="77777777" w:rsidR="007E0D7D" w:rsidRPr="000254B2" w:rsidRDefault="007E0D7D" w:rsidP="007E0D7D">
      <w:pPr>
        <w:pStyle w:val="ListParagraph"/>
        <w:ind w:left="1080"/>
        <w:rPr>
          <w:rFonts w:ascii="Arial" w:hAnsi="Arial" w:cs="Arial"/>
          <w:bCs/>
          <w:sz w:val="20"/>
          <w:szCs w:val="20"/>
        </w:rPr>
      </w:pPr>
    </w:p>
    <w:p w14:paraId="2985DCDB" w14:textId="77777777" w:rsidR="008E74B8" w:rsidRDefault="008E74B8" w:rsidP="007E0D7D">
      <w:pPr>
        <w:pStyle w:val="ListParagraph"/>
        <w:numPr>
          <w:ilvl w:val="0"/>
          <w:numId w:val="11"/>
        </w:numPr>
        <w:rPr>
          <w:rFonts w:ascii="Arial" w:hAnsi="Arial" w:cs="Arial"/>
          <w:sz w:val="20"/>
          <w:szCs w:val="20"/>
        </w:rPr>
      </w:pPr>
      <w:r w:rsidRPr="000254B2">
        <w:rPr>
          <w:rFonts w:ascii="Arial" w:hAnsi="Arial" w:cs="Arial"/>
          <w:sz w:val="20"/>
          <w:szCs w:val="20"/>
        </w:rPr>
        <w:t>Adoption of relevant legislation in the field of criminal law, functioning of the judiciary, enforcement of the court judgments and strengthening the international co</w:t>
      </w:r>
      <w:r>
        <w:rPr>
          <w:rFonts w:ascii="Arial" w:hAnsi="Arial" w:cs="Arial"/>
          <w:sz w:val="20"/>
          <w:szCs w:val="20"/>
        </w:rPr>
        <w:t>-</w:t>
      </w:r>
      <w:r w:rsidRPr="000254B2">
        <w:rPr>
          <w:rFonts w:ascii="Arial" w:hAnsi="Arial" w:cs="Arial"/>
          <w:sz w:val="20"/>
          <w:szCs w:val="20"/>
        </w:rPr>
        <w:t>operation in criminal matters in Armenia, Azerbaijan, Georgia, and the Republic of Moldova.</w:t>
      </w:r>
    </w:p>
    <w:p w14:paraId="4F718155" w14:textId="77777777" w:rsidR="007E0D7D" w:rsidRPr="000254B2" w:rsidRDefault="007E0D7D" w:rsidP="007E0D7D">
      <w:pPr>
        <w:pStyle w:val="ListParagraph"/>
        <w:ind w:left="1080"/>
        <w:rPr>
          <w:rFonts w:ascii="Arial" w:hAnsi="Arial" w:cs="Arial"/>
          <w:sz w:val="20"/>
          <w:szCs w:val="20"/>
        </w:rPr>
      </w:pPr>
    </w:p>
    <w:p w14:paraId="2CF615CA" w14:textId="2315AE66" w:rsidR="007E0D7D" w:rsidRDefault="008E74B8" w:rsidP="007E0D7D">
      <w:pPr>
        <w:pStyle w:val="Heading1"/>
        <w:numPr>
          <w:ilvl w:val="0"/>
          <w:numId w:val="11"/>
        </w:numPr>
        <w:spacing w:before="0"/>
        <w:rPr>
          <w:rFonts w:ascii="Arial" w:hAnsi="Arial" w:cs="Arial"/>
          <w:color w:val="auto"/>
          <w:sz w:val="20"/>
          <w:szCs w:val="20"/>
        </w:rPr>
      </w:pPr>
      <w:r w:rsidRPr="00E45347">
        <w:rPr>
          <w:rFonts w:ascii="Arial" w:hAnsi="Arial" w:cs="Arial"/>
          <w:color w:val="auto"/>
          <w:sz w:val="20"/>
          <w:szCs w:val="20"/>
        </w:rPr>
        <w:t>In Armenia</w:t>
      </w:r>
      <w:r>
        <w:rPr>
          <w:rFonts w:ascii="Arial" w:hAnsi="Arial" w:cs="Arial"/>
          <w:color w:val="auto"/>
          <w:sz w:val="20"/>
          <w:szCs w:val="20"/>
        </w:rPr>
        <w:t>,</w:t>
      </w:r>
      <w:r w:rsidRPr="00E45347">
        <w:rPr>
          <w:rFonts w:ascii="Arial" w:hAnsi="Arial" w:cs="Arial"/>
          <w:color w:val="auto"/>
          <w:sz w:val="20"/>
          <w:szCs w:val="20"/>
        </w:rPr>
        <w:t xml:space="preserve"> the Judicial and Legal Reforms Strategy for 2022 – 2026 was adopted and includes a gender impact assessment</w:t>
      </w:r>
      <w:r>
        <w:rPr>
          <w:rFonts w:ascii="Arial" w:hAnsi="Arial" w:cs="Arial"/>
          <w:color w:val="auto"/>
          <w:sz w:val="20"/>
          <w:szCs w:val="20"/>
        </w:rPr>
        <w:t>.</w:t>
      </w:r>
      <w:r w:rsidRPr="00E45347">
        <w:t xml:space="preserve"> </w:t>
      </w:r>
      <w:r w:rsidRPr="00E45347">
        <w:rPr>
          <w:rFonts w:ascii="Arial" w:hAnsi="Arial" w:cs="Arial"/>
          <w:color w:val="auto"/>
          <w:sz w:val="20"/>
          <w:szCs w:val="20"/>
        </w:rPr>
        <w:t>In Georgia, the Judicial Code was adopted by the Conference of Judges leading to strengthening judicial accountability and bringing judicial ethics in line with the Consultative Council of European Judges’ (CCJE) Opinion No. 3 on Ethics and Responsibility of Judges</w:t>
      </w:r>
      <w:r w:rsidRPr="000254B2">
        <w:rPr>
          <w:rFonts w:ascii="Arial" w:hAnsi="Arial" w:cs="Arial"/>
          <w:color w:val="auto"/>
          <w:sz w:val="20"/>
          <w:szCs w:val="20"/>
        </w:rPr>
        <w:t xml:space="preserve">. </w:t>
      </w:r>
    </w:p>
    <w:p w14:paraId="7F204FAE" w14:textId="77777777" w:rsidR="007E0D7D" w:rsidRPr="007E0D7D" w:rsidRDefault="007E0D7D" w:rsidP="007E0D7D"/>
    <w:p w14:paraId="53DA32E1" w14:textId="77777777" w:rsidR="008E74B8" w:rsidRDefault="008E74B8" w:rsidP="007E0D7D">
      <w:pPr>
        <w:pStyle w:val="Heading1"/>
        <w:numPr>
          <w:ilvl w:val="0"/>
          <w:numId w:val="11"/>
        </w:numPr>
        <w:spacing w:before="0"/>
        <w:rPr>
          <w:rFonts w:ascii="Arial" w:hAnsi="Arial" w:cs="Arial"/>
          <w:color w:val="auto"/>
          <w:sz w:val="20"/>
          <w:szCs w:val="20"/>
        </w:rPr>
      </w:pPr>
      <w:r w:rsidRPr="000254B2">
        <w:rPr>
          <w:rFonts w:ascii="Arial" w:hAnsi="Arial" w:cs="Arial"/>
          <w:color w:val="auto"/>
          <w:sz w:val="20"/>
          <w:szCs w:val="20"/>
        </w:rPr>
        <w:t>Improved efficiency of the courts in Azerbaijan through the dissemination of CEPEJ tools. The Superior Council of Magistracy of the Republic of Moldova approved the JUSTAT</w:t>
      </w:r>
      <w:r w:rsidRPr="000254B2">
        <w:rPr>
          <w:rStyle w:val="FootnoteReference"/>
          <w:rFonts w:ascii="Arial" w:hAnsi="Arial" w:cs="Arial"/>
          <w:color w:val="auto"/>
          <w:sz w:val="20"/>
          <w:szCs w:val="20"/>
        </w:rPr>
        <w:footnoteReference w:id="9"/>
      </w:r>
      <w:r w:rsidRPr="000254B2">
        <w:rPr>
          <w:rFonts w:ascii="Arial" w:hAnsi="Arial" w:cs="Arial"/>
          <w:color w:val="auto"/>
          <w:sz w:val="20"/>
          <w:szCs w:val="20"/>
        </w:rPr>
        <w:t xml:space="preserve"> concept</w:t>
      </w:r>
      <w:r w:rsidRPr="000254B2">
        <w:rPr>
          <w:rFonts w:ascii="Arial" w:hAnsi="Arial" w:cs="Arial"/>
          <w:color w:val="161616"/>
          <w:sz w:val="20"/>
          <w:szCs w:val="20"/>
          <w:shd w:val="clear" w:color="auto" w:fill="FFFFFF"/>
        </w:rPr>
        <w:t xml:space="preserve"> </w:t>
      </w:r>
      <w:r w:rsidRPr="000254B2">
        <w:rPr>
          <w:rFonts w:ascii="Arial" w:hAnsi="Arial" w:cs="Arial"/>
          <w:color w:val="auto"/>
          <w:sz w:val="20"/>
          <w:szCs w:val="20"/>
        </w:rPr>
        <w:t>and improved the court management system through better collecting and interpreting data in line with CEPEJ recommendations.</w:t>
      </w:r>
      <w:r w:rsidRPr="00E45347">
        <w:t xml:space="preserve"> </w:t>
      </w:r>
      <w:r w:rsidRPr="00E45347">
        <w:rPr>
          <w:rFonts w:ascii="Arial" w:hAnsi="Arial" w:cs="Arial"/>
          <w:color w:val="auto"/>
          <w:sz w:val="20"/>
          <w:szCs w:val="20"/>
        </w:rPr>
        <w:t>In Azerbaijan and the Republic of Moldova</w:t>
      </w:r>
      <w:r>
        <w:rPr>
          <w:rFonts w:ascii="Arial" w:hAnsi="Arial" w:cs="Arial"/>
          <w:color w:val="auto"/>
          <w:sz w:val="20"/>
          <w:szCs w:val="20"/>
        </w:rPr>
        <w:t>,</w:t>
      </w:r>
      <w:r w:rsidRPr="00E45347">
        <w:rPr>
          <w:rFonts w:ascii="Arial" w:hAnsi="Arial" w:cs="Arial"/>
          <w:color w:val="auto"/>
          <w:sz w:val="20"/>
          <w:szCs w:val="20"/>
        </w:rPr>
        <w:t xml:space="preserve"> the enforcement of court decisions was improved through legal and institutional modernisation of the enforcement system and strengthened capacities of the involved institutions.</w:t>
      </w:r>
    </w:p>
    <w:p w14:paraId="62726F6D" w14:textId="77777777" w:rsidR="007E0D7D" w:rsidRPr="007E0D7D" w:rsidRDefault="007E0D7D" w:rsidP="007E0D7D"/>
    <w:p w14:paraId="74DED38D" w14:textId="77777777" w:rsidR="008E74B8" w:rsidRDefault="008E74B8" w:rsidP="007E0D7D">
      <w:pPr>
        <w:pStyle w:val="Heading1"/>
        <w:numPr>
          <w:ilvl w:val="0"/>
          <w:numId w:val="11"/>
        </w:numPr>
        <w:spacing w:before="0"/>
        <w:rPr>
          <w:rFonts w:ascii="Arial" w:hAnsi="Arial" w:cs="Arial"/>
          <w:color w:val="auto"/>
          <w:sz w:val="20"/>
          <w:szCs w:val="20"/>
        </w:rPr>
      </w:pPr>
      <w:r w:rsidRPr="000254B2">
        <w:rPr>
          <w:rFonts w:ascii="Arial" w:hAnsi="Arial" w:cs="Arial"/>
          <w:color w:val="auto"/>
          <w:sz w:val="20"/>
          <w:szCs w:val="20"/>
        </w:rPr>
        <w:t xml:space="preserve">Development of a Constitutional Court’s Case Management System in Georgia to ensure access to justice, allowing citizens to file complaints electronically, which contributed to increase the citizens’ trust in the judicial system. </w:t>
      </w:r>
    </w:p>
    <w:p w14:paraId="64DC5912" w14:textId="77777777" w:rsidR="007E0D7D" w:rsidRPr="007E0D7D" w:rsidRDefault="007E0D7D" w:rsidP="007E0D7D"/>
    <w:p w14:paraId="2366C50E" w14:textId="77777777" w:rsidR="008E74B8" w:rsidRDefault="008E74B8" w:rsidP="007E0D7D">
      <w:pPr>
        <w:pStyle w:val="CommentText"/>
        <w:numPr>
          <w:ilvl w:val="0"/>
          <w:numId w:val="11"/>
        </w:numPr>
        <w:rPr>
          <w:rFonts w:cs="Arial"/>
          <w:sz w:val="20"/>
          <w:szCs w:val="20"/>
        </w:rPr>
      </w:pPr>
      <w:r w:rsidRPr="000254B2">
        <w:rPr>
          <w:rFonts w:cs="Arial"/>
          <w:sz w:val="20"/>
          <w:szCs w:val="20"/>
        </w:rPr>
        <w:t xml:space="preserve">Improvement of the legal framework in the field of anti-discrimination in Armenia, Azerbaijan and the Republic of Moldova and further consolidated capacity of the Ombudsperson’s offices and Equality Councils in the </w:t>
      </w:r>
      <w:r w:rsidRPr="00B56C9B">
        <w:rPr>
          <w:rFonts w:cs="Arial"/>
          <w:sz w:val="20"/>
          <w:szCs w:val="20"/>
        </w:rPr>
        <w:t xml:space="preserve">EaP region to effectively fight against discrimination and tackling hate speech in light of the </w:t>
      </w:r>
      <w:hyperlink r:id="rId18" w:history="1">
        <w:r w:rsidRPr="00B56C9B">
          <w:rPr>
            <w:rStyle w:val="Hyperlink"/>
            <w:rFonts w:cs="Arial"/>
            <w:sz w:val="20"/>
            <w:szCs w:val="20"/>
          </w:rPr>
          <w:t>ECRI General Policy Recommendation 15</w:t>
        </w:r>
      </w:hyperlink>
      <w:r w:rsidRPr="00B56C9B">
        <w:rPr>
          <w:rFonts w:cs="Arial"/>
          <w:sz w:val="20"/>
          <w:szCs w:val="20"/>
        </w:rPr>
        <w:t xml:space="preserve"> on</w:t>
      </w:r>
      <w:r w:rsidRPr="004D7D08">
        <w:rPr>
          <w:rFonts w:cs="Arial"/>
          <w:sz w:val="20"/>
          <w:szCs w:val="20"/>
        </w:rPr>
        <w:t xml:space="preserve"> </w:t>
      </w:r>
      <w:r w:rsidRPr="000254B2">
        <w:rPr>
          <w:rFonts w:cs="Arial"/>
          <w:sz w:val="20"/>
          <w:szCs w:val="20"/>
        </w:rPr>
        <w:t>combating hate speech.</w:t>
      </w:r>
    </w:p>
    <w:p w14:paraId="061A6293" w14:textId="77777777" w:rsidR="007E0D7D" w:rsidRPr="000254B2" w:rsidRDefault="007E0D7D" w:rsidP="007E0D7D">
      <w:pPr>
        <w:pStyle w:val="CommentText"/>
        <w:ind w:left="1080"/>
        <w:rPr>
          <w:rFonts w:cs="Arial"/>
          <w:sz w:val="20"/>
          <w:szCs w:val="20"/>
        </w:rPr>
      </w:pPr>
    </w:p>
    <w:p w14:paraId="38A2753D" w14:textId="77777777" w:rsidR="008E74B8" w:rsidRDefault="008E74B8" w:rsidP="007E0D7D">
      <w:pPr>
        <w:pStyle w:val="Heading1"/>
        <w:numPr>
          <w:ilvl w:val="0"/>
          <w:numId w:val="11"/>
        </w:numPr>
        <w:spacing w:before="0"/>
        <w:rPr>
          <w:rFonts w:ascii="Arial" w:eastAsia="Calibri" w:hAnsi="Arial" w:cs="Arial"/>
          <w:color w:val="auto"/>
          <w:kern w:val="24"/>
          <w:sz w:val="20"/>
          <w:szCs w:val="20"/>
          <w:lang w:eastAsia="tr-TR"/>
        </w:rPr>
      </w:pPr>
      <w:r w:rsidRPr="000254B2">
        <w:rPr>
          <w:rFonts w:ascii="Arial" w:hAnsi="Arial" w:cs="Arial"/>
          <w:color w:val="auto"/>
          <w:sz w:val="20"/>
          <w:szCs w:val="20"/>
        </w:rPr>
        <w:t>Enhanced capacity of relevant institutions in Armenia, Georgia, the Republic of Moldova and Ukraine through the provision of a methodology to monitor discrimination, hate speech and hate crime through disaggregated data collection mechanisms</w:t>
      </w:r>
      <w:r w:rsidRPr="000254B2">
        <w:rPr>
          <w:rFonts w:ascii="Arial" w:eastAsia="Calibri" w:hAnsi="Arial" w:cs="Arial"/>
          <w:color w:val="auto"/>
          <w:kern w:val="24"/>
          <w:sz w:val="20"/>
          <w:szCs w:val="20"/>
          <w:lang w:eastAsia="tr-TR"/>
        </w:rPr>
        <w:t xml:space="preserve"> </w:t>
      </w:r>
      <w:r>
        <w:rPr>
          <w:rFonts w:ascii="Arial" w:eastAsia="Calibri" w:hAnsi="Arial" w:cs="Arial"/>
          <w:color w:val="auto"/>
          <w:kern w:val="24"/>
          <w:sz w:val="20"/>
          <w:szCs w:val="20"/>
          <w:lang w:eastAsia="tr-TR"/>
        </w:rPr>
        <w:t xml:space="preserve">in line with </w:t>
      </w:r>
      <w:r w:rsidRPr="000254B2">
        <w:rPr>
          <w:rFonts w:ascii="Arial" w:eastAsia="Calibri" w:hAnsi="Arial" w:cs="Arial"/>
          <w:color w:val="auto"/>
          <w:kern w:val="24"/>
          <w:sz w:val="20"/>
          <w:szCs w:val="20"/>
          <w:lang w:eastAsia="tr-TR"/>
        </w:rPr>
        <w:t>ECRI’s recommendations.</w:t>
      </w:r>
    </w:p>
    <w:p w14:paraId="02FFFBD3" w14:textId="77777777" w:rsidR="007E0D7D" w:rsidRPr="007E0D7D" w:rsidRDefault="007E0D7D" w:rsidP="007E0D7D">
      <w:pPr>
        <w:rPr>
          <w:lang w:eastAsia="tr-TR"/>
        </w:rPr>
      </w:pPr>
    </w:p>
    <w:p w14:paraId="4B78861E" w14:textId="77777777" w:rsidR="008E74B8" w:rsidRDefault="008E74B8" w:rsidP="007E0D7D">
      <w:pPr>
        <w:pStyle w:val="ListParagraph"/>
        <w:numPr>
          <w:ilvl w:val="0"/>
          <w:numId w:val="11"/>
        </w:numPr>
        <w:rPr>
          <w:rFonts w:ascii="Arial" w:hAnsi="Arial" w:cs="Arial"/>
          <w:sz w:val="20"/>
          <w:szCs w:val="20"/>
        </w:rPr>
      </w:pPr>
      <w:r w:rsidRPr="000254B2">
        <w:rPr>
          <w:rFonts w:ascii="Arial" w:hAnsi="Arial" w:cs="Arial"/>
          <w:sz w:val="20"/>
          <w:szCs w:val="20"/>
        </w:rPr>
        <w:t xml:space="preserve">The Istanbul Convention was ratified and entered into force in May 2022 in the Republic of Moldova and in November 2022 in Ukraine. Improvement of the national legislation in Armenia, Georgia and Ukraine in line with the Council of Europe standards and empowerment of the national institutions to effectively combat domestic violence. </w:t>
      </w:r>
    </w:p>
    <w:p w14:paraId="2CD04793" w14:textId="77777777" w:rsidR="007E0D7D" w:rsidRPr="000254B2" w:rsidRDefault="007E0D7D" w:rsidP="007E0D7D">
      <w:pPr>
        <w:pStyle w:val="ListParagraph"/>
        <w:ind w:left="1080"/>
        <w:rPr>
          <w:rFonts w:ascii="Arial" w:hAnsi="Arial" w:cs="Arial"/>
          <w:sz w:val="20"/>
          <w:szCs w:val="20"/>
        </w:rPr>
      </w:pPr>
    </w:p>
    <w:p w14:paraId="69BE0862" w14:textId="77777777" w:rsidR="008E74B8" w:rsidRDefault="008E74B8" w:rsidP="007E0D7D">
      <w:pPr>
        <w:pStyle w:val="Heading1"/>
        <w:numPr>
          <w:ilvl w:val="0"/>
          <w:numId w:val="11"/>
        </w:numPr>
        <w:spacing w:before="0"/>
      </w:pPr>
      <w:r w:rsidRPr="000254B2">
        <w:rPr>
          <w:rFonts w:ascii="Arial" w:hAnsi="Arial" w:cs="Arial"/>
          <w:color w:val="auto"/>
          <w:sz w:val="20"/>
          <w:szCs w:val="20"/>
        </w:rPr>
        <w:t xml:space="preserve">Capacities built among more than 200 justice sector professionals </w:t>
      </w:r>
      <w:r w:rsidRPr="00E45347">
        <w:rPr>
          <w:rFonts w:ascii="Arial" w:hAnsi="Arial" w:cs="Arial"/>
          <w:color w:val="auto"/>
          <w:sz w:val="20"/>
          <w:szCs w:val="20"/>
        </w:rPr>
        <w:t>on equal access to justice and eliminat</w:t>
      </w:r>
      <w:r>
        <w:rPr>
          <w:rFonts w:ascii="Arial" w:hAnsi="Arial" w:cs="Arial"/>
          <w:color w:val="auto"/>
          <w:sz w:val="20"/>
          <w:szCs w:val="20"/>
        </w:rPr>
        <w:t>ing</w:t>
      </w:r>
      <w:r w:rsidRPr="00E45347">
        <w:rPr>
          <w:rFonts w:ascii="Arial" w:hAnsi="Arial" w:cs="Arial"/>
          <w:color w:val="auto"/>
          <w:sz w:val="20"/>
          <w:szCs w:val="20"/>
        </w:rPr>
        <w:t xml:space="preserve"> barriers</w:t>
      </w:r>
      <w:r w:rsidRPr="000254B2">
        <w:rPr>
          <w:rFonts w:ascii="Arial" w:hAnsi="Arial" w:cs="Arial"/>
          <w:color w:val="auto"/>
          <w:sz w:val="20"/>
          <w:szCs w:val="20"/>
        </w:rPr>
        <w:t xml:space="preserve"> across the EaP region</w:t>
      </w:r>
      <w:r>
        <w:t>.</w:t>
      </w:r>
    </w:p>
    <w:p w14:paraId="0FA7C8E2" w14:textId="77777777" w:rsidR="007E0D7D" w:rsidRPr="007E0D7D" w:rsidRDefault="007E0D7D" w:rsidP="007E0D7D"/>
    <w:p w14:paraId="3A548F7D" w14:textId="77777777" w:rsidR="008E74B8" w:rsidRDefault="008E74B8" w:rsidP="007E0D7D">
      <w:pPr>
        <w:pStyle w:val="Heading1"/>
        <w:numPr>
          <w:ilvl w:val="0"/>
          <w:numId w:val="11"/>
        </w:numPr>
        <w:spacing w:before="0"/>
        <w:rPr>
          <w:rFonts w:ascii="Arial" w:hAnsi="Arial" w:cs="Arial"/>
          <w:color w:val="auto"/>
          <w:sz w:val="20"/>
          <w:szCs w:val="20"/>
        </w:rPr>
      </w:pPr>
      <w:r w:rsidRPr="000254B2">
        <w:rPr>
          <w:rFonts w:ascii="Arial" w:hAnsi="Arial" w:cs="Arial"/>
          <w:color w:val="auto"/>
          <w:sz w:val="20"/>
          <w:szCs w:val="20"/>
        </w:rPr>
        <w:t>As regards the Quick Response Mechanism (QRM), 4</w:t>
      </w:r>
      <w:r>
        <w:rPr>
          <w:rFonts w:ascii="Arial" w:hAnsi="Arial" w:cs="Arial"/>
          <w:color w:val="auto"/>
          <w:sz w:val="20"/>
          <w:szCs w:val="20"/>
        </w:rPr>
        <w:t>1</w:t>
      </w:r>
      <w:r w:rsidRPr="000254B2">
        <w:rPr>
          <w:rFonts w:ascii="Arial" w:hAnsi="Arial" w:cs="Arial"/>
          <w:color w:val="auto"/>
          <w:sz w:val="20"/>
          <w:szCs w:val="20"/>
        </w:rPr>
        <w:t xml:space="preserve"> Opinions </w:t>
      </w:r>
      <w:r w:rsidRPr="009B3DC8">
        <w:rPr>
          <w:rFonts w:ascii="Arial" w:hAnsi="Arial" w:cs="Arial"/>
          <w:color w:val="auto"/>
          <w:sz w:val="20"/>
          <w:szCs w:val="20"/>
        </w:rPr>
        <w:t>and one legal expertise</w:t>
      </w:r>
      <w:r>
        <w:rPr>
          <w:rFonts w:ascii="Arial" w:hAnsi="Arial" w:cs="Arial"/>
          <w:color w:val="auto"/>
          <w:sz w:val="20"/>
          <w:szCs w:val="20"/>
        </w:rPr>
        <w:t xml:space="preserve"> </w:t>
      </w:r>
      <w:r w:rsidRPr="000254B2">
        <w:rPr>
          <w:rFonts w:ascii="Arial" w:hAnsi="Arial" w:cs="Arial"/>
          <w:color w:val="auto"/>
          <w:sz w:val="20"/>
          <w:szCs w:val="20"/>
        </w:rPr>
        <w:t xml:space="preserve">were delivered </w:t>
      </w:r>
      <w:r>
        <w:rPr>
          <w:rFonts w:ascii="Arial" w:hAnsi="Arial" w:cs="Arial"/>
          <w:color w:val="auto"/>
          <w:sz w:val="20"/>
          <w:szCs w:val="20"/>
        </w:rPr>
        <w:t xml:space="preserve">under </w:t>
      </w:r>
      <w:r w:rsidRPr="000254B2">
        <w:rPr>
          <w:rFonts w:ascii="Arial" w:hAnsi="Arial" w:cs="Arial"/>
          <w:color w:val="auto"/>
          <w:sz w:val="20"/>
          <w:szCs w:val="20"/>
        </w:rPr>
        <w:t>PGG II</w:t>
      </w:r>
      <w:r>
        <w:rPr>
          <w:rFonts w:ascii="Arial" w:hAnsi="Arial" w:cs="Arial"/>
          <w:color w:val="auto"/>
          <w:sz w:val="20"/>
          <w:szCs w:val="20"/>
        </w:rPr>
        <w:t xml:space="preserve">. In March 2023, three Opinions </w:t>
      </w:r>
      <w:r w:rsidRPr="00731B01">
        <w:rPr>
          <w:rFonts w:ascii="Arial" w:hAnsi="Arial" w:cs="Arial"/>
          <w:color w:val="auto"/>
          <w:sz w:val="20"/>
          <w:szCs w:val="20"/>
        </w:rPr>
        <w:t xml:space="preserve">prepared under PGG II, have been adopted </w:t>
      </w:r>
      <w:r>
        <w:rPr>
          <w:rFonts w:ascii="Arial" w:hAnsi="Arial" w:cs="Arial"/>
          <w:color w:val="auto"/>
          <w:sz w:val="20"/>
          <w:szCs w:val="20"/>
        </w:rPr>
        <w:t xml:space="preserve">by Venice Commission </w:t>
      </w:r>
      <w:r w:rsidRPr="00731B01">
        <w:rPr>
          <w:rFonts w:ascii="Arial" w:hAnsi="Arial" w:cs="Arial"/>
          <w:color w:val="auto"/>
          <w:sz w:val="20"/>
          <w:szCs w:val="20"/>
        </w:rPr>
        <w:t>following discussion</w:t>
      </w:r>
      <w:r>
        <w:rPr>
          <w:rFonts w:ascii="Arial" w:hAnsi="Arial" w:cs="Arial"/>
          <w:color w:val="auto"/>
          <w:sz w:val="20"/>
          <w:szCs w:val="20"/>
        </w:rPr>
        <w:t>s</w:t>
      </w:r>
      <w:r w:rsidRPr="00731B01">
        <w:rPr>
          <w:rFonts w:ascii="Arial" w:hAnsi="Arial" w:cs="Arial"/>
          <w:color w:val="auto"/>
          <w:sz w:val="20"/>
          <w:szCs w:val="20"/>
        </w:rPr>
        <w:t xml:space="preserve"> with the national authorities</w:t>
      </w:r>
      <w:r>
        <w:rPr>
          <w:rFonts w:ascii="Arial" w:hAnsi="Arial" w:cs="Arial"/>
          <w:color w:val="auto"/>
          <w:sz w:val="20"/>
          <w:szCs w:val="20"/>
        </w:rPr>
        <w:t xml:space="preserve">. </w:t>
      </w:r>
    </w:p>
    <w:p w14:paraId="71B33B78" w14:textId="77777777" w:rsidR="007E0D7D" w:rsidRPr="007E0D7D" w:rsidRDefault="007E0D7D" w:rsidP="007E0D7D"/>
    <w:p w14:paraId="591179DD" w14:textId="77777777" w:rsidR="008E74B8" w:rsidRDefault="008E74B8" w:rsidP="007E0D7D">
      <w:pPr>
        <w:rPr>
          <w:rFonts w:cs="Arial"/>
          <w:szCs w:val="20"/>
        </w:rPr>
      </w:pPr>
      <w:r>
        <w:rPr>
          <w:rFonts w:cs="Arial"/>
          <w:szCs w:val="20"/>
        </w:rPr>
        <w:t>While PGGIII is in its first year of implementation, some progress has been achieved in several areas:</w:t>
      </w:r>
    </w:p>
    <w:p w14:paraId="2B4D4D6A" w14:textId="77777777" w:rsidR="007E0D7D" w:rsidRDefault="007E0D7D" w:rsidP="007E0D7D">
      <w:pPr>
        <w:rPr>
          <w:rFonts w:cs="Arial"/>
          <w:szCs w:val="20"/>
        </w:rPr>
      </w:pPr>
    </w:p>
    <w:p w14:paraId="0E7CE9C1" w14:textId="77777777" w:rsidR="008E74B8" w:rsidRDefault="008E74B8" w:rsidP="007E0D7D">
      <w:pPr>
        <w:pStyle w:val="ListParagraph"/>
        <w:numPr>
          <w:ilvl w:val="0"/>
          <w:numId w:val="46"/>
        </w:numPr>
        <w:rPr>
          <w:rFonts w:ascii="Arial" w:hAnsi="Arial" w:cs="Arial"/>
          <w:sz w:val="20"/>
          <w:szCs w:val="20"/>
        </w:rPr>
      </w:pPr>
      <w:r w:rsidRPr="00036CCF">
        <w:rPr>
          <w:rFonts w:ascii="Arial" w:hAnsi="Arial" w:cs="Arial"/>
          <w:sz w:val="20"/>
          <w:szCs w:val="20"/>
        </w:rPr>
        <w:t xml:space="preserve">In </w:t>
      </w:r>
      <w:r>
        <w:rPr>
          <w:rFonts w:ascii="Arial" w:hAnsi="Arial" w:cs="Arial"/>
          <w:sz w:val="20"/>
          <w:szCs w:val="20"/>
        </w:rPr>
        <w:t xml:space="preserve">the </w:t>
      </w:r>
      <w:r w:rsidRPr="00036CCF">
        <w:rPr>
          <w:rFonts w:ascii="Arial" w:hAnsi="Arial" w:cs="Arial"/>
          <w:sz w:val="20"/>
          <w:szCs w:val="20"/>
        </w:rPr>
        <w:t>field of strengthening justice, Armenian legal professionals have better access to the Cassation Court’s case</w:t>
      </w:r>
      <w:r>
        <w:rPr>
          <w:rFonts w:ascii="Arial" w:hAnsi="Arial" w:cs="Arial"/>
          <w:sz w:val="20"/>
          <w:szCs w:val="20"/>
        </w:rPr>
        <w:t xml:space="preserve"> law thr</w:t>
      </w:r>
      <w:r w:rsidRPr="00036CCF">
        <w:rPr>
          <w:rFonts w:ascii="Arial" w:hAnsi="Arial" w:cs="Arial"/>
          <w:sz w:val="20"/>
          <w:szCs w:val="20"/>
        </w:rPr>
        <w:t xml:space="preserve">ough the published Volume of Decisions. In </w:t>
      </w:r>
      <w:r>
        <w:rPr>
          <w:rFonts w:ascii="Arial" w:hAnsi="Arial" w:cs="Arial"/>
          <w:sz w:val="20"/>
          <w:szCs w:val="20"/>
        </w:rPr>
        <w:t xml:space="preserve">the </w:t>
      </w:r>
      <w:r w:rsidRPr="00036CCF">
        <w:rPr>
          <w:rFonts w:ascii="Arial" w:hAnsi="Arial" w:cs="Arial"/>
          <w:sz w:val="20"/>
          <w:szCs w:val="20"/>
        </w:rPr>
        <w:t>Republic of Moldova, monitoring has started on the use of JUSTAT AIS, the online application for consultation of statistical data from the judicial system launched in May 2023.</w:t>
      </w:r>
    </w:p>
    <w:p w14:paraId="391D359F" w14:textId="77777777" w:rsidR="007E0D7D" w:rsidRDefault="007E0D7D" w:rsidP="007E0D7D">
      <w:pPr>
        <w:pStyle w:val="ListParagraph"/>
        <w:ind w:left="1440"/>
        <w:rPr>
          <w:rFonts w:ascii="Arial" w:hAnsi="Arial" w:cs="Arial"/>
          <w:sz w:val="20"/>
          <w:szCs w:val="20"/>
        </w:rPr>
      </w:pPr>
    </w:p>
    <w:p w14:paraId="69205C1D" w14:textId="77777777" w:rsidR="008E74B8" w:rsidRDefault="008E74B8" w:rsidP="007E0D7D">
      <w:pPr>
        <w:pStyle w:val="ListParagraph"/>
        <w:numPr>
          <w:ilvl w:val="0"/>
          <w:numId w:val="46"/>
        </w:numPr>
        <w:rPr>
          <w:rFonts w:ascii="Arial" w:hAnsi="Arial" w:cs="Arial"/>
          <w:sz w:val="20"/>
          <w:szCs w:val="20"/>
        </w:rPr>
      </w:pPr>
      <w:r w:rsidRPr="00A15DB9">
        <w:rPr>
          <w:rFonts w:ascii="Arial" w:hAnsi="Arial" w:cs="Arial"/>
          <w:sz w:val="20"/>
          <w:szCs w:val="20"/>
        </w:rPr>
        <w:t xml:space="preserve">In the area of combating economic crime, political finance legislation and supervision tools were reviewed. In Ukraine the Government adopted the resolution “On approval of the Methodology for identifying the ultimate beneficial owner by a legal entity”, on 19 September 2023, paving the way for further implementation of the updated Ultimate Beneficial Owner reporting and verification mechanism. In Georgia, the institutional strategy and action plan for the newly established Anti-corruption Bureau were reviewed and comprehensive legislative measures to prevent and combat money laundering and terrorist financing were developed in view of enhanced alignment of the measures for non-financial Institutions with FATF recommendations. </w:t>
      </w:r>
    </w:p>
    <w:p w14:paraId="5C7C3862" w14:textId="65CCEFA5" w:rsidR="007E0D7D" w:rsidRDefault="007E0D7D">
      <w:pPr>
        <w:rPr>
          <w:rFonts w:cs="Arial"/>
          <w:szCs w:val="20"/>
        </w:rPr>
      </w:pPr>
      <w:r>
        <w:rPr>
          <w:rFonts w:cs="Arial"/>
          <w:szCs w:val="20"/>
        </w:rPr>
        <w:br w:type="page"/>
      </w:r>
    </w:p>
    <w:p w14:paraId="021281D5" w14:textId="77777777" w:rsidR="007E0D7D" w:rsidRDefault="007E0D7D" w:rsidP="007E0D7D">
      <w:pPr>
        <w:pStyle w:val="ListParagraph"/>
        <w:ind w:left="1440"/>
        <w:rPr>
          <w:rFonts w:ascii="Arial" w:hAnsi="Arial" w:cs="Arial"/>
          <w:sz w:val="20"/>
          <w:szCs w:val="20"/>
        </w:rPr>
      </w:pPr>
    </w:p>
    <w:p w14:paraId="197ABDEC" w14:textId="77777777" w:rsidR="008E74B8" w:rsidRPr="006241D3" w:rsidRDefault="008E74B8" w:rsidP="007E0D7D">
      <w:pPr>
        <w:pStyle w:val="ListParagraph"/>
        <w:numPr>
          <w:ilvl w:val="0"/>
          <w:numId w:val="46"/>
        </w:numPr>
        <w:rPr>
          <w:rFonts w:ascii="Arial" w:hAnsi="Arial" w:cs="Arial"/>
          <w:sz w:val="20"/>
          <w:szCs w:val="20"/>
        </w:rPr>
      </w:pPr>
      <w:r w:rsidRPr="006241D3">
        <w:rPr>
          <w:rFonts w:ascii="Arial" w:hAnsi="Arial" w:cs="Arial"/>
          <w:sz w:val="20"/>
          <w:szCs w:val="20"/>
        </w:rPr>
        <w:t xml:space="preserve">In the area of promoting equality and non-discrimination, the capacities of the staff of the Ombudsperson Office to respond to different forms of discrimination affecting vulnerable groups were improved in Azerbaijan and the equality platform facilitated the dialogue among Civil Society Organisations (CSOs) and between CSOs and Ombudsperson Office. Expert support was provided to the Ministry of Justice of the Republic of Moldova in reviewing the Draft law on ensuring equality and the creation and translation of educational materials on combating hate speech and bullying. In Georgia and Ukraine, capacities and awareness of the national authorities and public were raised on combating hate speech. </w:t>
      </w:r>
    </w:p>
    <w:p w14:paraId="14D4C41B" w14:textId="77777777" w:rsidR="008E74B8" w:rsidRPr="006241D3" w:rsidRDefault="008E74B8" w:rsidP="007E0D7D">
      <w:pPr>
        <w:pStyle w:val="ListParagraph"/>
        <w:numPr>
          <w:ilvl w:val="0"/>
          <w:numId w:val="46"/>
        </w:numPr>
        <w:rPr>
          <w:rFonts w:ascii="Arial" w:hAnsi="Arial" w:cs="Arial"/>
          <w:sz w:val="20"/>
          <w:szCs w:val="20"/>
        </w:rPr>
      </w:pPr>
      <w:r w:rsidRPr="006241D3">
        <w:rPr>
          <w:rFonts w:ascii="Arial" w:hAnsi="Arial" w:cs="Arial"/>
          <w:sz w:val="20"/>
          <w:szCs w:val="20"/>
        </w:rPr>
        <w:t>In the field of combating violence against women and domestic violence, the HELP course on Violence Against Women was adapted and provided to Azerbaijani law enforcement officials. A multi-agency co-operation in combating violence against women was strengthened; The Council of Europe has adopted a comprehensive response package to address the refugee influx in Armenia. The package includes an assessment to address efficiently the new needs that occurred especially concerning the protection of human rights, protection against discrimination and in the field of economic crime to provide financial inclusion for the displaced persons.</w:t>
      </w:r>
    </w:p>
    <w:p w14:paraId="4173EA38" w14:textId="77777777" w:rsidR="008E74B8" w:rsidRDefault="008E74B8" w:rsidP="007E0D7D">
      <w:pPr>
        <w:rPr>
          <w:rFonts w:cs="Arial"/>
          <w:i/>
          <w:iCs/>
          <w:szCs w:val="20"/>
        </w:rPr>
      </w:pPr>
    </w:p>
    <w:p w14:paraId="16ED38D8" w14:textId="77777777" w:rsidR="008E74B8" w:rsidRPr="007E0D7D" w:rsidRDefault="008E74B8" w:rsidP="007E0D7D">
      <w:pPr>
        <w:numPr>
          <w:ilvl w:val="0"/>
          <w:numId w:val="4"/>
        </w:numPr>
        <w:ind w:left="0" w:firstLine="0"/>
        <w:rPr>
          <w:rFonts w:cs="Arial"/>
          <w:i/>
          <w:iCs/>
          <w:szCs w:val="20"/>
        </w:rPr>
      </w:pPr>
      <w:r w:rsidRPr="00A15DB9">
        <w:rPr>
          <w:rFonts w:cs="Arial"/>
          <w:i/>
          <w:iCs/>
          <w:szCs w:val="20"/>
          <w:u w:val="single"/>
        </w:rPr>
        <w:t>Other Joint Programmes implemented in the region</w:t>
      </w:r>
      <w:r w:rsidRPr="00A15DB9">
        <w:rPr>
          <w:rFonts w:cs="Arial"/>
          <w:szCs w:val="20"/>
        </w:rPr>
        <w:t xml:space="preserve"> </w:t>
      </w:r>
    </w:p>
    <w:p w14:paraId="2D9FF9AC" w14:textId="77777777" w:rsidR="007E0D7D" w:rsidRPr="000B2F14" w:rsidRDefault="007E0D7D" w:rsidP="007E0D7D">
      <w:pPr>
        <w:rPr>
          <w:rFonts w:cs="Arial"/>
          <w:i/>
          <w:iCs/>
          <w:szCs w:val="20"/>
        </w:rPr>
      </w:pPr>
    </w:p>
    <w:p w14:paraId="25AA696C" w14:textId="77777777" w:rsidR="008E74B8" w:rsidRDefault="008E74B8" w:rsidP="007E0D7D">
      <w:pPr>
        <w:rPr>
          <w:rFonts w:cs="Arial"/>
          <w:szCs w:val="20"/>
        </w:rPr>
      </w:pPr>
      <w:r>
        <w:rPr>
          <w:rFonts w:cs="Arial"/>
          <w:szCs w:val="20"/>
        </w:rPr>
        <w:t>Two important country-specific programmes for Ukraine and the Republic of Moldova were launched in 2023.</w:t>
      </w:r>
    </w:p>
    <w:p w14:paraId="65E9BE7F" w14:textId="77777777" w:rsidR="007E0D7D" w:rsidRDefault="007E0D7D" w:rsidP="007E0D7D">
      <w:pPr>
        <w:rPr>
          <w:rFonts w:cs="Arial"/>
          <w:szCs w:val="20"/>
        </w:rPr>
      </w:pPr>
    </w:p>
    <w:p w14:paraId="159B1B7E" w14:textId="77777777" w:rsidR="008E74B8" w:rsidRDefault="008E74B8" w:rsidP="007E0D7D">
      <w:pPr>
        <w:rPr>
          <w:rFonts w:eastAsiaTheme="minorEastAsia" w:cs="Arial"/>
          <w:szCs w:val="20"/>
        </w:rPr>
      </w:pPr>
      <w:r w:rsidRPr="00A15DB9">
        <w:rPr>
          <w:rFonts w:cs="Arial"/>
          <w:b/>
          <w:bCs/>
          <w:szCs w:val="20"/>
        </w:rPr>
        <w:t>In Ukraine</w:t>
      </w:r>
      <w:r>
        <w:rPr>
          <w:rFonts w:cs="Arial"/>
          <w:szCs w:val="20"/>
        </w:rPr>
        <w:t>, t</w:t>
      </w:r>
      <w:r w:rsidRPr="00A15DB9">
        <w:rPr>
          <w:rFonts w:cs="Arial"/>
          <w:szCs w:val="20"/>
        </w:rPr>
        <w:t xml:space="preserve">he Joint </w:t>
      </w:r>
      <w:r>
        <w:rPr>
          <w:rFonts w:cs="Arial"/>
          <w:szCs w:val="20"/>
        </w:rPr>
        <w:t>P</w:t>
      </w:r>
      <w:r w:rsidRPr="00A15DB9">
        <w:rPr>
          <w:rFonts w:cs="Arial"/>
          <w:szCs w:val="20"/>
        </w:rPr>
        <w:t>rogramme “Support for implementing European standards relating to anti-discrimination and rights of national minorities”</w:t>
      </w:r>
      <w:r>
        <w:rPr>
          <w:rFonts w:cs="Arial"/>
          <w:szCs w:val="20"/>
        </w:rPr>
        <w:t xml:space="preserve"> </w:t>
      </w:r>
      <w:r w:rsidRPr="00A15DB9">
        <w:rPr>
          <w:rFonts w:cs="Arial"/>
          <w:szCs w:val="20"/>
        </w:rPr>
        <w:t>(total: €</w:t>
      </w:r>
      <w:r w:rsidRPr="00A15DB9">
        <w:rPr>
          <w:rFonts w:eastAsiaTheme="minorEastAsia" w:cs="Arial"/>
          <w:szCs w:val="20"/>
        </w:rPr>
        <w:t xml:space="preserve">2 million) started in July 2023 for three years. The programme aims to support Ukraine in implementing European standards and recommendations related to the protection from discrimination and </w:t>
      </w:r>
      <w:r>
        <w:rPr>
          <w:rFonts w:eastAsiaTheme="minorEastAsia" w:cs="Arial"/>
          <w:szCs w:val="20"/>
        </w:rPr>
        <w:t xml:space="preserve">regarding the </w:t>
      </w:r>
      <w:r w:rsidRPr="00A15DB9">
        <w:rPr>
          <w:rFonts w:eastAsiaTheme="minorEastAsia" w:cs="Arial"/>
          <w:szCs w:val="20"/>
        </w:rPr>
        <w:t xml:space="preserve">rights of persons belonging to national minorities, notably in the context of the follow-up to the 2022 Opinion on Ukraine’s application for membership of the European Union. The programme focuses on the provision of legal and policy </w:t>
      </w:r>
      <w:r>
        <w:rPr>
          <w:rFonts w:eastAsiaTheme="minorEastAsia" w:cs="Arial"/>
          <w:szCs w:val="20"/>
        </w:rPr>
        <w:t>advice</w:t>
      </w:r>
      <w:r w:rsidRPr="00A15DB9">
        <w:rPr>
          <w:rFonts w:eastAsiaTheme="minorEastAsia" w:cs="Arial"/>
          <w:szCs w:val="20"/>
        </w:rPr>
        <w:t xml:space="preserve"> and entails engagement with civil society organisations and target communities. The programme also aims to raise awareness at the institutional and societal levels on issues related to diversity and combating intolerance and stereotypes against vulnerable groups. </w:t>
      </w:r>
    </w:p>
    <w:p w14:paraId="0E9672D5" w14:textId="77777777" w:rsidR="007E0D7D" w:rsidRPr="00A15DB9" w:rsidRDefault="007E0D7D" w:rsidP="007E0D7D">
      <w:pPr>
        <w:rPr>
          <w:rFonts w:eastAsiaTheme="minorEastAsia" w:cs="Arial"/>
          <w:szCs w:val="20"/>
        </w:rPr>
      </w:pPr>
    </w:p>
    <w:p w14:paraId="7A7A80A5" w14:textId="77777777" w:rsidR="008E74B8" w:rsidRDefault="008E74B8" w:rsidP="007E0D7D">
      <w:pPr>
        <w:rPr>
          <w:rFonts w:eastAsiaTheme="minorEastAsia" w:cs="Arial"/>
          <w:szCs w:val="20"/>
        </w:rPr>
      </w:pPr>
      <w:r w:rsidRPr="00A15DB9">
        <w:rPr>
          <w:rFonts w:cs="Arial"/>
          <w:b/>
          <w:bCs/>
          <w:szCs w:val="20"/>
        </w:rPr>
        <w:t>In the Republic of Moldova</w:t>
      </w:r>
      <w:r>
        <w:rPr>
          <w:rFonts w:cs="Arial"/>
          <w:szCs w:val="20"/>
        </w:rPr>
        <w:t>, t</w:t>
      </w:r>
      <w:r w:rsidRPr="00A15DB9">
        <w:rPr>
          <w:rFonts w:cs="Arial"/>
          <w:szCs w:val="20"/>
        </w:rPr>
        <w:t>he three-year Joint Programme</w:t>
      </w:r>
      <w:r w:rsidRPr="00A15DB9">
        <w:rPr>
          <w:rFonts w:eastAsiaTheme="minorEastAsia" w:cs="Arial"/>
          <w:szCs w:val="20"/>
        </w:rPr>
        <w:t xml:space="preserve"> “Support to the Justice </w:t>
      </w:r>
      <w:r>
        <w:rPr>
          <w:rFonts w:eastAsiaTheme="minorEastAsia" w:cs="Arial"/>
          <w:szCs w:val="20"/>
        </w:rPr>
        <w:t>R</w:t>
      </w:r>
      <w:r w:rsidRPr="00A15DB9">
        <w:rPr>
          <w:rFonts w:eastAsiaTheme="minorEastAsia" w:cs="Arial"/>
          <w:szCs w:val="20"/>
        </w:rPr>
        <w:t xml:space="preserve">eform” </w:t>
      </w:r>
      <w:r>
        <w:rPr>
          <w:rFonts w:eastAsiaTheme="minorEastAsia" w:cs="Arial"/>
          <w:szCs w:val="20"/>
        </w:rPr>
        <w:t>has been</w:t>
      </w:r>
      <w:r w:rsidRPr="00A15DB9">
        <w:rPr>
          <w:rFonts w:eastAsiaTheme="minorEastAsia" w:cs="Arial"/>
          <w:szCs w:val="20"/>
        </w:rPr>
        <w:t xml:space="preserve"> under implementation since May 2023 with a budget of</w:t>
      </w:r>
      <w:r>
        <w:rPr>
          <w:rFonts w:eastAsiaTheme="minorEastAsia" w:cs="Arial"/>
          <w:szCs w:val="20"/>
        </w:rPr>
        <w:t xml:space="preserve"> </w:t>
      </w:r>
      <w:r w:rsidRPr="00A15DB9">
        <w:rPr>
          <w:rFonts w:cs="Arial"/>
          <w:szCs w:val="20"/>
        </w:rPr>
        <w:t>€</w:t>
      </w:r>
      <w:r w:rsidRPr="00A15DB9">
        <w:rPr>
          <w:rFonts w:eastAsiaTheme="minorEastAsia" w:cs="Arial"/>
          <w:szCs w:val="20"/>
        </w:rPr>
        <w:t xml:space="preserve">2.7 million. The programme </w:t>
      </w:r>
      <w:r w:rsidRPr="00352406">
        <w:rPr>
          <w:rFonts w:cs="Arial"/>
          <w:szCs w:val="20"/>
          <w:lang w:val="en-US" w:eastAsia="en-GB"/>
        </w:rPr>
        <w:t>aims at increasing the independence, professionalism, and transparency of the</w:t>
      </w:r>
      <w:r w:rsidRPr="00A15DB9">
        <w:rPr>
          <w:rFonts w:cs="Arial"/>
          <w:szCs w:val="20"/>
        </w:rPr>
        <w:t xml:space="preserve"> </w:t>
      </w:r>
      <w:r w:rsidRPr="00352406">
        <w:rPr>
          <w:rFonts w:cs="Arial"/>
          <w:szCs w:val="20"/>
          <w:lang w:val="en-US" w:eastAsia="en-GB"/>
        </w:rPr>
        <w:t>judiciary in the Republic of Moldova and supports the implementation of justice</w:t>
      </w:r>
      <w:r w:rsidRPr="00A15DB9">
        <w:rPr>
          <w:rFonts w:cs="Arial"/>
          <w:szCs w:val="20"/>
        </w:rPr>
        <w:t xml:space="preserve"> </w:t>
      </w:r>
      <w:r w:rsidRPr="00352406">
        <w:rPr>
          <w:rFonts w:cs="Arial"/>
          <w:szCs w:val="20"/>
          <w:lang w:val="en-US" w:eastAsia="en-GB"/>
        </w:rPr>
        <w:t>reform in line with European Commission for Democracy through Law (Venice</w:t>
      </w:r>
      <w:r w:rsidRPr="00A15DB9">
        <w:rPr>
          <w:rFonts w:cs="Arial"/>
          <w:szCs w:val="20"/>
        </w:rPr>
        <w:t xml:space="preserve"> </w:t>
      </w:r>
      <w:r w:rsidRPr="00352406">
        <w:rPr>
          <w:rFonts w:cs="Arial"/>
          <w:szCs w:val="20"/>
          <w:lang w:val="en-US" w:eastAsia="en-GB"/>
        </w:rPr>
        <w:t>Commission) Opinions, Group of States against Corruption (GRECO) compliance report,</w:t>
      </w:r>
      <w:r w:rsidRPr="00A15DB9">
        <w:rPr>
          <w:rFonts w:cs="Arial"/>
          <w:szCs w:val="20"/>
        </w:rPr>
        <w:t xml:space="preserve"> </w:t>
      </w:r>
      <w:r w:rsidRPr="00352406">
        <w:rPr>
          <w:rFonts w:cs="Arial"/>
          <w:szCs w:val="20"/>
          <w:lang w:val="en-US" w:eastAsia="en-GB"/>
        </w:rPr>
        <w:t>and other European standards. In this process, the programme supports enhanced co</w:t>
      </w:r>
      <w:r>
        <w:rPr>
          <w:rFonts w:cs="Arial"/>
          <w:szCs w:val="20"/>
          <w:lang w:val="en-US" w:eastAsia="en-GB"/>
        </w:rPr>
        <w:t>-</w:t>
      </w:r>
      <w:r w:rsidRPr="00352406">
        <w:rPr>
          <w:rFonts w:cs="Arial"/>
          <w:szCs w:val="20"/>
          <w:lang w:val="en-US" w:eastAsia="en-GB"/>
        </w:rPr>
        <w:t xml:space="preserve">operation between judicial bodies and national authorities, as well as broader networking with civil society institutions engaged in the reform of the judiciary in the country. It also targets the increased transparency and accessibility of the courts for its end beneficiaries. </w:t>
      </w:r>
      <w:r w:rsidRPr="00C423CA">
        <w:rPr>
          <w:rFonts w:eastAsiaTheme="minorEastAsia" w:cs="Arial"/>
          <w:szCs w:val="20"/>
        </w:rPr>
        <w:t xml:space="preserve">While the programme is still in its first year of implementation, some results can be </w:t>
      </w:r>
      <w:r>
        <w:rPr>
          <w:rFonts w:eastAsiaTheme="minorEastAsia" w:cs="Arial"/>
          <w:szCs w:val="20"/>
        </w:rPr>
        <w:t>acknowledged</w:t>
      </w:r>
      <w:r w:rsidRPr="00C423CA">
        <w:rPr>
          <w:rFonts w:eastAsiaTheme="minorEastAsia" w:cs="Arial"/>
          <w:szCs w:val="20"/>
        </w:rPr>
        <w:t>:</w:t>
      </w:r>
      <w:r>
        <w:rPr>
          <w:rFonts w:eastAsiaTheme="minorEastAsia" w:cs="Arial"/>
          <w:szCs w:val="20"/>
        </w:rPr>
        <w:t xml:space="preserve"> </w:t>
      </w:r>
    </w:p>
    <w:p w14:paraId="2FB8B8DE" w14:textId="77777777" w:rsidR="007E0D7D" w:rsidRPr="00C423CA" w:rsidRDefault="007E0D7D" w:rsidP="007E0D7D">
      <w:pPr>
        <w:rPr>
          <w:rFonts w:eastAsiaTheme="minorEastAsia" w:cs="Arial"/>
          <w:szCs w:val="20"/>
        </w:rPr>
      </w:pPr>
    </w:p>
    <w:p w14:paraId="48A62BE8" w14:textId="77777777" w:rsidR="008E74B8" w:rsidRDefault="008E74B8" w:rsidP="007E0D7D">
      <w:pPr>
        <w:pStyle w:val="ListParagraph"/>
        <w:numPr>
          <w:ilvl w:val="0"/>
          <w:numId w:val="5"/>
        </w:numPr>
        <w:rPr>
          <w:rFonts w:ascii="Arial" w:eastAsiaTheme="minorEastAsia" w:hAnsi="Arial" w:cs="Arial"/>
          <w:sz w:val="20"/>
          <w:szCs w:val="20"/>
        </w:rPr>
      </w:pPr>
      <w:r w:rsidRPr="00C423CA">
        <w:rPr>
          <w:rFonts w:ascii="Arial" w:eastAsiaTheme="minorEastAsia" w:hAnsi="Arial" w:cs="Arial"/>
          <w:sz w:val="20"/>
          <w:szCs w:val="20"/>
        </w:rPr>
        <w:t>a new regulation for organising and conducting competitions within the Prosecutors’ Inspection Service, shaped on the basis of a comprehensive assessment of the draft regulation, ensuring its coherence with CoE standards;</w:t>
      </w:r>
    </w:p>
    <w:p w14:paraId="71ADFCAB" w14:textId="77777777" w:rsidR="007E0D7D" w:rsidRPr="00C423CA" w:rsidRDefault="007E0D7D" w:rsidP="007E0D7D">
      <w:pPr>
        <w:pStyle w:val="ListParagraph"/>
        <w:rPr>
          <w:rFonts w:ascii="Arial" w:eastAsiaTheme="minorEastAsia" w:hAnsi="Arial" w:cs="Arial"/>
          <w:sz w:val="20"/>
          <w:szCs w:val="20"/>
        </w:rPr>
      </w:pPr>
    </w:p>
    <w:p w14:paraId="29EF47C3" w14:textId="77777777" w:rsidR="008E74B8" w:rsidRDefault="008E74B8" w:rsidP="007E0D7D">
      <w:pPr>
        <w:pStyle w:val="ListParagraph"/>
        <w:numPr>
          <w:ilvl w:val="0"/>
          <w:numId w:val="5"/>
        </w:numPr>
        <w:rPr>
          <w:rFonts w:ascii="Arial" w:eastAsiaTheme="minorEastAsia" w:hAnsi="Arial" w:cs="Arial"/>
          <w:sz w:val="20"/>
          <w:szCs w:val="20"/>
        </w:rPr>
      </w:pPr>
      <w:r w:rsidRPr="00C423CA">
        <w:rPr>
          <w:rFonts w:ascii="Arial" w:eastAsiaTheme="minorEastAsia" w:hAnsi="Arial" w:cs="Arial"/>
          <w:sz w:val="20"/>
          <w:szCs w:val="20"/>
        </w:rPr>
        <w:t xml:space="preserve">an evaluation of the draft amendments regarding the National Institute of Justice as the basis for reform; </w:t>
      </w:r>
    </w:p>
    <w:p w14:paraId="6A38188A" w14:textId="77777777" w:rsidR="007E0D7D" w:rsidRPr="00C423CA" w:rsidRDefault="007E0D7D" w:rsidP="007E0D7D">
      <w:pPr>
        <w:pStyle w:val="ListParagraph"/>
        <w:rPr>
          <w:rFonts w:ascii="Arial" w:eastAsiaTheme="minorEastAsia" w:hAnsi="Arial" w:cs="Arial"/>
          <w:sz w:val="20"/>
          <w:szCs w:val="20"/>
        </w:rPr>
      </w:pPr>
    </w:p>
    <w:p w14:paraId="5BA0CD91" w14:textId="77777777" w:rsidR="008E74B8" w:rsidRDefault="008E74B8" w:rsidP="007E0D7D">
      <w:pPr>
        <w:pStyle w:val="ListParagraph"/>
        <w:numPr>
          <w:ilvl w:val="0"/>
          <w:numId w:val="5"/>
        </w:numPr>
        <w:rPr>
          <w:rFonts w:ascii="Arial" w:eastAsiaTheme="minorEastAsia" w:hAnsi="Arial" w:cs="Arial"/>
          <w:sz w:val="20"/>
          <w:szCs w:val="20"/>
        </w:rPr>
      </w:pPr>
      <w:r w:rsidRPr="00366140">
        <w:rPr>
          <w:rFonts w:ascii="Arial" w:eastAsiaTheme="minorEastAsia" w:hAnsi="Arial" w:cs="Arial"/>
          <w:sz w:val="20"/>
          <w:szCs w:val="20"/>
        </w:rPr>
        <w:t xml:space="preserve">amendments to the draft law regarding the external assessment of judges and prosecutors, marking a tangible impact on the legal framework on vetting, implementing recommendations of the Joint Follow-up Opinion of the Venice Commission and Directorate General of Human Rights and Rule of Law (DGI) on that draft law. </w:t>
      </w:r>
    </w:p>
    <w:p w14:paraId="29E4D158" w14:textId="77777777" w:rsidR="007E0D7D" w:rsidRPr="00366140" w:rsidRDefault="007E0D7D" w:rsidP="007E0D7D">
      <w:pPr>
        <w:pStyle w:val="ListParagraph"/>
        <w:rPr>
          <w:rFonts w:ascii="Arial" w:eastAsiaTheme="minorEastAsia" w:hAnsi="Arial" w:cs="Arial"/>
          <w:sz w:val="20"/>
          <w:szCs w:val="20"/>
        </w:rPr>
      </w:pPr>
    </w:p>
    <w:p w14:paraId="42FB29B0" w14:textId="77777777" w:rsidR="008E74B8" w:rsidRDefault="008E74B8" w:rsidP="007E0D7D">
      <w:pPr>
        <w:rPr>
          <w:rFonts w:eastAsia="Times New Roman" w:cs="Arial"/>
          <w:szCs w:val="20"/>
          <w:lang w:eastAsia="en-GB"/>
        </w:rPr>
      </w:pPr>
      <w:r>
        <w:rPr>
          <w:rFonts w:cs="Arial"/>
          <w:szCs w:val="20"/>
        </w:rPr>
        <w:t xml:space="preserve">Two </w:t>
      </w:r>
      <w:r w:rsidRPr="00A15DB9">
        <w:rPr>
          <w:rFonts w:cs="Arial"/>
          <w:b/>
          <w:bCs/>
          <w:szCs w:val="20"/>
        </w:rPr>
        <w:t>thematic regional</w:t>
      </w:r>
      <w:r>
        <w:rPr>
          <w:rFonts w:cs="Arial"/>
          <w:szCs w:val="20"/>
        </w:rPr>
        <w:t xml:space="preserve"> Joint Programmes continued implementation </w:t>
      </w:r>
      <w:r>
        <w:rPr>
          <w:rFonts w:eastAsia="Times New Roman" w:cs="Arial"/>
          <w:szCs w:val="20"/>
          <w:lang w:eastAsia="en-GB"/>
        </w:rPr>
        <w:t xml:space="preserve">in complementarity with PGG. </w:t>
      </w:r>
    </w:p>
    <w:p w14:paraId="1059F27D" w14:textId="77777777" w:rsidR="007E0D7D" w:rsidRDefault="007E0D7D" w:rsidP="007E0D7D">
      <w:pPr>
        <w:rPr>
          <w:rFonts w:eastAsiaTheme="minorEastAsia" w:cs="Arial"/>
          <w:szCs w:val="20"/>
          <w:highlight w:val="yellow"/>
        </w:rPr>
      </w:pPr>
    </w:p>
    <w:p w14:paraId="6F980735" w14:textId="77777777" w:rsidR="007E0D7D" w:rsidRDefault="008E74B8" w:rsidP="007E0D7D">
      <w:pPr>
        <w:rPr>
          <w:rFonts w:eastAsia="Times New Roman" w:cs="Arial"/>
          <w:szCs w:val="20"/>
          <w:lang w:eastAsia="en-GB"/>
        </w:rPr>
      </w:pPr>
      <w:r w:rsidRPr="00C423CA">
        <w:rPr>
          <w:rStyle w:val="bumpedfont15"/>
          <w:rFonts w:cs="Arial"/>
          <w:szCs w:val="20"/>
        </w:rPr>
        <w:t xml:space="preserve">The Joint Programme “CyberEast - </w:t>
      </w:r>
      <w:r w:rsidRPr="00C423CA">
        <w:rPr>
          <w:rFonts w:cs="Arial"/>
          <w:bCs/>
          <w:szCs w:val="20"/>
        </w:rPr>
        <w:t xml:space="preserve">Action on Cybercrime for Cyber Resilience” (total </w:t>
      </w:r>
      <w:r w:rsidRPr="00C423CA">
        <w:rPr>
          <w:rFonts w:cs="Arial"/>
          <w:szCs w:val="20"/>
        </w:rPr>
        <w:t>€</w:t>
      </w:r>
      <w:r w:rsidRPr="00C423CA">
        <w:rPr>
          <w:rFonts w:eastAsiaTheme="minorEastAsia" w:cs="Arial"/>
          <w:szCs w:val="20"/>
        </w:rPr>
        <w:t xml:space="preserve">5.3 million) was launched in 2019 to strengthen the criminal </w:t>
      </w:r>
      <w:r w:rsidRPr="00C423CA">
        <w:rPr>
          <w:rFonts w:cs="Arial"/>
          <w:iCs/>
          <w:szCs w:val="20"/>
        </w:rPr>
        <w:t xml:space="preserve">justice capacities on cybercrime and electronic of the Beneficiary countries in terms of legislation and policies, capacities for investigation, prosecution and adjudication as well as international and public/private co-operation, in line with the Budapest Convention on Cybercrime. </w:t>
      </w:r>
      <w:r>
        <w:rPr>
          <w:rFonts w:cs="Arial"/>
          <w:iCs/>
          <w:szCs w:val="20"/>
        </w:rPr>
        <w:t xml:space="preserve">The </w:t>
      </w:r>
      <w:r w:rsidRPr="00C423CA">
        <w:rPr>
          <w:rFonts w:cs="Arial"/>
          <w:iCs/>
          <w:szCs w:val="20"/>
        </w:rPr>
        <w:t xml:space="preserve">programme </w:t>
      </w:r>
      <w:r w:rsidRPr="00C423CA">
        <w:rPr>
          <w:rFonts w:eastAsia="Times New Roman" w:cs="Arial"/>
          <w:szCs w:val="20"/>
          <w:lang w:eastAsia="en-GB"/>
        </w:rPr>
        <w:t xml:space="preserve">has been completed by the end of 2023; its follow-up phase has been </w:t>
      </w:r>
    </w:p>
    <w:p w14:paraId="200B9D38" w14:textId="77777777" w:rsidR="007E0D7D" w:rsidRDefault="007E0D7D">
      <w:pPr>
        <w:rPr>
          <w:rFonts w:eastAsia="Times New Roman" w:cs="Arial"/>
          <w:szCs w:val="20"/>
          <w:lang w:eastAsia="en-GB"/>
        </w:rPr>
      </w:pPr>
      <w:r>
        <w:rPr>
          <w:rFonts w:eastAsia="Times New Roman" w:cs="Arial"/>
          <w:szCs w:val="20"/>
          <w:lang w:eastAsia="en-GB"/>
        </w:rPr>
        <w:br w:type="page"/>
      </w:r>
    </w:p>
    <w:p w14:paraId="746071C6" w14:textId="77777777" w:rsidR="007E0D7D" w:rsidRDefault="007E0D7D" w:rsidP="007E0D7D">
      <w:pPr>
        <w:rPr>
          <w:rFonts w:eastAsia="Times New Roman" w:cs="Arial"/>
          <w:szCs w:val="20"/>
          <w:lang w:eastAsia="en-GB"/>
        </w:rPr>
      </w:pPr>
    </w:p>
    <w:p w14:paraId="387B2200" w14:textId="789B2ED4" w:rsidR="008E74B8" w:rsidRDefault="008E74B8" w:rsidP="007E0D7D">
      <w:pPr>
        <w:rPr>
          <w:rFonts w:cs="Arial"/>
          <w:iCs/>
          <w:szCs w:val="20"/>
        </w:rPr>
      </w:pPr>
      <w:r w:rsidRPr="00C423CA">
        <w:rPr>
          <w:rFonts w:eastAsia="Times New Roman" w:cs="Arial"/>
          <w:szCs w:val="20"/>
          <w:lang w:eastAsia="en-GB"/>
        </w:rPr>
        <w:t>negotiated, with the start of implementation foreseen in March</w:t>
      </w:r>
      <w:r>
        <w:rPr>
          <w:rFonts w:eastAsia="Times New Roman" w:cs="Arial"/>
          <w:szCs w:val="20"/>
          <w:lang w:eastAsia="en-GB"/>
        </w:rPr>
        <w:t xml:space="preserve"> </w:t>
      </w:r>
      <w:r w:rsidRPr="00C423CA">
        <w:rPr>
          <w:rFonts w:eastAsia="Times New Roman" w:cs="Arial"/>
          <w:szCs w:val="20"/>
          <w:lang w:eastAsia="en-GB"/>
        </w:rPr>
        <w:t>2024.</w:t>
      </w:r>
      <w:r w:rsidRPr="00C423CA">
        <w:rPr>
          <w:rFonts w:cs="Arial"/>
          <w:iCs/>
          <w:szCs w:val="20"/>
        </w:rPr>
        <w:t xml:space="preserve"> </w:t>
      </w:r>
      <w:r w:rsidRPr="00E10CFC">
        <w:rPr>
          <w:rFonts w:cs="Arial"/>
          <w:iCs/>
          <w:szCs w:val="20"/>
        </w:rPr>
        <w:t>Among the relevant achievements of the programme are:</w:t>
      </w:r>
      <w:r w:rsidRPr="00DB210C">
        <w:rPr>
          <w:rFonts w:cs="Arial"/>
          <w:iCs/>
          <w:szCs w:val="20"/>
        </w:rPr>
        <w:t xml:space="preserve"> </w:t>
      </w:r>
    </w:p>
    <w:p w14:paraId="7E85CF72" w14:textId="77777777" w:rsidR="007E0D7D" w:rsidRPr="00DB210C" w:rsidRDefault="007E0D7D" w:rsidP="007E0D7D">
      <w:pPr>
        <w:rPr>
          <w:rFonts w:cs="Arial"/>
          <w:iCs/>
          <w:szCs w:val="20"/>
        </w:rPr>
      </w:pPr>
    </w:p>
    <w:p w14:paraId="66D42467" w14:textId="77777777" w:rsidR="008E74B8" w:rsidRPr="007E0D7D" w:rsidRDefault="008E74B8" w:rsidP="007E0D7D">
      <w:pPr>
        <w:pStyle w:val="ListParagraph"/>
        <w:numPr>
          <w:ilvl w:val="0"/>
          <w:numId w:val="34"/>
        </w:numPr>
        <w:rPr>
          <w:rFonts w:ascii="Arial" w:hAnsi="Arial" w:cs="Arial"/>
          <w:sz w:val="20"/>
          <w:szCs w:val="20"/>
        </w:rPr>
      </w:pPr>
      <w:r w:rsidRPr="00DB210C">
        <w:rPr>
          <w:rFonts w:cs="Arial"/>
          <w:iCs/>
          <w:szCs w:val="20"/>
        </w:rPr>
        <w:t xml:space="preserve"> </w:t>
      </w:r>
      <w:r w:rsidRPr="00DB210C">
        <w:rPr>
          <w:rFonts w:ascii="Arial" w:eastAsia="Cambria" w:hAnsi="Arial" w:cs="Arial"/>
          <w:iCs/>
          <w:noProof/>
          <w:sz w:val="20"/>
          <w:szCs w:val="20"/>
        </w:rPr>
        <w:t>as regards legislation and policies, the programme’s</w:t>
      </w:r>
      <w:r w:rsidRPr="00DB210C">
        <w:rPr>
          <w:rFonts w:ascii="Arial" w:eastAsia="Cambria" w:hAnsi="Arial" w:cs="Arial"/>
          <w:noProof/>
          <w:sz w:val="20"/>
          <w:szCs w:val="20"/>
        </w:rPr>
        <w:t xml:space="preserve"> focus on human rights safeguards and guarantees under Article 15 of the Budapest Convention contributed to keeping the beneficiary countries’ cybercrime policies grounded in the human rights approach</w:t>
      </w:r>
      <w:r w:rsidRPr="00C423CA">
        <w:rPr>
          <w:rFonts w:ascii="Arial" w:eastAsia="Cambria" w:hAnsi="Arial" w:cs="Arial"/>
          <w:noProof/>
          <w:sz w:val="20"/>
          <w:szCs w:val="20"/>
        </w:rPr>
        <w:t>. Discussion with countries on Xenophobia and Racism under the First Additional Protocol to the Convention further strengthens this approach, also securing further compliance with legal standards set by the Convention and the Protocol;</w:t>
      </w:r>
    </w:p>
    <w:p w14:paraId="58D551A6" w14:textId="77777777" w:rsidR="007E0D7D" w:rsidRPr="00C423CA" w:rsidRDefault="007E0D7D" w:rsidP="007E0D7D">
      <w:pPr>
        <w:pStyle w:val="ListParagraph"/>
        <w:ind w:left="360"/>
        <w:rPr>
          <w:rFonts w:ascii="Arial" w:hAnsi="Arial" w:cs="Arial"/>
          <w:sz w:val="20"/>
          <w:szCs w:val="20"/>
        </w:rPr>
      </w:pPr>
    </w:p>
    <w:p w14:paraId="73856B6A" w14:textId="77777777" w:rsidR="008E74B8" w:rsidRPr="007E0D7D" w:rsidRDefault="008E74B8" w:rsidP="007E0D7D">
      <w:pPr>
        <w:pStyle w:val="ListParagraph"/>
        <w:numPr>
          <w:ilvl w:val="0"/>
          <w:numId w:val="34"/>
        </w:numPr>
        <w:rPr>
          <w:rFonts w:ascii="Arial" w:hAnsi="Arial" w:cs="Arial"/>
          <w:sz w:val="20"/>
          <w:szCs w:val="20"/>
        </w:rPr>
      </w:pPr>
      <w:r w:rsidRPr="007044E9">
        <w:rPr>
          <w:rFonts w:ascii="Arial" w:eastAsia="Cambria" w:hAnsi="Arial" w:cs="Arial"/>
          <w:iCs/>
          <w:noProof/>
          <w:sz w:val="20"/>
          <w:szCs w:val="20"/>
        </w:rPr>
        <w:t>as regards institutional capacity building and inter</w:t>
      </w:r>
      <w:r>
        <w:rPr>
          <w:rFonts w:ascii="Arial" w:eastAsia="Cambria" w:hAnsi="Arial" w:cs="Arial"/>
          <w:iCs/>
          <w:noProof/>
          <w:sz w:val="20"/>
          <w:szCs w:val="20"/>
        </w:rPr>
        <w:t>-</w:t>
      </w:r>
      <w:r w:rsidRPr="007044E9">
        <w:rPr>
          <w:rFonts w:ascii="Arial" w:eastAsia="Cambria" w:hAnsi="Arial" w:cs="Arial"/>
          <w:iCs/>
          <w:noProof/>
          <w:sz w:val="20"/>
          <w:szCs w:val="20"/>
        </w:rPr>
        <w:t>agency cooperation, the programme has largely responded to the needs of countries – including Ukraine – for up-to-date skills for cybercrime investigations, prosecutions and criminal proceedings, targeting all relevant criminal justice authorities. Cyber exercises and training, organised under the programme,</w:t>
      </w:r>
      <w:r>
        <w:rPr>
          <w:rFonts w:ascii="Arial" w:eastAsia="Cambria" w:hAnsi="Arial" w:cs="Arial"/>
          <w:iCs/>
          <w:noProof/>
          <w:sz w:val="20"/>
          <w:szCs w:val="20"/>
        </w:rPr>
        <w:t xml:space="preserve"> </w:t>
      </w:r>
      <w:r w:rsidRPr="007044E9">
        <w:rPr>
          <w:rFonts w:ascii="Arial" w:eastAsia="Cambria" w:hAnsi="Arial" w:cs="Arial"/>
          <w:iCs/>
          <w:noProof/>
          <w:sz w:val="20"/>
          <w:szCs w:val="20"/>
        </w:rPr>
        <w:t>served as tools to establish and enhance interagency co</w:t>
      </w:r>
      <w:r>
        <w:rPr>
          <w:rFonts w:ascii="Arial" w:eastAsia="Cambria" w:hAnsi="Arial" w:cs="Arial"/>
          <w:iCs/>
          <w:noProof/>
          <w:sz w:val="20"/>
          <w:szCs w:val="20"/>
        </w:rPr>
        <w:t>-</w:t>
      </w:r>
      <w:r w:rsidRPr="007044E9">
        <w:rPr>
          <w:rFonts w:ascii="Arial" w:eastAsia="Cambria" w:hAnsi="Arial" w:cs="Arial"/>
          <w:iCs/>
          <w:noProof/>
          <w:sz w:val="20"/>
          <w:szCs w:val="20"/>
        </w:rPr>
        <w:t>operation between cybersecurity and cybercrime experts. Engagement of defence attorneys and civil society in training and regional discussions supported the human rights approach to such co</w:t>
      </w:r>
      <w:r>
        <w:rPr>
          <w:rFonts w:ascii="Arial" w:eastAsia="Cambria" w:hAnsi="Arial" w:cs="Arial"/>
          <w:iCs/>
          <w:noProof/>
          <w:sz w:val="20"/>
          <w:szCs w:val="20"/>
        </w:rPr>
        <w:t>-</w:t>
      </w:r>
      <w:r w:rsidRPr="007044E9">
        <w:rPr>
          <w:rFonts w:ascii="Arial" w:eastAsia="Cambria" w:hAnsi="Arial" w:cs="Arial"/>
          <w:iCs/>
          <w:noProof/>
          <w:sz w:val="20"/>
          <w:szCs w:val="20"/>
        </w:rPr>
        <w:t xml:space="preserve">operation; </w:t>
      </w:r>
    </w:p>
    <w:p w14:paraId="01D0ED18" w14:textId="77777777" w:rsidR="007E0D7D" w:rsidRPr="007044E9" w:rsidRDefault="007E0D7D" w:rsidP="007E0D7D">
      <w:pPr>
        <w:pStyle w:val="ListParagraph"/>
        <w:ind w:left="360"/>
        <w:rPr>
          <w:rFonts w:ascii="Arial" w:hAnsi="Arial" w:cs="Arial"/>
          <w:sz w:val="20"/>
          <w:szCs w:val="20"/>
        </w:rPr>
      </w:pPr>
    </w:p>
    <w:p w14:paraId="6076C634" w14:textId="77777777" w:rsidR="008E74B8" w:rsidRPr="007E0D7D" w:rsidRDefault="008E74B8" w:rsidP="007E0D7D">
      <w:pPr>
        <w:pStyle w:val="ListParagraph"/>
        <w:numPr>
          <w:ilvl w:val="0"/>
          <w:numId w:val="34"/>
        </w:numPr>
        <w:rPr>
          <w:rFonts w:ascii="Arial" w:hAnsi="Arial" w:cs="Arial"/>
          <w:sz w:val="20"/>
          <w:szCs w:val="20"/>
        </w:rPr>
      </w:pPr>
      <w:r w:rsidRPr="00E10CFC">
        <w:rPr>
          <w:rFonts w:ascii="Arial" w:eastAsia="Times New Roman" w:hAnsi="Arial" w:cs="Arial"/>
          <w:iCs/>
          <w:noProof/>
          <w:sz w:val="20"/>
          <w:szCs w:val="20"/>
          <w:lang w:eastAsia="fr-FR"/>
        </w:rPr>
        <w:t>as regards international co-operation and public-private partnerships, the programme helped the countries’ relevant agencies to develop skills and competencies in line with</w:t>
      </w:r>
      <w:r w:rsidRPr="007044E9">
        <w:rPr>
          <w:rFonts w:ascii="Arial" w:eastAsia="Times New Roman" w:hAnsi="Arial" w:cs="Arial"/>
          <w:iCs/>
          <w:noProof/>
          <w:sz w:val="20"/>
          <w:szCs w:val="20"/>
          <w:lang w:eastAsia="fr-FR"/>
        </w:rPr>
        <w:t xml:space="preserve"> European standards, especially the Cybercrime Convention and its Second Additional Protocol; </w:t>
      </w:r>
    </w:p>
    <w:p w14:paraId="3FDA0384" w14:textId="77777777" w:rsidR="007E0D7D" w:rsidRPr="007044E9" w:rsidRDefault="007E0D7D" w:rsidP="007E0D7D">
      <w:pPr>
        <w:pStyle w:val="ListParagraph"/>
        <w:ind w:left="360"/>
        <w:rPr>
          <w:rFonts w:ascii="Arial" w:hAnsi="Arial" w:cs="Arial"/>
          <w:sz w:val="20"/>
          <w:szCs w:val="20"/>
        </w:rPr>
      </w:pPr>
    </w:p>
    <w:p w14:paraId="479EAD1B" w14:textId="77777777" w:rsidR="008E74B8" w:rsidRPr="00E0328A" w:rsidRDefault="008E74B8" w:rsidP="007E0D7D">
      <w:pPr>
        <w:pStyle w:val="ListParagraph"/>
        <w:numPr>
          <w:ilvl w:val="0"/>
          <w:numId w:val="34"/>
        </w:numPr>
        <w:rPr>
          <w:rFonts w:ascii="Arial" w:hAnsi="Arial" w:cs="Arial"/>
          <w:sz w:val="20"/>
          <w:szCs w:val="20"/>
        </w:rPr>
      </w:pPr>
      <w:r w:rsidRPr="00E0328A">
        <w:rPr>
          <w:rFonts w:ascii="Arial" w:hAnsi="Arial" w:cs="Arial"/>
          <w:sz w:val="20"/>
          <w:szCs w:val="20"/>
        </w:rPr>
        <w:t xml:space="preserve">following the Russian Federation’s aggression against Ukraine, the programme adapted its activities to Ukraine’s emerging needs and provided </w:t>
      </w:r>
      <w:r w:rsidRPr="00E0328A">
        <w:rPr>
          <w:rFonts w:ascii="Arial" w:hAnsi="Arial" w:cs="Arial"/>
          <w:noProof/>
          <w:sz w:val="20"/>
          <w:szCs w:val="20"/>
        </w:rPr>
        <w:t xml:space="preserve">electronic evidence training for Ukrainian judges and prosecutors, as well as specialised digital forensics training for advanced groups of professionals. </w:t>
      </w:r>
    </w:p>
    <w:p w14:paraId="2D63B416" w14:textId="77777777" w:rsidR="008E74B8" w:rsidRPr="00C423CA" w:rsidRDefault="008E74B8" w:rsidP="007E0D7D">
      <w:pPr>
        <w:rPr>
          <w:rFonts w:cs="Arial"/>
          <w:szCs w:val="20"/>
        </w:rPr>
      </w:pPr>
    </w:p>
    <w:p w14:paraId="65006A36" w14:textId="77777777" w:rsidR="008E74B8" w:rsidRDefault="008E74B8" w:rsidP="007E0D7D">
      <w:pPr>
        <w:rPr>
          <w:rFonts w:cs="Arial"/>
          <w:szCs w:val="20"/>
        </w:rPr>
      </w:pPr>
      <w:r w:rsidRPr="00C16F11">
        <w:rPr>
          <w:rFonts w:eastAsiaTheme="minorEastAsia" w:cs="Arial"/>
          <w:szCs w:val="20"/>
        </w:rPr>
        <w:t>The r</w:t>
      </w:r>
      <w:r w:rsidRPr="00C16F11">
        <w:rPr>
          <w:rFonts w:cs="Arial"/>
          <w:szCs w:val="20"/>
        </w:rPr>
        <w:t>egional CEPEJ-implemented Joint Programme “</w:t>
      </w:r>
      <w:r w:rsidRPr="00C16F11">
        <w:rPr>
          <w:rFonts w:eastAsia="Times New Roman" w:cs="Arial"/>
          <w:szCs w:val="20"/>
          <w:lang w:eastAsia="en-GB"/>
        </w:rPr>
        <w:t>Support for a Better Evaluation of the Results of Judicial Reform Efforts /Justice Dashboard EaP” (</w:t>
      </w:r>
      <w:r w:rsidRPr="00C16F11">
        <w:rPr>
          <w:rFonts w:eastAsiaTheme="minorEastAsia" w:cs="Arial"/>
          <w:szCs w:val="20"/>
        </w:rPr>
        <w:t xml:space="preserve">total: </w:t>
      </w:r>
      <w:r w:rsidRPr="00C16F11">
        <w:rPr>
          <w:rFonts w:cs="Arial"/>
          <w:szCs w:val="20"/>
        </w:rPr>
        <w:t>€</w:t>
      </w:r>
      <w:r w:rsidRPr="00C16F11">
        <w:rPr>
          <w:rFonts w:eastAsiaTheme="minorEastAsia" w:cs="Arial"/>
          <w:szCs w:val="20"/>
        </w:rPr>
        <w:t xml:space="preserve">2.23 million, launched in 2021) </w:t>
      </w:r>
      <w:r w:rsidRPr="00C16F11">
        <w:rPr>
          <w:rFonts w:cs="Arial"/>
          <w:szCs w:val="20"/>
        </w:rPr>
        <w:t>aims at achieving an effective, systematic and data-based evaluation of the results of judicial reform efforts in Armenia, Azerbaijan, Georgia, the Republic of Moldova and Ukraine, through the annual collection and processing of data on the functioning of judicial systems and relevant capacity-building. The programme has been extended until mid-July 2025 and has been further aligned with the Horizontal Facility Justice Dashboa</w:t>
      </w:r>
      <w:r>
        <w:rPr>
          <w:rFonts w:cs="Arial"/>
          <w:szCs w:val="20"/>
        </w:rPr>
        <w:t xml:space="preserve">rd. </w:t>
      </w:r>
      <w:r w:rsidRPr="00C16F11">
        <w:rPr>
          <w:rFonts w:cs="Arial"/>
          <w:szCs w:val="20"/>
        </w:rPr>
        <w:t xml:space="preserve">Among the achievements of the programme are : </w:t>
      </w:r>
    </w:p>
    <w:p w14:paraId="1EF090B5" w14:textId="77777777" w:rsidR="007E0D7D" w:rsidRPr="00C16F11" w:rsidRDefault="007E0D7D" w:rsidP="007E0D7D">
      <w:pPr>
        <w:rPr>
          <w:rFonts w:cs="Arial"/>
          <w:szCs w:val="20"/>
        </w:rPr>
      </w:pPr>
    </w:p>
    <w:p w14:paraId="5BF778A0" w14:textId="77777777" w:rsidR="008E74B8" w:rsidRDefault="008E74B8" w:rsidP="007E0D7D">
      <w:pPr>
        <w:pStyle w:val="ListParagraph"/>
        <w:numPr>
          <w:ilvl w:val="0"/>
          <w:numId w:val="5"/>
        </w:numPr>
        <w:rPr>
          <w:rFonts w:ascii="Arial" w:hAnsi="Arial" w:cs="Arial"/>
          <w:sz w:val="20"/>
          <w:szCs w:val="20"/>
        </w:rPr>
      </w:pPr>
      <w:r w:rsidRPr="00C16F11">
        <w:rPr>
          <w:rFonts w:ascii="Arial" w:hAnsi="Arial" w:cs="Arial"/>
          <w:sz w:val="20"/>
          <w:szCs w:val="20"/>
        </w:rPr>
        <w:t xml:space="preserve">Finalisation of the </w:t>
      </w:r>
      <w:r w:rsidRPr="00C16F11">
        <w:rPr>
          <w:rFonts w:ascii="Arial" w:hAnsi="Arial" w:cs="Arial"/>
          <w:noProof/>
          <w:sz w:val="20"/>
          <w:szCs w:val="20"/>
        </w:rPr>
        <w:t xml:space="preserve">assessment  of each Beneficiary’s capacity to collect, process and transfer judicial data , in view of providing recommendations for capacity-building activities at national and regional level, as necessary; </w:t>
      </w:r>
    </w:p>
    <w:p w14:paraId="3AD354C8" w14:textId="77777777" w:rsidR="007E0D7D" w:rsidRPr="00C16F11" w:rsidRDefault="007E0D7D" w:rsidP="007E0D7D">
      <w:pPr>
        <w:pStyle w:val="ListParagraph"/>
        <w:rPr>
          <w:rFonts w:ascii="Arial" w:hAnsi="Arial" w:cs="Arial"/>
          <w:sz w:val="20"/>
          <w:szCs w:val="20"/>
        </w:rPr>
      </w:pPr>
    </w:p>
    <w:p w14:paraId="3FDB7841" w14:textId="77777777" w:rsidR="008E74B8" w:rsidRDefault="008E74B8" w:rsidP="007E0D7D">
      <w:pPr>
        <w:pStyle w:val="ListParagraph"/>
        <w:numPr>
          <w:ilvl w:val="0"/>
          <w:numId w:val="5"/>
        </w:numPr>
        <w:rPr>
          <w:rFonts w:ascii="Arial" w:hAnsi="Arial" w:cs="Arial"/>
          <w:sz w:val="20"/>
          <w:szCs w:val="20"/>
        </w:rPr>
      </w:pPr>
      <w:r w:rsidRPr="00C16F11">
        <w:rPr>
          <w:rFonts w:ascii="Arial" w:hAnsi="Arial" w:cs="Arial"/>
          <w:sz w:val="20"/>
          <w:szCs w:val="20"/>
        </w:rPr>
        <w:t xml:space="preserve">Completion of first (2022) and second (2023) exercise of data collection, during which the CEPEJ Secretariat provided hands-on assistance and expertise to CEPEJ national correspondents engaged in completing the CEPEJ questionnaire through the electronic system CEPEJ COLLECT. This technical expertise delivered according to the CEPEJ methodology assists with building the capacity and skills of national counterparts related to judicial statistics and judicial data collection; </w:t>
      </w:r>
    </w:p>
    <w:p w14:paraId="35CDF7AE" w14:textId="77777777" w:rsidR="007E0D7D" w:rsidRPr="00C16F11" w:rsidRDefault="007E0D7D" w:rsidP="007E0D7D">
      <w:pPr>
        <w:pStyle w:val="ListParagraph"/>
        <w:rPr>
          <w:rFonts w:ascii="Arial" w:hAnsi="Arial" w:cs="Arial"/>
          <w:sz w:val="20"/>
          <w:szCs w:val="20"/>
        </w:rPr>
      </w:pPr>
    </w:p>
    <w:p w14:paraId="61A11F31" w14:textId="77777777" w:rsidR="008E74B8" w:rsidRPr="00C16F11" w:rsidRDefault="008E74B8" w:rsidP="007E0D7D">
      <w:pPr>
        <w:pStyle w:val="ListParagraph"/>
        <w:numPr>
          <w:ilvl w:val="0"/>
          <w:numId w:val="5"/>
        </w:numPr>
        <w:rPr>
          <w:rFonts w:ascii="Arial" w:hAnsi="Arial" w:cs="Arial"/>
          <w:sz w:val="20"/>
          <w:szCs w:val="20"/>
        </w:rPr>
      </w:pPr>
      <w:r w:rsidRPr="00C16F11">
        <w:rPr>
          <w:rFonts w:ascii="Arial" w:hAnsi="Arial" w:cs="Arial"/>
          <w:noProof/>
          <w:sz w:val="20"/>
          <w:szCs w:val="20"/>
        </w:rPr>
        <w:t>Finalisation of the comparative tables on all indicators, the beneficiary profiles for each beneficiary, as well as a condensed version of the analysis for a selected number of indicators and for all beneficiaries. Second condensed version was submitted in June 2023.</w:t>
      </w:r>
    </w:p>
    <w:p w14:paraId="7D3682DF" w14:textId="77777777" w:rsidR="008E74B8" w:rsidRDefault="008E74B8" w:rsidP="007E0D7D">
      <w:pPr>
        <w:tabs>
          <w:tab w:val="left" w:pos="709"/>
          <w:tab w:val="left" w:pos="851"/>
        </w:tabs>
        <w:rPr>
          <w:rFonts w:eastAsia="Times New Roman" w:cs="Arial"/>
          <w:b/>
          <w:u w:val="single"/>
          <w:lang w:eastAsia="fr-FR"/>
        </w:rPr>
      </w:pPr>
    </w:p>
    <w:p w14:paraId="55C37448" w14:textId="1ABE6207" w:rsidR="007E0D7D" w:rsidRDefault="008E74B8" w:rsidP="007E0D7D">
      <w:pPr>
        <w:tabs>
          <w:tab w:val="left" w:pos="709"/>
          <w:tab w:val="left" w:pos="851"/>
        </w:tabs>
        <w:rPr>
          <w:rFonts w:eastAsia="Times New Roman" w:cs="Arial"/>
          <w:b/>
          <w:lang w:eastAsia="fr-FR"/>
        </w:rPr>
      </w:pPr>
      <w:r w:rsidRPr="00C16F11">
        <w:rPr>
          <w:rFonts w:eastAsia="Times New Roman" w:cs="Arial"/>
          <w:b/>
          <w:lang w:eastAsia="fr-FR"/>
        </w:rPr>
        <w:t>Joint Programme co-operation in South-East Europe and Türkiye</w:t>
      </w:r>
      <w:r w:rsidRPr="00A15DB9">
        <w:rPr>
          <w:rFonts w:eastAsia="Times New Roman" w:cs="Arial"/>
          <w:b/>
          <w:lang w:eastAsia="fr-FR"/>
        </w:rPr>
        <w:t xml:space="preserve"> </w:t>
      </w:r>
    </w:p>
    <w:p w14:paraId="27318F7D" w14:textId="77777777" w:rsidR="007E0D7D" w:rsidRPr="00A15DB9" w:rsidRDefault="007E0D7D" w:rsidP="007E0D7D">
      <w:pPr>
        <w:tabs>
          <w:tab w:val="left" w:pos="709"/>
          <w:tab w:val="left" w:pos="851"/>
        </w:tabs>
        <w:rPr>
          <w:rFonts w:eastAsia="Times New Roman" w:cs="Arial"/>
          <w:b/>
          <w:lang w:eastAsia="fr-FR"/>
        </w:rPr>
      </w:pPr>
    </w:p>
    <w:p w14:paraId="6C51CCDD" w14:textId="77777777" w:rsidR="008E74B8" w:rsidRDefault="008E74B8" w:rsidP="007E0D7D">
      <w:pPr>
        <w:numPr>
          <w:ilvl w:val="0"/>
          <w:numId w:val="4"/>
        </w:numPr>
        <w:ind w:left="0" w:firstLine="0"/>
        <w:rPr>
          <w:rFonts w:cs="Arial"/>
          <w:i/>
          <w:iCs/>
          <w:szCs w:val="20"/>
          <w:u w:val="single"/>
        </w:rPr>
      </w:pPr>
      <w:r w:rsidRPr="00C423CA">
        <w:rPr>
          <w:rFonts w:cs="Arial"/>
          <w:i/>
          <w:iCs/>
          <w:szCs w:val="20"/>
          <w:u w:val="single"/>
        </w:rPr>
        <w:t>The Horizontal Facility for the Western Balkans and Türkiye</w:t>
      </w:r>
    </w:p>
    <w:p w14:paraId="7524AAEE" w14:textId="77777777" w:rsidR="007E0D7D" w:rsidRPr="00C423CA" w:rsidRDefault="007E0D7D" w:rsidP="007E0D7D">
      <w:pPr>
        <w:rPr>
          <w:rFonts w:cs="Arial"/>
          <w:i/>
          <w:iCs/>
          <w:szCs w:val="20"/>
          <w:u w:val="single"/>
        </w:rPr>
      </w:pPr>
    </w:p>
    <w:p w14:paraId="192D2955" w14:textId="77777777" w:rsidR="008E74B8" w:rsidRPr="000254B2" w:rsidRDefault="008E74B8" w:rsidP="007E0D7D">
      <w:pPr>
        <w:rPr>
          <w:rFonts w:cs="Arial"/>
        </w:rPr>
      </w:pPr>
      <w:bookmarkStart w:id="13" w:name="_Hlk157046415"/>
      <w:bookmarkStart w:id="14" w:name="_Hlk128462623"/>
      <w:r w:rsidRPr="7887572F">
        <w:rPr>
          <w:rFonts w:cs="Arial"/>
        </w:rPr>
        <w:t xml:space="preserve">The Horizontal Facility for the Western Balkans and Türkiye </w:t>
      </w:r>
      <w:bookmarkEnd w:id="13"/>
      <w:r w:rsidRPr="7887572F">
        <w:rPr>
          <w:rFonts w:cs="Arial"/>
        </w:rPr>
        <w:t>(HF) is the second European Union-</w:t>
      </w:r>
      <w:r w:rsidRPr="7887572F">
        <w:rPr>
          <w:rFonts w:eastAsiaTheme="minorEastAsia" w:cs="Arial"/>
        </w:rPr>
        <w:t xml:space="preserve">Council of Europe </w:t>
      </w:r>
      <w:r w:rsidRPr="7887572F">
        <w:rPr>
          <w:rFonts w:cs="Arial"/>
        </w:rPr>
        <w:t>programmatic facility</w:t>
      </w:r>
      <w:r>
        <w:rPr>
          <w:rFonts w:cs="Arial"/>
        </w:rPr>
        <w:t xml:space="preserve"> </w:t>
      </w:r>
      <w:r w:rsidRPr="00C16F11">
        <w:rPr>
          <w:rFonts w:cs="Arial"/>
        </w:rPr>
        <w:t>in order of time</w:t>
      </w:r>
      <w:r w:rsidRPr="7887572F">
        <w:rPr>
          <w:rFonts w:cs="Arial"/>
        </w:rPr>
        <w:t xml:space="preserve">. It has been operating since 2016. </w:t>
      </w:r>
      <w:r>
        <w:rPr>
          <w:rFonts w:cs="Arial"/>
        </w:rPr>
        <w:t>Its</w:t>
      </w:r>
      <w:r w:rsidRPr="3DC34359">
        <w:rPr>
          <w:rFonts w:cs="Arial"/>
        </w:rPr>
        <w:t xml:space="preserve"> third</w:t>
      </w:r>
      <w:r w:rsidRPr="7887572F">
        <w:rPr>
          <w:rFonts w:cs="Arial"/>
        </w:rPr>
        <w:t xml:space="preserve"> phase</w:t>
      </w:r>
      <w:r>
        <w:rPr>
          <w:rFonts w:cs="Arial"/>
        </w:rPr>
        <w:t xml:space="preserve"> (HFIII)</w:t>
      </w:r>
      <w:r w:rsidRPr="7887572F">
        <w:rPr>
          <w:rFonts w:cs="Arial"/>
        </w:rPr>
        <w:t xml:space="preserve">, </w:t>
      </w:r>
      <w:r>
        <w:rPr>
          <w:rFonts w:cs="Arial"/>
        </w:rPr>
        <w:t>which</w:t>
      </w:r>
      <w:r w:rsidRPr="3DC34359">
        <w:rPr>
          <w:rFonts w:cs="Arial"/>
        </w:rPr>
        <w:t xml:space="preserve"> began </w:t>
      </w:r>
      <w:r w:rsidRPr="158E7996">
        <w:rPr>
          <w:rFonts w:cs="Arial"/>
        </w:rPr>
        <w:t xml:space="preserve">implementation in January </w:t>
      </w:r>
      <w:r w:rsidRPr="1AB62441">
        <w:rPr>
          <w:rFonts w:cs="Arial"/>
        </w:rPr>
        <w:t>2023</w:t>
      </w:r>
      <w:r>
        <w:rPr>
          <w:rFonts w:cs="Arial"/>
        </w:rPr>
        <w:t xml:space="preserve">, </w:t>
      </w:r>
      <w:r w:rsidRPr="7887572F">
        <w:rPr>
          <w:rFonts w:cs="Arial"/>
        </w:rPr>
        <w:t>(total: €41 million), encompasse</w:t>
      </w:r>
      <w:r>
        <w:rPr>
          <w:rFonts w:cs="Arial"/>
        </w:rPr>
        <w:t>s</w:t>
      </w:r>
      <w:r w:rsidRPr="7887572F">
        <w:rPr>
          <w:rFonts w:cs="Arial"/>
        </w:rPr>
        <w:t xml:space="preserve"> four thematic fields, namely i) strengthening justice; ii) fight</w:t>
      </w:r>
      <w:r>
        <w:rPr>
          <w:rFonts w:cs="Arial"/>
        </w:rPr>
        <w:t>ing</w:t>
      </w:r>
      <w:r w:rsidRPr="7887572F">
        <w:rPr>
          <w:rFonts w:cs="Arial"/>
        </w:rPr>
        <w:t xml:space="preserve"> against corruption,</w:t>
      </w:r>
      <w:r>
        <w:rPr>
          <w:rFonts w:cs="Arial"/>
        </w:rPr>
        <w:t xml:space="preserve"> </w:t>
      </w:r>
      <w:r w:rsidRPr="7887572F">
        <w:rPr>
          <w:rFonts w:cs="Arial"/>
        </w:rPr>
        <w:t>economic crime</w:t>
      </w:r>
      <w:r>
        <w:rPr>
          <w:rFonts w:cs="Arial"/>
        </w:rPr>
        <w:t xml:space="preserve"> and money laundering</w:t>
      </w:r>
      <w:r w:rsidRPr="7887572F">
        <w:rPr>
          <w:rFonts w:cs="Arial"/>
        </w:rPr>
        <w:t xml:space="preserve">; iii) anti-discrimination and protection of the rights of vulnerable groups; and iv) freedom of expression and freedom of the media. </w:t>
      </w:r>
      <w:r>
        <w:rPr>
          <w:rFonts w:cs="Arial"/>
        </w:rPr>
        <w:t>HFII</w:t>
      </w:r>
      <w:r w:rsidRPr="7887572F">
        <w:rPr>
          <w:rFonts w:cs="Arial"/>
        </w:rPr>
        <w:t xml:space="preserve"> follow</w:t>
      </w:r>
      <w:r>
        <w:rPr>
          <w:rFonts w:cs="Arial"/>
        </w:rPr>
        <w:t>s</w:t>
      </w:r>
      <w:r w:rsidRPr="7887572F">
        <w:rPr>
          <w:rFonts w:cs="Arial"/>
        </w:rPr>
        <w:t xml:space="preserve"> a complementary two-fold approach, combining technical cooperation tailored to help the beneficiaries </w:t>
      </w:r>
      <w:r>
        <w:rPr>
          <w:rFonts w:cs="Arial"/>
        </w:rPr>
        <w:t>achieve</w:t>
      </w:r>
      <w:r w:rsidRPr="7887572F">
        <w:rPr>
          <w:rFonts w:cs="Arial"/>
        </w:rPr>
        <w:t xml:space="preserve"> increased compliance with European standards with the provision of Council of Europe expertise to respond to requests from HF beneficiaries for legislative analysis and policy advice. </w:t>
      </w:r>
      <w:bookmarkEnd w:id="14"/>
    </w:p>
    <w:p w14:paraId="30B06591" w14:textId="77777777" w:rsidR="007E0D7D" w:rsidRDefault="007E0D7D">
      <w:pPr>
        <w:rPr>
          <w:rFonts w:cs="Arial"/>
          <w:szCs w:val="20"/>
        </w:rPr>
      </w:pPr>
      <w:r>
        <w:rPr>
          <w:rFonts w:cs="Arial"/>
          <w:szCs w:val="20"/>
        </w:rPr>
        <w:br w:type="page"/>
      </w:r>
    </w:p>
    <w:p w14:paraId="66152904" w14:textId="77777777" w:rsidR="007E0D7D" w:rsidRDefault="007E0D7D" w:rsidP="008E74B8">
      <w:pPr>
        <w:spacing w:before="120" w:after="120" w:line="240" w:lineRule="atLeast"/>
        <w:rPr>
          <w:rFonts w:cs="Arial"/>
          <w:szCs w:val="20"/>
        </w:rPr>
      </w:pPr>
    </w:p>
    <w:p w14:paraId="74975CD8" w14:textId="7A3533E7" w:rsidR="008E74B8" w:rsidRDefault="008E74B8" w:rsidP="007E0D7D">
      <w:pPr>
        <w:rPr>
          <w:rFonts w:cs="Arial"/>
          <w:szCs w:val="20"/>
        </w:rPr>
      </w:pPr>
      <w:r w:rsidRPr="000254B2">
        <w:rPr>
          <w:rFonts w:cs="Arial"/>
          <w:szCs w:val="20"/>
        </w:rPr>
        <w:t xml:space="preserve">The </w:t>
      </w:r>
      <w:r>
        <w:rPr>
          <w:rFonts w:cs="Arial"/>
          <w:szCs w:val="20"/>
        </w:rPr>
        <w:t>HF</w:t>
      </w:r>
      <w:r w:rsidRPr="000254B2">
        <w:rPr>
          <w:rFonts w:cs="Arial"/>
          <w:szCs w:val="20"/>
        </w:rPr>
        <w:t>II</w:t>
      </w:r>
      <w:r>
        <w:rPr>
          <w:rFonts w:cs="Arial"/>
          <w:szCs w:val="20"/>
        </w:rPr>
        <w:t xml:space="preserve">I </w:t>
      </w:r>
      <w:r w:rsidRPr="000254B2">
        <w:rPr>
          <w:rFonts w:cs="Arial"/>
          <w:szCs w:val="20"/>
        </w:rPr>
        <w:t>covers 4</w:t>
      </w:r>
      <w:r>
        <w:rPr>
          <w:rFonts w:cs="Arial"/>
          <w:szCs w:val="20"/>
        </w:rPr>
        <w:t>3</w:t>
      </w:r>
      <w:r w:rsidRPr="000254B2">
        <w:rPr>
          <w:rFonts w:cs="Arial"/>
          <w:szCs w:val="20"/>
        </w:rPr>
        <w:t xml:space="preserve"> actions (projects), out of which </w:t>
      </w:r>
      <w:r>
        <w:rPr>
          <w:rFonts w:cs="Arial"/>
          <w:szCs w:val="20"/>
        </w:rPr>
        <w:t>six</w:t>
      </w:r>
      <w:r w:rsidRPr="000254B2">
        <w:rPr>
          <w:rFonts w:cs="Arial"/>
          <w:szCs w:val="20"/>
        </w:rPr>
        <w:t xml:space="preserve"> </w:t>
      </w:r>
      <w:r>
        <w:rPr>
          <w:rFonts w:cs="Arial"/>
          <w:szCs w:val="20"/>
        </w:rPr>
        <w:t>a</w:t>
      </w:r>
      <w:r w:rsidRPr="000254B2">
        <w:rPr>
          <w:rFonts w:cs="Arial"/>
          <w:szCs w:val="20"/>
        </w:rPr>
        <w:t>re regional. The regional dimension of HF</w:t>
      </w:r>
      <w:r>
        <w:rPr>
          <w:rFonts w:cs="Arial"/>
          <w:szCs w:val="20"/>
        </w:rPr>
        <w:t>III</w:t>
      </w:r>
      <w:r w:rsidRPr="000254B2">
        <w:rPr>
          <w:rFonts w:cs="Arial"/>
          <w:szCs w:val="20"/>
        </w:rPr>
        <w:t xml:space="preserve"> include</w:t>
      </w:r>
      <w:r>
        <w:rPr>
          <w:rFonts w:cs="Arial"/>
          <w:szCs w:val="20"/>
        </w:rPr>
        <w:t>s</w:t>
      </w:r>
      <w:r w:rsidRPr="000254B2">
        <w:rPr>
          <w:rFonts w:cs="Arial"/>
          <w:szCs w:val="20"/>
        </w:rPr>
        <w:t xml:space="preserve"> </w:t>
      </w:r>
      <w:r>
        <w:rPr>
          <w:rFonts w:cs="Arial"/>
          <w:szCs w:val="20"/>
        </w:rPr>
        <w:t xml:space="preserve">support in achieving an effective, systematic and data-based evaluation of the results of judicial reform efforts, </w:t>
      </w:r>
      <w:r w:rsidRPr="000254B2">
        <w:rPr>
          <w:rFonts w:cs="Arial"/>
          <w:szCs w:val="20"/>
        </w:rPr>
        <w:t>countering terrorism and violent extremism by addressing radicalisation in prisons and disengaging radicalised prisoners from violence</w:t>
      </w:r>
      <w:r>
        <w:rPr>
          <w:rFonts w:cs="Arial"/>
          <w:szCs w:val="20"/>
        </w:rPr>
        <w:t>, action against economic crime, p</w:t>
      </w:r>
      <w:r w:rsidRPr="00AA34A2">
        <w:rPr>
          <w:rFonts w:cs="Arial"/>
          <w:szCs w:val="20"/>
          <w:lang w:val="en-US"/>
        </w:rPr>
        <w:t>romoting equality and combating racism and intolerance</w:t>
      </w:r>
      <w:r>
        <w:rPr>
          <w:rFonts w:cs="Arial"/>
          <w:szCs w:val="20"/>
          <w:lang w:val="en-US"/>
        </w:rPr>
        <w:t>, improving access to justice for women and enhancing freedom of expression and freedom of the media</w:t>
      </w:r>
      <w:r w:rsidRPr="000254B2">
        <w:rPr>
          <w:rFonts w:cs="Arial"/>
          <w:szCs w:val="20"/>
        </w:rPr>
        <w:t xml:space="preserve">. </w:t>
      </w:r>
    </w:p>
    <w:p w14:paraId="2962AEC4" w14:textId="77777777" w:rsidR="007E0D7D" w:rsidRPr="000254B2" w:rsidRDefault="007E0D7D" w:rsidP="007E0D7D">
      <w:pPr>
        <w:rPr>
          <w:rFonts w:cs="Arial"/>
          <w:szCs w:val="20"/>
        </w:rPr>
      </w:pPr>
    </w:p>
    <w:p w14:paraId="6DD1C8CC" w14:textId="24A315B2" w:rsidR="008E74B8" w:rsidRDefault="008E74B8" w:rsidP="007E0D7D">
      <w:pPr>
        <w:rPr>
          <w:rFonts w:cs="Arial"/>
          <w:szCs w:val="20"/>
        </w:rPr>
      </w:pPr>
      <w:r w:rsidRPr="000254B2">
        <w:rPr>
          <w:rFonts w:cs="Arial"/>
          <w:szCs w:val="20"/>
        </w:rPr>
        <w:t xml:space="preserve">Actions under </w:t>
      </w:r>
      <w:r>
        <w:rPr>
          <w:rFonts w:cs="Arial"/>
          <w:szCs w:val="20"/>
        </w:rPr>
        <w:t>HF</w:t>
      </w:r>
      <w:r w:rsidRPr="000254B2">
        <w:rPr>
          <w:rFonts w:cs="Arial"/>
          <w:szCs w:val="20"/>
        </w:rPr>
        <w:t xml:space="preserve"> </w:t>
      </w:r>
      <w:r>
        <w:rPr>
          <w:rFonts w:cs="Arial"/>
          <w:szCs w:val="20"/>
        </w:rPr>
        <w:t>a</w:t>
      </w:r>
      <w:r w:rsidRPr="000254B2">
        <w:rPr>
          <w:rFonts w:cs="Arial"/>
          <w:szCs w:val="20"/>
        </w:rPr>
        <w:t xml:space="preserve">re designed based on findings of the Council of Europe monitoring bodies, providing also tight links to the relevant EU accession priorities. </w:t>
      </w:r>
      <w:r>
        <w:rPr>
          <w:rFonts w:cs="Arial"/>
          <w:szCs w:val="20"/>
        </w:rPr>
        <w:t>Under the third phase of t</w:t>
      </w:r>
      <w:r w:rsidRPr="000254B2">
        <w:rPr>
          <w:rFonts w:cs="Arial"/>
          <w:szCs w:val="20"/>
        </w:rPr>
        <w:t>he Horizontal Facility</w:t>
      </w:r>
      <w:r>
        <w:rPr>
          <w:rFonts w:cs="Arial"/>
          <w:szCs w:val="20"/>
        </w:rPr>
        <w:t>,</w:t>
      </w:r>
      <w:r w:rsidRPr="000254B2">
        <w:rPr>
          <w:rFonts w:cs="Arial"/>
          <w:szCs w:val="20"/>
        </w:rPr>
        <w:t xml:space="preserve"> </w:t>
      </w:r>
      <w:r>
        <w:rPr>
          <w:rFonts w:cs="Arial"/>
          <w:szCs w:val="20"/>
        </w:rPr>
        <w:t>the</w:t>
      </w:r>
      <w:r w:rsidRPr="000254B2">
        <w:rPr>
          <w:rFonts w:cs="Arial"/>
          <w:szCs w:val="20"/>
        </w:rPr>
        <w:t xml:space="preserve"> Expertise Co-ordination Mechanism (ECM), which </w:t>
      </w:r>
      <w:r>
        <w:rPr>
          <w:rFonts w:cs="Arial"/>
          <w:szCs w:val="20"/>
        </w:rPr>
        <w:t>allows delivering</w:t>
      </w:r>
      <w:r w:rsidRPr="000254B2">
        <w:rPr>
          <w:rFonts w:cs="Arial"/>
          <w:szCs w:val="20"/>
        </w:rPr>
        <w:t xml:space="preserve"> </w:t>
      </w:r>
      <w:r w:rsidRPr="004F0279">
        <w:rPr>
          <w:rFonts w:cs="Arial"/>
          <w:i/>
          <w:szCs w:val="20"/>
        </w:rPr>
        <w:t>ad hoc</w:t>
      </w:r>
      <w:r w:rsidRPr="000254B2">
        <w:rPr>
          <w:rFonts w:cs="Arial"/>
          <w:iCs/>
          <w:szCs w:val="20"/>
        </w:rPr>
        <w:t xml:space="preserve"> </w:t>
      </w:r>
      <w:r w:rsidRPr="000254B2">
        <w:rPr>
          <w:rFonts w:cs="Arial"/>
          <w:szCs w:val="20"/>
        </w:rPr>
        <w:t xml:space="preserve">legal expertise and policy advice upon request, </w:t>
      </w:r>
      <w:r>
        <w:rPr>
          <w:rFonts w:cs="Arial"/>
          <w:szCs w:val="20"/>
        </w:rPr>
        <w:t xml:space="preserve">continues to operate. </w:t>
      </w:r>
      <w:r w:rsidRPr="000254B2">
        <w:rPr>
          <w:rFonts w:cs="Arial"/>
          <w:szCs w:val="20"/>
        </w:rPr>
        <w:t xml:space="preserve"> In addition, expertise continue</w:t>
      </w:r>
      <w:r>
        <w:rPr>
          <w:rFonts w:cs="Arial"/>
          <w:szCs w:val="20"/>
        </w:rPr>
        <w:t>s</w:t>
      </w:r>
      <w:r w:rsidRPr="000254B2">
        <w:rPr>
          <w:rFonts w:cs="Arial"/>
          <w:szCs w:val="20"/>
        </w:rPr>
        <w:t xml:space="preserve"> to be provided upon the requests of the beneficiaries under the technical cooperation part of the HF</w:t>
      </w:r>
      <w:r>
        <w:rPr>
          <w:rFonts w:cs="Arial"/>
          <w:szCs w:val="20"/>
        </w:rPr>
        <w:t>III</w:t>
      </w:r>
      <w:r w:rsidRPr="000254B2">
        <w:rPr>
          <w:rFonts w:cs="Arial"/>
          <w:szCs w:val="20"/>
        </w:rPr>
        <w:t xml:space="preserve"> when such requests fall within the scope of the </w:t>
      </w:r>
      <w:r>
        <w:rPr>
          <w:rFonts w:cs="Arial"/>
          <w:szCs w:val="20"/>
        </w:rPr>
        <w:t xml:space="preserve">HFIII </w:t>
      </w:r>
      <w:r w:rsidRPr="000254B2">
        <w:rPr>
          <w:rFonts w:cs="Arial"/>
          <w:szCs w:val="20"/>
        </w:rPr>
        <w:t xml:space="preserve">actions </w:t>
      </w:r>
      <w:r w:rsidRPr="000254B2">
        <w:rPr>
          <w:rFonts w:cs="Arial"/>
          <w:iCs/>
          <w:szCs w:val="20"/>
        </w:rPr>
        <w:t>(in 202</w:t>
      </w:r>
      <w:r>
        <w:rPr>
          <w:rFonts w:cs="Arial"/>
          <w:iCs/>
          <w:szCs w:val="20"/>
        </w:rPr>
        <w:t>3</w:t>
      </w:r>
      <w:r w:rsidRPr="000254B2">
        <w:rPr>
          <w:rFonts w:cs="Arial"/>
          <w:iCs/>
          <w:szCs w:val="20"/>
        </w:rPr>
        <w:t xml:space="preserve"> under HFII</w:t>
      </w:r>
      <w:r>
        <w:rPr>
          <w:rFonts w:cs="Arial"/>
          <w:iCs/>
          <w:szCs w:val="20"/>
        </w:rPr>
        <w:t>I</w:t>
      </w:r>
      <w:r w:rsidRPr="000254B2">
        <w:rPr>
          <w:rFonts w:cs="Arial"/>
          <w:iCs/>
          <w:szCs w:val="20"/>
        </w:rPr>
        <w:t xml:space="preserve"> the Council of Europe provided legal or policy expertise in over </w:t>
      </w:r>
      <w:r w:rsidRPr="00C423CA">
        <w:rPr>
          <w:rFonts w:eastAsia="Times New Roman" w:cs="Arial"/>
          <w:szCs w:val="20"/>
          <w:lang w:eastAsia="fr-FR"/>
        </w:rPr>
        <w:t>165 instances</w:t>
      </w:r>
      <w:r w:rsidRPr="000254B2">
        <w:rPr>
          <w:rFonts w:eastAsia="Times New Roman" w:cs="Arial"/>
          <w:szCs w:val="20"/>
          <w:lang w:eastAsia="fr-FR"/>
        </w:rPr>
        <w:t>)</w:t>
      </w:r>
      <w:r w:rsidRPr="000254B2">
        <w:rPr>
          <w:rFonts w:cs="Arial"/>
          <w:szCs w:val="20"/>
        </w:rPr>
        <w:t>. The</w:t>
      </w:r>
      <w:r w:rsidRPr="000254B2">
        <w:rPr>
          <w:rFonts w:cs="Arial"/>
          <w:bCs/>
          <w:szCs w:val="20"/>
        </w:rPr>
        <w:t xml:space="preserve"> implementation</w:t>
      </w:r>
      <w:r w:rsidRPr="000254B2">
        <w:rPr>
          <w:rFonts w:cs="Arial"/>
          <w:b/>
          <w:szCs w:val="20"/>
        </w:rPr>
        <w:t xml:space="preserve"> </w:t>
      </w:r>
      <w:r w:rsidRPr="000254B2">
        <w:rPr>
          <w:rFonts w:cs="Arial"/>
          <w:szCs w:val="20"/>
        </w:rPr>
        <w:t xml:space="preserve">methodology of HF is based on the coherent integration of the Council of Europe “strategic triangle” (standard-setting, monitoring, co-operation), a stringent results-based approach, strengthened human rights and gender dimensions and increased involvement at </w:t>
      </w:r>
      <w:r>
        <w:rPr>
          <w:rFonts w:cs="Arial"/>
          <w:szCs w:val="20"/>
        </w:rPr>
        <w:t xml:space="preserve">the </w:t>
      </w:r>
      <w:r w:rsidRPr="000254B2">
        <w:rPr>
          <w:rFonts w:cs="Arial"/>
          <w:szCs w:val="20"/>
        </w:rPr>
        <w:t xml:space="preserve">local level, engagement of civil society and improved communication (including in local languages) to better reach out to citizens. </w:t>
      </w:r>
    </w:p>
    <w:p w14:paraId="6492FB4B" w14:textId="77777777" w:rsidR="007E0D7D" w:rsidRDefault="007E0D7D" w:rsidP="007E0D7D">
      <w:pPr>
        <w:rPr>
          <w:rFonts w:cs="Arial"/>
          <w:szCs w:val="20"/>
        </w:rPr>
      </w:pPr>
    </w:p>
    <w:p w14:paraId="24111D8B" w14:textId="77777777" w:rsidR="008E74B8" w:rsidRDefault="008E74B8" w:rsidP="007E0D7D">
      <w:pPr>
        <w:rPr>
          <w:rFonts w:cs="Arial"/>
          <w:szCs w:val="20"/>
        </w:rPr>
      </w:pPr>
      <w:r w:rsidRPr="000254B2">
        <w:rPr>
          <w:rFonts w:cs="Arial"/>
          <w:szCs w:val="20"/>
        </w:rPr>
        <w:t>Most of the</w:t>
      </w:r>
      <w:r>
        <w:rPr>
          <w:rFonts w:cs="Arial"/>
          <w:szCs w:val="20"/>
        </w:rPr>
        <w:t xml:space="preserve"> HFIII</w:t>
      </w:r>
      <w:r w:rsidRPr="000254B2">
        <w:rPr>
          <w:rFonts w:cs="Arial"/>
          <w:szCs w:val="20"/>
        </w:rPr>
        <w:t xml:space="preserve"> actions are in </w:t>
      </w:r>
      <w:r>
        <w:rPr>
          <w:rFonts w:cs="Arial"/>
          <w:szCs w:val="20"/>
        </w:rPr>
        <w:t xml:space="preserve">the </w:t>
      </w:r>
      <w:r w:rsidRPr="000254B2">
        <w:rPr>
          <w:rFonts w:cs="Arial"/>
          <w:szCs w:val="20"/>
        </w:rPr>
        <w:t xml:space="preserve">continuity of the </w:t>
      </w:r>
      <w:r>
        <w:rPr>
          <w:rFonts w:cs="Arial"/>
          <w:szCs w:val="20"/>
        </w:rPr>
        <w:t>programme</w:t>
      </w:r>
      <w:r w:rsidRPr="000254B2">
        <w:rPr>
          <w:rFonts w:cs="Arial"/>
          <w:szCs w:val="20"/>
        </w:rPr>
        <w:t xml:space="preserve">’s previous phase. Novel interventions include </w:t>
      </w:r>
      <w:r>
        <w:rPr>
          <w:rFonts w:cs="Arial"/>
          <w:szCs w:val="20"/>
        </w:rPr>
        <w:t>B</w:t>
      </w:r>
      <w:r w:rsidRPr="000254B2">
        <w:rPr>
          <w:rFonts w:cs="Arial"/>
          <w:szCs w:val="20"/>
        </w:rPr>
        <w:t>eneficiary-specific actions in the field of efficiency of justice in Bosnia and Herzegovina, fight against economic crime in Bosnia and Herzegovina and Türkiye, and digital citizenship education in Türkiye. Throughout the region, a novel intervention strive</w:t>
      </w:r>
      <w:r>
        <w:rPr>
          <w:rFonts w:cs="Arial"/>
          <w:szCs w:val="20"/>
        </w:rPr>
        <w:t>s</w:t>
      </w:r>
      <w:r w:rsidRPr="000254B2">
        <w:rPr>
          <w:rFonts w:cs="Arial"/>
          <w:szCs w:val="20"/>
        </w:rPr>
        <w:t xml:space="preserve"> to strengthen women’s access to justice, especially those who are victims of violence. </w:t>
      </w:r>
    </w:p>
    <w:p w14:paraId="5DA1915D" w14:textId="77777777" w:rsidR="007E0D7D" w:rsidRDefault="007E0D7D" w:rsidP="007E0D7D">
      <w:pPr>
        <w:rPr>
          <w:rFonts w:cs="Arial"/>
          <w:szCs w:val="20"/>
        </w:rPr>
      </w:pPr>
    </w:p>
    <w:p w14:paraId="3FA71279" w14:textId="77777777" w:rsidR="008E74B8" w:rsidRDefault="008E74B8" w:rsidP="007E0D7D">
      <w:pPr>
        <w:rPr>
          <w:rFonts w:cs="Arial"/>
          <w:szCs w:val="20"/>
        </w:rPr>
      </w:pPr>
      <w:bookmarkStart w:id="15" w:name="_Hlk155880543"/>
      <w:r w:rsidRPr="00A15DB9">
        <w:rPr>
          <w:rFonts w:cs="Arial"/>
          <w:szCs w:val="20"/>
        </w:rPr>
        <w:t>A non</w:t>
      </w:r>
      <w:r w:rsidRPr="00C16F11">
        <w:rPr>
          <w:rFonts w:cs="Arial"/>
          <w:szCs w:val="20"/>
        </w:rPr>
        <w:t>-exhaustive list of the results which have been achieved so far includes</w:t>
      </w:r>
      <w:bookmarkEnd w:id="15"/>
      <w:r w:rsidRPr="00C16F11">
        <w:rPr>
          <w:rFonts w:cs="Arial"/>
          <w:szCs w:val="20"/>
        </w:rPr>
        <w:t xml:space="preserve">: </w:t>
      </w:r>
    </w:p>
    <w:p w14:paraId="7C22C25D" w14:textId="77777777" w:rsidR="007E0D7D" w:rsidRPr="00C16F11" w:rsidRDefault="007E0D7D" w:rsidP="007E0D7D">
      <w:pPr>
        <w:rPr>
          <w:rFonts w:cs="Arial"/>
          <w:szCs w:val="20"/>
        </w:rPr>
      </w:pPr>
    </w:p>
    <w:p w14:paraId="077C6F8C" w14:textId="77777777" w:rsidR="008E74B8" w:rsidRDefault="008E74B8" w:rsidP="007E0D7D">
      <w:pPr>
        <w:numPr>
          <w:ilvl w:val="0"/>
          <w:numId w:val="35"/>
        </w:numPr>
        <w:rPr>
          <w:rFonts w:cs="Arial"/>
          <w:szCs w:val="20"/>
        </w:rPr>
      </w:pPr>
      <w:r w:rsidRPr="00C16F11">
        <w:rPr>
          <w:rFonts w:cs="Arial"/>
          <w:szCs w:val="20"/>
        </w:rPr>
        <w:t xml:space="preserve">In </w:t>
      </w:r>
      <w:r w:rsidRPr="00C16F11">
        <w:rPr>
          <w:rFonts w:cs="Arial"/>
          <w:b/>
          <w:bCs/>
          <w:szCs w:val="20"/>
        </w:rPr>
        <w:t>Albania</w:t>
      </w:r>
      <w:r w:rsidRPr="00C16F11">
        <w:rPr>
          <w:rFonts w:cs="Arial"/>
          <w:szCs w:val="20"/>
        </w:rPr>
        <w:t xml:space="preserve">, following the drafting support of HFIII, two sub-legal acts were adopted by the Council of Ministers in 2023. These acts are crucial for implementing Law 133/2015 “on the treatment of property and finalisation of the process of compensation of property”, ensuring effective enforcement of property-related laws and regulations and the recommendations of the European Court in </w:t>
      </w:r>
      <w:r w:rsidRPr="00C16F11">
        <w:rPr>
          <w:rFonts w:cs="Arial"/>
          <w:i/>
          <w:szCs w:val="20"/>
        </w:rPr>
        <w:t>Beshiri v. Albania</w:t>
      </w:r>
      <w:r w:rsidRPr="00C16F11">
        <w:rPr>
          <w:rFonts w:cs="Arial"/>
          <w:szCs w:val="20"/>
        </w:rPr>
        <w:t>.</w:t>
      </w:r>
    </w:p>
    <w:p w14:paraId="5269FBB0" w14:textId="77777777" w:rsidR="007E0D7D" w:rsidRPr="00C16F11" w:rsidRDefault="007E0D7D" w:rsidP="007E0D7D">
      <w:pPr>
        <w:ind w:left="1080"/>
        <w:rPr>
          <w:rFonts w:cs="Arial"/>
          <w:szCs w:val="20"/>
        </w:rPr>
      </w:pPr>
    </w:p>
    <w:p w14:paraId="4BCFFB31" w14:textId="77777777" w:rsidR="008E74B8" w:rsidRDefault="008E74B8" w:rsidP="007E0D7D">
      <w:pPr>
        <w:numPr>
          <w:ilvl w:val="0"/>
          <w:numId w:val="35"/>
        </w:numPr>
        <w:rPr>
          <w:rFonts w:cs="Arial"/>
          <w:szCs w:val="20"/>
        </w:rPr>
      </w:pPr>
      <w:r w:rsidRPr="00C16F11">
        <w:rPr>
          <w:rFonts w:cs="Arial"/>
          <w:szCs w:val="20"/>
        </w:rPr>
        <w:t>In 2023, the Albanian Media Regulator (AMA) amended the Broadcast Code taking into account 88% of the recommendations provided by HFII at the time. The other recommendations were mostly left to be defined in bylaws following the approval of the Broadcast Code.</w:t>
      </w:r>
    </w:p>
    <w:p w14:paraId="0454013C" w14:textId="77777777" w:rsidR="007E0D7D" w:rsidRPr="00C16F11" w:rsidRDefault="007E0D7D" w:rsidP="007E0D7D">
      <w:pPr>
        <w:ind w:left="1080"/>
        <w:rPr>
          <w:rFonts w:cs="Arial"/>
          <w:szCs w:val="20"/>
        </w:rPr>
      </w:pPr>
    </w:p>
    <w:p w14:paraId="04E45C86" w14:textId="77777777" w:rsidR="008E74B8" w:rsidRDefault="008E74B8" w:rsidP="007E0D7D">
      <w:pPr>
        <w:numPr>
          <w:ilvl w:val="0"/>
          <w:numId w:val="35"/>
        </w:numPr>
        <w:rPr>
          <w:rFonts w:cs="Arial"/>
          <w:szCs w:val="20"/>
        </w:rPr>
      </w:pPr>
      <w:r w:rsidRPr="00C16F11">
        <w:rPr>
          <w:rFonts w:cs="Arial"/>
          <w:szCs w:val="20"/>
        </w:rPr>
        <w:t>The Central Election Commission (CEC) Electronic Platform on Financial Reporting was launched and made operational for the Albanian local government elections held in May 2023. The CEC Electronic Platform will increase the effective implementation of the legal safeguards of the Electoral Code and will facilitate the engagement and monitoring initiatives of civil society and media, increasing public scrutiny and accountability in political financing.</w:t>
      </w:r>
    </w:p>
    <w:p w14:paraId="545AC051" w14:textId="77777777" w:rsidR="007E0D7D" w:rsidRPr="00C16F11" w:rsidRDefault="007E0D7D" w:rsidP="007E0D7D">
      <w:pPr>
        <w:ind w:left="1080"/>
        <w:rPr>
          <w:rFonts w:cs="Arial"/>
          <w:szCs w:val="20"/>
        </w:rPr>
      </w:pPr>
    </w:p>
    <w:p w14:paraId="47BE2C5D" w14:textId="77777777" w:rsidR="008E74B8" w:rsidRDefault="008E74B8" w:rsidP="007E0D7D">
      <w:pPr>
        <w:pStyle w:val="ListParagraph"/>
        <w:numPr>
          <w:ilvl w:val="0"/>
          <w:numId w:val="35"/>
        </w:numPr>
        <w:rPr>
          <w:rFonts w:ascii="Arial" w:hAnsi="Arial" w:cs="Arial"/>
          <w:sz w:val="20"/>
          <w:szCs w:val="20"/>
        </w:rPr>
      </w:pPr>
      <w:r w:rsidRPr="00C16F11">
        <w:rPr>
          <w:rFonts w:ascii="Arial" w:hAnsi="Arial" w:cs="Arial"/>
          <w:sz w:val="20"/>
          <w:szCs w:val="20"/>
        </w:rPr>
        <w:t>In</w:t>
      </w:r>
      <w:r w:rsidRPr="00C16F11">
        <w:rPr>
          <w:rFonts w:ascii="Arial" w:hAnsi="Arial" w:cs="Arial"/>
          <w:b/>
          <w:bCs/>
          <w:sz w:val="20"/>
          <w:szCs w:val="20"/>
        </w:rPr>
        <w:t xml:space="preserve"> Bosnia and Herzegovina</w:t>
      </w:r>
      <w:r w:rsidRPr="00C16F11">
        <w:rPr>
          <w:rFonts w:ascii="Arial" w:hAnsi="Arial" w:cs="Arial"/>
          <w:sz w:val="20"/>
          <w:szCs w:val="20"/>
        </w:rPr>
        <w:t>,</w:t>
      </w:r>
      <w:r>
        <w:rPr>
          <w:rFonts w:ascii="Arial" w:hAnsi="Arial" w:cs="Arial"/>
          <w:sz w:val="20"/>
          <w:szCs w:val="20"/>
        </w:rPr>
        <w:t xml:space="preserve"> t</w:t>
      </w:r>
      <w:r w:rsidRPr="00CF4087">
        <w:rPr>
          <w:rFonts w:ascii="Arial" w:hAnsi="Arial" w:cs="Arial"/>
          <w:sz w:val="20"/>
          <w:szCs w:val="20"/>
        </w:rPr>
        <w:t xml:space="preserve">he fourth Pride March in Sarajevo - which gathered around 2 000 participants – was supported by HFIII. A very important improvement was the untightening of the security measures to a more adequate/reasonable size compared to </w:t>
      </w:r>
      <w:r>
        <w:rPr>
          <w:rFonts w:ascii="Arial" w:hAnsi="Arial" w:cs="Arial"/>
          <w:sz w:val="20"/>
          <w:szCs w:val="20"/>
        </w:rPr>
        <w:t xml:space="preserve">the </w:t>
      </w:r>
      <w:r w:rsidRPr="00CF4087">
        <w:rPr>
          <w:rFonts w:ascii="Arial" w:hAnsi="Arial" w:cs="Arial"/>
          <w:sz w:val="20"/>
          <w:szCs w:val="20"/>
        </w:rPr>
        <w:t>last Prides. This is a direct result of the peer-to-peer exchanges between the police from Montenegro and Bosnia and Herzegovina, which took place under HFII and focused on learning what</w:t>
      </w:r>
      <w:r>
        <w:rPr>
          <w:rFonts w:ascii="Arial" w:hAnsi="Arial" w:cs="Arial"/>
          <w:sz w:val="20"/>
          <w:szCs w:val="20"/>
        </w:rPr>
        <w:t xml:space="preserve"> are </w:t>
      </w:r>
      <w:r w:rsidRPr="00CF4087">
        <w:rPr>
          <w:rFonts w:ascii="Arial" w:hAnsi="Arial" w:cs="Arial"/>
          <w:sz w:val="20"/>
          <w:szCs w:val="20"/>
        </w:rPr>
        <w:t>adequate/reasonable security measures during Pride marches.</w:t>
      </w:r>
      <w:r>
        <w:rPr>
          <w:rFonts w:ascii="Arial" w:hAnsi="Arial" w:cs="Arial"/>
          <w:sz w:val="20"/>
          <w:szCs w:val="20"/>
        </w:rPr>
        <w:t xml:space="preserve"> In addition, for the first time, </w:t>
      </w:r>
      <w:r w:rsidRPr="003115D6">
        <w:rPr>
          <w:rFonts w:ascii="Arial" w:hAnsi="Arial" w:cs="Arial"/>
          <w:sz w:val="20"/>
          <w:szCs w:val="20"/>
        </w:rPr>
        <w:t xml:space="preserve">police officers from Brčko </w:t>
      </w:r>
      <w:r>
        <w:rPr>
          <w:rFonts w:ascii="Arial" w:hAnsi="Arial" w:cs="Arial"/>
          <w:sz w:val="20"/>
          <w:szCs w:val="20"/>
        </w:rPr>
        <w:t>were trained in</w:t>
      </w:r>
      <w:r w:rsidRPr="003115D6">
        <w:rPr>
          <w:rFonts w:ascii="Arial" w:hAnsi="Arial" w:cs="Arial"/>
          <w:sz w:val="20"/>
          <w:szCs w:val="20"/>
        </w:rPr>
        <w:t xml:space="preserve"> combating hate crime/speech based on sexual orientation and gender identity. </w:t>
      </w:r>
    </w:p>
    <w:p w14:paraId="23CDCA79" w14:textId="77777777" w:rsidR="007E0D7D" w:rsidRPr="00CF4087" w:rsidRDefault="007E0D7D" w:rsidP="007E0D7D">
      <w:pPr>
        <w:pStyle w:val="ListParagraph"/>
        <w:ind w:left="1080"/>
        <w:rPr>
          <w:rFonts w:ascii="Arial" w:hAnsi="Arial" w:cs="Arial"/>
          <w:sz w:val="20"/>
          <w:szCs w:val="20"/>
        </w:rPr>
      </w:pPr>
    </w:p>
    <w:p w14:paraId="65B8C1A7" w14:textId="77777777" w:rsidR="008E74B8" w:rsidRDefault="008E74B8" w:rsidP="007E0D7D">
      <w:pPr>
        <w:pStyle w:val="ListParagraph"/>
        <w:numPr>
          <w:ilvl w:val="0"/>
          <w:numId w:val="35"/>
        </w:numPr>
        <w:rPr>
          <w:rFonts w:ascii="Arial" w:hAnsi="Arial" w:cs="Arial"/>
          <w:sz w:val="20"/>
          <w:szCs w:val="20"/>
        </w:rPr>
      </w:pPr>
      <w:r w:rsidRPr="00C16F11">
        <w:rPr>
          <w:rFonts w:ascii="Arial" w:hAnsi="Arial" w:cs="Arial"/>
          <w:sz w:val="20"/>
          <w:szCs w:val="20"/>
        </w:rPr>
        <w:t xml:space="preserve">To enable the Ombudsperson Institution of </w:t>
      </w:r>
      <w:r w:rsidRPr="00C16F11">
        <w:rPr>
          <w:rFonts w:ascii="Arial" w:hAnsi="Arial" w:cs="Arial"/>
          <w:b/>
          <w:bCs/>
          <w:sz w:val="20"/>
          <w:szCs w:val="20"/>
        </w:rPr>
        <w:t xml:space="preserve">Kosovo </w:t>
      </w:r>
      <w:r w:rsidRPr="00C16F11">
        <w:rPr>
          <w:rFonts w:ascii="Arial" w:hAnsi="Arial" w:cs="Arial"/>
          <w:sz w:val="20"/>
          <w:szCs w:val="20"/>
        </w:rPr>
        <w:t>(OIK) to report annually on the implementation of the Law on Protection from Discrimination, the first draft of the Monitoring and Reporting tool for the monitoring of the implementation of the Law on Protection from Discrimination was delivered by the programme. The framework proposed to the OIK builds on the tool already developed for the Office of Good Governance and resulted from a deliberative process, which included the perspectives and views of the parties concerned, therefore customising it to the extent possible and ensuring the institution’s ownership.</w:t>
      </w:r>
    </w:p>
    <w:p w14:paraId="4B003F59" w14:textId="638B12CB" w:rsidR="007E0D7D" w:rsidRDefault="007E0D7D">
      <w:pPr>
        <w:rPr>
          <w:rFonts w:cs="Arial"/>
          <w:szCs w:val="20"/>
        </w:rPr>
      </w:pPr>
      <w:r>
        <w:rPr>
          <w:rFonts w:cs="Arial"/>
          <w:szCs w:val="20"/>
        </w:rPr>
        <w:br w:type="page"/>
      </w:r>
    </w:p>
    <w:p w14:paraId="695CF14D" w14:textId="77777777" w:rsidR="007E0D7D" w:rsidRPr="00C16F11" w:rsidRDefault="007E0D7D" w:rsidP="007E0D7D">
      <w:pPr>
        <w:pStyle w:val="ListParagraph"/>
        <w:ind w:left="1080"/>
        <w:rPr>
          <w:rFonts w:ascii="Arial" w:hAnsi="Arial" w:cs="Arial"/>
          <w:sz w:val="20"/>
          <w:szCs w:val="20"/>
        </w:rPr>
      </w:pPr>
    </w:p>
    <w:p w14:paraId="7BEA03A6" w14:textId="77777777" w:rsidR="008E74B8" w:rsidRPr="00C16F11" w:rsidRDefault="008E74B8" w:rsidP="007E0D7D">
      <w:pPr>
        <w:pStyle w:val="ListParagraph"/>
        <w:numPr>
          <w:ilvl w:val="0"/>
          <w:numId w:val="35"/>
        </w:numPr>
        <w:rPr>
          <w:rFonts w:ascii="Arial" w:hAnsi="Arial" w:cs="Arial"/>
          <w:sz w:val="20"/>
          <w:szCs w:val="20"/>
        </w:rPr>
      </w:pPr>
      <w:r w:rsidRPr="00C16F11">
        <w:rPr>
          <w:rFonts w:ascii="Arial" w:hAnsi="Arial" w:cs="Arial"/>
          <w:sz w:val="20"/>
          <w:szCs w:val="20"/>
        </w:rPr>
        <w:t>A new Memorandum of Understanding (MoU) on e-summonses has been implemented with the Municipality of Pristina, building on the results of the work done under the programme’s previous phase in support to the Basic Court of Pristina with the use of electronic communication.</w:t>
      </w:r>
    </w:p>
    <w:p w14:paraId="5B9AEB4B" w14:textId="77777777" w:rsidR="008E74B8" w:rsidRPr="00C16F11" w:rsidRDefault="008E74B8" w:rsidP="007E0D7D">
      <w:pPr>
        <w:pStyle w:val="ListParagraph"/>
        <w:ind w:left="1080"/>
        <w:rPr>
          <w:rFonts w:ascii="Arial" w:hAnsi="Arial" w:cs="Arial"/>
          <w:sz w:val="20"/>
          <w:szCs w:val="20"/>
        </w:rPr>
      </w:pPr>
    </w:p>
    <w:p w14:paraId="61417CFA" w14:textId="77777777" w:rsidR="008E74B8" w:rsidRDefault="008E74B8" w:rsidP="007E0D7D">
      <w:pPr>
        <w:pStyle w:val="ListParagraph"/>
        <w:numPr>
          <w:ilvl w:val="0"/>
          <w:numId w:val="35"/>
        </w:numPr>
        <w:rPr>
          <w:rFonts w:ascii="Arial" w:hAnsi="Arial" w:cs="Arial"/>
          <w:sz w:val="20"/>
          <w:szCs w:val="20"/>
        </w:rPr>
      </w:pPr>
      <w:r w:rsidRPr="00C16F11">
        <w:rPr>
          <w:rFonts w:cs="Arial"/>
          <w:b/>
          <w:bCs/>
          <w:szCs w:val="20"/>
        </w:rPr>
        <w:t>In Montenegro,</w:t>
      </w:r>
      <w:r w:rsidRPr="00C16F11">
        <w:rPr>
          <w:rFonts w:cs="Arial"/>
          <w:szCs w:val="20"/>
        </w:rPr>
        <w:t xml:space="preserve"> </w:t>
      </w:r>
      <w:r w:rsidRPr="00C16F11">
        <w:rPr>
          <w:rFonts w:ascii="Arial" w:hAnsi="Arial" w:cs="Arial"/>
          <w:sz w:val="20"/>
          <w:szCs w:val="20"/>
        </w:rPr>
        <w:t xml:space="preserve">a "Training Plan" was developed to strengthen the capacities of the National Preventive Mechanism (NPM). This initiative stemmed from the evaluation of the professional competencies of the NPM monitoring officers to conduct visits to places of detention and enclosed institutions. </w:t>
      </w:r>
    </w:p>
    <w:p w14:paraId="0D0148A5" w14:textId="77777777" w:rsidR="007E0D7D" w:rsidRPr="00C16F11" w:rsidRDefault="007E0D7D" w:rsidP="007E0D7D">
      <w:pPr>
        <w:pStyle w:val="ListParagraph"/>
        <w:ind w:left="1080"/>
        <w:rPr>
          <w:rFonts w:ascii="Arial" w:hAnsi="Arial" w:cs="Arial"/>
          <w:sz w:val="20"/>
          <w:szCs w:val="20"/>
        </w:rPr>
      </w:pPr>
    </w:p>
    <w:p w14:paraId="28646FC5" w14:textId="77777777" w:rsidR="008E74B8" w:rsidRDefault="008E74B8" w:rsidP="007E0D7D">
      <w:pPr>
        <w:numPr>
          <w:ilvl w:val="0"/>
          <w:numId w:val="35"/>
        </w:numPr>
        <w:rPr>
          <w:rFonts w:cs="Arial"/>
          <w:szCs w:val="20"/>
        </w:rPr>
      </w:pPr>
      <w:r w:rsidRPr="00C16F11">
        <w:rPr>
          <w:rFonts w:cs="Arial"/>
          <w:szCs w:val="20"/>
        </w:rPr>
        <w:t>With the support from the programme, the revision of the Law on Free Legal Aid was finalised and endorsed by the Government of Montenegro.</w:t>
      </w:r>
    </w:p>
    <w:p w14:paraId="6900F987" w14:textId="77777777" w:rsidR="007E0D7D" w:rsidRPr="00C16F11" w:rsidRDefault="007E0D7D" w:rsidP="007E0D7D">
      <w:pPr>
        <w:ind w:left="1080"/>
        <w:rPr>
          <w:rFonts w:cs="Arial"/>
          <w:szCs w:val="20"/>
        </w:rPr>
      </w:pPr>
    </w:p>
    <w:p w14:paraId="30209017" w14:textId="6FB9DDD6" w:rsidR="008E74B8" w:rsidRDefault="008E74B8" w:rsidP="007E0D7D">
      <w:pPr>
        <w:pStyle w:val="ListParagraph"/>
        <w:numPr>
          <w:ilvl w:val="0"/>
          <w:numId w:val="35"/>
        </w:numPr>
        <w:rPr>
          <w:rFonts w:ascii="Arial" w:hAnsi="Arial" w:cs="Arial"/>
          <w:sz w:val="20"/>
          <w:szCs w:val="20"/>
        </w:rPr>
      </w:pPr>
      <w:r>
        <w:rPr>
          <w:rFonts w:ascii="Arial" w:hAnsi="Arial" w:cs="Arial"/>
          <w:sz w:val="20"/>
          <w:szCs w:val="20"/>
        </w:rPr>
        <w:t xml:space="preserve">In </w:t>
      </w:r>
      <w:r w:rsidRPr="009A77D7">
        <w:rPr>
          <w:rFonts w:ascii="Arial" w:hAnsi="Arial" w:cs="Arial"/>
          <w:b/>
          <w:bCs/>
          <w:sz w:val="20"/>
          <w:szCs w:val="20"/>
        </w:rPr>
        <w:t>North Macedonia</w:t>
      </w:r>
      <w:r>
        <w:rPr>
          <w:rFonts w:ascii="Arial" w:hAnsi="Arial" w:cs="Arial"/>
          <w:sz w:val="20"/>
          <w:szCs w:val="20"/>
        </w:rPr>
        <w:t>, m</w:t>
      </w:r>
      <w:r w:rsidRPr="00AD1416">
        <w:rPr>
          <w:rFonts w:ascii="Arial" w:hAnsi="Arial" w:cs="Arial"/>
          <w:sz w:val="20"/>
          <w:szCs w:val="20"/>
        </w:rPr>
        <w:t xml:space="preserve">ore than 60 000 people were reached through the micro-promotions organised by </w:t>
      </w:r>
      <w:r>
        <w:rPr>
          <w:rFonts w:ascii="Arial" w:hAnsi="Arial" w:cs="Arial"/>
          <w:sz w:val="20"/>
          <w:szCs w:val="20"/>
        </w:rPr>
        <w:t>the programme</w:t>
      </w:r>
      <w:r w:rsidRPr="00AD1416">
        <w:rPr>
          <w:rFonts w:ascii="Arial" w:hAnsi="Arial" w:cs="Arial"/>
          <w:sz w:val="20"/>
          <w:szCs w:val="20"/>
        </w:rPr>
        <w:t xml:space="preserve"> in 23 local communities as part of the awareness-raising initiative for </w:t>
      </w:r>
      <w:r>
        <w:rPr>
          <w:rFonts w:ascii="Arial" w:hAnsi="Arial" w:cs="Arial"/>
          <w:sz w:val="20"/>
          <w:szCs w:val="20"/>
        </w:rPr>
        <w:t xml:space="preserve">free legal aid </w:t>
      </w:r>
      <w:r w:rsidRPr="00AD1416">
        <w:rPr>
          <w:rFonts w:ascii="Arial" w:hAnsi="Arial" w:cs="Arial"/>
          <w:sz w:val="20"/>
          <w:szCs w:val="20"/>
        </w:rPr>
        <w:t xml:space="preserve">informing directly citizens about the related law. The initiative ensured that certain groups of potential beneficiaries that traditional advertising and online campaigns usually do not reach are made aware of their rights to </w:t>
      </w:r>
      <w:r>
        <w:rPr>
          <w:rFonts w:ascii="Arial" w:hAnsi="Arial" w:cs="Arial"/>
          <w:sz w:val="20"/>
          <w:szCs w:val="20"/>
        </w:rPr>
        <w:t>free legal aid.</w:t>
      </w:r>
    </w:p>
    <w:p w14:paraId="53FF2404" w14:textId="77777777" w:rsidR="007E0D7D" w:rsidRDefault="007E0D7D" w:rsidP="007E0D7D">
      <w:pPr>
        <w:pStyle w:val="ListParagraph"/>
        <w:ind w:left="1080"/>
        <w:rPr>
          <w:rFonts w:ascii="Arial" w:hAnsi="Arial" w:cs="Arial"/>
          <w:sz w:val="20"/>
          <w:szCs w:val="20"/>
        </w:rPr>
      </w:pPr>
    </w:p>
    <w:p w14:paraId="6C448CAF" w14:textId="1E0C2260" w:rsidR="008E74B8" w:rsidRDefault="008E74B8" w:rsidP="007E0D7D">
      <w:pPr>
        <w:pStyle w:val="ListParagraph"/>
        <w:numPr>
          <w:ilvl w:val="0"/>
          <w:numId w:val="35"/>
        </w:numPr>
        <w:rPr>
          <w:rFonts w:ascii="Arial" w:hAnsi="Arial" w:cs="Arial"/>
          <w:sz w:val="20"/>
          <w:szCs w:val="20"/>
        </w:rPr>
      </w:pPr>
      <w:r>
        <w:rPr>
          <w:rFonts w:ascii="Arial" w:hAnsi="Arial" w:cs="Arial"/>
          <w:sz w:val="20"/>
          <w:szCs w:val="20"/>
        </w:rPr>
        <w:t xml:space="preserve">The programme </w:t>
      </w:r>
      <w:r w:rsidRPr="00261101">
        <w:rPr>
          <w:rFonts w:ascii="Arial" w:hAnsi="Arial" w:cs="Arial"/>
          <w:sz w:val="20"/>
          <w:szCs w:val="20"/>
        </w:rPr>
        <w:t xml:space="preserve">has been supporting a multi-stakeholder working group by providing legal expertise with proposals for potential amendments to the Law on Whistleblowers in line with the Council of Europe Recommendation </w:t>
      </w:r>
      <w:bookmarkStart w:id="16" w:name="_ML_000000000001_VALID"/>
      <w:r w:rsidR="008E7000" w:rsidRPr="008E7000">
        <w:rPr>
          <w:rFonts w:ascii="Arial" w:hAnsi="Arial" w:cs="Arial"/>
          <w:sz w:val="20"/>
          <w:szCs w:val="20"/>
        </w:rPr>
        <w:fldChar w:fldCharType="begin"/>
      </w:r>
      <w:r w:rsidR="008E7000" w:rsidRPr="008E7000">
        <w:rPr>
          <w:rFonts w:ascii="Arial" w:hAnsi="Arial" w:cs="Arial"/>
          <w:sz w:val="20"/>
          <w:szCs w:val="20"/>
        </w:rPr>
        <w:instrText>HYPERLINK "https://search.coe.int/cm/Pages/result_details.aspx?Reference=CM/Rec(2014)7" \o "Recommendation of the Committee of Ministers to member States on the protection of whistleblowers (Adopted by the Committee of Ministers on 30 April 2014, at the 1198th meeting of the Ministers' Deputies)"</w:instrText>
      </w:r>
      <w:r w:rsidR="008E7000" w:rsidRPr="008E7000">
        <w:rPr>
          <w:rFonts w:ascii="Arial" w:hAnsi="Arial" w:cs="Arial"/>
          <w:sz w:val="20"/>
          <w:szCs w:val="20"/>
        </w:rPr>
      </w:r>
      <w:r w:rsidR="008E7000" w:rsidRPr="008E7000">
        <w:rPr>
          <w:rFonts w:ascii="Arial" w:hAnsi="Arial" w:cs="Arial"/>
          <w:sz w:val="20"/>
          <w:szCs w:val="20"/>
        </w:rPr>
        <w:fldChar w:fldCharType="separate"/>
      </w:r>
      <w:bookmarkEnd w:id="16"/>
      <w:r w:rsidR="008E7000" w:rsidRPr="008E7000">
        <w:rPr>
          <w:rStyle w:val="Hyperlink"/>
          <w:rFonts w:ascii="Arial" w:hAnsi="Arial" w:cs="Arial"/>
          <w:sz w:val="20"/>
          <w:szCs w:val="20"/>
        </w:rPr>
        <w:t>CM/Rec(2014)7</w:t>
      </w:r>
      <w:r w:rsidR="008E7000" w:rsidRPr="008E7000">
        <w:rPr>
          <w:rFonts w:ascii="Arial" w:hAnsi="Arial" w:cs="Arial"/>
          <w:sz w:val="20"/>
          <w:szCs w:val="20"/>
        </w:rPr>
        <w:fldChar w:fldCharType="end"/>
      </w:r>
      <w:r w:rsidRPr="00261101">
        <w:rPr>
          <w:rFonts w:ascii="Arial" w:hAnsi="Arial" w:cs="Arial"/>
          <w:sz w:val="20"/>
          <w:szCs w:val="20"/>
        </w:rPr>
        <w:t xml:space="preserve"> on the protection of whistleblowers and the EU Directive (EU) 2019/1937 on the protection of persons who report breaches of EU law.</w:t>
      </w:r>
    </w:p>
    <w:p w14:paraId="1DC59976" w14:textId="77777777" w:rsidR="007E0D7D" w:rsidRPr="002F5541" w:rsidRDefault="007E0D7D" w:rsidP="007E0D7D">
      <w:pPr>
        <w:pStyle w:val="ListParagraph"/>
        <w:ind w:left="1080"/>
        <w:rPr>
          <w:rFonts w:ascii="Arial" w:hAnsi="Arial" w:cs="Arial"/>
          <w:sz w:val="20"/>
          <w:szCs w:val="20"/>
        </w:rPr>
      </w:pPr>
    </w:p>
    <w:p w14:paraId="1CD5F69C" w14:textId="77777777" w:rsidR="008E74B8" w:rsidRDefault="008E74B8" w:rsidP="007E0D7D">
      <w:pPr>
        <w:numPr>
          <w:ilvl w:val="0"/>
          <w:numId w:val="35"/>
        </w:numPr>
        <w:rPr>
          <w:rFonts w:cs="Arial"/>
          <w:szCs w:val="20"/>
        </w:rPr>
      </w:pPr>
      <w:r w:rsidRPr="00C16F11">
        <w:rPr>
          <w:rFonts w:cs="Arial"/>
          <w:szCs w:val="20"/>
        </w:rPr>
        <w:t xml:space="preserve">In </w:t>
      </w:r>
      <w:r w:rsidRPr="00C16F11">
        <w:rPr>
          <w:rFonts w:cs="Arial"/>
          <w:b/>
          <w:bCs/>
          <w:szCs w:val="20"/>
        </w:rPr>
        <w:t>Serbia,</w:t>
      </w:r>
      <w:r>
        <w:rPr>
          <w:rFonts w:cs="Arial"/>
          <w:szCs w:val="20"/>
        </w:rPr>
        <w:t xml:space="preserve"> f</w:t>
      </w:r>
      <w:r w:rsidRPr="004F0279">
        <w:rPr>
          <w:rFonts w:cs="Arial"/>
          <w:szCs w:val="20"/>
        </w:rPr>
        <w:t xml:space="preserve">ollowing the support of the programme, the draft amendments to the Law on the Protection of the Right to Trial Within Reasonable Time were submitted to the Parliament </w:t>
      </w:r>
      <w:r>
        <w:rPr>
          <w:rFonts w:cs="Arial"/>
          <w:szCs w:val="20"/>
        </w:rPr>
        <w:t xml:space="preserve">of Serbia </w:t>
      </w:r>
      <w:r w:rsidRPr="004F0279">
        <w:rPr>
          <w:rFonts w:cs="Arial"/>
          <w:szCs w:val="20"/>
        </w:rPr>
        <w:t>for adoption</w:t>
      </w:r>
      <w:r>
        <w:rPr>
          <w:rFonts w:cs="Arial"/>
          <w:szCs w:val="20"/>
        </w:rPr>
        <w:t>.</w:t>
      </w:r>
    </w:p>
    <w:p w14:paraId="60F1FAD4" w14:textId="77777777" w:rsidR="007E0D7D" w:rsidRPr="005D4FA8" w:rsidRDefault="007E0D7D" w:rsidP="007E0D7D">
      <w:pPr>
        <w:ind w:left="1080"/>
        <w:rPr>
          <w:rFonts w:cs="Arial"/>
          <w:szCs w:val="20"/>
        </w:rPr>
      </w:pPr>
    </w:p>
    <w:p w14:paraId="57627AD7" w14:textId="77777777" w:rsidR="008E74B8" w:rsidRDefault="008E74B8" w:rsidP="007E0D7D">
      <w:pPr>
        <w:pStyle w:val="ListParagraph"/>
        <w:numPr>
          <w:ilvl w:val="0"/>
          <w:numId w:val="35"/>
        </w:numPr>
        <w:rPr>
          <w:rFonts w:ascii="Arial" w:hAnsi="Arial" w:cs="Arial"/>
          <w:sz w:val="20"/>
          <w:szCs w:val="20"/>
        </w:rPr>
      </w:pPr>
      <w:r>
        <w:rPr>
          <w:rFonts w:ascii="Arial" w:hAnsi="Arial" w:cs="Arial"/>
          <w:sz w:val="20"/>
          <w:szCs w:val="20"/>
        </w:rPr>
        <w:t xml:space="preserve">The </w:t>
      </w:r>
      <w:r w:rsidRPr="007C1B2E">
        <w:rPr>
          <w:rFonts w:ascii="Arial" w:hAnsi="Arial" w:cs="Arial"/>
          <w:sz w:val="20"/>
          <w:szCs w:val="20"/>
        </w:rPr>
        <w:t>Reference Framework of Competences for Democratic Culture (RFCDC) was included by the</w:t>
      </w:r>
      <w:r>
        <w:rPr>
          <w:rFonts w:ascii="Arial" w:hAnsi="Arial" w:cs="Arial"/>
          <w:sz w:val="20"/>
          <w:szCs w:val="20"/>
        </w:rPr>
        <w:t xml:space="preserve"> Serbian</w:t>
      </w:r>
      <w:r w:rsidRPr="007C1B2E">
        <w:rPr>
          <w:rFonts w:ascii="Arial" w:hAnsi="Arial" w:cs="Arial"/>
          <w:sz w:val="20"/>
          <w:szCs w:val="20"/>
        </w:rPr>
        <w:t xml:space="preserve"> education policy makers in the Rulebook on performing socially useful, i.e., humanitarian work in educational institutions</w:t>
      </w:r>
      <w:r>
        <w:rPr>
          <w:rFonts w:ascii="Arial" w:hAnsi="Arial" w:cs="Arial"/>
          <w:sz w:val="20"/>
          <w:szCs w:val="20"/>
        </w:rPr>
        <w:t xml:space="preserve">, the </w:t>
      </w:r>
      <w:r w:rsidRPr="00597DEB">
        <w:rPr>
          <w:rFonts w:ascii="Arial" w:hAnsi="Arial" w:cs="Arial"/>
          <w:sz w:val="20"/>
          <w:szCs w:val="20"/>
        </w:rPr>
        <w:t>Ministry’s Guidelines for Organisation and Implementation of Educational and Upbringing Process in the 2023/24 School Year</w:t>
      </w:r>
      <w:r w:rsidRPr="007C1B2E">
        <w:rPr>
          <w:rFonts w:ascii="Arial" w:hAnsi="Arial" w:cs="Arial"/>
          <w:sz w:val="20"/>
          <w:szCs w:val="20"/>
        </w:rPr>
        <w:t>. The Culture of Remembrance Resources related to the Holocaust and created by the Institute for Education Development and Ministry of Education were also connected with the RFCDC.</w:t>
      </w:r>
    </w:p>
    <w:p w14:paraId="53289A47" w14:textId="77777777" w:rsidR="007E0D7D" w:rsidRPr="007C1B2E" w:rsidRDefault="007E0D7D" w:rsidP="007E0D7D">
      <w:pPr>
        <w:pStyle w:val="ListParagraph"/>
        <w:ind w:left="1080"/>
        <w:rPr>
          <w:rFonts w:ascii="Arial" w:hAnsi="Arial" w:cs="Arial"/>
          <w:sz w:val="20"/>
          <w:szCs w:val="20"/>
        </w:rPr>
      </w:pPr>
    </w:p>
    <w:p w14:paraId="780F5E79" w14:textId="77777777" w:rsidR="008E74B8" w:rsidRDefault="008E74B8" w:rsidP="007E0D7D">
      <w:pPr>
        <w:numPr>
          <w:ilvl w:val="0"/>
          <w:numId w:val="35"/>
        </w:numPr>
        <w:rPr>
          <w:rFonts w:cs="Arial"/>
          <w:szCs w:val="20"/>
        </w:rPr>
      </w:pPr>
      <w:r w:rsidRPr="00C16F11">
        <w:rPr>
          <w:rFonts w:cs="Arial"/>
          <w:szCs w:val="20"/>
        </w:rPr>
        <w:t>Thanks to the support provided by HFIII and the revision of indicators for pupils at risk/potential victims of trafficking in human beings, the number of referrals from the education system increased in Serbia.</w:t>
      </w:r>
    </w:p>
    <w:p w14:paraId="662F3328" w14:textId="77777777" w:rsidR="007E0D7D" w:rsidRPr="00C16F11" w:rsidRDefault="007E0D7D" w:rsidP="007E0D7D">
      <w:pPr>
        <w:ind w:left="1080"/>
        <w:rPr>
          <w:rFonts w:cs="Arial"/>
          <w:szCs w:val="20"/>
        </w:rPr>
      </w:pPr>
    </w:p>
    <w:p w14:paraId="00A83608" w14:textId="77777777" w:rsidR="008E74B8" w:rsidRDefault="008E74B8" w:rsidP="007E0D7D">
      <w:pPr>
        <w:numPr>
          <w:ilvl w:val="0"/>
          <w:numId w:val="35"/>
        </w:numPr>
        <w:rPr>
          <w:rFonts w:cs="Arial"/>
          <w:szCs w:val="20"/>
        </w:rPr>
      </w:pPr>
      <w:r w:rsidRPr="00C16F11">
        <w:rPr>
          <w:rFonts w:cs="Arial"/>
          <w:szCs w:val="20"/>
        </w:rPr>
        <w:t xml:space="preserve">Informed dialogue with institutions responsible for the execution of the individual measure in the ECtHR case </w:t>
      </w:r>
      <w:r w:rsidRPr="00C16F11">
        <w:rPr>
          <w:rFonts w:cs="Arial"/>
          <w:i/>
          <w:iCs/>
          <w:szCs w:val="20"/>
        </w:rPr>
        <w:t>Dragan Petrovic</w:t>
      </w:r>
      <w:r>
        <w:rPr>
          <w:rFonts w:cs="Arial"/>
          <w:i/>
          <w:iCs/>
          <w:szCs w:val="20"/>
        </w:rPr>
        <w:t xml:space="preserve"> </w:t>
      </w:r>
      <w:r w:rsidRPr="00C16F11">
        <w:rPr>
          <w:rFonts w:cs="Arial"/>
          <w:i/>
          <w:iCs/>
          <w:szCs w:val="20"/>
        </w:rPr>
        <w:t>v</w:t>
      </w:r>
      <w:r>
        <w:rPr>
          <w:rFonts w:cs="Arial"/>
          <w:i/>
          <w:iCs/>
          <w:szCs w:val="20"/>
        </w:rPr>
        <w:t>.</w:t>
      </w:r>
      <w:r w:rsidRPr="00C16F11">
        <w:rPr>
          <w:rFonts w:eastAsia="Times New Roman" w:cs="Arial"/>
          <w:i/>
          <w:iCs/>
          <w:szCs w:val="20"/>
          <w:lang w:eastAsia="fr-FR"/>
        </w:rPr>
        <w:t>Serbia</w:t>
      </w:r>
      <w:r w:rsidRPr="00C16F11">
        <w:rPr>
          <w:rFonts w:cs="Arial"/>
          <w:szCs w:val="20"/>
        </w:rPr>
        <w:t xml:space="preserve"> led to its final resolution. </w:t>
      </w:r>
    </w:p>
    <w:p w14:paraId="1CBF89A4" w14:textId="77777777" w:rsidR="007E0D7D" w:rsidRPr="00C16F11" w:rsidRDefault="007E0D7D" w:rsidP="007E0D7D">
      <w:pPr>
        <w:ind w:left="1080"/>
        <w:rPr>
          <w:rFonts w:cs="Arial"/>
          <w:szCs w:val="20"/>
        </w:rPr>
      </w:pPr>
    </w:p>
    <w:p w14:paraId="502D7DF0" w14:textId="77777777" w:rsidR="008E74B8" w:rsidRDefault="008E74B8" w:rsidP="007E0D7D">
      <w:pPr>
        <w:numPr>
          <w:ilvl w:val="0"/>
          <w:numId w:val="35"/>
        </w:numPr>
        <w:rPr>
          <w:rFonts w:eastAsia="Times New Roman" w:cs="Arial"/>
          <w:szCs w:val="20"/>
          <w:lang w:eastAsia="fr-FR"/>
        </w:rPr>
      </w:pPr>
      <w:r w:rsidRPr="00C16F11">
        <w:rPr>
          <w:rFonts w:eastAsia="Times New Roman" w:cs="Arial"/>
          <w:szCs w:val="20"/>
          <w:lang w:eastAsia="fr-FR"/>
        </w:rPr>
        <w:t xml:space="preserve">In </w:t>
      </w:r>
      <w:r w:rsidRPr="00C16F11">
        <w:rPr>
          <w:rFonts w:eastAsia="Times New Roman" w:cs="Arial"/>
          <w:b/>
          <w:bCs/>
          <w:szCs w:val="20"/>
          <w:lang w:eastAsia="fr-FR"/>
        </w:rPr>
        <w:t>Türkiye,</w:t>
      </w:r>
      <w:r w:rsidRPr="00C16F11">
        <w:rPr>
          <w:rFonts w:eastAsia="Times New Roman" w:cs="Arial"/>
          <w:szCs w:val="20"/>
          <w:lang w:eastAsia="fr-FR"/>
        </w:rPr>
        <w:t xml:space="preserve"> approximately 1 000 lawyers were trained, and 750 lawyers were certified to provide legal aid services to women in eight provinces in Türkiye.</w:t>
      </w:r>
    </w:p>
    <w:p w14:paraId="36850EE4" w14:textId="77777777" w:rsidR="007E0D7D" w:rsidRPr="00C16F11" w:rsidRDefault="007E0D7D" w:rsidP="007E0D7D">
      <w:pPr>
        <w:ind w:left="1080"/>
        <w:rPr>
          <w:rFonts w:eastAsia="Times New Roman" w:cs="Arial"/>
          <w:szCs w:val="20"/>
          <w:lang w:eastAsia="fr-FR"/>
        </w:rPr>
      </w:pPr>
    </w:p>
    <w:p w14:paraId="7C454065" w14:textId="77777777" w:rsidR="008E74B8" w:rsidRPr="005532C0" w:rsidRDefault="008E74B8" w:rsidP="007E0D7D">
      <w:pPr>
        <w:ind w:left="360"/>
        <w:rPr>
          <w:rFonts w:eastAsia="Times New Roman" w:cs="Arial"/>
          <w:szCs w:val="20"/>
          <w:lang w:eastAsia="fr-FR"/>
        </w:rPr>
      </w:pPr>
      <w:r w:rsidRPr="005532C0">
        <w:rPr>
          <w:rFonts w:eastAsia="Times New Roman" w:cs="Arial"/>
          <w:szCs w:val="20"/>
          <w:lang w:eastAsia="fr-FR"/>
        </w:rPr>
        <w:t>The Council of Europe adapted its support following the devastating earthquakes in February 2023. For instance, the HELP course “Access to justice for women” was complemented with a module on women’s access to justice in the aftermath of natural disasters in Türkiye.</w:t>
      </w:r>
    </w:p>
    <w:p w14:paraId="07C450B1" w14:textId="77777777" w:rsidR="008E74B8" w:rsidRPr="00783A5E" w:rsidRDefault="008E74B8" w:rsidP="007E0D7D">
      <w:pPr>
        <w:rPr>
          <w:rFonts w:eastAsia="Times New Roman" w:cs="Arial"/>
          <w:b/>
          <w:bCs/>
          <w:szCs w:val="20"/>
          <w:lang w:eastAsia="fr-FR"/>
        </w:rPr>
      </w:pPr>
    </w:p>
    <w:p w14:paraId="11583C4B" w14:textId="77777777" w:rsidR="008E74B8" w:rsidRDefault="008E74B8" w:rsidP="007E0D7D">
      <w:pPr>
        <w:pStyle w:val="ListParagraph"/>
        <w:numPr>
          <w:ilvl w:val="0"/>
          <w:numId w:val="4"/>
        </w:numPr>
        <w:rPr>
          <w:rFonts w:ascii="Arial" w:hAnsi="Arial" w:cs="Arial"/>
          <w:i/>
          <w:iCs/>
          <w:sz w:val="20"/>
          <w:szCs w:val="20"/>
          <w:u w:val="single"/>
        </w:rPr>
      </w:pPr>
      <w:r w:rsidRPr="00A15DB9">
        <w:rPr>
          <w:rFonts w:ascii="Arial" w:hAnsi="Arial" w:cs="Arial"/>
          <w:i/>
          <w:iCs/>
          <w:sz w:val="20"/>
          <w:szCs w:val="20"/>
          <w:u w:val="single"/>
        </w:rPr>
        <w:t>Other Joint Programmes implemented in the region</w:t>
      </w:r>
      <w:r>
        <w:rPr>
          <w:rFonts w:ascii="Arial" w:hAnsi="Arial" w:cs="Arial"/>
          <w:i/>
          <w:iCs/>
          <w:sz w:val="20"/>
          <w:szCs w:val="20"/>
          <w:u w:val="single"/>
        </w:rPr>
        <w:t xml:space="preserve"> </w:t>
      </w:r>
    </w:p>
    <w:p w14:paraId="6F3F7F35" w14:textId="77777777" w:rsidR="007E0D7D" w:rsidRDefault="007E0D7D" w:rsidP="007E0D7D">
      <w:pPr>
        <w:pStyle w:val="ListParagraph"/>
        <w:ind w:left="928"/>
        <w:rPr>
          <w:rFonts w:ascii="Arial" w:hAnsi="Arial" w:cs="Arial"/>
          <w:i/>
          <w:iCs/>
          <w:sz w:val="20"/>
          <w:szCs w:val="20"/>
          <w:u w:val="single"/>
        </w:rPr>
      </w:pPr>
    </w:p>
    <w:p w14:paraId="010DC03F" w14:textId="77777777" w:rsidR="008E74B8" w:rsidRDefault="008E74B8" w:rsidP="007E0D7D">
      <w:pPr>
        <w:rPr>
          <w:rFonts w:cs="Arial"/>
          <w:szCs w:val="20"/>
        </w:rPr>
      </w:pPr>
      <w:r>
        <w:rPr>
          <w:rFonts w:cs="Arial"/>
          <w:szCs w:val="20"/>
        </w:rPr>
        <w:t xml:space="preserve">In </w:t>
      </w:r>
      <w:r w:rsidRPr="00C423CA">
        <w:rPr>
          <w:rFonts w:cs="Arial"/>
          <w:b/>
          <w:bCs/>
          <w:szCs w:val="20"/>
        </w:rPr>
        <w:t>Serbia</w:t>
      </w:r>
      <w:r>
        <w:rPr>
          <w:rFonts w:cs="Arial"/>
          <w:szCs w:val="20"/>
        </w:rPr>
        <w:t xml:space="preserve">, the </w:t>
      </w:r>
      <w:r w:rsidRPr="000254B2">
        <w:rPr>
          <w:rFonts w:cs="Arial"/>
          <w:szCs w:val="20"/>
        </w:rPr>
        <w:t xml:space="preserve">Joint Programme on “Support for the Implementation of Judicial Reform” (total: €3.3 million) has been </w:t>
      </w:r>
      <w:r>
        <w:rPr>
          <w:rFonts w:cs="Arial"/>
          <w:szCs w:val="20"/>
        </w:rPr>
        <w:t xml:space="preserve">under implementation </w:t>
      </w:r>
      <w:r w:rsidRPr="000254B2">
        <w:rPr>
          <w:rFonts w:cs="Arial"/>
          <w:szCs w:val="20"/>
        </w:rPr>
        <w:t>since 1 January 2022. Two programmes operate</w:t>
      </w:r>
      <w:r>
        <w:rPr>
          <w:rFonts w:cs="Arial"/>
          <w:szCs w:val="20"/>
        </w:rPr>
        <w:t>d</w:t>
      </w:r>
      <w:r w:rsidRPr="000254B2">
        <w:rPr>
          <w:rFonts w:cs="Arial"/>
          <w:szCs w:val="20"/>
        </w:rPr>
        <w:t xml:space="preserve"> in </w:t>
      </w:r>
      <w:r w:rsidRPr="00C423CA">
        <w:rPr>
          <w:rFonts w:cs="Arial"/>
          <w:b/>
          <w:bCs/>
          <w:szCs w:val="20"/>
        </w:rPr>
        <w:t>Kosovo</w:t>
      </w:r>
      <w:r w:rsidRPr="000254B2">
        <w:rPr>
          <w:rFonts w:cs="Arial"/>
          <w:szCs w:val="20"/>
        </w:rPr>
        <w:t xml:space="preserve">* - “Building Capacity for Inclusion in Education – INCLUDE” (total: €2.2 million) and the “Project Against Economic Crime (PECK) Phase III” (total: €2.5 million), both launched in 2020. As regards </w:t>
      </w:r>
      <w:r w:rsidRPr="00C423CA">
        <w:rPr>
          <w:rFonts w:cs="Arial"/>
          <w:b/>
          <w:bCs/>
          <w:szCs w:val="20"/>
        </w:rPr>
        <w:t>regional</w:t>
      </w:r>
      <w:r w:rsidRPr="000254B2">
        <w:rPr>
          <w:rFonts w:cs="Arial"/>
          <w:szCs w:val="20"/>
        </w:rPr>
        <w:t xml:space="preserve"> </w:t>
      </w:r>
      <w:r>
        <w:rPr>
          <w:rFonts w:cs="Arial"/>
          <w:szCs w:val="20"/>
        </w:rPr>
        <w:t xml:space="preserve">thematic </w:t>
      </w:r>
      <w:r w:rsidRPr="000254B2">
        <w:rPr>
          <w:rFonts w:cs="Arial"/>
          <w:szCs w:val="20"/>
        </w:rPr>
        <w:t>programmes, these include</w:t>
      </w:r>
      <w:r>
        <w:rPr>
          <w:rFonts w:cs="Arial"/>
          <w:szCs w:val="20"/>
        </w:rPr>
        <w:t>d</w:t>
      </w:r>
      <w:r w:rsidRPr="000254B2">
        <w:rPr>
          <w:rFonts w:cs="Arial"/>
          <w:szCs w:val="20"/>
        </w:rPr>
        <w:t xml:space="preserve"> i-PROCEEDS-II (total: €4.9 million), a programme against cybercrime, targeting crime proceeds on the Internet and securing electronic evidence</w:t>
      </w:r>
      <w:r>
        <w:rPr>
          <w:rFonts w:cs="Arial"/>
          <w:szCs w:val="20"/>
        </w:rPr>
        <w:t xml:space="preserve"> (completed in 2023)</w:t>
      </w:r>
      <w:r w:rsidRPr="000254B2">
        <w:rPr>
          <w:rFonts w:cs="Arial"/>
          <w:szCs w:val="20"/>
        </w:rPr>
        <w:t xml:space="preserve"> and ROMACTED II (total: €6.5 million) which promotes good governance and Roma empowerment at </w:t>
      </w:r>
      <w:r>
        <w:rPr>
          <w:rFonts w:cs="Arial"/>
          <w:szCs w:val="20"/>
        </w:rPr>
        <w:t xml:space="preserve">the </w:t>
      </w:r>
      <w:r w:rsidRPr="000254B2">
        <w:rPr>
          <w:rFonts w:cs="Arial"/>
          <w:szCs w:val="20"/>
        </w:rPr>
        <w:t xml:space="preserve">local </w:t>
      </w:r>
      <w:r w:rsidRPr="00C16F11">
        <w:rPr>
          <w:rFonts w:cs="Arial"/>
          <w:szCs w:val="20"/>
        </w:rPr>
        <w:t xml:space="preserve">level. A new regional Joint Programme on Roma integration (total: €3 million) began implementation in May 2023 in South-East Europe and Türkiye for three years, while a new cybercrime programme -  CyberSEE - has been negotiated, with signature and start of implementation in early 2024. </w:t>
      </w:r>
    </w:p>
    <w:p w14:paraId="54831AE8" w14:textId="44AC2C4B" w:rsidR="007E0D7D" w:rsidRDefault="007E0D7D">
      <w:pPr>
        <w:rPr>
          <w:rFonts w:cs="Arial"/>
          <w:szCs w:val="20"/>
        </w:rPr>
      </w:pPr>
      <w:r>
        <w:rPr>
          <w:rFonts w:cs="Arial"/>
          <w:szCs w:val="20"/>
        </w:rPr>
        <w:br w:type="page"/>
      </w:r>
    </w:p>
    <w:p w14:paraId="1C2C164F" w14:textId="77777777" w:rsidR="007E0D7D" w:rsidRPr="00C16F11" w:rsidRDefault="007E0D7D" w:rsidP="007E0D7D">
      <w:pPr>
        <w:rPr>
          <w:rFonts w:cs="Arial"/>
          <w:szCs w:val="20"/>
        </w:rPr>
      </w:pPr>
    </w:p>
    <w:p w14:paraId="0794F0CE" w14:textId="77777777" w:rsidR="008E74B8" w:rsidRDefault="008E74B8" w:rsidP="00276F42">
      <w:pPr>
        <w:rPr>
          <w:rFonts w:cs="Arial"/>
          <w:szCs w:val="20"/>
        </w:rPr>
      </w:pPr>
      <w:r w:rsidRPr="00C16F11">
        <w:rPr>
          <w:rFonts w:cs="Arial"/>
          <w:szCs w:val="20"/>
        </w:rPr>
        <w:t>Some results of these programmes are as follows:</w:t>
      </w:r>
    </w:p>
    <w:p w14:paraId="06BEEE08" w14:textId="77777777" w:rsidR="007E0D7D" w:rsidRPr="00C16F11" w:rsidRDefault="007E0D7D" w:rsidP="00276F42">
      <w:pPr>
        <w:rPr>
          <w:rFonts w:cs="Arial"/>
          <w:szCs w:val="20"/>
        </w:rPr>
      </w:pPr>
    </w:p>
    <w:p w14:paraId="77E6BFFD" w14:textId="7A06045C"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 xml:space="preserve">In </w:t>
      </w:r>
      <w:r w:rsidRPr="00C16F11">
        <w:rPr>
          <w:rFonts w:ascii="Arial" w:eastAsia="Times New Roman" w:hAnsi="Arial" w:cs="Arial"/>
          <w:b/>
          <w:bCs/>
          <w:sz w:val="20"/>
          <w:szCs w:val="20"/>
          <w:lang w:eastAsia="fr-FR"/>
        </w:rPr>
        <w:t>Serbia</w:t>
      </w:r>
      <w:r w:rsidRPr="00C16F11">
        <w:rPr>
          <w:rFonts w:ascii="Arial" w:eastAsia="Times New Roman" w:hAnsi="Arial" w:cs="Arial"/>
          <w:sz w:val="20"/>
          <w:szCs w:val="20"/>
          <w:lang w:eastAsia="fr-FR"/>
        </w:rPr>
        <w:t>, five key pieces of legislation for justice reform were adopted by the Parliament on 9 February 2023, namely the Law on the Organisation of Courts, the Law on Judges, the Law on the High Judicial Council, the Law on Public Prosecutors’ Office and the Law on High Prosecutorial Council.</w:t>
      </w:r>
      <w:r w:rsidRPr="00C16F11">
        <w:rPr>
          <w:rFonts w:ascii="Arial" w:hAnsi="Arial" w:cs="Arial"/>
          <w:sz w:val="20"/>
          <w:szCs w:val="20"/>
        </w:rPr>
        <w:t xml:space="preserve"> </w:t>
      </w:r>
      <w:r w:rsidRPr="00C16F11">
        <w:rPr>
          <w:rFonts w:ascii="Arial" w:eastAsia="Times New Roman" w:hAnsi="Arial" w:cs="Arial"/>
          <w:sz w:val="20"/>
          <w:szCs w:val="20"/>
          <w:lang w:eastAsia="fr-FR"/>
        </w:rPr>
        <w:t>The Venice Commission, in its 134th Plenary Session, held on 10-11</w:t>
      </w:r>
      <w:r w:rsidR="00F456DB" w:rsidRPr="00F456DB">
        <w:rPr>
          <w:rFonts w:ascii="Arial" w:eastAsia="Times New Roman" w:hAnsi="Arial" w:cs="Arial"/>
          <w:sz w:val="20"/>
          <w:szCs w:val="20"/>
          <w:vertAlign w:val="superscript"/>
          <w:lang w:eastAsia="fr-FR"/>
        </w:rPr>
        <w:t>th</w:t>
      </w:r>
      <w:r w:rsidR="00F456DB">
        <w:rPr>
          <w:rFonts w:ascii="Arial" w:eastAsia="Times New Roman" w:hAnsi="Arial" w:cs="Arial"/>
          <w:sz w:val="20"/>
          <w:szCs w:val="20"/>
          <w:lang w:eastAsia="fr-FR"/>
        </w:rPr>
        <w:t> </w:t>
      </w:r>
      <w:r w:rsidRPr="00C16F11">
        <w:rPr>
          <w:rFonts w:ascii="Arial" w:eastAsia="Times New Roman" w:hAnsi="Arial" w:cs="Arial"/>
          <w:sz w:val="20"/>
          <w:szCs w:val="20"/>
          <w:lang w:eastAsia="fr-FR"/>
        </w:rPr>
        <w:t>March 2023, acknowledged the adoption of these laws as an important step forward;</w:t>
      </w:r>
    </w:p>
    <w:p w14:paraId="5CFC4BFD" w14:textId="77777777" w:rsidR="00F456DB" w:rsidRPr="00C16F11" w:rsidRDefault="00F456DB" w:rsidP="00F456DB">
      <w:pPr>
        <w:pStyle w:val="ListParagraph"/>
        <w:ind w:left="1080"/>
        <w:rPr>
          <w:rFonts w:ascii="Arial" w:eastAsia="Times New Roman" w:hAnsi="Arial" w:cs="Arial"/>
          <w:sz w:val="20"/>
          <w:szCs w:val="20"/>
          <w:lang w:eastAsia="fr-FR"/>
        </w:rPr>
      </w:pPr>
    </w:p>
    <w:p w14:paraId="6A60383E" w14:textId="77777777"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 xml:space="preserve">To harmonise judicial practice, the Supreme Court of Serbia has entered more than 8000 decisions in the electronic database and to facilitate the harmonisation of prosecutorial practice 200 public prosecutors raised their awareness on the matter; </w:t>
      </w:r>
    </w:p>
    <w:p w14:paraId="7D14CC4D" w14:textId="77777777" w:rsidR="00F456DB" w:rsidRPr="00C16F11" w:rsidRDefault="00F456DB" w:rsidP="00F456DB">
      <w:pPr>
        <w:pStyle w:val="ListParagraph"/>
        <w:ind w:left="1080"/>
        <w:rPr>
          <w:rFonts w:ascii="Arial" w:eastAsia="Times New Roman" w:hAnsi="Arial" w:cs="Arial"/>
          <w:sz w:val="20"/>
          <w:szCs w:val="20"/>
          <w:lang w:eastAsia="fr-FR"/>
        </w:rPr>
      </w:pPr>
    </w:p>
    <w:p w14:paraId="085A9757" w14:textId="77777777"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 xml:space="preserve">A Roma Cultural Centre was opened in Pirot, Serbia. </w:t>
      </w:r>
    </w:p>
    <w:p w14:paraId="2A34CB5C" w14:textId="77777777" w:rsidR="00F456DB" w:rsidRPr="00C16F11" w:rsidRDefault="00F456DB" w:rsidP="00F456DB">
      <w:pPr>
        <w:pStyle w:val="ListParagraph"/>
        <w:ind w:left="1080"/>
        <w:rPr>
          <w:rFonts w:ascii="Arial" w:eastAsia="Times New Roman" w:hAnsi="Arial" w:cs="Arial"/>
          <w:sz w:val="20"/>
          <w:szCs w:val="20"/>
          <w:lang w:eastAsia="fr-FR"/>
        </w:rPr>
      </w:pPr>
    </w:p>
    <w:p w14:paraId="166C9EE7" w14:textId="77777777"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b/>
          <w:bCs/>
          <w:sz w:val="20"/>
          <w:szCs w:val="20"/>
          <w:lang w:eastAsia="fr-FR"/>
        </w:rPr>
        <w:t>Bosnia and Herzegovina</w:t>
      </w:r>
      <w:r w:rsidRPr="00C16F11">
        <w:rPr>
          <w:rFonts w:ascii="Arial" w:eastAsia="Times New Roman" w:hAnsi="Arial" w:cs="Arial"/>
          <w:sz w:val="20"/>
          <w:szCs w:val="20"/>
          <w:lang w:eastAsia="fr-FR"/>
        </w:rPr>
        <w:t xml:space="preserve"> adopted the Law of Communications and Decision of the Council of Ministers imposing data retention and lawful interception obligations on telecom operators and ISPs;</w:t>
      </w:r>
    </w:p>
    <w:p w14:paraId="75604E86" w14:textId="77777777" w:rsidR="00F456DB" w:rsidRPr="00C16F11" w:rsidRDefault="00F456DB" w:rsidP="00F456DB">
      <w:pPr>
        <w:pStyle w:val="ListParagraph"/>
        <w:ind w:left="1080"/>
        <w:rPr>
          <w:rFonts w:ascii="Arial" w:eastAsia="Times New Roman" w:hAnsi="Arial" w:cs="Arial"/>
          <w:sz w:val="20"/>
          <w:szCs w:val="20"/>
          <w:lang w:eastAsia="fr-FR"/>
        </w:rPr>
      </w:pPr>
    </w:p>
    <w:p w14:paraId="6018C388" w14:textId="77777777"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The Romani language was introduced in the School Curriculum in Tuzla Canton, Bosnia and Herzegovina;</w:t>
      </w:r>
    </w:p>
    <w:p w14:paraId="52F9964D" w14:textId="77777777" w:rsidR="00F456DB" w:rsidRPr="00C16F11" w:rsidRDefault="00F456DB" w:rsidP="00F456DB">
      <w:pPr>
        <w:pStyle w:val="ListParagraph"/>
        <w:ind w:left="1080"/>
        <w:rPr>
          <w:rFonts w:ascii="Arial" w:eastAsia="Times New Roman" w:hAnsi="Arial" w:cs="Arial"/>
          <w:sz w:val="20"/>
          <w:szCs w:val="20"/>
          <w:lang w:eastAsia="fr-FR"/>
        </w:rPr>
      </w:pPr>
    </w:p>
    <w:p w14:paraId="31121A6A" w14:textId="77777777"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 xml:space="preserve">In </w:t>
      </w:r>
      <w:r w:rsidRPr="00C16F11">
        <w:rPr>
          <w:rFonts w:ascii="Arial" w:eastAsia="Times New Roman" w:hAnsi="Arial" w:cs="Arial"/>
          <w:b/>
          <w:bCs/>
          <w:sz w:val="20"/>
          <w:szCs w:val="20"/>
          <w:lang w:eastAsia="fr-FR"/>
        </w:rPr>
        <w:t>Kosovo</w:t>
      </w:r>
      <w:r w:rsidRPr="00C16F11">
        <w:rPr>
          <w:rFonts w:ascii="Arial" w:eastAsia="Times New Roman" w:hAnsi="Arial" w:cs="Arial"/>
          <w:sz w:val="20"/>
          <w:szCs w:val="20"/>
          <w:lang w:eastAsia="fr-FR"/>
        </w:rPr>
        <w:t>*, the Law on the State Bureau for verification and confiscation of unjustified assets was adopted by the Assembly in February 2023;</w:t>
      </w:r>
    </w:p>
    <w:p w14:paraId="63FBEAEA" w14:textId="77777777" w:rsidR="00F456DB" w:rsidRPr="00C16F11" w:rsidRDefault="00F456DB" w:rsidP="00F456DB">
      <w:pPr>
        <w:pStyle w:val="ListParagraph"/>
        <w:ind w:left="1080"/>
        <w:rPr>
          <w:rFonts w:ascii="Arial" w:eastAsia="Times New Roman" w:hAnsi="Arial" w:cs="Arial"/>
          <w:sz w:val="20"/>
          <w:szCs w:val="20"/>
          <w:lang w:eastAsia="fr-FR"/>
        </w:rPr>
      </w:pPr>
    </w:p>
    <w:p w14:paraId="1E8C1E77" w14:textId="77777777" w:rsidR="008E74B8" w:rsidRDefault="008E74B8" w:rsidP="00276F42">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250 school representatives (school principals, educators, psychologists, parents, council representatives) from 25 pilot schools in Kosovo* (21 upper secondary and 4 primary ones) completed the training programme on “Creating a democratic and inclusive learning community”.</w:t>
      </w:r>
    </w:p>
    <w:p w14:paraId="2FBABA82" w14:textId="77777777" w:rsidR="00F456DB" w:rsidRPr="00C16F11" w:rsidRDefault="00F456DB" w:rsidP="00F456DB">
      <w:pPr>
        <w:pStyle w:val="ListParagraph"/>
        <w:ind w:left="1080"/>
        <w:rPr>
          <w:rFonts w:ascii="Arial" w:eastAsia="Times New Roman" w:hAnsi="Arial" w:cs="Arial"/>
          <w:sz w:val="20"/>
          <w:szCs w:val="20"/>
          <w:lang w:eastAsia="fr-FR"/>
        </w:rPr>
      </w:pPr>
    </w:p>
    <w:p w14:paraId="1748405B" w14:textId="7703F6E9" w:rsidR="008E74B8" w:rsidRPr="00F456DB" w:rsidRDefault="008E74B8" w:rsidP="00F456DB">
      <w:pPr>
        <w:pStyle w:val="ListParagraph"/>
        <w:numPr>
          <w:ilvl w:val="0"/>
          <w:numId w:val="10"/>
        </w:numPr>
        <w:rPr>
          <w:rFonts w:ascii="Arial" w:eastAsia="Times New Roman" w:hAnsi="Arial" w:cs="Arial"/>
          <w:sz w:val="20"/>
          <w:szCs w:val="20"/>
          <w:lang w:eastAsia="fr-FR"/>
        </w:rPr>
      </w:pPr>
      <w:r w:rsidRPr="00C16F11">
        <w:rPr>
          <w:rFonts w:ascii="Arial" w:eastAsia="Times New Roman" w:hAnsi="Arial" w:cs="Arial"/>
          <w:sz w:val="20"/>
          <w:szCs w:val="20"/>
          <w:lang w:eastAsia="fr-FR"/>
        </w:rPr>
        <w:t xml:space="preserve">In </w:t>
      </w:r>
      <w:r w:rsidRPr="00C16F11">
        <w:rPr>
          <w:rFonts w:ascii="Arial" w:eastAsia="Times New Roman" w:hAnsi="Arial" w:cs="Arial"/>
          <w:b/>
          <w:bCs/>
          <w:sz w:val="20"/>
          <w:szCs w:val="20"/>
          <w:lang w:eastAsia="fr-FR"/>
        </w:rPr>
        <w:t>Montenegro,</w:t>
      </w:r>
      <w:r w:rsidRPr="00C16F11">
        <w:rPr>
          <w:rFonts w:ascii="Arial" w:eastAsia="Times New Roman" w:hAnsi="Arial" w:cs="Arial"/>
          <w:sz w:val="20"/>
          <w:szCs w:val="20"/>
          <w:lang w:eastAsia="fr-FR"/>
        </w:rPr>
        <w:t xml:space="preserve"> the Judicial Training Centre has incorporated components on cybercrime and e-evidence into its training programs. </w:t>
      </w:r>
    </w:p>
    <w:p w14:paraId="49D9A598" w14:textId="77777777" w:rsidR="008E74B8" w:rsidRPr="00A15DB9" w:rsidRDefault="008E74B8" w:rsidP="00276F42">
      <w:pPr>
        <w:pStyle w:val="ListParagraph"/>
        <w:ind w:left="928"/>
        <w:rPr>
          <w:rFonts w:ascii="Arial" w:hAnsi="Arial" w:cs="Arial"/>
          <w:i/>
          <w:iCs/>
          <w:sz w:val="20"/>
          <w:szCs w:val="20"/>
          <w:u w:val="single"/>
        </w:rPr>
      </w:pPr>
    </w:p>
    <w:p w14:paraId="3DB29D73" w14:textId="77777777" w:rsidR="008E74B8" w:rsidRPr="00F456DB" w:rsidRDefault="008E74B8" w:rsidP="00276F42">
      <w:pPr>
        <w:numPr>
          <w:ilvl w:val="0"/>
          <w:numId w:val="4"/>
        </w:numPr>
        <w:ind w:left="0" w:firstLine="0"/>
        <w:rPr>
          <w:rFonts w:cs="Arial"/>
          <w:bCs/>
          <w:i/>
          <w:iCs/>
          <w:szCs w:val="20"/>
        </w:rPr>
      </w:pPr>
      <w:r w:rsidRPr="00A15DB9">
        <w:rPr>
          <w:rFonts w:eastAsia="Times New Roman" w:cs="Arial"/>
          <w:bCs/>
          <w:i/>
          <w:iCs/>
          <w:szCs w:val="20"/>
          <w:u w:val="single"/>
          <w:lang w:eastAsia="fr-FR"/>
        </w:rPr>
        <w:t>Beneficiary-specific co-operation</w:t>
      </w:r>
      <w:r>
        <w:rPr>
          <w:rFonts w:eastAsia="Times New Roman" w:cs="Arial"/>
          <w:bCs/>
          <w:i/>
          <w:iCs/>
          <w:szCs w:val="20"/>
          <w:u w:val="single"/>
          <w:lang w:eastAsia="fr-FR"/>
        </w:rPr>
        <w:t xml:space="preserve"> </w:t>
      </w:r>
      <w:r w:rsidRPr="00A15DB9">
        <w:rPr>
          <w:rFonts w:eastAsia="Times New Roman" w:cs="Arial"/>
          <w:bCs/>
          <w:i/>
          <w:iCs/>
          <w:szCs w:val="20"/>
          <w:u w:val="single"/>
          <w:lang w:eastAsia="fr-FR"/>
        </w:rPr>
        <w:t>in Türkiye</w:t>
      </w:r>
    </w:p>
    <w:p w14:paraId="5A550BA3" w14:textId="77777777" w:rsidR="00F456DB" w:rsidRPr="00A15DB9" w:rsidRDefault="00F456DB" w:rsidP="00F456DB">
      <w:pPr>
        <w:rPr>
          <w:rFonts w:cs="Arial"/>
          <w:bCs/>
          <w:i/>
          <w:iCs/>
          <w:szCs w:val="20"/>
        </w:rPr>
      </w:pPr>
    </w:p>
    <w:p w14:paraId="6A5EC063" w14:textId="50077C51" w:rsidR="00F456DB" w:rsidRDefault="008E74B8" w:rsidP="00276F42">
      <w:pPr>
        <w:rPr>
          <w:rFonts w:eastAsia="Times New Roman" w:cs="Arial"/>
          <w:szCs w:val="20"/>
          <w:lang w:eastAsia="fr-FR"/>
        </w:rPr>
      </w:pPr>
      <w:r w:rsidRPr="00C423CA">
        <w:rPr>
          <w:rFonts w:eastAsia="Times New Roman" w:cs="Arial"/>
          <w:b/>
          <w:bCs/>
          <w:szCs w:val="20"/>
          <w:lang w:eastAsia="fr-FR"/>
        </w:rPr>
        <w:t>Türkiye</w:t>
      </w:r>
      <w:r w:rsidRPr="00A15DB9">
        <w:rPr>
          <w:rFonts w:eastAsia="Times New Roman" w:cs="Arial"/>
          <w:szCs w:val="20"/>
          <w:lang w:eastAsia="fr-FR"/>
        </w:rPr>
        <w:t xml:space="preserve"> has traditionally been the biggest single recipient of Joint Programmes co</w:t>
      </w:r>
      <w:r>
        <w:rPr>
          <w:rFonts w:eastAsia="Times New Roman" w:cs="Arial"/>
          <w:szCs w:val="20"/>
          <w:lang w:eastAsia="fr-FR"/>
        </w:rPr>
        <w:t>-o</w:t>
      </w:r>
      <w:r w:rsidRPr="00A15DB9">
        <w:rPr>
          <w:rFonts w:eastAsia="Times New Roman" w:cs="Arial"/>
          <w:szCs w:val="20"/>
          <w:lang w:eastAsia="fr-FR"/>
        </w:rPr>
        <w:t>peration and maintained this position</w:t>
      </w:r>
      <w:r>
        <w:rPr>
          <w:rFonts w:eastAsia="Times New Roman" w:cs="Arial"/>
          <w:szCs w:val="20"/>
          <w:lang w:eastAsia="fr-FR"/>
        </w:rPr>
        <w:t xml:space="preserve"> in 2023</w:t>
      </w:r>
      <w:r w:rsidRPr="00A15DB9">
        <w:rPr>
          <w:rFonts w:eastAsia="Times New Roman" w:cs="Arial"/>
          <w:szCs w:val="20"/>
          <w:lang w:eastAsia="fr-FR"/>
        </w:rPr>
        <w:t xml:space="preserve">, with seven </w:t>
      </w:r>
      <w:r>
        <w:rPr>
          <w:rFonts w:eastAsia="Times New Roman" w:cs="Arial"/>
          <w:szCs w:val="20"/>
          <w:lang w:eastAsia="fr-FR"/>
        </w:rPr>
        <w:t xml:space="preserve">individual </w:t>
      </w:r>
      <w:r w:rsidRPr="00A15DB9">
        <w:rPr>
          <w:rFonts w:eastAsia="Times New Roman" w:cs="Arial"/>
          <w:szCs w:val="20"/>
          <w:lang w:eastAsia="fr-FR"/>
        </w:rPr>
        <w:t>programmes under implementation. More specifically, these include:</w:t>
      </w:r>
      <w:r>
        <w:rPr>
          <w:rFonts w:eastAsia="Times New Roman" w:cs="Arial"/>
          <w:szCs w:val="20"/>
          <w:lang w:eastAsia="fr-FR"/>
        </w:rPr>
        <w:t xml:space="preserve"> </w:t>
      </w:r>
    </w:p>
    <w:p w14:paraId="09D77F5C" w14:textId="77777777" w:rsidR="00F456DB" w:rsidRPr="00A15DB9" w:rsidRDefault="00F456DB" w:rsidP="00276F42">
      <w:pPr>
        <w:rPr>
          <w:rFonts w:eastAsia="Times New Roman" w:cs="Arial"/>
          <w:szCs w:val="20"/>
          <w:lang w:eastAsia="fr-FR"/>
        </w:rPr>
      </w:pPr>
    </w:p>
    <w:p w14:paraId="5ADE2D08" w14:textId="77777777" w:rsidR="008E74B8" w:rsidRDefault="008E74B8" w:rsidP="00276F42">
      <w:pPr>
        <w:pStyle w:val="ListParagraph"/>
        <w:numPr>
          <w:ilvl w:val="0"/>
          <w:numId w:val="5"/>
        </w:numPr>
        <w:rPr>
          <w:rFonts w:ascii="Arial" w:eastAsia="Times New Roman" w:hAnsi="Arial" w:cs="Arial"/>
          <w:sz w:val="20"/>
          <w:szCs w:val="20"/>
          <w:lang w:eastAsia="fr-FR"/>
        </w:rPr>
      </w:pPr>
      <w:r w:rsidRPr="00A15DB9">
        <w:rPr>
          <w:rFonts w:ascii="Arial" w:eastAsia="Times New Roman" w:hAnsi="Arial" w:cs="Arial"/>
          <w:sz w:val="20"/>
          <w:szCs w:val="20"/>
          <w:lang w:eastAsia="fr-FR"/>
        </w:rPr>
        <w:t>three Joint Programmes launched in 2018/2019 - in the field of criminal justice (total €5 million), administrative judiciary</w:t>
      </w:r>
      <w:r>
        <w:rPr>
          <w:rFonts w:ascii="Arial" w:eastAsia="Times New Roman" w:hAnsi="Arial" w:cs="Arial"/>
          <w:sz w:val="20"/>
          <w:szCs w:val="20"/>
          <w:lang w:eastAsia="fr-FR"/>
        </w:rPr>
        <w:t xml:space="preserve"> </w:t>
      </w:r>
      <w:r w:rsidRPr="00A15DB9">
        <w:rPr>
          <w:rFonts w:ascii="Arial" w:eastAsia="Times New Roman" w:hAnsi="Arial" w:cs="Arial"/>
          <w:sz w:val="20"/>
          <w:szCs w:val="20"/>
          <w:lang w:eastAsia="fr-FR"/>
        </w:rPr>
        <w:t>(total €3.3 million)), and</w:t>
      </w:r>
      <w:r>
        <w:rPr>
          <w:rFonts w:ascii="Arial" w:eastAsia="Times New Roman" w:hAnsi="Arial" w:cs="Arial"/>
          <w:sz w:val="20"/>
          <w:szCs w:val="20"/>
          <w:lang w:eastAsia="fr-FR"/>
        </w:rPr>
        <w:t xml:space="preserve"> on</w:t>
      </w:r>
      <w:r w:rsidRPr="00A15DB9">
        <w:rPr>
          <w:rFonts w:ascii="Arial" w:eastAsia="Times New Roman" w:hAnsi="Arial" w:cs="Arial"/>
          <w:sz w:val="20"/>
          <w:szCs w:val="20"/>
          <w:lang w:eastAsia="fr-FR"/>
        </w:rPr>
        <w:t xml:space="preserve"> the Court of Cassation (total €3 million). All three programmes were completed </w:t>
      </w:r>
      <w:r>
        <w:rPr>
          <w:rFonts w:ascii="Arial" w:eastAsia="Times New Roman" w:hAnsi="Arial" w:cs="Arial"/>
          <w:sz w:val="20"/>
          <w:szCs w:val="20"/>
          <w:lang w:eastAsia="fr-FR"/>
        </w:rPr>
        <w:t xml:space="preserve">in </w:t>
      </w:r>
      <w:r w:rsidRPr="00A15DB9">
        <w:rPr>
          <w:rFonts w:ascii="Arial" w:eastAsia="Times New Roman" w:hAnsi="Arial" w:cs="Arial"/>
          <w:sz w:val="20"/>
          <w:szCs w:val="20"/>
          <w:lang w:eastAsia="fr-FR"/>
        </w:rPr>
        <w:t>2023</w:t>
      </w:r>
      <w:r>
        <w:rPr>
          <w:rFonts w:ascii="Arial" w:eastAsia="Times New Roman" w:hAnsi="Arial" w:cs="Arial"/>
          <w:sz w:val="20"/>
          <w:szCs w:val="20"/>
          <w:lang w:eastAsia="fr-FR"/>
        </w:rPr>
        <w:t xml:space="preserve">; </w:t>
      </w:r>
    </w:p>
    <w:p w14:paraId="780EF67F" w14:textId="77777777" w:rsidR="00F456DB" w:rsidRDefault="00F456DB" w:rsidP="00F456DB">
      <w:pPr>
        <w:pStyle w:val="ListParagraph"/>
        <w:rPr>
          <w:rFonts w:ascii="Arial" w:eastAsia="Times New Roman" w:hAnsi="Arial" w:cs="Arial"/>
          <w:sz w:val="20"/>
          <w:szCs w:val="20"/>
          <w:lang w:eastAsia="fr-FR"/>
        </w:rPr>
      </w:pPr>
    </w:p>
    <w:p w14:paraId="18726CB7" w14:textId="77777777" w:rsidR="008E74B8" w:rsidRDefault="008E74B8" w:rsidP="00276F42">
      <w:pPr>
        <w:pStyle w:val="ListParagraph"/>
        <w:numPr>
          <w:ilvl w:val="0"/>
          <w:numId w:val="5"/>
        </w:numPr>
        <w:rPr>
          <w:rFonts w:ascii="Arial" w:eastAsia="Times New Roman" w:hAnsi="Arial" w:cs="Arial"/>
          <w:sz w:val="20"/>
          <w:szCs w:val="20"/>
          <w:lang w:eastAsia="fr-FR"/>
        </w:rPr>
      </w:pPr>
      <w:r w:rsidRPr="00A15DB9">
        <w:rPr>
          <w:rFonts w:ascii="Arial" w:eastAsia="Times New Roman" w:hAnsi="Arial" w:cs="Arial"/>
          <w:sz w:val="20"/>
          <w:szCs w:val="20"/>
          <w:lang w:eastAsia="fr-FR"/>
        </w:rPr>
        <w:t>four Joint Programmes launched in 2020/2021 – on international cooperation in criminal matters (total €3 million), on alternative dispute resolution methods (total €4 million), on family courts (total €2.2 million) and on the implementation of Turkish Constitutional Court judgments in the field of fundamental rights (total €5.5 million).</w:t>
      </w:r>
    </w:p>
    <w:p w14:paraId="0FF3AD3C" w14:textId="77777777" w:rsidR="00F456DB" w:rsidRPr="00A15DB9" w:rsidRDefault="00F456DB" w:rsidP="00F456DB">
      <w:pPr>
        <w:pStyle w:val="ListParagraph"/>
        <w:rPr>
          <w:rFonts w:ascii="Arial" w:eastAsia="Times New Roman" w:hAnsi="Arial" w:cs="Arial"/>
          <w:sz w:val="20"/>
          <w:szCs w:val="20"/>
          <w:lang w:eastAsia="fr-FR"/>
        </w:rPr>
      </w:pPr>
    </w:p>
    <w:p w14:paraId="2C8F16FB" w14:textId="087159C1" w:rsidR="00F456DB" w:rsidRDefault="008E74B8" w:rsidP="00276F42">
      <w:pPr>
        <w:rPr>
          <w:rFonts w:eastAsia="Times New Roman" w:cs="Arial"/>
          <w:szCs w:val="20"/>
          <w:lang w:eastAsia="fr-FR"/>
        </w:rPr>
      </w:pPr>
      <w:r w:rsidRPr="00A15DB9">
        <w:rPr>
          <w:rFonts w:eastAsia="Times New Roman" w:cs="Arial"/>
          <w:szCs w:val="20"/>
          <w:lang w:eastAsia="fr-FR"/>
        </w:rPr>
        <w:t>Some of the noteworthy results of these programmes</w:t>
      </w:r>
      <w:r>
        <w:rPr>
          <w:rFonts w:eastAsia="Times New Roman" w:cs="Arial"/>
          <w:szCs w:val="20"/>
          <w:lang w:eastAsia="fr-FR"/>
        </w:rPr>
        <w:t xml:space="preserve"> </w:t>
      </w:r>
      <w:r w:rsidRPr="00A15DB9">
        <w:rPr>
          <w:rFonts w:eastAsia="Times New Roman" w:cs="Arial"/>
          <w:szCs w:val="20"/>
          <w:lang w:eastAsia="fr-FR"/>
        </w:rPr>
        <w:t xml:space="preserve">are as follows: </w:t>
      </w:r>
    </w:p>
    <w:p w14:paraId="5BAA4C62" w14:textId="77777777" w:rsidR="00F456DB" w:rsidRPr="00A15DB9" w:rsidRDefault="00F456DB" w:rsidP="00276F42">
      <w:pPr>
        <w:rPr>
          <w:rFonts w:eastAsia="Times New Roman" w:cs="Arial"/>
          <w:szCs w:val="20"/>
          <w:lang w:eastAsia="fr-FR"/>
        </w:rPr>
      </w:pPr>
    </w:p>
    <w:p w14:paraId="30D9EAAC" w14:textId="77777777" w:rsidR="008E74B8" w:rsidRDefault="008E74B8" w:rsidP="00276F42">
      <w:pPr>
        <w:pStyle w:val="ListParagraph"/>
        <w:numPr>
          <w:ilvl w:val="0"/>
          <w:numId w:val="36"/>
        </w:numPr>
        <w:ind w:left="1134"/>
        <w:rPr>
          <w:rFonts w:ascii="Arial" w:eastAsia="Times New Roman" w:hAnsi="Arial" w:cs="Arial"/>
          <w:sz w:val="20"/>
          <w:szCs w:val="20"/>
          <w:lang w:eastAsia="fr-FR"/>
        </w:rPr>
      </w:pPr>
      <w:r w:rsidRPr="00A15DB9">
        <w:rPr>
          <w:rFonts w:ascii="Arial" w:eastAsia="Times New Roman" w:hAnsi="Arial" w:cs="Arial"/>
          <w:sz w:val="20"/>
          <w:szCs w:val="20"/>
          <w:lang w:eastAsia="fr-FR"/>
        </w:rPr>
        <w:t xml:space="preserve">The authorities were provided with recommendations on improving </w:t>
      </w:r>
      <w:r>
        <w:rPr>
          <w:rFonts w:ascii="Arial" w:eastAsia="Times New Roman" w:hAnsi="Arial" w:cs="Arial"/>
          <w:sz w:val="20"/>
          <w:szCs w:val="20"/>
          <w:lang w:eastAsia="fr-FR"/>
        </w:rPr>
        <w:t xml:space="preserve">the </w:t>
      </w:r>
      <w:r w:rsidRPr="00A15DB9">
        <w:rPr>
          <w:rFonts w:ascii="Arial" w:eastAsia="Times New Roman" w:hAnsi="Arial" w:cs="Arial"/>
          <w:sz w:val="20"/>
          <w:szCs w:val="20"/>
          <w:lang w:eastAsia="fr-FR"/>
        </w:rPr>
        <w:t>effectiveness in divorce procedures and the framework of alimony and compensation determination by family courts</w:t>
      </w:r>
      <w:r>
        <w:rPr>
          <w:rFonts w:ascii="Arial" w:eastAsia="Times New Roman" w:hAnsi="Arial" w:cs="Arial"/>
          <w:sz w:val="20"/>
          <w:szCs w:val="20"/>
          <w:lang w:eastAsia="fr-FR"/>
        </w:rPr>
        <w:t>.</w:t>
      </w:r>
    </w:p>
    <w:p w14:paraId="721AE826" w14:textId="77777777" w:rsidR="00F456DB" w:rsidRPr="00A15DB9" w:rsidRDefault="00F456DB" w:rsidP="00F456DB">
      <w:pPr>
        <w:pStyle w:val="ListParagraph"/>
        <w:ind w:left="1134"/>
        <w:rPr>
          <w:rFonts w:ascii="Arial" w:eastAsia="Times New Roman" w:hAnsi="Arial" w:cs="Arial"/>
          <w:sz w:val="20"/>
          <w:szCs w:val="20"/>
          <w:lang w:eastAsia="fr-FR"/>
        </w:rPr>
      </w:pPr>
    </w:p>
    <w:p w14:paraId="330C9357" w14:textId="77777777" w:rsidR="008E74B8" w:rsidRDefault="008E74B8" w:rsidP="00276F42">
      <w:pPr>
        <w:pStyle w:val="ListParagraph"/>
        <w:numPr>
          <w:ilvl w:val="0"/>
          <w:numId w:val="36"/>
        </w:numPr>
        <w:ind w:left="1134"/>
        <w:rPr>
          <w:rFonts w:ascii="Arial" w:hAnsi="Arial" w:cs="Arial"/>
          <w:sz w:val="20"/>
          <w:szCs w:val="20"/>
          <w:lang w:eastAsia="fr-FR"/>
        </w:rPr>
      </w:pPr>
      <w:r w:rsidRPr="00A15DB9">
        <w:rPr>
          <w:rFonts w:ascii="Arial" w:hAnsi="Arial" w:cs="Arial"/>
          <w:sz w:val="20"/>
          <w:szCs w:val="20"/>
          <w:lang w:eastAsia="fr-FR"/>
        </w:rPr>
        <w:t>Under the impulse of the support provided, the total number of cybercrime prosecution offices increased to 149 within Türkiye.</w:t>
      </w:r>
    </w:p>
    <w:p w14:paraId="43E56DE3" w14:textId="77777777" w:rsidR="00F456DB" w:rsidRPr="00A15DB9" w:rsidRDefault="00F456DB" w:rsidP="00F456DB">
      <w:pPr>
        <w:pStyle w:val="ListParagraph"/>
        <w:ind w:left="1134"/>
        <w:rPr>
          <w:rFonts w:ascii="Arial" w:hAnsi="Arial" w:cs="Arial"/>
          <w:sz w:val="20"/>
          <w:szCs w:val="20"/>
          <w:lang w:eastAsia="fr-FR"/>
        </w:rPr>
      </w:pPr>
    </w:p>
    <w:p w14:paraId="047D35B1" w14:textId="77777777" w:rsidR="008E74B8" w:rsidRDefault="008E74B8" w:rsidP="00276F42">
      <w:pPr>
        <w:pStyle w:val="ListParagraph"/>
        <w:numPr>
          <w:ilvl w:val="0"/>
          <w:numId w:val="36"/>
        </w:numPr>
        <w:ind w:left="1134"/>
        <w:rPr>
          <w:rFonts w:ascii="Arial" w:eastAsia="Times New Roman" w:hAnsi="Arial" w:cs="Arial"/>
          <w:sz w:val="20"/>
          <w:szCs w:val="20"/>
          <w:lang w:eastAsia="fr-FR"/>
        </w:rPr>
      </w:pPr>
      <w:r>
        <w:rPr>
          <w:rFonts w:ascii="Arial" w:eastAsia="Times New Roman" w:hAnsi="Arial" w:cs="Arial"/>
          <w:sz w:val="20"/>
          <w:szCs w:val="20"/>
          <w:lang w:eastAsia="fr-FR"/>
        </w:rPr>
        <w:t>52</w:t>
      </w:r>
      <w:r w:rsidRPr="00A15DB9">
        <w:rPr>
          <w:rFonts w:ascii="Arial" w:eastAsia="Times New Roman" w:hAnsi="Arial" w:cs="Arial"/>
          <w:sz w:val="20"/>
          <w:szCs w:val="20"/>
          <w:lang w:eastAsia="fr-FR"/>
        </w:rPr>
        <w:t xml:space="preserve"> trainer</w:t>
      </w:r>
      <w:r>
        <w:rPr>
          <w:rFonts w:ascii="Arial" w:eastAsia="Times New Roman" w:hAnsi="Arial" w:cs="Arial"/>
          <w:sz w:val="20"/>
          <w:szCs w:val="20"/>
          <w:lang w:eastAsia="fr-FR"/>
        </w:rPr>
        <w:t xml:space="preserve"> -</w:t>
      </w:r>
      <w:r w:rsidRPr="00A15DB9">
        <w:rPr>
          <w:rFonts w:ascii="Arial" w:eastAsia="Times New Roman" w:hAnsi="Arial" w:cs="Arial"/>
          <w:sz w:val="20"/>
          <w:szCs w:val="20"/>
          <w:lang w:eastAsia="fr-FR"/>
        </w:rPr>
        <w:t xml:space="preserve"> lawyers from 13 provinces across Türkiye and rapporteurs of the Turkish Constitutional Court bolstered their knowledge on the use of the methodology for continuous training on the execution of the Turkish Constitutional Court judgments. Nineteen rapporteurs have benefitted from a placement at the Council of Europe (Department for the Execution of Judgments of the ECtHR) and the European Court. </w:t>
      </w:r>
    </w:p>
    <w:p w14:paraId="73CE5B95" w14:textId="77777777" w:rsidR="00F456DB" w:rsidRPr="00A15DB9" w:rsidRDefault="00F456DB" w:rsidP="00F456DB">
      <w:pPr>
        <w:pStyle w:val="ListParagraph"/>
        <w:ind w:left="1134"/>
        <w:rPr>
          <w:rFonts w:ascii="Arial" w:eastAsia="Times New Roman" w:hAnsi="Arial" w:cs="Arial"/>
          <w:sz w:val="20"/>
          <w:szCs w:val="20"/>
          <w:lang w:eastAsia="fr-FR"/>
        </w:rPr>
      </w:pPr>
    </w:p>
    <w:p w14:paraId="52818CE9" w14:textId="77777777" w:rsidR="008E74B8" w:rsidRDefault="008E74B8" w:rsidP="00276F42">
      <w:pPr>
        <w:pStyle w:val="ListParagraph"/>
        <w:numPr>
          <w:ilvl w:val="0"/>
          <w:numId w:val="36"/>
        </w:numPr>
        <w:ind w:left="1134"/>
        <w:rPr>
          <w:rFonts w:ascii="Arial" w:eastAsia="Times New Roman" w:hAnsi="Arial" w:cs="Arial"/>
          <w:sz w:val="20"/>
          <w:szCs w:val="20"/>
          <w:lang w:eastAsia="fr-FR"/>
        </w:rPr>
      </w:pPr>
      <w:r w:rsidRPr="00A15DB9">
        <w:rPr>
          <w:rFonts w:ascii="Arial" w:eastAsia="Times New Roman" w:hAnsi="Arial" w:cs="Arial"/>
          <w:sz w:val="20"/>
          <w:szCs w:val="20"/>
          <w:lang w:eastAsia="fr-FR"/>
        </w:rPr>
        <w:t>A brand-new e-library system became operational in the Justice Academy of Türkiye in 2023.</w:t>
      </w:r>
    </w:p>
    <w:p w14:paraId="5F7EF25A" w14:textId="77777777" w:rsidR="00F456DB" w:rsidRDefault="00F456DB" w:rsidP="00F456DB">
      <w:pPr>
        <w:pStyle w:val="ListParagraph"/>
        <w:ind w:left="1134"/>
        <w:rPr>
          <w:rFonts w:ascii="Arial" w:eastAsia="Times New Roman" w:hAnsi="Arial" w:cs="Arial"/>
          <w:sz w:val="20"/>
          <w:szCs w:val="20"/>
          <w:lang w:eastAsia="fr-FR"/>
        </w:rPr>
      </w:pPr>
    </w:p>
    <w:p w14:paraId="21619030" w14:textId="36E55090" w:rsidR="00F456DB" w:rsidRDefault="00F456DB">
      <w:pPr>
        <w:rPr>
          <w:rFonts w:eastAsia="Times New Roman" w:cs="Arial"/>
          <w:szCs w:val="20"/>
          <w:lang w:eastAsia="fr-FR"/>
        </w:rPr>
      </w:pPr>
      <w:r>
        <w:rPr>
          <w:rFonts w:eastAsia="Times New Roman" w:cs="Arial"/>
          <w:szCs w:val="20"/>
          <w:lang w:eastAsia="fr-FR"/>
        </w:rPr>
        <w:br w:type="page"/>
      </w:r>
    </w:p>
    <w:p w14:paraId="165076F6" w14:textId="77777777" w:rsidR="00F456DB" w:rsidRDefault="00F456DB" w:rsidP="00F456DB">
      <w:pPr>
        <w:pStyle w:val="ListParagraph"/>
        <w:ind w:left="1134"/>
        <w:rPr>
          <w:rFonts w:ascii="Arial" w:eastAsia="Times New Roman" w:hAnsi="Arial" w:cs="Arial"/>
          <w:sz w:val="20"/>
          <w:szCs w:val="20"/>
          <w:lang w:eastAsia="fr-FR"/>
        </w:rPr>
      </w:pPr>
    </w:p>
    <w:p w14:paraId="4F0796AB" w14:textId="77777777" w:rsidR="008E74B8" w:rsidRDefault="008E74B8" w:rsidP="00276F42">
      <w:pPr>
        <w:pStyle w:val="ListParagraph"/>
        <w:numPr>
          <w:ilvl w:val="0"/>
          <w:numId w:val="36"/>
        </w:numPr>
        <w:ind w:left="1134"/>
        <w:rPr>
          <w:rFonts w:ascii="Arial" w:eastAsia="Times New Roman" w:hAnsi="Arial" w:cs="Arial"/>
          <w:sz w:val="20"/>
          <w:szCs w:val="20"/>
          <w:lang w:eastAsia="fr-FR"/>
        </w:rPr>
      </w:pPr>
      <w:r w:rsidRPr="00A15DB9">
        <w:rPr>
          <w:rFonts w:ascii="Arial" w:eastAsia="Times New Roman" w:hAnsi="Arial" w:cs="Arial"/>
          <w:sz w:val="20"/>
          <w:szCs w:val="20"/>
          <w:lang w:eastAsia="fr-FR"/>
        </w:rPr>
        <w:t>134 judges and prosecutors enhanced their knowledge on reasoning in criminal judgments and the right to liberty and security.</w:t>
      </w:r>
    </w:p>
    <w:p w14:paraId="4FDBAEFE" w14:textId="77777777" w:rsidR="00F456DB" w:rsidRDefault="00F456DB" w:rsidP="00F456DB">
      <w:pPr>
        <w:pStyle w:val="ListParagraph"/>
        <w:ind w:left="1134"/>
        <w:rPr>
          <w:rFonts w:ascii="Arial" w:eastAsia="Times New Roman" w:hAnsi="Arial" w:cs="Arial"/>
          <w:sz w:val="20"/>
          <w:szCs w:val="20"/>
          <w:lang w:eastAsia="fr-FR"/>
        </w:rPr>
      </w:pPr>
    </w:p>
    <w:p w14:paraId="712BF7A8" w14:textId="77777777" w:rsidR="008E74B8" w:rsidRDefault="008E74B8" w:rsidP="00276F42">
      <w:pPr>
        <w:pStyle w:val="ListParagraph"/>
        <w:numPr>
          <w:ilvl w:val="0"/>
          <w:numId w:val="36"/>
        </w:numPr>
        <w:ind w:left="1134"/>
        <w:rPr>
          <w:rFonts w:ascii="Arial" w:eastAsia="Times New Roman" w:hAnsi="Arial" w:cs="Arial"/>
          <w:sz w:val="20"/>
          <w:szCs w:val="20"/>
          <w:lang w:eastAsia="fr-FR"/>
        </w:rPr>
      </w:pPr>
      <w:r w:rsidRPr="00A15DB9">
        <w:rPr>
          <w:rFonts w:ascii="Arial" w:eastAsia="Times New Roman" w:hAnsi="Arial" w:cs="Arial"/>
          <w:sz w:val="20"/>
          <w:szCs w:val="20"/>
          <w:lang w:eastAsia="fr-FR"/>
        </w:rPr>
        <w:t>300 mediators from all over Türkiye built their capacities concerning the elimination of joint ownership in shared properties, co-ownership and shared ownership, the formation of parties, enforceability statements, and report preparation practices.</w:t>
      </w:r>
    </w:p>
    <w:p w14:paraId="3EDC3A1D" w14:textId="77777777" w:rsidR="00F456DB" w:rsidRPr="00A15DB9" w:rsidRDefault="00F456DB" w:rsidP="00F456DB">
      <w:pPr>
        <w:pStyle w:val="ListParagraph"/>
        <w:ind w:left="1134"/>
        <w:rPr>
          <w:rFonts w:ascii="Arial" w:eastAsia="Times New Roman" w:hAnsi="Arial" w:cs="Arial"/>
          <w:sz w:val="20"/>
          <w:szCs w:val="20"/>
          <w:lang w:eastAsia="fr-FR"/>
        </w:rPr>
      </w:pPr>
    </w:p>
    <w:p w14:paraId="3EC8EA8F" w14:textId="77777777" w:rsidR="008E74B8" w:rsidRPr="00A15DB9" w:rsidRDefault="008E74B8" w:rsidP="00276F42">
      <w:pPr>
        <w:pStyle w:val="ListParagraph"/>
        <w:numPr>
          <w:ilvl w:val="0"/>
          <w:numId w:val="36"/>
        </w:numPr>
        <w:ind w:left="1134"/>
        <w:rPr>
          <w:rFonts w:ascii="Arial" w:eastAsia="Times New Roman" w:hAnsi="Arial" w:cs="Arial"/>
          <w:sz w:val="20"/>
          <w:szCs w:val="20"/>
          <w:lang w:eastAsia="fr-FR"/>
        </w:rPr>
      </w:pPr>
      <w:r>
        <w:rPr>
          <w:rFonts w:ascii="Arial" w:eastAsia="Times New Roman" w:hAnsi="Arial" w:cs="Arial"/>
          <w:sz w:val="20"/>
          <w:szCs w:val="20"/>
          <w:lang w:eastAsia="fr-FR"/>
        </w:rPr>
        <w:t>26</w:t>
      </w:r>
      <w:r w:rsidRPr="00A15DB9">
        <w:rPr>
          <w:rFonts w:ascii="Arial" w:eastAsia="Times New Roman" w:hAnsi="Arial" w:cs="Arial"/>
          <w:sz w:val="20"/>
          <w:szCs w:val="20"/>
          <w:lang w:eastAsia="fr-FR"/>
        </w:rPr>
        <w:t xml:space="preserve"> law enforcement and prosecution representatives from South-East Europe and Türkiye exchanged best practices on the newest intelligence support systems and information knowledge and tools for investigating high-tech crime with more than 1000 delegates of law enforcement, prosecution, intelligence and financial crime services from around the globe.</w:t>
      </w:r>
    </w:p>
    <w:p w14:paraId="3CDB339C" w14:textId="77777777" w:rsidR="008E74B8" w:rsidRPr="00A15DB9" w:rsidRDefault="008E74B8" w:rsidP="00276F42">
      <w:pPr>
        <w:rPr>
          <w:rFonts w:cs="Arial"/>
          <w:bCs/>
          <w:i/>
          <w:iCs/>
          <w:szCs w:val="20"/>
        </w:rPr>
      </w:pPr>
    </w:p>
    <w:p w14:paraId="4057C256" w14:textId="77777777" w:rsidR="008E74B8" w:rsidRPr="00F456DB" w:rsidRDefault="008E74B8" w:rsidP="00276F42">
      <w:pPr>
        <w:numPr>
          <w:ilvl w:val="0"/>
          <w:numId w:val="4"/>
        </w:numPr>
        <w:tabs>
          <w:tab w:val="left" w:pos="709"/>
        </w:tabs>
        <w:ind w:left="0" w:firstLine="0"/>
        <w:rPr>
          <w:rFonts w:eastAsia="Times New Roman" w:cs="Arial"/>
          <w:b/>
          <w:szCs w:val="20"/>
          <w:lang w:eastAsia="fr-FR"/>
        </w:rPr>
      </w:pPr>
      <w:r w:rsidRPr="000254B2">
        <w:rPr>
          <w:rFonts w:eastAsia="Times New Roman" w:cs="Arial"/>
          <w:b/>
          <w:szCs w:val="20"/>
          <w:lang w:eastAsia="fr-FR"/>
        </w:rPr>
        <w:t xml:space="preserve">Technical assistance in EU member States </w:t>
      </w:r>
      <w:r w:rsidRPr="000254B2">
        <w:rPr>
          <w:rFonts w:eastAsia="Times New Roman" w:cs="Arial"/>
          <w:b/>
          <w:bCs/>
          <w:szCs w:val="20"/>
        </w:rPr>
        <w:t>– co-operation with DG REFORM</w:t>
      </w:r>
    </w:p>
    <w:p w14:paraId="3E288C38" w14:textId="77777777" w:rsidR="00F456DB" w:rsidRPr="00A15DB9" w:rsidRDefault="00F456DB" w:rsidP="00F456DB">
      <w:pPr>
        <w:tabs>
          <w:tab w:val="left" w:pos="709"/>
        </w:tabs>
        <w:rPr>
          <w:rFonts w:eastAsia="Times New Roman" w:cs="Arial"/>
          <w:b/>
          <w:szCs w:val="20"/>
          <w:lang w:eastAsia="fr-FR"/>
        </w:rPr>
      </w:pPr>
    </w:p>
    <w:p w14:paraId="27929199" w14:textId="3CE86A02" w:rsidR="00F456DB" w:rsidRDefault="008E74B8" w:rsidP="00F456DB">
      <w:pPr>
        <w:rPr>
          <w:rFonts w:cs="Arial"/>
          <w:szCs w:val="20"/>
        </w:rPr>
      </w:pPr>
      <w:r w:rsidRPr="00A15DB9">
        <w:rPr>
          <w:rFonts w:cs="Arial"/>
          <w:szCs w:val="20"/>
        </w:rPr>
        <w:t>Four</w:t>
      </w:r>
      <w:r w:rsidRPr="000254B2">
        <w:rPr>
          <w:rFonts w:cs="Arial"/>
          <w:szCs w:val="20"/>
        </w:rPr>
        <w:t xml:space="preserve"> framework agreements with DG REFORM</w:t>
      </w:r>
      <w:r>
        <w:rPr>
          <w:rFonts w:cs="Arial"/>
          <w:szCs w:val="20"/>
        </w:rPr>
        <w:t xml:space="preserve">, with an overall budget of </w:t>
      </w:r>
      <w:r w:rsidRPr="0072516B">
        <w:rPr>
          <w:rFonts w:eastAsia="Times New Roman" w:cs="Arial"/>
          <w:szCs w:val="20"/>
          <w:lang w:eastAsia="fr-FR"/>
        </w:rPr>
        <w:t>€</w:t>
      </w:r>
      <w:r>
        <w:rPr>
          <w:rFonts w:cs="Arial"/>
          <w:szCs w:val="20"/>
        </w:rPr>
        <w:t xml:space="preserve">20.9 million, </w:t>
      </w:r>
      <w:r w:rsidRPr="000254B2">
        <w:rPr>
          <w:rFonts w:cs="Arial"/>
          <w:szCs w:val="20"/>
        </w:rPr>
        <w:t xml:space="preserve">were </w:t>
      </w:r>
      <w:r>
        <w:rPr>
          <w:rFonts w:cs="Arial"/>
          <w:szCs w:val="20"/>
        </w:rPr>
        <w:t xml:space="preserve">under implementation </w:t>
      </w:r>
      <w:r w:rsidRPr="000254B2">
        <w:rPr>
          <w:rFonts w:cs="Arial"/>
          <w:szCs w:val="20"/>
        </w:rPr>
        <w:t>in 202</w:t>
      </w:r>
      <w:r>
        <w:rPr>
          <w:rFonts w:cs="Arial"/>
          <w:szCs w:val="20"/>
        </w:rPr>
        <w:t>3</w:t>
      </w:r>
      <w:r w:rsidRPr="000254B2">
        <w:rPr>
          <w:rFonts w:cs="Arial"/>
          <w:szCs w:val="20"/>
        </w:rPr>
        <w:t xml:space="preserve">, encompassing </w:t>
      </w:r>
      <w:r w:rsidRPr="00C423CA">
        <w:rPr>
          <w:rFonts w:cs="Arial"/>
          <w:szCs w:val="20"/>
        </w:rPr>
        <w:t>37</w:t>
      </w:r>
      <w:r w:rsidRPr="000254B2">
        <w:rPr>
          <w:rFonts w:cs="Arial"/>
          <w:szCs w:val="20"/>
        </w:rPr>
        <w:t xml:space="preserve"> country-specific projects </w:t>
      </w:r>
      <w:r>
        <w:rPr>
          <w:rFonts w:cs="Arial"/>
          <w:szCs w:val="20"/>
        </w:rPr>
        <w:t xml:space="preserve">in a number of </w:t>
      </w:r>
      <w:r w:rsidRPr="000254B2">
        <w:rPr>
          <w:rFonts w:cs="Arial"/>
          <w:szCs w:val="20"/>
        </w:rPr>
        <w:t xml:space="preserve"> EU member States (</w:t>
      </w:r>
      <w:r>
        <w:rPr>
          <w:rFonts w:cs="Arial"/>
          <w:szCs w:val="20"/>
        </w:rPr>
        <w:t xml:space="preserve"> in Austria, </w:t>
      </w:r>
      <w:r w:rsidRPr="000254B2">
        <w:rPr>
          <w:rFonts w:cs="Arial"/>
          <w:szCs w:val="20"/>
        </w:rPr>
        <w:t>Bulgaria, Croatia, Cyprus, Czech Republic, Estonia, Finland,</w:t>
      </w:r>
      <w:r>
        <w:rPr>
          <w:rFonts w:cs="Arial"/>
          <w:szCs w:val="20"/>
        </w:rPr>
        <w:t xml:space="preserve"> France,</w:t>
      </w:r>
      <w:r w:rsidRPr="000254B2">
        <w:rPr>
          <w:rFonts w:cs="Arial"/>
          <w:szCs w:val="20"/>
        </w:rPr>
        <w:t xml:space="preserve"> Hungary, Ireland, Italy, Latvia, Lithuania, Malta, Poland, Portugal, Romania, Slovak Republic, Slovenia and Spain) and </w:t>
      </w:r>
      <w:r>
        <w:rPr>
          <w:rFonts w:cs="Arial"/>
          <w:szCs w:val="20"/>
        </w:rPr>
        <w:t>two</w:t>
      </w:r>
      <w:r w:rsidRPr="000254B2">
        <w:rPr>
          <w:rFonts w:cs="Arial"/>
          <w:szCs w:val="20"/>
        </w:rPr>
        <w:t xml:space="preserve"> multi</w:t>
      </w:r>
      <w:r>
        <w:rPr>
          <w:rFonts w:cs="Arial"/>
          <w:szCs w:val="20"/>
        </w:rPr>
        <w:t>-country</w:t>
      </w:r>
      <w:r w:rsidRPr="000254B2">
        <w:rPr>
          <w:rFonts w:cs="Arial"/>
          <w:szCs w:val="20"/>
        </w:rPr>
        <w:t xml:space="preserve"> project</w:t>
      </w:r>
      <w:r>
        <w:rPr>
          <w:rFonts w:cs="Arial"/>
          <w:szCs w:val="20"/>
        </w:rPr>
        <w:t>s</w:t>
      </w:r>
      <w:r w:rsidRPr="000254B2">
        <w:rPr>
          <w:rFonts w:cs="Arial"/>
          <w:szCs w:val="20"/>
        </w:rPr>
        <w:t xml:space="preserve">. The thematic scope of this cooperation covered a wide range of areas of the Council of Europe’s expertise, including the various aspects of judicial reform (modernisation of the judicial system, efficiency of justice, access to justice and others), fight against economic crime, money-laundering and terrorist financing, anti-trafficking and migrants’ integration policies, protection of childhood and child-friendly justice, and local self-governance. </w:t>
      </w:r>
      <w:r w:rsidRPr="00A15DB9">
        <w:rPr>
          <w:rFonts w:cs="Arial"/>
          <w:szCs w:val="20"/>
        </w:rPr>
        <w:t>The 2023 framework agreement was signed in June 2023 under the Technical Support Instrument (TSI) with a budgetary envelope of € 5 million). Additionally, one individual ad hoc project with DG REFORM continued in parallel in 2023 –</w:t>
      </w:r>
      <w:r>
        <w:rPr>
          <w:rFonts w:cs="Arial"/>
          <w:szCs w:val="20"/>
        </w:rPr>
        <w:t xml:space="preserve"> </w:t>
      </w:r>
      <w:r w:rsidRPr="00A15DB9">
        <w:rPr>
          <w:rFonts w:cs="Arial"/>
          <w:szCs w:val="20"/>
        </w:rPr>
        <w:t>in Cyprus</w:t>
      </w:r>
      <w:r>
        <w:rPr>
          <w:rFonts w:cs="Arial"/>
          <w:szCs w:val="20"/>
        </w:rPr>
        <w:t xml:space="preserve"> – focused </w:t>
      </w:r>
      <w:r w:rsidRPr="00A15DB9">
        <w:rPr>
          <w:rFonts w:cs="Arial"/>
          <w:szCs w:val="20"/>
        </w:rPr>
        <w:t>on intercultural integration.</w:t>
      </w:r>
      <w:r w:rsidRPr="000254B2">
        <w:rPr>
          <w:rFonts w:cs="Arial"/>
          <w:szCs w:val="20"/>
        </w:rPr>
        <w:t xml:space="preserve"> </w:t>
      </w:r>
    </w:p>
    <w:p w14:paraId="5EA432DE" w14:textId="77777777" w:rsidR="00F456DB" w:rsidRPr="000254B2" w:rsidRDefault="00F456DB" w:rsidP="00F456DB">
      <w:pPr>
        <w:rPr>
          <w:rFonts w:cs="Arial"/>
          <w:szCs w:val="20"/>
        </w:rPr>
      </w:pPr>
    </w:p>
    <w:p w14:paraId="515CC087" w14:textId="77777777" w:rsidR="008E74B8" w:rsidRDefault="008E74B8" w:rsidP="00F456DB">
      <w:pPr>
        <w:rPr>
          <w:rFonts w:cs="Arial"/>
          <w:szCs w:val="20"/>
          <w:lang w:eastAsia="fr-FR"/>
        </w:rPr>
      </w:pPr>
      <w:r w:rsidRPr="000254B2">
        <w:rPr>
          <w:rFonts w:cs="Arial"/>
          <w:szCs w:val="20"/>
          <w:lang w:eastAsia="fr-FR"/>
        </w:rPr>
        <w:t>A non-exhaustive list of results achieved so far includes:</w:t>
      </w:r>
    </w:p>
    <w:p w14:paraId="7C03ADE5" w14:textId="77777777" w:rsidR="00F456DB" w:rsidRPr="000254B2" w:rsidRDefault="00F456DB" w:rsidP="00F456DB">
      <w:pPr>
        <w:rPr>
          <w:rFonts w:cs="Arial"/>
          <w:szCs w:val="20"/>
          <w:lang w:eastAsia="fr-FR"/>
        </w:rPr>
      </w:pPr>
    </w:p>
    <w:p w14:paraId="6E52CD64" w14:textId="77777777" w:rsidR="008E74B8" w:rsidRPr="000254B2" w:rsidRDefault="008E74B8" w:rsidP="00F456DB">
      <w:pPr>
        <w:pStyle w:val="ListParagraph"/>
        <w:numPr>
          <w:ilvl w:val="0"/>
          <w:numId w:val="13"/>
        </w:numPr>
        <w:contextualSpacing/>
        <w:rPr>
          <w:rFonts w:ascii="Arial" w:hAnsi="Arial" w:cs="Arial"/>
          <w:sz w:val="20"/>
          <w:szCs w:val="20"/>
          <w:lang w:eastAsia="fr-FR"/>
        </w:rPr>
      </w:pPr>
      <w:r w:rsidRPr="000254B2">
        <w:rPr>
          <w:rFonts w:ascii="Arial" w:hAnsi="Arial" w:cs="Arial"/>
          <w:sz w:val="20"/>
          <w:szCs w:val="20"/>
        </w:rPr>
        <w:t>Following the unanimous approval of the Barnahus Law by the National Assembly of Slovenia in April 2021, the Barnahus in Ljubljana has officially opened its doors in May 2022 and foresees to be able to take in 200 cases of child sexual abuse per year. The Barnahus model brings under the same roof all the relevant stakeholders involved in addressing child sexual abuse cases, and thus eliminates the revictimi</w:t>
      </w:r>
      <w:r>
        <w:rPr>
          <w:rFonts w:ascii="Arial" w:hAnsi="Arial" w:cs="Arial"/>
          <w:sz w:val="20"/>
          <w:szCs w:val="20"/>
        </w:rPr>
        <w:t>s</w:t>
      </w:r>
      <w:r w:rsidRPr="000254B2">
        <w:rPr>
          <w:rFonts w:ascii="Arial" w:hAnsi="Arial" w:cs="Arial"/>
          <w:sz w:val="20"/>
          <w:szCs w:val="20"/>
        </w:rPr>
        <w:t>ation, reduces remarkably the duration of pre-trial processes and puts child-friendly justice at the centre of all procedures.</w:t>
      </w:r>
    </w:p>
    <w:p w14:paraId="799E57B5" w14:textId="77777777" w:rsidR="008E74B8" w:rsidRPr="000254B2" w:rsidRDefault="008E74B8" w:rsidP="00F456DB">
      <w:pPr>
        <w:pStyle w:val="ListParagraph"/>
        <w:ind w:left="1080"/>
        <w:rPr>
          <w:rFonts w:ascii="Arial" w:hAnsi="Arial" w:cs="Arial"/>
          <w:sz w:val="20"/>
          <w:szCs w:val="20"/>
          <w:lang w:eastAsia="fr-FR"/>
        </w:rPr>
      </w:pPr>
    </w:p>
    <w:p w14:paraId="4A97A7A0" w14:textId="77777777" w:rsidR="008E74B8" w:rsidRPr="000254B2" w:rsidRDefault="008E74B8" w:rsidP="00F456DB">
      <w:pPr>
        <w:pStyle w:val="ListParagraph"/>
        <w:numPr>
          <w:ilvl w:val="0"/>
          <w:numId w:val="13"/>
        </w:numPr>
        <w:contextualSpacing/>
        <w:rPr>
          <w:rFonts w:ascii="Arial" w:hAnsi="Arial" w:cs="Arial"/>
          <w:sz w:val="20"/>
          <w:szCs w:val="20"/>
          <w:lang w:eastAsia="en-GB"/>
        </w:rPr>
      </w:pPr>
      <w:r w:rsidRPr="000254B2">
        <w:rPr>
          <w:rFonts w:ascii="Arial" w:hAnsi="Arial" w:cs="Arial"/>
          <w:sz w:val="20"/>
          <w:szCs w:val="20"/>
        </w:rPr>
        <w:t>With support and advice of the Council of Europe the Bulgarian authorities adopted the action plan to mitigate money laundering and terrorist financing (ML/TF) risks identified in the National Risk Assessment (NRA) conducted pursuant</w:t>
      </w:r>
      <w:r>
        <w:rPr>
          <w:rFonts w:ascii="Arial" w:hAnsi="Arial" w:cs="Arial"/>
          <w:sz w:val="20"/>
          <w:szCs w:val="20"/>
        </w:rPr>
        <w:t xml:space="preserve"> </w:t>
      </w:r>
      <w:r w:rsidRPr="000254B2">
        <w:rPr>
          <w:rFonts w:ascii="Arial" w:hAnsi="Arial" w:cs="Arial"/>
          <w:sz w:val="20"/>
          <w:szCs w:val="20"/>
        </w:rPr>
        <w:t>to the Council of Europe NRA Methodology. The action plan contains legislative, regulatory, institutional and operational measures aimed at improving the effectiveness of preventing, detecting and combating ML/TF in Bulgaria. The project further launched the sectorial ML/TF risk assessments for virtual assets service providers (VASPs) pursuant to the methodology developed by the Council of Europe.</w:t>
      </w:r>
    </w:p>
    <w:p w14:paraId="37067C1E" w14:textId="77777777" w:rsidR="008E74B8" w:rsidRPr="00783A5E" w:rsidRDefault="008E74B8" w:rsidP="00F456DB">
      <w:pPr>
        <w:pStyle w:val="ListParagraph"/>
        <w:shd w:val="clear" w:color="auto" w:fill="FFFFFF"/>
        <w:ind w:left="1080"/>
        <w:contextualSpacing/>
        <w:rPr>
          <w:rFonts w:ascii="Arial" w:hAnsi="Arial" w:cs="Arial"/>
          <w:sz w:val="20"/>
          <w:szCs w:val="20"/>
          <w:lang w:val="en-US" w:eastAsia="fr-FR"/>
        </w:rPr>
      </w:pPr>
    </w:p>
    <w:p w14:paraId="0ED46052" w14:textId="77777777" w:rsidR="008E74B8" w:rsidRPr="00BF19DA" w:rsidRDefault="008E74B8" w:rsidP="00F456DB">
      <w:pPr>
        <w:numPr>
          <w:ilvl w:val="0"/>
          <w:numId w:val="13"/>
        </w:numPr>
        <w:shd w:val="clear" w:color="auto" w:fill="FFFFFF"/>
        <w:contextualSpacing/>
        <w:rPr>
          <w:rFonts w:cs="Arial"/>
          <w:szCs w:val="20"/>
          <w:lang w:val="en-US" w:eastAsia="fr-FR"/>
        </w:rPr>
      </w:pPr>
      <w:r w:rsidRPr="00BF19DA">
        <w:rPr>
          <w:rFonts w:cs="Arial"/>
          <w:szCs w:val="20"/>
          <w:lang w:eastAsia="fr-FR"/>
        </w:rPr>
        <w:t>In order to address Slovakia’s problems of providing the same range and standard of services to citizens despite enormous differences in local authorities’ capacities (Slovakia has a highly fragmented local government with just under 3000 municipalities), the Council of Europe provided policy advice which empowered</w:t>
      </w:r>
      <w:r w:rsidRPr="00BF19DA">
        <w:rPr>
          <w:rStyle w:val="CommentReference"/>
        </w:rPr>
        <w:t xml:space="preserve"> </w:t>
      </w:r>
      <w:r w:rsidRPr="00BF19DA">
        <w:rPr>
          <w:rFonts w:cs="Arial"/>
          <w:szCs w:val="20"/>
          <w:lang w:eastAsia="fr-FR"/>
        </w:rPr>
        <w:t xml:space="preserve">the authorities in preparing a comprehensive set of reform policies. </w:t>
      </w:r>
    </w:p>
    <w:p w14:paraId="047FDFF7" w14:textId="77777777" w:rsidR="008E74B8" w:rsidRPr="00BF19DA" w:rsidRDefault="008E74B8" w:rsidP="00F456DB">
      <w:pPr>
        <w:shd w:val="clear" w:color="auto" w:fill="FFFFFF"/>
        <w:contextualSpacing/>
        <w:rPr>
          <w:rFonts w:cs="Arial"/>
          <w:szCs w:val="20"/>
          <w:lang w:val="en-US" w:eastAsia="fr-FR"/>
        </w:rPr>
      </w:pPr>
    </w:p>
    <w:p w14:paraId="38BFC6B8" w14:textId="77777777" w:rsidR="008E74B8" w:rsidRPr="00BF19DA" w:rsidRDefault="008E74B8" w:rsidP="00F456DB">
      <w:pPr>
        <w:numPr>
          <w:ilvl w:val="0"/>
          <w:numId w:val="13"/>
        </w:numPr>
        <w:shd w:val="clear" w:color="auto" w:fill="FFFFFF"/>
        <w:contextualSpacing/>
        <w:rPr>
          <w:rFonts w:cs="Arial"/>
          <w:szCs w:val="20"/>
          <w:lang w:val="en-US"/>
        </w:rPr>
      </w:pPr>
      <w:r w:rsidRPr="00BF19DA">
        <w:rPr>
          <w:rFonts w:cs="Arial"/>
          <w:szCs w:val="20"/>
          <w:lang w:val="en-US"/>
        </w:rPr>
        <w:t xml:space="preserve">In Cyprus, the Project on the Implementation of the National Horizontal Action Plan Against Corruption enabled effective implementation and monitoring of anti-corruption actions by developing a Guidance paper on a methodology for evaluating and monitoring the implementation of anti-corruption actions. </w:t>
      </w:r>
    </w:p>
    <w:p w14:paraId="30375F54" w14:textId="77777777" w:rsidR="008E74B8" w:rsidRPr="005851C7" w:rsidRDefault="008E74B8" w:rsidP="00F456DB">
      <w:pPr>
        <w:shd w:val="clear" w:color="auto" w:fill="FFFFFF"/>
        <w:contextualSpacing/>
        <w:rPr>
          <w:rFonts w:cs="Arial"/>
          <w:szCs w:val="20"/>
          <w:lang w:val="en-US"/>
        </w:rPr>
      </w:pPr>
    </w:p>
    <w:p w14:paraId="5750F53A" w14:textId="77777777" w:rsidR="008E74B8" w:rsidRDefault="008E74B8" w:rsidP="00F456DB">
      <w:pPr>
        <w:pStyle w:val="ListParagraph"/>
        <w:numPr>
          <w:ilvl w:val="0"/>
          <w:numId w:val="13"/>
        </w:numPr>
        <w:shd w:val="clear" w:color="auto" w:fill="FFFFFF"/>
        <w:contextualSpacing/>
        <w:rPr>
          <w:rFonts w:ascii="Arial" w:hAnsi="Arial" w:cs="Arial"/>
          <w:sz w:val="20"/>
          <w:szCs w:val="20"/>
          <w:lang w:val="en-US" w:eastAsia="fr-FR"/>
        </w:rPr>
      </w:pPr>
      <w:r w:rsidRPr="005851C7">
        <w:rPr>
          <w:rFonts w:ascii="Arial" w:hAnsi="Arial" w:cs="Arial"/>
          <w:sz w:val="20"/>
          <w:szCs w:val="20"/>
          <w:lang w:val="en-US"/>
        </w:rPr>
        <w:t>The project regarding the enhancement of the capacity of the justice system in Cyprus provided</w:t>
      </w:r>
      <w:r>
        <w:rPr>
          <w:rFonts w:ascii="Arial" w:hAnsi="Arial" w:cs="Arial"/>
          <w:sz w:val="20"/>
          <w:szCs w:val="20"/>
          <w:lang w:val="en-US"/>
        </w:rPr>
        <w:t xml:space="preserve"> </w:t>
      </w:r>
      <w:r w:rsidRPr="005851C7">
        <w:rPr>
          <w:rFonts w:ascii="Arial" w:hAnsi="Arial" w:cs="Arial"/>
          <w:sz w:val="20"/>
          <w:szCs w:val="20"/>
          <w:lang w:val="en-US"/>
        </w:rPr>
        <w:t xml:space="preserve">technical support to the Cypriot judicial authorities preparing the ground for the establishment of a new Court Service responsible for the management and administration of the Cypriot courts, achieving consensus amongst the different authorities and actors on the necessity and usefulness of the new authority to be established. </w:t>
      </w:r>
    </w:p>
    <w:p w14:paraId="57DC987F" w14:textId="5C405586" w:rsidR="00F456DB" w:rsidRDefault="00F456DB">
      <w:pPr>
        <w:rPr>
          <w:rFonts w:cs="Arial"/>
          <w:szCs w:val="20"/>
          <w:lang w:val="en-US" w:eastAsia="fr-FR"/>
        </w:rPr>
      </w:pPr>
      <w:r>
        <w:rPr>
          <w:rFonts w:cs="Arial"/>
          <w:szCs w:val="20"/>
          <w:lang w:val="en-US" w:eastAsia="fr-FR"/>
        </w:rPr>
        <w:br w:type="page"/>
      </w:r>
    </w:p>
    <w:p w14:paraId="2B1DDE95" w14:textId="77777777" w:rsidR="008E74B8" w:rsidRPr="003E68F2" w:rsidRDefault="008E74B8" w:rsidP="00F456DB">
      <w:pPr>
        <w:pStyle w:val="ListParagraph"/>
        <w:rPr>
          <w:rFonts w:ascii="Arial" w:hAnsi="Arial" w:cs="Arial"/>
          <w:sz w:val="20"/>
          <w:szCs w:val="20"/>
          <w:lang w:val="en-US" w:eastAsia="fr-FR"/>
        </w:rPr>
      </w:pPr>
    </w:p>
    <w:p w14:paraId="44D32597" w14:textId="77777777" w:rsidR="008E74B8" w:rsidRPr="00C16F11" w:rsidRDefault="008E74B8" w:rsidP="00F456DB">
      <w:pPr>
        <w:numPr>
          <w:ilvl w:val="0"/>
          <w:numId w:val="13"/>
        </w:numPr>
        <w:shd w:val="clear" w:color="auto" w:fill="FFFFFF"/>
        <w:contextualSpacing/>
        <w:rPr>
          <w:rFonts w:cs="Arial"/>
          <w:szCs w:val="20"/>
          <w:lang w:val="en-IE" w:eastAsia="fr-FR"/>
        </w:rPr>
      </w:pPr>
      <w:r w:rsidRPr="00C16F11">
        <w:rPr>
          <w:rFonts w:cs="Arial"/>
          <w:color w:val="000000"/>
          <w:szCs w:val="20"/>
          <w:lang w:val="en-IE"/>
        </w:rPr>
        <w:t xml:space="preserve">A multi-country project on EU restrictive measures (sanctions) led to further coordinating Member States’ approaches as regards identification of effective ownership or control of a company and monitoring of crypto transactions to prevent sanctions’ circumvention through virtual assets. A second multi-country project on sanctions implementation started in late 2023 to map Member States’ competencies and powers as regards asset freezes. </w:t>
      </w:r>
    </w:p>
    <w:p w14:paraId="7355E972" w14:textId="77777777" w:rsidR="008E74B8" w:rsidRPr="000254B2" w:rsidRDefault="008E74B8" w:rsidP="00F456DB">
      <w:pPr>
        <w:tabs>
          <w:tab w:val="left" w:pos="709"/>
        </w:tabs>
        <w:rPr>
          <w:rFonts w:eastAsia="Times New Roman" w:cs="Arial"/>
          <w:b/>
          <w:szCs w:val="20"/>
          <w:lang w:eastAsia="fr-FR"/>
        </w:rPr>
      </w:pPr>
    </w:p>
    <w:p w14:paraId="41E9A137" w14:textId="77777777" w:rsidR="008E74B8" w:rsidRDefault="008E74B8" w:rsidP="00F456DB">
      <w:pPr>
        <w:numPr>
          <w:ilvl w:val="0"/>
          <w:numId w:val="4"/>
        </w:numPr>
        <w:tabs>
          <w:tab w:val="left" w:pos="709"/>
        </w:tabs>
        <w:rPr>
          <w:rFonts w:eastAsia="Times New Roman" w:cs="Arial"/>
          <w:b/>
          <w:szCs w:val="20"/>
          <w:lang w:eastAsia="fr-FR"/>
        </w:rPr>
      </w:pPr>
      <w:r w:rsidRPr="0092562E">
        <w:rPr>
          <w:rFonts w:eastAsia="Times New Roman" w:cs="Arial"/>
          <w:b/>
          <w:szCs w:val="20"/>
          <w:lang w:eastAsia="fr-FR"/>
        </w:rPr>
        <w:t xml:space="preserve">Joint Programmes in the South Mediterranean region </w:t>
      </w:r>
    </w:p>
    <w:p w14:paraId="01A60A67" w14:textId="77777777" w:rsidR="00F456DB" w:rsidRDefault="00F456DB" w:rsidP="00F456DB">
      <w:pPr>
        <w:tabs>
          <w:tab w:val="left" w:pos="709"/>
        </w:tabs>
        <w:ind w:left="928"/>
        <w:rPr>
          <w:rFonts w:eastAsia="Times New Roman" w:cs="Arial"/>
          <w:b/>
          <w:szCs w:val="20"/>
          <w:lang w:eastAsia="fr-FR"/>
        </w:rPr>
      </w:pPr>
    </w:p>
    <w:p w14:paraId="3ADA9CEA" w14:textId="77777777" w:rsidR="008E74B8" w:rsidRDefault="008E74B8" w:rsidP="00F456DB">
      <w:pPr>
        <w:rPr>
          <w:rFonts w:eastAsia="Times New Roman" w:cs="Arial"/>
          <w:bCs/>
          <w:szCs w:val="20"/>
          <w:lang w:eastAsia="fr-FR"/>
        </w:rPr>
      </w:pPr>
      <w:r w:rsidRPr="000254B2">
        <w:rPr>
          <w:rFonts w:eastAsia="Times New Roman" w:cs="Arial"/>
          <w:bCs/>
          <w:szCs w:val="20"/>
          <w:lang w:eastAsia="fr-FR"/>
        </w:rPr>
        <w:t>The Council of Europe and</w:t>
      </w:r>
      <w:r w:rsidRPr="000254B2">
        <w:rPr>
          <w:rFonts w:cs="Arial"/>
          <w:szCs w:val="20"/>
        </w:rPr>
        <w:t xml:space="preserve"> the EU continued to partner in the Southern Mediterranean region to advance democratic reforms in the region </w:t>
      </w:r>
      <w:r w:rsidRPr="000254B2">
        <w:rPr>
          <w:rFonts w:eastAsia="Times New Roman" w:cs="Arial"/>
          <w:bCs/>
          <w:szCs w:val="20"/>
          <w:lang w:eastAsia="fr-FR"/>
        </w:rPr>
        <w:t>in line with the European Union</w:t>
      </w:r>
      <w:r>
        <w:rPr>
          <w:rFonts w:eastAsia="Times New Roman" w:cs="Arial"/>
          <w:bCs/>
          <w:szCs w:val="20"/>
          <w:lang w:eastAsia="fr-FR"/>
        </w:rPr>
        <w:t>'s</w:t>
      </w:r>
      <w:r w:rsidRPr="000254B2">
        <w:rPr>
          <w:rFonts w:eastAsia="Times New Roman" w:cs="Arial"/>
          <w:bCs/>
          <w:szCs w:val="20"/>
          <w:lang w:eastAsia="fr-FR"/>
        </w:rPr>
        <w:t xml:space="preserve"> Renewed Partnership with the Southern Mediterranean and the Council of Europe’s Policy towards its Neighbouring Regions</w:t>
      </w:r>
      <w:r w:rsidRPr="000254B2">
        <w:rPr>
          <w:rFonts w:cs="Arial"/>
          <w:szCs w:val="20"/>
        </w:rPr>
        <w:t>.</w:t>
      </w:r>
      <w:r w:rsidRPr="000254B2">
        <w:rPr>
          <w:rStyle w:val="FootnoteReference"/>
          <w:rFonts w:cs="Arial"/>
          <w:szCs w:val="20"/>
        </w:rPr>
        <w:footnoteReference w:id="10"/>
      </w:r>
      <w:r w:rsidRPr="000254B2">
        <w:rPr>
          <w:rFonts w:cs="Arial"/>
          <w:szCs w:val="20"/>
        </w:rPr>
        <w:t xml:space="preserve"> Launched in 2012, </w:t>
      </w:r>
      <w:r w:rsidRPr="00783A5E">
        <w:rPr>
          <w:rFonts w:cs="Arial"/>
          <w:b/>
          <w:bCs/>
          <w:szCs w:val="20"/>
        </w:rPr>
        <w:t>t</w:t>
      </w:r>
      <w:r w:rsidRPr="00783A5E">
        <w:rPr>
          <w:rFonts w:eastAsia="Times New Roman" w:cs="Arial"/>
          <w:b/>
          <w:bCs/>
          <w:szCs w:val="20"/>
          <w:lang w:eastAsia="fr-FR"/>
        </w:rPr>
        <w:t>he South Programme</w:t>
      </w:r>
      <w:r w:rsidRPr="000254B2">
        <w:rPr>
          <w:rFonts w:eastAsia="Times New Roman" w:cs="Arial"/>
          <w:bCs/>
          <w:szCs w:val="20"/>
          <w:lang w:eastAsia="fr-FR"/>
        </w:rPr>
        <w:t xml:space="preserve"> operationalises the close and long-standing tripartite partnership between the two organisations and the partner authorities in the Southern Mediterranean region based on common values. </w:t>
      </w:r>
    </w:p>
    <w:p w14:paraId="573B99B3" w14:textId="77777777" w:rsidR="00F456DB" w:rsidRPr="000254B2" w:rsidRDefault="00F456DB" w:rsidP="00F456DB">
      <w:pPr>
        <w:rPr>
          <w:rFonts w:cs="Arial"/>
          <w:szCs w:val="20"/>
        </w:rPr>
      </w:pPr>
    </w:p>
    <w:p w14:paraId="6FC27FFE" w14:textId="77777777" w:rsidR="008E74B8" w:rsidRDefault="008E74B8" w:rsidP="00F456DB">
      <w:pPr>
        <w:rPr>
          <w:rFonts w:eastAsia="Times New Roman" w:cs="Arial"/>
          <w:bCs/>
          <w:szCs w:val="20"/>
          <w:lang w:eastAsia="fr-FR"/>
        </w:rPr>
      </w:pPr>
      <w:r w:rsidRPr="000254B2">
        <w:rPr>
          <w:rFonts w:eastAsia="Times New Roman" w:cs="Arial"/>
          <w:bCs/>
          <w:szCs w:val="20"/>
          <w:lang w:eastAsia="fr-FR"/>
        </w:rPr>
        <w:t xml:space="preserve">The fifth phase of the South Programme, entitled “Protecting Human Rights, Rule of Law and Democracy through Shared Standards in the Southern Mediterranean “(South Programme V) </w:t>
      </w:r>
      <w:r>
        <w:rPr>
          <w:rFonts w:eastAsia="Times New Roman" w:cs="Arial"/>
          <w:bCs/>
          <w:szCs w:val="20"/>
          <w:lang w:eastAsia="fr-FR"/>
        </w:rPr>
        <w:t>has</w:t>
      </w:r>
      <w:r w:rsidRPr="000254B2">
        <w:rPr>
          <w:rFonts w:eastAsia="Times New Roman" w:cs="Arial"/>
          <w:bCs/>
          <w:szCs w:val="20"/>
          <w:lang w:eastAsia="fr-FR"/>
        </w:rPr>
        <w:t xml:space="preserve"> a budget of €5.</w:t>
      </w:r>
      <w:r>
        <w:rPr>
          <w:rFonts w:eastAsia="Times New Roman" w:cs="Arial"/>
          <w:bCs/>
          <w:szCs w:val="20"/>
          <w:lang w:eastAsia="fr-FR"/>
        </w:rPr>
        <w:t>6</w:t>
      </w:r>
      <w:r w:rsidRPr="000254B2">
        <w:rPr>
          <w:rFonts w:eastAsia="Times New Roman" w:cs="Arial"/>
          <w:bCs/>
          <w:szCs w:val="20"/>
          <w:lang w:eastAsia="fr-FR"/>
        </w:rPr>
        <w:t xml:space="preserve"> million for </w:t>
      </w:r>
      <w:r>
        <w:rPr>
          <w:rFonts w:eastAsia="Times New Roman" w:cs="Arial"/>
          <w:bCs/>
          <w:szCs w:val="20"/>
          <w:lang w:eastAsia="fr-FR"/>
        </w:rPr>
        <w:t xml:space="preserve">a three-year implementation period </w:t>
      </w:r>
      <w:r w:rsidRPr="000254B2">
        <w:rPr>
          <w:rFonts w:eastAsia="Times New Roman" w:cs="Arial"/>
          <w:bCs/>
          <w:szCs w:val="20"/>
          <w:lang w:eastAsia="fr-FR"/>
        </w:rPr>
        <w:t>(</w:t>
      </w:r>
      <w:r>
        <w:rPr>
          <w:rFonts w:eastAsia="Times New Roman" w:cs="Arial"/>
          <w:bCs/>
          <w:szCs w:val="20"/>
          <w:lang w:eastAsia="fr-FR"/>
        </w:rPr>
        <w:t xml:space="preserve">September </w:t>
      </w:r>
      <w:r w:rsidRPr="000254B2">
        <w:rPr>
          <w:rFonts w:eastAsia="Times New Roman" w:cs="Arial"/>
          <w:bCs/>
          <w:szCs w:val="20"/>
          <w:lang w:eastAsia="fr-FR"/>
        </w:rPr>
        <w:t>2022</w:t>
      </w:r>
      <w:r>
        <w:rPr>
          <w:rFonts w:eastAsia="Times New Roman" w:cs="Arial"/>
          <w:bCs/>
          <w:szCs w:val="20"/>
          <w:lang w:eastAsia="fr-FR"/>
        </w:rPr>
        <w:t xml:space="preserve"> – August </w:t>
      </w:r>
      <w:r w:rsidRPr="000254B2">
        <w:rPr>
          <w:rFonts w:eastAsia="Times New Roman" w:cs="Arial"/>
          <w:bCs/>
          <w:szCs w:val="20"/>
          <w:lang w:eastAsia="fr-FR"/>
        </w:rPr>
        <w:t>2025)</w:t>
      </w:r>
      <w:r>
        <w:rPr>
          <w:rFonts w:eastAsia="Times New Roman" w:cs="Arial"/>
          <w:bCs/>
          <w:szCs w:val="20"/>
          <w:lang w:eastAsia="fr-FR"/>
        </w:rPr>
        <w:t>.</w:t>
      </w:r>
      <w:r w:rsidRPr="000254B2">
        <w:rPr>
          <w:rFonts w:eastAsia="Times New Roman" w:cs="Arial"/>
          <w:bCs/>
          <w:szCs w:val="20"/>
          <w:lang w:eastAsia="fr-FR"/>
        </w:rPr>
        <w:t xml:space="preserve"> It aims </w:t>
      </w:r>
      <w:r>
        <w:rPr>
          <w:rFonts w:eastAsia="Times New Roman" w:cs="Arial"/>
          <w:bCs/>
          <w:szCs w:val="20"/>
          <w:lang w:eastAsia="fr-FR"/>
        </w:rPr>
        <w:t>to continue</w:t>
      </w:r>
      <w:r w:rsidRPr="000254B2">
        <w:rPr>
          <w:rFonts w:eastAsia="Times New Roman" w:cs="Arial"/>
          <w:bCs/>
          <w:szCs w:val="20"/>
          <w:lang w:eastAsia="fr-FR"/>
        </w:rPr>
        <w:t xml:space="preserve"> to support democratic reforms of nine </w:t>
      </w:r>
      <w:r>
        <w:rPr>
          <w:rFonts w:eastAsia="Times New Roman" w:cs="Arial"/>
          <w:bCs/>
          <w:szCs w:val="20"/>
          <w:lang w:eastAsia="fr-FR"/>
        </w:rPr>
        <w:t>partner countries</w:t>
      </w:r>
      <w:r w:rsidRPr="000254B2">
        <w:rPr>
          <w:rFonts w:eastAsia="Times New Roman" w:cs="Arial"/>
          <w:bCs/>
          <w:szCs w:val="20"/>
          <w:lang w:eastAsia="fr-FR"/>
        </w:rPr>
        <w:t xml:space="preserve"> in the Southern Mediterranean (Algeria, Egypt, Israel, Jordan, Lebanon, Libya, Morocco, Palestine</w:t>
      </w:r>
      <w:r>
        <w:rPr>
          <w:rStyle w:val="FootnoteReference"/>
          <w:rFonts w:eastAsia="Times New Roman" w:cs="Arial"/>
          <w:bCs/>
          <w:szCs w:val="20"/>
          <w:lang w:eastAsia="fr-FR"/>
        </w:rPr>
        <w:footnoteReference w:customMarkFollows="1" w:id="11"/>
        <w:t>*</w:t>
      </w:r>
      <w:r w:rsidRPr="000254B2">
        <w:rPr>
          <w:rFonts w:cs="Arial"/>
          <w:szCs w:val="20"/>
        </w:rPr>
        <w:t xml:space="preserve"> </w:t>
      </w:r>
      <w:r w:rsidRPr="000254B2">
        <w:rPr>
          <w:rFonts w:eastAsia="Times New Roman" w:cs="Arial"/>
          <w:bCs/>
          <w:szCs w:val="20"/>
          <w:lang w:eastAsia="fr-FR"/>
        </w:rPr>
        <w:t xml:space="preserve">and Tunisia) through the establishment of a common legal space between Europe and this region. </w:t>
      </w:r>
      <w:r w:rsidRPr="00C16F11">
        <w:rPr>
          <w:rFonts w:eastAsia="Times New Roman" w:cs="Arial"/>
          <w:bCs/>
          <w:szCs w:val="20"/>
          <w:lang w:eastAsia="fr-FR"/>
        </w:rPr>
        <w:t>The South Programme also benefits from reinforced links with the Council of Europe’s North-South Centre, which provides its long-standing expertise in empowering civil society and youth organisations in the Council of Europe’s neighbouring regions.</w:t>
      </w:r>
      <w:r w:rsidRPr="00133FE4">
        <w:rPr>
          <w:rFonts w:eastAsia="Times New Roman" w:cs="Arial"/>
          <w:bCs/>
          <w:szCs w:val="20"/>
          <w:lang w:eastAsia="fr-FR"/>
        </w:rPr>
        <w:t xml:space="preserve"> </w:t>
      </w:r>
    </w:p>
    <w:p w14:paraId="53115B30" w14:textId="77777777" w:rsidR="00F456DB" w:rsidRDefault="00F456DB" w:rsidP="00F456DB">
      <w:pPr>
        <w:rPr>
          <w:rFonts w:eastAsia="Times New Roman" w:cs="Arial"/>
          <w:bCs/>
          <w:szCs w:val="20"/>
          <w:lang w:eastAsia="fr-FR"/>
        </w:rPr>
      </w:pPr>
    </w:p>
    <w:p w14:paraId="13B51BF4" w14:textId="77777777" w:rsidR="008E74B8" w:rsidRDefault="008E74B8" w:rsidP="00F456DB">
      <w:pPr>
        <w:rPr>
          <w:rFonts w:eastAsia="Times New Roman" w:cs="Arial"/>
          <w:bCs/>
          <w:szCs w:val="20"/>
          <w:lang w:eastAsia="fr-FR"/>
        </w:rPr>
      </w:pPr>
      <w:r w:rsidRPr="00133FE4">
        <w:rPr>
          <w:rFonts w:eastAsia="Times New Roman" w:cs="Arial"/>
          <w:bCs/>
          <w:szCs w:val="20"/>
          <w:lang w:eastAsia="fr-FR"/>
        </w:rPr>
        <w:t xml:space="preserve">Organised with the support of the Ministry for Foreign Affairs of Portugal and the </w:t>
      </w:r>
      <w:r>
        <w:rPr>
          <w:rFonts w:eastAsia="Times New Roman" w:cs="Arial"/>
          <w:bCs/>
          <w:szCs w:val="20"/>
          <w:lang w:eastAsia="fr-FR"/>
        </w:rPr>
        <w:t xml:space="preserve">CoE </w:t>
      </w:r>
      <w:r w:rsidRPr="00133FE4">
        <w:rPr>
          <w:rFonts w:eastAsia="Times New Roman" w:cs="Arial"/>
          <w:bCs/>
          <w:szCs w:val="20"/>
          <w:lang w:eastAsia="fr-FR"/>
        </w:rPr>
        <w:t>North-South Centre located in Lisbon, the official</w:t>
      </w:r>
      <w:r>
        <w:rPr>
          <w:rFonts w:eastAsia="Times New Roman" w:cs="Arial"/>
          <w:bCs/>
          <w:szCs w:val="20"/>
          <w:lang w:eastAsia="fr-FR"/>
        </w:rPr>
        <w:t xml:space="preserve"> high-level</w:t>
      </w:r>
      <w:r w:rsidRPr="00133FE4">
        <w:rPr>
          <w:rFonts w:eastAsia="Times New Roman" w:cs="Arial"/>
          <w:bCs/>
          <w:szCs w:val="20"/>
          <w:lang w:eastAsia="fr-FR"/>
        </w:rPr>
        <w:t xml:space="preserve"> launching event of the South Programme V gathered 130 participants from Europe and the Southern Mediterranean region in Lisbon on 13-14 March 2023. Focusing on the creation of a common legal space between the two shores of the Mediterranean, the event provided a platform </w:t>
      </w:r>
      <w:r>
        <w:rPr>
          <w:rFonts w:eastAsia="Times New Roman" w:cs="Arial"/>
          <w:bCs/>
          <w:szCs w:val="20"/>
          <w:lang w:eastAsia="fr-FR"/>
        </w:rPr>
        <w:t xml:space="preserve">for an </w:t>
      </w:r>
      <w:r w:rsidRPr="00133FE4">
        <w:rPr>
          <w:rFonts w:eastAsia="Times New Roman" w:cs="Arial"/>
          <w:bCs/>
          <w:szCs w:val="20"/>
          <w:lang w:eastAsia="fr-FR"/>
        </w:rPr>
        <w:t>exchange</w:t>
      </w:r>
      <w:r>
        <w:rPr>
          <w:rFonts w:eastAsia="Times New Roman" w:cs="Arial"/>
          <w:bCs/>
          <w:szCs w:val="20"/>
          <w:lang w:eastAsia="fr-FR"/>
        </w:rPr>
        <w:t xml:space="preserve"> on</w:t>
      </w:r>
      <w:r w:rsidRPr="00133FE4">
        <w:rPr>
          <w:rFonts w:eastAsia="Times New Roman" w:cs="Arial"/>
          <w:bCs/>
          <w:szCs w:val="20"/>
          <w:lang w:eastAsia="fr-FR"/>
        </w:rPr>
        <w:t xml:space="preserve"> the relevance and added value of Council of Europe standards and tools for the region</w:t>
      </w:r>
      <w:r>
        <w:rPr>
          <w:rStyle w:val="FootnoteReference"/>
          <w:rFonts w:eastAsia="Times New Roman" w:cs="Arial"/>
          <w:bCs/>
          <w:szCs w:val="20"/>
          <w:lang w:eastAsia="fr-FR"/>
        </w:rPr>
        <w:footnoteReference w:id="12"/>
      </w:r>
      <w:r w:rsidRPr="00133FE4">
        <w:rPr>
          <w:rFonts w:eastAsia="Times New Roman" w:cs="Arial"/>
          <w:bCs/>
          <w:szCs w:val="20"/>
          <w:lang w:eastAsia="fr-FR"/>
        </w:rPr>
        <w:t xml:space="preserve">. </w:t>
      </w:r>
    </w:p>
    <w:p w14:paraId="732D1E68" w14:textId="77777777" w:rsidR="00F456DB" w:rsidRPr="00133FE4" w:rsidRDefault="00F456DB" w:rsidP="00F456DB">
      <w:pPr>
        <w:rPr>
          <w:rFonts w:eastAsia="Times New Roman" w:cs="Arial"/>
          <w:bCs/>
          <w:szCs w:val="20"/>
          <w:lang w:eastAsia="fr-FR"/>
        </w:rPr>
      </w:pPr>
    </w:p>
    <w:p w14:paraId="25FE09AD" w14:textId="77777777" w:rsidR="008E74B8" w:rsidRDefault="008E74B8" w:rsidP="00F456DB">
      <w:pPr>
        <w:rPr>
          <w:rFonts w:cs="Arial"/>
          <w:szCs w:val="20"/>
        </w:rPr>
      </w:pPr>
      <w:r w:rsidRPr="000254B2">
        <w:rPr>
          <w:rFonts w:eastAsia="Times New Roman" w:cs="Arial"/>
          <w:bCs/>
          <w:szCs w:val="20"/>
          <w:lang w:eastAsia="fr-FR"/>
        </w:rPr>
        <w:t>The South Programme V is coordinated by the Council of Europe</w:t>
      </w:r>
      <w:r>
        <w:rPr>
          <w:rFonts w:eastAsia="Times New Roman" w:cs="Arial"/>
          <w:bCs/>
          <w:szCs w:val="20"/>
          <w:lang w:eastAsia="fr-FR"/>
        </w:rPr>
        <w:t>’s</w:t>
      </w:r>
      <w:r w:rsidRPr="000254B2">
        <w:rPr>
          <w:rFonts w:eastAsia="Times New Roman" w:cs="Arial"/>
          <w:bCs/>
          <w:szCs w:val="20"/>
          <w:lang w:eastAsia="fr-FR"/>
        </w:rPr>
        <w:t xml:space="preserve"> office in Tunis and </w:t>
      </w:r>
      <w:r>
        <w:rPr>
          <w:rFonts w:eastAsia="Times New Roman" w:cs="Arial"/>
          <w:bCs/>
          <w:szCs w:val="20"/>
          <w:lang w:eastAsia="fr-FR"/>
        </w:rPr>
        <w:t xml:space="preserve">implemented in synergy with </w:t>
      </w:r>
      <w:r w:rsidRPr="000254B2">
        <w:rPr>
          <w:rFonts w:cs="Arial"/>
          <w:szCs w:val="20"/>
        </w:rPr>
        <w:t xml:space="preserve">joint </w:t>
      </w:r>
      <w:r>
        <w:rPr>
          <w:rFonts w:cs="Arial"/>
          <w:szCs w:val="20"/>
        </w:rPr>
        <w:t xml:space="preserve">EU/CoE </w:t>
      </w:r>
      <w:r w:rsidRPr="000254B2">
        <w:rPr>
          <w:rFonts w:cs="Arial"/>
          <w:szCs w:val="20"/>
        </w:rPr>
        <w:t xml:space="preserve">regional and bilateral thematic initiatives implemented in the Southern Mediterranean. These include </w:t>
      </w:r>
      <w:r>
        <w:rPr>
          <w:rFonts w:cs="Arial"/>
          <w:szCs w:val="20"/>
        </w:rPr>
        <w:t>the regional</w:t>
      </w:r>
      <w:r w:rsidRPr="000254B2">
        <w:rPr>
          <w:rFonts w:cs="Arial"/>
          <w:szCs w:val="20"/>
        </w:rPr>
        <w:t xml:space="preserve"> </w:t>
      </w:r>
      <w:r w:rsidRPr="00C16F11">
        <w:rPr>
          <w:rFonts w:cs="Arial"/>
          <w:szCs w:val="20"/>
        </w:rPr>
        <w:t>programme CyberSouth to</w:t>
      </w:r>
      <w:r>
        <w:rPr>
          <w:rFonts w:cs="Arial"/>
          <w:szCs w:val="20"/>
        </w:rPr>
        <w:t xml:space="preserve"> combat </w:t>
      </w:r>
      <w:r w:rsidRPr="000254B2">
        <w:rPr>
          <w:rFonts w:cs="Arial"/>
          <w:szCs w:val="20"/>
        </w:rPr>
        <w:t xml:space="preserve">cybercrime </w:t>
      </w:r>
      <w:r>
        <w:rPr>
          <w:rFonts w:cs="Arial"/>
          <w:szCs w:val="20"/>
        </w:rPr>
        <w:t>in priority partner countries in the region (</w:t>
      </w:r>
      <w:r w:rsidRPr="000254B2">
        <w:rPr>
          <w:rFonts w:cs="Arial"/>
          <w:szCs w:val="20"/>
        </w:rPr>
        <w:t>Algeria, Jordan, Lebanon, Morocco and Tunisia</w:t>
      </w:r>
      <w:r>
        <w:rPr>
          <w:rFonts w:cs="Arial"/>
          <w:szCs w:val="20"/>
        </w:rPr>
        <w:t>)</w:t>
      </w:r>
      <w:r w:rsidRPr="000254B2">
        <w:rPr>
          <w:rFonts w:cs="Arial"/>
          <w:szCs w:val="20"/>
        </w:rPr>
        <w:t xml:space="preserve"> </w:t>
      </w:r>
      <w:r>
        <w:rPr>
          <w:rFonts w:cs="Arial"/>
          <w:szCs w:val="20"/>
        </w:rPr>
        <w:t xml:space="preserve">as well as </w:t>
      </w:r>
      <w:r w:rsidRPr="000254B2">
        <w:rPr>
          <w:rFonts w:cs="Arial"/>
          <w:szCs w:val="20"/>
        </w:rPr>
        <w:t xml:space="preserve">country-specific programmes PAII-T/“Support to Independent Bodies in Tunisia” </w:t>
      </w:r>
      <w:r>
        <w:rPr>
          <w:rFonts w:cs="Arial"/>
          <w:szCs w:val="20"/>
        </w:rPr>
        <w:t xml:space="preserve">implemented until </w:t>
      </w:r>
      <w:r w:rsidRPr="000254B2">
        <w:rPr>
          <w:rFonts w:cs="Arial"/>
          <w:szCs w:val="20"/>
        </w:rPr>
        <w:t xml:space="preserve">March 2023 </w:t>
      </w:r>
      <w:r>
        <w:rPr>
          <w:rFonts w:cs="Arial"/>
          <w:szCs w:val="20"/>
        </w:rPr>
        <w:t xml:space="preserve">with a budget of </w:t>
      </w:r>
      <w:r w:rsidRPr="000254B2">
        <w:rPr>
          <w:rFonts w:cs="Arial"/>
          <w:szCs w:val="20"/>
        </w:rPr>
        <w:t>€5.6 million</w:t>
      </w:r>
      <w:r>
        <w:rPr>
          <w:rFonts w:cs="Arial"/>
          <w:szCs w:val="20"/>
        </w:rPr>
        <w:t xml:space="preserve"> </w:t>
      </w:r>
      <w:r w:rsidRPr="000254B2">
        <w:rPr>
          <w:rFonts w:cs="Arial"/>
          <w:szCs w:val="20"/>
        </w:rPr>
        <w:t>and AP-JUST/”Improving the Functioning, Performance and Access to Justice in Tunisia”</w:t>
      </w:r>
      <w:r>
        <w:rPr>
          <w:rFonts w:cs="Arial"/>
          <w:szCs w:val="20"/>
        </w:rPr>
        <w:t>,</w:t>
      </w:r>
      <w:r w:rsidRPr="000254B2">
        <w:rPr>
          <w:rFonts w:cs="Arial"/>
          <w:szCs w:val="20"/>
        </w:rPr>
        <w:t xml:space="preserve"> </w:t>
      </w:r>
      <w:r>
        <w:rPr>
          <w:rFonts w:cs="Arial"/>
          <w:szCs w:val="20"/>
        </w:rPr>
        <w:t>implemented</w:t>
      </w:r>
      <w:r w:rsidRPr="000254B2">
        <w:rPr>
          <w:rFonts w:cs="Arial"/>
          <w:szCs w:val="20"/>
        </w:rPr>
        <w:t xml:space="preserve"> until September 2023</w:t>
      </w:r>
      <w:r>
        <w:rPr>
          <w:rFonts w:cs="Arial"/>
          <w:szCs w:val="20"/>
        </w:rPr>
        <w:t xml:space="preserve"> with a budget of </w:t>
      </w:r>
      <w:r w:rsidRPr="000254B2">
        <w:rPr>
          <w:rFonts w:cs="Arial"/>
          <w:szCs w:val="20"/>
        </w:rPr>
        <w:t>€ 5.9 million.</w:t>
      </w:r>
      <w:r w:rsidRPr="000254B2">
        <w:rPr>
          <w:rFonts w:cs="Arial"/>
          <w:color w:val="FF0000"/>
          <w:szCs w:val="20"/>
        </w:rPr>
        <w:t xml:space="preserve"> </w:t>
      </w:r>
      <w:r>
        <w:rPr>
          <w:rFonts w:cs="Arial"/>
          <w:szCs w:val="20"/>
        </w:rPr>
        <w:t>In addition</w:t>
      </w:r>
      <w:r w:rsidRPr="000254B2">
        <w:rPr>
          <w:rFonts w:cs="Arial"/>
          <w:szCs w:val="20"/>
        </w:rPr>
        <w:t xml:space="preserve">, the </w:t>
      </w:r>
      <w:r>
        <w:rPr>
          <w:rFonts w:cs="Arial"/>
          <w:szCs w:val="20"/>
        </w:rPr>
        <w:t>j</w:t>
      </w:r>
      <w:r w:rsidRPr="000254B2">
        <w:rPr>
          <w:rFonts w:cs="Arial"/>
          <w:szCs w:val="20"/>
        </w:rPr>
        <w:t xml:space="preserve">oint </w:t>
      </w:r>
      <w:r>
        <w:rPr>
          <w:rFonts w:cs="Arial"/>
          <w:szCs w:val="20"/>
        </w:rPr>
        <w:t>p</w:t>
      </w:r>
      <w:r w:rsidRPr="000254B2">
        <w:rPr>
          <w:rFonts w:cs="Arial"/>
          <w:szCs w:val="20"/>
        </w:rPr>
        <w:t xml:space="preserve">rogramme for Morocco “Support to the National Preventive Mechanism against Torture and to the Development of the Key Role of Parliament” </w:t>
      </w:r>
      <w:r>
        <w:rPr>
          <w:rFonts w:cs="Arial"/>
          <w:szCs w:val="20"/>
        </w:rPr>
        <w:t>is</w:t>
      </w:r>
      <w:r w:rsidRPr="000254B2">
        <w:rPr>
          <w:rFonts w:cs="Arial"/>
          <w:szCs w:val="20"/>
        </w:rPr>
        <w:t xml:space="preserve"> </w:t>
      </w:r>
      <w:r>
        <w:rPr>
          <w:rFonts w:cs="Arial"/>
          <w:szCs w:val="20"/>
        </w:rPr>
        <w:t>under implementation</w:t>
      </w:r>
      <w:r w:rsidRPr="000254B2">
        <w:rPr>
          <w:rFonts w:cs="Arial"/>
          <w:szCs w:val="20"/>
        </w:rPr>
        <w:t xml:space="preserve"> </w:t>
      </w:r>
      <w:r>
        <w:rPr>
          <w:rFonts w:cs="Arial"/>
          <w:szCs w:val="20"/>
        </w:rPr>
        <w:t>from</w:t>
      </w:r>
      <w:r w:rsidRPr="000254B2">
        <w:rPr>
          <w:rFonts w:cs="Arial"/>
          <w:szCs w:val="20"/>
        </w:rPr>
        <w:t xml:space="preserve"> November 2020</w:t>
      </w:r>
      <w:r>
        <w:rPr>
          <w:rFonts w:cs="Arial"/>
          <w:szCs w:val="20"/>
        </w:rPr>
        <w:t xml:space="preserve"> until April 2024 with a budget of </w:t>
      </w:r>
      <w:r w:rsidRPr="00945385">
        <w:rPr>
          <w:rFonts w:cs="Arial"/>
          <w:szCs w:val="20"/>
        </w:rPr>
        <w:t>€2.3 million</w:t>
      </w:r>
      <w:r w:rsidRPr="000254B2">
        <w:rPr>
          <w:rFonts w:cs="Arial"/>
          <w:szCs w:val="20"/>
        </w:rPr>
        <w:t>.</w:t>
      </w:r>
      <w:r>
        <w:rPr>
          <w:rFonts w:cs="Arial"/>
          <w:szCs w:val="20"/>
        </w:rPr>
        <w:t xml:space="preserve"> </w:t>
      </w:r>
    </w:p>
    <w:p w14:paraId="53D3F822" w14:textId="77777777" w:rsidR="00F456DB" w:rsidRDefault="00F456DB" w:rsidP="00F456DB">
      <w:pPr>
        <w:rPr>
          <w:rFonts w:cs="Arial"/>
          <w:szCs w:val="20"/>
        </w:rPr>
      </w:pPr>
    </w:p>
    <w:p w14:paraId="1DC607DE" w14:textId="77777777" w:rsidR="008E74B8" w:rsidRDefault="008E74B8" w:rsidP="00F456DB">
      <w:pPr>
        <w:rPr>
          <w:rFonts w:cs="Arial"/>
          <w:szCs w:val="20"/>
        </w:rPr>
      </w:pPr>
      <w:r w:rsidRPr="000254B2">
        <w:rPr>
          <w:rFonts w:cs="Arial"/>
          <w:szCs w:val="20"/>
        </w:rPr>
        <w:t xml:space="preserve">In a challenging implementing environment, regional programme activities in the Southern Mediterranean as well as country-specific programmes in Morocco and Tunisia continued to deliver </w:t>
      </w:r>
      <w:r>
        <w:rPr>
          <w:rFonts w:cs="Arial"/>
          <w:szCs w:val="20"/>
        </w:rPr>
        <w:t xml:space="preserve">tangible </w:t>
      </w:r>
      <w:r w:rsidRPr="000254B2">
        <w:rPr>
          <w:rFonts w:cs="Arial"/>
          <w:szCs w:val="20"/>
        </w:rPr>
        <w:t xml:space="preserve">results, a non-exhaustive list of which includes: </w:t>
      </w:r>
    </w:p>
    <w:p w14:paraId="1ADC006F" w14:textId="77777777" w:rsidR="00F456DB" w:rsidRPr="000254B2" w:rsidRDefault="00F456DB" w:rsidP="00F456DB">
      <w:pPr>
        <w:rPr>
          <w:rFonts w:cs="Arial"/>
          <w:szCs w:val="20"/>
        </w:rPr>
      </w:pPr>
    </w:p>
    <w:p w14:paraId="51289734" w14:textId="77777777" w:rsidR="008E74B8" w:rsidRDefault="008E74B8" w:rsidP="00F456DB">
      <w:pPr>
        <w:numPr>
          <w:ilvl w:val="0"/>
          <w:numId w:val="9"/>
        </w:numPr>
        <w:ind w:left="1135" w:hanging="851"/>
        <w:rPr>
          <w:rFonts w:eastAsia="Times New Roman" w:cs="Arial"/>
          <w:szCs w:val="20"/>
          <w:lang w:eastAsia="fr-FR"/>
        </w:rPr>
      </w:pPr>
      <w:r w:rsidRPr="00190427">
        <w:rPr>
          <w:rFonts w:eastAsia="Times New Roman" w:cs="Arial"/>
          <w:szCs w:val="20"/>
          <w:u w:val="single"/>
          <w:lang w:eastAsia="fr-FR"/>
        </w:rPr>
        <w:t>Progressive enlarg</w:t>
      </w:r>
      <w:r>
        <w:rPr>
          <w:rFonts w:eastAsia="Times New Roman" w:cs="Arial"/>
          <w:szCs w:val="20"/>
          <w:u w:val="single"/>
          <w:lang w:eastAsia="fr-FR"/>
        </w:rPr>
        <w:t>ement of</w:t>
      </w:r>
      <w:r w:rsidRPr="00190427">
        <w:rPr>
          <w:rFonts w:eastAsia="Times New Roman" w:cs="Arial"/>
          <w:szCs w:val="20"/>
          <w:u w:val="single"/>
          <w:lang w:eastAsia="fr-FR"/>
        </w:rPr>
        <w:t xml:space="preserve"> the common legal space between the Southern Mediterranean region and Europe</w:t>
      </w:r>
      <w:r w:rsidRPr="00190427">
        <w:rPr>
          <w:rFonts w:eastAsia="Times New Roman" w:cs="Arial"/>
          <w:szCs w:val="20"/>
          <w:lang w:eastAsia="fr-FR"/>
        </w:rPr>
        <w:t xml:space="preserve">: </w:t>
      </w:r>
      <w:r w:rsidRPr="000254B2">
        <w:rPr>
          <w:rFonts w:eastAsia="Times New Roman" w:cs="Arial"/>
          <w:szCs w:val="20"/>
          <w:lang w:eastAsia="fr-FR"/>
        </w:rPr>
        <w:t xml:space="preserve">Since 2012, the South Programme </w:t>
      </w:r>
      <w:r>
        <w:rPr>
          <w:rFonts w:eastAsia="Times New Roman" w:cs="Arial"/>
          <w:szCs w:val="20"/>
          <w:lang w:eastAsia="fr-FR"/>
        </w:rPr>
        <w:t>has counted</w:t>
      </w:r>
      <w:r w:rsidRPr="000254B2">
        <w:rPr>
          <w:rFonts w:eastAsia="Times New Roman" w:cs="Arial"/>
          <w:szCs w:val="20"/>
          <w:lang w:eastAsia="fr-FR"/>
        </w:rPr>
        <w:t xml:space="preserve"> up to </w:t>
      </w:r>
      <w:r>
        <w:rPr>
          <w:rFonts w:eastAsia="Times New Roman" w:cs="Arial"/>
          <w:szCs w:val="20"/>
          <w:lang w:eastAsia="fr-FR"/>
        </w:rPr>
        <w:t>21</w:t>
      </w:r>
      <w:r w:rsidRPr="000254B2">
        <w:rPr>
          <w:rFonts w:eastAsia="Times New Roman" w:cs="Arial"/>
          <w:szCs w:val="20"/>
          <w:lang w:eastAsia="fr-FR"/>
        </w:rPr>
        <w:t xml:space="preserve"> ratifications of Council of Europe conventions by five different partner authorities. </w:t>
      </w:r>
      <w:r>
        <w:rPr>
          <w:rFonts w:eastAsia="Times New Roman" w:cs="Arial"/>
          <w:szCs w:val="20"/>
          <w:lang w:eastAsia="fr-FR"/>
        </w:rPr>
        <w:t xml:space="preserve">In 2023, Tunisian authorities formally requested to be invited to </w:t>
      </w:r>
      <w:r w:rsidRPr="0066621C">
        <w:rPr>
          <w:rFonts w:eastAsia="Times New Roman" w:cs="Arial"/>
          <w:szCs w:val="20"/>
          <w:lang w:eastAsia="fr-FR"/>
        </w:rPr>
        <w:t>the Macolin Convention on the manipulation of sports competitions</w:t>
      </w:r>
      <w:r>
        <w:rPr>
          <w:rStyle w:val="FootnoteReference"/>
          <w:rFonts w:eastAsia="Times New Roman" w:cs="Arial"/>
          <w:szCs w:val="20"/>
          <w:lang w:eastAsia="fr-FR"/>
        </w:rPr>
        <w:footnoteReference w:id="13"/>
      </w:r>
      <w:r>
        <w:rPr>
          <w:rFonts w:eastAsia="Times New Roman" w:cs="Arial"/>
          <w:szCs w:val="20"/>
          <w:lang w:eastAsia="fr-FR"/>
        </w:rPr>
        <w:t xml:space="preserve"> and the Lebanese authorities expressed an interest in</w:t>
      </w:r>
      <w:r w:rsidRPr="0066621C">
        <w:rPr>
          <w:rFonts w:eastAsia="Times New Roman" w:cs="Arial"/>
          <w:szCs w:val="20"/>
          <w:lang w:eastAsia="fr-FR"/>
        </w:rPr>
        <w:t xml:space="preserve"> the country becoming an observer of the 108+ Convention on the protection of personal data</w:t>
      </w:r>
      <w:r w:rsidRPr="000254B2">
        <w:rPr>
          <w:rStyle w:val="FootnoteReference"/>
          <w:rFonts w:eastAsia="Times New Roman" w:cs="Arial"/>
          <w:szCs w:val="20"/>
          <w:lang w:eastAsia="fr-FR"/>
        </w:rPr>
        <w:footnoteReference w:id="14"/>
      </w:r>
      <w:r>
        <w:rPr>
          <w:rFonts w:eastAsia="Times New Roman" w:cs="Arial"/>
          <w:szCs w:val="20"/>
          <w:lang w:eastAsia="fr-FR"/>
        </w:rPr>
        <w:t>. Despite the geopolitical turmoil, th</w:t>
      </w:r>
      <w:r w:rsidRPr="000254B2">
        <w:rPr>
          <w:rFonts w:eastAsia="Times New Roman" w:cs="Arial"/>
          <w:szCs w:val="20"/>
          <w:lang w:eastAsia="fr-FR"/>
        </w:rPr>
        <w:t xml:space="preserve">e increasing interest </w:t>
      </w:r>
      <w:r>
        <w:rPr>
          <w:rFonts w:eastAsia="Times New Roman" w:cs="Arial"/>
          <w:szCs w:val="20"/>
          <w:lang w:eastAsia="fr-FR"/>
        </w:rPr>
        <w:t>by partners in</w:t>
      </w:r>
      <w:r w:rsidRPr="000254B2">
        <w:rPr>
          <w:rFonts w:eastAsia="Times New Roman" w:cs="Arial"/>
          <w:szCs w:val="20"/>
          <w:lang w:eastAsia="fr-FR"/>
        </w:rPr>
        <w:t xml:space="preserve"> the Council of Europe flagship conventions, such as the Anti-trafficking Convention</w:t>
      </w:r>
      <w:r w:rsidRPr="000254B2">
        <w:rPr>
          <w:rStyle w:val="FootnoteReference"/>
          <w:rFonts w:eastAsia="Times New Roman" w:cs="Arial"/>
          <w:szCs w:val="20"/>
          <w:lang w:eastAsia="fr-FR"/>
        </w:rPr>
        <w:footnoteReference w:id="15"/>
      </w:r>
      <w:r>
        <w:rPr>
          <w:rFonts w:eastAsia="Times New Roman" w:cs="Arial"/>
          <w:szCs w:val="20"/>
          <w:lang w:eastAsia="fr-FR"/>
        </w:rPr>
        <w:t>,</w:t>
      </w:r>
      <w:r w:rsidRPr="000254B2">
        <w:rPr>
          <w:rFonts w:eastAsia="Times New Roman" w:cs="Arial"/>
          <w:szCs w:val="20"/>
          <w:lang w:eastAsia="fr-FR"/>
        </w:rPr>
        <w:t xml:space="preserve"> the Budapest Convention on Cybercrime</w:t>
      </w:r>
      <w:r w:rsidRPr="000254B2">
        <w:rPr>
          <w:rStyle w:val="FootnoteReference"/>
          <w:rFonts w:eastAsia="Times New Roman" w:cs="Arial"/>
          <w:szCs w:val="20"/>
          <w:lang w:eastAsia="fr-FR"/>
        </w:rPr>
        <w:footnoteReference w:id="16"/>
      </w:r>
      <w:r w:rsidRPr="000254B2">
        <w:rPr>
          <w:rFonts w:eastAsia="Times New Roman" w:cs="Arial"/>
          <w:szCs w:val="20"/>
          <w:lang w:eastAsia="fr-FR"/>
        </w:rPr>
        <w:t>,</w:t>
      </w:r>
      <w:r>
        <w:rPr>
          <w:rFonts w:eastAsia="Times New Roman" w:cs="Arial"/>
          <w:szCs w:val="20"/>
          <w:lang w:eastAsia="fr-FR"/>
        </w:rPr>
        <w:t xml:space="preserve"> </w:t>
      </w:r>
      <w:r w:rsidRPr="000254B2">
        <w:rPr>
          <w:rFonts w:eastAsia="Times New Roman" w:cs="Arial"/>
          <w:szCs w:val="20"/>
          <w:lang w:eastAsia="fr-FR"/>
        </w:rPr>
        <w:t>the Lanzarote Convention</w:t>
      </w:r>
      <w:r>
        <w:rPr>
          <w:rFonts w:eastAsia="Times New Roman" w:cs="Arial"/>
          <w:szCs w:val="20"/>
          <w:lang w:eastAsia="fr-FR"/>
        </w:rPr>
        <w:t xml:space="preserve"> on preventing child sexual abuse</w:t>
      </w:r>
      <w:r w:rsidRPr="000254B2">
        <w:rPr>
          <w:rStyle w:val="FootnoteReference"/>
          <w:rFonts w:eastAsia="Times New Roman" w:cs="Arial"/>
          <w:szCs w:val="20"/>
          <w:lang w:eastAsia="fr-FR"/>
        </w:rPr>
        <w:footnoteReference w:id="17"/>
      </w:r>
      <w:r>
        <w:rPr>
          <w:rFonts w:eastAsia="Times New Roman" w:cs="Arial"/>
          <w:szCs w:val="20"/>
          <w:lang w:eastAsia="fr-FR"/>
        </w:rPr>
        <w:t>,</w:t>
      </w:r>
      <w:r w:rsidRPr="000254B2">
        <w:rPr>
          <w:rFonts w:eastAsia="Times New Roman" w:cs="Arial"/>
          <w:szCs w:val="20"/>
          <w:lang w:eastAsia="fr-FR"/>
        </w:rPr>
        <w:t xml:space="preserve"> </w:t>
      </w:r>
      <w:r>
        <w:rPr>
          <w:rFonts w:eastAsia="Times New Roman" w:cs="Arial"/>
          <w:szCs w:val="20"/>
          <w:lang w:eastAsia="fr-FR"/>
        </w:rPr>
        <w:t>and the Troms</w:t>
      </w:r>
      <w:r w:rsidRPr="0027270A">
        <w:rPr>
          <w:rFonts w:eastAsia="Times New Roman" w:cs="Arial"/>
          <w:szCs w:val="20"/>
          <w:lang w:eastAsia="fr-FR"/>
        </w:rPr>
        <w:t>ø</w:t>
      </w:r>
      <w:r>
        <w:rPr>
          <w:rFonts w:eastAsia="Times New Roman" w:cs="Arial"/>
          <w:szCs w:val="20"/>
          <w:lang w:eastAsia="fr-FR"/>
        </w:rPr>
        <w:t xml:space="preserve"> Convention </w:t>
      </w:r>
      <w:r w:rsidRPr="0027270A">
        <w:rPr>
          <w:rFonts w:eastAsia="Times New Roman" w:cs="Arial"/>
          <w:szCs w:val="20"/>
          <w:lang w:eastAsia="fr-FR"/>
        </w:rPr>
        <w:t>on Access to Official Documents</w:t>
      </w:r>
      <w:r>
        <w:rPr>
          <w:rStyle w:val="FootnoteReference"/>
          <w:rFonts w:eastAsia="Times New Roman" w:cs="Arial"/>
          <w:szCs w:val="20"/>
          <w:lang w:eastAsia="fr-FR"/>
        </w:rPr>
        <w:footnoteReference w:id="18"/>
      </w:r>
      <w:r w:rsidRPr="000254B2">
        <w:rPr>
          <w:rFonts w:eastAsia="Times New Roman" w:cs="Arial"/>
          <w:szCs w:val="20"/>
          <w:lang w:eastAsia="fr-FR"/>
        </w:rPr>
        <w:t xml:space="preserve">, underline the </w:t>
      </w:r>
      <w:r>
        <w:rPr>
          <w:rFonts w:eastAsia="Times New Roman" w:cs="Arial"/>
          <w:szCs w:val="20"/>
          <w:lang w:eastAsia="fr-FR"/>
        </w:rPr>
        <w:t xml:space="preserve">continued </w:t>
      </w:r>
      <w:r w:rsidRPr="000254B2">
        <w:rPr>
          <w:rFonts w:eastAsia="Times New Roman" w:cs="Arial"/>
          <w:szCs w:val="20"/>
          <w:lang w:eastAsia="fr-FR"/>
        </w:rPr>
        <w:t>relevance of the Council of Europe standards in the region</w:t>
      </w:r>
      <w:r>
        <w:rPr>
          <w:rFonts w:eastAsia="Times New Roman" w:cs="Arial"/>
          <w:szCs w:val="20"/>
          <w:lang w:eastAsia="fr-FR"/>
        </w:rPr>
        <w:t>. Legislative support provided on partners’ demand on the basis of European standards with an objective to harmonise the national legal frameworks was further reinforced through the Quick Response Mechanism</w:t>
      </w:r>
      <w:r>
        <w:rPr>
          <w:rStyle w:val="FootnoteReference"/>
          <w:rFonts w:eastAsia="Times New Roman" w:cs="Arial"/>
          <w:szCs w:val="20"/>
          <w:lang w:eastAsia="fr-FR"/>
        </w:rPr>
        <w:footnoteReference w:id="19"/>
      </w:r>
      <w:r>
        <w:rPr>
          <w:rFonts w:eastAsia="Times New Roman" w:cs="Arial"/>
          <w:szCs w:val="20"/>
          <w:lang w:eastAsia="fr-FR"/>
        </w:rPr>
        <w:t xml:space="preserve"> of the South Programme, which was triggered in 2023 by the Lebanese authorities </w:t>
      </w:r>
      <w:r w:rsidRPr="00375061">
        <w:rPr>
          <w:rFonts w:eastAsia="Times New Roman" w:cs="Arial"/>
          <w:szCs w:val="20"/>
          <w:lang w:eastAsia="fr-FR"/>
        </w:rPr>
        <w:t>on the</w:t>
      </w:r>
      <w:r>
        <w:rPr>
          <w:rFonts w:eastAsia="Times New Roman" w:cs="Arial"/>
          <w:szCs w:val="20"/>
          <w:lang w:eastAsia="fr-FR"/>
        </w:rPr>
        <w:t>ir</w:t>
      </w:r>
      <w:r w:rsidRPr="00375061">
        <w:rPr>
          <w:rFonts w:eastAsia="Times New Roman" w:cs="Arial"/>
          <w:szCs w:val="20"/>
          <w:lang w:eastAsia="fr-FR"/>
        </w:rPr>
        <w:t xml:space="preserve"> draft Law on the Administrative Judiciary</w:t>
      </w:r>
      <w:r>
        <w:rPr>
          <w:rFonts w:eastAsia="Times New Roman" w:cs="Arial"/>
          <w:szCs w:val="20"/>
          <w:lang w:eastAsia="fr-FR"/>
        </w:rPr>
        <w:t xml:space="preserve">. </w:t>
      </w:r>
    </w:p>
    <w:p w14:paraId="42AEA522" w14:textId="77777777" w:rsidR="00F456DB" w:rsidRPr="000254B2" w:rsidRDefault="00F456DB" w:rsidP="00F456DB">
      <w:pPr>
        <w:ind w:left="1135"/>
        <w:rPr>
          <w:rFonts w:eastAsia="Times New Roman" w:cs="Arial"/>
          <w:szCs w:val="20"/>
          <w:lang w:eastAsia="fr-FR"/>
        </w:rPr>
      </w:pPr>
    </w:p>
    <w:p w14:paraId="1D3D91A4" w14:textId="77777777" w:rsidR="008E74B8" w:rsidRPr="00F456DB" w:rsidRDefault="008E74B8" w:rsidP="00F456DB">
      <w:pPr>
        <w:numPr>
          <w:ilvl w:val="0"/>
          <w:numId w:val="9"/>
        </w:numPr>
        <w:ind w:left="1135" w:hanging="851"/>
        <w:rPr>
          <w:rFonts w:cs="Arial"/>
          <w:szCs w:val="20"/>
        </w:rPr>
      </w:pPr>
      <w:r w:rsidRPr="00190427">
        <w:rPr>
          <w:rFonts w:eastAsia="Times New Roman" w:cs="Arial"/>
          <w:szCs w:val="20"/>
          <w:u w:val="single"/>
          <w:lang w:eastAsia="fr-FR"/>
        </w:rPr>
        <w:t>Reinforced capacities of frontline professionals, experts and authorities in the Southern Mediterranean region on the protection of victims of trafficking in human beings</w:t>
      </w:r>
      <w:r w:rsidRPr="000254B2">
        <w:rPr>
          <w:rFonts w:eastAsia="Times New Roman" w:cs="Arial"/>
          <w:szCs w:val="20"/>
          <w:lang w:eastAsia="fr-FR"/>
        </w:rPr>
        <w:t xml:space="preserve"> through the development of tools at </w:t>
      </w:r>
      <w:r>
        <w:rPr>
          <w:rFonts w:eastAsia="Times New Roman" w:cs="Arial"/>
          <w:szCs w:val="20"/>
          <w:lang w:eastAsia="fr-FR"/>
        </w:rPr>
        <w:t xml:space="preserve">the </w:t>
      </w:r>
      <w:r w:rsidRPr="000254B2">
        <w:rPr>
          <w:rFonts w:eastAsia="Times New Roman" w:cs="Arial"/>
          <w:szCs w:val="20"/>
          <w:lang w:eastAsia="fr-FR"/>
        </w:rPr>
        <w:t>national level and the provision</w:t>
      </w:r>
      <w:r>
        <w:rPr>
          <w:rFonts w:eastAsia="Times New Roman" w:cs="Arial"/>
          <w:szCs w:val="20"/>
          <w:lang w:eastAsia="fr-FR"/>
        </w:rPr>
        <w:t xml:space="preserve"> </w:t>
      </w:r>
      <w:r w:rsidRPr="000254B2">
        <w:rPr>
          <w:rFonts w:eastAsia="Times New Roman" w:cs="Arial"/>
          <w:szCs w:val="20"/>
          <w:lang w:eastAsia="fr-FR"/>
        </w:rPr>
        <w:t xml:space="preserve">of innovative training at </w:t>
      </w:r>
      <w:r>
        <w:rPr>
          <w:rFonts w:eastAsia="Times New Roman" w:cs="Arial"/>
          <w:szCs w:val="20"/>
          <w:lang w:eastAsia="fr-FR"/>
        </w:rPr>
        <w:t xml:space="preserve">the </w:t>
      </w:r>
      <w:r w:rsidRPr="000254B2">
        <w:rPr>
          <w:rFonts w:eastAsia="Times New Roman" w:cs="Arial"/>
          <w:szCs w:val="20"/>
          <w:lang w:eastAsia="fr-FR"/>
        </w:rPr>
        <w:t xml:space="preserve">regional level. </w:t>
      </w:r>
      <w:r w:rsidRPr="0066621C">
        <w:rPr>
          <w:rFonts w:eastAsia="Times New Roman" w:cs="Arial"/>
          <w:szCs w:val="20"/>
          <w:lang w:eastAsia="fr-FR"/>
        </w:rPr>
        <w:t xml:space="preserve">More than 100 participants and experts </w:t>
      </w:r>
      <w:r>
        <w:rPr>
          <w:rFonts w:eastAsia="Times New Roman" w:cs="Arial"/>
          <w:szCs w:val="20"/>
          <w:lang w:eastAsia="fr-FR"/>
        </w:rPr>
        <w:t xml:space="preserve">benefited from regional </w:t>
      </w:r>
      <w:r w:rsidRPr="00E52175">
        <w:rPr>
          <w:rFonts w:eastAsia="Times New Roman" w:cs="Arial"/>
          <w:szCs w:val="20"/>
          <w:lang w:eastAsia="fr-FR"/>
        </w:rPr>
        <w:t xml:space="preserve">Training of Trainers (ToT) sessions </w:t>
      </w:r>
      <w:r>
        <w:rPr>
          <w:rFonts w:eastAsia="Times New Roman" w:cs="Arial"/>
          <w:szCs w:val="20"/>
          <w:lang w:eastAsia="fr-FR"/>
        </w:rPr>
        <w:t xml:space="preserve">in Tunis and Strasbourg as well as the </w:t>
      </w:r>
      <w:r w:rsidRPr="0066621C">
        <w:rPr>
          <w:rFonts w:eastAsia="Times New Roman" w:cs="Arial"/>
          <w:szCs w:val="20"/>
          <w:lang w:eastAsia="fr-FR"/>
        </w:rPr>
        <w:t>second regional simulation-based training exercise “Towards a victim-centred approach in criminal proceedings”</w:t>
      </w:r>
      <w:r>
        <w:rPr>
          <w:rFonts w:eastAsia="Times New Roman" w:cs="Arial"/>
          <w:szCs w:val="20"/>
          <w:lang w:eastAsia="fr-FR"/>
        </w:rPr>
        <w:t xml:space="preserve"> held in Spain in 2023.</w:t>
      </w:r>
      <w:r w:rsidRPr="00E52175">
        <w:rPr>
          <w:rFonts w:eastAsia="Times New Roman" w:cs="Arial"/>
          <w:szCs w:val="20"/>
          <w:lang w:eastAsia="fr-FR"/>
        </w:rPr>
        <w:t xml:space="preserve"> </w:t>
      </w:r>
      <w:r>
        <w:rPr>
          <w:rFonts w:eastAsia="Times New Roman" w:cs="Arial"/>
          <w:szCs w:val="20"/>
          <w:lang w:eastAsia="fr-FR"/>
        </w:rPr>
        <w:t>R</w:t>
      </w:r>
      <w:r w:rsidRPr="00E52175">
        <w:rPr>
          <w:rFonts w:eastAsia="Times New Roman" w:cs="Arial"/>
          <w:szCs w:val="20"/>
          <w:lang w:eastAsia="fr-FR"/>
        </w:rPr>
        <w:t>epresentatives of governments, judges and prosecutors, law enforcement</w:t>
      </w:r>
      <w:r>
        <w:rPr>
          <w:rFonts w:eastAsia="Times New Roman" w:cs="Arial"/>
          <w:szCs w:val="20"/>
          <w:lang w:eastAsia="fr-FR"/>
        </w:rPr>
        <w:t xml:space="preserve"> agencies</w:t>
      </w:r>
      <w:r w:rsidRPr="00E52175">
        <w:rPr>
          <w:rFonts w:eastAsia="Times New Roman" w:cs="Arial"/>
          <w:szCs w:val="20"/>
          <w:lang w:eastAsia="fr-FR"/>
        </w:rPr>
        <w:t xml:space="preserve">, social and medical services, labour inspectorates and civil society </w:t>
      </w:r>
      <w:r w:rsidRPr="0066621C">
        <w:rPr>
          <w:rFonts w:eastAsia="Times New Roman" w:cs="Arial"/>
          <w:szCs w:val="20"/>
          <w:lang w:eastAsia="fr-FR"/>
        </w:rPr>
        <w:t>from Belgium, Cabo Verde, Egypt, France, Jordan, Lebanon, Libya, Malta, Morocco, Palestine*, Portugal, Senegal, Spain and Tunisia were trained to detect and refer victims of human trafficking in line with a human-rights based approach</w:t>
      </w:r>
      <w:r>
        <w:rPr>
          <w:rFonts w:eastAsia="Times New Roman" w:cs="Arial"/>
          <w:szCs w:val="20"/>
          <w:lang w:eastAsia="fr-FR"/>
        </w:rPr>
        <w:t xml:space="preserve"> centred on the victim</w:t>
      </w:r>
      <w:r w:rsidRPr="0066621C">
        <w:rPr>
          <w:rFonts w:eastAsia="Times New Roman" w:cs="Arial"/>
          <w:szCs w:val="20"/>
          <w:lang w:eastAsia="fr-FR"/>
        </w:rPr>
        <w:t>. These capacity</w:t>
      </w:r>
      <w:r>
        <w:rPr>
          <w:rFonts w:eastAsia="Times New Roman" w:cs="Arial"/>
          <w:szCs w:val="20"/>
          <w:lang w:eastAsia="fr-FR"/>
        </w:rPr>
        <w:t>-</w:t>
      </w:r>
      <w:r w:rsidRPr="0066621C">
        <w:rPr>
          <w:rFonts w:eastAsia="Times New Roman" w:cs="Arial"/>
          <w:szCs w:val="20"/>
          <w:lang w:eastAsia="fr-FR"/>
        </w:rPr>
        <w:t>building initiatives contribute to the Council of Europe</w:t>
      </w:r>
      <w:r>
        <w:rPr>
          <w:rFonts w:eastAsia="Times New Roman" w:cs="Arial"/>
          <w:szCs w:val="20"/>
          <w:lang w:eastAsia="fr-FR"/>
        </w:rPr>
        <w:t>’s</w:t>
      </w:r>
      <w:r w:rsidRPr="0066621C">
        <w:rPr>
          <w:rFonts w:eastAsia="Times New Roman" w:cs="Arial"/>
          <w:szCs w:val="20"/>
          <w:lang w:eastAsia="fr-FR"/>
        </w:rPr>
        <w:t xml:space="preserve"> work to establish a regional group of experts on combatting trafficking in human beings in the Southern Mediterranean. </w:t>
      </w:r>
    </w:p>
    <w:p w14:paraId="332693A1" w14:textId="77777777" w:rsidR="00F456DB" w:rsidRPr="0066621C" w:rsidRDefault="00F456DB" w:rsidP="00F456DB">
      <w:pPr>
        <w:ind w:left="1135"/>
        <w:rPr>
          <w:rFonts w:cs="Arial"/>
          <w:szCs w:val="20"/>
        </w:rPr>
      </w:pPr>
    </w:p>
    <w:p w14:paraId="5E08FBB2" w14:textId="77777777" w:rsidR="008E74B8" w:rsidRDefault="008E74B8" w:rsidP="00F456DB">
      <w:pPr>
        <w:pStyle w:val="ListParagraph"/>
        <w:numPr>
          <w:ilvl w:val="0"/>
          <w:numId w:val="9"/>
        </w:numPr>
        <w:ind w:left="1135" w:hanging="851"/>
        <w:rPr>
          <w:rFonts w:ascii="Arial" w:eastAsia="Times New Roman" w:hAnsi="Arial" w:cs="Arial"/>
          <w:sz w:val="20"/>
          <w:szCs w:val="20"/>
          <w:lang w:eastAsia="fr-FR"/>
        </w:rPr>
      </w:pPr>
      <w:r w:rsidRPr="00783A5E">
        <w:rPr>
          <w:rFonts w:ascii="Arial" w:eastAsia="Times New Roman" w:hAnsi="Arial" w:cs="Arial"/>
          <w:sz w:val="20"/>
          <w:szCs w:val="20"/>
          <w:u w:val="single"/>
          <w:lang w:eastAsia="fr-FR"/>
        </w:rPr>
        <w:t xml:space="preserve">Enhanced capacities of legal professionals in the region on human rights, European and international standards </w:t>
      </w:r>
      <w:r w:rsidRPr="0092562E">
        <w:rPr>
          <w:rFonts w:ascii="Arial" w:eastAsia="Times New Roman" w:hAnsi="Arial" w:cs="Arial"/>
          <w:sz w:val="20"/>
          <w:szCs w:val="20"/>
          <w:lang w:eastAsia="fr-FR"/>
        </w:rPr>
        <w:t xml:space="preserve">with more than 3000 users of the HELP platform, over 190 HELP tutors trained in the region (Algeria, Egypt, Jordan, Lebanon, Libya, Morocco and Tunisia) and a growing number of HELP courses translated into Arabic and contextualised to respond to the needs of partners in priority thematic areas. </w:t>
      </w:r>
    </w:p>
    <w:p w14:paraId="2CD246BB" w14:textId="77777777" w:rsidR="00F456DB" w:rsidRPr="0092562E" w:rsidRDefault="00F456DB" w:rsidP="00F456DB">
      <w:pPr>
        <w:pStyle w:val="ListParagraph"/>
        <w:ind w:left="1135"/>
        <w:rPr>
          <w:rFonts w:ascii="Arial" w:eastAsia="Times New Roman" w:hAnsi="Arial" w:cs="Arial"/>
          <w:sz w:val="20"/>
          <w:szCs w:val="20"/>
          <w:lang w:eastAsia="fr-FR"/>
        </w:rPr>
      </w:pPr>
    </w:p>
    <w:p w14:paraId="19ACC192" w14:textId="77777777" w:rsidR="008E74B8" w:rsidRDefault="008E74B8" w:rsidP="00F456DB">
      <w:pPr>
        <w:pStyle w:val="ListParagraph"/>
        <w:numPr>
          <w:ilvl w:val="0"/>
          <w:numId w:val="9"/>
        </w:numPr>
        <w:ind w:left="1135" w:hanging="851"/>
        <w:rPr>
          <w:rFonts w:ascii="Arial" w:eastAsia="Times New Roman" w:hAnsi="Arial" w:cs="Arial"/>
          <w:sz w:val="20"/>
          <w:szCs w:val="20"/>
          <w:lang w:eastAsia="fr-FR"/>
        </w:rPr>
      </w:pPr>
      <w:r w:rsidRPr="00190427">
        <w:rPr>
          <w:rFonts w:ascii="Arial" w:eastAsia="Times New Roman" w:hAnsi="Arial" w:cs="Arial"/>
          <w:sz w:val="20"/>
          <w:szCs w:val="20"/>
          <w:u w:val="single"/>
          <w:lang w:eastAsia="fr-FR"/>
        </w:rPr>
        <w:t>Strengthened technical capacities of more than 3700 justice sector actors</w:t>
      </w:r>
      <w:r>
        <w:rPr>
          <w:rFonts w:ascii="Arial" w:eastAsia="Times New Roman" w:hAnsi="Arial" w:cs="Arial"/>
          <w:sz w:val="20"/>
          <w:szCs w:val="20"/>
          <w:lang w:eastAsia="fr-FR"/>
        </w:rPr>
        <w:t>,</w:t>
      </w:r>
      <w:r w:rsidRPr="0066621C">
        <w:rPr>
          <w:rFonts w:ascii="Arial" w:eastAsia="Times New Roman" w:hAnsi="Arial" w:cs="Arial"/>
          <w:sz w:val="20"/>
          <w:szCs w:val="20"/>
          <w:lang w:eastAsia="fr-FR"/>
        </w:rPr>
        <w:t xml:space="preserve"> </w:t>
      </w:r>
      <w:r w:rsidRPr="00256415">
        <w:rPr>
          <w:rFonts w:ascii="Arial" w:eastAsia="Times New Roman" w:hAnsi="Arial" w:cs="Arial"/>
          <w:sz w:val="20"/>
          <w:szCs w:val="20"/>
          <w:lang w:eastAsia="fr-FR"/>
        </w:rPr>
        <w:t>including magistrates, lawyers, clerks and legal professionals</w:t>
      </w:r>
      <w:r>
        <w:rPr>
          <w:rFonts w:ascii="Arial" w:eastAsia="Times New Roman" w:hAnsi="Arial" w:cs="Arial"/>
          <w:sz w:val="20"/>
          <w:szCs w:val="20"/>
          <w:lang w:eastAsia="fr-FR"/>
        </w:rPr>
        <w:t>, to improve the</w:t>
      </w:r>
      <w:r w:rsidRPr="00256415">
        <w:rPr>
          <w:rFonts w:ascii="Arial" w:eastAsia="Times New Roman" w:hAnsi="Arial" w:cs="Arial"/>
          <w:sz w:val="20"/>
          <w:szCs w:val="20"/>
          <w:lang w:eastAsia="fr-FR"/>
        </w:rPr>
        <w:t xml:space="preserve"> </w:t>
      </w:r>
      <w:r w:rsidRPr="00190427">
        <w:rPr>
          <w:rFonts w:ascii="Arial" w:eastAsia="Times New Roman" w:hAnsi="Arial" w:cs="Arial"/>
          <w:sz w:val="20"/>
          <w:szCs w:val="20"/>
          <w:lang w:eastAsia="fr-FR"/>
        </w:rPr>
        <w:t xml:space="preserve">independence, efficiency and quality of justice </w:t>
      </w:r>
      <w:r>
        <w:rPr>
          <w:rFonts w:ascii="Arial" w:eastAsia="Times New Roman" w:hAnsi="Arial" w:cs="Arial"/>
          <w:sz w:val="20"/>
          <w:szCs w:val="20"/>
          <w:lang w:eastAsia="fr-FR"/>
        </w:rPr>
        <w:t>in Tunisia</w:t>
      </w:r>
      <w:r w:rsidRPr="0066621C">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through targeted capacity-building measures implemented by the end of September 2023. In addition, with the objective of </w:t>
      </w:r>
      <w:r w:rsidRPr="0038668B">
        <w:rPr>
          <w:rFonts w:ascii="Arial" w:eastAsia="Times New Roman" w:hAnsi="Arial" w:cs="Arial"/>
          <w:sz w:val="20"/>
          <w:szCs w:val="20"/>
          <w:lang w:eastAsia="fr-FR"/>
        </w:rPr>
        <w:t>improv</w:t>
      </w:r>
      <w:r>
        <w:rPr>
          <w:rFonts w:ascii="Arial" w:eastAsia="Times New Roman" w:hAnsi="Arial" w:cs="Arial"/>
          <w:sz w:val="20"/>
          <w:szCs w:val="20"/>
          <w:lang w:eastAsia="fr-FR"/>
        </w:rPr>
        <w:t>ing</w:t>
      </w:r>
      <w:r w:rsidRPr="0038668B">
        <w:rPr>
          <w:rFonts w:ascii="Arial" w:eastAsia="Times New Roman" w:hAnsi="Arial" w:cs="Arial"/>
          <w:sz w:val="20"/>
          <w:szCs w:val="20"/>
          <w:lang w:eastAsia="fr-FR"/>
        </w:rPr>
        <w:t xml:space="preserve"> the efficiency of legal proceedings, </w:t>
      </w:r>
      <w:r>
        <w:rPr>
          <w:rFonts w:ascii="Arial" w:eastAsia="Times New Roman" w:hAnsi="Arial" w:cs="Arial"/>
          <w:sz w:val="20"/>
          <w:szCs w:val="20"/>
          <w:lang w:eastAsia="fr-FR"/>
        </w:rPr>
        <w:t>a</w:t>
      </w:r>
      <w:r w:rsidRPr="0038668B">
        <w:rPr>
          <w:rFonts w:ascii="Arial" w:eastAsia="Times New Roman" w:hAnsi="Arial" w:cs="Arial"/>
          <w:sz w:val="20"/>
          <w:szCs w:val="20"/>
          <w:lang w:eastAsia="fr-FR"/>
        </w:rPr>
        <w:t xml:space="preserve"> digital platform </w:t>
      </w:r>
      <w:r>
        <w:rPr>
          <w:rFonts w:ascii="Arial" w:eastAsia="Times New Roman" w:hAnsi="Arial" w:cs="Arial"/>
          <w:sz w:val="20"/>
          <w:szCs w:val="20"/>
          <w:lang w:eastAsia="fr-FR"/>
        </w:rPr>
        <w:t xml:space="preserve">“jShare” </w:t>
      </w:r>
      <w:r w:rsidRPr="0038668B">
        <w:rPr>
          <w:rFonts w:ascii="Arial" w:eastAsia="Times New Roman" w:hAnsi="Arial" w:cs="Arial"/>
          <w:sz w:val="20"/>
          <w:szCs w:val="20"/>
          <w:lang w:eastAsia="fr-FR"/>
        </w:rPr>
        <w:t xml:space="preserve">was set up in 2023 </w:t>
      </w:r>
      <w:r>
        <w:rPr>
          <w:rFonts w:ascii="Arial" w:eastAsia="Times New Roman" w:hAnsi="Arial" w:cs="Arial"/>
          <w:sz w:val="20"/>
          <w:szCs w:val="20"/>
          <w:lang w:eastAsia="fr-FR"/>
        </w:rPr>
        <w:t xml:space="preserve">in partnership with the Tunisian Ministry of Justice </w:t>
      </w:r>
      <w:r w:rsidRPr="0038668B">
        <w:rPr>
          <w:rFonts w:ascii="Arial" w:eastAsia="Times New Roman" w:hAnsi="Arial" w:cs="Arial"/>
          <w:sz w:val="20"/>
          <w:szCs w:val="20"/>
          <w:lang w:eastAsia="fr-FR"/>
        </w:rPr>
        <w:t xml:space="preserve">to facilitate the exchange of documents and communication between courts and lawyers. </w:t>
      </w:r>
      <w:r>
        <w:rPr>
          <w:rFonts w:ascii="Arial" w:eastAsia="Times New Roman" w:hAnsi="Arial" w:cs="Arial"/>
          <w:sz w:val="20"/>
          <w:szCs w:val="20"/>
          <w:lang w:eastAsia="fr-FR"/>
        </w:rPr>
        <w:t>The platform</w:t>
      </w:r>
      <w:r w:rsidRPr="0038668B">
        <w:rPr>
          <w:rFonts w:ascii="Arial" w:eastAsia="Times New Roman" w:hAnsi="Arial" w:cs="Arial"/>
          <w:sz w:val="20"/>
          <w:szCs w:val="20"/>
          <w:lang w:eastAsia="fr-FR"/>
        </w:rPr>
        <w:t xml:space="preserve"> </w:t>
      </w:r>
      <w:r>
        <w:rPr>
          <w:rFonts w:ascii="Arial" w:eastAsia="Times New Roman" w:hAnsi="Arial" w:cs="Arial"/>
          <w:sz w:val="20"/>
          <w:szCs w:val="20"/>
          <w:lang w:eastAsia="fr-FR"/>
        </w:rPr>
        <w:t>has the potential to</w:t>
      </w:r>
      <w:r w:rsidRPr="0038668B">
        <w:rPr>
          <w:rFonts w:ascii="Arial" w:eastAsia="Times New Roman" w:hAnsi="Arial" w:cs="Arial"/>
          <w:sz w:val="20"/>
          <w:szCs w:val="20"/>
          <w:lang w:eastAsia="fr-FR"/>
        </w:rPr>
        <w:t xml:space="preserve"> reach </w:t>
      </w:r>
      <w:r>
        <w:rPr>
          <w:rFonts w:ascii="Arial" w:eastAsia="Times New Roman" w:hAnsi="Arial" w:cs="Arial"/>
          <w:sz w:val="20"/>
          <w:szCs w:val="20"/>
          <w:lang w:eastAsia="fr-FR"/>
        </w:rPr>
        <w:t xml:space="preserve">up to </w:t>
      </w:r>
      <w:r w:rsidRPr="0038668B">
        <w:rPr>
          <w:rFonts w:ascii="Arial" w:eastAsia="Times New Roman" w:hAnsi="Arial" w:cs="Arial"/>
          <w:sz w:val="20"/>
          <w:szCs w:val="20"/>
          <w:lang w:eastAsia="fr-FR"/>
        </w:rPr>
        <w:t>15000 users of which 9000 lawyers</w:t>
      </w:r>
      <w:r>
        <w:rPr>
          <w:rFonts w:ascii="Arial" w:eastAsia="Times New Roman" w:hAnsi="Arial" w:cs="Arial"/>
          <w:sz w:val="20"/>
          <w:szCs w:val="20"/>
          <w:lang w:eastAsia="fr-FR"/>
        </w:rPr>
        <w:t xml:space="preserve"> and it aims to further contribute to the </w:t>
      </w:r>
      <w:r w:rsidRPr="00F13CE5">
        <w:rPr>
          <w:rFonts w:ascii="Arial" w:eastAsia="Times New Roman" w:hAnsi="Arial" w:cs="Arial"/>
          <w:sz w:val="20"/>
          <w:szCs w:val="20"/>
          <w:lang w:eastAsia="fr-FR"/>
        </w:rPr>
        <w:t>modernisation of IT tools and infrastructures in the justice sector</w:t>
      </w:r>
      <w:r>
        <w:rPr>
          <w:rFonts w:ascii="Arial" w:eastAsia="Times New Roman" w:hAnsi="Arial" w:cs="Arial"/>
          <w:sz w:val="20"/>
          <w:szCs w:val="20"/>
          <w:lang w:eastAsia="fr-FR"/>
        </w:rPr>
        <w:t xml:space="preserve"> in line with the Tunisian government’s </w:t>
      </w:r>
      <w:r w:rsidRPr="00190427">
        <w:rPr>
          <w:rFonts w:ascii="Arial" w:eastAsia="Times New Roman" w:hAnsi="Arial" w:cs="Arial"/>
          <w:sz w:val="20"/>
          <w:szCs w:val="20"/>
          <w:lang w:eastAsia="fr-FR"/>
        </w:rPr>
        <w:t>"Digital Justice 2000"</w:t>
      </w:r>
      <w:r>
        <w:rPr>
          <w:rFonts w:ascii="Arial" w:eastAsia="Times New Roman" w:hAnsi="Arial" w:cs="Arial"/>
          <w:sz w:val="20"/>
          <w:szCs w:val="20"/>
          <w:lang w:eastAsia="fr-FR"/>
        </w:rPr>
        <w:t xml:space="preserve"> strategy</w:t>
      </w:r>
      <w:r w:rsidRPr="00190427">
        <w:rPr>
          <w:rFonts w:ascii="Arial" w:eastAsia="Times New Roman" w:hAnsi="Arial" w:cs="Arial"/>
          <w:sz w:val="20"/>
          <w:szCs w:val="20"/>
          <w:lang w:eastAsia="fr-FR"/>
        </w:rPr>
        <w:t xml:space="preserve">. </w:t>
      </w:r>
    </w:p>
    <w:p w14:paraId="748F27C9" w14:textId="77777777" w:rsidR="00F456DB" w:rsidRPr="00190427" w:rsidRDefault="00F456DB" w:rsidP="00F456DB">
      <w:pPr>
        <w:pStyle w:val="ListParagraph"/>
        <w:ind w:left="1135"/>
        <w:rPr>
          <w:rFonts w:ascii="Arial" w:eastAsia="Times New Roman" w:hAnsi="Arial" w:cs="Arial"/>
          <w:sz w:val="20"/>
          <w:szCs w:val="20"/>
          <w:lang w:eastAsia="fr-FR"/>
        </w:rPr>
      </w:pPr>
    </w:p>
    <w:p w14:paraId="138AB2B7" w14:textId="77777777" w:rsidR="008E74B8" w:rsidRDefault="008E74B8" w:rsidP="00F456DB">
      <w:pPr>
        <w:pStyle w:val="ListParagraph"/>
        <w:numPr>
          <w:ilvl w:val="0"/>
          <w:numId w:val="9"/>
        </w:numPr>
        <w:ind w:left="1135" w:hanging="851"/>
        <w:rPr>
          <w:rFonts w:ascii="Arial" w:hAnsi="Arial" w:cs="Arial"/>
          <w:sz w:val="20"/>
          <w:szCs w:val="20"/>
        </w:rPr>
      </w:pPr>
      <w:r w:rsidRPr="00AB5B5D">
        <w:rPr>
          <w:rFonts w:ascii="Arial" w:hAnsi="Arial" w:cs="Arial"/>
          <w:sz w:val="20"/>
          <w:szCs w:val="20"/>
          <w:u w:val="single"/>
        </w:rPr>
        <w:t>Increased justice performance through the use of CEPEJ tools in Morocco and Tunisia</w:t>
      </w:r>
      <w:r w:rsidRPr="000254B2">
        <w:rPr>
          <w:rFonts w:ascii="Arial" w:hAnsi="Arial" w:cs="Arial"/>
          <w:sz w:val="20"/>
          <w:szCs w:val="20"/>
        </w:rPr>
        <w:t xml:space="preserve"> contributing to a better performance of the judicial system, including as regards remote trials, capacity building for judges and life-long learning for lawyers.</w:t>
      </w:r>
    </w:p>
    <w:p w14:paraId="7B72CA4C" w14:textId="77777777" w:rsidR="00F456DB" w:rsidRPr="00190427" w:rsidRDefault="00F456DB" w:rsidP="00F456DB">
      <w:pPr>
        <w:pStyle w:val="ListParagraph"/>
        <w:ind w:left="1135"/>
        <w:rPr>
          <w:rFonts w:ascii="Arial" w:hAnsi="Arial" w:cs="Arial"/>
          <w:sz w:val="20"/>
          <w:szCs w:val="20"/>
        </w:rPr>
      </w:pPr>
    </w:p>
    <w:p w14:paraId="4AF6E48E" w14:textId="77777777" w:rsidR="008E74B8" w:rsidRDefault="008E74B8" w:rsidP="00F456DB">
      <w:pPr>
        <w:numPr>
          <w:ilvl w:val="0"/>
          <w:numId w:val="9"/>
        </w:numPr>
        <w:ind w:left="1135" w:hanging="851"/>
        <w:rPr>
          <w:rFonts w:eastAsia="Times New Roman" w:cs="Arial"/>
          <w:szCs w:val="20"/>
          <w:lang w:eastAsia="fr-FR"/>
        </w:rPr>
      </w:pPr>
      <w:r w:rsidRPr="00190427">
        <w:rPr>
          <w:rFonts w:eastAsia="Times New Roman" w:cs="Arial"/>
          <w:szCs w:val="20"/>
          <w:u w:val="single"/>
          <w:lang w:eastAsia="fr-FR"/>
        </w:rPr>
        <w:t>Improved skills and increased know-how of authorities and professionals in the region on the importance of the protection of personal data</w:t>
      </w:r>
      <w:r w:rsidRPr="0066621C">
        <w:rPr>
          <w:rFonts w:eastAsia="Times New Roman" w:cs="Arial"/>
          <w:szCs w:val="20"/>
          <w:lang w:eastAsia="fr-FR"/>
        </w:rPr>
        <w:t xml:space="preserve">. A first inspection programme of the national data protection authority in Tunisia </w:t>
      </w:r>
      <w:r>
        <w:rPr>
          <w:rFonts w:eastAsia="Times New Roman" w:cs="Arial"/>
          <w:szCs w:val="20"/>
          <w:lang w:eastAsia="fr-FR"/>
        </w:rPr>
        <w:t>was completed with</w:t>
      </w:r>
      <w:r w:rsidRPr="0066621C">
        <w:rPr>
          <w:rFonts w:eastAsia="Times New Roman" w:cs="Arial"/>
          <w:szCs w:val="20"/>
          <w:lang w:eastAsia="fr-FR"/>
        </w:rPr>
        <w:t xml:space="preserve"> 336 inspections of companies and public administrations </w:t>
      </w:r>
      <w:r>
        <w:rPr>
          <w:rFonts w:eastAsia="Times New Roman" w:cs="Arial"/>
          <w:szCs w:val="20"/>
          <w:lang w:eastAsia="fr-FR"/>
        </w:rPr>
        <w:t>carried out</w:t>
      </w:r>
      <w:r w:rsidRPr="0066621C">
        <w:rPr>
          <w:rFonts w:eastAsia="Times New Roman" w:cs="Arial"/>
          <w:szCs w:val="20"/>
          <w:lang w:eastAsia="fr-FR"/>
        </w:rPr>
        <w:t xml:space="preserve"> </w:t>
      </w:r>
      <w:r>
        <w:rPr>
          <w:rFonts w:eastAsia="Times New Roman" w:cs="Arial"/>
          <w:szCs w:val="20"/>
          <w:lang w:eastAsia="fr-FR"/>
        </w:rPr>
        <w:t>by the end of</w:t>
      </w:r>
      <w:r w:rsidRPr="0066621C">
        <w:rPr>
          <w:rFonts w:eastAsia="Times New Roman" w:cs="Arial"/>
          <w:szCs w:val="20"/>
          <w:lang w:eastAsia="fr-FR"/>
        </w:rPr>
        <w:t xml:space="preserve"> January 2023</w:t>
      </w:r>
      <w:r>
        <w:rPr>
          <w:rFonts w:eastAsia="Times New Roman" w:cs="Arial"/>
          <w:szCs w:val="20"/>
          <w:lang w:eastAsia="fr-FR"/>
        </w:rPr>
        <w:t xml:space="preserve"> and </w:t>
      </w:r>
      <w:r w:rsidRPr="0066621C">
        <w:rPr>
          <w:rFonts w:eastAsia="Times New Roman" w:cs="Arial"/>
          <w:szCs w:val="20"/>
          <w:lang w:eastAsia="fr-FR"/>
        </w:rPr>
        <w:t>250 Data Protection Officer (DPO) posts created in the audited entities since the inspection started in 2019.</w:t>
      </w:r>
      <w:r>
        <w:rPr>
          <w:rFonts w:eastAsia="Times New Roman" w:cs="Arial"/>
          <w:szCs w:val="20"/>
          <w:lang w:eastAsia="fr-FR"/>
        </w:rPr>
        <w:t xml:space="preserve"> In addition, journalists and media professionals as well as lawyers and professionals from different sectors benefited from HELP and other targeted training to </w:t>
      </w:r>
      <w:r w:rsidRPr="0066621C">
        <w:rPr>
          <w:rFonts w:eastAsia="Times New Roman" w:cs="Arial"/>
          <w:szCs w:val="20"/>
          <w:lang w:eastAsia="fr-FR"/>
        </w:rPr>
        <w:t xml:space="preserve">enhance their knowledge and skills in respect for privacy and </w:t>
      </w:r>
      <w:r>
        <w:rPr>
          <w:rFonts w:eastAsia="Times New Roman" w:cs="Arial"/>
          <w:szCs w:val="20"/>
          <w:lang w:eastAsia="fr-FR"/>
        </w:rPr>
        <w:t xml:space="preserve">protection of personal data in Tunisia. Needs assessments </w:t>
      </w:r>
      <w:r w:rsidRPr="00E477F0">
        <w:rPr>
          <w:rFonts w:eastAsia="Times New Roman" w:cs="Arial"/>
          <w:szCs w:val="20"/>
          <w:lang w:eastAsia="fr-FR"/>
        </w:rPr>
        <w:t xml:space="preserve">in the field of personal data protection </w:t>
      </w:r>
      <w:r>
        <w:rPr>
          <w:rFonts w:eastAsia="Times New Roman" w:cs="Arial"/>
          <w:szCs w:val="20"/>
          <w:lang w:eastAsia="fr-FR"/>
        </w:rPr>
        <w:t xml:space="preserve">were conducted in Jordan, Lebanon and Libya in 2023 with priority areas for technical support identified jointly with relevant national authorities in these countries. </w:t>
      </w:r>
    </w:p>
    <w:p w14:paraId="5738E1EE" w14:textId="4AECC633" w:rsidR="00F456DB" w:rsidRPr="0066621C" w:rsidRDefault="00F456DB" w:rsidP="00F456DB">
      <w:pPr>
        <w:rPr>
          <w:rFonts w:eastAsia="Times New Roman" w:cs="Arial"/>
          <w:szCs w:val="20"/>
          <w:lang w:eastAsia="fr-FR"/>
        </w:rPr>
      </w:pPr>
      <w:r>
        <w:rPr>
          <w:rFonts w:eastAsia="Times New Roman" w:cs="Arial"/>
          <w:szCs w:val="20"/>
          <w:lang w:eastAsia="fr-FR"/>
        </w:rPr>
        <w:br w:type="page"/>
      </w:r>
    </w:p>
    <w:p w14:paraId="7CAAFFC3" w14:textId="77777777" w:rsidR="008E74B8" w:rsidRPr="00F456DB" w:rsidRDefault="008E74B8" w:rsidP="00F456DB">
      <w:pPr>
        <w:numPr>
          <w:ilvl w:val="0"/>
          <w:numId w:val="9"/>
        </w:numPr>
        <w:ind w:left="1135" w:hanging="851"/>
        <w:rPr>
          <w:rFonts w:cs="Arial"/>
          <w:szCs w:val="20"/>
        </w:rPr>
      </w:pPr>
      <w:r>
        <w:rPr>
          <w:rFonts w:eastAsia="Times New Roman" w:cs="Arial"/>
          <w:szCs w:val="20"/>
          <w:u w:val="single"/>
          <w:lang w:eastAsia="fr-FR"/>
        </w:rPr>
        <w:t xml:space="preserve">Reinforced </w:t>
      </w:r>
      <w:r w:rsidRPr="00190427">
        <w:rPr>
          <w:rFonts w:eastAsia="Times New Roman" w:cs="Arial"/>
          <w:szCs w:val="20"/>
          <w:u w:val="single"/>
          <w:lang w:eastAsia="fr-FR"/>
        </w:rPr>
        <w:t>peer-to-peer exchanges through Council of Europe networks</w:t>
      </w:r>
      <w:r w:rsidRPr="000254B2">
        <w:rPr>
          <w:rFonts w:eastAsia="Times New Roman" w:cs="Arial"/>
          <w:szCs w:val="20"/>
          <w:lang w:eastAsia="fr-FR"/>
        </w:rPr>
        <w:t xml:space="preserve">, such as the </w:t>
      </w:r>
      <w:r w:rsidRPr="00E52175">
        <w:rPr>
          <w:rFonts w:eastAsia="Times New Roman" w:cs="Arial"/>
          <w:szCs w:val="20"/>
          <w:lang w:eastAsia="fr-FR"/>
        </w:rPr>
        <w:t>University for Democracy for the Southern Mediterranean (UniDem Med) of the Venice Commission targeting senior civil servants in the region, Mediterranean School Survey Project on Alcohol and Other Drugs (MedSPAD) of the Pompidou Group on countering substance abuse, and the South-Mediterranean Network of Justice Inspection Services (SUDMEDIJ) of the CEPEJ</w:t>
      </w:r>
      <w:r>
        <w:rPr>
          <w:rFonts w:eastAsia="Times New Roman" w:cs="Arial"/>
          <w:szCs w:val="20"/>
          <w:lang w:eastAsia="fr-FR"/>
        </w:rPr>
        <w:t xml:space="preserve">, which was </w:t>
      </w:r>
      <w:r w:rsidRPr="00E52175">
        <w:rPr>
          <w:rFonts w:eastAsia="Times New Roman" w:cs="Arial"/>
          <w:szCs w:val="20"/>
          <w:lang w:eastAsia="fr-FR"/>
        </w:rPr>
        <w:t xml:space="preserve">launched in 2022 in the framework of the fourth phase of the programme. </w:t>
      </w:r>
      <w:r w:rsidRPr="000254B2">
        <w:rPr>
          <w:rFonts w:eastAsia="Times New Roman" w:cs="Arial"/>
          <w:szCs w:val="20"/>
          <w:lang w:eastAsia="fr-FR"/>
        </w:rPr>
        <w:t xml:space="preserve">The South Programme continues to encourage networking and dialogue through targeted support to 8 </w:t>
      </w:r>
      <w:r>
        <w:rPr>
          <w:rFonts w:eastAsia="Times New Roman" w:cs="Arial"/>
          <w:szCs w:val="20"/>
          <w:lang w:eastAsia="fr-FR"/>
        </w:rPr>
        <w:t xml:space="preserve">regional, sub-regional or north-south </w:t>
      </w:r>
      <w:r w:rsidRPr="000254B2">
        <w:rPr>
          <w:rFonts w:eastAsia="Times New Roman" w:cs="Arial"/>
          <w:szCs w:val="20"/>
          <w:lang w:eastAsia="fr-FR"/>
        </w:rPr>
        <w:t xml:space="preserve">networks on the protection of human rights, </w:t>
      </w:r>
      <w:r>
        <w:rPr>
          <w:rFonts w:eastAsia="Times New Roman" w:cs="Arial"/>
          <w:szCs w:val="20"/>
          <w:lang w:eastAsia="fr-FR"/>
        </w:rPr>
        <w:t xml:space="preserve">the </w:t>
      </w:r>
      <w:r w:rsidRPr="000254B2">
        <w:rPr>
          <w:rFonts w:eastAsia="Times New Roman" w:cs="Arial"/>
          <w:szCs w:val="20"/>
          <w:lang w:eastAsia="fr-FR"/>
        </w:rPr>
        <w:t>rule of law and democracy in the region.</w:t>
      </w:r>
    </w:p>
    <w:p w14:paraId="2936E9E7" w14:textId="77777777" w:rsidR="00F456DB" w:rsidRPr="00190427" w:rsidRDefault="00F456DB" w:rsidP="00F456DB">
      <w:pPr>
        <w:ind w:left="1135"/>
        <w:rPr>
          <w:rFonts w:cs="Arial"/>
          <w:szCs w:val="20"/>
        </w:rPr>
      </w:pPr>
    </w:p>
    <w:p w14:paraId="4722D66C" w14:textId="77777777" w:rsidR="008E74B8" w:rsidRPr="00A15DB9" w:rsidRDefault="008E74B8" w:rsidP="00F456DB">
      <w:pPr>
        <w:numPr>
          <w:ilvl w:val="0"/>
          <w:numId w:val="9"/>
        </w:numPr>
        <w:ind w:left="1135" w:hanging="851"/>
        <w:rPr>
          <w:rFonts w:cs="Arial"/>
          <w:szCs w:val="20"/>
        </w:rPr>
      </w:pPr>
      <w:r>
        <w:rPr>
          <w:rFonts w:eastAsia="Times New Roman" w:cs="Arial"/>
          <w:szCs w:val="20"/>
          <w:u w:val="single"/>
          <w:lang w:eastAsia="fr-FR"/>
        </w:rPr>
        <w:t xml:space="preserve">Increased awareness and capacities of </w:t>
      </w:r>
      <w:r w:rsidRPr="00190427">
        <w:rPr>
          <w:rFonts w:eastAsia="Times New Roman" w:cs="Arial"/>
          <w:szCs w:val="20"/>
          <w:u w:val="single"/>
          <w:lang w:eastAsia="fr-FR"/>
        </w:rPr>
        <w:t>civil society organisations and youth</w:t>
      </w:r>
      <w:r>
        <w:rPr>
          <w:rFonts w:eastAsia="Times New Roman" w:cs="Arial"/>
          <w:szCs w:val="20"/>
          <w:lang w:eastAsia="fr-FR"/>
        </w:rPr>
        <w:t xml:space="preserve"> through a regional seminar organised by the Tunis School of Politics on the effects of climate change on the Mediterranean region, and the creation of a new Rule of Law and Youth Network (RoLYN) which was launched at the 2023 Lisbon Forum on “</w:t>
      </w:r>
      <w:r w:rsidRPr="0027270A">
        <w:rPr>
          <w:rFonts w:eastAsia="Times New Roman" w:cs="Arial"/>
          <w:szCs w:val="20"/>
          <w:lang w:eastAsia="fr-FR"/>
        </w:rPr>
        <w:t>Human Rights, Environment and Economic Crimes: Youth at the forefront"</w:t>
      </w:r>
      <w:r>
        <w:rPr>
          <w:rFonts w:eastAsia="Times New Roman" w:cs="Arial"/>
          <w:szCs w:val="20"/>
          <w:lang w:eastAsia="fr-FR"/>
        </w:rPr>
        <w:t xml:space="preserve">. </w:t>
      </w:r>
    </w:p>
    <w:p w14:paraId="1E88CD5F" w14:textId="77777777" w:rsidR="008E74B8" w:rsidRPr="00A15DB9" w:rsidRDefault="008E74B8" w:rsidP="008E74B8">
      <w:pPr>
        <w:spacing w:before="120" w:after="120" w:line="240" w:lineRule="atLeast"/>
        <w:ind w:left="1134"/>
        <w:rPr>
          <w:rFonts w:cs="Arial"/>
          <w:szCs w:val="20"/>
        </w:rPr>
      </w:pPr>
    </w:p>
    <w:p w14:paraId="013B6AB7" w14:textId="77777777" w:rsidR="008E74B8" w:rsidRDefault="008E74B8" w:rsidP="00F456DB">
      <w:pPr>
        <w:numPr>
          <w:ilvl w:val="0"/>
          <w:numId w:val="4"/>
        </w:numPr>
        <w:tabs>
          <w:tab w:val="left" w:pos="709"/>
          <w:tab w:val="left" w:pos="1276"/>
        </w:tabs>
        <w:ind w:left="709" w:hanging="709"/>
        <w:rPr>
          <w:rFonts w:eastAsia="Times New Roman" w:cs="Arial"/>
          <w:b/>
          <w:szCs w:val="20"/>
          <w:lang w:eastAsia="fr-FR"/>
        </w:rPr>
      </w:pPr>
      <w:r w:rsidRPr="000254B2">
        <w:rPr>
          <w:rFonts w:eastAsia="Times New Roman" w:cs="Arial"/>
          <w:b/>
          <w:szCs w:val="20"/>
          <w:lang w:eastAsia="fr-FR"/>
        </w:rPr>
        <w:t>Joint Programmes in Central Asia</w:t>
      </w:r>
    </w:p>
    <w:p w14:paraId="14BA521C" w14:textId="77777777" w:rsidR="00F456DB" w:rsidRPr="000254B2" w:rsidRDefault="00F456DB" w:rsidP="00F456DB">
      <w:pPr>
        <w:tabs>
          <w:tab w:val="left" w:pos="709"/>
          <w:tab w:val="left" w:pos="1276"/>
        </w:tabs>
        <w:ind w:left="709"/>
        <w:rPr>
          <w:rFonts w:eastAsia="Times New Roman" w:cs="Arial"/>
          <w:b/>
          <w:szCs w:val="20"/>
          <w:lang w:eastAsia="fr-FR"/>
        </w:rPr>
      </w:pPr>
    </w:p>
    <w:p w14:paraId="5F79A09B" w14:textId="77777777" w:rsidR="008E74B8" w:rsidRDefault="008E74B8" w:rsidP="00F456DB">
      <w:pPr>
        <w:rPr>
          <w:rFonts w:cs="Arial"/>
          <w:szCs w:val="20"/>
        </w:rPr>
      </w:pPr>
      <w:r w:rsidRPr="000254B2">
        <w:rPr>
          <w:rFonts w:cs="Arial"/>
          <w:bCs/>
          <w:szCs w:val="20"/>
        </w:rPr>
        <w:t>The European Union-</w:t>
      </w:r>
      <w:r w:rsidRPr="000254B2">
        <w:rPr>
          <w:rFonts w:cs="Arial"/>
          <w:szCs w:val="20"/>
        </w:rPr>
        <w:t>Council of Europe Joint “Central Asia Rule of Law Programme” (total budget: €8.9 million) has been implemented since 2020</w:t>
      </w:r>
      <w:r>
        <w:rPr>
          <w:rFonts w:cs="Arial"/>
          <w:szCs w:val="20"/>
        </w:rPr>
        <w:t>, with an initial duration of four years. In 2023, the programme benefitted from a 6-month extension to mid-2024</w:t>
      </w:r>
      <w:r w:rsidRPr="000254B2">
        <w:rPr>
          <w:rFonts w:cs="Arial"/>
          <w:szCs w:val="20"/>
        </w:rPr>
        <w:t xml:space="preserve">. The Programme is open to all five countries of the region – Kazakhstan, Kyrgyzstan, Tajikistan, Turkmenistan, and Uzbekistan – and is in line with the Council of Europe Policy for Neighbouring Regions. The Programme is implemented by the Council of Europe in close collaboration with national partners and is based on a demand-driven approach. More specifically, the Programme aims at facilitating the creation of a common legal space between Europe and Central Asia, supporting the fight against economic crime and enhancing human rights protection by training legal professionals based on the Human Rights Education for Legal Professionals (HELP) methodology. It also includes the assistance of the Venice Commission on the functioning of state institutions and public administration. </w:t>
      </w:r>
      <w:r w:rsidRPr="000254B2">
        <w:rPr>
          <w:rFonts w:eastAsia="Times New Roman" w:cs="Arial"/>
          <w:color w:val="000000"/>
          <w:szCs w:val="20"/>
          <w:lang w:eastAsia="en-GB"/>
        </w:rPr>
        <w:t>Some</w:t>
      </w:r>
      <w:r w:rsidRPr="000254B2">
        <w:rPr>
          <w:rFonts w:cs="Arial"/>
          <w:szCs w:val="20"/>
        </w:rPr>
        <w:t xml:space="preserve"> of the results are outlined below: </w:t>
      </w:r>
    </w:p>
    <w:p w14:paraId="62BE977E" w14:textId="77777777" w:rsidR="00F456DB" w:rsidRPr="000254B2" w:rsidRDefault="00F456DB" w:rsidP="00F456DB">
      <w:pPr>
        <w:rPr>
          <w:rFonts w:cs="Arial"/>
          <w:szCs w:val="20"/>
        </w:rPr>
      </w:pPr>
    </w:p>
    <w:p w14:paraId="58134801" w14:textId="77777777" w:rsidR="008E74B8" w:rsidRPr="00783A5E" w:rsidRDefault="008E74B8" w:rsidP="00F456DB">
      <w:pPr>
        <w:pStyle w:val="Default"/>
        <w:numPr>
          <w:ilvl w:val="0"/>
          <w:numId w:val="42"/>
        </w:numPr>
        <w:rPr>
          <w:rFonts w:ascii="Arial" w:hAnsi="Arial" w:cs="Arial"/>
          <w:sz w:val="20"/>
          <w:szCs w:val="20"/>
        </w:rPr>
      </w:pPr>
      <w:r w:rsidRPr="00783A5E">
        <w:rPr>
          <w:rFonts w:ascii="Arial" w:eastAsia="Times New Roman" w:hAnsi="Arial" w:cs="Arial"/>
          <w:sz w:val="20"/>
          <w:szCs w:val="20"/>
        </w:rPr>
        <w:t xml:space="preserve"> </w:t>
      </w:r>
      <w:r w:rsidRPr="00C347DD">
        <w:rPr>
          <w:rFonts w:ascii="Arial" w:eastAsia="Times New Roman" w:hAnsi="Arial" w:cs="Arial"/>
          <w:sz w:val="20"/>
          <w:szCs w:val="20"/>
        </w:rPr>
        <w:t>In view of its</w:t>
      </w:r>
      <w:r>
        <w:rPr>
          <w:rFonts w:ascii="Arial" w:eastAsia="Times New Roman" w:hAnsi="Arial" w:cs="Arial"/>
          <w:b/>
          <w:bCs/>
          <w:sz w:val="20"/>
          <w:szCs w:val="20"/>
        </w:rPr>
        <w:t xml:space="preserve"> </w:t>
      </w:r>
      <w:r w:rsidRPr="00783A5E">
        <w:rPr>
          <w:rFonts w:ascii="Arial" w:eastAsia="Times New Roman" w:hAnsi="Arial" w:cs="Arial"/>
          <w:sz w:val="20"/>
          <w:szCs w:val="20"/>
        </w:rPr>
        <w:t>interest in Council of Europe Conventions</w:t>
      </w:r>
      <w:r>
        <w:rPr>
          <w:rFonts w:ascii="Arial" w:eastAsia="Times New Roman" w:hAnsi="Arial" w:cs="Arial"/>
          <w:sz w:val="20"/>
          <w:szCs w:val="20"/>
        </w:rPr>
        <w:t>,</w:t>
      </w:r>
      <w:r w:rsidRPr="00783A5E">
        <w:rPr>
          <w:rFonts w:ascii="Arial" w:eastAsia="Times New Roman" w:hAnsi="Arial" w:cs="Arial"/>
          <w:sz w:val="20"/>
          <w:szCs w:val="20"/>
        </w:rPr>
        <w:t xml:space="preserve"> </w:t>
      </w:r>
      <w:r w:rsidRPr="00783A5E">
        <w:rPr>
          <w:rFonts w:ascii="Arial" w:eastAsia="Times New Roman" w:hAnsi="Arial" w:cs="Arial"/>
          <w:b/>
          <w:bCs/>
          <w:sz w:val="20"/>
          <w:szCs w:val="20"/>
        </w:rPr>
        <w:t>Kazakhstan</w:t>
      </w:r>
      <w:r w:rsidRPr="00783A5E">
        <w:rPr>
          <w:rFonts w:ascii="Arial" w:eastAsia="Times New Roman" w:hAnsi="Arial" w:cs="Arial"/>
          <w:sz w:val="20"/>
          <w:szCs w:val="20"/>
        </w:rPr>
        <w:t xml:space="preserve"> was invited to accede to </w:t>
      </w:r>
      <w:r w:rsidRPr="00783A5E">
        <w:rPr>
          <w:rFonts w:ascii="Arial" w:hAnsi="Arial" w:cs="Arial"/>
          <w:sz w:val="20"/>
          <w:szCs w:val="20"/>
        </w:rPr>
        <w:t xml:space="preserve">the </w:t>
      </w:r>
      <w:hyperlink r:id="rId19" w:history="1">
        <w:r w:rsidRPr="00783A5E">
          <w:rPr>
            <w:rStyle w:val="Hyperlink"/>
            <w:rFonts w:ascii="Arial" w:hAnsi="Arial" w:cs="Arial"/>
            <w:sz w:val="20"/>
            <w:szCs w:val="20"/>
          </w:rPr>
          <w:t>Convention on Cybercrime</w:t>
        </w:r>
      </w:hyperlink>
      <w:r w:rsidRPr="00783A5E">
        <w:rPr>
          <w:rFonts w:ascii="Arial" w:hAnsi="Arial" w:cs="Arial"/>
          <w:sz w:val="20"/>
          <w:szCs w:val="20"/>
        </w:rPr>
        <w:t xml:space="preserve"> (2023). </w:t>
      </w:r>
      <w:r w:rsidRPr="00783A5E">
        <w:rPr>
          <w:rFonts w:ascii="Arial" w:eastAsia="Times New Roman" w:hAnsi="Arial" w:cs="Arial"/>
          <w:sz w:val="20"/>
          <w:szCs w:val="20"/>
        </w:rPr>
        <w:t>In March 2023, Kazakhstan officially submitted a request to obtain an observer status in MONEYVAL</w:t>
      </w:r>
      <w:r>
        <w:rPr>
          <w:rFonts w:ascii="Arial" w:eastAsia="Times New Roman" w:hAnsi="Arial" w:cs="Arial"/>
          <w:sz w:val="20"/>
          <w:szCs w:val="20"/>
        </w:rPr>
        <w:t>;</w:t>
      </w:r>
    </w:p>
    <w:p w14:paraId="76BE30AB" w14:textId="77777777" w:rsidR="008E74B8" w:rsidRPr="0057650A" w:rsidRDefault="008E74B8" w:rsidP="00F456DB">
      <w:pPr>
        <w:contextualSpacing/>
        <w:rPr>
          <w:rFonts w:eastAsia="Times New Roman" w:cs="Arial"/>
          <w:color w:val="000000"/>
          <w:szCs w:val="20"/>
        </w:rPr>
      </w:pPr>
    </w:p>
    <w:p w14:paraId="795DF5F2" w14:textId="77777777" w:rsidR="008E74B8" w:rsidRPr="0057650A" w:rsidRDefault="008E74B8" w:rsidP="00F456DB">
      <w:pPr>
        <w:numPr>
          <w:ilvl w:val="0"/>
          <w:numId w:val="42"/>
        </w:numPr>
        <w:contextualSpacing/>
        <w:rPr>
          <w:rFonts w:eastAsia="Times New Roman" w:cs="Arial"/>
          <w:color w:val="000000"/>
          <w:szCs w:val="20"/>
        </w:rPr>
      </w:pPr>
      <w:r w:rsidRPr="0057650A">
        <w:rPr>
          <w:rFonts w:eastAsia="Times New Roman" w:cs="Arial"/>
          <w:b/>
          <w:bCs/>
          <w:color w:val="000000"/>
          <w:szCs w:val="20"/>
        </w:rPr>
        <w:t>Kazakhstan</w:t>
      </w:r>
      <w:r w:rsidRPr="0057650A">
        <w:rPr>
          <w:rFonts w:eastAsia="Times New Roman" w:cs="Arial"/>
          <w:color w:val="000000"/>
          <w:szCs w:val="20"/>
        </w:rPr>
        <w:t xml:space="preserve"> received support to advance the implementation of the recommendations of the Group of States against Corruption (GRECO)</w:t>
      </w:r>
      <w:r w:rsidRPr="0057650A">
        <w:rPr>
          <w:rStyle w:val="FootnoteReference"/>
          <w:rFonts w:eastAsia="Times New Roman" w:cs="Arial"/>
          <w:color w:val="000000"/>
          <w:szCs w:val="20"/>
        </w:rPr>
        <w:footnoteReference w:id="20"/>
      </w:r>
      <w:r w:rsidRPr="0057650A">
        <w:rPr>
          <w:rFonts w:eastAsia="Times New Roman" w:cs="Arial"/>
          <w:color w:val="000000"/>
          <w:szCs w:val="20"/>
        </w:rPr>
        <w:t xml:space="preserve"> and enhance the transparency of beneficial ownership. In 2023, the anti-corruption Action of the Programme organised activities to support the Kazakh authorities to comply with the GRECO recommendations</w:t>
      </w:r>
      <w:r>
        <w:rPr>
          <w:rFonts w:eastAsia="Times New Roman" w:cs="Arial"/>
          <w:color w:val="000000"/>
          <w:szCs w:val="20"/>
        </w:rPr>
        <w:t>;</w:t>
      </w:r>
      <w:r w:rsidRPr="0057650A">
        <w:rPr>
          <w:rFonts w:eastAsia="Times New Roman" w:cs="Arial"/>
          <w:color w:val="000000"/>
          <w:szCs w:val="20"/>
        </w:rPr>
        <w:t xml:space="preserve"> </w:t>
      </w:r>
    </w:p>
    <w:p w14:paraId="24B13F6C" w14:textId="77777777" w:rsidR="008E74B8" w:rsidRPr="0057650A" w:rsidRDefault="008E74B8" w:rsidP="00F456DB">
      <w:pPr>
        <w:contextualSpacing/>
        <w:rPr>
          <w:rFonts w:eastAsia="Times New Roman" w:cs="Arial"/>
          <w:color w:val="000000"/>
          <w:szCs w:val="20"/>
        </w:rPr>
      </w:pPr>
    </w:p>
    <w:p w14:paraId="3EDAEB79" w14:textId="77777777" w:rsidR="008E74B8" w:rsidRPr="0057650A" w:rsidRDefault="008E74B8" w:rsidP="00F456DB">
      <w:pPr>
        <w:numPr>
          <w:ilvl w:val="0"/>
          <w:numId w:val="42"/>
        </w:numPr>
        <w:contextualSpacing/>
        <w:rPr>
          <w:rFonts w:eastAsia="Times New Roman" w:cs="Arial"/>
          <w:color w:val="000000"/>
          <w:szCs w:val="20"/>
        </w:rPr>
      </w:pPr>
      <w:r w:rsidRPr="0057650A">
        <w:rPr>
          <w:rFonts w:eastAsia="Times New Roman" w:cs="Arial"/>
          <w:color w:val="000000"/>
          <w:szCs w:val="20"/>
        </w:rPr>
        <w:t>In 2023,</w:t>
      </w:r>
      <w:r w:rsidRPr="0057650A">
        <w:rPr>
          <w:rFonts w:eastAsia="Times New Roman" w:cs="Arial"/>
          <w:b/>
          <w:bCs/>
          <w:color w:val="000000"/>
          <w:szCs w:val="20"/>
        </w:rPr>
        <w:t xml:space="preserve"> </w:t>
      </w:r>
      <w:r w:rsidRPr="0057650A">
        <w:rPr>
          <w:rFonts w:eastAsia="Times New Roman" w:cs="Arial"/>
          <w:color w:val="000000"/>
          <w:szCs w:val="20"/>
        </w:rPr>
        <w:t xml:space="preserve">the </w:t>
      </w:r>
      <w:r w:rsidRPr="0057650A">
        <w:rPr>
          <w:rFonts w:eastAsia="Times New Roman" w:cs="Arial"/>
          <w:b/>
          <w:bCs/>
          <w:color w:val="000000"/>
          <w:szCs w:val="20"/>
        </w:rPr>
        <w:t xml:space="preserve">Kyrgyz Republic </w:t>
      </w:r>
      <w:r w:rsidRPr="0057650A">
        <w:rPr>
          <w:rFonts w:eastAsia="Times New Roman" w:cs="Arial"/>
          <w:color w:val="000000"/>
          <w:szCs w:val="20"/>
        </w:rPr>
        <w:t xml:space="preserve">requested </w:t>
      </w:r>
      <w:r w:rsidRPr="0057650A">
        <w:rPr>
          <w:rFonts w:eastAsia="Times New Roman" w:cs="Arial"/>
          <w:b/>
          <w:bCs/>
          <w:color w:val="000000"/>
          <w:szCs w:val="20"/>
        </w:rPr>
        <w:t>opinions of the Venice Commission</w:t>
      </w:r>
      <w:r w:rsidRPr="0057650A">
        <w:rPr>
          <w:rFonts w:eastAsia="Times New Roman" w:cs="Arial"/>
          <w:color w:val="000000"/>
          <w:szCs w:val="20"/>
        </w:rPr>
        <w:t xml:space="preserve"> on the Regulations of the Jogorku Kenesh and Amendments to the Law on the Regulations of the Jogorku Kenesh of the Kyrgyz Republic (1122/2023); on the Draft Law ‘On the Mass Media’ (1134/2023); and on the draft Constitutional Law on the Akiykatchy (Ombudsperson) (1144/2023)</w:t>
      </w:r>
      <w:r>
        <w:rPr>
          <w:rFonts w:eastAsia="Times New Roman" w:cs="Arial"/>
          <w:color w:val="000000"/>
          <w:szCs w:val="20"/>
        </w:rPr>
        <w:t>;</w:t>
      </w:r>
    </w:p>
    <w:p w14:paraId="6F88679B" w14:textId="77777777" w:rsidR="008E74B8" w:rsidRPr="0057650A" w:rsidRDefault="008E74B8" w:rsidP="00F456DB">
      <w:pPr>
        <w:contextualSpacing/>
        <w:rPr>
          <w:rFonts w:eastAsia="Times New Roman" w:cs="Arial"/>
          <w:color w:val="000000"/>
          <w:szCs w:val="20"/>
        </w:rPr>
      </w:pPr>
    </w:p>
    <w:p w14:paraId="5EFB9FAA" w14:textId="77777777" w:rsidR="008E74B8" w:rsidRPr="0057650A" w:rsidRDefault="008E74B8" w:rsidP="00F456DB">
      <w:pPr>
        <w:numPr>
          <w:ilvl w:val="0"/>
          <w:numId w:val="42"/>
        </w:numPr>
        <w:contextualSpacing/>
        <w:rPr>
          <w:rFonts w:eastAsia="Times New Roman" w:cs="Arial"/>
          <w:color w:val="000000"/>
          <w:szCs w:val="20"/>
        </w:rPr>
      </w:pPr>
      <w:r>
        <w:rPr>
          <w:rFonts w:eastAsia="Times New Roman" w:cs="Arial"/>
          <w:color w:val="000000"/>
          <w:szCs w:val="20"/>
        </w:rPr>
        <w:t>I</w:t>
      </w:r>
      <w:r w:rsidRPr="0057650A">
        <w:rPr>
          <w:rFonts w:eastAsia="Times New Roman" w:cs="Arial"/>
          <w:color w:val="000000"/>
          <w:szCs w:val="20"/>
        </w:rPr>
        <w:t xml:space="preserve">n </w:t>
      </w:r>
      <w:r w:rsidRPr="0057650A">
        <w:rPr>
          <w:rFonts w:eastAsia="Times New Roman" w:cs="Arial"/>
          <w:b/>
          <w:bCs/>
          <w:color w:val="000000"/>
          <w:szCs w:val="20"/>
        </w:rPr>
        <w:t>Tajikistan</w:t>
      </w:r>
      <w:r w:rsidRPr="0057650A">
        <w:rPr>
          <w:rFonts w:eastAsia="Times New Roman" w:cs="Arial"/>
          <w:color w:val="000000"/>
          <w:szCs w:val="20"/>
        </w:rPr>
        <w:t xml:space="preserve"> the capacities of national stakeholders </w:t>
      </w:r>
      <w:r>
        <w:rPr>
          <w:rFonts w:eastAsia="Times New Roman" w:cs="Arial"/>
          <w:color w:val="000000"/>
          <w:szCs w:val="20"/>
        </w:rPr>
        <w:t>to</w:t>
      </w:r>
      <w:r w:rsidRPr="0057650A">
        <w:rPr>
          <w:rFonts w:eastAsia="Times New Roman" w:cs="Arial"/>
          <w:color w:val="000000"/>
          <w:szCs w:val="20"/>
        </w:rPr>
        <w:t xml:space="preserve"> fight and prevent economic crime</w:t>
      </w:r>
      <w:r>
        <w:rPr>
          <w:rFonts w:eastAsia="Times New Roman" w:cs="Arial"/>
          <w:color w:val="000000"/>
          <w:szCs w:val="20"/>
        </w:rPr>
        <w:t xml:space="preserve"> were strengthened</w:t>
      </w:r>
      <w:r w:rsidRPr="0057650A">
        <w:rPr>
          <w:rFonts w:eastAsia="Times New Roman" w:cs="Arial"/>
          <w:color w:val="000000"/>
          <w:szCs w:val="20"/>
        </w:rPr>
        <w:t>. Recommendations on how to improve the legal framework protecting the rights of entrepreneurs that would enable businesses operating in Tajikistan to access to justice and resolve unfair treatment and abuses from public authorities in a pre-trial context were presented to the relevant institutions</w:t>
      </w:r>
      <w:r>
        <w:rPr>
          <w:rFonts w:eastAsia="Times New Roman" w:cs="Arial"/>
          <w:color w:val="000000"/>
          <w:szCs w:val="20"/>
        </w:rPr>
        <w:t>;</w:t>
      </w:r>
      <w:r w:rsidRPr="0057650A">
        <w:rPr>
          <w:rFonts w:eastAsia="Times New Roman" w:cs="Arial"/>
          <w:color w:val="000000"/>
          <w:szCs w:val="20"/>
        </w:rPr>
        <w:t xml:space="preserve"> </w:t>
      </w:r>
    </w:p>
    <w:p w14:paraId="76292E6C" w14:textId="77777777" w:rsidR="008E74B8" w:rsidRPr="0057650A" w:rsidRDefault="008E74B8" w:rsidP="00F456DB">
      <w:pPr>
        <w:contextualSpacing/>
        <w:rPr>
          <w:rFonts w:eastAsia="Times New Roman" w:cs="Arial"/>
          <w:color w:val="000000"/>
          <w:szCs w:val="20"/>
        </w:rPr>
      </w:pPr>
    </w:p>
    <w:p w14:paraId="24E6D421" w14:textId="77777777" w:rsidR="008E74B8" w:rsidRPr="0057650A" w:rsidRDefault="008E74B8" w:rsidP="00F456DB">
      <w:pPr>
        <w:numPr>
          <w:ilvl w:val="0"/>
          <w:numId w:val="42"/>
        </w:numPr>
        <w:contextualSpacing/>
        <w:rPr>
          <w:rFonts w:eastAsia="Times New Roman" w:cs="Arial"/>
          <w:color w:val="000000"/>
          <w:szCs w:val="20"/>
        </w:rPr>
      </w:pPr>
      <w:r w:rsidRPr="0057650A">
        <w:rPr>
          <w:rFonts w:eastAsia="Times New Roman" w:cs="Arial"/>
          <w:color w:val="000000"/>
          <w:szCs w:val="20"/>
        </w:rPr>
        <w:t>Co</w:t>
      </w:r>
      <w:r>
        <w:rPr>
          <w:rFonts w:eastAsia="Times New Roman" w:cs="Arial"/>
          <w:color w:val="000000"/>
          <w:szCs w:val="20"/>
        </w:rPr>
        <w:t>-</w:t>
      </w:r>
      <w:r w:rsidRPr="0057650A">
        <w:rPr>
          <w:rFonts w:eastAsia="Times New Roman" w:cs="Arial"/>
          <w:color w:val="000000"/>
          <w:szCs w:val="20"/>
        </w:rPr>
        <w:t xml:space="preserve">operation with </w:t>
      </w:r>
      <w:r w:rsidRPr="0057650A">
        <w:rPr>
          <w:rFonts w:eastAsia="Times New Roman" w:cs="Arial"/>
          <w:b/>
          <w:bCs/>
          <w:color w:val="000000"/>
          <w:szCs w:val="20"/>
        </w:rPr>
        <w:t>Turkmenistan</w:t>
      </w:r>
      <w:r w:rsidRPr="0057650A">
        <w:rPr>
          <w:rFonts w:eastAsia="Times New Roman" w:cs="Arial"/>
          <w:color w:val="000000"/>
          <w:szCs w:val="20"/>
        </w:rPr>
        <w:t xml:space="preserve"> </w:t>
      </w:r>
      <w:r>
        <w:rPr>
          <w:rFonts w:eastAsia="Times New Roman" w:cs="Arial"/>
          <w:color w:val="000000"/>
          <w:szCs w:val="20"/>
        </w:rPr>
        <w:t xml:space="preserve">was enhanced by raising awareness on issues related to the access to justice and to </w:t>
      </w:r>
      <w:r w:rsidRPr="0057650A">
        <w:rPr>
          <w:rFonts w:eastAsia="Times New Roman" w:cs="Arial"/>
          <w:color w:val="000000"/>
          <w:szCs w:val="20"/>
        </w:rPr>
        <w:t>recovery of criminal proceeds and beneficial ownership</w:t>
      </w:r>
      <w:r>
        <w:rPr>
          <w:rFonts w:eastAsia="Times New Roman" w:cs="Arial"/>
          <w:color w:val="000000"/>
          <w:szCs w:val="20"/>
        </w:rPr>
        <w:t>;</w:t>
      </w:r>
      <w:r w:rsidRPr="0057650A">
        <w:rPr>
          <w:rFonts w:eastAsia="Times New Roman" w:cs="Arial"/>
          <w:color w:val="000000"/>
          <w:szCs w:val="20"/>
        </w:rPr>
        <w:t xml:space="preserve"> </w:t>
      </w:r>
    </w:p>
    <w:p w14:paraId="4664C93C" w14:textId="77777777" w:rsidR="008E74B8" w:rsidRPr="0057650A" w:rsidRDefault="008E74B8" w:rsidP="00F456DB">
      <w:pPr>
        <w:contextualSpacing/>
        <w:rPr>
          <w:rFonts w:eastAsia="Times New Roman" w:cs="Arial"/>
          <w:color w:val="000000"/>
          <w:szCs w:val="20"/>
        </w:rPr>
      </w:pPr>
    </w:p>
    <w:p w14:paraId="2388D512" w14:textId="77777777" w:rsidR="008E74B8" w:rsidRPr="0057650A" w:rsidRDefault="008E74B8" w:rsidP="00F456DB">
      <w:pPr>
        <w:numPr>
          <w:ilvl w:val="0"/>
          <w:numId w:val="42"/>
        </w:numPr>
        <w:contextualSpacing/>
        <w:rPr>
          <w:rFonts w:eastAsia="Times New Roman" w:cs="Arial"/>
          <w:color w:val="000000"/>
          <w:szCs w:val="20"/>
        </w:rPr>
      </w:pPr>
      <w:r w:rsidRPr="0057650A">
        <w:rPr>
          <w:rFonts w:eastAsia="Times New Roman" w:cs="Arial"/>
          <w:b/>
          <w:bCs/>
          <w:color w:val="000000"/>
          <w:szCs w:val="20"/>
        </w:rPr>
        <w:t>Uzbekistan</w:t>
      </w:r>
      <w:r w:rsidRPr="0057650A">
        <w:rPr>
          <w:rFonts w:eastAsia="Times New Roman" w:cs="Arial"/>
          <w:color w:val="000000"/>
          <w:szCs w:val="20"/>
        </w:rPr>
        <w:t xml:space="preserve"> is the first country </w:t>
      </w:r>
      <w:r>
        <w:rPr>
          <w:rFonts w:eastAsia="Times New Roman" w:cs="Arial"/>
          <w:color w:val="000000"/>
          <w:szCs w:val="20"/>
        </w:rPr>
        <w:t>in</w:t>
      </w:r>
      <w:r w:rsidRPr="0057650A">
        <w:rPr>
          <w:rFonts w:eastAsia="Times New Roman" w:cs="Arial"/>
          <w:color w:val="000000"/>
          <w:szCs w:val="20"/>
        </w:rPr>
        <w:t xml:space="preserve"> the region to have launched a tutored HELP course (“Rights of Persons with Disabilities” for judges)</w:t>
      </w:r>
      <w:r>
        <w:rPr>
          <w:rFonts w:eastAsia="Times New Roman" w:cs="Arial"/>
          <w:color w:val="000000"/>
          <w:szCs w:val="20"/>
        </w:rPr>
        <w:t xml:space="preserve">. </w:t>
      </w:r>
      <w:r w:rsidRPr="0057650A">
        <w:rPr>
          <w:rFonts w:cs="Arial"/>
          <w:szCs w:val="20"/>
        </w:rPr>
        <w:t xml:space="preserve">In co-operation with the Law enforcement Academy of the Republic of Uzbekistan, two HELP courses “Violence against women and domestic violence” and “Combating trafficking in human beings”, translated and adapted to the national legal context of Uzbekistan, were launched for two groups of Uzbek prosecutors in April 2023. Moreover, Council of Europe experts contributed to discussions on </w:t>
      </w:r>
      <w:r>
        <w:rPr>
          <w:rFonts w:cs="Arial"/>
          <w:szCs w:val="20"/>
        </w:rPr>
        <w:t xml:space="preserve">the </w:t>
      </w:r>
      <w:r w:rsidRPr="0057650A">
        <w:rPr>
          <w:rFonts w:cs="Arial"/>
          <w:szCs w:val="20"/>
        </w:rPr>
        <w:t>latest legal trends in the field of fundamental rights in the framework of the third International Tashkent Law Spring Forum</w:t>
      </w:r>
      <w:r>
        <w:rPr>
          <w:rFonts w:cs="Arial"/>
          <w:szCs w:val="20"/>
        </w:rPr>
        <w:t>, which took place in May 2023</w:t>
      </w:r>
      <w:r w:rsidRPr="0057650A">
        <w:rPr>
          <w:rFonts w:cs="Arial"/>
          <w:szCs w:val="20"/>
        </w:rPr>
        <w:t>.</w:t>
      </w:r>
      <w:r w:rsidRPr="00783A5E">
        <w:rPr>
          <w:rFonts w:cs="Arial"/>
          <w:szCs w:val="20"/>
        </w:rPr>
        <w:t xml:space="preserve"> </w:t>
      </w:r>
      <w:r w:rsidRPr="0057650A">
        <w:rPr>
          <w:rFonts w:cs="Arial"/>
          <w:szCs w:val="20"/>
        </w:rPr>
        <w:t>Additionally, events were organised in the field of constitutional control, and training on financial investigations of economic crimes.</w:t>
      </w:r>
      <w:r w:rsidRPr="00783A5E">
        <w:rPr>
          <w:rFonts w:cs="Arial"/>
          <w:szCs w:val="20"/>
        </w:rPr>
        <w:t xml:space="preserve"> </w:t>
      </w:r>
    </w:p>
    <w:p w14:paraId="120358E7" w14:textId="77777777" w:rsidR="008E74B8" w:rsidRPr="00F456DB" w:rsidRDefault="008E74B8" w:rsidP="00F456DB">
      <w:pPr>
        <w:tabs>
          <w:tab w:val="left" w:pos="3285"/>
        </w:tabs>
        <w:rPr>
          <w:rFonts w:eastAsia="Times New Roman" w:cs="Arial"/>
          <w:bCs/>
          <w:i/>
          <w:iCs/>
          <w:szCs w:val="20"/>
          <w:u w:val="single"/>
          <w:lang w:eastAsia="fr-FR"/>
        </w:rPr>
      </w:pPr>
      <w:bookmarkStart w:id="17" w:name="_Hlk92975439"/>
    </w:p>
    <w:bookmarkEnd w:id="17"/>
    <w:p w14:paraId="25763E4E" w14:textId="77777777" w:rsidR="008E74B8" w:rsidRDefault="008E74B8" w:rsidP="00F456DB">
      <w:pPr>
        <w:rPr>
          <w:rFonts w:cs="Arial"/>
          <w:b/>
          <w:bCs/>
          <w:szCs w:val="20"/>
        </w:rPr>
      </w:pPr>
      <w:r w:rsidRPr="000254B2">
        <w:rPr>
          <w:rFonts w:eastAsia="Times New Roman" w:cs="Arial"/>
          <w:b/>
          <w:szCs w:val="20"/>
          <w:lang w:eastAsia="fr-FR"/>
        </w:rPr>
        <w:t>IV.</w:t>
      </w:r>
      <w:r w:rsidRPr="000254B2">
        <w:rPr>
          <w:rFonts w:eastAsia="Times New Roman" w:cs="Arial"/>
          <w:b/>
          <w:szCs w:val="20"/>
          <w:lang w:eastAsia="fr-FR"/>
        </w:rPr>
        <w:tab/>
      </w:r>
      <w:r w:rsidRPr="000254B2">
        <w:rPr>
          <w:rFonts w:cs="Arial"/>
          <w:b/>
          <w:bCs/>
          <w:szCs w:val="20"/>
        </w:rPr>
        <w:t>LESSONS LEARNED</w:t>
      </w:r>
    </w:p>
    <w:p w14:paraId="0EF7CF2F" w14:textId="77777777" w:rsidR="00F456DB" w:rsidRPr="000254B2" w:rsidRDefault="00F456DB" w:rsidP="00F456DB">
      <w:pPr>
        <w:rPr>
          <w:rFonts w:eastAsia="Times New Roman" w:cs="Arial"/>
          <w:b/>
          <w:szCs w:val="20"/>
          <w:lang w:eastAsia="fr-FR"/>
        </w:rPr>
      </w:pPr>
    </w:p>
    <w:p w14:paraId="44410C81" w14:textId="77777777" w:rsidR="008E74B8" w:rsidRDefault="008E74B8" w:rsidP="00F456DB">
      <w:pPr>
        <w:pStyle w:val="ListParagraph"/>
        <w:numPr>
          <w:ilvl w:val="0"/>
          <w:numId w:val="4"/>
        </w:numPr>
        <w:ind w:left="714" w:hanging="357"/>
        <w:contextualSpacing/>
        <w:rPr>
          <w:rFonts w:ascii="Arial" w:hAnsi="Arial" w:cs="Arial"/>
          <w:sz w:val="20"/>
          <w:szCs w:val="20"/>
        </w:rPr>
      </w:pPr>
      <w:r w:rsidRPr="000254B2">
        <w:rPr>
          <w:rFonts w:ascii="Arial" w:hAnsi="Arial" w:cs="Arial"/>
          <w:sz w:val="20"/>
          <w:szCs w:val="20"/>
        </w:rPr>
        <w:t>The following lessons learned can be drawn from the implementation of Joint Programmes during the reference period:</w:t>
      </w:r>
    </w:p>
    <w:p w14:paraId="0E89865C" w14:textId="77777777" w:rsidR="008E74B8" w:rsidRPr="004A672A" w:rsidRDefault="008E74B8" w:rsidP="00F456DB">
      <w:pPr>
        <w:pStyle w:val="ListParagraph"/>
        <w:ind w:left="714"/>
        <w:contextualSpacing/>
        <w:rPr>
          <w:rFonts w:ascii="Arial" w:hAnsi="Arial" w:cs="Arial"/>
          <w:sz w:val="20"/>
          <w:szCs w:val="20"/>
        </w:rPr>
      </w:pPr>
    </w:p>
    <w:p w14:paraId="4CF43490"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Style w:val="normaltextrun"/>
          <w:rFonts w:ascii="Arial" w:hAnsi="Arial" w:cs="Arial"/>
          <w:sz w:val="20"/>
          <w:szCs w:val="20"/>
          <w:lang w:val="en-GB"/>
        </w:rPr>
      </w:pPr>
      <w:r w:rsidRPr="004A672A">
        <w:rPr>
          <w:rStyle w:val="normaltextrun"/>
          <w:rFonts w:ascii="Arial" w:hAnsi="Arial" w:cs="Arial"/>
          <w:sz w:val="20"/>
          <w:szCs w:val="20"/>
          <w:lang w:val="en-GB"/>
        </w:rPr>
        <w:t>Maintaining dialogue with and seeking regular feedback from project stakeholders, including EU, and beneficiaries at different levels is essential to build flexibility and resilience into project design. It allows for identifying newly emerging needs and adapting project activities to realities on the ground in order to ensure that the project delivers on intended outcomes. Accommodating to the extent possible new and emerging needs boosts project performance and spurs common motivation along with that of the Council of Europe staff.</w:t>
      </w:r>
    </w:p>
    <w:p w14:paraId="4F915A8B" w14:textId="77777777" w:rsidR="008E74B8" w:rsidRPr="004A672A" w:rsidRDefault="008E74B8" w:rsidP="008E74B8">
      <w:pPr>
        <w:pStyle w:val="paragraph"/>
        <w:shd w:val="clear" w:color="auto" w:fill="FFFFFF"/>
        <w:spacing w:before="0" w:beforeAutospacing="0" w:after="0" w:afterAutospacing="0"/>
        <w:ind w:left="1559" w:hanging="992"/>
        <w:textAlignment w:val="baseline"/>
        <w:rPr>
          <w:rStyle w:val="normaltextrun"/>
          <w:rFonts w:ascii="Arial" w:hAnsi="Arial" w:cs="Arial"/>
          <w:sz w:val="20"/>
          <w:szCs w:val="20"/>
          <w:lang w:val="en-GB"/>
        </w:rPr>
      </w:pPr>
    </w:p>
    <w:p w14:paraId="164B655C"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Fonts w:ascii="Arial" w:hAnsi="Arial" w:cs="Arial"/>
          <w:sz w:val="20"/>
          <w:szCs w:val="20"/>
          <w:lang w:val="en-GB"/>
        </w:rPr>
      </w:pPr>
      <w:r w:rsidRPr="004A672A">
        <w:rPr>
          <w:rFonts w:ascii="Arial" w:hAnsi="Arial" w:cs="Arial"/>
          <w:color w:val="000000"/>
          <w:sz w:val="20"/>
          <w:szCs w:val="20"/>
          <w:lang w:val="en-US"/>
        </w:rPr>
        <w:t xml:space="preserve">Facility-type regional programmes are a flexible and effective tool to address new challenges and risks. The right balance between flexibility and adaptability of these programmes is a strong added value, which allows them to achieve clearly defined objectives. </w:t>
      </w:r>
    </w:p>
    <w:p w14:paraId="657C2C3F" w14:textId="77777777" w:rsidR="008E74B8" w:rsidRPr="004A672A" w:rsidRDefault="008E74B8" w:rsidP="008E74B8">
      <w:pPr>
        <w:pStyle w:val="ListParagraph"/>
        <w:ind w:left="1559" w:hanging="992"/>
        <w:rPr>
          <w:rFonts w:ascii="Arial" w:hAnsi="Arial" w:cs="Arial"/>
          <w:color w:val="000000"/>
          <w:sz w:val="20"/>
          <w:szCs w:val="20"/>
        </w:rPr>
      </w:pPr>
    </w:p>
    <w:p w14:paraId="67BA6512"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Fonts w:ascii="Arial" w:hAnsi="Arial" w:cs="Arial"/>
          <w:sz w:val="20"/>
          <w:szCs w:val="20"/>
          <w:lang w:val="en-GB"/>
        </w:rPr>
      </w:pPr>
      <w:r w:rsidRPr="004A672A">
        <w:rPr>
          <w:rFonts w:ascii="Arial" w:hAnsi="Arial" w:cs="Arial"/>
          <w:color w:val="000000"/>
          <w:sz w:val="20"/>
          <w:szCs w:val="20"/>
          <w:lang w:val="en-US"/>
        </w:rPr>
        <w:t>Council of Europe experience from the EU enlargement process in South-East Europe is very valuable for the enlargement perspective of Ukraine, the Republic of Moldova and Georgia. Cross fertilisation and synergies are increasingly sought among Joint Programmes in this respect.</w:t>
      </w:r>
    </w:p>
    <w:p w14:paraId="74C44ADD" w14:textId="77777777" w:rsidR="008E74B8" w:rsidRPr="004A672A" w:rsidRDefault="008E74B8" w:rsidP="008E74B8">
      <w:pPr>
        <w:pStyle w:val="ListParagraph"/>
        <w:rPr>
          <w:rFonts w:ascii="Arial" w:hAnsi="Arial" w:cs="Arial"/>
          <w:color w:val="000000"/>
          <w:sz w:val="20"/>
          <w:szCs w:val="20"/>
        </w:rPr>
      </w:pPr>
    </w:p>
    <w:p w14:paraId="2978ECA2"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Fonts w:ascii="Arial" w:hAnsi="Arial" w:cs="Arial"/>
          <w:sz w:val="20"/>
          <w:szCs w:val="20"/>
          <w:lang w:val="en-GB"/>
        </w:rPr>
      </w:pPr>
      <w:r w:rsidRPr="004A672A">
        <w:rPr>
          <w:rFonts w:ascii="Arial" w:hAnsi="Arial" w:cs="Arial"/>
          <w:color w:val="000000"/>
          <w:sz w:val="20"/>
          <w:szCs w:val="20"/>
          <w:lang w:val="en-GB"/>
        </w:rPr>
        <w:t xml:space="preserve">Risk management is an integral element of the Joint Programmes’ monitoring with a view to timely develop and effectively implement mitigation measures to address the different risks and challenges. </w:t>
      </w:r>
      <w:r w:rsidRPr="00576042">
        <w:rPr>
          <w:rFonts w:ascii="Arial" w:hAnsi="Arial" w:cs="Arial"/>
          <w:color w:val="000000"/>
          <w:sz w:val="20"/>
          <w:szCs w:val="20"/>
          <w:lang w:val="en-US"/>
        </w:rPr>
        <w:t xml:space="preserve">A constant risk assessment is particularly important given the developments linked to the consequences of the Russian Federation’s aggression against Ukraine notably, which can affect the implementation of Joint Programmes. </w:t>
      </w:r>
    </w:p>
    <w:p w14:paraId="1F1ACF81" w14:textId="77777777" w:rsidR="008E74B8" w:rsidRPr="004A672A" w:rsidRDefault="008E74B8" w:rsidP="008E74B8">
      <w:pPr>
        <w:pStyle w:val="ListParagraph"/>
        <w:rPr>
          <w:rFonts w:ascii="Arial" w:hAnsi="Arial" w:cs="Arial"/>
          <w:color w:val="000000"/>
          <w:sz w:val="20"/>
          <w:szCs w:val="20"/>
        </w:rPr>
      </w:pPr>
    </w:p>
    <w:p w14:paraId="62975ABB"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Fonts w:ascii="Arial" w:hAnsi="Arial" w:cs="Arial"/>
          <w:sz w:val="20"/>
          <w:szCs w:val="20"/>
          <w:lang w:val="en-GB"/>
        </w:rPr>
      </w:pPr>
      <w:r w:rsidRPr="004A672A">
        <w:rPr>
          <w:rFonts w:ascii="Arial" w:hAnsi="Arial" w:cs="Arial"/>
          <w:color w:val="000000"/>
          <w:sz w:val="20"/>
          <w:szCs w:val="20"/>
          <w:lang w:val="en-GB"/>
        </w:rPr>
        <w:t xml:space="preserve">Regional actions, in complementarity to national ones, demonstrated a strong added value by providing a platform for the exchange of expertise and best practice, promoting peer-to-peer exchange, and reinforcing regional cooperation and dialogue. </w:t>
      </w:r>
      <w:r w:rsidRPr="00576042">
        <w:rPr>
          <w:rFonts w:ascii="Arial" w:hAnsi="Arial" w:cs="Arial"/>
          <w:color w:val="000000"/>
          <w:sz w:val="20"/>
          <w:szCs w:val="20"/>
          <w:lang w:val="en-US"/>
        </w:rPr>
        <w:t xml:space="preserve">The flexibility of the structure of regional projects is key in view of the developments, in order to ensure the most appropriate composition and modalities of regional interventions. </w:t>
      </w:r>
    </w:p>
    <w:p w14:paraId="6380B417" w14:textId="77777777" w:rsidR="008E74B8" w:rsidRPr="004A672A" w:rsidRDefault="008E74B8" w:rsidP="008E74B8">
      <w:pPr>
        <w:pStyle w:val="ListParagraph"/>
        <w:rPr>
          <w:rFonts w:ascii="Arial" w:hAnsi="Arial" w:cs="Arial"/>
          <w:sz w:val="20"/>
          <w:szCs w:val="20"/>
        </w:rPr>
      </w:pPr>
    </w:p>
    <w:p w14:paraId="5B89AF5E"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Fonts w:ascii="Arial" w:hAnsi="Arial" w:cs="Arial"/>
          <w:sz w:val="20"/>
          <w:szCs w:val="20"/>
          <w:lang w:val="en-GB"/>
        </w:rPr>
      </w:pPr>
      <w:r w:rsidRPr="004A672A">
        <w:rPr>
          <w:rFonts w:ascii="Arial" w:hAnsi="Arial" w:cs="Arial"/>
          <w:sz w:val="20"/>
          <w:szCs w:val="20"/>
          <w:lang w:val="en-GB"/>
        </w:rPr>
        <w:t xml:space="preserve">The high quality of </w:t>
      </w:r>
      <w:r w:rsidRPr="004A672A">
        <w:rPr>
          <w:rFonts w:ascii="Arial" w:hAnsi="Arial" w:cs="Arial"/>
          <w:bCs/>
          <w:sz w:val="20"/>
          <w:szCs w:val="20"/>
          <w:lang w:val="en-GB"/>
        </w:rPr>
        <w:t>assistance</w:t>
      </w:r>
      <w:r w:rsidRPr="004A672A">
        <w:rPr>
          <w:rFonts w:ascii="Arial" w:hAnsi="Arial" w:cs="Arial"/>
          <w:sz w:val="20"/>
          <w:szCs w:val="20"/>
          <w:lang w:val="en-GB"/>
        </w:rPr>
        <w:t xml:space="preserve"> provided through Joint Programmes both by technical support and the targeted expertise (Expertise Co-ordination Mechanism within the Horizontal Facility and the Quick Response Mechanisms within the Partnership for Good Governance and South Programme) is much appreciated by beneficiary institutions and brings tangible results.</w:t>
      </w:r>
    </w:p>
    <w:p w14:paraId="4C19A142" w14:textId="77777777" w:rsidR="008E74B8" w:rsidRPr="004A672A" w:rsidRDefault="008E74B8" w:rsidP="008E74B8">
      <w:pPr>
        <w:pStyle w:val="ListParagraph"/>
        <w:rPr>
          <w:rStyle w:val="normaltextrun"/>
          <w:rFonts w:ascii="Arial" w:hAnsi="Arial" w:cs="Arial"/>
          <w:sz w:val="20"/>
          <w:szCs w:val="20"/>
        </w:rPr>
      </w:pPr>
    </w:p>
    <w:p w14:paraId="0E4C4156" w14:textId="77777777" w:rsidR="008E74B8" w:rsidRPr="004A672A" w:rsidRDefault="008E74B8" w:rsidP="008E74B8">
      <w:pPr>
        <w:pStyle w:val="paragraph"/>
        <w:numPr>
          <w:ilvl w:val="0"/>
          <w:numId w:val="47"/>
        </w:numPr>
        <w:shd w:val="clear" w:color="auto" w:fill="FFFFFF"/>
        <w:spacing w:before="0" w:beforeAutospacing="0" w:after="0" w:afterAutospacing="0"/>
        <w:ind w:left="1559" w:hanging="992"/>
        <w:textAlignment w:val="baseline"/>
        <w:rPr>
          <w:rStyle w:val="normaltextrun"/>
          <w:rFonts w:ascii="Arial" w:hAnsi="Arial" w:cs="Arial"/>
          <w:sz w:val="20"/>
          <w:szCs w:val="20"/>
          <w:lang w:val="en-GB"/>
        </w:rPr>
      </w:pPr>
      <w:r w:rsidRPr="004A672A">
        <w:rPr>
          <w:rStyle w:val="normaltextrun"/>
          <w:rFonts w:ascii="Arial" w:hAnsi="Arial" w:cs="Arial"/>
          <w:sz w:val="20"/>
          <w:szCs w:val="20"/>
          <w:lang w:val="en-GB"/>
        </w:rPr>
        <w:t xml:space="preserve">Maintaining open communication channels with and between the authorities and partners on issues that are intersectional and involving multi-agency co-operation, allows to create synergies in the form of cross-fertilisation and mutualisation of certain tools or promotion efforts. </w:t>
      </w:r>
    </w:p>
    <w:p w14:paraId="1E734A59" w14:textId="77777777" w:rsidR="008E74B8" w:rsidRPr="004A672A" w:rsidRDefault="008E74B8" w:rsidP="008E74B8">
      <w:pPr>
        <w:pStyle w:val="ListParagraph"/>
        <w:rPr>
          <w:rFonts w:ascii="Arial" w:hAnsi="Arial" w:cs="Arial"/>
          <w:sz w:val="20"/>
          <w:szCs w:val="20"/>
        </w:rPr>
      </w:pPr>
    </w:p>
    <w:p w14:paraId="3D51933E" w14:textId="05CC302B" w:rsidR="00F456DB" w:rsidRPr="00F456DB" w:rsidRDefault="008E74B8" w:rsidP="00F456DB">
      <w:pPr>
        <w:pStyle w:val="paragraph"/>
        <w:numPr>
          <w:ilvl w:val="0"/>
          <w:numId w:val="47"/>
        </w:numPr>
        <w:shd w:val="clear" w:color="auto" w:fill="FFFFFF"/>
        <w:spacing w:before="0" w:beforeAutospacing="0" w:after="0" w:afterAutospacing="0"/>
        <w:ind w:left="1559" w:hanging="992"/>
        <w:textAlignment w:val="baseline"/>
        <w:rPr>
          <w:rFonts w:ascii="Arial" w:hAnsi="Arial" w:cs="Arial"/>
          <w:sz w:val="20"/>
          <w:szCs w:val="20"/>
          <w:lang w:val="en-GB"/>
        </w:rPr>
      </w:pPr>
      <w:r w:rsidRPr="004A672A">
        <w:rPr>
          <w:rFonts w:ascii="Arial" w:hAnsi="Arial" w:cs="Arial"/>
          <w:sz w:val="20"/>
          <w:szCs w:val="20"/>
          <w:lang w:val="en-GB"/>
        </w:rPr>
        <w:t xml:space="preserve">Along with tailor-made assistance encompassing legal expertise, capacity building and awareness raising, promoting a multi-stakeholder approach is key to achieving tangible results and ensuring a positive impact of actions for citizens. </w:t>
      </w:r>
      <w:r w:rsidRPr="00576042">
        <w:rPr>
          <w:rFonts w:ascii="Arial" w:hAnsi="Arial" w:cs="Arial"/>
          <w:sz w:val="20"/>
          <w:szCs w:val="20"/>
          <w:lang w:val="en-US"/>
        </w:rPr>
        <w:t xml:space="preserve">Strengthening an inclusive approach and involving all relevant stakeholders, including the civil society as right-holders, is relevant for reinforcing the ownership of the national partners, enhancing inter-agency cooperation, and increasing the role of civil society organisations in the Joint Programmes implementation as a </w:t>
      </w:r>
      <w:r w:rsidRPr="004A672A">
        <w:rPr>
          <w:rFonts w:ascii="Arial" w:hAnsi="Arial" w:cs="Arial"/>
          <w:sz w:val="20"/>
          <w:szCs w:val="20"/>
          <w:lang w:val="en-US"/>
        </w:rPr>
        <w:t>promoter of change and</w:t>
      </w:r>
      <w:r w:rsidRPr="00576042">
        <w:rPr>
          <w:rFonts w:ascii="Arial" w:hAnsi="Arial" w:cs="Arial"/>
          <w:sz w:val="20"/>
          <w:szCs w:val="20"/>
          <w:lang w:val="en-US"/>
        </w:rPr>
        <w:t xml:space="preserve"> as a direct vector of communication to citizens, reflecting concrete changes brought by Joint Programmes to their daily lives.</w:t>
      </w:r>
    </w:p>
    <w:p w14:paraId="645C6E73" w14:textId="77777777" w:rsidR="00F456DB" w:rsidRDefault="00F456DB" w:rsidP="00F456DB">
      <w:pPr>
        <w:pStyle w:val="paragraph"/>
        <w:shd w:val="clear" w:color="auto" w:fill="FFFFFF"/>
        <w:spacing w:before="0" w:beforeAutospacing="0" w:after="0" w:afterAutospacing="0"/>
        <w:ind w:left="567"/>
        <w:textAlignment w:val="baseline"/>
        <w:rPr>
          <w:rFonts w:ascii="Arial" w:hAnsi="Arial" w:cs="Arial"/>
          <w:sz w:val="20"/>
          <w:szCs w:val="20"/>
          <w:lang w:val="en-GB"/>
        </w:rPr>
        <w:sectPr w:rsidR="00F456DB" w:rsidSect="00A37E36">
          <w:headerReference w:type="even" r:id="rId20"/>
          <w:headerReference w:type="default" r:id="rId21"/>
          <w:footerReference w:type="default" r:id="rId22"/>
          <w:headerReference w:type="first" r:id="rId23"/>
          <w:footerReference w:type="first" r:id="rId24"/>
          <w:type w:val="continuous"/>
          <w:pgSz w:w="11907" w:h="16840" w:code="9"/>
          <w:pgMar w:top="992" w:right="1162" w:bottom="709" w:left="1077" w:header="454" w:footer="340" w:gutter="113"/>
          <w:pgNumType w:chapStyle="1"/>
          <w:cols w:space="708"/>
          <w:titlePg/>
          <w:docGrid w:linePitch="299"/>
        </w:sectPr>
      </w:pPr>
    </w:p>
    <w:p w14:paraId="702B43DC" w14:textId="4253A017" w:rsidR="008E74B8" w:rsidRDefault="008E74B8" w:rsidP="008E74B8">
      <w:pPr>
        <w:spacing w:before="120" w:after="120" w:line="240" w:lineRule="atLeast"/>
        <w:rPr>
          <w:rFonts w:cs="Arial"/>
          <w:b/>
          <w:bCs/>
          <w:caps/>
          <w:szCs w:val="20"/>
        </w:rPr>
      </w:pPr>
      <w:r w:rsidRPr="000254B2">
        <w:rPr>
          <w:rFonts w:cs="Arial"/>
          <w:b/>
          <w:bCs/>
          <w:caps/>
          <w:szCs w:val="20"/>
        </w:rPr>
        <w:t>ApPendix I. Joint Programmes</w:t>
      </w:r>
      <w:r>
        <w:rPr>
          <w:rFonts w:cs="Arial"/>
          <w:b/>
          <w:bCs/>
          <w:caps/>
          <w:szCs w:val="20"/>
        </w:rPr>
        <w:t xml:space="preserve"> UNDER IMPLEMENTATION </w:t>
      </w:r>
      <w:r w:rsidRPr="000254B2">
        <w:rPr>
          <w:rFonts w:cs="Arial"/>
          <w:b/>
          <w:bCs/>
          <w:caps/>
          <w:szCs w:val="20"/>
        </w:rPr>
        <w:t>in 202</w:t>
      </w:r>
      <w:r>
        <w:rPr>
          <w:rFonts w:cs="Arial"/>
          <w:b/>
          <w:bCs/>
          <w:caps/>
          <w:szCs w:val="20"/>
        </w:rPr>
        <w:t>3</w:t>
      </w:r>
    </w:p>
    <w:tbl>
      <w:tblPr>
        <w:tblW w:w="5000" w:type="pct"/>
        <w:tblCellMar>
          <w:left w:w="70" w:type="dxa"/>
          <w:right w:w="70" w:type="dxa"/>
        </w:tblCellMar>
        <w:tblLook w:val="04A0" w:firstRow="1" w:lastRow="0" w:firstColumn="1" w:lastColumn="0" w:noHBand="0" w:noVBand="1"/>
      </w:tblPr>
      <w:tblGrid>
        <w:gridCol w:w="2115"/>
        <w:gridCol w:w="5610"/>
        <w:gridCol w:w="1286"/>
        <w:gridCol w:w="1149"/>
        <w:gridCol w:w="1711"/>
        <w:gridCol w:w="1672"/>
        <w:gridCol w:w="1736"/>
      </w:tblGrid>
      <w:tr w:rsidR="008E74B8" w:rsidRPr="00B71AFB" w14:paraId="48B38208" w14:textId="77777777" w:rsidTr="00E05368">
        <w:trPr>
          <w:trHeight w:val="300"/>
        </w:trPr>
        <w:tc>
          <w:tcPr>
            <w:tcW w:w="5000" w:type="pct"/>
            <w:gridSpan w:val="7"/>
            <w:tcBorders>
              <w:bottom w:val="single" w:sz="4" w:space="0" w:color="auto"/>
            </w:tcBorders>
            <w:shd w:val="clear" w:color="auto" w:fill="auto"/>
            <w:vAlign w:val="center"/>
            <w:hideMark/>
          </w:tcPr>
          <w:p w14:paraId="46D7325A" w14:textId="77777777" w:rsidR="008E74B8" w:rsidRPr="00B71AFB" w:rsidRDefault="008E74B8" w:rsidP="00E05368">
            <w:pPr>
              <w:rPr>
                <w:rFonts w:eastAsia="Times New Roman" w:cs="Arial"/>
                <w:b/>
                <w:bCs/>
                <w:color w:val="000000"/>
                <w:szCs w:val="20"/>
                <w:lang w:eastAsia="fr-FR"/>
              </w:rPr>
            </w:pPr>
          </w:p>
        </w:tc>
      </w:tr>
      <w:tr w:rsidR="008E74B8" w:rsidRPr="00B71AFB" w14:paraId="4945268A" w14:textId="77777777" w:rsidTr="00E05368">
        <w:trPr>
          <w:trHeight w:val="1020"/>
        </w:trPr>
        <w:tc>
          <w:tcPr>
            <w:tcW w:w="692"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99056DB"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 xml:space="preserve">Financing instrument </w:t>
            </w:r>
          </w:p>
        </w:tc>
        <w:tc>
          <w:tcPr>
            <w:tcW w:w="1836" w:type="pct"/>
            <w:tcBorders>
              <w:top w:val="single" w:sz="4" w:space="0" w:color="auto"/>
              <w:left w:val="nil"/>
              <w:bottom w:val="single" w:sz="4" w:space="0" w:color="auto"/>
              <w:right w:val="single" w:sz="4" w:space="0" w:color="auto"/>
            </w:tcBorders>
            <w:shd w:val="clear" w:color="000000" w:fill="92D050"/>
            <w:vAlign w:val="center"/>
            <w:hideMark/>
          </w:tcPr>
          <w:p w14:paraId="2160E341"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Contract title</w:t>
            </w:r>
          </w:p>
        </w:tc>
        <w:tc>
          <w:tcPr>
            <w:tcW w:w="421" w:type="pct"/>
            <w:tcBorders>
              <w:top w:val="single" w:sz="4" w:space="0" w:color="auto"/>
              <w:left w:val="nil"/>
              <w:bottom w:val="single" w:sz="4" w:space="0" w:color="auto"/>
              <w:right w:val="single" w:sz="4" w:space="0" w:color="auto"/>
            </w:tcBorders>
            <w:shd w:val="clear" w:color="000000" w:fill="92D050"/>
            <w:vAlign w:val="center"/>
            <w:hideMark/>
          </w:tcPr>
          <w:p w14:paraId="1CFB0A55"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Start date of covenant</w:t>
            </w:r>
          </w:p>
        </w:tc>
        <w:tc>
          <w:tcPr>
            <w:tcW w:w="376" w:type="pct"/>
            <w:tcBorders>
              <w:top w:val="single" w:sz="4" w:space="0" w:color="auto"/>
              <w:left w:val="nil"/>
              <w:bottom w:val="single" w:sz="4" w:space="0" w:color="auto"/>
              <w:right w:val="single" w:sz="4" w:space="0" w:color="auto"/>
            </w:tcBorders>
            <w:shd w:val="clear" w:color="000000" w:fill="92D050"/>
            <w:vAlign w:val="center"/>
            <w:hideMark/>
          </w:tcPr>
          <w:p w14:paraId="65C830EC"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End date of covenant</w:t>
            </w:r>
          </w:p>
        </w:tc>
        <w:tc>
          <w:tcPr>
            <w:tcW w:w="560" w:type="pct"/>
            <w:tcBorders>
              <w:top w:val="single" w:sz="4" w:space="0" w:color="auto"/>
              <w:left w:val="nil"/>
              <w:bottom w:val="single" w:sz="4" w:space="0" w:color="auto"/>
              <w:right w:val="single" w:sz="4" w:space="0" w:color="auto"/>
            </w:tcBorders>
            <w:shd w:val="clear" w:color="000000" w:fill="92D050"/>
            <w:vAlign w:val="center"/>
            <w:hideMark/>
          </w:tcPr>
          <w:p w14:paraId="4C09C9F7"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Total programme envelope in €</w:t>
            </w:r>
          </w:p>
        </w:tc>
        <w:tc>
          <w:tcPr>
            <w:tcW w:w="547" w:type="pct"/>
            <w:tcBorders>
              <w:top w:val="single" w:sz="4" w:space="0" w:color="auto"/>
              <w:left w:val="nil"/>
              <w:bottom w:val="single" w:sz="4" w:space="0" w:color="auto"/>
              <w:right w:val="single" w:sz="4" w:space="0" w:color="auto"/>
            </w:tcBorders>
            <w:shd w:val="clear" w:color="000000" w:fill="92D050"/>
            <w:vAlign w:val="center"/>
            <w:hideMark/>
          </w:tcPr>
          <w:p w14:paraId="2E95E8B7"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Contribution of the European Union in €</w:t>
            </w:r>
          </w:p>
        </w:tc>
        <w:tc>
          <w:tcPr>
            <w:tcW w:w="568" w:type="pct"/>
            <w:tcBorders>
              <w:top w:val="single" w:sz="4" w:space="0" w:color="auto"/>
              <w:left w:val="nil"/>
              <w:bottom w:val="single" w:sz="4" w:space="0" w:color="auto"/>
              <w:right w:val="single" w:sz="4" w:space="0" w:color="auto"/>
            </w:tcBorders>
            <w:shd w:val="clear" w:color="000000" w:fill="92D050"/>
            <w:vAlign w:val="center"/>
            <w:hideMark/>
          </w:tcPr>
          <w:p w14:paraId="480D821B" w14:textId="77777777" w:rsidR="008E74B8" w:rsidRPr="00B71AFB" w:rsidRDefault="008E74B8" w:rsidP="00E05368">
            <w:pPr>
              <w:jc w:val="center"/>
              <w:rPr>
                <w:rFonts w:eastAsia="Times New Roman" w:cs="Arial"/>
                <w:b/>
                <w:bCs/>
                <w:color w:val="000000"/>
                <w:szCs w:val="20"/>
                <w:lang w:eastAsia="fr-FR"/>
              </w:rPr>
            </w:pPr>
            <w:r w:rsidRPr="00B71AFB">
              <w:rPr>
                <w:rFonts w:eastAsia="Times New Roman" w:cs="Arial"/>
                <w:b/>
                <w:bCs/>
                <w:color w:val="000000"/>
                <w:szCs w:val="20"/>
                <w:lang w:eastAsia="fr-FR"/>
              </w:rPr>
              <w:t xml:space="preserve">Contribution of the Council of Europe in € </w:t>
            </w:r>
          </w:p>
        </w:tc>
      </w:tr>
      <w:tr w:rsidR="008E74B8" w:rsidRPr="00B71AFB" w14:paraId="1AA5DC31"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000000" w:fill="5B9BD5"/>
            <w:noWrap/>
            <w:vAlign w:val="center"/>
            <w:hideMark/>
          </w:tcPr>
          <w:p w14:paraId="7CE4691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South-East Europe and Türkiye</w:t>
            </w:r>
          </w:p>
        </w:tc>
        <w:tc>
          <w:tcPr>
            <w:tcW w:w="421" w:type="pct"/>
            <w:tcBorders>
              <w:top w:val="nil"/>
              <w:left w:val="nil"/>
              <w:bottom w:val="single" w:sz="4" w:space="0" w:color="auto"/>
              <w:right w:val="nil"/>
            </w:tcBorders>
            <w:shd w:val="clear" w:color="000000" w:fill="5B9BD5"/>
            <w:noWrap/>
            <w:vAlign w:val="center"/>
            <w:hideMark/>
          </w:tcPr>
          <w:p w14:paraId="61A0022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000000" w:fill="5B9BD5"/>
            <w:noWrap/>
            <w:vAlign w:val="center"/>
            <w:hideMark/>
          </w:tcPr>
          <w:p w14:paraId="527F5C9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000000" w:fill="5B9BD5"/>
            <w:noWrap/>
            <w:vAlign w:val="center"/>
            <w:hideMark/>
          </w:tcPr>
          <w:p w14:paraId="7B0F350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000000" w:fill="5B9BD5"/>
            <w:noWrap/>
            <w:vAlign w:val="center"/>
            <w:hideMark/>
          </w:tcPr>
          <w:p w14:paraId="11729EF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000000" w:fill="5B9BD5"/>
            <w:noWrap/>
            <w:vAlign w:val="center"/>
            <w:hideMark/>
          </w:tcPr>
          <w:p w14:paraId="75495DF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74C25BAC"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67FCFE2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Serbia</w:t>
            </w:r>
          </w:p>
        </w:tc>
        <w:tc>
          <w:tcPr>
            <w:tcW w:w="1836" w:type="pct"/>
            <w:tcBorders>
              <w:top w:val="nil"/>
              <w:left w:val="nil"/>
              <w:bottom w:val="single" w:sz="4" w:space="0" w:color="auto"/>
              <w:right w:val="nil"/>
            </w:tcBorders>
            <w:shd w:val="clear" w:color="auto" w:fill="auto"/>
            <w:noWrap/>
            <w:vAlign w:val="center"/>
            <w:hideMark/>
          </w:tcPr>
          <w:p w14:paraId="6FAFA49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40492C9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523F5AB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6388067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746D7B04"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27153C9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05864213"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5F43C82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46614A2B"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for the implementation of judicial reform in Serbia</w:t>
            </w:r>
          </w:p>
        </w:tc>
        <w:tc>
          <w:tcPr>
            <w:tcW w:w="421" w:type="pct"/>
            <w:tcBorders>
              <w:top w:val="nil"/>
              <w:left w:val="nil"/>
              <w:bottom w:val="single" w:sz="4" w:space="0" w:color="auto"/>
              <w:right w:val="single" w:sz="4" w:space="0" w:color="auto"/>
            </w:tcBorders>
            <w:shd w:val="clear" w:color="auto" w:fill="auto"/>
            <w:vAlign w:val="center"/>
            <w:hideMark/>
          </w:tcPr>
          <w:p w14:paraId="1D67259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01/01/2022</w:t>
            </w:r>
          </w:p>
        </w:tc>
        <w:tc>
          <w:tcPr>
            <w:tcW w:w="376" w:type="pct"/>
            <w:tcBorders>
              <w:top w:val="nil"/>
              <w:left w:val="nil"/>
              <w:bottom w:val="single" w:sz="4" w:space="0" w:color="auto"/>
              <w:right w:val="single" w:sz="4" w:space="0" w:color="auto"/>
            </w:tcBorders>
            <w:shd w:val="clear" w:color="auto" w:fill="auto"/>
            <w:vAlign w:val="center"/>
            <w:hideMark/>
          </w:tcPr>
          <w:p w14:paraId="191A071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31/12/2024</w:t>
            </w:r>
          </w:p>
        </w:tc>
        <w:tc>
          <w:tcPr>
            <w:tcW w:w="560" w:type="pct"/>
            <w:tcBorders>
              <w:top w:val="nil"/>
              <w:left w:val="nil"/>
              <w:bottom w:val="single" w:sz="4" w:space="0" w:color="auto"/>
              <w:right w:val="single" w:sz="4" w:space="0" w:color="auto"/>
            </w:tcBorders>
            <w:shd w:val="clear" w:color="auto" w:fill="auto"/>
            <w:vAlign w:val="center"/>
            <w:hideMark/>
          </w:tcPr>
          <w:p w14:paraId="168FEE0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3 334 000.00</w:t>
            </w:r>
          </w:p>
        </w:tc>
        <w:tc>
          <w:tcPr>
            <w:tcW w:w="547" w:type="pct"/>
            <w:tcBorders>
              <w:top w:val="nil"/>
              <w:left w:val="nil"/>
              <w:bottom w:val="single" w:sz="4" w:space="0" w:color="auto"/>
              <w:right w:val="single" w:sz="4" w:space="0" w:color="auto"/>
            </w:tcBorders>
            <w:shd w:val="clear" w:color="auto" w:fill="auto"/>
            <w:vAlign w:val="center"/>
            <w:hideMark/>
          </w:tcPr>
          <w:p w14:paraId="2AAA699E"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68" w:type="pct"/>
            <w:tcBorders>
              <w:top w:val="nil"/>
              <w:left w:val="nil"/>
              <w:bottom w:val="single" w:sz="4" w:space="0" w:color="auto"/>
              <w:right w:val="single" w:sz="4" w:space="0" w:color="auto"/>
            </w:tcBorders>
            <w:shd w:val="clear" w:color="auto" w:fill="auto"/>
            <w:vAlign w:val="center"/>
            <w:hideMark/>
          </w:tcPr>
          <w:p w14:paraId="66A2904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334 000.00</w:t>
            </w:r>
          </w:p>
        </w:tc>
      </w:tr>
      <w:tr w:rsidR="008E74B8" w:rsidRPr="00B71AFB" w14:paraId="593067DF"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0AA1888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Türkiye</w:t>
            </w:r>
          </w:p>
        </w:tc>
        <w:tc>
          <w:tcPr>
            <w:tcW w:w="1836" w:type="pct"/>
            <w:tcBorders>
              <w:top w:val="nil"/>
              <w:left w:val="nil"/>
              <w:bottom w:val="single" w:sz="4" w:space="0" w:color="auto"/>
              <w:right w:val="nil"/>
            </w:tcBorders>
            <w:shd w:val="clear" w:color="auto" w:fill="auto"/>
            <w:noWrap/>
            <w:vAlign w:val="center"/>
            <w:hideMark/>
          </w:tcPr>
          <w:p w14:paraId="7200652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1435AAD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69E8B98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2022305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5AA500DF"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071F5C9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434E95D4"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310DAD6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74C13422"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Improving the Effectiveness of the Administrative Judiciary and Strengthening the institutional Capacity of Council of State </w:t>
            </w:r>
          </w:p>
        </w:tc>
        <w:tc>
          <w:tcPr>
            <w:tcW w:w="421" w:type="pct"/>
            <w:tcBorders>
              <w:top w:val="nil"/>
              <w:left w:val="nil"/>
              <w:bottom w:val="single" w:sz="4" w:space="0" w:color="auto"/>
              <w:right w:val="single" w:sz="4" w:space="0" w:color="auto"/>
            </w:tcBorders>
            <w:shd w:val="clear" w:color="auto" w:fill="auto"/>
            <w:vAlign w:val="center"/>
            <w:hideMark/>
          </w:tcPr>
          <w:p w14:paraId="32F9EAA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21/12/2018</w:t>
            </w:r>
          </w:p>
        </w:tc>
        <w:tc>
          <w:tcPr>
            <w:tcW w:w="376" w:type="pct"/>
            <w:tcBorders>
              <w:top w:val="nil"/>
              <w:left w:val="nil"/>
              <w:bottom w:val="single" w:sz="4" w:space="0" w:color="auto"/>
              <w:right w:val="single" w:sz="4" w:space="0" w:color="auto"/>
            </w:tcBorders>
            <w:shd w:val="clear" w:color="auto" w:fill="auto"/>
            <w:vAlign w:val="center"/>
            <w:hideMark/>
          </w:tcPr>
          <w:p w14:paraId="38ABA42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31/05/2023</w:t>
            </w:r>
          </w:p>
        </w:tc>
        <w:tc>
          <w:tcPr>
            <w:tcW w:w="560" w:type="pct"/>
            <w:tcBorders>
              <w:top w:val="nil"/>
              <w:left w:val="nil"/>
              <w:bottom w:val="single" w:sz="4" w:space="0" w:color="auto"/>
              <w:right w:val="single" w:sz="4" w:space="0" w:color="auto"/>
            </w:tcBorders>
            <w:shd w:val="clear" w:color="auto" w:fill="auto"/>
            <w:vAlign w:val="center"/>
            <w:hideMark/>
          </w:tcPr>
          <w:p w14:paraId="2BC5D28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3 335 000.00</w:t>
            </w:r>
          </w:p>
        </w:tc>
        <w:tc>
          <w:tcPr>
            <w:tcW w:w="547" w:type="pct"/>
            <w:tcBorders>
              <w:top w:val="nil"/>
              <w:left w:val="nil"/>
              <w:bottom w:val="single" w:sz="4" w:space="0" w:color="auto"/>
              <w:right w:val="single" w:sz="4" w:space="0" w:color="auto"/>
            </w:tcBorders>
            <w:shd w:val="clear" w:color="auto" w:fill="auto"/>
            <w:vAlign w:val="center"/>
            <w:hideMark/>
          </w:tcPr>
          <w:p w14:paraId="5F2939E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68" w:type="pct"/>
            <w:tcBorders>
              <w:top w:val="nil"/>
              <w:left w:val="nil"/>
              <w:bottom w:val="single" w:sz="4" w:space="0" w:color="auto"/>
              <w:right w:val="single" w:sz="4" w:space="0" w:color="auto"/>
            </w:tcBorders>
            <w:shd w:val="clear" w:color="auto" w:fill="auto"/>
            <w:vAlign w:val="center"/>
            <w:hideMark/>
          </w:tcPr>
          <w:p w14:paraId="4B9F8F7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335 000.00</w:t>
            </w:r>
          </w:p>
        </w:tc>
      </w:tr>
      <w:tr w:rsidR="008E74B8" w:rsidRPr="00B71AFB" w14:paraId="47062D63"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38D6AD3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1EBF466F"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Strengthening the Institutional Capacity of Court of Cassation</w:t>
            </w:r>
          </w:p>
        </w:tc>
        <w:tc>
          <w:tcPr>
            <w:tcW w:w="421" w:type="pct"/>
            <w:tcBorders>
              <w:top w:val="nil"/>
              <w:left w:val="nil"/>
              <w:bottom w:val="single" w:sz="4" w:space="0" w:color="auto"/>
              <w:right w:val="single" w:sz="4" w:space="0" w:color="auto"/>
            </w:tcBorders>
            <w:shd w:val="clear" w:color="auto" w:fill="auto"/>
            <w:vAlign w:val="center"/>
            <w:hideMark/>
          </w:tcPr>
          <w:p w14:paraId="2AFDE00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22/02/2019</w:t>
            </w:r>
          </w:p>
        </w:tc>
        <w:tc>
          <w:tcPr>
            <w:tcW w:w="376" w:type="pct"/>
            <w:tcBorders>
              <w:top w:val="nil"/>
              <w:left w:val="nil"/>
              <w:bottom w:val="single" w:sz="4" w:space="0" w:color="auto"/>
              <w:right w:val="single" w:sz="4" w:space="0" w:color="auto"/>
            </w:tcBorders>
            <w:shd w:val="clear" w:color="auto" w:fill="auto"/>
            <w:vAlign w:val="center"/>
            <w:hideMark/>
          </w:tcPr>
          <w:p w14:paraId="6889106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21/08/2023</w:t>
            </w:r>
          </w:p>
        </w:tc>
        <w:tc>
          <w:tcPr>
            <w:tcW w:w="560" w:type="pct"/>
            <w:tcBorders>
              <w:top w:val="nil"/>
              <w:left w:val="nil"/>
              <w:bottom w:val="single" w:sz="4" w:space="0" w:color="auto"/>
              <w:right w:val="single" w:sz="4" w:space="0" w:color="auto"/>
            </w:tcBorders>
            <w:shd w:val="clear" w:color="auto" w:fill="auto"/>
            <w:vAlign w:val="center"/>
            <w:hideMark/>
          </w:tcPr>
          <w:p w14:paraId="6D46929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47" w:type="pct"/>
            <w:tcBorders>
              <w:top w:val="nil"/>
              <w:left w:val="nil"/>
              <w:bottom w:val="single" w:sz="4" w:space="0" w:color="auto"/>
              <w:right w:val="single" w:sz="4" w:space="0" w:color="auto"/>
            </w:tcBorders>
            <w:shd w:val="clear" w:color="auto" w:fill="auto"/>
            <w:vAlign w:val="center"/>
            <w:hideMark/>
          </w:tcPr>
          <w:p w14:paraId="4773530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2 700 000.00</w:t>
            </w:r>
          </w:p>
        </w:tc>
        <w:tc>
          <w:tcPr>
            <w:tcW w:w="568" w:type="pct"/>
            <w:tcBorders>
              <w:top w:val="nil"/>
              <w:left w:val="nil"/>
              <w:bottom w:val="single" w:sz="4" w:space="0" w:color="auto"/>
              <w:right w:val="single" w:sz="4" w:space="0" w:color="auto"/>
            </w:tcBorders>
            <w:shd w:val="clear" w:color="auto" w:fill="auto"/>
            <w:vAlign w:val="center"/>
            <w:hideMark/>
          </w:tcPr>
          <w:p w14:paraId="2E45CE4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300 000.00</w:t>
            </w:r>
          </w:p>
        </w:tc>
      </w:tr>
      <w:tr w:rsidR="008E74B8" w:rsidRPr="00B71AFB" w14:paraId="4720D4C1"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81B6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790F786F"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Strengthening the Criminal Justice System and the Capacity of Justice Professionals on prevention of the European Convention on Human Rights Violations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618C218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15/03/2019</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57EE09F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14/12/2023</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6201E44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5 000 000.00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D9E9E6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4 500 000.00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492FBAD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500 000.00</w:t>
            </w:r>
          </w:p>
        </w:tc>
      </w:tr>
      <w:tr w:rsidR="008E74B8" w:rsidRPr="00B71AFB" w14:paraId="4C9AB130"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8EBE7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E9B19"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Improving International Judicial Cooperation in Criminal Matters </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0F82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11/12/2020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DDE5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10/12/2024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7A37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61F3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2 700 000.00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8297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300 000.00</w:t>
            </w:r>
          </w:p>
        </w:tc>
      </w:tr>
      <w:tr w:rsidR="008E74B8" w:rsidRPr="00B71AFB" w14:paraId="295B6C96"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C4FE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52E17BF3"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Promoting Alternative Dispute Resolution (ADR)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F5CF3D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17/12/2020</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1C04564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16/09/2024</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6D6EB85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4 000 000.00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4BA28D37"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3 600 000.00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3610460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r>
      <w:tr w:rsidR="008E74B8" w:rsidRPr="00B71AFB" w14:paraId="5F3BE0A5"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33617B8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3DCBC281"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Improving the effectiveness of family courts: better protection of the rights of family members</w:t>
            </w:r>
          </w:p>
        </w:tc>
        <w:tc>
          <w:tcPr>
            <w:tcW w:w="421" w:type="pct"/>
            <w:tcBorders>
              <w:top w:val="nil"/>
              <w:left w:val="nil"/>
              <w:bottom w:val="single" w:sz="4" w:space="0" w:color="auto"/>
              <w:right w:val="single" w:sz="4" w:space="0" w:color="auto"/>
            </w:tcBorders>
            <w:shd w:val="clear" w:color="auto" w:fill="auto"/>
            <w:vAlign w:val="center"/>
            <w:hideMark/>
          </w:tcPr>
          <w:p w14:paraId="4CF1A30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20/03/2021</w:t>
            </w:r>
          </w:p>
        </w:tc>
        <w:tc>
          <w:tcPr>
            <w:tcW w:w="376" w:type="pct"/>
            <w:tcBorders>
              <w:top w:val="nil"/>
              <w:left w:val="nil"/>
              <w:bottom w:val="single" w:sz="4" w:space="0" w:color="auto"/>
              <w:right w:val="single" w:sz="4" w:space="0" w:color="auto"/>
            </w:tcBorders>
            <w:shd w:val="clear" w:color="auto" w:fill="auto"/>
            <w:vAlign w:val="center"/>
            <w:hideMark/>
          </w:tcPr>
          <w:p w14:paraId="6D075CE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19/09/2024</w:t>
            </w:r>
          </w:p>
        </w:tc>
        <w:tc>
          <w:tcPr>
            <w:tcW w:w="560" w:type="pct"/>
            <w:tcBorders>
              <w:top w:val="nil"/>
              <w:left w:val="nil"/>
              <w:bottom w:val="single" w:sz="4" w:space="0" w:color="auto"/>
              <w:right w:val="single" w:sz="4" w:space="0" w:color="auto"/>
            </w:tcBorders>
            <w:shd w:val="clear" w:color="auto" w:fill="auto"/>
            <w:vAlign w:val="center"/>
            <w:hideMark/>
          </w:tcPr>
          <w:p w14:paraId="4E83768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2 223 000.00</w:t>
            </w:r>
          </w:p>
        </w:tc>
        <w:tc>
          <w:tcPr>
            <w:tcW w:w="547" w:type="pct"/>
            <w:tcBorders>
              <w:top w:val="nil"/>
              <w:left w:val="nil"/>
              <w:bottom w:val="single" w:sz="4" w:space="0" w:color="auto"/>
              <w:right w:val="single" w:sz="4" w:space="0" w:color="auto"/>
            </w:tcBorders>
            <w:shd w:val="clear" w:color="auto" w:fill="auto"/>
            <w:vAlign w:val="center"/>
            <w:hideMark/>
          </w:tcPr>
          <w:p w14:paraId="246657C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2 000 000.00</w:t>
            </w:r>
          </w:p>
        </w:tc>
        <w:tc>
          <w:tcPr>
            <w:tcW w:w="568" w:type="pct"/>
            <w:tcBorders>
              <w:top w:val="nil"/>
              <w:left w:val="nil"/>
              <w:bottom w:val="single" w:sz="4" w:space="0" w:color="auto"/>
              <w:right w:val="single" w:sz="4" w:space="0" w:color="auto"/>
            </w:tcBorders>
            <w:shd w:val="clear" w:color="auto" w:fill="auto"/>
            <w:vAlign w:val="center"/>
            <w:hideMark/>
          </w:tcPr>
          <w:p w14:paraId="0542657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223 000.00</w:t>
            </w:r>
          </w:p>
        </w:tc>
      </w:tr>
      <w:tr w:rsidR="008E74B8" w:rsidRPr="00B71AFB" w14:paraId="2AF490C0"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726064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28CC1163"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Supporting the Effective Implementation of Turkish Constitutional Court Judgments in the field of Fundamental Rights</w:t>
            </w:r>
          </w:p>
        </w:tc>
        <w:tc>
          <w:tcPr>
            <w:tcW w:w="421" w:type="pct"/>
            <w:tcBorders>
              <w:top w:val="nil"/>
              <w:left w:val="nil"/>
              <w:bottom w:val="single" w:sz="4" w:space="0" w:color="auto"/>
              <w:right w:val="single" w:sz="4" w:space="0" w:color="auto"/>
            </w:tcBorders>
            <w:shd w:val="clear" w:color="auto" w:fill="auto"/>
            <w:vAlign w:val="center"/>
            <w:hideMark/>
          </w:tcPr>
          <w:p w14:paraId="37C3C7E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17/09/2021</w:t>
            </w:r>
          </w:p>
        </w:tc>
        <w:tc>
          <w:tcPr>
            <w:tcW w:w="376" w:type="pct"/>
            <w:tcBorders>
              <w:top w:val="nil"/>
              <w:left w:val="nil"/>
              <w:bottom w:val="single" w:sz="4" w:space="0" w:color="auto"/>
              <w:right w:val="single" w:sz="4" w:space="0" w:color="auto"/>
            </w:tcBorders>
            <w:shd w:val="clear" w:color="auto" w:fill="auto"/>
            <w:vAlign w:val="center"/>
            <w:hideMark/>
          </w:tcPr>
          <w:p w14:paraId="6CD8A09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16/09/2025</w:t>
            </w:r>
          </w:p>
        </w:tc>
        <w:tc>
          <w:tcPr>
            <w:tcW w:w="560" w:type="pct"/>
            <w:tcBorders>
              <w:top w:val="nil"/>
              <w:left w:val="nil"/>
              <w:bottom w:val="single" w:sz="4" w:space="0" w:color="auto"/>
              <w:right w:val="single" w:sz="4" w:space="0" w:color="auto"/>
            </w:tcBorders>
            <w:shd w:val="clear" w:color="auto" w:fill="auto"/>
            <w:vAlign w:val="center"/>
            <w:hideMark/>
          </w:tcPr>
          <w:p w14:paraId="4D95991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5 500 000.00</w:t>
            </w:r>
          </w:p>
        </w:tc>
        <w:tc>
          <w:tcPr>
            <w:tcW w:w="547" w:type="pct"/>
            <w:tcBorders>
              <w:top w:val="nil"/>
              <w:left w:val="nil"/>
              <w:bottom w:val="single" w:sz="4" w:space="0" w:color="auto"/>
              <w:right w:val="single" w:sz="4" w:space="0" w:color="auto"/>
            </w:tcBorders>
            <w:shd w:val="clear" w:color="auto" w:fill="auto"/>
            <w:vAlign w:val="center"/>
            <w:hideMark/>
          </w:tcPr>
          <w:p w14:paraId="7F20133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4 950 000.00</w:t>
            </w:r>
          </w:p>
        </w:tc>
        <w:tc>
          <w:tcPr>
            <w:tcW w:w="568" w:type="pct"/>
            <w:tcBorders>
              <w:top w:val="nil"/>
              <w:left w:val="nil"/>
              <w:bottom w:val="single" w:sz="4" w:space="0" w:color="auto"/>
              <w:right w:val="single" w:sz="4" w:space="0" w:color="auto"/>
            </w:tcBorders>
            <w:shd w:val="clear" w:color="auto" w:fill="auto"/>
            <w:vAlign w:val="center"/>
            <w:hideMark/>
          </w:tcPr>
          <w:p w14:paraId="0C8D7CA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550 000.00</w:t>
            </w:r>
          </w:p>
        </w:tc>
      </w:tr>
      <w:tr w:rsidR="008E74B8" w:rsidRPr="00B71AFB" w14:paraId="1212D376" w14:textId="77777777" w:rsidTr="00E05368">
        <w:trPr>
          <w:trHeight w:val="1002"/>
        </w:trPr>
        <w:tc>
          <w:tcPr>
            <w:tcW w:w="692" w:type="pct"/>
            <w:tcBorders>
              <w:top w:val="nil"/>
              <w:left w:val="single" w:sz="4" w:space="0" w:color="auto"/>
              <w:bottom w:val="single" w:sz="4" w:space="0" w:color="auto"/>
              <w:right w:val="nil"/>
            </w:tcBorders>
            <w:shd w:val="clear" w:color="auto" w:fill="auto"/>
            <w:vAlign w:val="center"/>
            <w:hideMark/>
          </w:tcPr>
          <w:p w14:paraId="0361ED6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Kosovo*</w:t>
            </w:r>
          </w:p>
        </w:tc>
        <w:tc>
          <w:tcPr>
            <w:tcW w:w="1836" w:type="pct"/>
            <w:tcBorders>
              <w:top w:val="nil"/>
              <w:left w:val="nil"/>
              <w:bottom w:val="single" w:sz="4" w:space="0" w:color="auto"/>
              <w:right w:val="nil"/>
            </w:tcBorders>
            <w:shd w:val="clear" w:color="auto" w:fill="auto"/>
            <w:vAlign w:val="center"/>
            <w:hideMark/>
          </w:tcPr>
          <w:p w14:paraId="5EDDE94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vAlign w:val="center"/>
            <w:hideMark/>
          </w:tcPr>
          <w:p w14:paraId="024B269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vAlign w:val="center"/>
            <w:hideMark/>
          </w:tcPr>
          <w:p w14:paraId="1814CBA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vAlign w:val="center"/>
            <w:hideMark/>
          </w:tcPr>
          <w:p w14:paraId="70D6444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vAlign w:val="center"/>
            <w:hideMark/>
          </w:tcPr>
          <w:p w14:paraId="67062A8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vAlign w:val="center"/>
            <w:hideMark/>
          </w:tcPr>
          <w:p w14:paraId="7299D1C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4385EF82"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774700A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79F0D5A4"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Building capacity for inclusion in education - INCLUDE</w:t>
            </w:r>
          </w:p>
        </w:tc>
        <w:tc>
          <w:tcPr>
            <w:tcW w:w="421" w:type="pct"/>
            <w:tcBorders>
              <w:top w:val="nil"/>
              <w:left w:val="nil"/>
              <w:bottom w:val="single" w:sz="4" w:space="0" w:color="auto"/>
              <w:right w:val="single" w:sz="4" w:space="0" w:color="auto"/>
            </w:tcBorders>
            <w:shd w:val="clear" w:color="auto" w:fill="auto"/>
            <w:vAlign w:val="center"/>
            <w:hideMark/>
          </w:tcPr>
          <w:p w14:paraId="2740DFC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01/01/2020</w:t>
            </w:r>
          </w:p>
        </w:tc>
        <w:tc>
          <w:tcPr>
            <w:tcW w:w="376" w:type="pct"/>
            <w:tcBorders>
              <w:top w:val="nil"/>
              <w:left w:val="nil"/>
              <w:bottom w:val="single" w:sz="4" w:space="0" w:color="auto"/>
              <w:right w:val="single" w:sz="4" w:space="0" w:color="auto"/>
            </w:tcBorders>
            <w:shd w:val="clear" w:color="auto" w:fill="auto"/>
            <w:vAlign w:val="center"/>
            <w:hideMark/>
          </w:tcPr>
          <w:p w14:paraId="7ED6929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31/12/2023</w:t>
            </w:r>
          </w:p>
        </w:tc>
        <w:tc>
          <w:tcPr>
            <w:tcW w:w="560" w:type="pct"/>
            <w:tcBorders>
              <w:top w:val="nil"/>
              <w:left w:val="nil"/>
              <w:bottom w:val="single" w:sz="4" w:space="0" w:color="auto"/>
              <w:right w:val="single" w:sz="4" w:space="0" w:color="auto"/>
            </w:tcBorders>
            <w:shd w:val="clear" w:color="auto" w:fill="auto"/>
            <w:vAlign w:val="center"/>
            <w:hideMark/>
          </w:tcPr>
          <w:p w14:paraId="08C3746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2 223 000.00</w:t>
            </w:r>
          </w:p>
        </w:tc>
        <w:tc>
          <w:tcPr>
            <w:tcW w:w="547" w:type="pct"/>
            <w:tcBorders>
              <w:top w:val="nil"/>
              <w:left w:val="nil"/>
              <w:bottom w:val="single" w:sz="4" w:space="0" w:color="auto"/>
              <w:right w:val="single" w:sz="4" w:space="0" w:color="auto"/>
            </w:tcBorders>
            <w:shd w:val="clear" w:color="auto" w:fill="auto"/>
            <w:vAlign w:val="center"/>
            <w:hideMark/>
          </w:tcPr>
          <w:p w14:paraId="4D54F4C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2 000 000.00</w:t>
            </w:r>
          </w:p>
        </w:tc>
        <w:tc>
          <w:tcPr>
            <w:tcW w:w="568" w:type="pct"/>
            <w:tcBorders>
              <w:top w:val="nil"/>
              <w:left w:val="nil"/>
              <w:bottom w:val="single" w:sz="4" w:space="0" w:color="auto"/>
              <w:right w:val="single" w:sz="4" w:space="0" w:color="auto"/>
            </w:tcBorders>
            <w:shd w:val="clear" w:color="auto" w:fill="auto"/>
            <w:vAlign w:val="center"/>
            <w:hideMark/>
          </w:tcPr>
          <w:p w14:paraId="4F3F1E9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223 000.00</w:t>
            </w:r>
          </w:p>
        </w:tc>
      </w:tr>
      <w:tr w:rsidR="008E74B8" w:rsidRPr="00B71AFB" w14:paraId="0E99AE0D"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044227D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78FF463C"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Project against Economic Crime</w:t>
            </w:r>
            <w:r>
              <w:rPr>
                <w:rFonts w:eastAsia="Times New Roman" w:cs="Arial"/>
                <w:color w:val="000000"/>
                <w:szCs w:val="20"/>
                <w:lang w:eastAsia="fr-FR"/>
              </w:rPr>
              <w:t xml:space="preserve"> </w:t>
            </w:r>
            <w:r w:rsidRPr="00B71AFB">
              <w:rPr>
                <w:rFonts w:eastAsia="Times New Roman" w:cs="Arial"/>
                <w:color w:val="000000"/>
                <w:szCs w:val="20"/>
                <w:lang w:eastAsia="fr-FR"/>
              </w:rPr>
              <w:t>(PECK) Phase III</w:t>
            </w:r>
          </w:p>
        </w:tc>
        <w:tc>
          <w:tcPr>
            <w:tcW w:w="421" w:type="pct"/>
            <w:tcBorders>
              <w:top w:val="nil"/>
              <w:left w:val="nil"/>
              <w:bottom w:val="single" w:sz="4" w:space="0" w:color="auto"/>
              <w:right w:val="single" w:sz="4" w:space="0" w:color="auto"/>
            </w:tcBorders>
            <w:shd w:val="clear" w:color="auto" w:fill="auto"/>
            <w:vAlign w:val="center"/>
            <w:hideMark/>
          </w:tcPr>
          <w:p w14:paraId="7436518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01/07/2020</w:t>
            </w:r>
          </w:p>
        </w:tc>
        <w:tc>
          <w:tcPr>
            <w:tcW w:w="376" w:type="pct"/>
            <w:tcBorders>
              <w:top w:val="nil"/>
              <w:left w:val="nil"/>
              <w:bottom w:val="single" w:sz="4" w:space="0" w:color="auto"/>
              <w:right w:val="single" w:sz="4" w:space="0" w:color="auto"/>
            </w:tcBorders>
            <w:shd w:val="clear" w:color="auto" w:fill="auto"/>
            <w:vAlign w:val="center"/>
            <w:hideMark/>
          </w:tcPr>
          <w:p w14:paraId="62E35B7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27/10/2024</w:t>
            </w:r>
          </w:p>
        </w:tc>
        <w:tc>
          <w:tcPr>
            <w:tcW w:w="560" w:type="pct"/>
            <w:tcBorders>
              <w:top w:val="nil"/>
              <w:left w:val="nil"/>
              <w:bottom w:val="single" w:sz="4" w:space="0" w:color="auto"/>
              <w:right w:val="single" w:sz="4" w:space="0" w:color="auto"/>
            </w:tcBorders>
            <w:shd w:val="clear" w:color="auto" w:fill="auto"/>
            <w:vAlign w:val="center"/>
            <w:hideMark/>
          </w:tcPr>
          <w:p w14:paraId="4739154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2 460 000.00</w:t>
            </w:r>
          </w:p>
        </w:tc>
        <w:tc>
          <w:tcPr>
            <w:tcW w:w="547" w:type="pct"/>
            <w:tcBorders>
              <w:top w:val="nil"/>
              <w:left w:val="nil"/>
              <w:bottom w:val="single" w:sz="4" w:space="0" w:color="auto"/>
              <w:right w:val="single" w:sz="4" w:space="0" w:color="auto"/>
            </w:tcBorders>
            <w:shd w:val="clear" w:color="auto" w:fill="auto"/>
            <w:vAlign w:val="center"/>
            <w:hideMark/>
          </w:tcPr>
          <w:p w14:paraId="73F273A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2 214 000.00</w:t>
            </w:r>
          </w:p>
        </w:tc>
        <w:tc>
          <w:tcPr>
            <w:tcW w:w="568" w:type="pct"/>
            <w:tcBorders>
              <w:top w:val="nil"/>
              <w:left w:val="nil"/>
              <w:bottom w:val="single" w:sz="4" w:space="0" w:color="auto"/>
              <w:right w:val="single" w:sz="4" w:space="0" w:color="auto"/>
            </w:tcBorders>
            <w:shd w:val="clear" w:color="auto" w:fill="auto"/>
            <w:vAlign w:val="center"/>
            <w:hideMark/>
          </w:tcPr>
          <w:p w14:paraId="374C8BB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246 000.00</w:t>
            </w:r>
          </w:p>
        </w:tc>
      </w:tr>
      <w:tr w:rsidR="008E74B8" w:rsidRPr="00B71AFB" w14:paraId="12CCDF26"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38B6DAC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Regional </w:t>
            </w:r>
          </w:p>
        </w:tc>
        <w:tc>
          <w:tcPr>
            <w:tcW w:w="1836" w:type="pct"/>
            <w:tcBorders>
              <w:top w:val="nil"/>
              <w:left w:val="nil"/>
              <w:bottom w:val="single" w:sz="4" w:space="0" w:color="auto"/>
              <w:right w:val="nil"/>
            </w:tcBorders>
            <w:shd w:val="clear" w:color="auto" w:fill="auto"/>
            <w:noWrap/>
            <w:vAlign w:val="center"/>
            <w:hideMark/>
          </w:tcPr>
          <w:p w14:paraId="59F3C4A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77CC3BF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71266CB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6A269D6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66712CF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1ED6000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357F88D9"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961E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E0ED3"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Cooperation on Cybercrime: targeting crime proceeds on the Internet and securing electronic evidence (“iPROCEEDS2”)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B6CB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5E3C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FE71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4 945 000.00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2289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4 450 000.00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CEA2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495 000.00</w:t>
            </w:r>
          </w:p>
        </w:tc>
      </w:tr>
      <w:tr w:rsidR="008E74B8" w:rsidRPr="00B71AFB" w14:paraId="0B964AEF"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1CCE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580E1B6C"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ROMACTED phase II: Promoting good governance and Roma empowerment at local level</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03EDAE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01/01/2021</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6615DA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31/12/2024</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1052F2A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6 500 000.00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93333C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5 700 000.00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1C55331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800 000.00</w:t>
            </w:r>
          </w:p>
        </w:tc>
      </w:tr>
      <w:tr w:rsidR="008E74B8" w:rsidRPr="00B71AFB" w14:paraId="1989BA52"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FC5682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733A4669"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European Union/Council of Europe Horizontal Facility for the Western Balkans and Türkiye – Phase III</w:t>
            </w:r>
          </w:p>
        </w:tc>
        <w:tc>
          <w:tcPr>
            <w:tcW w:w="421" w:type="pct"/>
            <w:tcBorders>
              <w:top w:val="nil"/>
              <w:left w:val="nil"/>
              <w:bottom w:val="single" w:sz="4" w:space="0" w:color="auto"/>
              <w:right w:val="single" w:sz="4" w:space="0" w:color="auto"/>
            </w:tcBorders>
            <w:shd w:val="clear" w:color="auto" w:fill="auto"/>
            <w:vAlign w:val="center"/>
            <w:hideMark/>
          </w:tcPr>
          <w:p w14:paraId="1DAC0F9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01/01/2023</w:t>
            </w:r>
          </w:p>
        </w:tc>
        <w:tc>
          <w:tcPr>
            <w:tcW w:w="376" w:type="pct"/>
            <w:tcBorders>
              <w:top w:val="nil"/>
              <w:left w:val="nil"/>
              <w:bottom w:val="single" w:sz="4" w:space="0" w:color="auto"/>
              <w:right w:val="single" w:sz="4" w:space="0" w:color="auto"/>
            </w:tcBorders>
            <w:shd w:val="clear" w:color="auto" w:fill="auto"/>
            <w:vAlign w:val="center"/>
            <w:hideMark/>
          </w:tcPr>
          <w:p w14:paraId="6CDF385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31/12/2026</w:t>
            </w:r>
          </w:p>
        </w:tc>
        <w:tc>
          <w:tcPr>
            <w:tcW w:w="560" w:type="pct"/>
            <w:tcBorders>
              <w:top w:val="nil"/>
              <w:left w:val="nil"/>
              <w:bottom w:val="single" w:sz="4" w:space="0" w:color="auto"/>
              <w:right w:val="single" w:sz="4" w:space="0" w:color="auto"/>
            </w:tcBorders>
            <w:shd w:val="clear" w:color="auto" w:fill="auto"/>
            <w:vAlign w:val="center"/>
            <w:hideMark/>
          </w:tcPr>
          <w:p w14:paraId="4A809687"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41 175 000.00</w:t>
            </w:r>
          </w:p>
        </w:tc>
        <w:tc>
          <w:tcPr>
            <w:tcW w:w="547" w:type="pct"/>
            <w:tcBorders>
              <w:top w:val="nil"/>
              <w:left w:val="nil"/>
              <w:bottom w:val="single" w:sz="4" w:space="0" w:color="auto"/>
              <w:right w:val="single" w:sz="4" w:space="0" w:color="auto"/>
            </w:tcBorders>
            <w:shd w:val="clear" w:color="auto" w:fill="auto"/>
            <w:vAlign w:val="center"/>
            <w:hideMark/>
          </w:tcPr>
          <w:p w14:paraId="421B92E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35 000 000.00</w:t>
            </w:r>
          </w:p>
        </w:tc>
        <w:tc>
          <w:tcPr>
            <w:tcW w:w="568" w:type="pct"/>
            <w:tcBorders>
              <w:top w:val="nil"/>
              <w:left w:val="nil"/>
              <w:bottom w:val="single" w:sz="4" w:space="0" w:color="auto"/>
              <w:right w:val="single" w:sz="4" w:space="0" w:color="auto"/>
            </w:tcBorders>
            <w:shd w:val="clear" w:color="auto" w:fill="auto"/>
            <w:vAlign w:val="center"/>
            <w:hideMark/>
          </w:tcPr>
          <w:p w14:paraId="36DEB9C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6 175 000.00</w:t>
            </w:r>
          </w:p>
        </w:tc>
      </w:tr>
      <w:tr w:rsidR="008E74B8" w:rsidRPr="00B71AFB" w14:paraId="6A91EF66"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53BDAA0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IPA</w:t>
            </w:r>
          </w:p>
        </w:tc>
        <w:tc>
          <w:tcPr>
            <w:tcW w:w="1836" w:type="pct"/>
            <w:tcBorders>
              <w:top w:val="nil"/>
              <w:left w:val="nil"/>
              <w:bottom w:val="single" w:sz="4" w:space="0" w:color="auto"/>
              <w:right w:val="single" w:sz="4" w:space="0" w:color="auto"/>
            </w:tcBorders>
            <w:shd w:val="clear" w:color="auto" w:fill="auto"/>
            <w:vAlign w:val="center"/>
            <w:hideMark/>
          </w:tcPr>
          <w:p w14:paraId="2E302735"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Roma Integration Project - Phase III</w:t>
            </w:r>
          </w:p>
        </w:tc>
        <w:tc>
          <w:tcPr>
            <w:tcW w:w="421" w:type="pct"/>
            <w:tcBorders>
              <w:top w:val="nil"/>
              <w:left w:val="nil"/>
              <w:bottom w:val="single" w:sz="4" w:space="0" w:color="auto"/>
              <w:right w:val="single" w:sz="4" w:space="0" w:color="auto"/>
            </w:tcBorders>
            <w:shd w:val="clear" w:color="auto" w:fill="auto"/>
            <w:vAlign w:val="center"/>
            <w:hideMark/>
          </w:tcPr>
          <w:p w14:paraId="085CE83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01/05/2023</w:t>
            </w:r>
          </w:p>
        </w:tc>
        <w:tc>
          <w:tcPr>
            <w:tcW w:w="376" w:type="pct"/>
            <w:tcBorders>
              <w:top w:val="nil"/>
              <w:left w:val="nil"/>
              <w:bottom w:val="single" w:sz="4" w:space="0" w:color="auto"/>
              <w:right w:val="single" w:sz="4" w:space="0" w:color="auto"/>
            </w:tcBorders>
            <w:shd w:val="clear" w:color="auto" w:fill="auto"/>
            <w:vAlign w:val="center"/>
            <w:hideMark/>
          </w:tcPr>
          <w:p w14:paraId="6F46005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30/04/2026</w:t>
            </w:r>
          </w:p>
        </w:tc>
        <w:tc>
          <w:tcPr>
            <w:tcW w:w="560" w:type="pct"/>
            <w:tcBorders>
              <w:top w:val="nil"/>
              <w:left w:val="nil"/>
              <w:bottom w:val="single" w:sz="4" w:space="0" w:color="auto"/>
              <w:right w:val="single" w:sz="4" w:space="0" w:color="auto"/>
            </w:tcBorders>
            <w:shd w:val="clear" w:color="auto" w:fill="auto"/>
            <w:vAlign w:val="center"/>
            <w:hideMark/>
          </w:tcPr>
          <w:p w14:paraId="6B86F7F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47" w:type="pct"/>
            <w:tcBorders>
              <w:top w:val="nil"/>
              <w:left w:val="nil"/>
              <w:bottom w:val="single" w:sz="4" w:space="0" w:color="auto"/>
              <w:right w:val="single" w:sz="4" w:space="0" w:color="auto"/>
            </w:tcBorders>
            <w:shd w:val="clear" w:color="auto" w:fill="auto"/>
            <w:vAlign w:val="center"/>
            <w:hideMark/>
          </w:tcPr>
          <w:p w14:paraId="33E2D48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2 700 000.00</w:t>
            </w:r>
          </w:p>
        </w:tc>
        <w:tc>
          <w:tcPr>
            <w:tcW w:w="568" w:type="pct"/>
            <w:tcBorders>
              <w:top w:val="nil"/>
              <w:left w:val="nil"/>
              <w:bottom w:val="single" w:sz="4" w:space="0" w:color="auto"/>
              <w:right w:val="single" w:sz="4" w:space="0" w:color="auto"/>
            </w:tcBorders>
            <w:shd w:val="clear" w:color="auto" w:fill="auto"/>
            <w:vAlign w:val="center"/>
            <w:hideMark/>
          </w:tcPr>
          <w:p w14:paraId="20013D1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300 000.00</w:t>
            </w:r>
          </w:p>
        </w:tc>
      </w:tr>
      <w:tr w:rsidR="008E74B8" w:rsidRPr="00B71AFB" w14:paraId="525A6676"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000000" w:fill="5B9BD5"/>
            <w:noWrap/>
            <w:vAlign w:val="center"/>
            <w:hideMark/>
          </w:tcPr>
          <w:p w14:paraId="7B9A1DE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Eastern Europe and South Caucasus </w:t>
            </w:r>
          </w:p>
        </w:tc>
        <w:tc>
          <w:tcPr>
            <w:tcW w:w="421" w:type="pct"/>
            <w:tcBorders>
              <w:top w:val="nil"/>
              <w:left w:val="nil"/>
              <w:bottom w:val="single" w:sz="4" w:space="0" w:color="auto"/>
              <w:right w:val="nil"/>
            </w:tcBorders>
            <w:shd w:val="clear" w:color="000000" w:fill="5B9BD5"/>
            <w:noWrap/>
            <w:vAlign w:val="center"/>
            <w:hideMark/>
          </w:tcPr>
          <w:p w14:paraId="627A1ECD"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000000" w:fill="5B9BD5"/>
            <w:noWrap/>
            <w:vAlign w:val="center"/>
            <w:hideMark/>
          </w:tcPr>
          <w:p w14:paraId="01FC904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000000" w:fill="5B9BD5"/>
            <w:noWrap/>
            <w:vAlign w:val="center"/>
            <w:hideMark/>
          </w:tcPr>
          <w:p w14:paraId="51383D5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000000" w:fill="5B9BD5"/>
            <w:noWrap/>
            <w:vAlign w:val="center"/>
            <w:hideMark/>
          </w:tcPr>
          <w:p w14:paraId="759670B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000000" w:fill="5B9BD5"/>
            <w:noWrap/>
            <w:vAlign w:val="center"/>
            <w:hideMark/>
          </w:tcPr>
          <w:p w14:paraId="276E6D0D"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310803D6"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7119956E" w14:textId="77777777" w:rsidR="008E74B8" w:rsidRPr="00B71AFB" w:rsidRDefault="008E74B8" w:rsidP="00E05368">
            <w:pPr>
              <w:rPr>
                <w:rFonts w:eastAsia="Times New Roman" w:cs="Arial"/>
                <w:b/>
                <w:bCs/>
                <w:color w:val="000000"/>
                <w:szCs w:val="20"/>
                <w:lang w:eastAsia="fr-FR"/>
              </w:rPr>
            </w:pPr>
            <w:r>
              <w:rPr>
                <w:rFonts w:eastAsia="Times New Roman" w:cs="Arial"/>
                <w:b/>
                <w:bCs/>
                <w:color w:val="000000"/>
                <w:szCs w:val="20"/>
                <w:lang w:eastAsia="fr-FR"/>
              </w:rPr>
              <w:t xml:space="preserve">Republic of Moldova </w:t>
            </w:r>
          </w:p>
        </w:tc>
        <w:tc>
          <w:tcPr>
            <w:tcW w:w="1836" w:type="pct"/>
            <w:tcBorders>
              <w:top w:val="nil"/>
              <w:left w:val="nil"/>
              <w:bottom w:val="single" w:sz="4" w:space="0" w:color="auto"/>
              <w:right w:val="nil"/>
            </w:tcBorders>
            <w:shd w:val="clear" w:color="auto" w:fill="auto"/>
            <w:noWrap/>
            <w:vAlign w:val="center"/>
            <w:hideMark/>
          </w:tcPr>
          <w:p w14:paraId="7D86919F"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2E8D79E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048B21A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689627F4"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6387AF4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675B34D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3D2AF566"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B8804C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NDICI</w:t>
            </w:r>
          </w:p>
        </w:tc>
        <w:tc>
          <w:tcPr>
            <w:tcW w:w="1836" w:type="pct"/>
            <w:tcBorders>
              <w:top w:val="nil"/>
              <w:left w:val="nil"/>
              <w:bottom w:val="single" w:sz="4" w:space="0" w:color="auto"/>
              <w:right w:val="single" w:sz="4" w:space="0" w:color="auto"/>
            </w:tcBorders>
            <w:shd w:val="clear" w:color="auto" w:fill="auto"/>
            <w:vAlign w:val="center"/>
            <w:hideMark/>
          </w:tcPr>
          <w:p w14:paraId="4C2B3C0D"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to the Justice Reform in the Republic of Moldova</w:t>
            </w:r>
          </w:p>
        </w:tc>
        <w:tc>
          <w:tcPr>
            <w:tcW w:w="421" w:type="pct"/>
            <w:tcBorders>
              <w:top w:val="nil"/>
              <w:left w:val="nil"/>
              <w:bottom w:val="single" w:sz="4" w:space="0" w:color="auto"/>
              <w:right w:val="single" w:sz="4" w:space="0" w:color="auto"/>
            </w:tcBorders>
            <w:shd w:val="clear" w:color="auto" w:fill="auto"/>
            <w:vAlign w:val="center"/>
            <w:hideMark/>
          </w:tcPr>
          <w:p w14:paraId="31AB93B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27/05/2023</w:t>
            </w:r>
          </w:p>
        </w:tc>
        <w:tc>
          <w:tcPr>
            <w:tcW w:w="376" w:type="pct"/>
            <w:tcBorders>
              <w:top w:val="nil"/>
              <w:left w:val="nil"/>
              <w:bottom w:val="single" w:sz="4" w:space="0" w:color="auto"/>
              <w:right w:val="single" w:sz="4" w:space="0" w:color="auto"/>
            </w:tcBorders>
            <w:shd w:val="clear" w:color="auto" w:fill="auto"/>
            <w:vAlign w:val="center"/>
            <w:hideMark/>
          </w:tcPr>
          <w:p w14:paraId="1E4DC665"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26/11/2026</w:t>
            </w:r>
          </w:p>
        </w:tc>
        <w:tc>
          <w:tcPr>
            <w:tcW w:w="560" w:type="pct"/>
            <w:tcBorders>
              <w:top w:val="nil"/>
              <w:left w:val="nil"/>
              <w:bottom w:val="single" w:sz="4" w:space="0" w:color="auto"/>
              <w:right w:val="single" w:sz="4" w:space="0" w:color="auto"/>
            </w:tcBorders>
            <w:shd w:val="clear" w:color="auto" w:fill="auto"/>
            <w:vAlign w:val="center"/>
            <w:hideMark/>
          </w:tcPr>
          <w:p w14:paraId="28C0C30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2 700 000.00</w:t>
            </w:r>
          </w:p>
        </w:tc>
        <w:tc>
          <w:tcPr>
            <w:tcW w:w="547" w:type="pct"/>
            <w:tcBorders>
              <w:top w:val="nil"/>
              <w:left w:val="nil"/>
              <w:bottom w:val="single" w:sz="4" w:space="0" w:color="auto"/>
              <w:right w:val="single" w:sz="4" w:space="0" w:color="auto"/>
            </w:tcBorders>
            <w:shd w:val="clear" w:color="auto" w:fill="auto"/>
            <w:vAlign w:val="center"/>
            <w:hideMark/>
          </w:tcPr>
          <w:p w14:paraId="0607593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2 430 000.00</w:t>
            </w:r>
          </w:p>
        </w:tc>
        <w:tc>
          <w:tcPr>
            <w:tcW w:w="568" w:type="pct"/>
            <w:tcBorders>
              <w:top w:val="nil"/>
              <w:left w:val="nil"/>
              <w:bottom w:val="single" w:sz="4" w:space="0" w:color="auto"/>
              <w:right w:val="single" w:sz="4" w:space="0" w:color="auto"/>
            </w:tcBorders>
            <w:shd w:val="clear" w:color="auto" w:fill="auto"/>
            <w:vAlign w:val="center"/>
            <w:hideMark/>
          </w:tcPr>
          <w:p w14:paraId="62F71D4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270 000.00</w:t>
            </w:r>
          </w:p>
        </w:tc>
      </w:tr>
      <w:tr w:rsidR="008E74B8" w:rsidRPr="00B71AFB" w14:paraId="3C8E2ACF"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3415244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Ukraine</w:t>
            </w:r>
          </w:p>
        </w:tc>
        <w:tc>
          <w:tcPr>
            <w:tcW w:w="1836" w:type="pct"/>
            <w:tcBorders>
              <w:top w:val="nil"/>
              <w:left w:val="nil"/>
              <w:bottom w:val="single" w:sz="4" w:space="0" w:color="auto"/>
              <w:right w:val="nil"/>
            </w:tcBorders>
            <w:shd w:val="clear" w:color="auto" w:fill="auto"/>
            <w:noWrap/>
            <w:vAlign w:val="center"/>
            <w:hideMark/>
          </w:tcPr>
          <w:p w14:paraId="2A1D393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3E28DE2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40DE681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2F4BF48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0FEFAA8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786E5A6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100784B4"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D0C8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5B1BD"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European Union and Council of Europe working together to strengthening the protection of human rights in Ukraine </w:t>
            </w: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089AE"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10/07/2019</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ED93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17/12/2023</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0CAE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3 334 000.00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506A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8BA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334 000.00</w:t>
            </w:r>
          </w:p>
        </w:tc>
      </w:tr>
      <w:tr w:rsidR="008E74B8" w:rsidRPr="00B71AFB" w14:paraId="3F6CBB53"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AB5D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7D9F121B" w14:textId="77777777" w:rsidR="008E74B8" w:rsidRPr="00B71AFB" w:rsidRDefault="008E74B8" w:rsidP="00E05368">
            <w:pPr>
              <w:rPr>
                <w:rFonts w:eastAsia="Times New Roman" w:cs="Arial"/>
                <w:color w:val="000000"/>
                <w:sz w:val="18"/>
                <w:szCs w:val="18"/>
                <w:lang w:eastAsia="fr-FR"/>
              </w:rPr>
            </w:pPr>
            <w:r w:rsidRPr="00B71AFB">
              <w:rPr>
                <w:rFonts w:eastAsia="Times New Roman" w:cs="Arial"/>
                <w:color w:val="000000"/>
                <w:sz w:val="18"/>
                <w:szCs w:val="18"/>
                <w:lang w:eastAsia="fr-FR"/>
              </w:rPr>
              <w:t>Support for implementing European standards relating to anti-discrimination and rights of national minorities in Ukraine</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5A869290" w14:textId="77777777" w:rsidR="008E74B8" w:rsidRPr="00B71AFB" w:rsidRDefault="008E74B8" w:rsidP="00E05368">
            <w:pPr>
              <w:jc w:val="center"/>
              <w:rPr>
                <w:rFonts w:eastAsia="Times New Roman" w:cs="Arial"/>
                <w:color w:val="000000"/>
                <w:sz w:val="18"/>
                <w:szCs w:val="18"/>
                <w:lang w:eastAsia="fr-FR"/>
              </w:rPr>
            </w:pPr>
            <w:r w:rsidRPr="00B71AFB">
              <w:rPr>
                <w:rFonts w:eastAsia="Times New Roman" w:cs="Arial"/>
                <w:color w:val="000000"/>
                <w:sz w:val="18"/>
                <w:szCs w:val="18"/>
                <w:lang w:eastAsia="fr-FR"/>
              </w:rPr>
              <w:t>01/07/2023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77B188C8" w14:textId="77777777" w:rsidR="008E74B8" w:rsidRPr="00B71AFB" w:rsidRDefault="008E74B8" w:rsidP="00E05368">
            <w:pPr>
              <w:jc w:val="center"/>
              <w:rPr>
                <w:rFonts w:eastAsia="Times New Roman" w:cs="Arial"/>
                <w:color w:val="000000"/>
                <w:sz w:val="18"/>
                <w:szCs w:val="18"/>
                <w:lang w:eastAsia="fr-FR"/>
              </w:rPr>
            </w:pPr>
            <w:r w:rsidRPr="00B71AFB">
              <w:rPr>
                <w:rFonts w:eastAsia="Times New Roman" w:cs="Arial"/>
                <w:color w:val="000000"/>
                <w:sz w:val="18"/>
                <w:szCs w:val="18"/>
                <w:lang w:eastAsia="fr-FR"/>
              </w:rPr>
              <w:t>30/06/2026</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70D96520" w14:textId="77777777" w:rsidR="008E74B8" w:rsidRPr="00B71AFB" w:rsidRDefault="008E74B8" w:rsidP="00E05368">
            <w:pPr>
              <w:jc w:val="right"/>
              <w:rPr>
                <w:rFonts w:eastAsia="Times New Roman" w:cs="Arial"/>
                <w:color w:val="000000"/>
                <w:sz w:val="18"/>
                <w:szCs w:val="18"/>
                <w:lang w:eastAsia="fr-FR"/>
              </w:rPr>
            </w:pPr>
            <w:r w:rsidRPr="00B71AFB">
              <w:rPr>
                <w:rFonts w:eastAsia="Times New Roman" w:cs="Arial"/>
                <w:color w:val="000000"/>
                <w:sz w:val="18"/>
                <w:szCs w:val="18"/>
                <w:lang w:eastAsia="fr-FR"/>
              </w:rPr>
              <w:t>1 999 997.00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F098238" w14:textId="77777777" w:rsidR="008E74B8" w:rsidRPr="00B71AFB" w:rsidRDefault="008E74B8" w:rsidP="00E05368">
            <w:pPr>
              <w:jc w:val="right"/>
              <w:rPr>
                <w:rFonts w:eastAsia="Times New Roman" w:cs="Arial"/>
                <w:color w:val="000000"/>
                <w:sz w:val="18"/>
                <w:szCs w:val="18"/>
                <w:lang w:eastAsia="fr-FR"/>
              </w:rPr>
            </w:pPr>
            <w:r w:rsidRPr="00B71AFB">
              <w:rPr>
                <w:rFonts w:eastAsia="Times New Roman" w:cs="Arial"/>
                <w:color w:val="000000"/>
                <w:sz w:val="18"/>
                <w:szCs w:val="18"/>
                <w:lang w:eastAsia="fr-FR"/>
              </w:rPr>
              <w:t>1 800 000.00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0AD59974" w14:textId="77777777" w:rsidR="008E74B8" w:rsidRPr="00B71AFB" w:rsidRDefault="008E74B8" w:rsidP="00E05368">
            <w:pPr>
              <w:jc w:val="right"/>
              <w:rPr>
                <w:rFonts w:eastAsia="Times New Roman" w:cs="Arial"/>
                <w:color w:val="000000"/>
                <w:sz w:val="18"/>
                <w:szCs w:val="18"/>
                <w:lang w:eastAsia="fr-FR"/>
              </w:rPr>
            </w:pPr>
            <w:r w:rsidRPr="00B71AFB">
              <w:rPr>
                <w:rFonts w:eastAsia="Times New Roman" w:cs="Arial"/>
                <w:color w:val="000000"/>
                <w:sz w:val="18"/>
                <w:szCs w:val="18"/>
                <w:lang w:eastAsia="fr-FR"/>
              </w:rPr>
              <w:t>199 997.00</w:t>
            </w:r>
          </w:p>
        </w:tc>
      </w:tr>
    </w:tbl>
    <w:p w14:paraId="4A650836" w14:textId="77777777" w:rsidR="00F456DB" w:rsidRDefault="00F456DB">
      <w:r>
        <w:br w:type="page"/>
      </w:r>
    </w:p>
    <w:tbl>
      <w:tblPr>
        <w:tblW w:w="5000" w:type="pct"/>
        <w:tblCellMar>
          <w:left w:w="70" w:type="dxa"/>
          <w:right w:w="70" w:type="dxa"/>
        </w:tblCellMar>
        <w:tblLook w:val="04A0" w:firstRow="1" w:lastRow="0" w:firstColumn="1" w:lastColumn="0" w:noHBand="0" w:noVBand="1"/>
      </w:tblPr>
      <w:tblGrid>
        <w:gridCol w:w="2115"/>
        <w:gridCol w:w="5610"/>
        <w:gridCol w:w="1286"/>
        <w:gridCol w:w="1149"/>
        <w:gridCol w:w="1711"/>
        <w:gridCol w:w="1672"/>
        <w:gridCol w:w="1736"/>
      </w:tblGrid>
      <w:tr w:rsidR="008E74B8" w:rsidRPr="00B71AFB" w14:paraId="16289039"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auto" w:fill="auto"/>
            <w:noWrap/>
            <w:vAlign w:val="center"/>
            <w:hideMark/>
          </w:tcPr>
          <w:p w14:paraId="495B443B" w14:textId="6CEC9034"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Regional </w:t>
            </w:r>
          </w:p>
        </w:tc>
        <w:tc>
          <w:tcPr>
            <w:tcW w:w="421" w:type="pct"/>
            <w:tcBorders>
              <w:top w:val="nil"/>
              <w:left w:val="nil"/>
              <w:bottom w:val="single" w:sz="4" w:space="0" w:color="auto"/>
              <w:right w:val="nil"/>
            </w:tcBorders>
            <w:shd w:val="clear" w:color="auto" w:fill="auto"/>
            <w:noWrap/>
            <w:vAlign w:val="center"/>
            <w:hideMark/>
          </w:tcPr>
          <w:p w14:paraId="4D55668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604BDDE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598CC6FA"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08BA396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6B39741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3F28097C"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2D318EC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nil"/>
              <w:left w:val="nil"/>
              <w:bottom w:val="single" w:sz="4" w:space="0" w:color="auto"/>
              <w:right w:val="single" w:sz="4" w:space="0" w:color="auto"/>
            </w:tcBorders>
            <w:shd w:val="clear" w:color="auto" w:fill="auto"/>
            <w:vAlign w:val="center"/>
            <w:hideMark/>
          </w:tcPr>
          <w:p w14:paraId="613F71B6"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Partnership for Good Governance - Phase II</w:t>
            </w:r>
          </w:p>
        </w:tc>
        <w:tc>
          <w:tcPr>
            <w:tcW w:w="421" w:type="pct"/>
            <w:tcBorders>
              <w:top w:val="nil"/>
              <w:left w:val="nil"/>
              <w:bottom w:val="single" w:sz="4" w:space="0" w:color="auto"/>
              <w:right w:val="single" w:sz="4" w:space="0" w:color="auto"/>
            </w:tcBorders>
            <w:shd w:val="clear" w:color="auto" w:fill="auto"/>
            <w:vAlign w:val="center"/>
            <w:hideMark/>
          </w:tcPr>
          <w:p w14:paraId="59FA31E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01/01/2019</w:t>
            </w:r>
          </w:p>
        </w:tc>
        <w:tc>
          <w:tcPr>
            <w:tcW w:w="376" w:type="pct"/>
            <w:tcBorders>
              <w:top w:val="nil"/>
              <w:left w:val="nil"/>
              <w:bottom w:val="single" w:sz="4" w:space="0" w:color="auto"/>
              <w:right w:val="single" w:sz="4" w:space="0" w:color="auto"/>
            </w:tcBorders>
            <w:shd w:val="clear" w:color="auto" w:fill="auto"/>
            <w:vAlign w:val="center"/>
            <w:hideMark/>
          </w:tcPr>
          <w:p w14:paraId="6E593C2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28/02/2023</w:t>
            </w:r>
          </w:p>
        </w:tc>
        <w:tc>
          <w:tcPr>
            <w:tcW w:w="560" w:type="pct"/>
            <w:tcBorders>
              <w:top w:val="nil"/>
              <w:left w:val="nil"/>
              <w:bottom w:val="single" w:sz="4" w:space="0" w:color="auto"/>
              <w:right w:val="single" w:sz="4" w:space="0" w:color="auto"/>
            </w:tcBorders>
            <w:shd w:val="clear" w:color="auto" w:fill="auto"/>
            <w:vAlign w:val="center"/>
            <w:hideMark/>
          </w:tcPr>
          <w:p w14:paraId="7065070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17 500 000.00</w:t>
            </w:r>
          </w:p>
        </w:tc>
        <w:tc>
          <w:tcPr>
            <w:tcW w:w="547" w:type="pct"/>
            <w:tcBorders>
              <w:top w:val="nil"/>
              <w:left w:val="nil"/>
              <w:bottom w:val="single" w:sz="4" w:space="0" w:color="auto"/>
              <w:right w:val="single" w:sz="4" w:space="0" w:color="auto"/>
            </w:tcBorders>
            <w:shd w:val="clear" w:color="auto" w:fill="auto"/>
            <w:vAlign w:val="center"/>
            <w:hideMark/>
          </w:tcPr>
          <w:p w14:paraId="6ECB31D7"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14 000 000.00</w:t>
            </w:r>
          </w:p>
        </w:tc>
        <w:tc>
          <w:tcPr>
            <w:tcW w:w="568" w:type="pct"/>
            <w:tcBorders>
              <w:top w:val="nil"/>
              <w:left w:val="nil"/>
              <w:bottom w:val="single" w:sz="4" w:space="0" w:color="auto"/>
              <w:right w:val="single" w:sz="4" w:space="0" w:color="auto"/>
            </w:tcBorders>
            <w:shd w:val="clear" w:color="auto" w:fill="auto"/>
            <w:vAlign w:val="center"/>
            <w:hideMark/>
          </w:tcPr>
          <w:p w14:paraId="0443FC0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3 500 000.00</w:t>
            </w:r>
          </w:p>
        </w:tc>
      </w:tr>
      <w:tr w:rsidR="008E74B8" w:rsidRPr="00B71AFB" w14:paraId="642312A4"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7E00A05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nil"/>
              <w:left w:val="nil"/>
              <w:bottom w:val="single" w:sz="4" w:space="0" w:color="auto"/>
              <w:right w:val="single" w:sz="4" w:space="0" w:color="auto"/>
            </w:tcBorders>
            <w:shd w:val="clear" w:color="auto" w:fill="auto"/>
            <w:vAlign w:val="center"/>
            <w:hideMark/>
          </w:tcPr>
          <w:p w14:paraId="79139EE3"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CyberEast - Action on Cybercrime for Cyber Resilience in the Eastern Partnership Region </w:t>
            </w:r>
          </w:p>
        </w:tc>
        <w:tc>
          <w:tcPr>
            <w:tcW w:w="421" w:type="pct"/>
            <w:tcBorders>
              <w:top w:val="nil"/>
              <w:left w:val="nil"/>
              <w:bottom w:val="single" w:sz="4" w:space="0" w:color="auto"/>
              <w:right w:val="single" w:sz="4" w:space="0" w:color="auto"/>
            </w:tcBorders>
            <w:shd w:val="clear" w:color="auto" w:fill="auto"/>
            <w:vAlign w:val="center"/>
            <w:hideMark/>
          </w:tcPr>
          <w:p w14:paraId="00C36BB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20/06/2019</w:t>
            </w:r>
          </w:p>
        </w:tc>
        <w:tc>
          <w:tcPr>
            <w:tcW w:w="376" w:type="pct"/>
            <w:tcBorders>
              <w:top w:val="nil"/>
              <w:left w:val="nil"/>
              <w:bottom w:val="single" w:sz="4" w:space="0" w:color="auto"/>
              <w:right w:val="single" w:sz="4" w:space="0" w:color="auto"/>
            </w:tcBorders>
            <w:shd w:val="clear" w:color="auto" w:fill="auto"/>
            <w:vAlign w:val="center"/>
            <w:hideMark/>
          </w:tcPr>
          <w:p w14:paraId="6408320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19/12/2023</w:t>
            </w:r>
          </w:p>
        </w:tc>
        <w:tc>
          <w:tcPr>
            <w:tcW w:w="560" w:type="pct"/>
            <w:tcBorders>
              <w:top w:val="nil"/>
              <w:left w:val="nil"/>
              <w:bottom w:val="single" w:sz="4" w:space="0" w:color="auto"/>
              <w:right w:val="single" w:sz="4" w:space="0" w:color="auto"/>
            </w:tcBorders>
            <w:shd w:val="clear" w:color="auto" w:fill="auto"/>
            <w:vAlign w:val="center"/>
            <w:hideMark/>
          </w:tcPr>
          <w:p w14:paraId="2975367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5 333 333.00</w:t>
            </w:r>
          </w:p>
        </w:tc>
        <w:tc>
          <w:tcPr>
            <w:tcW w:w="547" w:type="pct"/>
            <w:tcBorders>
              <w:top w:val="nil"/>
              <w:left w:val="nil"/>
              <w:bottom w:val="single" w:sz="4" w:space="0" w:color="auto"/>
              <w:right w:val="single" w:sz="4" w:space="0" w:color="auto"/>
            </w:tcBorders>
            <w:shd w:val="clear" w:color="auto" w:fill="auto"/>
            <w:vAlign w:val="center"/>
            <w:hideMark/>
          </w:tcPr>
          <w:p w14:paraId="10B7C12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4 800 000.00</w:t>
            </w:r>
          </w:p>
        </w:tc>
        <w:tc>
          <w:tcPr>
            <w:tcW w:w="568" w:type="pct"/>
            <w:tcBorders>
              <w:top w:val="nil"/>
              <w:left w:val="nil"/>
              <w:bottom w:val="single" w:sz="4" w:space="0" w:color="auto"/>
              <w:right w:val="single" w:sz="4" w:space="0" w:color="auto"/>
            </w:tcBorders>
            <w:shd w:val="clear" w:color="auto" w:fill="auto"/>
            <w:vAlign w:val="center"/>
            <w:hideMark/>
          </w:tcPr>
          <w:p w14:paraId="747914E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533 333.00</w:t>
            </w:r>
          </w:p>
        </w:tc>
      </w:tr>
      <w:tr w:rsidR="008E74B8" w:rsidRPr="00B71AFB" w14:paraId="251E9CE5"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308F173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nil"/>
              <w:left w:val="nil"/>
              <w:bottom w:val="single" w:sz="4" w:space="0" w:color="auto"/>
              <w:right w:val="single" w:sz="4" w:space="0" w:color="auto"/>
            </w:tcBorders>
            <w:shd w:val="clear" w:color="auto" w:fill="auto"/>
            <w:vAlign w:val="center"/>
            <w:hideMark/>
          </w:tcPr>
          <w:p w14:paraId="7C795EB5"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for a better evaluation of the result of judicial reform efforts in the Eastern Partnership ‘Justice Dashboard EaP’</w:t>
            </w:r>
          </w:p>
        </w:tc>
        <w:tc>
          <w:tcPr>
            <w:tcW w:w="421" w:type="pct"/>
            <w:tcBorders>
              <w:top w:val="nil"/>
              <w:left w:val="nil"/>
              <w:bottom w:val="single" w:sz="4" w:space="0" w:color="auto"/>
              <w:right w:val="single" w:sz="4" w:space="0" w:color="auto"/>
            </w:tcBorders>
            <w:shd w:val="clear" w:color="auto" w:fill="auto"/>
            <w:vAlign w:val="center"/>
            <w:hideMark/>
          </w:tcPr>
          <w:p w14:paraId="5733308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15/01/2021</w:t>
            </w:r>
          </w:p>
        </w:tc>
        <w:tc>
          <w:tcPr>
            <w:tcW w:w="376" w:type="pct"/>
            <w:tcBorders>
              <w:top w:val="nil"/>
              <w:left w:val="nil"/>
              <w:bottom w:val="single" w:sz="4" w:space="0" w:color="auto"/>
              <w:right w:val="single" w:sz="4" w:space="0" w:color="auto"/>
            </w:tcBorders>
            <w:shd w:val="clear" w:color="auto" w:fill="auto"/>
            <w:vAlign w:val="center"/>
            <w:hideMark/>
          </w:tcPr>
          <w:p w14:paraId="61D97EB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14/07/2025</w:t>
            </w:r>
          </w:p>
        </w:tc>
        <w:tc>
          <w:tcPr>
            <w:tcW w:w="560" w:type="pct"/>
            <w:tcBorders>
              <w:top w:val="nil"/>
              <w:left w:val="nil"/>
              <w:bottom w:val="single" w:sz="4" w:space="0" w:color="auto"/>
              <w:right w:val="single" w:sz="4" w:space="0" w:color="auto"/>
            </w:tcBorders>
            <w:shd w:val="clear" w:color="auto" w:fill="auto"/>
            <w:vAlign w:val="center"/>
            <w:hideMark/>
          </w:tcPr>
          <w:p w14:paraId="6FDFEE6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2 223 000.00</w:t>
            </w:r>
          </w:p>
        </w:tc>
        <w:tc>
          <w:tcPr>
            <w:tcW w:w="547" w:type="pct"/>
            <w:tcBorders>
              <w:top w:val="nil"/>
              <w:left w:val="nil"/>
              <w:bottom w:val="single" w:sz="4" w:space="0" w:color="auto"/>
              <w:right w:val="single" w:sz="4" w:space="0" w:color="auto"/>
            </w:tcBorders>
            <w:shd w:val="clear" w:color="auto" w:fill="auto"/>
            <w:vAlign w:val="center"/>
            <w:hideMark/>
          </w:tcPr>
          <w:p w14:paraId="7CC8D14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2 000 000.00</w:t>
            </w:r>
          </w:p>
        </w:tc>
        <w:tc>
          <w:tcPr>
            <w:tcW w:w="568" w:type="pct"/>
            <w:tcBorders>
              <w:top w:val="nil"/>
              <w:left w:val="nil"/>
              <w:bottom w:val="single" w:sz="4" w:space="0" w:color="auto"/>
              <w:right w:val="single" w:sz="4" w:space="0" w:color="auto"/>
            </w:tcBorders>
            <w:shd w:val="clear" w:color="auto" w:fill="auto"/>
            <w:vAlign w:val="center"/>
            <w:hideMark/>
          </w:tcPr>
          <w:p w14:paraId="3F11B37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223 000.00</w:t>
            </w:r>
          </w:p>
        </w:tc>
      </w:tr>
      <w:tr w:rsidR="008E74B8" w:rsidRPr="00B71AFB" w14:paraId="514EFB2C"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2275CDA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NDICI</w:t>
            </w:r>
          </w:p>
        </w:tc>
        <w:tc>
          <w:tcPr>
            <w:tcW w:w="1836" w:type="pct"/>
            <w:tcBorders>
              <w:top w:val="nil"/>
              <w:left w:val="nil"/>
              <w:bottom w:val="single" w:sz="4" w:space="0" w:color="auto"/>
              <w:right w:val="single" w:sz="4" w:space="0" w:color="auto"/>
            </w:tcBorders>
            <w:shd w:val="clear" w:color="auto" w:fill="auto"/>
            <w:vAlign w:val="center"/>
            <w:hideMark/>
          </w:tcPr>
          <w:p w14:paraId="1C5FCFBF" w14:textId="77777777" w:rsidR="008E74B8" w:rsidRDefault="008E74B8" w:rsidP="00E05368">
            <w:pPr>
              <w:rPr>
                <w:rFonts w:eastAsia="Times New Roman" w:cs="Arial"/>
                <w:color w:val="000000"/>
                <w:szCs w:val="20"/>
                <w:lang w:eastAsia="fr-FR"/>
              </w:rPr>
            </w:pPr>
          </w:p>
          <w:p w14:paraId="22B195D3" w14:textId="77777777" w:rsidR="008E74B8" w:rsidRDefault="008E74B8" w:rsidP="00E05368">
            <w:pPr>
              <w:rPr>
                <w:rFonts w:eastAsia="Times New Roman" w:cs="Arial"/>
                <w:color w:val="000000"/>
                <w:szCs w:val="20"/>
                <w:lang w:eastAsia="fr-FR"/>
              </w:rPr>
            </w:pPr>
          </w:p>
          <w:p w14:paraId="11CD856A" w14:textId="77777777" w:rsidR="008E74B8" w:rsidRDefault="008E74B8" w:rsidP="00E05368">
            <w:pPr>
              <w:rPr>
                <w:rFonts w:eastAsia="Times New Roman" w:cs="Arial"/>
                <w:color w:val="000000"/>
                <w:szCs w:val="20"/>
                <w:lang w:eastAsia="fr-FR"/>
              </w:rPr>
            </w:pPr>
          </w:p>
          <w:p w14:paraId="1483EB1C" w14:textId="77777777" w:rsidR="008E74B8" w:rsidRDefault="008E74B8" w:rsidP="00E05368">
            <w:pPr>
              <w:rPr>
                <w:rFonts w:eastAsia="Times New Roman" w:cs="Arial"/>
                <w:color w:val="000000"/>
                <w:szCs w:val="20"/>
                <w:lang w:eastAsia="fr-FR"/>
              </w:rPr>
            </w:pPr>
          </w:p>
          <w:p w14:paraId="23DF3C1C" w14:textId="77777777" w:rsidR="008E74B8" w:rsidRDefault="008E74B8" w:rsidP="00E05368">
            <w:pPr>
              <w:rPr>
                <w:rFonts w:eastAsia="Times New Roman" w:cs="Arial"/>
                <w:color w:val="000000"/>
                <w:szCs w:val="20"/>
                <w:lang w:eastAsia="fr-FR"/>
              </w:rPr>
            </w:pPr>
            <w:r w:rsidRPr="00B71AFB">
              <w:rPr>
                <w:rFonts w:eastAsia="Times New Roman" w:cs="Arial"/>
                <w:color w:val="000000"/>
                <w:szCs w:val="20"/>
                <w:lang w:eastAsia="fr-FR"/>
              </w:rPr>
              <w:t>Partnership for Good Governance - Phase III</w:t>
            </w:r>
          </w:p>
          <w:p w14:paraId="4611B4B8" w14:textId="77777777" w:rsidR="008E74B8" w:rsidRDefault="008E74B8" w:rsidP="00E05368">
            <w:pPr>
              <w:rPr>
                <w:rFonts w:eastAsia="Times New Roman" w:cs="Arial"/>
                <w:color w:val="000000"/>
                <w:szCs w:val="20"/>
                <w:lang w:eastAsia="fr-FR"/>
              </w:rPr>
            </w:pPr>
          </w:p>
          <w:p w14:paraId="304ED9AD" w14:textId="77777777" w:rsidR="008E74B8" w:rsidRDefault="008E74B8" w:rsidP="00E05368">
            <w:pPr>
              <w:rPr>
                <w:rFonts w:eastAsia="Times New Roman" w:cs="Arial"/>
                <w:color w:val="000000"/>
                <w:szCs w:val="20"/>
                <w:lang w:eastAsia="fr-FR"/>
              </w:rPr>
            </w:pPr>
          </w:p>
          <w:p w14:paraId="5C018BBA" w14:textId="77777777" w:rsidR="008E74B8" w:rsidRDefault="008E74B8" w:rsidP="00E05368">
            <w:pPr>
              <w:rPr>
                <w:rFonts w:eastAsia="Times New Roman" w:cs="Arial"/>
                <w:color w:val="000000"/>
                <w:szCs w:val="20"/>
                <w:lang w:eastAsia="fr-FR"/>
              </w:rPr>
            </w:pPr>
          </w:p>
          <w:p w14:paraId="425A3C28" w14:textId="77777777" w:rsidR="008E74B8" w:rsidRDefault="008E74B8" w:rsidP="00E05368">
            <w:pPr>
              <w:rPr>
                <w:rFonts w:eastAsia="Times New Roman" w:cs="Arial"/>
                <w:color w:val="000000"/>
                <w:szCs w:val="20"/>
                <w:lang w:eastAsia="fr-FR"/>
              </w:rPr>
            </w:pPr>
          </w:p>
          <w:p w14:paraId="1AC29F5A" w14:textId="77777777" w:rsidR="008E74B8" w:rsidRPr="00B71AFB" w:rsidRDefault="008E74B8" w:rsidP="00E05368">
            <w:pPr>
              <w:rPr>
                <w:rFonts w:eastAsia="Times New Roman" w:cs="Arial"/>
                <w:color w:val="000000"/>
                <w:szCs w:val="20"/>
                <w:lang w:eastAsia="fr-FR"/>
              </w:rPr>
            </w:pPr>
          </w:p>
        </w:tc>
        <w:tc>
          <w:tcPr>
            <w:tcW w:w="421" w:type="pct"/>
            <w:tcBorders>
              <w:top w:val="nil"/>
              <w:left w:val="nil"/>
              <w:bottom w:val="single" w:sz="4" w:space="0" w:color="auto"/>
              <w:right w:val="single" w:sz="4" w:space="0" w:color="auto"/>
            </w:tcBorders>
            <w:shd w:val="clear" w:color="auto" w:fill="auto"/>
            <w:vAlign w:val="center"/>
            <w:hideMark/>
          </w:tcPr>
          <w:p w14:paraId="37680AD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01/03/2023</w:t>
            </w:r>
          </w:p>
        </w:tc>
        <w:tc>
          <w:tcPr>
            <w:tcW w:w="376" w:type="pct"/>
            <w:tcBorders>
              <w:top w:val="nil"/>
              <w:left w:val="nil"/>
              <w:bottom w:val="single" w:sz="4" w:space="0" w:color="auto"/>
              <w:right w:val="single" w:sz="4" w:space="0" w:color="auto"/>
            </w:tcBorders>
            <w:shd w:val="clear" w:color="auto" w:fill="auto"/>
            <w:vAlign w:val="center"/>
            <w:hideMark/>
          </w:tcPr>
          <w:p w14:paraId="2D7507C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28/02/2027</w:t>
            </w:r>
          </w:p>
        </w:tc>
        <w:tc>
          <w:tcPr>
            <w:tcW w:w="560" w:type="pct"/>
            <w:tcBorders>
              <w:top w:val="nil"/>
              <w:left w:val="nil"/>
              <w:bottom w:val="single" w:sz="4" w:space="0" w:color="auto"/>
              <w:right w:val="single" w:sz="4" w:space="0" w:color="auto"/>
            </w:tcBorders>
            <w:shd w:val="clear" w:color="auto" w:fill="auto"/>
            <w:vAlign w:val="center"/>
            <w:hideMark/>
          </w:tcPr>
          <w:p w14:paraId="7DB8ABDE"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19 300 000.00</w:t>
            </w:r>
          </w:p>
        </w:tc>
        <w:tc>
          <w:tcPr>
            <w:tcW w:w="547" w:type="pct"/>
            <w:tcBorders>
              <w:top w:val="nil"/>
              <w:left w:val="nil"/>
              <w:bottom w:val="single" w:sz="4" w:space="0" w:color="auto"/>
              <w:right w:val="single" w:sz="4" w:space="0" w:color="auto"/>
            </w:tcBorders>
            <w:shd w:val="clear" w:color="auto" w:fill="auto"/>
            <w:vAlign w:val="center"/>
            <w:hideMark/>
          </w:tcPr>
          <w:p w14:paraId="30A65B8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15 000 000.00</w:t>
            </w:r>
          </w:p>
        </w:tc>
        <w:tc>
          <w:tcPr>
            <w:tcW w:w="568" w:type="pct"/>
            <w:tcBorders>
              <w:top w:val="nil"/>
              <w:left w:val="nil"/>
              <w:bottom w:val="single" w:sz="4" w:space="0" w:color="auto"/>
              <w:right w:val="single" w:sz="4" w:space="0" w:color="auto"/>
            </w:tcBorders>
            <w:shd w:val="clear" w:color="auto" w:fill="auto"/>
            <w:vAlign w:val="center"/>
            <w:hideMark/>
          </w:tcPr>
          <w:p w14:paraId="7912623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4 300 000.00</w:t>
            </w:r>
          </w:p>
        </w:tc>
      </w:tr>
      <w:tr w:rsidR="008E74B8" w:rsidRPr="00B71AFB" w14:paraId="5C605DA8"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000000" w:fill="5B9BD5"/>
            <w:noWrap/>
            <w:vAlign w:val="center"/>
            <w:hideMark/>
          </w:tcPr>
          <w:p w14:paraId="5E06B88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Multilateral </w:t>
            </w:r>
          </w:p>
        </w:tc>
        <w:tc>
          <w:tcPr>
            <w:tcW w:w="421" w:type="pct"/>
            <w:tcBorders>
              <w:top w:val="nil"/>
              <w:left w:val="nil"/>
              <w:bottom w:val="single" w:sz="4" w:space="0" w:color="auto"/>
              <w:right w:val="nil"/>
            </w:tcBorders>
            <w:shd w:val="clear" w:color="000000" w:fill="5B9BD5"/>
            <w:noWrap/>
            <w:vAlign w:val="center"/>
            <w:hideMark/>
          </w:tcPr>
          <w:p w14:paraId="42E0E77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000000" w:fill="5B9BD5"/>
            <w:noWrap/>
            <w:vAlign w:val="center"/>
            <w:hideMark/>
          </w:tcPr>
          <w:p w14:paraId="491C4EF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000000" w:fill="5B9BD5"/>
            <w:noWrap/>
            <w:vAlign w:val="center"/>
            <w:hideMark/>
          </w:tcPr>
          <w:p w14:paraId="5E0F37CB"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000000" w:fill="5B9BD5"/>
            <w:noWrap/>
            <w:vAlign w:val="center"/>
            <w:hideMark/>
          </w:tcPr>
          <w:p w14:paraId="08DC589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000000" w:fill="5B9BD5"/>
            <w:noWrap/>
            <w:vAlign w:val="center"/>
            <w:hideMark/>
          </w:tcPr>
          <w:p w14:paraId="083E62C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5A34191F"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5EF6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FPI/FS</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30EE993D"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Global Action on Cybercrime extended (GLACY+)</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4C798A0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01/03/2016</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6DB0483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29/02/2024</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1ECE54F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18 890 000.00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6C9F8257"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17 000 000.00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3E583D4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1 890 000.00</w:t>
            </w:r>
          </w:p>
        </w:tc>
      </w:tr>
      <w:tr w:rsidR="008E74B8" w:rsidRPr="00B71AFB" w14:paraId="1079AF2D"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BB4A0E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Creative Europe</w:t>
            </w:r>
          </w:p>
        </w:tc>
        <w:tc>
          <w:tcPr>
            <w:tcW w:w="1836" w:type="pct"/>
            <w:tcBorders>
              <w:top w:val="nil"/>
              <w:left w:val="nil"/>
              <w:bottom w:val="single" w:sz="4" w:space="0" w:color="auto"/>
              <w:right w:val="single" w:sz="4" w:space="0" w:color="auto"/>
            </w:tcBorders>
            <w:shd w:val="clear" w:color="auto" w:fill="auto"/>
            <w:vAlign w:val="center"/>
            <w:hideMark/>
          </w:tcPr>
          <w:p w14:paraId="7B8E0500"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European Heritage Days 2021-2022</w:t>
            </w:r>
          </w:p>
        </w:tc>
        <w:tc>
          <w:tcPr>
            <w:tcW w:w="421" w:type="pct"/>
            <w:tcBorders>
              <w:top w:val="nil"/>
              <w:left w:val="nil"/>
              <w:bottom w:val="single" w:sz="4" w:space="0" w:color="auto"/>
              <w:right w:val="single" w:sz="4" w:space="0" w:color="auto"/>
            </w:tcBorders>
            <w:shd w:val="clear" w:color="auto" w:fill="auto"/>
            <w:vAlign w:val="center"/>
            <w:hideMark/>
          </w:tcPr>
          <w:p w14:paraId="1262C29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01/10/2021</w:t>
            </w:r>
          </w:p>
        </w:tc>
        <w:tc>
          <w:tcPr>
            <w:tcW w:w="376" w:type="pct"/>
            <w:tcBorders>
              <w:top w:val="nil"/>
              <w:left w:val="nil"/>
              <w:bottom w:val="single" w:sz="4" w:space="0" w:color="auto"/>
              <w:right w:val="single" w:sz="4" w:space="0" w:color="auto"/>
            </w:tcBorders>
            <w:shd w:val="clear" w:color="auto" w:fill="auto"/>
            <w:vAlign w:val="center"/>
            <w:hideMark/>
          </w:tcPr>
          <w:p w14:paraId="71D002C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31/03/2023</w:t>
            </w:r>
          </w:p>
        </w:tc>
        <w:tc>
          <w:tcPr>
            <w:tcW w:w="560" w:type="pct"/>
            <w:tcBorders>
              <w:top w:val="nil"/>
              <w:left w:val="nil"/>
              <w:bottom w:val="single" w:sz="4" w:space="0" w:color="auto"/>
              <w:right w:val="single" w:sz="4" w:space="0" w:color="auto"/>
            </w:tcBorders>
            <w:shd w:val="clear" w:color="auto" w:fill="auto"/>
            <w:vAlign w:val="center"/>
            <w:hideMark/>
          </w:tcPr>
          <w:p w14:paraId="54078A0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800 000.00</w:t>
            </w:r>
          </w:p>
        </w:tc>
        <w:tc>
          <w:tcPr>
            <w:tcW w:w="547" w:type="pct"/>
            <w:tcBorders>
              <w:top w:val="nil"/>
              <w:left w:val="nil"/>
              <w:bottom w:val="single" w:sz="4" w:space="0" w:color="auto"/>
              <w:right w:val="single" w:sz="4" w:space="0" w:color="auto"/>
            </w:tcBorders>
            <w:shd w:val="clear" w:color="auto" w:fill="auto"/>
            <w:vAlign w:val="center"/>
            <w:hideMark/>
          </w:tcPr>
          <w:p w14:paraId="4046DA3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c>
          <w:tcPr>
            <w:tcW w:w="568" w:type="pct"/>
            <w:tcBorders>
              <w:top w:val="nil"/>
              <w:left w:val="nil"/>
              <w:bottom w:val="single" w:sz="4" w:space="0" w:color="auto"/>
              <w:right w:val="single" w:sz="4" w:space="0" w:color="auto"/>
            </w:tcBorders>
            <w:shd w:val="clear" w:color="auto" w:fill="auto"/>
            <w:vAlign w:val="center"/>
            <w:hideMark/>
          </w:tcPr>
          <w:p w14:paraId="792EB8E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r>
      <w:tr w:rsidR="008E74B8" w:rsidRPr="00B71AFB" w14:paraId="14B2AC11"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2741F8B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Erasmus +</w:t>
            </w:r>
          </w:p>
        </w:tc>
        <w:tc>
          <w:tcPr>
            <w:tcW w:w="1836" w:type="pct"/>
            <w:tcBorders>
              <w:top w:val="nil"/>
              <w:left w:val="nil"/>
              <w:bottom w:val="single" w:sz="4" w:space="0" w:color="auto"/>
              <w:right w:val="single" w:sz="4" w:space="0" w:color="auto"/>
            </w:tcBorders>
            <w:shd w:val="clear" w:color="auto" w:fill="auto"/>
            <w:vAlign w:val="center"/>
            <w:hideMark/>
          </w:tcPr>
          <w:p w14:paraId="28EE3947"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Combating Hate Speech in Sport</w:t>
            </w:r>
          </w:p>
        </w:tc>
        <w:tc>
          <w:tcPr>
            <w:tcW w:w="421" w:type="pct"/>
            <w:tcBorders>
              <w:top w:val="nil"/>
              <w:left w:val="nil"/>
              <w:bottom w:val="single" w:sz="4" w:space="0" w:color="auto"/>
              <w:right w:val="single" w:sz="4" w:space="0" w:color="auto"/>
            </w:tcBorders>
            <w:shd w:val="clear" w:color="auto" w:fill="auto"/>
            <w:vAlign w:val="center"/>
            <w:hideMark/>
          </w:tcPr>
          <w:p w14:paraId="56181B4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01/01/2022</w:t>
            </w:r>
          </w:p>
        </w:tc>
        <w:tc>
          <w:tcPr>
            <w:tcW w:w="376" w:type="pct"/>
            <w:tcBorders>
              <w:top w:val="nil"/>
              <w:left w:val="nil"/>
              <w:bottom w:val="single" w:sz="4" w:space="0" w:color="auto"/>
              <w:right w:val="single" w:sz="4" w:space="0" w:color="auto"/>
            </w:tcBorders>
            <w:shd w:val="clear" w:color="auto" w:fill="auto"/>
            <w:vAlign w:val="center"/>
            <w:hideMark/>
          </w:tcPr>
          <w:p w14:paraId="75DA6AD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30/06/2024</w:t>
            </w:r>
          </w:p>
        </w:tc>
        <w:tc>
          <w:tcPr>
            <w:tcW w:w="560" w:type="pct"/>
            <w:tcBorders>
              <w:top w:val="nil"/>
              <w:left w:val="nil"/>
              <w:bottom w:val="single" w:sz="4" w:space="0" w:color="auto"/>
              <w:right w:val="single" w:sz="4" w:space="0" w:color="auto"/>
            </w:tcBorders>
            <w:shd w:val="clear" w:color="auto" w:fill="auto"/>
            <w:vAlign w:val="center"/>
            <w:hideMark/>
          </w:tcPr>
          <w:p w14:paraId="5742DA2E"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560 000.00</w:t>
            </w:r>
          </w:p>
        </w:tc>
        <w:tc>
          <w:tcPr>
            <w:tcW w:w="547" w:type="pct"/>
            <w:tcBorders>
              <w:top w:val="nil"/>
              <w:left w:val="nil"/>
              <w:bottom w:val="single" w:sz="4" w:space="0" w:color="auto"/>
              <w:right w:val="single" w:sz="4" w:space="0" w:color="auto"/>
            </w:tcBorders>
            <w:shd w:val="clear" w:color="auto" w:fill="auto"/>
            <w:vAlign w:val="center"/>
            <w:hideMark/>
          </w:tcPr>
          <w:p w14:paraId="3AB9099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c>
          <w:tcPr>
            <w:tcW w:w="568" w:type="pct"/>
            <w:tcBorders>
              <w:top w:val="nil"/>
              <w:left w:val="nil"/>
              <w:bottom w:val="single" w:sz="4" w:space="0" w:color="auto"/>
              <w:right w:val="single" w:sz="4" w:space="0" w:color="auto"/>
            </w:tcBorders>
            <w:shd w:val="clear" w:color="auto" w:fill="auto"/>
            <w:vAlign w:val="center"/>
            <w:hideMark/>
          </w:tcPr>
          <w:p w14:paraId="67B137B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160 000.00</w:t>
            </w:r>
          </w:p>
        </w:tc>
      </w:tr>
      <w:tr w:rsidR="008E74B8" w:rsidRPr="00B71AFB" w14:paraId="4289EBB8"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257FBA1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Erasmus +</w:t>
            </w:r>
          </w:p>
        </w:tc>
        <w:tc>
          <w:tcPr>
            <w:tcW w:w="1836" w:type="pct"/>
            <w:tcBorders>
              <w:top w:val="nil"/>
              <w:left w:val="nil"/>
              <w:bottom w:val="single" w:sz="4" w:space="0" w:color="auto"/>
              <w:right w:val="single" w:sz="4" w:space="0" w:color="auto"/>
            </w:tcBorders>
            <w:shd w:val="clear" w:color="auto" w:fill="auto"/>
            <w:vAlign w:val="center"/>
            <w:hideMark/>
          </w:tcPr>
          <w:p w14:paraId="30126A0F"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Partnership between the European Commission and the Council of Europe in the Field of Youth 2022-2023 agreement</w:t>
            </w:r>
          </w:p>
        </w:tc>
        <w:tc>
          <w:tcPr>
            <w:tcW w:w="421" w:type="pct"/>
            <w:tcBorders>
              <w:top w:val="nil"/>
              <w:left w:val="nil"/>
              <w:bottom w:val="single" w:sz="4" w:space="0" w:color="auto"/>
              <w:right w:val="single" w:sz="4" w:space="0" w:color="auto"/>
            </w:tcBorders>
            <w:shd w:val="clear" w:color="auto" w:fill="auto"/>
            <w:vAlign w:val="center"/>
            <w:hideMark/>
          </w:tcPr>
          <w:p w14:paraId="4D7B7E4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01/01/2022</w:t>
            </w:r>
          </w:p>
        </w:tc>
        <w:tc>
          <w:tcPr>
            <w:tcW w:w="376" w:type="pct"/>
            <w:tcBorders>
              <w:top w:val="nil"/>
              <w:left w:val="nil"/>
              <w:bottom w:val="single" w:sz="4" w:space="0" w:color="auto"/>
              <w:right w:val="single" w:sz="4" w:space="0" w:color="auto"/>
            </w:tcBorders>
            <w:shd w:val="clear" w:color="auto" w:fill="auto"/>
            <w:vAlign w:val="center"/>
            <w:hideMark/>
          </w:tcPr>
          <w:p w14:paraId="15A8C99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31/12/2023</w:t>
            </w:r>
          </w:p>
        </w:tc>
        <w:tc>
          <w:tcPr>
            <w:tcW w:w="560" w:type="pct"/>
            <w:tcBorders>
              <w:top w:val="nil"/>
              <w:left w:val="nil"/>
              <w:bottom w:val="single" w:sz="4" w:space="0" w:color="auto"/>
              <w:right w:val="single" w:sz="4" w:space="0" w:color="auto"/>
            </w:tcBorders>
            <w:shd w:val="clear" w:color="auto" w:fill="auto"/>
            <w:vAlign w:val="center"/>
            <w:hideMark/>
          </w:tcPr>
          <w:p w14:paraId="074B084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2 800 000.00</w:t>
            </w:r>
          </w:p>
        </w:tc>
        <w:tc>
          <w:tcPr>
            <w:tcW w:w="547" w:type="pct"/>
            <w:tcBorders>
              <w:top w:val="nil"/>
              <w:left w:val="nil"/>
              <w:bottom w:val="single" w:sz="4" w:space="0" w:color="auto"/>
              <w:right w:val="single" w:sz="4" w:space="0" w:color="auto"/>
            </w:tcBorders>
            <w:shd w:val="clear" w:color="auto" w:fill="auto"/>
            <w:vAlign w:val="center"/>
            <w:hideMark/>
          </w:tcPr>
          <w:p w14:paraId="6489D59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1 600 000.00</w:t>
            </w:r>
          </w:p>
        </w:tc>
        <w:tc>
          <w:tcPr>
            <w:tcW w:w="568" w:type="pct"/>
            <w:tcBorders>
              <w:top w:val="nil"/>
              <w:left w:val="nil"/>
              <w:bottom w:val="single" w:sz="4" w:space="0" w:color="auto"/>
              <w:right w:val="single" w:sz="4" w:space="0" w:color="auto"/>
            </w:tcBorders>
            <w:shd w:val="clear" w:color="auto" w:fill="auto"/>
            <w:vAlign w:val="center"/>
            <w:hideMark/>
          </w:tcPr>
          <w:p w14:paraId="16D3485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1 200 000.00</w:t>
            </w:r>
          </w:p>
        </w:tc>
      </w:tr>
      <w:tr w:rsidR="008E74B8" w:rsidRPr="00B71AFB" w14:paraId="70502F74"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4024D6B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DG SANTE</w:t>
            </w:r>
          </w:p>
        </w:tc>
        <w:tc>
          <w:tcPr>
            <w:tcW w:w="1836" w:type="pct"/>
            <w:tcBorders>
              <w:top w:val="nil"/>
              <w:left w:val="nil"/>
              <w:bottom w:val="single" w:sz="4" w:space="0" w:color="auto"/>
              <w:right w:val="single" w:sz="4" w:space="0" w:color="auto"/>
            </w:tcBorders>
            <w:shd w:val="clear" w:color="auto" w:fill="auto"/>
            <w:vAlign w:val="center"/>
            <w:hideMark/>
          </w:tcPr>
          <w:p w14:paraId="604D573C"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Improving the quality, safety and availability of Substances of Human Origin, disseminating best practices, implementing Union standards and tackling new challenges</w:t>
            </w:r>
          </w:p>
        </w:tc>
        <w:tc>
          <w:tcPr>
            <w:tcW w:w="421" w:type="pct"/>
            <w:tcBorders>
              <w:top w:val="nil"/>
              <w:left w:val="nil"/>
              <w:bottom w:val="single" w:sz="4" w:space="0" w:color="auto"/>
              <w:right w:val="single" w:sz="4" w:space="0" w:color="auto"/>
            </w:tcBorders>
            <w:shd w:val="clear" w:color="auto" w:fill="auto"/>
            <w:vAlign w:val="center"/>
            <w:hideMark/>
          </w:tcPr>
          <w:p w14:paraId="12187A35"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01/01/2022</w:t>
            </w:r>
          </w:p>
        </w:tc>
        <w:tc>
          <w:tcPr>
            <w:tcW w:w="376" w:type="pct"/>
            <w:tcBorders>
              <w:top w:val="nil"/>
              <w:left w:val="nil"/>
              <w:bottom w:val="single" w:sz="4" w:space="0" w:color="auto"/>
              <w:right w:val="single" w:sz="4" w:space="0" w:color="auto"/>
            </w:tcBorders>
            <w:shd w:val="clear" w:color="auto" w:fill="auto"/>
            <w:vAlign w:val="center"/>
            <w:hideMark/>
          </w:tcPr>
          <w:p w14:paraId="5014FBD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31/12/2024</w:t>
            </w:r>
          </w:p>
        </w:tc>
        <w:tc>
          <w:tcPr>
            <w:tcW w:w="560" w:type="pct"/>
            <w:tcBorders>
              <w:top w:val="nil"/>
              <w:left w:val="nil"/>
              <w:bottom w:val="single" w:sz="4" w:space="0" w:color="auto"/>
              <w:right w:val="single" w:sz="4" w:space="0" w:color="auto"/>
            </w:tcBorders>
            <w:shd w:val="clear" w:color="auto" w:fill="auto"/>
            <w:vAlign w:val="center"/>
            <w:hideMark/>
          </w:tcPr>
          <w:p w14:paraId="500DACD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6 000 000.00</w:t>
            </w:r>
          </w:p>
        </w:tc>
        <w:tc>
          <w:tcPr>
            <w:tcW w:w="547" w:type="pct"/>
            <w:tcBorders>
              <w:top w:val="nil"/>
              <w:left w:val="nil"/>
              <w:bottom w:val="single" w:sz="4" w:space="0" w:color="auto"/>
              <w:right w:val="single" w:sz="4" w:space="0" w:color="auto"/>
            </w:tcBorders>
            <w:shd w:val="clear" w:color="auto" w:fill="auto"/>
            <w:vAlign w:val="center"/>
            <w:hideMark/>
          </w:tcPr>
          <w:p w14:paraId="37AB754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c>
          <w:tcPr>
            <w:tcW w:w="568" w:type="pct"/>
            <w:tcBorders>
              <w:top w:val="nil"/>
              <w:left w:val="nil"/>
              <w:bottom w:val="single" w:sz="4" w:space="0" w:color="auto"/>
              <w:right w:val="single" w:sz="4" w:space="0" w:color="auto"/>
            </w:tcBorders>
            <w:shd w:val="clear" w:color="auto" w:fill="auto"/>
            <w:vAlign w:val="center"/>
            <w:hideMark/>
          </w:tcPr>
          <w:p w14:paraId="47BE730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3 000 000.00</w:t>
            </w:r>
          </w:p>
        </w:tc>
      </w:tr>
      <w:tr w:rsidR="008E74B8" w:rsidRPr="00B71AFB" w14:paraId="28E4FF23"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4F3979C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 xml:space="preserve">JUST </w:t>
            </w:r>
          </w:p>
        </w:tc>
        <w:tc>
          <w:tcPr>
            <w:tcW w:w="1836" w:type="pct"/>
            <w:tcBorders>
              <w:top w:val="nil"/>
              <w:left w:val="nil"/>
              <w:bottom w:val="single" w:sz="4" w:space="0" w:color="auto"/>
              <w:right w:val="single" w:sz="4" w:space="0" w:color="auto"/>
            </w:tcBorders>
            <w:shd w:val="clear" w:color="auto" w:fill="auto"/>
            <w:vAlign w:val="center"/>
            <w:hideMark/>
          </w:tcPr>
          <w:p w14:paraId="6B011B28"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SPACE reports and EU network of prison monitoring bodies</w:t>
            </w:r>
          </w:p>
        </w:tc>
        <w:tc>
          <w:tcPr>
            <w:tcW w:w="421" w:type="pct"/>
            <w:tcBorders>
              <w:top w:val="nil"/>
              <w:left w:val="nil"/>
              <w:bottom w:val="single" w:sz="4" w:space="0" w:color="auto"/>
              <w:right w:val="single" w:sz="4" w:space="0" w:color="auto"/>
            </w:tcBorders>
            <w:shd w:val="clear" w:color="auto" w:fill="auto"/>
            <w:vAlign w:val="center"/>
            <w:hideMark/>
          </w:tcPr>
          <w:p w14:paraId="247BCE4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01/03/2022</w:t>
            </w:r>
          </w:p>
        </w:tc>
        <w:tc>
          <w:tcPr>
            <w:tcW w:w="376" w:type="pct"/>
            <w:tcBorders>
              <w:top w:val="nil"/>
              <w:left w:val="nil"/>
              <w:bottom w:val="single" w:sz="4" w:space="0" w:color="auto"/>
              <w:right w:val="single" w:sz="4" w:space="0" w:color="auto"/>
            </w:tcBorders>
            <w:shd w:val="clear" w:color="auto" w:fill="auto"/>
            <w:vAlign w:val="center"/>
            <w:hideMark/>
          </w:tcPr>
          <w:p w14:paraId="3CA4963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28/02/2023</w:t>
            </w:r>
          </w:p>
        </w:tc>
        <w:tc>
          <w:tcPr>
            <w:tcW w:w="560" w:type="pct"/>
            <w:tcBorders>
              <w:top w:val="nil"/>
              <w:left w:val="nil"/>
              <w:bottom w:val="single" w:sz="4" w:space="0" w:color="auto"/>
              <w:right w:val="single" w:sz="4" w:space="0" w:color="auto"/>
            </w:tcBorders>
            <w:shd w:val="clear" w:color="auto" w:fill="auto"/>
            <w:vAlign w:val="center"/>
            <w:hideMark/>
          </w:tcPr>
          <w:p w14:paraId="1123867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187 500.00</w:t>
            </w:r>
          </w:p>
        </w:tc>
        <w:tc>
          <w:tcPr>
            <w:tcW w:w="547" w:type="pct"/>
            <w:tcBorders>
              <w:top w:val="nil"/>
              <w:left w:val="nil"/>
              <w:bottom w:val="single" w:sz="4" w:space="0" w:color="auto"/>
              <w:right w:val="single" w:sz="4" w:space="0" w:color="auto"/>
            </w:tcBorders>
            <w:shd w:val="clear" w:color="auto" w:fill="auto"/>
            <w:vAlign w:val="center"/>
            <w:hideMark/>
          </w:tcPr>
          <w:p w14:paraId="1AEA257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150 000.00</w:t>
            </w:r>
          </w:p>
        </w:tc>
        <w:tc>
          <w:tcPr>
            <w:tcW w:w="568" w:type="pct"/>
            <w:tcBorders>
              <w:top w:val="nil"/>
              <w:left w:val="nil"/>
              <w:bottom w:val="single" w:sz="4" w:space="0" w:color="auto"/>
              <w:right w:val="single" w:sz="4" w:space="0" w:color="auto"/>
            </w:tcBorders>
            <w:shd w:val="clear" w:color="auto" w:fill="auto"/>
            <w:vAlign w:val="center"/>
            <w:hideMark/>
          </w:tcPr>
          <w:p w14:paraId="23AC6D2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37 500.00</w:t>
            </w:r>
          </w:p>
        </w:tc>
      </w:tr>
      <w:tr w:rsidR="008E74B8" w:rsidRPr="00B71AFB" w14:paraId="275DD592"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741CA67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Erasmus +</w:t>
            </w:r>
          </w:p>
        </w:tc>
        <w:tc>
          <w:tcPr>
            <w:tcW w:w="1836" w:type="pct"/>
            <w:tcBorders>
              <w:top w:val="nil"/>
              <w:left w:val="nil"/>
              <w:bottom w:val="single" w:sz="4" w:space="0" w:color="auto"/>
              <w:right w:val="single" w:sz="4" w:space="0" w:color="auto"/>
            </w:tcBorders>
            <w:shd w:val="clear" w:color="auto" w:fill="auto"/>
            <w:vAlign w:val="center"/>
            <w:hideMark/>
          </w:tcPr>
          <w:p w14:paraId="0A2C4C9A"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Transnational History Education</w:t>
            </w:r>
            <w:r>
              <w:rPr>
                <w:rFonts w:eastAsia="Times New Roman" w:cs="Arial"/>
                <w:color w:val="000000"/>
                <w:szCs w:val="20"/>
                <w:lang w:eastAsia="fr-FR"/>
              </w:rPr>
              <w:t xml:space="preserve"> </w:t>
            </w:r>
            <w:r w:rsidRPr="00B71AFB">
              <w:rPr>
                <w:rFonts w:eastAsia="Times New Roman" w:cs="Arial"/>
                <w:color w:val="000000"/>
                <w:szCs w:val="20"/>
                <w:lang w:eastAsia="fr-FR"/>
              </w:rPr>
              <w:t>and Cooperation Laboratory (HISTOLAB)</w:t>
            </w:r>
          </w:p>
        </w:tc>
        <w:tc>
          <w:tcPr>
            <w:tcW w:w="421" w:type="pct"/>
            <w:tcBorders>
              <w:top w:val="nil"/>
              <w:left w:val="nil"/>
              <w:bottom w:val="single" w:sz="4" w:space="0" w:color="auto"/>
              <w:right w:val="single" w:sz="4" w:space="0" w:color="auto"/>
            </w:tcBorders>
            <w:shd w:val="clear" w:color="auto" w:fill="auto"/>
            <w:vAlign w:val="center"/>
            <w:hideMark/>
          </w:tcPr>
          <w:p w14:paraId="60836A2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28/04/2022</w:t>
            </w:r>
          </w:p>
        </w:tc>
        <w:tc>
          <w:tcPr>
            <w:tcW w:w="376" w:type="pct"/>
            <w:tcBorders>
              <w:top w:val="nil"/>
              <w:left w:val="nil"/>
              <w:bottom w:val="single" w:sz="4" w:space="0" w:color="auto"/>
              <w:right w:val="single" w:sz="4" w:space="0" w:color="auto"/>
            </w:tcBorders>
            <w:shd w:val="clear" w:color="auto" w:fill="auto"/>
            <w:vAlign w:val="center"/>
            <w:hideMark/>
          </w:tcPr>
          <w:p w14:paraId="2C8CAC45"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27/04/2024</w:t>
            </w:r>
          </w:p>
        </w:tc>
        <w:tc>
          <w:tcPr>
            <w:tcW w:w="560" w:type="pct"/>
            <w:tcBorders>
              <w:top w:val="nil"/>
              <w:left w:val="nil"/>
              <w:bottom w:val="single" w:sz="4" w:space="0" w:color="auto"/>
              <w:right w:val="single" w:sz="4" w:space="0" w:color="auto"/>
            </w:tcBorders>
            <w:shd w:val="clear" w:color="auto" w:fill="auto"/>
            <w:vAlign w:val="center"/>
            <w:hideMark/>
          </w:tcPr>
          <w:p w14:paraId="2BB992D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1 111 111.00</w:t>
            </w:r>
          </w:p>
        </w:tc>
        <w:tc>
          <w:tcPr>
            <w:tcW w:w="547" w:type="pct"/>
            <w:tcBorders>
              <w:top w:val="nil"/>
              <w:left w:val="nil"/>
              <w:bottom w:val="single" w:sz="4" w:space="0" w:color="auto"/>
              <w:right w:val="single" w:sz="4" w:space="0" w:color="auto"/>
            </w:tcBorders>
            <w:shd w:val="clear" w:color="auto" w:fill="auto"/>
            <w:vAlign w:val="center"/>
            <w:hideMark/>
          </w:tcPr>
          <w:p w14:paraId="0942BEF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1 000 000.00</w:t>
            </w:r>
          </w:p>
        </w:tc>
        <w:tc>
          <w:tcPr>
            <w:tcW w:w="568" w:type="pct"/>
            <w:tcBorders>
              <w:top w:val="nil"/>
              <w:left w:val="nil"/>
              <w:bottom w:val="single" w:sz="4" w:space="0" w:color="auto"/>
              <w:right w:val="single" w:sz="4" w:space="0" w:color="auto"/>
            </w:tcBorders>
            <w:shd w:val="clear" w:color="auto" w:fill="auto"/>
            <w:vAlign w:val="center"/>
            <w:hideMark/>
          </w:tcPr>
          <w:p w14:paraId="60A4A51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111 111.00</w:t>
            </w:r>
          </w:p>
        </w:tc>
      </w:tr>
      <w:tr w:rsidR="008E74B8" w:rsidRPr="00B71AFB" w14:paraId="6A75FE78"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70BB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NDICI -CSO</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87458"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iLEGEND III -</w:t>
            </w:r>
            <w:r>
              <w:rPr>
                <w:rFonts w:eastAsia="Times New Roman" w:cs="Arial"/>
                <w:color w:val="000000"/>
                <w:szCs w:val="20"/>
                <w:lang w:eastAsia="fr-FR"/>
              </w:rPr>
              <w:t xml:space="preserve"> </w:t>
            </w:r>
            <w:r w:rsidRPr="00B71AFB">
              <w:rPr>
                <w:rFonts w:eastAsia="Times New Roman" w:cs="Arial"/>
                <w:color w:val="000000"/>
                <w:szCs w:val="20"/>
                <w:lang w:eastAsia="fr-FR"/>
              </w:rPr>
              <w:t>Intercultural Learning Exchange through Global Education, Networking and Dialogue</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4352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20/12/2022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7E33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19/12/2026</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3E0B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2 000 000.00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F8C8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1 500 000.00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E6FD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500 000.00</w:t>
            </w:r>
          </w:p>
        </w:tc>
      </w:tr>
      <w:tr w:rsidR="008E74B8" w:rsidRPr="00B71AFB" w14:paraId="54B8B85F"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0409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Creative Europe</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B02DA"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European Heritage Days 2023</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933C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01/01/2023</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4E15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30/06/2024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5A45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800 000.00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E805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F32B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r>
      <w:tr w:rsidR="008E74B8" w:rsidRPr="00B71AFB" w14:paraId="0511DE67"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5E8F5"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Erasmus +</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2546CDAE"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All In Plus - promoting gender equality in sport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84D5B6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01/03/2023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3AB8A4C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28/02/2025</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5895899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500 000.00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BCCE50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7E7C63E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100 000.00</w:t>
            </w:r>
          </w:p>
        </w:tc>
      </w:tr>
      <w:tr w:rsidR="008E74B8" w:rsidRPr="00B71AFB" w14:paraId="71491F7C"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98DD98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 xml:space="preserve">JUST </w:t>
            </w:r>
          </w:p>
        </w:tc>
        <w:tc>
          <w:tcPr>
            <w:tcW w:w="1836" w:type="pct"/>
            <w:tcBorders>
              <w:top w:val="nil"/>
              <w:left w:val="nil"/>
              <w:bottom w:val="single" w:sz="4" w:space="0" w:color="auto"/>
              <w:right w:val="single" w:sz="4" w:space="0" w:color="auto"/>
            </w:tcBorders>
            <w:shd w:val="clear" w:color="auto" w:fill="auto"/>
            <w:vAlign w:val="center"/>
            <w:hideMark/>
          </w:tcPr>
          <w:p w14:paraId="71DEEE26"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to Council of Europe for EU network of prison monitoring bodies</w:t>
            </w:r>
          </w:p>
        </w:tc>
        <w:tc>
          <w:tcPr>
            <w:tcW w:w="421" w:type="pct"/>
            <w:tcBorders>
              <w:top w:val="nil"/>
              <w:left w:val="nil"/>
              <w:bottom w:val="single" w:sz="4" w:space="0" w:color="auto"/>
              <w:right w:val="single" w:sz="4" w:space="0" w:color="auto"/>
            </w:tcBorders>
            <w:shd w:val="clear" w:color="auto" w:fill="auto"/>
            <w:vAlign w:val="center"/>
            <w:hideMark/>
          </w:tcPr>
          <w:p w14:paraId="10632D6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21/07/2023</w:t>
            </w:r>
          </w:p>
        </w:tc>
        <w:tc>
          <w:tcPr>
            <w:tcW w:w="376" w:type="pct"/>
            <w:tcBorders>
              <w:top w:val="nil"/>
              <w:left w:val="nil"/>
              <w:bottom w:val="single" w:sz="4" w:space="0" w:color="auto"/>
              <w:right w:val="single" w:sz="4" w:space="0" w:color="auto"/>
            </w:tcBorders>
            <w:shd w:val="clear" w:color="auto" w:fill="auto"/>
            <w:vAlign w:val="center"/>
            <w:hideMark/>
          </w:tcPr>
          <w:p w14:paraId="47D19D2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20/07/2025</w:t>
            </w:r>
          </w:p>
        </w:tc>
        <w:tc>
          <w:tcPr>
            <w:tcW w:w="560" w:type="pct"/>
            <w:tcBorders>
              <w:top w:val="nil"/>
              <w:left w:val="nil"/>
              <w:bottom w:val="single" w:sz="4" w:space="0" w:color="auto"/>
              <w:right w:val="single" w:sz="4" w:space="0" w:color="auto"/>
            </w:tcBorders>
            <w:shd w:val="clear" w:color="auto" w:fill="auto"/>
            <w:vAlign w:val="center"/>
            <w:hideMark/>
          </w:tcPr>
          <w:p w14:paraId="4F87187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345 000.00</w:t>
            </w:r>
          </w:p>
        </w:tc>
        <w:tc>
          <w:tcPr>
            <w:tcW w:w="547" w:type="pct"/>
            <w:tcBorders>
              <w:top w:val="nil"/>
              <w:left w:val="nil"/>
              <w:bottom w:val="single" w:sz="4" w:space="0" w:color="auto"/>
              <w:right w:val="single" w:sz="4" w:space="0" w:color="auto"/>
            </w:tcBorders>
            <w:shd w:val="clear" w:color="auto" w:fill="auto"/>
            <w:vAlign w:val="center"/>
            <w:hideMark/>
          </w:tcPr>
          <w:p w14:paraId="0CC18C2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310 000.00</w:t>
            </w:r>
          </w:p>
        </w:tc>
        <w:tc>
          <w:tcPr>
            <w:tcW w:w="568" w:type="pct"/>
            <w:tcBorders>
              <w:top w:val="nil"/>
              <w:left w:val="nil"/>
              <w:bottom w:val="single" w:sz="4" w:space="0" w:color="auto"/>
              <w:right w:val="single" w:sz="4" w:space="0" w:color="auto"/>
            </w:tcBorders>
            <w:shd w:val="clear" w:color="auto" w:fill="auto"/>
            <w:vAlign w:val="center"/>
            <w:hideMark/>
          </w:tcPr>
          <w:p w14:paraId="7829A91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35 000.00</w:t>
            </w:r>
          </w:p>
        </w:tc>
      </w:tr>
      <w:tr w:rsidR="008E74B8" w:rsidRPr="00B71AFB" w14:paraId="06F4285B"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D49DE8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NDICI</w:t>
            </w:r>
          </w:p>
        </w:tc>
        <w:tc>
          <w:tcPr>
            <w:tcW w:w="1836" w:type="pct"/>
            <w:tcBorders>
              <w:top w:val="nil"/>
              <w:left w:val="nil"/>
              <w:bottom w:val="single" w:sz="4" w:space="0" w:color="auto"/>
              <w:right w:val="single" w:sz="4" w:space="0" w:color="auto"/>
            </w:tcBorders>
            <w:shd w:val="clear" w:color="auto" w:fill="auto"/>
            <w:vAlign w:val="center"/>
            <w:hideMark/>
          </w:tcPr>
          <w:p w14:paraId="35EB5622"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Global Action on Cybercrime Enhanced (GLACY-e)</w:t>
            </w:r>
          </w:p>
        </w:tc>
        <w:tc>
          <w:tcPr>
            <w:tcW w:w="421" w:type="pct"/>
            <w:tcBorders>
              <w:top w:val="nil"/>
              <w:left w:val="nil"/>
              <w:bottom w:val="single" w:sz="4" w:space="0" w:color="auto"/>
              <w:right w:val="single" w:sz="4" w:space="0" w:color="auto"/>
            </w:tcBorders>
            <w:shd w:val="clear" w:color="auto" w:fill="auto"/>
            <w:vAlign w:val="center"/>
            <w:hideMark/>
          </w:tcPr>
          <w:p w14:paraId="205435D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01/08/2023</w:t>
            </w:r>
          </w:p>
        </w:tc>
        <w:tc>
          <w:tcPr>
            <w:tcW w:w="376" w:type="pct"/>
            <w:tcBorders>
              <w:top w:val="nil"/>
              <w:left w:val="nil"/>
              <w:bottom w:val="single" w:sz="4" w:space="0" w:color="auto"/>
              <w:right w:val="single" w:sz="4" w:space="0" w:color="auto"/>
            </w:tcBorders>
            <w:shd w:val="clear" w:color="auto" w:fill="auto"/>
            <w:vAlign w:val="center"/>
            <w:hideMark/>
          </w:tcPr>
          <w:p w14:paraId="59A12FC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31/01/2026</w:t>
            </w:r>
          </w:p>
        </w:tc>
        <w:tc>
          <w:tcPr>
            <w:tcW w:w="560" w:type="pct"/>
            <w:tcBorders>
              <w:top w:val="nil"/>
              <w:left w:val="nil"/>
              <w:bottom w:val="single" w:sz="4" w:space="0" w:color="auto"/>
              <w:right w:val="single" w:sz="4" w:space="0" w:color="auto"/>
            </w:tcBorders>
            <w:shd w:val="clear" w:color="auto" w:fill="auto"/>
            <w:vAlign w:val="center"/>
            <w:hideMark/>
          </w:tcPr>
          <w:p w14:paraId="17B2962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5 556 000.00</w:t>
            </w:r>
          </w:p>
        </w:tc>
        <w:tc>
          <w:tcPr>
            <w:tcW w:w="547" w:type="pct"/>
            <w:tcBorders>
              <w:top w:val="nil"/>
              <w:left w:val="nil"/>
              <w:bottom w:val="single" w:sz="4" w:space="0" w:color="auto"/>
              <w:right w:val="single" w:sz="4" w:space="0" w:color="auto"/>
            </w:tcBorders>
            <w:shd w:val="clear" w:color="auto" w:fill="auto"/>
            <w:vAlign w:val="center"/>
            <w:hideMark/>
          </w:tcPr>
          <w:p w14:paraId="3936F3C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5 000 000.00</w:t>
            </w:r>
          </w:p>
        </w:tc>
        <w:tc>
          <w:tcPr>
            <w:tcW w:w="568" w:type="pct"/>
            <w:tcBorders>
              <w:top w:val="nil"/>
              <w:left w:val="nil"/>
              <w:bottom w:val="single" w:sz="4" w:space="0" w:color="auto"/>
              <w:right w:val="single" w:sz="4" w:space="0" w:color="auto"/>
            </w:tcBorders>
            <w:shd w:val="clear" w:color="auto" w:fill="auto"/>
            <w:vAlign w:val="center"/>
            <w:hideMark/>
          </w:tcPr>
          <w:p w14:paraId="0C32766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556 000.00</w:t>
            </w:r>
          </w:p>
        </w:tc>
      </w:tr>
      <w:tr w:rsidR="008E74B8" w:rsidRPr="00B71AFB" w14:paraId="4E7267D4"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000000" w:fill="5B9BD5"/>
            <w:noWrap/>
            <w:vAlign w:val="center"/>
            <w:hideMark/>
          </w:tcPr>
          <w:p w14:paraId="5FBCD89D"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EU </w:t>
            </w:r>
            <w:r>
              <w:rPr>
                <w:rFonts w:eastAsia="Times New Roman" w:cs="Arial"/>
                <w:b/>
                <w:bCs/>
                <w:color w:val="000000"/>
                <w:szCs w:val="20"/>
                <w:lang w:eastAsia="fr-FR"/>
              </w:rPr>
              <w:t>m</w:t>
            </w:r>
            <w:r w:rsidRPr="00B71AFB">
              <w:rPr>
                <w:rFonts w:eastAsia="Times New Roman" w:cs="Arial"/>
                <w:b/>
                <w:bCs/>
                <w:color w:val="000000"/>
                <w:szCs w:val="20"/>
                <w:lang w:eastAsia="fr-FR"/>
              </w:rPr>
              <w:t>ember States</w:t>
            </w:r>
          </w:p>
        </w:tc>
        <w:tc>
          <w:tcPr>
            <w:tcW w:w="421" w:type="pct"/>
            <w:tcBorders>
              <w:top w:val="nil"/>
              <w:left w:val="nil"/>
              <w:bottom w:val="single" w:sz="4" w:space="0" w:color="auto"/>
              <w:right w:val="nil"/>
            </w:tcBorders>
            <w:shd w:val="clear" w:color="000000" w:fill="5B9BD5"/>
            <w:noWrap/>
            <w:vAlign w:val="center"/>
            <w:hideMark/>
          </w:tcPr>
          <w:p w14:paraId="6ACEE9A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000000" w:fill="5B9BD5"/>
            <w:noWrap/>
            <w:vAlign w:val="center"/>
            <w:hideMark/>
          </w:tcPr>
          <w:p w14:paraId="1EE6BE1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000000" w:fill="5B9BD5"/>
            <w:noWrap/>
            <w:vAlign w:val="center"/>
            <w:hideMark/>
          </w:tcPr>
          <w:p w14:paraId="1516DC6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000000" w:fill="5B9BD5"/>
            <w:noWrap/>
            <w:vAlign w:val="center"/>
            <w:hideMark/>
          </w:tcPr>
          <w:p w14:paraId="2912652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000000" w:fill="5B9BD5"/>
            <w:noWrap/>
            <w:vAlign w:val="center"/>
            <w:hideMark/>
          </w:tcPr>
          <w:p w14:paraId="41BEC40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0B8684CE"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1606077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Cyprus </w:t>
            </w:r>
          </w:p>
        </w:tc>
        <w:tc>
          <w:tcPr>
            <w:tcW w:w="1836" w:type="pct"/>
            <w:tcBorders>
              <w:top w:val="nil"/>
              <w:left w:val="nil"/>
              <w:bottom w:val="single" w:sz="4" w:space="0" w:color="auto"/>
              <w:right w:val="nil"/>
            </w:tcBorders>
            <w:shd w:val="clear" w:color="auto" w:fill="auto"/>
            <w:noWrap/>
            <w:vAlign w:val="center"/>
            <w:hideMark/>
          </w:tcPr>
          <w:p w14:paraId="0058EC6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6E70BC5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75F57E6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65FE9A11"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736972F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2F6D349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20B32649"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noWrap/>
            <w:vAlign w:val="center"/>
            <w:hideMark/>
          </w:tcPr>
          <w:p w14:paraId="42A19C6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SRSP</w:t>
            </w:r>
          </w:p>
        </w:tc>
        <w:tc>
          <w:tcPr>
            <w:tcW w:w="1836" w:type="pct"/>
            <w:tcBorders>
              <w:top w:val="nil"/>
              <w:left w:val="nil"/>
              <w:bottom w:val="single" w:sz="4" w:space="0" w:color="auto"/>
              <w:right w:val="single" w:sz="4" w:space="0" w:color="auto"/>
            </w:tcBorders>
            <w:shd w:val="clear" w:color="auto" w:fill="auto"/>
            <w:noWrap/>
            <w:vAlign w:val="center"/>
            <w:hideMark/>
          </w:tcPr>
          <w:p w14:paraId="4CFA7695"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Building structures for intercultural integration in Cyprus</w:t>
            </w:r>
          </w:p>
        </w:tc>
        <w:tc>
          <w:tcPr>
            <w:tcW w:w="421" w:type="pct"/>
            <w:tcBorders>
              <w:top w:val="nil"/>
              <w:left w:val="nil"/>
              <w:bottom w:val="single" w:sz="4" w:space="0" w:color="auto"/>
              <w:right w:val="single" w:sz="4" w:space="0" w:color="auto"/>
            </w:tcBorders>
            <w:shd w:val="clear" w:color="auto" w:fill="auto"/>
            <w:noWrap/>
            <w:vAlign w:val="center"/>
            <w:hideMark/>
          </w:tcPr>
          <w:p w14:paraId="3FA4176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02/06/2021</w:t>
            </w:r>
          </w:p>
        </w:tc>
        <w:tc>
          <w:tcPr>
            <w:tcW w:w="376" w:type="pct"/>
            <w:tcBorders>
              <w:top w:val="nil"/>
              <w:left w:val="nil"/>
              <w:bottom w:val="single" w:sz="4" w:space="0" w:color="auto"/>
              <w:right w:val="single" w:sz="4" w:space="0" w:color="auto"/>
            </w:tcBorders>
            <w:shd w:val="clear" w:color="auto" w:fill="auto"/>
            <w:noWrap/>
            <w:vAlign w:val="center"/>
            <w:hideMark/>
          </w:tcPr>
          <w:p w14:paraId="1523C6F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30/06/2023</w:t>
            </w:r>
          </w:p>
        </w:tc>
        <w:tc>
          <w:tcPr>
            <w:tcW w:w="560" w:type="pct"/>
            <w:tcBorders>
              <w:top w:val="nil"/>
              <w:left w:val="nil"/>
              <w:bottom w:val="single" w:sz="4" w:space="0" w:color="auto"/>
              <w:right w:val="single" w:sz="4" w:space="0" w:color="auto"/>
            </w:tcBorders>
            <w:shd w:val="clear" w:color="auto" w:fill="auto"/>
            <w:noWrap/>
            <w:vAlign w:val="center"/>
            <w:hideMark/>
          </w:tcPr>
          <w:p w14:paraId="189553DE"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444 444.00</w:t>
            </w:r>
          </w:p>
        </w:tc>
        <w:tc>
          <w:tcPr>
            <w:tcW w:w="547" w:type="pct"/>
            <w:tcBorders>
              <w:top w:val="nil"/>
              <w:left w:val="nil"/>
              <w:bottom w:val="single" w:sz="4" w:space="0" w:color="auto"/>
              <w:right w:val="single" w:sz="4" w:space="0" w:color="auto"/>
            </w:tcBorders>
            <w:shd w:val="clear" w:color="auto" w:fill="auto"/>
            <w:noWrap/>
            <w:vAlign w:val="center"/>
            <w:hideMark/>
          </w:tcPr>
          <w:p w14:paraId="33BF267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400 000.00</w:t>
            </w:r>
          </w:p>
        </w:tc>
        <w:tc>
          <w:tcPr>
            <w:tcW w:w="568" w:type="pct"/>
            <w:tcBorders>
              <w:top w:val="nil"/>
              <w:left w:val="nil"/>
              <w:bottom w:val="single" w:sz="4" w:space="0" w:color="auto"/>
              <w:right w:val="single" w:sz="4" w:space="0" w:color="auto"/>
            </w:tcBorders>
            <w:shd w:val="clear" w:color="auto" w:fill="auto"/>
            <w:noWrap/>
            <w:vAlign w:val="center"/>
            <w:hideMark/>
          </w:tcPr>
          <w:p w14:paraId="4733939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44 444.00</w:t>
            </w:r>
          </w:p>
        </w:tc>
      </w:tr>
      <w:tr w:rsidR="008E74B8" w:rsidRPr="00B71AFB" w14:paraId="427509FC" w14:textId="77777777" w:rsidTr="00E05368">
        <w:trPr>
          <w:trHeight w:val="100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08B19" w14:textId="77777777" w:rsidR="008E74B8" w:rsidRPr="00B71AFB" w:rsidRDefault="008E74B8" w:rsidP="00E05368">
            <w:pPr>
              <w:rPr>
                <w:rFonts w:eastAsia="Times New Roman" w:cs="Arial"/>
                <w:b/>
                <w:bCs/>
                <w:color w:val="000000"/>
                <w:szCs w:val="20"/>
                <w:lang w:eastAsia="fr-FR"/>
              </w:rPr>
            </w:pPr>
            <w:r>
              <w:rPr>
                <w:rFonts w:eastAsia="Times New Roman" w:cs="Arial"/>
                <w:b/>
                <w:bCs/>
                <w:color w:val="000000"/>
                <w:szCs w:val="20"/>
                <w:lang w:eastAsia="fr-FR"/>
              </w:rPr>
              <w:t xml:space="preserve">Multi-beneficiary </w:t>
            </w:r>
          </w:p>
        </w:tc>
      </w:tr>
      <w:tr w:rsidR="008E74B8" w:rsidRPr="00B71AFB" w14:paraId="3AB749A7"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CE27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SRSP</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4C58A182"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to Member States in the Implementation of Structural Reforms II</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F38CD7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16/06/2020</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1304FB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15/06/2023</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756FCDF7"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3 379 003.66</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D3D616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3 035 000.00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16CFBDF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344 003.66</w:t>
            </w:r>
          </w:p>
        </w:tc>
      </w:tr>
      <w:tr w:rsidR="008E74B8" w:rsidRPr="00B71AFB" w14:paraId="535EA3FA"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249169D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CERV</w:t>
            </w:r>
          </w:p>
        </w:tc>
        <w:tc>
          <w:tcPr>
            <w:tcW w:w="1836" w:type="pct"/>
            <w:tcBorders>
              <w:top w:val="nil"/>
              <w:left w:val="nil"/>
              <w:bottom w:val="single" w:sz="4" w:space="0" w:color="auto"/>
              <w:right w:val="single" w:sz="4" w:space="0" w:color="auto"/>
            </w:tcBorders>
            <w:shd w:val="clear" w:color="auto" w:fill="auto"/>
            <w:vAlign w:val="center"/>
            <w:hideMark/>
          </w:tcPr>
          <w:p w14:paraId="7996B665"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Strengthening National Child Participation</w:t>
            </w:r>
            <w:r w:rsidRPr="00B71AFB">
              <w:rPr>
                <w:rFonts w:eastAsia="Times New Roman" w:cs="Arial"/>
                <w:color w:val="000000"/>
                <w:szCs w:val="20"/>
                <w:lang w:eastAsia="fr-FR"/>
              </w:rPr>
              <w:br/>
              <w:t>Frameworks and Action in Europe — CP4Europe</w:t>
            </w:r>
          </w:p>
        </w:tc>
        <w:tc>
          <w:tcPr>
            <w:tcW w:w="421" w:type="pct"/>
            <w:tcBorders>
              <w:top w:val="nil"/>
              <w:left w:val="nil"/>
              <w:bottom w:val="single" w:sz="4" w:space="0" w:color="auto"/>
              <w:right w:val="single" w:sz="4" w:space="0" w:color="auto"/>
            </w:tcBorders>
            <w:shd w:val="clear" w:color="auto" w:fill="auto"/>
            <w:vAlign w:val="center"/>
            <w:hideMark/>
          </w:tcPr>
          <w:p w14:paraId="25E0379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01/04/2021</w:t>
            </w:r>
          </w:p>
        </w:tc>
        <w:tc>
          <w:tcPr>
            <w:tcW w:w="376" w:type="pct"/>
            <w:tcBorders>
              <w:top w:val="nil"/>
              <w:left w:val="nil"/>
              <w:bottom w:val="single" w:sz="4" w:space="0" w:color="auto"/>
              <w:right w:val="single" w:sz="4" w:space="0" w:color="auto"/>
            </w:tcBorders>
            <w:shd w:val="clear" w:color="auto" w:fill="auto"/>
            <w:vAlign w:val="center"/>
            <w:hideMark/>
          </w:tcPr>
          <w:p w14:paraId="25C1F2F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30/06/2023</w:t>
            </w:r>
          </w:p>
        </w:tc>
        <w:tc>
          <w:tcPr>
            <w:tcW w:w="560" w:type="pct"/>
            <w:tcBorders>
              <w:top w:val="nil"/>
              <w:left w:val="nil"/>
              <w:bottom w:val="single" w:sz="4" w:space="0" w:color="auto"/>
              <w:right w:val="single" w:sz="4" w:space="0" w:color="auto"/>
            </w:tcBorders>
            <w:shd w:val="clear" w:color="auto" w:fill="auto"/>
            <w:vAlign w:val="center"/>
            <w:hideMark/>
          </w:tcPr>
          <w:p w14:paraId="1C93271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950 374.00</w:t>
            </w:r>
          </w:p>
        </w:tc>
        <w:tc>
          <w:tcPr>
            <w:tcW w:w="547" w:type="pct"/>
            <w:tcBorders>
              <w:top w:val="nil"/>
              <w:left w:val="nil"/>
              <w:bottom w:val="single" w:sz="4" w:space="0" w:color="auto"/>
              <w:right w:val="single" w:sz="4" w:space="0" w:color="auto"/>
            </w:tcBorders>
            <w:shd w:val="clear" w:color="auto" w:fill="auto"/>
            <w:vAlign w:val="center"/>
            <w:hideMark/>
          </w:tcPr>
          <w:p w14:paraId="544FF8D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760 299.20</w:t>
            </w:r>
          </w:p>
        </w:tc>
        <w:tc>
          <w:tcPr>
            <w:tcW w:w="568" w:type="pct"/>
            <w:tcBorders>
              <w:top w:val="nil"/>
              <w:left w:val="nil"/>
              <w:bottom w:val="single" w:sz="4" w:space="0" w:color="auto"/>
              <w:right w:val="single" w:sz="4" w:space="0" w:color="auto"/>
            </w:tcBorders>
            <w:shd w:val="clear" w:color="auto" w:fill="auto"/>
            <w:vAlign w:val="center"/>
            <w:hideMark/>
          </w:tcPr>
          <w:p w14:paraId="1B096B1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190 074.80</w:t>
            </w:r>
          </w:p>
        </w:tc>
      </w:tr>
      <w:tr w:rsidR="008E74B8" w:rsidRPr="00B71AFB" w14:paraId="02BBCDC5"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70C59E5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TSI</w:t>
            </w:r>
          </w:p>
        </w:tc>
        <w:tc>
          <w:tcPr>
            <w:tcW w:w="1836" w:type="pct"/>
            <w:tcBorders>
              <w:top w:val="nil"/>
              <w:left w:val="nil"/>
              <w:bottom w:val="single" w:sz="4" w:space="0" w:color="auto"/>
              <w:right w:val="single" w:sz="4" w:space="0" w:color="auto"/>
            </w:tcBorders>
            <w:shd w:val="clear" w:color="auto" w:fill="auto"/>
            <w:vAlign w:val="center"/>
            <w:hideMark/>
          </w:tcPr>
          <w:p w14:paraId="685928E1"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Support to EU Member States in the implementation of reforms under the Technical Support Instrument – 2021: Governance, Public Administration, Financial Sector and Access to Finance </w:t>
            </w:r>
          </w:p>
        </w:tc>
        <w:tc>
          <w:tcPr>
            <w:tcW w:w="421" w:type="pct"/>
            <w:tcBorders>
              <w:top w:val="nil"/>
              <w:left w:val="nil"/>
              <w:bottom w:val="single" w:sz="4" w:space="0" w:color="auto"/>
              <w:right w:val="single" w:sz="4" w:space="0" w:color="auto"/>
            </w:tcBorders>
            <w:shd w:val="clear" w:color="auto" w:fill="auto"/>
            <w:vAlign w:val="center"/>
            <w:hideMark/>
          </w:tcPr>
          <w:p w14:paraId="3F822A8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13/05/2021</w:t>
            </w:r>
          </w:p>
        </w:tc>
        <w:tc>
          <w:tcPr>
            <w:tcW w:w="376" w:type="pct"/>
            <w:tcBorders>
              <w:top w:val="nil"/>
              <w:left w:val="nil"/>
              <w:bottom w:val="single" w:sz="4" w:space="0" w:color="auto"/>
              <w:right w:val="single" w:sz="4" w:space="0" w:color="auto"/>
            </w:tcBorders>
            <w:shd w:val="clear" w:color="auto" w:fill="auto"/>
            <w:vAlign w:val="center"/>
            <w:hideMark/>
          </w:tcPr>
          <w:p w14:paraId="7FA5B735"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12/05/2024</w:t>
            </w:r>
          </w:p>
        </w:tc>
        <w:tc>
          <w:tcPr>
            <w:tcW w:w="560" w:type="pct"/>
            <w:tcBorders>
              <w:top w:val="nil"/>
              <w:left w:val="nil"/>
              <w:bottom w:val="single" w:sz="4" w:space="0" w:color="auto"/>
              <w:right w:val="single" w:sz="4" w:space="0" w:color="auto"/>
            </w:tcBorders>
            <w:shd w:val="clear" w:color="auto" w:fill="auto"/>
            <w:vAlign w:val="center"/>
            <w:hideMark/>
          </w:tcPr>
          <w:p w14:paraId="1372615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4 300 000.00</w:t>
            </w:r>
          </w:p>
        </w:tc>
        <w:tc>
          <w:tcPr>
            <w:tcW w:w="547" w:type="pct"/>
            <w:tcBorders>
              <w:top w:val="nil"/>
              <w:left w:val="nil"/>
              <w:bottom w:val="single" w:sz="4" w:space="0" w:color="auto"/>
              <w:right w:val="single" w:sz="4" w:space="0" w:color="auto"/>
            </w:tcBorders>
            <w:shd w:val="clear" w:color="auto" w:fill="auto"/>
            <w:vAlign w:val="center"/>
            <w:hideMark/>
          </w:tcPr>
          <w:p w14:paraId="260E296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3 870 000.00</w:t>
            </w:r>
          </w:p>
        </w:tc>
        <w:tc>
          <w:tcPr>
            <w:tcW w:w="568" w:type="pct"/>
            <w:tcBorders>
              <w:top w:val="nil"/>
              <w:left w:val="nil"/>
              <w:bottom w:val="single" w:sz="4" w:space="0" w:color="auto"/>
              <w:right w:val="single" w:sz="4" w:space="0" w:color="auto"/>
            </w:tcBorders>
            <w:shd w:val="clear" w:color="auto" w:fill="auto"/>
            <w:vAlign w:val="center"/>
            <w:hideMark/>
          </w:tcPr>
          <w:p w14:paraId="0856BDC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430 000.00</w:t>
            </w:r>
          </w:p>
        </w:tc>
      </w:tr>
      <w:tr w:rsidR="008E74B8" w:rsidRPr="00B71AFB" w14:paraId="7E02491B"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79D1BAC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Erasmus +</w:t>
            </w:r>
          </w:p>
        </w:tc>
        <w:tc>
          <w:tcPr>
            <w:tcW w:w="1836" w:type="pct"/>
            <w:tcBorders>
              <w:top w:val="nil"/>
              <w:left w:val="nil"/>
              <w:bottom w:val="single" w:sz="4" w:space="0" w:color="auto"/>
              <w:right w:val="single" w:sz="4" w:space="0" w:color="auto"/>
            </w:tcBorders>
            <w:shd w:val="clear" w:color="auto" w:fill="auto"/>
            <w:vAlign w:val="center"/>
            <w:hideMark/>
          </w:tcPr>
          <w:p w14:paraId="7DF87289"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Inclusive Schools: Making a Difference for Roma Children</w:t>
            </w:r>
            <w:r>
              <w:rPr>
                <w:rFonts w:eastAsia="Times New Roman" w:cs="Arial"/>
                <w:color w:val="000000"/>
                <w:szCs w:val="20"/>
                <w:lang w:eastAsia="fr-FR"/>
              </w:rPr>
              <w:t xml:space="preserve"> </w:t>
            </w:r>
            <w:r w:rsidRPr="00B71AFB">
              <w:rPr>
                <w:rFonts w:eastAsia="Times New Roman" w:cs="Arial"/>
                <w:color w:val="000000"/>
                <w:szCs w:val="20"/>
                <w:lang w:eastAsia="fr-FR"/>
              </w:rPr>
              <w:t xml:space="preserve"> (INSCHOOL 3)</w:t>
            </w:r>
          </w:p>
        </w:tc>
        <w:tc>
          <w:tcPr>
            <w:tcW w:w="421" w:type="pct"/>
            <w:tcBorders>
              <w:top w:val="nil"/>
              <w:left w:val="nil"/>
              <w:bottom w:val="single" w:sz="4" w:space="0" w:color="auto"/>
              <w:right w:val="single" w:sz="4" w:space="0" w:color="auto"/>
            </w:tcBorders>
            <w:shd w:val="clear" w:color="auto" w:fill="auto"/>
            <w:vAlign w:val="center"/>
            <w:hideMark/>
          </w:tcPr>
          <w:p w14:paraId="3F4EF2B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11/12/2021</w:t>
            </w:r>
          </w:p>
        </w:tc>
        <w:tc>
          <w:tcPr>
            <w:tcW w:w="376" w:type="pct"/>
            <w:tcBorders>
              <w:top w:val="nil"/>
              <w:left w:val="nil"/>
              <w:bottom w:val="single" w:sz="4" w:space="0" w:color="auto"/>
              <w:right w:val="single" w:sz="4" w:space="0" w:color="auto"/>
            </w:tcBorders>
            <w:shd w:val="clear" w:color="auto" w:fill="auto"/>
            <w:vAlign w:val="center"/>
            <w:hideMark/>
          </w:tcPr>
          <w:p w14:paraId="52C26DE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31/05/2024</w:t>
            </w:r>
          </w:p>
        </w:tc>
        <w:tc>
          <w:tcPr>
            <w:tcW w:w="560" w:type="pct"/>
            <w:tcBorders>
              <w:top w:val="nil"/>
              <w:left w:val="nil"/>
              <w:bottom w:val="single" w:sz="4" w:space="0" w:color="auto"/>
              <w:right w:val="single" w:sz="4" w:space="0" w:color="auto"/>
            </w:tcBorders>
            <w:shd w:val="clear" w:color="auto" w:fill="auto"/>
            <w:vAlign w:val="center"/>
            <w:hideMark/>
          </w:tcPr>
          <w:p w14:paraId="07FF612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1 000 000.00</w:t>
            </w:r>
          </w:p>
        </w:tc>
        <w:tc>
          <w:tcPr>
            <w:tcW w:w="547" w:type="pct"/>
            <w:tcBorders>
              <w:top w:val="nil"/>
              <w:left w:val="nil"/>
              <w:bottom w:val="single" w:sz="4" w:space="0" w:color="auto"/>
              <w:right w:val="single" w:sz="4" w:space="0" w:color="auto"/>
            </w:tcBorders>
            <w:shd w:val="clear" w:color="auto" w:fill="auto"/>
            <w:vAlign w:val="center"/>
            <w:hideMark/>
          </w:tcPr>
          <w:p w14:paraId="6B3F096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700 000.00</w:t>
            </w:r>
          </w:p>
        </w:tc>
        <w:tc>
          <w:tcPr>
            <w:tcW w:w="568" w:type="pct"/>
            <w:tcBorders>
              <w:top w:val="nil"/>
              <w:left w:val="nil"/>
              <w:bottom w:val="single" w:sz="4" w:space="0" w:color="auto"/>
              <w:right w:val="single" w:sz="4" w:space="0" w:color="auto"/>
            </w:tcBorders>
            <w:shd w:val="clear" w:color="auto" w:fill="auto"/>
            <w:vAlign w:val="center"/>
            <w:hideMark/>
          </w:tcPr>
          <w:p w14:paraId="6C57C3E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300 000.00</w:t>
            </w:r>
          </w:p>
        </w:tc>
      </w:tr>
      <w:tr w:rsidR="008E74B8" w:rsidRPr="00B71AFB" w14:paraId="4AFAD37E"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38BB7DD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 xml:space="preserve">Home </w:t>
            </w:r>
          </w:p>
        </w:tc>
        <w:tc>
          <w:tcPr>
            <w:tcW w:w="1836" w:type="pct"/>
            <w:tcBorders>
              <w:top w:val="nil"/>
              <w:left w:val="nil"/>
              <w:bottom w:val="single" w:sz="4" w:space="0" w:color="auto"/>
              <w:right w:val="single" w:sz="4" w:space="0" w:color="auto"/>
            </w:tcBorders>
            <w:shd w:val="clear" w:color="auto" w:fill="auto"/>
            <w:vAlign w:val="center"/>
            <w:hideMark/>
          </w:tcPr>
          <w:p w14:paraId="0BD712F3"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Building Futures, Sharing Good Practices: Migrant Children's Transition to Adulthood — UACFutures</w:t>
            </w:r>
          </w:p>
        </w:tc>
        <w:tc>
          <w:tcPr>
            <w:tcW w:w="421" w:type="pct"/>
            <w:tcBorders>
              <w:top w:val="nil"/>
              <w:left w:val="nil"/>
              <w:bottom w:val="single" w:sz="4" w:space="0" w:color="auto"/>
              <w:right w:val="single" w:sz="4" w:space="0" w:color="auto"/>
            </w:tcBorders>
            <w:shd w:val="clear" w:color="auto" w:fill="auto"/>
            <w:vAlign w:val="center"/>
            <w:hideMark/>
          </w:tcPr>
          <w:p w14:paraId="54FE9B1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01/01/2022</w:t>
            </w:r>
          </w:p>
        </w:tc>
        <w:tc>
          <w:tcPr>
            <w:tcW w:w="376" w:type="pct"/>
            <w:tcBorders>
              <w:top w:val="nil"/>
              <w:left w:val="nil"/>
              <w:bottom w:val="single" w:sz="4" w:space="0" w:color="auto"/>
              <w:right w:val="single" w:sz="4" w:space="0" w:color="auto"/>
            </w:tcBorders>
            <w:shd w:val="clear" w:color="auto" w:fill="auto"/>
            <w:vAlign w:val="center"/>
            <w:hideMark/>
          </w:tcPr>
          <w:p w14:paraId="46909EA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30/06/2023</w:t>
            </w:r>
          </w:p>
        </w:tc>
        <w:tc>
          <w:tcPr>
            <w:tcW w:w="560" w:type="pct"/>
            <w:tcBorders>
              <w:top w:val="nil"/>
              <w:left w:val="nil"/>
              <w:bottom w:val="single" w:sz="4" w:space="0" w:color="auto"/>
              <w:right w:val="single" w:sz="4" w:space="0" w:color="auto"/>
            </w:tcBorders>
            <w:shd w:val="clear" w:color="auto" w:fill="auto"/>
            <w:vAlign w:val="center"/>
            <w:hideMark/>
          </w:tcPr>
          <w:p w14:paraId="3522D8E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666 665.64</w:t>
            </w:r>
          </w:p>
        </w:tc>
        <w:tc>
          <w:tcPr>
            <w:tcW w:w="547" w:type="pct"/>
            <w:tcBorders>
              <w:top w:val="nil"/>
              <w:left w:val="nil"/>
              <w:bottom w:val="single" w:sz="4" w:space="0" w:color="auto"/>
              <w:right w:val="single" w:sz="4" w:space="0" w:color="auto"/>
            </w:tcBorders>
            <w:shd w:val="clear" w:color="auto" w:fill="auto"/>
            <w:vAlign w:val="center"/>
            <w:hideMark/>
          </w:tcPr>
          <w:p w14:paraId="14E7581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599 999.07</w:t>
            </w:r>
          </w:p>
        </w:tc>
        <w:tc>
          <w:tcPr>
            <w:tcW w:w="568" w:type="pct"/>
            <w:tcBorders>
              <w:top w:val="nil"/>
              <w:left w:val="nil"/>
              <w:bottom w:val="single" w:sz="4" w:space="0" w:color="auto"/>
              <w:right w:val="single" w:sz="4" w:space="0" w:color="auto"/>
            </w:tcBorders>
            <w:shd w:val="clear" w:color="auto" w:fill="auto"/>
            <w:vAlign w:val="center"/>
            <w:hideMark/>
          </w:tcPr>
          <w:p w14:paraId="0A2BBCE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66 666.57</w:t>
            </w:r>
          </w:p>
        </w:tc>
      </w:tr>
      <w:tr w:rsidR="008E74B8" w:rsidRPr="00B71AFB" w14:paraId="339212FB"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13905FF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 xml:space="preserve">JUST </w:t>
            </w:r>
          </w:p>
        </w:tc>
        <w:tc>
          <w:tcPr>
            <w:tcW w:w="1836" w:type="pct"/>
            <w:tcBorders>
              <w:top w:val="nil"/>
              <w:left w:val="nil"/>
              <w:bottom w:val="single" w:sz="4" w:space="0" w:color="auto"/>
              <w:right w:val="single" w:sz="4" w:space="0" w:color="auto"/>
            </w:tcBorders>
            <w:shd w:val="clear" w:color="auto" w:fill="auto"/>
            <w:vAlign w:val="center"/>
            <w:hideMark/>
          </w:tcPr>
          <w:p w14:paraId="24BF573C"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Human Rights Education for Legal Professionals in the European Union III (EU CoE HELP EU III)</w:t>
            </w:r>
          </w:p>
        </w:tc>
        <w:tc>
          <w:tcPr>
            <w:tcW w:w="421" w:type="pct"/>
            <w:tcBorders>
              <w:top w:val="nil"/>
              <w:left w:val="nil"/>
              <w:bottom w:val="single" w:sz="4" w:space="0" w:color="auto"/>
              <w:right w:val="single" w:sz="4" w:space="0" w:color="auto"/>
            </w:tcBorders>
            <w:shd w:val="clear" w:color="auto" w:fill="auto"/>
            <w:vAlign w:val="center"/>
            <w:hideMark/>
          </w:tcPr>
          <w:p w14:paraId="5B8268F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01/03/2022</w:t>
            </w:r>
          </w:p>
        </w:tc>
        <w:tc>
          <w:tcPr>
            <w:tcW w:w="376" w:type="pct"/>
            <w:tcBorders>
              <w:top w:val="nil"/>
              <w:left w:val="nil"/>
              <w:bottom w:val="single" w:sz="4" w:space="0" w:color="auto"/>
              <w:right w:val="single" w:sz="4" w:space="0" w:color="auto"/>
            </w:tcBorders>
            <w:shd w:val="clear" w:color="auto" w:fill="auto"/>
            <w:vAlign w:val="center"/>
            <w:hideMark/>
          </w:tcPr>
          <w:p w14:paraId="3501D99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31/08/2024</w:t>
            </w:r>
          </w:p>
        </w:tc>
        <w:tc>
          <w:tcPr>
            <w:tcW w:w="560" w:type="pct"/>
            <w:tcBorders>
              <w:top w:val="nil"/>
              <w:left w:val="nil"/>
              <w:bottom w:val="single" w:sz="4" w:space="0" w:color="auto"/>
              <w:right w:val="single" w:sz="4" w:space="0" w:color="auto"/>
            </w:tcBorders>
            <w:shd w:val="clear" w:color="auto" w:fill="auto"/>
            <w:vAlign w:val="center"/>
            <w:hideMark/>
          </w:tcPr>
          <w:p w14:paraId="230489F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1 389 448.50</w:t>
            </w:r>
          </w:p>
        </w:tc>
        <w:tc>
          <w:tcPr>
            <w:tcW w:w="547" w:type="pct"/>
            <w:tcBorders>
              <w:top w:val="nil"/>
              <w:left w:val="nil"/>
              <w:bottom w:val="single" w:sz="4" w:space="0" w:color="auto"/>
              <w:right w:val="single" w:sz="4" w:space="0" w:color="auto"/>
            </w:tcBorders>
            <w:shd w:val="clear" w:color="auto" w:fill="auto"/>
            <w:vAlign w:val="center"/>
            <w:hideMark/>
          </w:tcPr>
          <w:p w14:paraId="002D66A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1 250 503.65</w:t>
            </w:r>
          </w:p>
        </w:tc>
        <w:tc>
          <w:tcPr>
            <w:tcW w:w="568" w:type="pct"/>
            <w:tcBorders>
              <w:top w:val="nil"/>
              <w:left w:val="nil"/>
              <w:bottom w:val="single" w:sz="4" w:space="0" w:color="auto"/>
              <w:right w:val="single" w:sz="4" w:space="0" w:color="auto"/>
            </w:tcBorders>
            <w:shd w:val="clear" w:color="auto" w:fill="auto"/>
            <w:vAlign w:val="center"/>
            <w:hideMark/>
          </w:tcPr>
          <w:p w14:paraId="68C6F42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138 944.85</w:t>
            </w:r>
          </w:p>
        </w:tc>
      </w:tr>
      <w:tr w:rsidR="008E74B8" w:rsidRPr="00B71AFB" w14:paraId="70A71B0A"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05EEE4A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TSI</w:t>
            </w:r>
          </w:p>
        </w:tc>
        <w:tc>
          <w:tcPr>
            <w:tcW w:w="1836" w:type="pct"/>
            <w:tcBorders>
              <w:top w:val="nil"/>
              <w:left w:val="nil"/>
              <w:bottom w:val="single" w:sz="4" w:space="0" w:color="auto"/>
              <w:right w:val="single" w:sz="4" w:space="0" w:color="auto"/>
            </w:tcBorders>
            <w:shd w:val="clear" w:color="auto" w:fill="auto"/>
            <w:vAlign w:val="center"/>
            <w:hideMark/>
          </w:tcPr>
          <w:p w14:paraId="38C5A5DE"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to EU Member States in the implementation of</w:t>
            </w:r>
            <w:r w:rsidRPr="00B71AFB">
              <w:rPr>
                <w:rFonts w:eastAsia="Times New Roman" w:cs="Arial"/>
                <w:color w:val="000000"/>
                <w:szCs w:val="20"/>
                <w:lang w:eastAsia="fr-FR"/>
              </w:rPr>
              <w:br/>
              <w:t>reforms under the Technical Support Instrument 2022: Border and migration policies and</w:t>
            </w:r>
            <w:r w:rsidRPr="00B71AFB">
              <w:rPr>
                <w:rFonts w:eastAsia="Times New Roman" w:cs="Arial"/>
                <w:color w:val="000000"/>
                <w:szCs w:val="20"/>
                <w:lang w:eastAsia="fr-FR"/>
              </w:rPr>
              <w:br/>
              <w:t>capacity building to absorb Union funds in relation to RRF, Revenue Administration and</w:t>
            </w:r>
            <w:r w:rsidRPr="00B71AFB">
              <w:rPr>
                <w:rFonts w:eastAsia="Times New Roman" w:cs="Arial"/>
                <w:color w:val="000000"/>
                <w:szCs w:val="20"/>
                <w:lang w:eastAsia="fr-FR"/>
              </w:rPr>
              <w:br/>
              <w:t>Public Financial Management, Governance and Public Administration and Financial</w:t>
            </w:r>
            <w:r w:rsidRPr="00B71AFB">
              <w:rPr>
                <w:rFonts w:eastAsia="Times New Roman" w:cs="Arial"/>
                <w:color w:val="000000"/>
                <w:szCs w:val="20"/>
                <w:lang w:eastAsia="fr-FR"/>
              </w:rPr>
              <w:br/>
              <w:t>Sector and Access to Finance</w:t>
            </w:r>
          </w:p>
        </w:tc>
        <w:tc>
          <w:tcPr>
            <w:tcW w:w="421" w:type="pct"/>
            <w:tcBorders>
              <w:top w:val="nil"/>
              <w:left w:val="nil"/>
              <w:bottom w:val="single" w:sz="4" w:space="0" w:color="auto"/>
              <w:right w:val="single" w:sz="4" w:space="0" w:color="auto"/>
            </w:tcBorders>
            <w:shd w:val="clear" w:color="auto" w:fill="auto"/>
            <w:vAlign w:val="center"/>
            <w:hideMark/>
          </w:tcPr>
          <w:p w14:paraId="1179040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22/04/2022</w:t>
            </w:r>
          </w:p>
        </w:tc>
        <w:tc>
          <w:tcPr>
            <w:tcW w:w="376" w:type="pct"/>
            <w:tcBorders>
              <w:top w:val="nil"/>
              <w:left w:val="nil"/>
              <w:bottom w:val="single" w:sz="4" w:space="0" w:color="auto"/>
              <w:right w:val="single" w:sz="4" w:space="0" w:color="auto"/>
            </w:tcBorders>
            <w:shd w:val="clear" w:color="auto" w:fill="auto"/>
            <w:vAlign w:val="center"/>
            <w:hideMark/>
          </w:tcPr>
          <w:p w14:paraId="6A9C33DE"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21/04/2025</w:t>
            </w:r>
          </w:p>
        </w:tc>
        <w:tc>
          <w:tcPr>
            <w:tcW w:w="560" w:type="pct"/>
            <w:tcBorders>
              <w:top w:val="nil"/>
              <w:left w:val="nil"/>
              <w:bottom w:val="single" w:sz="4" w:space="0" w:color="auto"/>
              <w:right w:val="single" w:sz="4" w:space="0" w:color="auto"/>
            </w:tcBorders>
            <w:shd w:val="clear" w:color="auto" w:fill="auto"/>
            <w:vAlign w:val="center"/>
            <w:hideMark/>
          </w:tcPr>
          <w:p w14:paraId="057EB5C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8 227 806.00</w:t>
            </w:r>
          </w:p>
        </w:tc>
        <w:tc>
          <w:tcPr>
            <w:tcW w:w="547" w:type="pct"/>
            <w:tcBorders>
              <w:top w:val="nil"/>
              <w:left w:val="nil"/>
              <w:bottom w:val="single" w:sz="4" w:space="0" w:color="auto"/>
              <w:right w:val="single" w:sz="4" w:space="0" w:color="auto"/>
            </w:tcBorders>
            <w:shd w:val="clear" w:color="auto" w:fill="auto"/>
            <w:vAlign w:val="center"/>
            <w:hideMark/>
          </w:tcPr>
          <w:p w14:paraId="690F4204"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7 410 014.00</w:t>
            </w:r>
          </w:p>
        </w:tc>
        <w:tc>
          <w:tcPr>
            <w:tcW w:w="568" w:type="pct"/>
            <w:tcBorders>
              <w:top w:val="nil"/>
              <w:left w:val="nil"/>
              <w:bottom w:val="single" w:sz="4" w:space="0" w:color="auto"/>
              <w:right w:val="single" w:sz="4" w:space="0" w:color="auto"/>
            </w:tcBorders>
            <w:shd w:val="clear" w:color="auto" w:fill="auto"/>
            <w:vAlign w:val="center"/>
            <w:hideMark/>
          </w:tcPr>
          <w:p w14:paraId="0964874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817 792.00</w:t>
            </w:r>
          </w:p>
        </w:tc>
      </w:tr>
      <w:tr w:rsidR="008E74B8" w:rsidRPr="00B71AFB" w14:paraId="5D736343"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543D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 xml:space="preserve">JUST </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7AC6E"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EU</w:t>
            </w:r>
            <w:r>
              <w:rPr>
                <w:rFonts w:eastAsia="Times New Roman" w:cs="Arial"/>
                <w:color w:val="000000"/>
                <w:szCs w:val="20"/>
                <w:lang w:eastAsia="fr-FR"/>
              </w:rPr>
              <w:t>-</w:t>
            </w:r>
            <w:r w:rsidRPr="00B71AFB">
              <w:rPr>
                <w:rFonts w:eastAsia="Times New Roman" w:cs="Arial"/>
                <w:color w:val="000000"/>
                <w:szCs w:val="20"/>
                <w:lang w:eastAsia="fr-FR"/>
              </w:rPr>
              <w:t>C</w:t>
            </w:r>
            <w:r>
              <w:rPr>
                <w:rFonts w:eastAsia="Times New Roman" w:cs="Arial"/>
                <w:color w:val="000000"/>
                <w:szCs w:val="20"/>
                <w:lang w:eastAsia="fr-FR"/>
              </w:rPr>
              <w:t>o</w:t>
            </w:r>
            <w:r w:rsidRPr="00B71AFB">
              <w:rPr>
                <w:rFonts w:eastAsia="Times New Roman" w:cs="Arial"/>
                <w:color w:val="000000"/>
                <w:szCs w:val="20"/>
                <w:lang w:eastAsia="fr-FR"/>
              </w:rPr>
              <w:t>E Judicial Training on Rule of Law and Fundamental Rights</w:t>
            </w:r>
            <w:r>
              <w:rPr>
                <w:rFonts w:eastAsia="Times New Roman" w:cs="Arial"/>
                <w:color w:val="000000"/>
                <w:szCs w:val="20"/>
                <w:lang w:eastAsia="fr-FR"/>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EA2F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01/11/2022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EE7F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31/10/2024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61A2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649 888.04</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6ADE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584 899.23</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9447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64 988.81</w:t>
            </w:r>
          </w:p>
        </w:tc>
      </w:tr>
      <w:tr w:rsidR="008E74B8" w:rsidRPr="00B71AFB" w14:paraId="2035B0F6"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3F4B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CERV</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07948"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Equality and freedom from discrimination for Roma (EQUIROM)</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9A6B6"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20/12/2022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7D48A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19/12/2024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8A21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850 000.00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EC5B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680 000.00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2C46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170 000.00</w:t>
            </w:r>
          </w:p>
        </w:tc>
      </w:tr>
      <w:tr w:rsidR="008E74B8" w:rsidRPr="00B71AFB" w14:paraId="08FFEBA4"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2856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DG EMPL</w:t>
            </w:r>
          </w:p>
        </w:tc>
        <w:tc>
          <w:tcPr>
            <w:tcW w:w="1836" w:type="pct"/>
            <w:tcBorders>
              <w:top w:val="single" w:sz="4" w:space="0" w:color="auto"/>
              <w:left w:val="nil"/>
              <w:bottom w:val="single" w:sz="4" w:space="0" w:color="auto"/>
              <w:right w:val="single" w:sz="4" w:space="0" w:color="auto"/>
            </w:tcBorders>
            <w:shd w:val="clear" w:color="auto" w:fill="auto"/>
            <w:vAlign w:val="center"/>
            <w:hideMark/>
          </w:tcPr>
          <w:p w14:paraId="15550841"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ROMACT 9: Building Capacity for Roma Inclusion at Local Level</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A2A69C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01/01/2023</w:t>
            </w:r>
          </w:p>
        </w:tc>
        <w:tc>
          <w:tcPr>
            <w:tcW w:w="376" w:type="pct"/>
            <w:tcBorders>
              <w:top w:val="single" w:sz="4" w:space="0" w:color="auto"/>
              <w:left w:val="nil"/>
              <w:bottom w:val="single" w:sz="4" w:space="0" w:color="auto"/>
              <w:right w:val="single" w:sz="4" w:space="0" w:color="auto"/>
            </w:tcBorders>
            <w:shd w:val="clear" w:color="auto" w:fill="auto"/>
            <w:vAlign w:val="center"/>
            <w:hideMark/>
          </w:tcPr>
          <w:p w14:paraId="48299C3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31/08/2024</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7F59B89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1 670 000.00</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00CAE23"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1 500 000.00</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718150A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170 000.00</w:t>
            </w:r>
          </w:p>
        </w:tc>
      </w:tr>
      <w:tr w:rsidR="008E74B8" w:rsidRPr="00B71AFB" w14:paraId="4BA9B72B"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5CFFA57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Erasmus +</w:t>
            </w:r>
          </w:p>
        </w:tc>
        <w:tc>
          <w:tcPr>
            <w:tcW w:w="1836" w:type="pct"/>
            <w:tcBorders>
              <w:top w:val="nil"/>
              <w:left w:val="nil"/>
              <w:bottom w:val="single" w:sz="4" w:space="0" w:color="auto"/>
              <w:right w:val="single" w:sz="4" w:space="0" w:color="auto"/>
            </w:tcBorders>
            <w:shd w:val="clear" w:color="auto" w:fill="auto"/>
            <w:vAlign w:val="center"/>
            <w:hideMark/>
          </w:tcPr>
          <w:p w14:paraId="567B39CB"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Innovative Methodologies and Assessment in Language Learning</w:t>
            </w:r>
            <w:r>
              <w:rPr>
                <w:rFonts w:eastAsia="Times New Roman" w:cs="Arial"/>
                <w:color w:val="000000"/>
                <w:szCs w:val="20"/>
                <w:lang w:eastAsia="fr-FR"/>
              </w:rPr>
              <w:t xml:space="preserve"> - </w:t>
            </w:r>
            <w:r w:rsidRPr="00B71AFB">
              <w:rPr>
                <w:rFonts w:eastAsia="Times New Roman" w:cs="Arial"/>
                <w:color w:val="000000"/>
                <w:szCs w:val="20"/>
                <w:lang w:eastAsia="fr-FR"/>
              </w:rPr>
              <w:t>X</w:t>
            </w:r>
          </w:p>
        </w:tc>
        <w:tc>
          <w:tcPr>
            <w:tcW w:w="421" w:type="pct"/>
            <w:tcBorders>
              <w:top w:val="nil"/>
              <w:left w:val="nil"/>
              <w:bottom w:val="single" w:sz="4" w:space="0" w:color="auto"/>
              <w:right w:val="single" w:sz="4" w:space="0" w:color="auto"/>
            </w:tcBorders>
            <w:shd w:val="clear" w:color="auto" w:fill="auto"/>
            <w:vAlign w:val="center"/>
            <w:hideMark/>
          </w:tcPr>
          <w:p w14:paraId="5064F4B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01/01/2023</w:t>
            </w:r>
          </w:p>
        </w:tc>
        <w:tc>
          <w:tcPr>
            <w:tcW w:w="376" w:type="pct"/>
            <w:tcBorders>
              <w:top w:val="nil"/>
              <w:left w:val="nil"/>
              <w:bottom w:val="single" w:sz="4" w:space="0" w:color="auto"/>
              <w:right w:val="single" w:sz="4" w:space="0" w:color="auto"/>
            </w:tcBorders>
            <w:shd w:val="clear" w:color="auto" w:fill="auto"/>
            <w:vAlign w:val="center"/>
            <w:hideMark/>
          </w:tcPr>
          <w:p w14:paraId="4C0DE840"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31/12/2023</w:t>
            </w:r>
          </w:p>
        </w:tc>
        <w:tc>
          <w:tcPr>
            <w:tcW w:w="560" w:type="pct"/>
            <w:tcBorders>
              <w:top w:val="nil"/>
              <w:left w:val="nil"/>
              <w:bottom w:val="single" w:sz="4" w:space="0" w:color="auto"/>
              <w:right w:val="single" w:sz="4" w:space="0" w:color="auto"/>
            </w:tcBorders>
            <w:shd w:val="clear" w:color="auto" w:fill="auto"/>
            <w:vAlign w:val="center"/>
            <w:hideMark/>
          </w:tcPr>
          <w:p w14:paraId="4C93C72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873 606.85</w:t>
            </w:r>
          </w:p>
        </w:tc>
        <w:tc>
          <w:tcPr>
            <w:tcW w:w="547" w:type="pct"/>
            <w:tcBorders>
              <w:top w:val="nil"/>
              <w:left w:val="nil"/>
              <w:bottom w:val="single" w:sz="4" w:space="0" w:color="auto"/>
              <w:right w:val="single" w:sz="4" w:space="0" w:color="auto"/>
            </w:tcBorders>
            <w:shd w:val="clear" w:color="auto" w:fill="auto"/>
            <w:vAlign w:val="center"/>
            <w:hideMark/>
          </w:tcPr>
          <w:p w14:paraId="5C4CE0B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698 885.48</w:t>
            </w:r>
          </w:p>
        </w:tc>
        <w:tc>
          <w:tcPr>
            <w:tcW w:w="568" w:type="pct"/>
            <w:tcBorders>
              <w:top w:val="nil"/>
              <w:left w:val="nil"/>
              <w:bottom w:val="single" w:sz="4" w:space="0" w:color="auto"/>
              <w:right w:val="single" w:sz="4" w:space="0" w:color="auto"/>
            </w:tcBorders>
            <w:shd w:val="clear" w:color="auto" w:fill="auto"/>
            <w:vAlign w:val="center"/>
            <w:hideMark/>
          </w:tcPr>
          <w:p w14:paraId="0C559E61"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174 721.37</w:t>
            </w:r>
          </w:p>
        </w:tc>
      </w:tr>
    </w:tbl>
    <w:p w14:paraId="0E9BB966" w14:textId="77777777" w:rsidR="00F456DB" w:rsidRDefault="00F456DB">
      <w:r>
        <w:br w:type="page"/>
      </w:r>
    </w:p>
    <w:tbl>
      <w:tblPr>
        <w:tblW w:w="5000" w:type="pct"/>
        <w:tblCellMar>
          <w:left w:w="70" w:type="dxa"/>
          <w:right w:w="70" w:type="dxa"/>
        </w:tblCellMar>
        <w:tblLook w:val="04A0" w:firstRow="1" w:lastRow="0" w:firstColumn="1" w:lastColumn="0" w:noHBand="0" w:noVBand="1"/>
      </w:tblPr>
      <w:tblGrid>
        <w:gridCol w:w="2115"/>
        <w:gridCol w:w="5610"/>
        <w:gridCol w:w="1286"/>
        <w:gridCol w:w="1149"/>
        <w:gridCol w:w="1711"/>
        <w:gridCol w:w="1672"/>
        <w:gridCol w:w="1736"/>
      </w:tblGrid>
      <w:tr w:rsidR="008E74B8" w:rsidRPr="00B71AFB" w14:paraId="5AB49053"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48E4D4D9" w14:textId="105E597D"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TSI</w:t>
            </w:r>
          </w:p>
        </w:tc>
        <w:tc>
          <w:tcPr>
            <w:tcW w:w="1836" w:type="pct"/>
            <w:tcBorders>
              <w:top w:val="nil"/>
              <w:left w:val="nil"/>
              <w:bottom w:val="single" w:sz="4" w:space="0" w:color="auto"/>
              <w:right w:val="single" w:sz="4" w:space="0" w:color="auto"/>
            </w:tcBorders>
            <w:shd w:val="clear" w:color="auto" w:fill="auto"/>
            <w:vAlign w:val="center"/>
            <w:hideMark/>
          </w:tcPr>
          <w:p w14:paraId="0DC655B6"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to EU Member States in the implementation of reforms under the</w:t>
            </w:r>
            <w:r w:rsidRPr="00B71AFB">
              <w:rPr>
                <w:rFonts w:eastAsia="Times New Roman" w:cs="Arial"/>
                <w:color w:val="000000"/>
                <w:szCs w:val="20"/>
                <w:lang w:eastAsia="fr-FR"/>
              </w:rPr>
              <w:br/>
              <w:t>Technical Support Instrument 2023: Border and migration policies; Governance and public</w:t>
            </w:r>
            <w:r w:rsidRPr="00B71AFB">
              <w:rPr>
                <w:rFonts w:eastAsia="Times New Roman" w:cs="Arial"/>
                <w:color w:val="000000"/>
                <w:szCs w:val="20"/>
                <w:lang w:eastAsia="fr-FR"/>
              </w:rPr>
              <w:br/>
              <w:t>administration; Financial sector and access to finance</w:t>
            </w:r>
          </w:p>
        </w:tc>
        <w:tc>
          <w:tcPr>
            <w:tcW w:w="421" w:type="pct"/>
            <w:tcBorders>
              <w:top w:val="nil"/>
              <w:left w:val="nil"/>
              <w:bottom w:val="single" w:sz="4" w:space="0" w:color="auto"/>
              <w:right w:val="single" w:sz="4" w:space="0" w:color="auto"/>
            </w:tcBorders>
            <w:shd w:val="clear" w:color="auto" w:fill="auto"/>
            <w:vAlign w:val="center"/>
            <w:hideMark/>
          </w:tcPr>
          <w:p w14:paraId="0CD2E888"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01/07/2023</w:t>
            </w:r>
          </w:p>
        </w:tc>
        <w:tc>
          <w:tcPr>
            <w:tcW w:w="376" w:type="pct"/>
            <w:tcBorders>
              <w:top w:val="nil"/>
              <w:left w:val="nil"/>
              <w:bottom w:val="single" w:sz="4" w:space="0" w:color="auto"/>
              <w:right w:val="single" w:sz="4" w:space="0" w:color="auto"/>
            </w:tcBorders>
            <w:shd w:val="clear" w:color="auto" w:fill="auto"/>
            <w:vAlign w:val="center"/>
            <w:hideMark/>
          </w:tcPr>
          <w:p w14:paraId="122F72D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30/06/2026</w:t>
            </w:r>
          </w:p>
        </w:tc>
        <w:tc>
          <w:tcPr>
            <w:tcW w:w="560" w:type="pct"/>
            <w:tcBorders>
              <w:top w:val="nil"/>
              <w:left w:val="nil"/>
              <w:bottom w:val="single" w:sz="4" w:space="0" w:color="auto"/>
              <w:right w:val="single" w:sz="4" w:space="0" w:color="auto"/>
            </w:tcBorders>
            <w:shd w:val="clear" w:color="auto" w:fill="auto"/>
            <w:vAlign w:val="center"/>
            <w:hideMark/>
          </w:tcPr>
          <w:p w14:paraId="415555E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5 000 000.00</w:t>
            </w:r>
          </w:p>
        </w:tc>
        <w:tc>
          <w:tcPr>
            <w:tcW w:w="547" w:type="pct"/>
            <w:tcBorders>
              <w:top w:val="nil"/>
              <w:left w:val="nil"/>
              <w:bottom w:val="single" w:sz="4" w:space="0" w:color="auto"/>
              <w:right w:val="single" w:sz="4" w:space="0" w:color="auto"/>
            </w:tcBorders>
            <w:shd w:val="clear" w:color="auto" w:fill="auto"/>
            <w:vAlign w:val="center"/>
            <w:hideMark/>
          </w:tcPr>
          <w:p w14:paraId="01CC864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4 500 000.00</w:t>
            </w:r>
          </w:p>
        </w:tc>
        <w:tc>
          <w:tcPr>
            <w:tcW w:w="568" w:type="pct"/>
            <w:tcBorders>
              <w:top w:val="nil"/>
              <w:left w:val="nil"/>
              <w:bottom w:val="single" w:sz="4" w:space="0" w:color="auto"/>
              <w:right w:val="single" w:sz="4" w:space="0" w:color="auto"/>
            </w:tcBorders>
            <w:shd w:val="clear" w:color="auto" w:fill="auto"/>
            <w:vAlign w:val="center"/>
            <w:hideMark/>
          </w:tcPr>
          <w:p w14:paraId="1E48676D"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500 000.00</w:t>
            </w:r>
          </w:p>
        </w:tc>
      </w:tr>
      <w:tr w:rsidR="008E74B8" w:rsidRPr="00B71AFB" w14:paraId="47AD958C"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5C1194D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CERV</w:t>
            </w:r>
          </w:p>
        </w:tc>
        <w:tc>
          <w:tcPr>
            <w:tcW w:w="1836" w:type="pct"/>
            <w:tcBorders>
              <w:top w:val="nil"/>
              <w:left w:val="nil"/>
              <w:bottom w:val="single" w:sz="4" w:space="0" w:color="auto"/>
              <w:right w:val="single" w:sz="4" w:space="0" w:color="auto"/>
            </w:tcBorders>
            <w:shd w:val="clear" w:color="auto" w:fill="auto"/>
            <w:vAlign w:val="center"/>
            <w:hideMark/>
          </w:tcPr>
          <w:p w14:paraId="29871FDF"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Increasing civil society organisations’ knowledge and capacity to tackle hate speech online</w:t>
            </w:r>
          </w:p>
        </w:tc>
        <w:tc>
          <w:tcPr>
            <w:tcW w:w="421" w:type="pct"/>
            <w:tcBorders>
              <w:top w:val="nil"/>
              <w:left w:val="nil"/>
              <w:bottom w:val="single" w:sz="4" w:space="0" w:color="auto"/>
              <w:right w:val="single" w:sz="4" w:space="0" w:color="auto"/>
            </w:tcBorders>
            <w:shd w:val="clear" w:color="auto" w:fill="auto"/>
            <w:vAlign w:val="center"/>
            <w:hideMark/>
          </w:tcPr>
          <w:p w14:paraId="3FDE70D9"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01/09/2023</w:t>
            </w:r>
          </w:p>
        </w:tc>
        <w:tc>
          <w:tcPr>
            <w:tcW w:w="376" w:type="pct"/>
            <w:tcBorders>
              <w:top w:val="nil"/>
              <w:left w:val="nil"/>
              <w:bottom w:val="single" w:sz="4" w:space="0" w:color="auto"/>
              <w:right w:val="single" w:sz="4" w:space="0" w:color="auto"/>
            </w:tcBorders>
            <w:shd w:val="clear" w:color="auto" w:fill="auto"/>
            <w:vAlign w:val="center"/>
            <w:hideMark/>
          </w:tcPr>
          <w:p w14:paraId="539C0F92"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31/12/2024</w:t>
            </w:r>
          </w:p>
        </w:tc>
        <w:tc>
          <w:tcPr>
            <w:tcW w:w="560" w:type="pct"/>
            <w:tcBorders>
              <w:top w:val="nil"/>
              <w:left w:val="nil"/>
              <w:bottom w:val="single" w:sz="4" w:space="0" w:color="auto"/>
              <w:right w:val="single" w:sz="4" w:space="0" w:color="auto"/>
            </w:tcBorders>
            <w:shd w:val="clear" w:color="auto" w:fill="auto"/>
            <w:vAlign w:val="center"/>
            <w:hideMark/>
          </w:tcPr>
          <w:p w14:paraId="250E2C9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223 000.00</w:t>
            </w:r>
          </w:p>
        </w:tc>
        <w:tc>
          <w:tcPr>
            <w:tcW w:w="547" w:type="pct"/>
            <w:tcBorders>
              <w:top w:val="nil"/>
              <w:left w:val="nil"/>
              <w:bottom w:val="single" w:sz="4" w:space="0" w:color="auto"/>
              <w:right w:val="single" w:sz="4" w:space="0" w:color="auto"/>
            </w:tcBorders>
            <w:shd w:val="clear" w:color="auto" w:fill="auto"/>
            <w:vAlign w:val="center"/>
            <w:hideMark/>
          </w:tcPr>
          <w:p w14:paraId="2BD2049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200 000.00</w:t>
            </w:r>
          </w:p>
        </w:tc>
        <w:tc>
          <w:tcPr>
            <w:tcW w:w="568" w:type="pct"/>
            <w:tcBorders>
              <w:top w:val="nil"/>
              <w:left w:val="nil"/>
              <w:bottom w:val="single" w:sz="4" w:space="0" w:color="auto"/>
              <w:right w:val="single" w:sz="4" w:space="0" w:color="auto"/>
            </w:tcBorders>
            <w:shd w:val="clear" w:color="auto" w:fill="auto"/>
            <w:vAlign w:val="center"/>
            <w:hideMark/>
          </w:tcPr>
          <w:p w14:paraId="3307A765"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23 000.00</w:t>
            </w:r>
          </w:p>
        </w:tc>
      </w:tr>
      <w:tr w:rsidR="008E74B8" w:rsidRPr="00B71AFB" w14:paraId="36B4DCD7"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694EFD1D"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CERV</w:t>
            </w:r>
          </w:p>
        </w:tc>
        <w:tc>
          <w:tcPr>
            <w:tcW w:w="1836" w:type="pct"/>
            <w:tcBorders>
              <w:top w:val="nil"/>
              <w:left w:val="nil"/>
              <w:bottom w:val="single" w:sz="4" w:space="0" w:color="auto"/>
              <w:right w:val="single" w:sz="4" w:space="0" w:color="auto"/>
            </w:tcBorders>
            <w:shd w:val="clear" w:color="auto" w:fill="auto"/>
            <w:vAlign w:val="center"/>
            <w:hideMark/>
          </w:tcPr>
          <w:p w14:paraId="165138E6" w14:textId="77777777" w:rsidR="008E74B8" w:rsidRDefault="008E74B8" w:rsidP="00E05368">
            <w:pPr>
              <w:rPr>
                <w:rFonts w:eastAsia="Times New Roman" w:cs="Arial"/>
                <w:color w:val="000000"/>
                <w:szCs w:val="20"/>
                <w:lang w:eastAsia="fr-FR"/>
              </w:rPr>
            </w:pPr>
          </w:p>
          <w:p w14:paraId="45009098" w14:textId="77777777" w:rsidR="008E74B8" w:rsidRDefault="008E74B8" w:rsidP="00E05368">
            <w:pPr>
              <w:rPr>
                <w:rFonts w:eastAsia="Times New Roman" w:cs="Arial"/>
                <w:color w:val="000000"/>
                <w:szCs w:val="20"/>
                <w:lang w:eastAsia="fr-FR"/>
              </w:rPr>
            </w:pPr>
          </w:p>
          <w:p w14:paraId="41B7E42C" w14:textId="77777777" w:rsidR="008E74B8" w:rsidRDefault="008E74B8" w:rsidP="00E05368">
            <w:pPr>
              <w:rPr>
                <w:rFonts w:eastAsia="Times New Roman" w:cs="Arial"/>
                <w:color w:val="000000"/>
                <w:szCs w:val="20"/>
                <w:lang w:eastAsia="fr-FR"/>
              </w:rPr>
            </w:pPr>
          </w:p>
          <w:p w14:paraId="46B9345D" w14:textId="77777777" w:rsidR="008E74B8" w:rsidRDefault="008E74B8" w:rsidP="00E05368">
            <w:pPr>
              <w:rPr>
                <w:rFonts w:eastAsia="Times New Roman" w:cs="Arial"/>
                <w:color w:val="000000"/>
                <w:szCs w:val="20"/>
                <w:lang w:eastAsia="fr-FR"/>
              </w:rPr>
            </w:pPr>
            <w:r w:rsidRPr="00B71AFB">
              <w:rPr>
                <w:rFonts w:eastAsia="Times New Roman" w:cs="Arial"/>
                <w:color w:val="000000"/>
                <w:szCs w:val="20"/>
                <w:lang w:eastAsia="fr-FR"/>
              </w:rPr>
              <w:t>Combating anti-LGBTIQ violence and hate speech and</w:t>
            </w:r>
            <w:r w:rsidRPr="00B71AFB">
              <w:rPr>
                <w:rFonts w:eastAsia="Times New Roman" w:cs="Arial"/>
                <w:color w:val="000000"/>
                <w:szCs w:val="20"/>
                <w:lang w:eastAsia="fr-FR"/>
              </w:rPr>
              <w:br/>
              <w:t>strengthening awareness-raising and fact-based narratives about LGBTIQ persons</w:t>
            </w:r>
          </w:p>
          <w:p w14:paraId="4A1ABF75" w14:textId="77777777" w:rsidR="008E74B8" w:rsidRDefault="008E74B8" w:rsidP="00E05368">
            <w:pPr>
              <w:rPr>
                <w:rFonts w:eastAsia="Times New Roman" w:cs="Arial"/>
                <w:color w:val="000000"/>
                <w:szCs w:val="20"/>
                <w:lang w:eastAsia="fr-FR"/>
              </w:rPr>
            </w:pPr>
          </w:p>
          <w:p w14:paraId="7F2FC604" w14:textId="77777777" w:rsidR="008E74B8" w:rsidRDefault="008E74B8" w:rsidP="00E05368">
            <w:pPr>
              <w:rPr>
                <w:rFonts w:eastAsia="Times New Roman" w:cs="Arial"/>
                <w:color w:val="000000"/>
                <w:szCs w:val="20"/>
                <w:lang w:eastAsia="fr-FR"/>
              </w:rPr>
            </w:pPr>
          </w:p>
          <w:p w14:paraId="66CC717A" w14:textId="77777777" w:rsidR="008E74B8" w:rsidRPr="00B71AFB" w:rsidRDefault="008E74B8" w:rsidP="00E05368">
            <w:pPr>
              <w:rPr>
                <w:rFonts w:eastAsia="Times New Roman" w:cs="Arial"/>
                <w:color w:val="000000"/>
                <w:szCs w:val="20"/>
                <w:lang w:eastAsia="fr-FR"/>
              </w:rPr>
            </w:pPr>
          </w:p>
        </w:tc>
        <w:tc>
          <w:tcPr>
            <w:tcW w:w="421" w:type="pct"/>
            <w:tcBorders>
              <w:top w:val="nil"/>
              <w:left w:val="nil"/>
              <w:bottom w:val="single" w:sz="4" w:space="0" w:color="auto"/>
              <w:right w:val="single" w:sz="4" w:space="0" w:color="auto"/>
            </w:tcBorders>
            <w:shd w:val="clear" w:color="auto" w:fill="auto"/>
            <w:vAlign w:val="center"/>
            <w:hideMark/>
          </w:tcPr>
          <w:p w14:paraId="4C2A300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04/11/2023</w:t>
            </w:r>
          </w:p>
        </w:tc>
        <w:tc>
          <w:tcPr>
            <w:tcW w:w="376" w:type="pct"/>
            <w:tcBorders>
              <w:top w:val="nil"/>
              <w:left w:val="nil"/>
              <w:bottom w:val="single" w:sz="4" w:space="0" w:color="auto"/>
              <w:right w:val="single" w:sz="4" w:space="0" w:color="auto"/>
            </w:tcBorders>
            <w:shd w:val="clear" w:color="auto" w:fill="auto"/>
            <w:vAlign w:val="center"/>
            <w:hideMark/>
          </w:tcPr>
          <w:p w14:paraId="09828805"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03/11/2026</w:t>
            </w:r>
          </w:p>
        </w:tc>
        <w:tc>
          <w:tcPr>
            <w:tcW w:w="560" w:type="pct"/>
            <w:tcBorders>
              <w:top w:val="nil"/>
              <w:left w:val="nil"/>
              <w:bottom w:val="single" w:sz="4" w:space="0" w:color="auto"/>
              <w:right w:val="single" w:sz="4" w:space="0" w:color="auto"/>
            </w:tcBorders>
            <w:shd w:val="clear" w:color="auto" w:fill="auto"/>
            <w:vAlign w:val="center"/>
            <w:hideMark/>
          </w:tcPr>
          <w:p w14:paraId="6FA8CFC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1 334 000.00</w:t>
            </w:r>
          </w:p>
        </w:tc>
        <w:tc>
          <w:tcPr>
            <w:tcW w:w="547" w:type="pct"/>
            <w:tcBorders>
              <w:top w:val="nil"/>
              <w:left w:val="nil"/>
              <w:bottom w:val="single" w:sz="4" w:space="0" w:color="auto"/>
              <w:right w:val="single" w:sz="4" w:space="0" w:color="auto"/>
            </w:tcBorders>
            <w:shd w:val="clear" w:color="auto" w:fill="auto"/>
            <w:vAlign w:val="center"/>
            <w:hideMark/>
          </w:tcPr>
          <w:p w14:paraId="3A36F1D6"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1 200 000.00</w:t>
            </w:r>
          </w:p>
        </w:tc>
        <w:tc>
          <w:tcPr>
            <w:tcW w:w="568" w:type="pct"/>
            <w:tcBorders>
              <w:top w:val="nil"/>
              <w:left w:val="nil"/>
              <w:bottom w:val="single" w:sz="4" w:space="0" w:color="auto"/>
              <w:right w:val="single" w:sz="4" w:space="0" w:color="auto"/>
            </w:tcBorders>
            <w:shd w:val="clear" w:color="auto" w:fill="auto"/>
            <w:vAlign w:val="center"/>
            <w:hideMark/>
          </w:tcPr>
          <w:p w14:paraId="68E8669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134 000.00</w:t>
            </w:r>
          </w:p>
        </w:tc>
      </w:tr>
      <w:tr w:rsidR="008E74B8" w:rsidRPr="00B71AFB" w14:paraId="0A3EB670"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000000" w:fill="5B9BD5"/>
            <w:noWrap/>
            <w:vAlign w:val="center"/>
            <w:hideMark/>
          </w:tcPr>
          <w:p w14:paraId="5388F51A"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Non-member States/South</w:t>
            </w:r>
            <w:r>
              <w:rPr>
                <w:rFonts w:eastAsia="Times New Roman" w:cs="Arial"/>
                <w:b/>
                <w:bCs/>
                <w:color w:val="000000"/>
                <w:szCs w:val="20"/>
                <w:lang w:eastAsia="fr-FR"/>
              </w:rPr>
              <w:t>ern</w:t>
            </w:r>
            <w:r w:rsidRPr="00B71AFB">
              <w:rPr>
                <w:rFonts w:eastAsia="Times New Roman" w:cs="Arial"/>
                <w:b/>
                <w:bCs/>
                <w:color w:val="000000"/>
                <w:szCs w:val="20"/>
                <w:lang w:eastAsia="fr-FR"/>
              </w:rPr>
              <w:t xml:space="preserve"> Neighbourhood </w:t>
            </w:r>
          </w:p>
        </w:tc>
        <w:tc>
          <w:tcPr>
            <w:tcW w:w="421" w:type="pct"/>
            <w:tcBorders>
              <w:top w:val="nil"/>
              <w:left w:val="nil"/>
              <w:bottom w:val="single" w:sz="4" w:space="0" w:color="auto"/>
              <w:right w:val="nil"/>
            </w:tcBorders>
            <w:shd w:val="clear" w:color="000000" w:fill="5B9BD5"/>
            <w:noWrap/>
            <w:vAlign w:val="center"/>
            <w:hideMark/>
          </w:tcPr>
          <w:p w14:paraId="482FCDD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000000" w:fill="5B9BD5"/>
            <w:noWrap/>
            <w:vAlign w:val="center"/>
            <w:hideMark/>
          </w:tcPr>
          <w:p w14:paraId="6CF8CAC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000000" w:fill="5B9BD5"/>
            <w:noWrap/>
            <w:vAlign w:val="center"/>
            <w:hideMark/>
          </w:tcPr>
          <w:p w14:paraId="1F88496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000000" w:fill="5B9BD5"/>
            <w:noWrap/>
            <w:vAlign w:val="center"/>
            <w:hideMark/>
          </w:tcPr>
          <w:p w14:paraId="4A74B9E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000000" w:fill="5B9BD5"/>
            <w:noWrap/>
            <w:vAlign w:val="center"/>
            <w:hideMark/>
          </w:tcPr>
          <w:p w14:paraId="7B0BAED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16A95C67" w14:textId="77777777" w:rsidTr="00E05368">
        <w:trPr>
          <w:trHeight w:val="1002"/>
        </w:trPr>
        <w:tc>
          <w:tcPr>
            <w:tcW w:w="692" w:type="pct"/>
            <w:tcBorders>
              <w:top w:val="nil"/>
              <w:left w:val="single" w:sz="4" w:space="0" w:color="auto"/>
              <w:bottom w:val="single" w:sz="4" w:space="0" w:color="auto"/>
              <w:right w:val="nil"/>
            </w:tcBorders>
            <w:shd w:val="clear" w:color="auto" w:fill="auto"/>
            <w:noWrap/>
            <w:vAlign w:val="center"/>
            <w:hideMark/>
          </w:tcPr>
          <w:p w14:paraId="22E99BD0"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Morocco </w:t>
            </w:r>
          </w:p>
        </w:tc>
        <w:tc>
          <w:tcPr>
            <w:tcW w:w="1836" w:type="pct"/>
            <w:tcBorders>
              <w:top w:val="nil"/>
              <w:left w:val="nil"/>
              <w:bottom w:val="single" w:sz="4" w:space="0" w:color="auto"/>
              <w:right w:val="nil"/>
            </w:tcBorders>
            <w:shd w:val="clear" w:color="auto" w:fill="auto"/>
            <w:noWrap/>
            <w:vAlign w:val="center"/>
            <w:hideMark/>
          </w:tcPr>
          <w:p w14:paraId="770B4C1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nil"/>
              <w:left w:val="nil"/>
              <w:bottom w:val="single" w:sz="4" w:space="0" w:color="auto"/>
              <w:right w:val="nil"/>
            </w:tcBorders>
            <w:shd w:val="clear" w:color="auto" w:fill="auto"/>
            <w:noWrap/>
            <w:vAlign w:val="center"/>
            <w:hideMark/>
          </w:tcPr>
          <w:p w14:paraId="0772B37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565AF2F5"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7A2772F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5672AFB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08CC0A0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3597D48C"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A952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A2E01"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Support to the national mechanism against torture and to the development of the key role of Parliament in Morocco</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38EA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14/11/2020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3FED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30/04/2024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4996F"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2 316 000.00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EFF8E"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2 200 000.00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EC85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116 000.00</w:t>
            </w:r>
          </w:p>
        </w:tc>
      </w:tr>
      <w:tr w:rsidR="008E74B8" w:rsidRPr="00B71AFB" w14:paraId="53797E9E" w14:textId="77777777" w:rsidTr="00E05368">
        <w:trPr>
          <w:trHeight w:val="1002"/>
        </w:trPr>
        <w:tc>
          <w:tcPr>
            <w:tcW w:w="692" w:type="pct"/>
            <w:tcBorders>
              <w:top w:val="single" w:sz="4" w:space="0" w:color="auto"/>
              <w:left w:val="single" w:sz="4" w:space="0" w:color="auto"/>
              <w:bottom w:val="single" w:sz="4" w:space="0" w:color="auto"/>
              <w:right w:val="nil"/>
            </w:tcBorders>
            <w:shd w:val="clear" w:color="auto" w:fill="auto"/>
            <w:vAlign w:val="center"/>
            <w:hideMark/>
          </w:tcPr>
          <w:p w14:paraId="1CC1C1C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Tunisia</w:t>
            </w:r>
          </w:p>
        </w:tc>
        <w:tc>
          <w:tcPr>
            <w:tcW w:w="1836" w:type="pct"/>
            <w:tcBorders>
              <w:top w:val="single" w:sz="4" w:space="0" w:color="auto"/>
              <w:left w:val="nil"/>
              <w:bottom w:val="single" w:sz="4" w:space="0" w:color="auto"/>
              <w:right w:val="nil"/>
            </w:tcBorders>
            <w:shd w:val="clear" w:color="auto" w:fill="auto"/>
            <w:vAlign w:val="center"/>
            <w:hideMark/>
          </w:tcPr>
          <w:p w14:paraId="50338446"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421" w:type="pct"/>
            <w:tcBorders>
              <w:top w:val="single" w:sz="4" w:space="0" w:color="auto"/>
              <w:left w:val="nil"/>
              <w:bottom w:val="single" w:sz="4" w:space="0" w:color="auto"/>
              <w:right w:val="nil"/>
            </w:tcBorders>
            <w:shd w:val="clear" w:color="auto" w:fill="auto"/>
            <w:vAlign w:val="center"/>
            <w:hideMark/>
          </w:tcPr>
          <w:p w14:paraId="636645DF"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single" w:sz="4" w:space="0" w:color="auto"/>
              <w:left w:val="nil"/>
              <w:bottom w:val="single" w:sz="4" w:space="0" w:color="auto"/>
              <w:right w:val="nil"/>
            </w:tcBorders>
            <w:shd w:val="clear" w:color="auto" w:fill="auto"/>
            <w:vAlign w:val="center"/>
            <w:hideMark/>
          </w:tcPr>
          <w:p w14:paraId="6593710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single" w:sz="4" w:space="0" w:color="auto"/>
              <w:left w:val="nil"/>
              <w:bottom w:val="single" w:sz="4" w:space="0" w:color="auto"/>
              <w:right w:val="nil"/>
            </w:tcBorders>
            <w:shd w:val="clear" w:color="auto" w:fill="auto"/>
            <w:vAlign w:val="center"/>
            <w:hideMark/>
          </w:tcPr>
          <w:p w14:paraId="6464CEE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single" w:sz="4" w:space="0" w:color="auto"/>
              <w:left w:val="nil"/>
              <w:bottom w:val="single" w:sz="4" w:space="0" w:color="auto"/>
              <w:right w:val="nil"/>
            </w:tcBorders>
            <w:shd w:val="clear" w:color="auto" w:fill="auto"/>
            <w:vAlign w:val="center"/>
            <w:hideMark/>
          </w:tcPr>
          <w:p w14:paraId="0A630D5A"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1503F27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5A6CFA84"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76FB66D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nil"/>
              <w:left w:val="nil"/>
              <w:bottom w:val="single" w:sz="4" w:space="0" w:color="auto"/>
              <w:right w:val="single" w:sz="4" w:space="0" w:color="auto"/>
            </w:tcBorders>
            <w:shd w:val="clear" w:color="auto" w:fill="auto"/>
            <w:vAlign w:val="center"/>
            <w:hideMark/>
          </w:tcPr>
          <w:p w14:paraId="25A6029B"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Project to Support Independent Bodies in Tunisia (PAII T)</w:t>
            </w:r>
          </w:p>
        </w:tc>
        <w:tc>
          <w:tcPr>
            <w:tcW w:w="421" w:type="pct"/>
            <w:tcBorders>
              <w:top w:val="nil"/>
              <w:left w:val="nil"/>
              <w:bottom w:val="single" w:sz="4" w:space="0" w:color="auto"/>
              <w:right w:val="single" w:sz="4" w:space="0" w:color="auto"/>
            </w:tcBorders>
            <w:shd w:val="clear" w:color="auto" w:fill="auto"/>
            <w:vAlign w:val="center"/>
            <w:hideMark/>
          </w:tcPr>
          <w:p w14:paraId="6CBEB15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01/01/2019</w:t>
            </w:r>
          </w:p>
        </w:tc>
        <w:tc>
          <w:tcPr>
            <w:tcW w:w="376" w:type="pct"/>
            <w:tcBorders>
              <w:top w:val="nil"/>
              <w:left w:val="nil"/>
              <w:bottom w:val="single" w:sz="4" w:space="0" w:color="auto"/>
              <w:right w:val="single" w:sz="4" w:space="0" w:color="auto"/>
            </w:tcBorders>
            <w:shd w:val="clear" w:color="auto" w:fill="auto"/>
            <w:vAlign w:val="center"/>
            <w:hideMark/>
          </w:tcPr>
          <w:p w14:paraId="6AA78B2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31/03/2023</w:t>
            </w:r>
          </w:p>
        </w:tc>
        <w:tc>
          <w:tcPr>
            <w:tcW w:w="560" w:type="pct"/>
            <w:tcBorders>
              <w:top w:val="nil"/>
              <w:left w:val="nil"/>
              <w:bottom w:val="single" w:sz="4" w:space="0" w:color="auto"/>
              <w:right w:val="single" w:sz="4" w:space="0" w:color="auto"/>
            </w:tcBorders>
            <w:shd w:val="clear" w:color="auto" w:fill="auto"/>
            <w:vAlign w:val="center"/>
            <w:hideMark/>
          </w:tcPr>
          <w:p w14:paraId="3891A0D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5 556 000.00</w:t>
            </w:r>
          </w:p>
        </w:tc>
        <w:tc>
          <w:tcPr>
            <w:tcW w:w="547" w:type="pct"/>
            <w:tcBorders>
              <w:top w:val="nil"/>
              <w:left w:val="nil"/>
              <w:bottom w:val="single" w:sz="4" w:space="0" w:color="auto"/>
              <w:right w:val="single" w:sz="4" w:space="0" w:color="auto"/>
            </w:tcBorders>
            <w:shd w:val="clear" w:color="auto" w:fill="auto"/>
            <w:vAlign w:val="center"/>
            <w:hideMark/>
          </w:tcPr>
          <w:p w14:paraId="45D4643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5 000 000.00</w:t>
            </w:r>
          </w:p>
        </w:tc>
        <w:tc>
          <w:tcPr>
            <w:tcW w:w="568" w:type="pct"/>
            <w:tcBorders>
              <w:top w:val="nil"/>
              <w:left w:val="nil"/>
              <w:bottom w:val="single" w:sz="4" w:space="0" w:color="auto"/>
              <w:right w:val="single" w:sz="4" w:space="0" w:color="auto"/>
            </w:tcBorders>
            <w:shd w:val="clear" w:color="auto" w:fill="auto"/>
            <w:vAlign w:val="center"/>
            <w:hideMark/>
          </w:tcPr>
          <w:p w14:paraId="0015ABD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556 000.00</w:t>
            </w:r>
          </w:p>
        </w:tc>
      </w:tr>
      <w:tr w:rsidR="008E74B8" w:rsidRPr="00B71AFB" w14:paraId="108C60C3"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21D37D6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nil"/>
              <w:left w:val="nil"/>
              <w:bottom w:val="single" w:sz="4" w:space="0" w:color="auto"/>
              <w:right w:val="single" w:sz="4" w:space="0" w:color="auto"/>
            </w:tcBorders>
            <w:shd w:val="clear" w:color="auto" w:fill="auto"/>
            <w:vAlign w:val="center"/>
            <w:hideMark/>
          </w:tcPr>
          <w:p w14:paraId="497E0180"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Improving the functioning, performance and access to justice in Tunisia (AP-JUST)</w:t>
            </w:r>
          </w:p>
        </w:tc>
        <w:tc>
          <w:tcPr>
            <w:tcW w:w="421" w:type="pct"/>
            <w:tcBorders>
              <w:top w:val="nil"/>
              <w:left w:val="nil"/>
              <w:bottom w:val="single" w:sz="4" w:space="0" w:color="auto"/>
              <w:right w:val="single" w:sz="4" w:space="0" w:color="auto"/>
            </w:tcBorders>
            <w:shd w:val="clear" w:color="auto" w:fill="auto"/>
            <w:vAlign w:val="center"/>
            <w:hideMark/>
          </w:tcPr>
          <w:p w14:paraId="020C70BB"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01/01/2019</w:t>
            </w:r>
          </w:p>
        </w:tc>
        <w:tc>
          <w:tcPr>
            <w:tcW w:w="376" w:type="pct"/>
            <w:tcBorders>
              <w:top w:val="nil"/>
              <w:left w:val="nil"/>
              <w:bottom w:val="single" w:sz="4" w:space="0" w:color="auto"/>
              <w:right w:val="single" w:sz="4" w:space="0" w:color="auto"/>
            </w:tcBorders>
            <w:shd w:val="clear" w:color="auto" w:fill="auto"/>
            <w:vAlign w:val="center"/>
            <w:hideMark/>
          </w:tcPr>
          <w:p w14:paraId="324D789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30/09/2023</w:t>
            </w:r>
          </w:p>
        </w:tc>
        <w:tc>
          <w:tcPr>
            <w:tcW w:w="560" w:type="pct"/>
            <w:tcBorders>
              <w:top w:val="nil"/>
              <w:left w:val="nil"/>
              <w:bottom w:val="single" w:sz="4" w:space="0" w:color="auto"/>
              <w:right w:val="single" w:sz="4" w:space="0" w:color="auto"/>
            </w:tcBorders>
            <w:shd w:val="clear" w:color="auto" w:fill="auto"/>
            <w:vAlign w:val="center"/>
            <w:hideMark/>
          </w:tcPr>
          <w:p w14:paraId="6119389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5 988 890.00</w:t>
            </w:r>
          </w:p>
        </w:tc>
        <w:tc>
          <w:tcPr>
            <w:tcW w:w="547" w:type="pct"/>
            <w:tcBorders>
              <w:top w:val="nil"/>
              <w:left w:val="nil"/>
              <w:bottom w:val="single" w:sz="4" w:space="0" w:color="auto"/>
              <w:right w:val="single" w:sz="4" w:space="0" w:color="auto"/>
            </w:tcBorders>
            <w:shd w:val="clear" w:color="auto" w:fill="auto"/>
            <w:vAlign w:val="center"/>
            <w:hideMark/>
          </w:tcPr>
          <w:p w14:paraId="1F9BE42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5 390 000.00</w:t>
            </w:r>
          </w:p>
        </w:tc>
        <w:tc>
          <w:tcPr>
            <w:tcW w:w="568" w:type="pct"/>
            <w:tcBorders>
              <w:top w:val="nil"/>
              <w:left w:val="nil"/>
              <w:bottom w:val="single" w:sz="4" w:space="0" w:color="auto"/>
              <w:right w:val="single" w:sz="4" w:space="0" w:color="auto"/>
            </w:tcBorders>
            <w:shd w:val="clear" w:color="auto" w:fill="auto"/>
            <w:vAlign w:val="center"/>
            <w:hideMark/>
          </w:tcPr>
          <w:p w14:paraId="3A8B641C"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598 890.00</w:t>
            </w:r>
          </w:p>
        </w:tc>
      </w:tr>
      <w:tr w:rsidR="008E74B8" w:rsidRPr="00B71AFB" w14:paraId="7C1EE374"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auto" w:fill="auto"/>
            <w:noWrap/>
            <w:vAlign w:val="center"/>
            <w:hideMark/>
          </w:tcPr>
          <w:p w14:paraId="7468E377" w14:textId="77777777" w:rsidR="008E74B8" w:rsidRPr="00B71AFB" w:rsidRDefault="008E74B8" w:rsidP="00E05368">
            <w:pPr>
              <w:rPr>
                <w:rFonts w:eastAsia="Times New Roman" w:cs="Arial"/>
                <w:b/>
                <w:bCs/>
                <w:color w:val="000000"/>
                <w:szCs w:val="20"/>
                <w:lang w:eastAsia="fr-FR"/>
              </w:rPr>
            </w:pPr>
            <w:r>
              <w:rPr>
                <w:rFonts w:eastAsia="Times New Roman" w:cs="Arial"/>
                <w:b/>
                <w:bCs/>
                <w:color w:val="000000"/>
                <w:szCs w:val="20"/>
                <w:lang w:eastAsia="fr-FR"/>
              </w:rPr>
              <w:t xml:space="preserve">Regional </w:t>
            </w:r>
          </w:p>
        </w:tc>
        <w:tc>
          <w:tcPr>
            <w:tcW w:w="421" w:type="pct"/>
            <w:tcBorders>
              <w:top w:val="nil"/>
              <w:left w:val="nil"/>
              <w:bottom w:val="single" w:sz="4" w:space="0" w:color="auto"/>
              <w:right w:val="nil"/>
            </w:tcBorders>
            <w:shd w:val="clear" w:color="auto" w:fill="auto"/>
            <w:noWrap/>
            <w:vAlign w:val="center"/>
            <w:hideMark/>
          </w:tcPr>
          <w:p w14:paraId="76EB492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auto" w:fill="auto"/>
            <w:noWrap/>
            <w:vAlign w:val="center"/>
            <w:hideMark/>
          </w:tcPr>
          <w:p w14:paraId="3B6195C3"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auto" w:fill="auto"/>
            <w:noWrap/>
            <w:vAlign w:val="center"/>
            <w:hideMark/>
          </w:tcPr>
          <w:p w14:paraId="29BB2FC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auto" w:fill="auto"/>
            <w:noWrap/>
            <w:vAlign w:val="center"/>
            <w:hideMark/>
          </w:tcPr>
          <w:p w14:paraId="0D24F29C"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auto" w:fill="auto"/>
            <w:noWrap/>
            <w:vAlign w:val="center"/>
            <w:hideMark/>
          </w:tcPr>
          <w:p w14:paraId="5D7C142D"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1A339129" w14:textId="77777777" w:rsidTr="00E05368">
        <w:trPr>
          <w:trHeight w:val="1002"/>
        </w:trPr>
        <w:tc>
          <w:tcPr>
            <w:tcW w:w="692" w:type="pct"/>
            <w:tcBorders>
              <w:top w:val="nil"/>
              <w:left w:val="single" w:sz="4" w:space="0" w:color="auto"/>
              <w:bottom w:val="single" w:sz="4" w:space="0" w:color="auto"/>
              <w:right w:val="single" w:sz="4" w:space="0" w:color="auto"/>
            </w:tcBorders>
            <w:shd w:val="clear" w:color="auto" w:fill="auto"/>
            <w:vAlign w:val="center"/>
            <w:hideMark/>
          </w:tcPr>
          <w:p w14:paraId="4808C29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ENI</w:t>
            </w:r>
          </w:p>
        </w:tc>
        <w:tc>
          <w:tcPr>
            <w:tcW w:w="1836" w:type="pct"/>
            <w:tcBorders>
              <w:top w:val="nil"/>
              <w:left w:val="nil"/>
              <w:bottom w:val="single" w:sz="4" w:space="0" w:color="auto"/>
              <w:right w:val="single" w:sz="4" w:space="0" w:color="auto"/>
            </w:tcBorders>
            <w:shd w:val="clear" w:color="auto" w:fill="auto"/>
            <w:vAlign w:val="center"/>
            <w:hideMark/>
          </w:tcPr>
          <w:p w14:paraId="131CFE09"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Cooperation on cybercrime in the Southern Neighbourhood </w:t>
            </w:r>
            <w:r w:rsidRPr="00F456DB">
              <w:rPr>
                <w:rFonts w:eastAsia="Times New Roman" w:cs="Arial"/>
                <w:color w:val="000000"/>
                <w:szCs w:val="20"/>
                <w:lang w:eastAsia="fr-FR"/>
              </w:rPr>
              <w:t>Region - Cyber@South</w:t>
            </w:r>
          </w:p>
        </w:tc>
        <w:tc>
          <w:tcPr>
            <w:tcW w:w="421" w:type="pct"/>
            <w:tcBorders>
              <w:top w:val="nil"/>
              <w:left w:val="nil"/>
              <w:bottom w:val="single" w:sz="4" w:space="0" w:color="auto"/>
              <w:right w:val="single" w:sz="4" w:space="0" w:color="auto"/>
            </w:tcBorders>
            <w:shd w:val="clear" w:color="auto" w:fill="auto"/>
            <w:vAlign w:val="center"/>
            <w:hideMark/>
          </w:tcPr>
          <w:p w14:paraId="5A4A4C13"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01/07/2017</w:t>
            </w:r>
          </w:p>
        </w:tc>
        <w:tc>
          <w:tcPr>
            <w:tcW w:w="376" w:type="pct"/>
            <w:tcBorders>
              <w:top w:val="nil"/>
              <w:left w:val="nil"/>
              <w:bottom w:val="single" w:sz="4" w:space="0" w:color="auto"/>
              <w:right w:val="single" w:sz="4" w:space="0" w:color="auto"/>
            </w:tcBorders>
            <w:shd w:val="clear" w:color="auto" w:fill="auto"/>
            <w:vAlign w:val="center"/>
            <w:hideMark/>
          </w:tcPr>
          <w:p w14:paraId="6F55669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31/12/2023</w:t>
            </w:r>
          </w:p>
        </w:tc>
        <w:tc>
          <w:tcPr>
            <w:tcW w:w="560" w:type="pct"/>
            <w:tcBorders>
              <w:top w:val="nil"/>
              <w:left w:val="nil"/>
              <w:bottom w:val="single" w:sz="4" w:space="0" w:color="auto"/>
              <w:right w:val="single" w:sz="4" w:space="0" w:color="auto"/>
            </w:tcBorders>
            <w:shd w:val="clear" w:color="auto" w:fill="auto"/>
            <w:vAlign w:val="center"/>
            <w:hideMark/>
          </w:tcPr>
          <w:p w14:paraId="3A4CB79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5 005 000.00</w:t>
            </w:r>
          </w:p>
        </w:tc>
        <w:tc>
          <w:tcPr>
            <w:tcW w:w="547" w:type="pct"/>
            <w:tcBorders>
              <w:top w:val="nil"/>
              <w:left w:val="nil"/>
              <w:bottom w:val="single" w:sz="4" w:space="0" w:color="auto"/>
              <w:right w:val="single" w:sz="4" w:space="0" w:color="auto"/>
            </w:tcBorders>
            <w:shd w:val="clear" w:color="auto" w:fill="auto"/>
            <w:vAlign w:val="center"/>
            <w:hideMark/>
          </w:tcPr>
          <w:p w14:paraId="2C2B2F4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4 500 000.00</w:t>
            </w:r>
          </w:p>
        </w:tc>
        <w:tc>
          <w:tcPr>
            <w:tcW w:w="568" w:type="pct"/>
            <w:tcBorders>
              <w:top w:val="nil"/>
              <w:left w:val="nil"/>
              <w:bottom w:val="single" w:sz="4" w:space="0" w:color="auto"/>
              <w:right w:val="single" w:sz="4" w:space="0" w:color="auto"/>
            </w:tcBorders>
            <w:shd w:val="clear" w:color="auto" w:fill="auto"/>
            <w:vAlign w:val="center"/>
            <w:hideMark/>
          </w:tcPr>
          <w:p w14:paraId="0FC1D5CB"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505 000.00</w:t>
            </w:r>
          </w:p>
        </w:tc>
      </w:tr>
      <w:tr w:rsidR="008E74B8" w:rsidRPr="00B71AFB" w14:paraId="59753E73"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47F27"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NDICI</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EC9EC"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Regional Support to Reinforce Human Rights, Rule of Law</w:t>
            </w:r>
            <w:r w:rsidRPr="00B71AFB">
              <w:rPr>
                <w:rFonts w:eastAsia="Times New Roman" w:cs="Arial"/>
                <w:color w:val="000000"/>
                <w:szCs w:val="20"/>
                <w:lang w:eastAsia="fr-FR"/>
              </w:rPr>
              <w:br/>
              <w:t>and Democracy in the Southern Mediterranean (South Programme V)</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5128A"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01/09/2022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50DA1"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31/08/2025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896A0"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5 556 000.00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780B8"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5 000 000.00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1F1C7"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556 000.00</w:t>
            </w:r>
          </w:p>
        </w:tc>
      </w:tr>
      <w:tr w:rsidR="008E74B8" w:rsidRPr="00B71AFB" w14:paraId="260C7EFD" w14:textId="77777777" w:rsidTr="00E05368">
        <w:trPr>
          <w:trHeight w:val="1002"/>
        </w:trPr>
        <w:tc>
          <w:tcPr>
            <w:tcW w:w="2528" w:type="pct"/>
            <w:gridSpan w:val="2"/>
            <w:tcBorders>
              <w:top w:val="single" w:sz="4" w:space="0" w:color="auto"/>
              <w:left w:val="single" w:sz="4" w:space="0" w:color="auto"/>
              <w:bottom w:val="single" w:sz="4" w:space="0" w:color="auto"/>
              <w:right w:val="nil"/>
            </w:tcBorders>
            <w:shd w:val="clear" w:color="000000" w:fill="5B9BD5"/>
            <w:noWrap/>
            <w:vAlign w:val="center"/>
            <w:hideMark/>
          </w:tcPr>
          <w:p w14:paraId="01E9B5D8"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xml:space="preserve">Non-member States/Central Asia </w:t>
            </w:r>
          </w:p>
        </w:tc>
        <w:tc>
          <w:tcPr>
            <w:tcW w:w="421" w:type="pct"/>
            <w:tcBorders>
              <w:top w:val="nil"/>
              <w:left w:val="nil"/>
              <w:bottom w:val="single" w:sz="4" w:space="0" w:color="auto"/>
              <w:right w:val="nil"/>
            </w:tcBorders>
            <w:shd w:val="clear" w:color="000000" w:fill="5B9BD5"/>
            <w:noWrap/>
            <w:vAlign w:val="center"/>
            <w:hideMark/>
          </w:tcPr>
          <w:p w14:paraId="7DF1E0CE"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376" w:type="pct"/>
            <w:tcBorders>
              <w:top w:val="nil"/>
              <w:left w:val="nil"/>
              <w:bottom w:val="single" w:sz="4" w:space="0" w:color="auto"/>
              <w:right w:val="nil"/>
            </w:tcBorders>
            <w:shd w:val="clear" w:color="000000" w:fill="5B9BD5"/>
            <w:noWrap/>
            <w:vAlign w:val="center"/>
            <w:hideMark/>
          </w:tcPr>
          <w:p w14:paraId="434A27AA"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0" w:type="pct"/>
            <w:tcBorders>
              <w:top w:val="nil"/>
              <w:left w:val="nil"/>
              <w:bottom w:val="single" w:sz="4" w:space="0" w:color="auto"/>
              <w:right w:val="nil"/>
            </w:tcBorders>
            <w:shd w:val="clear" w:color="000000" w:fill="5B9BD5"/>
            <w:noWrap/>
            <w:vAlign w:val="center"/>
            <w:hideMark/>
          </w:tcPr>
          <w:p w14:paraId="0EE073A9"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47" w:type="pct"/>
            <w:tcBorders>
              <w:top w:val="nil"/>
              <w:left w:val="nil"/>
              <w:bottom w:val="single" w:sz="4" w:space="0" w:color="auto"/>
              <w:right w:val="nil"/>
            </w:tcBorders>
            <w:shd w:val="clear" w:color="000000" w:fill="5B9BD5"/>
            <w:noWrap/>
            <w:vAlign w:val="center"/>
            <w:hideMark/>
          </w:tcPr>
          <w:p w14:paraId="53C1D822"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c>
          <w:tcPr>
            <w:tcW w:w="568" w:type="pct"/>
            <w:tcBorders>
              <w:top w:val="nil"/>
              <w:left w:val="nil"/>
              <w:bottom w:val="single" w:sz="4" w:space="0" w:color="auto"/>
              <w:right w:val="single" w:sz="4" w:space="0" w:color="auto"/>
            </w:tcBorders>
            <w:shd w:val="clear" w:color="000000" w:fill="5B9BD5"/>
            <w:noWrap/>
            <w:vAlign w:val="center"/>
            <w:hideMark/>
          </w:tcPr>
          <w:p w14:paraId="4E8D83F7" w14:textId="77777777" w:rsidR="008E74B8" w:rsidRPr="00B71AFB" w:rsidRDefault="008E74B8" w:rsidP="00E05368">
            <w:pPr>
              <w:rPr>
                <w:rFonts w:eastAsia="Times New Roman" w:cs="Arial"/>
                <w:b/>
                <w:bCs/>
                <w:color w:val="000000"/>
                <w:szCs w:val="20"/>
                <w:lang w:eastAsia="fr-FR"/>
              </w:rPr>
            </w:pPr>
            <w:r w:rsidRPr="00B71AFB">
              <w:rPr>
                <w:rFonts w:eastAsia="Times New Roman" w:cs="Arial"/>
                <w:b/>
                <w:bCs/>
                <w:color w:val="000000"/>
                <w:szCs w:val="20"/>
                <w:lang w:eastAsia="fr-FR"/>
              </w:rPr>
              <w:t> </w:t>
            </w:r>
          </w:p>
        </w:tc>
      </w:tr>
      <w:tr w:rsidR="008E74B8" w:rsidRPr="00B71AFB" w14:paraId="4D6E0A24" w14:textId="77777777" w:rsidTr="00E05368">
        <w:trPr>
          <w:trHeight w:val="1002"/>
        </w:trPr>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064BC"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DCI</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5C50" w14:textId="77777777" w:rsidR="008E74B8" w:rsidRPr="00B71AFB" w:rsidRDefault="008E74B8" w:rsidP="00E05368">
            <w:pPr>
              <w:rPr>
                <w:rFonts w:eastAsia="Times New Roman" w:cs="Arial"/>
                <w:color w:val="000000"/>
                <w:szCs w:val="20"/>
                <w:lang w:eastAsia="fr-FR"/>
              </w:rPr>
            </w:pPr>
            <w:r w:rsidRPr="00B71AFB">
              <w:rPr>
                <w:rFonts w:eastAsia="Times New Roman" w:cs="Arial"/>
                <w:color w:val="000000"/>
                <w:szCs w:val="20"/>
                <w:lang w:eastAsia="fr-FR"/>
              </w:rPr>
              <w:t xml:space="preserve">Rule of Law Programme </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31EA4"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02/01/2020</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B282F" w14:textId="77777777" w:rsidR="008E74B8" w:rsidRPr="00B71AFB" w:rsidRDefault="008E74B8" w:rsidP="00E05368">
            <w:pPr>
              <w:jc w:val="center"/>
              <w:rPr>
                <w:rFonts w:eastAsia="Times New Roman" w:cs="Arial"/>
                <w:color w:val="000000"/>
                <w:szCs w:val="20"/>
                <w:lang w:eastAsia="fr-FR"/>
              </w:rPr>
            </w:pPr>
            <w:r w:rsidRPr="00B71AFB">
              <w:rPr>
                <w:rFonts w:eastAsia="Times New Roman" w:cs="Arial"/>
                <w:color w:val="000000"/>
                <w:szCs w:val="20"/>
                <w:lang w:eastAsia="fr-FR"/>
              </w:rPr>
              <w:t>30/06/2024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416C2A"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8 888 824.03</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F5FF9"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8 000 000.00</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1AFB2" w14:textId="77777777" w:rsidR="008E74B8" w:rsidRPr="00B71AFB" w:rsidRDefault="008E74B8" w:rsidP="00E05368">
            <w:pPr>
              <w:jc w:val="right"/>
              <w:rPr>
                <w:rFonts w:eastAsia="Times New Roman" w:cs="Arial"/>
                <w:color w:val="000000"/>
                <w:szCs w:val="20"/>
                <w:lang w:eastAsia="fr-FR"/>
              </w:rPr>
            </w:pPr>
            <w:r w:rsidRPr="00B71AFB">
              <w:rPr>
                <w:rFonts w:eastAsia="Times New Roman" w:cs="Arial"/>
                <w:color w:val="000000"/>
                <w:szCs w:val="20"/>
                <w:lang w:eastAsia="fr-FR"/>
              </w:rPr>
              <w:t>888 824.03</w:t>
            </w:r>
          </w:p>
        </w:tc>
      </w:tr>
    </w:tbl>
    <w:p w14:paraId="1187F60D" w14:textId="77777777" w:rsidR="008E74B8" w:rsidRDefault="008E74B8" w:rsidP="008E74B8"/>
    <w:p w14:paraId="27F70493" w14:textId="77777777" w:rsidR="008E74B8" w:rsidRPr="000254B2" w:rsidRDefault="008E74B8" w:rsidP="008E74B8">
      <w:pPr>
        <w:spacing w:before="120" w:after="120" w:line="240" w:lineRule="atLeast"/>
        <w:rPr>
          <w:rFonts w:cs="Arial"/>
          <w:b/>
          <w:bCs/>
          <w:caps/>
          <w:szCs w:val="20"/>
        </w:rPr>
      </w:pPr>
    </w:p>
    <w:p w14:paraId="4A77498D" w14:textId="77777777" w:rsidR="008E74B8" w:rsidRDefault="008E74B8" w:rsidP="008E74B8">
      <w:pPr>
        <w:spacing w:before="120" w:after="120" w:line="240" w:lineRule="atLeast"/>
        <w:rPr>
          <w:rFonts w:cs="Arial"/>
          <w:b/>
          <w:bCs/>
          <w:caps/>
          <w:szCs w:val="20"/>
        </w:rPr>
      </w:pPr>
    </w:p>
    <w:p w14:paraId="5D4D915E" w14:textId="77777777" w:rsidR="008E74B8" w:rsidRDefault="008E74B8" w:rsidP="008E74B8">
      <w:pPr>
        <w:spacing w:before="120" w:after="120" w:line="240" w:lineRule="atLeast"/>
        <w:rPr>
          <w:rFonts w:cs="Arial"/>
          <w:b/>
          <w:bCs/>
          <w:caps/>
          <w:szCs w:val="20"/>
        </w:rPr>
      </w:pPr>
    </w:p>
    <w:p w14:paraId="03CEB99D" w14:textId="77777777" w:rsidR="008E74B8" w:rsidRDefault="008E74B8" w:rsidP="008E74B8">
      <w:pPr>
        <w:spacing w:before="120" w:after="120" w:line="240" w:lineRule="atLeast"/>
        <w:rPr>
          <w:rFonts w:cs="Arial"/>
          <w:b/>
          <w:bCs/>
          <w:caps/>
          <w:szCs w:val="20"/>
        </w:rPr>
      </w:pPr>
    </w:p>
    <w:p w14:paraId="2CB3762E" w14:textId="77777777" w:rsidR="008E74B8" w:rsidRDefault="008E74B8" w:rsidP="008E74B8">
      <w:pPr>
        <w:spacing w:before="120" w:after="120" w:line="240" w:lineRule="atLeast"/>
        <w:rPr>
          <w:rFonts w:cs="Arial"/>
          <w:b/>
          <w:bCs/>
          <w:caps/>
          <w:szCs w:val="20"/>
        </w:rPr>
      </w:pPr>
    </w:p>
    <w:p w14:paraId="7BC99AC0" w14:textId="77777777" w:rsidR="008E74B8" w:rsidRDefault="008E74B8" w:rsidP="008E74B8">
      <w:pPr>
        <w:spacing w:before="120" w:after="120" w:line="240" w:lineRule="atLeast"/>
        <w:rPr>
          <w:rFonts w:cs="Arial"/>
          <w:b/>
          <w:bCs/>
          <w:caps/>
          <w:szCs w:val="20"/>
        </w:rPr>
      </w:pPr>
    </w:p>
    <w:p w14:paraId="0042A201" w14:textId="77777777" w:rsidR="008E74B8" w:rsidRDefault="008E74B8" w:rsidP="008E74B8">
      <w:pPr>
        <w:spacing w:before="120" w:after="120" w:line="240" w:lineRule="atLeast"/>
        <w:rPr>
          <w:rFonts w:cs="Arial"/>
          <w:b/>
          <w:bCs/>
          <w:caps/>
          <w:szCs w:val="20"/>
        </w:rPr>
      </w:pPr>
    </w:p>
    <w:p w14:paraId="174DA35C" w14:textId="77777777" w:rsidR="008E74B8" w:rsidRDefault="008E74B8" w:rsidP="008E74B8">
      <w:pPr>
        <w:spacing w:before="120" w:after="120" w:line="240" w:lineRule="atLeast"/>
        <w:rPr>
          <w:rFonts w:cs="Arial"/>
          <w:b/>
          <w:bCs/>
          <w:caps/>
          <w:szCs w:val="20"/>
        </w:rPr>
      </w:pPr>
    </w:p>
    <w:p w14:paraId="1880AD3C" w14:textId="77777777" w:rsidR="008E74B8" w:rsidRPr="000254B2" w:rsidRDefault="008E74B8" w:rsidP="008E74B8">
      <w:pPr>
        <w:spacing w:before="120" w:after="120" w:line="240" w:lineRule="atLeast"/>
        <w:rPr>
          <w:rFonts w:cs="Arial"/>
          <w:b/>
          <w:bCs/>
          <w:caps/>
          <w:szCs w:val="20"/>
        </w:rPr>
      </w:pPr>
    </w:p>
    <w:p w14:paraId="6F4049C4" w14:textId="77777777" w:rsidR="008E74B8" w:rsidRDefault="008E74B8">
      <w:pPr>
        <w:rPr>
          <w:rFonts w:cs="Arial"/>
          <w:b/>
          <w:bCs/>
          <w:caps/>
          <w:szCs w:val="20"/>
        </w:rPr>
      </w:pPr>
      <w:r>
        <w:rPr>
          <w:rFonts w:cs="Arial"/>
          <w:b/>
          <w:bCs/>
          <w:caps/>
          <w:szCs w:val="20"/>
        </w:rPr>
        <w:br w:type="page"/>
      </w:r>
    </w:p>
    <w:p w14:paraId="79F8F964" w14:textId="4EE62C5A" w:rsidR="008E74B8" w:rsidRPr="000254B2" w:rsidRDefault="008E74B8" w:rsidP="008E74B8">
      <w:pPr>
        <w:spacing w:before="120" w:after="120" w:line="240" w:lineRule="atLeast"/>
        <w:rPr>
          <w:rFonts w:cs="Arial"/>
          <w:b/>
          <w:bCs/>
          <w:caps/>
          <w:szCs w:val="20"/>
        </w:rPr>
      </w:pPr>
      <w:r w:rsidRPr="000254B2">
        <w:rPr>
          <w:rFonts w:cs="Arial"/>
          <w:b/>
          <w:bCs/>
          <w:caps/>
          <w:szCs w:val="20"/>
        </w:rPr>
        <w:t>Appendix II. Joint Programmes signed in 202</w:t>
      </w:r>
      <w:r>
        <w:rPr>
          <w:rFonts w:cs="Arial"/>
          <w:b/>
          <w:bCs/>
          <w:caps/>
          <w:szCs w:val="20"/>
        </w:rPr>
        <w:t>3</w:t>
      </w:r>
    </w:p>
    <w:p w14:paraId="5F845D99" w14:textId="77777777" w:rsidR="008E74B8" w:rsidRPr="000254B2" w:rsidRDefault="008E74B8" w:rsidP="008E74B8">
      <w:pPr>
        <w:spacing w:before="120" w:after="120" w:line="240" w:lineRule="atLeast"/>
        <w:rPr>
          <w:rFonts w:cs="Arial"/>
          <w:b/>
          <w:bCs/>
          <w:caps/>
          <w:szCs w:val="20"/>
        </w:rPr>
      </w:pPr>
    </w:p>
    <w:tbl>
      <w:tblPr>
        <w:tblW w:w="5000" w:type="pct"/>
        <w:tblCellMar>
          <w:left w:w="70" w:type="dxa"/>
          <w:right w:w="70" w:type="dxa"/>
        </w:tblCellMar>
        <w:tblLook w:val="04A0" w:firstRow="1" w:lastRow="0" w:firstColumn="1" w:lastColumn="0" w:noHBand="0" w:noVBand="1"/>
      </w:tblPr>
      <w:tblGrid>
        <w:gridCol w:w="1174"/>
        <w:gridCol w:w="5493"/>
        <w:gridCol w:w="1141"/>
        <w:gridCol w:w="1387"/>
        <w:gridCol w:w="1387"/>
        <w:gridCol w:w="1421"/>
        <w:gridCol w:w="1638"/>
        <w:gridCol w:w="1638"/>
      </w:tblGrid>
      <w:tr w:rsidR="008E74B8" w:rsidRPr="00FB5644" w14:paraId="1A04F36C" w14:textId="77777777" w:rsidTr="00F456DB">
        <w:trPr>
          <w:trHeight w:val="1002"/>
        </w:trPr>
        <w:tc>
          <w:tcPr>
            <w:tcW w:w="384"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7407A28D"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 xml:space="preserve">Financing instrument </w:t>
            </w:r>
          </w:p>
        </w:tc>
        <w:tc>
          <w:tcPr>
            <w:tcW w:w="1798" w:type="pct"/>
            <w:tcBorders>
              <w:top w:val="single" w:sz="4" w:space="0" w:color="auto"/>
              <w:left w:val="nil"/>
              <w:bottom w:val="single" w:sz="4" w:space="0" w:color="auto"/>
              <w:right w:val="single" w:sz="4" w:space="0" w:color="auto"/>
            </w:tcBorders>
            <w:shd w:val="clear" w:color="000000" w:fill="92D050"/>
            <w:vAlign w:val="center"/>
            <w:hideMark/>
          </w:tcPr>
          <w:p w14:paraId="63F3F19C"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Contract title</w:t>
            </w:r>
          </w:p>
        </w:tc>
        <w:tc>
          <w:tcPr>
            <w:tcW w:w="373" w:type="pct"/>
            <w:tcBorders>
              <w:top w:val="single" w:sz="4" w:space="0" w:color="auto"/>
              <w:left w:val="nil"/>
              <w:bottom w:val="single" w:sz="4" w:space="0" w:color="auto"/>
              <w:right w:val="single" w:sz="4" w:space="0" w:color="auto"/>
            </w:tcBorders>
            <w:shd w:val="clear" w:color="000000" w:fill="92D050"/>
            <w:vAlign w:val="center"/>
            <w:hideMark/>
          </w:tcPr>
          <w:p w14:paraId="2088C737"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Date of signature</w:t>
            </w:r>
          </w:p>
        </w:tc>
        <w:tc>
          <w:tcPr>
            <w:tcW w:w="454" w:type="pct"/>
            <w:tcBorders>
              <w:top w:val="single" w:sz="4" w:space="0" w:color="auto"/>
              <w:left w:val="nil"/>
              <w:bottom w:val="single" w:sz="4" w:space="0" w:color="auto"/>
              <w:right w:val="single" w:sz="4" w:space="0" w:color="auto"/>
            </w:tcBorders>
            <w:shd w:val="clear" w:color="000000" w:fill="92D050"/>
            <w:vAlign w:val="center"/>
            <w:hideMark/>
          </w:tcPr>
          <w:p w14:paraId="3A4F3EC8"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Start date of covenant</w:t>
            </w:r>
          </w:p>
        </w:tc>
        <w:tc>
          <w:tcPr>
            <w:tcW w:w="454" w:type="pct"/>
            <w:tcBorders>
              <w:top w:val="single" w:sz="4" w:space="0" w:color="auto"/>
              <w:left w:val="nil"/>
              <w:bottom w:val="single" w:sz="4" w:space="0" w:color="auto"/>
              <w:right w:val="single" w:sz="4" w:space="0" w:color="auto"/>
            </w:tcBorders>
            <w:shd w:val="clear" w:color="000000" w:fill="92D050"/>
            <w:vAlign w:val="center"/>
            <w:hideMark/>
          </w:tcPr>
          <w:p w14:paraId="0D28422C"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End date of covenant</w:t>
            </w:r>
          </w:p>
        </w:tc>
        <w:tc>
          <w:tcPr>
            <w:tcW w:w="465" w:type="pct"/>
            <w:tcBorders>
              <w:top w:val="single" w:sz="4" w:space="0" w:color="auto"/>
              <w:left w:val="nil"/>
              <w:bottom w:val="single" w:sz="4" w:space="0" w:color="auto"/>
              <w:right w:val="single" w:sz="4" w:space="0" w:color="auto"/>
            </w:tcBorders>
            <w:shd w:val="clear" w:color="000000" w:fill="92D050"/>
            <w:vAlign w:val="center"/>
            <w:hideMark/>
          </w:tcPr>
          <w:p w14:paraId="5C7F3859"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Total programme envelope in €</w:t>
            </w:r>
          </w:p>
        </w:tc>
        <w:tc>
          <w:tcPr>
            <w:tcW w:w="536" w:type="pct"/>
            <w:tcBorders>
              <w:top w:val="single" w:sz="4" w:space="0" w:color="auto"/>
              <w:left w:val="nil"/>
              <w:bottom w:val="single" w:sz="4" w:space="0" w:color="auto"/>
              <w:right w:val="single" w:sz="4" w:space="0" w:color="auto"/>
            </w:tcBorders>
            <w:shd w:val="clear" w:color="000000" w:fill="92D050"/>
            <w:vAlign w:val="center"/>
            <w:hideMark/>
          </w:tcPr>
          <w:p w14:paraId="17A1882D"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Contribution of the European Union in €</w:t>
            </w:r>
          </w:p>
        </w:tc>
        <w:tc>
          <w:tcPr>
            <w:tcW w:w="536" w:type="pct"/>
            <w:tcBorders>
              <w:top w:val="single" w:sz="4" w:space="0" w:color="auto"/>
              <w:left w:val="nil"/>
              <w:bottom w:val="single" w:sz="4" w:space="0" w:color="auto"/>
              <w:right w:val="single" w:sz="4" w:space="0" w:color="auto"/>
            </w:tcBorders>
            <w:shd w:val="clear" w:color="000000" w:fill="92D050"/>
            <w:vAlign w:val="center"/>
            <w:hideMark/>
          </w:tcPr>
          <w:p w14:paraId="2AF1D1A8" w14:textId="77777777" w:rsidR="008E74B8" w:rsidRPr="00FB5644" w:rsidRDefault="008E74B8" w:rsidP="00E05368">
            <w:pPr>
              <w:jc w:val="center"/>
              <w:rPr>
                <w:rFonts w:eastAsia="Times New Roman" w:cs="Arial"/>
                <w:b/>
                <w:bCs/>
                <w:color w:val="000000"/>
                <w:szCs w:val="20"/>
                <w:lang w:eastAsia="fr-FR"/>
              </w:rPr>
            </w:pPr>
            <w:r w:rsidRPr="00FB5644">
              <w:rPr>
                <w:rFonts w:eastAsia="Times New Roman" w:cs="Arial"/>
                <w:b/>
                <w:bCs/>
                <w:color w:val="000000"/>
                <w:szCs w:val="20"/>
                <w:lang w:eastAsia="fr-FR"/>
              </w:rPr>
              <w:t>Contribution of the Council of Europe in €</w:t>
            </w:r>
          </w:p>
        </w:tc>
      </w:tr>
      <w:tr w:rsidR="008E74B8" w:rsidRPr="00FB5644" w14:paraId="050405B7"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4AFB4476"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NDICI</w:t>
            </w:r>
          </w:p>
        </w:tc>
        <w:tc>
          <w:tcPr>
            <w:tcW w:w="1798" w:type="pct"/>
            <w:tcBorders>
              <w:top w:val="nil"/>
              <w:left w:val="nil"/>
              <w:bottom w:val="single" w:sz="4" w:space="0" w:color="auto"/>
              <w:right w:val="single" w:sz="4" w:space="0" w:color="auto"/>
            </w:tcBorders>
            <w:shd w:val="clear" w:color="auto" w:fill="auto"/>
            <w:vAlign w:val="center"/>
            <w:hideMark/>
          </w:tcPr>
          <w:p w14:paraId="247E2E9F"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Partnership for Good Governance - Phase III</w:t>
            </w:r>
          </w:p>
        </w:tc>
        <w:tc>
          <w:tcPr>
            <w:tcW w:w="373" w:type="pct"/>
            <w:tcBorders>
              <w:top w:val="nil"/>
              <w:left w:val="nil"/>
              <w:bottom w:val="single" w:sz="4" w:space="0" w:color="auto"/>
              <w:right w:val="single" w:sz="4" w:space="0" w:color="auto"/>
            </w:tcBorders>
            <w:shd w:val="clear" w:color="auto" w:fill="auto"/>
            <w:vAlign w:val="center"/>
            <w:hideMark/>
          </w:tcPr>
          <w:p w14:paraId="17CF55BE"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27/02/2023</w:t>
            </w:r>
          </w:p>
        </w:tc>
        <w:tc>
          <w:tcPr>
            <w:tcW w:w="454" w:type="pct"/>
            <w:tcBorders>
              <w:top w:val="nil"/>
              <w:left w:val="nil"/>
              <w:bottom w:val="single" w:sz="4" w:space="0" w:color="auto"/>
              <w:right w:val="single" w:sz="4" w:space="0" w:color="auto"/>
            </w:tcBorders>
            <w:shd w:val="clear" w:color="auto" w:fill="auto"/>
            <w:vAlign w:val="center"/>
            <w:hideMark/>
          </w:tcPr>
          <w:p w14:paraId="0819148C"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01/03/2023</w:t>
            </w:r>
          </w:p>
        </w:tc>
        <w:tc>
          <w:tcPr>
            <w:tcW w:w="454" w:type="pct"/>
            <w:tcBorders>
              <w:top w:val="nil"/>
              <w:left w:val="nil"/>
              <w:bottom w:val="single" w:sz="4" w:space="0" w:color="auto"/>
              <w:right w:val="single" w:sz="4" w:space="0" w:color="auto"/>
            </w:tcBorders>
            <w:shd w:val="clear" w:color="auto" w:fill="auto"/>
            <w:vAlign w:val="center"/>
            <w:hideMark/>
          </w:tcPr>
          <w:p w14:paraId="4535ED0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28/02/2027</w:t>
            </w:r>
          </w:p>
        </w:tc>
        <w:tc>
          <w:tcPr>
            <w:tcW w:w="465" w:type="pct"/>
            <w:tcBorders>
              <w:top w:val="nil"/>
              <w:left w:val="nil"/>
              <w:bottom w:val="single" w:sz="4" w:space="0" w:color="auto"/>
              <w:right w:val="single" w:sz="4" w:space="0" w:color="auto"/>
            </w:tcBorders>
            <w:shd w:val="clear" w:color="auto" w:fill="auto"/>
            <w:vAlign w:val="center"/>
            <w:hideMark/>
          </w:tcPr>
          <w:p w14:paraId="40D28819"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19 300 000.00</w:t>
            </w:r>
          </w:p>
        </w:tc>
        <w:tc>
          <w:tcPr>
            <w:tcW w:w="536" w:type="pct"/>
            <w:tcBorders>
              <w:top w:val="nil"/>
              <w:left w:val="nil"/>
              <w:bottom w:val="single" w:sz="4" w:space="0" w:color="auto"/>
              <w:right w:val="single" w:sz="4" w:space="0" w:color="auto"/>
            </w:tcBorders>
            <w:shd w:val="clear" w:color="auto" w:fill="auto"/>
            <w:vAlign w:val="center"/>
            <w:hideMark/>
          </w:tcPr>
          <w:p w14:paraId="67BBF22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15 000 000.00</w:t>
            </w:r>
          </w:p>
        </w:tc>
        <w:tc>
          <w:tcPr>
            <w:tcW w:w="536" w:type="pct"/>
            <w:tcBorders>
              <w:top w:val="nil"/>
              <w:left w:val="nil"/>
              <w:bottom w:val="single" w:sz="4" w:space="0" w:color="auto"/>
              <w:right w:val="single" w:sz="4" w:space="0" w:color="auto"/>
            </w:tcBorders>
            <w:shd w:val="clear" w:color="auto" w:fill="auto"/>
            <w:vAlign w:val="center"/>
            <w:hideMark/>
          </w:tcPr>
          <w:p w14:paraId="3045E8E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4 300 000.00</w:t>
            </w:r>
          </w:p>
        </w:tc>
      </w:tr>
      <w:tr w:rsidR="008E74B8" w:rsidRPr="00FB5644" w14:paraId="6743C5D4"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065BE84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NDICI</w:t>
            </w:r>
          </w:p>
        </w:tc>
        <w:tc>
          <w:tcPr>
            <w:tcW w:w="1798" w:type="pct"/>
            <w:tcBorders>
              <w:top w:val="nil"/>
              <w:left w:val="nil"/>
              <w:bottom w:val="single" w:sz="4" w:space="0" w:color="auto"/>
              <w:right w:val="single" w:sz="4" w:space="0" w:color="auto"/>
            </w:tcBorders>
            <w:shd w:val="clear" w:color="auto" w:fill="auto"/>
            <w:vAlign w:val="center"/>
            <w:hideMark/>
          </w:tcPr>
          <w:p w14:paraId="0EEA47AE"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to the Justice Reform in the Republic of Moldova</w:t>
            </w:r>
          </w:p>
        </w:tc>
        <w:tc>
          <w:tcPr>
            <w:tcW w:w="373" w:type="pct"/>
            <w:tcBorders>
              <w:top w:val="nil"/>
              <w:left w:val="nil"/>
              <w:bottom w:val="single" w:sz="4" w:space="0" w:color="auto"/>
              <w:right w:val="single" w:sz="4" w:space="0" w:color="auto"/>
            </w:tcBorders>
            <w:shd w:val="clear" w:color="auto" w:fill="auto"/>
            <w:noWrap/>
            <w:vAlign w:val="center"/>
            <w:hideMark/>
          </w:tcPr>
          <w:p w14:paraId="4CCCA2EB"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26/05/2023</w:t>
            </w:r>
          </w:p>
        </w:tc>
        <w:tc>
          <w:tcPr>
            <w:tcW w:w="454" w:type="pct"/>
            <w:tcBorders>
              <w:top w:val="nil"/>
              <w:left w:val="nil"/>
              <w:bottom w:val="single" w:sz="4" w:space="0" w:color="auto"/>
              <w:right w:val="single" w:sz="4" w:space="0" w:color="auto"/>
            </w:tcBorders>
            <w:shd w:val="clear" w:color="auto" w:fill="auto"/>
            <w:noWrap/>
            <w:vAlign w:val="center"/>
            <w:hideMark/>
          </w:tcPr>
          <w:p w14:paraId="619300DD"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27/05/2023</w:t>
            </w:r>
          </w:p>
        </w:tc>
        <w:tc>
          <w:tcPr>
            <w:tcW w:w="454" w:type="pct"/>
            <w:tcBorders>
              <w:top w:val="nil"/>
              <w:left w:val="nil"/>
              <w:bottom w:val="single" w:sz="4" w:space="0" w:color="auto"/>
              <w:right w:val="single" w:sz="4" w:space="0" w:color="auto"/>
            </w:tcBorders>
            <w:shd w:val="clear" w:color="auto" w:fill="auto"/>
            <w:noWrap/>
            <w:vAlign w:val="center"/>
            <w:hideMark/>
          </w:tcPr>
          <w:p w14:paraId="5F9502EA"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26/11/2026</w:t>
            </w:r>
          </w:p>
        </w:tc>
        <w:tc>
          <w:tcPr>
            <w:tcW w:w="465" w:type="pct"/>
            <w:tcBorders>
              <w:top w:val="nil"/>
              <w:left w:val="nil"/>
              <w:bottom w:val="single" w:sz="4" w:space="0" w:color="auto"/>
              <w:right w:val="single" w:sz="4" w:space="0" w:color="auto"/>
            </w:tcBorders>
            <w:shd w:val="clear" w:color="auto" w:fill="auto"/>
            <w:noWrap/>
            <w:vAlign w:val="center"/>
            <w:hideMark/>
          </w:tcPr>
          <w:p w14:paraId="729DA2AC"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2 700 000.00</w:t>
            </w:r>
          </w:p>
        </w:tc>
        <w:tc>
          <w:tcPr>
            <w:tcW w:w="536" w:type="pct"/>
            <w:tcBorders>
              <w:top w:val="nil"/>
              <w:left w:val="nil"/>
              <w:bottom w:val="single" w:sz="4" w:space="0" w:color="auto"/>
              <w:right w:val="single" w:sz="4" w:space="0" w:color="auto"/>
            </w:tcBorders>
            <w:shd w:val="clear" w:color="auto" w:fill="auto"/>
            <w:noWrap/>
            <w:vAlign w:val="center"/>
            <w:hideMark/>
          </w:tcPr>
          <w:p w14:paraId="24768E4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2 430 000.00</w:t>
            </w:r>
          </w:p>
        </w:tc>
        <w:tc>
          <w:tcPr>
            <w:tcW w:w="536" w:type="pct"/>
            <w:tcBorders>
              <w:top w:val="nil"/>
              <w:left w:val="nil"/>
              <w:bottom w:val="single" w:sz="4" w:space="0" w:color="auto"/>
              <w:right w:val="single" w:sz="4" w:space="0" w:color="auto"/>
            </w:tcBorders>
            <w:shd w:val="clear" w:color="auto" w:fill="auto"/>
            <w:noWrap/>
            <w:vAlign w:val="center"/>
            <w:hideMark/>
          </w:tcPr>
          <w:p w14:paraId="733C317F"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270 000.00</w:t>
            </w:r>
          </w:p>
        </w:tc>
      </w:tr>
      <w:tr w:rsidR="008E74B8" w:rsidRPr="00FB5644" w14:paraId="6D2BE8BF"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2E09370D"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CERV</w:t>
            </w:r>
          </w:p>
        </w:tc>
        <w:tc>
          <w:tcPr>
            <w:tcW w:w="1798" w:type="pct"/>
            <w:tcBorders>
              <w:top w:val="nil"/>
              <w:left w:val="nil"/>
              <w:bottom w:val="single" w:sz="4" w:space="0" w:color="auto"/>
              <w:right w:val="single" w:sz="4" w:space="0" w:color="auto"/>
            </w:tcBorders>
            <w:shd w:val="clear" w:color="auto" w:fill="auto"/>
            <w:vAlign w:val="center"/>
            <w:hideMark/>
          </w:tcPr>
          <w:p w14:paraId="3291A9D1"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Increasing civil society organisations’ knowledge and capacity to tackle hate speech online</w:t>
            </w:r>
          </w:p>
        </w:tc>
        <w:tc>
          <w:tcPr>
            <w:tcW w:w="373" w:type="pct"/>
            <w:tcBorders>
              <w:top w:val="nil"/>
              <w:left w:val="nil"/>
              <w:bottom w:val="single" w:sz="4" w:space="0" w:color="auto"/>
              <w:right w:val="single" w:sz="4" w:space="0" w:color="auto"/>
            </w:tcBorders>
            <w:shd w:val="clear" w:color="auto" w:fill="auto"/>
            <w:noWrap/>
            <w:vAlign w:val="center"/>
            <w:hideMark/>
          </w:tcPr>
          <w:p w14:paraId="192C845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26/06/2023</w:t>
            </w:r>
          </w:p>
        </w:tc>
        <w:tc>
          <w:tcPr>
            <w:tcW w:w="454" w:type="pct"/>
            <w:tcBorders>
              <w:top w:val="nil"/>
              <w:left w:val="nil"/>
              <w:bottom w:val="single" w:sz="4" w:space="0" w:color="auto"/>
              <w:right w:val="single" w:sz="4" w:space="0" w:color="auto"/>
            </w:tcBorders>
            <w:shd w:val="clear" w:color="auto" w:fill="auto"/>
            <w:noWrap/>
            <w:vAlign w:val="center"/>
            <w:hideMark/>
          </w:tcPr>
          <w:p w14:paraId="5BDD5657"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01/09/2023</w:t>
            </w:r>
          </w:p>
        </w:tc>
        <w:tc>
          <w:tcPr>
            <w:tcW w:w="454" w:type="pct"/>
            <w:tcBorders>
              <w:top w:val="nil"/>
              <w:left w:val="nil"/>
              <w:bottom w:val="single" w:sz="4" w:space="0" w:color="auto"/>
              <w:right w:val="single" w:sz="4" w:space="0" w:color="auto"/>
            </w:tcBorders>
            <w:shd w:val="clear" w:color="auto" w:fill="auto"/>
            <w:noWrap/>
            <w:vAlign w:val="center"/>
            <w:hideMark/>
          </w:tcPr>
          <w:p w14:paraId="554640EA"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31/12/2024</w:t>
            </w:r>
          </w:p>
        </w:tc>
        <w:tc>
          <w:tcPr>
            <w:tcW w:w="465" w:type="pct"/>
            <w:tcBorders>
              <w:top w:val="nil"/>
              <w:left w:val="nil"/>
              <w:bottom w:val="single" w:sz="4" w:space="0" w:color="auto"/>
              <w:right w:val="single" w:sz="4" w:space="0" w:color="auto"/>
            </w:tcBorders>
            <w:shd w:val="clear" w:color="auto" w:fill="auto"/>
            <w:noWrap/>
            <w:vAlign w:val="center"/>
            <w:hideMark/>
          </w:tcPr>
          <w:p w14:paraId="03352DC6"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223 000.00</w:t>
            </w:r>
          </w:p>
        </w:tc>
        <w:tc>
          <w:tcPr>
            <w:tcW w:w="536" w:type="pct"/>
            <w:tcBorders>
              <w:top w:val="nil"/>
              <w:left w:val="nil"/>
              <w:bottom w:val="single" w:sz="4" w:space="0" w:color="auto"/>
              <w:right w:val="single" w:sz="4" w:space="0" w:color="auto"/>
            </w:tcBorders>
            <w:shd w:val="clear" w:color="auto" w:fill="auto"/>
            <w:noWrap/>
            <w:vAlign w:val="center"/>
            <w:hideMark/>
          </w:tcPr>
          <w:p w14:paraId="2A29B376"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200 000.00</w:t>
            </w:r>
          </w:p>
        </w:tc>
        <w:tc>
          <w:tcPr>
            <w:tcW w:w="536" w:type="pct"/>
            <w:tcBorders>
              <w:top w:val="nil"/>
              <w:left w:val="nil"/>
              <w:bottom w:val="single" w:sz="4" w:space="0" w:color="auto"/>
              <w:right w:val="single" w:sz="4" w:space="0" w:color="auto"/>
            </w:tcBorders>
            <w:shd w:val="clear" w:color="auto" w:fill="auto"/>
            <w:noWrap/>
            <w:vAlign w:val="center"/>
            <w:hideMark/>
          </w:tcPr>
          <w:p w14:paraId="1CD687FE"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23 000.00</w:t>
            </w:r>
          </w:p>
        </w:tc>
      </w:tr>
      <w:tr w:rsidR="008E74B8" w:rsidRPr="00FB5644" w14:paraId="17821E65"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488CE08C"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ENI</w:t>
            </w:r>
          </w:p>
        </w:tc>
        <w:tc>
          <w:tcPr>
            <w:tcW w:w="1798" w:type="pct"/>
            <w:tcBorders>
              <w:top w:val="nil"/>
              <w:left w:val="nil"/>
              <w:bottom w:val="single" w:sz="4" w:space="0" w:color="auto"/>
              <w:right w:val="single" w:sz="4" w:space="0" w:color="auto"/>
            </w:tcBorders>
            <w:shd w:val="clear" w:color="auto" w:fill="auto"/>
            <w:vAlign w:val="center"/>
            <w:hideMark/>
          </w:tcPr>
          <w:p w14:paraId="5F8F29C2"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for implementing European standards relating to anti-discrimination and rights of national minorities in Ukraine</w:t>
            </w:r>
          </w:p>
        </w:tc>
        <w:tc>
          <w:tcPr>
            <w:tcW w:w="373" w:type="pct"/>
            <w:tcBorders>
              <w:top w:val="nil"/>
              <w:left w:val="nil"/>
              <w:bottom w:val="single" w:sz="4" w:space="0" w:color="auto"/>
              <w:right w:val="single" w:sz="4" w:space="0" w:color="auto"/>
            </w:tcBorders>
            <w:shd w:val="clear" w:color="auto" w:fill="auto"/>
            <w:noWrap/>
            <w:vAlign w:val="center"/>
            <w:hideMark/>
          </w:tcPr>
          <w:p w14:paraId="1241DB9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30/06/2023</w:t>
            </w:r>
          </w:p>
        </w:tc>
        <w:tc>
          <w:tcPr>
            <w:tcW w:w="454" w:type="pct"/>
            <w:tcBorders>
              <w:top w:val="nil"/>
              <w:left w:val="nil"/>
              <w:bottom w:val="single" w:sz="4" w:space="0" w:color="auto"/>
              <w:right w:val="single" w:sz="4" w:space="0" w:color="auto"/>
            </w:tcBorders>
            <w:shd w:val="clear" w:color="auto" w:fill="auto"/>
            <w:noWrap/>
            <w:vAlign w:val="center"/>
            <w:hideMark/>
          </w:tcPr>
          <w:p w14:paraId="0391B06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01/07/2023</w:t>
            </w:r>
          </w:p>
        </w:tc>
        <w:tc>
          <w:tcPr>
            <w:tcW w:w="454" w:type="pct"/>
            <w:tcBorders>
              <w:top w:val="nil"/>
              <w:left w:val="nil"/>
              <w:bottom w:val="single" w:sz="4" w:space="0" w:color="auto"/>
              <w:right w:val="single" w:sz="4" w:space="0" w:color="auto"/>
            </w:tcBorders>
            <w:shd w:val="clear" w:color="auto" w:fill="auto"/>
            <w:noWrap/>
            <w:vAlign w:val="center"/>
            <w:hideMark/>
          </w:tcPr>
          <w:p w14:paraId="07285D7F"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30/06/2026</w:t>
            </w:r>
          </w:p>
        </w:tc>
        <w:tc>
          <w:tcPr>
            <w:tcW w:w="465" w:type="pct"/>
            <w:tcBorders>
              <w:top w:val="nil"/>
              <w:left w:val="nil"/>
              <w:bottom w:val="single" w:sz="4" w:space="0" w:color="auto"/>
              <w:right w:val="single" w:sz="4" w:space="0" w:color="auto"/>
            </w:tcBorders>
            <w:shd w:val="clear" w:color="auto" w:fill="auto"/>
            <w:noWrap/>
            <w:vAlign w:val="center"/>
            <w:hideMark/>
          </w:tcPr>
          <w:p w14:paraId="329785F6"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1 999 997.00</w:t>
            </w:r>
          </w:p>
        </w:tc>
        <w:tc>
          <w:tcPr>
            <w:tcW w:w="536" w:type="pct"/>
            <w:tcBorders>
              <w:top w:val="nil"/>
              <w:left w:val="nil"/>
              <w:bottom w:val="single" w:sz="4" w:space="0" w:color="auto"/>
              <w:right w:val="single" w:sz="4" w:space="0" w:color="auto"/>
            </w:tcBorders>
            <w:shd w:val="clear" w:color="auto" w:fill="auto"/>
            <w:noWrap/>
            <w:vAlign w:val="center"/>
            <w:hideMark/>
          </w:tcPr>
          <w:p w14:paraId="79FB0A60"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1 800 000.00</w:t>
            </w:r>
          </w:p>
        </w:tc>
        <w:tc>
          <w:tcPr>
            <w:tcW w:w="536" w:type="pct"/>
            <w:tcBorders>
              <w:top w:val="nil"/>
              <w:left w:val="nil"/>
              <w:bottom w:val="single" w:sz="4" w:space="0" w:color="auto"/>
              <w:right w:val="single" w:sz="4" w:space="0" w:color="auto"/>
            </w:tcBorders>
            <w:shd w:val="clear" w:color="auto" w:fill="auto"/>
            <w:noWrap/>
            <w:vAlign w:val="center"/>
            <w:hideMark/>
          </w:tcPr>
          <w:p w14:paraId="2ECA072D"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199 997.00</w:t>
            </w:r>
          </w:p>
        </w:tc>
      </w:tr>
      <w:tr w:rsidR="008E74B8" w:rsidRPr="00FB5644" w14:paraId="5125E7D2" w14:textId="77777777" w:rsidTr="00F456DB">
        <w:trPr>
          <w:trHeight w:val="1020"/>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75D4C26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TSI</w:t>
            </w:r>
          </w:p>
        </w:tc>
        <w:tc>
          <w:tcPr>
            <w:tcW w:w="1798" w:type="pct"/>
            <w:tcBorders>
              <w:top w:val="nil"/>
              <w:left w:val="nil"/>
              <w:bottom w:val="single" w:sz="4" w:space="0" w:color="auto"/>
              <w:right w:val="single" w:sz="4" w:space="0" w:color="auto"/>
            </w:tcBorders>
            <w:shd w:val="clear" w:color="auto" w:fill="auto"/>
            <w:vAlign w:val="center"/>
            <w:hideMark/>
          </w:tcPr>
          <w:p w14:paraId="7E32248E"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to EU Member States in the implementation of reforms under the Technical Support Instrument 2023: Border and migration policies; Governance and public administration; Financial sector and access to finance</w:t>
            </w:r>
          </w:p>
        </w:tc>
        <w:tc>
          <w:tcPr>
            <w:tcW w:w="373" w:type="pct"/>
            <w:tcBorders>
              <w:top w:val="nil"/>
              <w:left w:val="nil"/>
              <w:bottom w:val="single" w:sz="4" w:space="0" w:color="auto"/>
              <w:right w:val="single" w:sz="4" w:space="0" w:color="auto"/>
            </w:tcBorders>
            <w:shd w:val="clear" w:color="auto" w:fill="auto"/>
            <w:noWrap/>
            <w:vAlign w:val="center"/>
            <w:hideMark/>
          </w:tcPr>
          <w:p w14:paraId="64B15EA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30/06/2023</w:t>
            </w:r>
          </w:p>
        </w:tc>
        <w:tc>
          <w:tcPr>
            <w:tcW w:w="454" w:type="pct"/>
            <w:tcBorders>
              <w:top w:val="nil"/>
              <w:left w:val="nil"/>
              <w:bottom w:val="single" w:sz="4" w:space="0" w:color="auto"/>
              <w:right w:val="single" w:sz="4" w:space="0" w:color="auto"/>
            </w:tcBorders>
            <w:shd w:val="clear" w:color="auto" w:fill="auto"/>
            <w:noWrap/>
            <w:vAlign w:val="center"/>
            <w:hideMark/>
          </w:tcPr>
          <w:p w14:paraId="0388613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01/07/2023</w:t>
            </w:r>
          </w:p>
        </w:tc>
        <w:tc>
          <w:tcPr>
            <w:tcW w:w="454" w:type="pct"/>
            <w:tcBorders>
              <w:top w:val="nil"/>
              <w:left w:val="nil"/>
              <w:bottom w:val="single" w:sz="4" w:space="0" w:color="auto"/>
              <w:right w:val="single" w:sz="4" w:space="0" w:color="auto"/>
            </w:tcBorders>
            <w:shd w:val="clear" w:color="auto" w:fill="auto"/>
            <w:noWrap/>
            <w:vAlign w:val="center"/>
            <w:hideMark/>
          </w:tcPr>
          <w:p w14:paraId="2206583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30/06/2026</w:t>
            </w:r>
          </w:p>
        </w:tc>
        <w:tc>
          <w:tcPr>
            <w:tcW w:w="465" w:type="pct"/>
            <w:tcBorders>
              <w:top w:val="nil"/>
              <w:left w:val="nil"/>
              <w:bottom w:val="single" w:sz="4" w:space="0" w:color="auto"/>
              <w:right w:val="single" w:sz="4" w:space="0" w:color="auto"/>
            </w:tcBorders>
            <w:shd w:val="clear" w:color="auto" w:fill="auto"/>
            <w:noWrap/>
            <w:vAlign w:val="center"/>
            <w:hideMark/>
          </w:tcPr>
          <w:p w14:paraId="6872282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5 000 000.00</w:t>
            </w:r>
          </w:p>
        </w:tc>
        <w:tc>
          <w:tcPr>
            <w:tcW w:w="536" w:type="pct"/>
            <w:tcBorders>
              <w:top w:val="nil"/>
              <w:left w:val="nil"/>
              <w:bottom w:val="single" w:sz="4" w:space="0" w:color="auto"/>
              <w:right w:val="single" w:sz="4" w:space="0" w:color="auto"/>
            </w:tcBorders>
            <w:shd w:val="clear" w:color="auto" w:fill="auto"/>
            <w:noWrap/>
            <w:vAlign w:val="center"/>
            <w:hideMark/>
          </w:tcPr>
          <w:p w14:paraId="7E7ACCD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4 500 000.00</w:t>
            </w:r>
          </w:p>
        </w:tc>
        <w:tc>
          <w:tcPr>
            <w:tcW w:w="536" w:type="pct"/>
            <w:tcBorders>
              <w:top w:val="nil"/>
              <w:left w:val="nil"/>
              <w:bottom w:val="single" w:sz="4" w:space="0" w:color="auto"/>
              <w:right w:val="single" w:sz="4" w:space="0" w:color="auto"/>
            </w:tcBorders>
            <w:shd w:val="clear" w:color="auto" w:fill="auto"/>
            <w:noWrap/>
            <w:vAlign w:val="center"/>
            <w:hideMark/>
          </w:tcPr>
          <w:p w14:paraId="48110CD3"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500 000.00</w:t>
            </w:r>
          </w:p>
        </w:tc>
      </w:tr>
      <w:tr w:rsidR="008E74B8" w:rsidRPr="00FB5644" w14:paraId="752FF8DA"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363B561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JUST</w:t>
            </w:r>
          </w:p>
        </w:tc>
        <w:tc>
          <w:tcPr>
            <w:tcW w:w="1798" w:type="pct"/>
            <w:tcBorders>
              <w:top w:val="nil"/>
              <w:left w:val="nil"/>
              <w:bottom w:val="single" w:sz="4" w:space="0" w:color="auto"/>
              <w:right w:val="single" w:sz="4" w:space="0" w:color="auto"/>
            </w:tcBorders>
            <w:shd w:val="clear" w:color="auto" w:fill="auto"/>
            <w:vAlign w:val="center"/>
            <w:hideMark/>
          </w:tcPr>
          <w:p w14:paraId="1D622199"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to Council of Europe for EU network of prison monitoring bodies</w:t>
            </w:r>
          </w:p>
        </w:tc>
        <w:tc>
          <w:tcPr>
            <w:tcW w:w="373" w:type="pct"/>
            <w:tcBorders>
              <w:top w:val="nil"/>
              <w:left w:val="nil"/>
              <w:bottom w:val="single" w:sz="4" w:space="0" w:color="auto"/>
              <w:right w:val="single" w:sz="4" w:space="0" w:color="auto"/>
            </w:tcBorders>
            <w:shd w:val="clear" w:color="auto" w:fill="auto"/>
            <w:noWrap/>
            <w:vAlign w:val="center"/>
            <w:hideMark/>
          </w:tcPr>
          <w:p w14:paraId="58AFA660"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20/07/2023</w:t>
            </w:r>
          </w:p>
        </w:tc>
        <w:tc>
          <w:tcPr>
            <w:tcW w:w="454" w:type="pct"/>
            <w:tcBorders>
              <w:top w:val="nil"/>
              <w:left w:val="nil"/>
              <w:bottom w:val="single" w:sz="4" w:space="0" w:color="auto"/>
              <w:right w:val="single" w:sz="4" w:space="0" w:color="auto"/>
            </w:tcBorders>
            <w:shd w:val="clear" w:color="auto" w:fill="auto"/>
            <w:noWrap/>
            <w:vAlign w:val="center"/>
            <w:hideMark/>
          </w:tcPr>
          <w:p w14:paraId="658E88C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21/07/2023</w:t>
            </w:r>
          </w:p>
        </w:tc>
        <w:tc>
          <w:tcPr>
            <w:tcW w:w="454" w:type="pct"/>
            <w:tcBorders>
              <w:top w:val="nil"/>
              <w:left w:val="nil"/>
              <w:bottom w:val="single" w:sz="4" w:space="0" w:color="auto"/>
              <w:right w:val="single" w:sz="4" w:space="0" w:color="auto"/>
            </w:tcBorders>
            <w:shd w:val="clear" w:color="auto" w:fill="auto"/>
            <w:noWrap/>
            <w:vAlign w:val="center"/>
            <w:hideMark/>
          </w:tcPr>
          <w:p w14:paraId="2821A38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20/07/2025</w:t>
            </w:r>
          </w:p>
        </w:tc>
        <w:tc>
          <w:tcPr>
            <w:tcW w:w="465" w:type="pct"/>
            <w:tcBorders>
              <w:top w:val="nil"/>
              <w:left w:val="nil"/>
              <w:bottom w:val="single" w:sz="4" w:space="0" w:color="auto"/>
              <w:right w:val="single" w:sz="4" w:space="0" w:color="auto"/>
            </w:tcBorders>
            <w:shd w:val="clear" w:color="auto" w:fill="auto"/>
            <w:noWrap/>
            <w:vAlign w:val="center"/>
            <w:hideMark/>
          </w:tcPr>
          <w:p w14:paraId="2D8AD067"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345 000.00</w:t>
            </w:r>
          </w:p>
        </w:tc>
        <w:tc>
          <w:tcPr>
            <w:tcW w:w="536" w:type="pct"/>
            <w:tcBorders>
              <w:top w:val="nil"/>
              <w:left w:val="nil"/>
              <w:bottom w:val="single" w:sz="4" w:space="0" w:color="auto"/>
              <w:right w:val="single" w:sz="4" w:space="0" w:color="auto"/>
            </w:tcBorders>
            <w:shd w:val="clear" w:color="auto" w:fill="auto"/>
            <w:noWrap/>
            <w:vAlign w:val="center"/>
            <w:hideMark/>
          </w:tcPr>
          <w:p w14:paraId="4169C3E7"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310 000.00</w:t>
            </w:r>
          </w:p>
        </w:tc>
        <w:tc>
          <w:tcPr>
            <w:tcW w:w="536" w:type="pct"/>
            <w:tcBorders>
              <w:top w:val="nil"/>
              <w:left w:val="nil"/>
              <w:bottom w:val="single" w:sz="4" w:space="0" w:color="auto"/>
              <w:right w:val="single" w:sz="4" w:space="0" w:color="auto"/>
            </w:tcBorders>
            <w:shd w:val="clear" w:color="auto" w:fill="auto"/>
            <w:noWrap/>
            <w:vAlign w:val="center"/>
            <w:hideMark/>
          </w:tcPr>
          <w:p w14:paraId="118D4F8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35 000.00</w:t>
            </w:r>
          </w:p>
        </w:tc>
      </w:tr>
      <w:tr w:rsidR="008E74B8" w:rsidRPr="00FB5644" w14:paraId="7F890CF6"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4C6AC01A"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CERV</w:t>
            </w:r>
          </w:p>
        </w:tc>
        <w:tc>
          <w:tcPr>
            <w:tcW w:w="1798" w:type="pct"/>
            <w:tcBorders>
              <w:top w:val="nil"/>
              <w:left w:val="nil"/>
              <w:bottom w:val="single" w:sz="4" w:space="0" w:color="auto"/>
              <w:right w:val="single" w:sz="4" w:space="0" w:color="auto"/>
            </w:tcBorders>
            <w:shd w:val="clear" w:color="auto" w:fill="auto"/>
            <w:vAlign w:val="center"/>
            <w:hideMark/>
          </w:tcPr>
          <w:p w14:paraId="3658777E"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Combating anti-LGBTIQ violence and hate speech and</w:t>
            </w:r>
            <w:r w:rsidRPr="00FB5644">
              <w:rPr>
                <w:rFonts w:eastAsia="Times New Roman" w:cs="Arial"/>
                <w:color w:val="000000"/>
                <w:szCs w:val="20"/>
                <w:lang w:eastAsia="fr-FR"/>
              </w:rPr>
              <w:br/>
              <w:t>strengthening awareness-raising and fact-based narratives about LGBTIQ persons</w:t>
            </w:r>
          </w:p>
        </w:tc>
        <w:tc>
          <w:tcPr>
            <w:tcW w:w="373" w:type="pct"/>
            <w:tcBorders>
              <w:top w:val="nil"/>
              <w:left w:val="nil"/>
              <w:bottom w:val="single" w:sz="4" w:space="0" w:color="auto"/>
              <w:right w:val="single" w:sz="4" w:space="0" w:color="auto"/>
            </w:tcBorders>
            <w:shd w:val="clear" w:color="auto" w:fill="auto"/>
            <w:noWrap/>
            <w:vAlign w:val="center"/>
            <w:hideMark/>
          </w:tcPr>
          <w:p w14:paraId="7AECF2A3"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03/11/2023</w:t>
            </w:r>
          </w:p>
        </w:tc>
        <w:tc>
          <w:tcPr>
            <w:tcW w:w="454" w:type="pct"/>
            <w:tcBorders>
              <w:top w:val="nil"/>
              <w:left w:val="nil"/>
              <w:bottom w:val="single" w:sz="4" w:space="0" w:color="auto"/>
              <w:right w:val="single" w:sz="4" w:space="0" w:color="auto"/>
            </w:tcBorders>
            <w:shd w:val="clear" w:color="auto" w:fill="auto"/>
            <w:noWrap/>
            <w:vAlign w:val="center"/>
            <w:hideMark/>
          </w:tcPr>
          <w:p w14:paraId="6F255D8F"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04/11/2023</w:t>
            </w:r>
          </w:p>
        </w:tc>
        <w:tc>
          <w:tcPr>
            <w:tcW w:w="454" w:type="pct"/>
            <w:tcBorders>
              <w:top w:val="nil"/>
              <w:left w:val="nil"/>
              <w:bottom w:val="single" w:sz="4" w:space="0" w:color="auto"/>
              <w:right w:val="single" w:sz="4" w:space="0" w:color="auto"/>
            </w:tcBorders>
            <w:shd w:val="clear" w:color="auto" w:fill="auto"/>
            <w:noWrap/>
            <w:vAlign w:val="center"/>
            <w:hideMark/>
          </w:tcPr>
          <w:p w14:paraId="07832B0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03/11/2026</w:t>
            </w:r>
          </w:p>
        </w:tc>
        <w:tc>
          <w:tcPr>
            <w:tcW w:w="465" w:type="pct"/>
            <w:tcBorders>
              <w:top w:val="nil"/>
              <w:left w:val="nil"/>
              <w:bottom w:val="single" w:sz="4" w:space="0" w:color="auto"/>
              <w:right w:val="single" w:sz="4" w:space="0" w:color="auto"/>
            </w:tcBorders>
            <w:shd w:val="clear" w:color="auto" w:fill="auto"/>
            <w:noWrap/>
            <w:vAlign w:val="center"/>
            <w:hideMark/>
          </w:tcPr>
          <w:p w14:paraId="4E15F9DD"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1 334 000.00</w:t>
            </w:r>
          </w:p>
        </w:tc>
        <w:tc>
          <w:tcPr>
            <w:tcW w:w="536" w:type="pct"/>
            <w:tcBorders>
              <w:top w:val="nil"/>
              <w:left w:val="nil"/>
              <w:bottom w:val="single" w:sz="4" w:space="0" w:color="auto"/>
              <w:right w:val="single" w:sz="4" w:space="0" w:color="auto"/>
            </w:tcBorders>
            <w:shd w:val="clear" w:color="auto" w:fill="auto"/>
            <w:noWrap/>
            <w:vAlign w:val="center"/>
            <w:hideMark/>
          </w:tcPr>
          <w:p w14:paraId="3C1F831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1 200 000.00</w:t>
            </w:r>
          </w:p>
        </w:tc>
        <w:tc>
          <w:tcPr>
            <w:tcW w:w="536" w:type="pct"/>
            <w:tcBorders>
              <w:top w:val="nil"/>
              <w:left w:val="nil"/>
              <w:bottom w:val="single" w:sz="4" w:space="0" w:color="auto"/>
              <w:right w:val="single" w:sz="4" w:space="0" w:color="auto"/>
            </w:tcBorders>
            <w:shd w:val="clear" w:color="auto" w:fill="auto"/>
            <w:noWrap/>
            <w:vAlign w:val="center"/>
            <w:hideMark/>
          </w:tcPr>
          <w:p w14:paraId="1FF4706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134 000.00</w:t>
            </w:r>
          </w:p>
        </w:tc>
      </w:tr>
    </w:tbl>
    <w:p w14:paraId="5F854E48" w14:textId="77777777" w:rsidR="00F456DB" w:rsidRDefault="00F456DB">
      <w:r>
        <w:br w:type="page"/>
      </w:r>
    </w:p>
    <w:tbl>
      <w:tblPr>
        <w:tblW w:w="5000" w:type="pct"/>
        <w:tblCellMar>
          <w:left w:w="70" w:type="dxa"/>
          <w:right w:w="70" w:type="dxa"/>
        </w:tblCellMar>
        <w:tblLook w:val="04A0" w:firstRow="1" w:lastRow="0" w:firstColumn="1" w:lastColumn="0" w:noHBand="0" w:noVBand="1"/>
      </w:tblPr>
      <w:tblGrid>
        <w:gridCol w:w="1173"/>
        <w:gridCol w:w="5494"/>
        <w:gridCol w:w="1141"/>
        <w:gridCol w:w="1387"/>
        <w:gridCol w:w="1387"/>
        <w:gridCol w:w="1421"/>
        <w:gridCol w:w="1638"/>
        <w:gridCol w:w="1638"/>
      </w:tblGrid>
      <w:tr w:rsidR="008E74B8" w:rsidRPr="00FB5644" w14:paraId="4333F7DC" w14:textId="77777777" w:rsidTr="00F456DB">
        <w:trPr>
          <w:trHeight w:val="1002"/>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328A3" w14:textId="64886486"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Creative Europe</w:t>
            </w:r>
          </w:p>
        </w:tc>
        <w:tc>
          <w:tcPr>
            <w:tcW w:w="1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AC504"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European Heritage Days – 2024 edition</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4EF16"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13/11/2023</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5078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E3BB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30/06/2025</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53FAE"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800 000.00</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8E781"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400 000.00</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0BEA"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400 000.00</w:t>
            </w:r>
          </w:p>
        </w:tc>
      </w:tr>
      <w:tr w:rsidR="008E74B8" w:rsidRPr="00FB5644" w14:paraId="42F1B889" w14:textId="77777777" w:rsidTr="00F456DB">
        <w:trPr>
          <w:trHeight w:val="1002"/>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8835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JUST</w:t>
            </w:r>
          </w:p>
        </w:tc>
        <w:tc>
          <w:tcPr>
            <w:tcW w:w="1798" w:type="pct"/>
            <w:tcBorders>
              <w:top w:val="single" w:sz="4" w:space="0" w:color="auto"/>
              <w:left w:val="nil"/>
              <w:bottom w:val="single" w:sz="4" w:space="0" w:color="auto"/>
              <w:right w:val="single" w:sz="4" w:space="0" w:color="auto"/>
            </w:tcBorders>
            <w:shd w:val="clear" w:color="auto" w:fill="auto"/>
            <w:vAlign w:val="center"/>
            <w:hideMark/>
          </w:tcPr>
          <w:p w14:paraId="3092B6CF"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to Council of Europe’s project on child-friendly justice</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077BEAC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22/11/2023</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14:paraId="37E9D9DC"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14:paraId="2157AE6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31/03/2026</w:t>
            </w:r>
          </w:p>
        </w:tc>
        <w:tc>
          <w:tcPr>
            <w:tcW w:w="465" w:type="pct"/>
            <w:tcBorders>
              <w:top w:val="single" w:sz="4" w:space="0" w:color="auto"/>
              <w:left w:val="nil"/>
              <w:bottom w:val="single" w:sz="4" w:space="0" w:color="auto"/>
              <w:right w:val="single" w:sz="4" w:space="0" w:color="auto"/>
            </w:tcBorders>
            <w:shd w:val="clear" w:color="auto" w:fill="auto"/>
            <w:noWrap/>
            <w:vAlign w:val="center"/>
            <w:hideMark/>
          </w:tcPr>
          <w:p w14:paraId="3BCA8B5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950 000.00</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644FA3D3"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855 000.00</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14:paraId="5E4CCA17"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95 000.00</w:t>
            </w:r>
          </w:p>
        </w:tc>
      </w:tr>
      <w:tr w:rsidR="008E74B8" w:rsidRPr="00FB5644" w14:paraId="63F6B6BC"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4E4133FD" w14:textId="77777777" w:rsidR="008E74B8" w:rsidRPr="00FB5644" w:rsidRDefault="008E74B8" w:rsidP="00E05368">
            <w:pPr>
              <w:jc w:val="center"/>
              <w:rPr>
                <w:rFonts w:eastAsia="Times New Roman" w:cs="Arial"/>
                <w:color w:val="000000"/>
                <w:szCs w:val="20"/>
                <w:lang w:eastAsia="fr-FR"/>
              </w:rPr>
            </w:pPr>
            <w:r>
              <w:rPr>
                <w:rFonts w:eastAsia="Times New Roman" w:cs="Arial"/>
                <w:color w:val="000000"/>
                <w:szCs w:val="20"/>
                <w:lang w:eastAsia="fr-FR"/>
              </w:rPr>
              <w:t xml:space="preserve">Erasmus+ </w:t>
            </w:r>
          </w:p>
        </w:tc>
        <w:tc>
          <w:tcPr>
            <w:tcW w:w="1798" w:type="pct"/>
            <w:tcBorders>
              <w:top w:val="nil"/>
              <w:left w:val="nil"/>
              <w:bottom w:val="single" w:sz="4" w:space="0" w:color="auto"/>
              <w:right w:val="single" w:sz="4" w:space="0" w:color="auto"/>
            </w:tcBorders>
            <w:shd w:val="clear" w:color="auto" w:fill="auto"/>
            <w:vAlign w:val="center"/>
            <w:hideMark/>
          </w:tcPr>
          <w:p w14:paraId="3674510B"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Balance S4 - Strengthening the Safety and Service pillars of the Saint-Denis Convention</w:t>
            </w:r>
          </w:p>
        </w:tc>
        <w:tc>
          <w:tcPr>
            <w:tcW w:w="373" w:type="pct"/>
            <w:tcBorders>
              <w:top w:val="nil"/>
              <w:left w:val="nil"/>
              <w:bottom w:val="single" w:sz="4" w:space="0" w:color="auto"/>
              <w:right w:val="single" w:sz="4" w:space="0" w:color="auto"/>
            </w:tcBorders>
            <w:shd w:val="clear" w:color="auto" w:fill="auto"/>
            <w:noWrap/>
            <w:vAlign w:val="center"/>
            <w:hideMark/>
          </w:tcPr>
          <w:p w14:paraId="2755EE8F"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06/12/2023</w:t>
            </w:r>
          </w:p>
        </w:tc>
        <w:tc>
          <w:tcPr>
            <w:tcW w:w="454" w:type="pct"/>
            <w:tcBorders>
              <w:top w:val="nil"/>
              <w:left w:val="nil"/>
              <w:bottom w:val="single" w:sz="4" w:space="0" w:color="auto"/>
              <w:right w:val="single" w:sz="4" w:space="0" w:color="auto"/>
            </w:tcBorders>
            <w:shd w:val="clear" w:color="auto" w:fill="auto"/>
            <w:noWrap/>
            <w:vAlign w:val="center"/>
            <w:hideMark/>
          </w:tcPr>
          <w:p w14:paraId="26ADBC71"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54" w:type="pct"/>
            <w:tcBorders>
              <w:top w:val="nil"/>
              <w:left w:val="nil"/>
              <w:bottom w:val="single" w:sz="4" w:space="0" w:color="auto"/>
              <w:right w:val="single" w:sz="4" w:space="0" w:color="auto"/>
            </w:tcBorders>
            <w:shd w:val="clear" w:color="auto" w:fill="auto"/>
            <w:noWrap/>
            <w:vAlign w:val="center"/>
            <w:hideMark/>
          </w:tcPr>
          <w:p w14:paraId="72230261"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30/09/2025</w:t>
            </w:r>
          </w:p>
        </w:tc>
        <w:tc>
          <w:tcPr>
            <w:tcW w:w="465" w:type="pct"/>
            <w:tcBorders>
              <w:top w:val="nil"/>
              <w:left w:val="nil"/>
              <w:bottom w:val="single" w:sz="4" w:space="0" w:color="auto"/>
              <w:right w:val="single" w:sz="4" w:space="0" w:color="auto"/>
            </w:tcBorders>
            <w:shd w:val="clear" w:color="auto" w:fill="auto"/>
            <w:noWrap/>
            <w:vAlign w:val="center"/>
            <w:hideMark/>
          </w:tcPr>
          <w:p w14:paraId="441F407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445 000.00</w:t>
            </w:r>
          </w:p>
        </w:tc>
        <w:tc>
          <w:tcPr>
            <w:tcW w:w="536" w:type="pct"/>
            <w:tcBorders>
              <w:top w:val="nil"/>
              <w:left w:val="nil"/>
              <w:bottom w:val="single" w:sz="4" w:space="0" w:color="auto"/>
              <w:right w:val="single" w:sz="4" w:space="0" w:color="auto"/>
            </w:tcBorders>
            <w:shd w:val="clear" w:color="auto" w:fill="auto"/>
            <w:noWrap/>
            <w:vAlign w:val="center"/>
            <w:hideMark/>
          </w:tcPr>
          <w:p w14:paraId="7DF81CF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400 000.00</w:t>
            </w:r>
          </w:p>
        </w:tc>
        <w:tc>
          <w:tcPr>
            <w:tcW w:w="536" w:type="pct"/>
            <w:tcBorders>
              <w:top w:val="nil"/>
              <w:left w:val="nil"/>
              <w:bottom w:val="single" w:sz="4" w:space="0" w:color="auto"/>
              <w:right w:val="single" w:sz="4" w:space="0" w:color="auto"/>
            </w:tcBorders>
            <w:shd w:val="clear" w:color="auto" w:fill="auto"/>
            <w:noWrap/>
            <w:vAlign w:val="center"/>
            <w:hideMark/>
          </w:tcPr>
          <w:p w14:paraId="327C41D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45 000.00</w:t>
            </w:r>
          </w:p>
        </w:tc>
      </w:tr>
      <w:tr w:rsidR="008E74B8" w:rsidRPr="00FB5644" w14:paraId="22A28249"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0ACD3E24"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DG SANTE</w:t>
            </w:r>
          </w:p>
        </w:tc>
        <w:tc>
          <w:tcPr>
            <w:tcW w:w="1798" w:type="pct"/>
            <w:tcBorders>
              <w:top w:val="nil"/>
              <w:left w:val="nil"/>
              <w:bottom w:val="single" w:sz="4" w:space="0" w:color="auto"/>
              <w:right w:val="single" w:sz="4" w:space="0" w:color="auto"/>
            </w:tcBorders>
            <w:shd w:val="clear" w:color="auto" w:fill="auto"/>
            <w:vAlign w:val="center"/>
            <w:hideMark/>
          </w:tcPr>
          <w:p w14:paraId="7ED59782"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for Pharmaceuticals to the Council of Europe/EDQM</w:t>
            </w:r>
          </w:p>
        </w:tc>
        <w:tc>
          <w:tcPr>
            <w:tcW w:w="373" w:type="pct"/>
            <w:tcBorders>
              <w:top w:val="nil"/>
              <w:left w:val="nil"/>
              <w:bottom w:val="single" w:sz="4" w:space="0" w:color="auto"/>
              <w:right w:val="single" w:sz="4" w:space="0" w:color="auto"/>
            </w:tcBorders>
            <w:shd w:val="clear" w:color="auto" w:fill="auto"/>
            <w:noWrap/>
            <w:vAlign w:val="center"/>
            <w:hideMark/>
          </w:tcPr>
          <w:p w14:paraId="63224B6A"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08/12/2023</w:t>
            </w:r>
          </w:p>
        </w:tc>
        <w:tc>
          <w:tcPr>
            <w:tcW w:w="454" w:type="pct"/>
            <w:tcBorders>
              <w:top w:val="nil"/>
              <w:left w:val="nil"/>
              <w:bottom w:val="single" w:sz="4" w:space="0" w:color="auto"/>
              <w:right w:val="single" w:sz="4" w:space="0" w:color="auto"/>
            </w:tcBorders>
            <w:shd w:val="clear" w:color="auto" w:fill="auto"/>
            <w:noWrap/>
            <w:vAlign w:val="center"/>
            <w:hideMark/>
          </w:tcPr>
          <w:p w14:paraId="35B3FEA5"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54" w:type="pct"/>
            <w:tcBorders>
              <w:top w:val="nil"/>
              <w:left w:val="nil"/>
              <w:bottom w:val="single" w:sz="4" w:space="0" w:color="auto"/>
              <w:right w:val="single" w:sz="4" w:space="0" w:color="auto"/>
            </w:tcBorders>
            <w:shd w:val="clear" w:color="auto" w:fill="auto"/>
            <w:noWrap/>
            <w:vAlign w:val="center"/>
            <w:hideMark/>
          </w:tcPr>
          <w:p w14:paraId="553CD150"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31/12/2027</w:t>
            </w:r>
          </w:p>
        </w:tc>
        <w:tc>
          <w:tcPr>
            <w:tcW w:w="465" w:type="pct"/>
            <w:tcBorders>
              <w:top w:val="nil"/>
              <w:left w:val="nil"/>
              <w:bottom w:val="single" w:sz="4" w:space="0" w:color="auto"/>
              <w:right w:val="single" w:sz="4" w:space="0" w:color="auto"/>
            </w:tcBorders>
            <w:shd w:val="clear" w:color="auto" w:fill="auto"/>
            <w:noWrap/>
            <w:vAlign w:val="center"/>
            <w:hideMark/>
          </w:tcPr>
          <w:p w14:paraId="1936CDF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18 400 000.00</w:t>
            </w:r>
          </w:p>
        </w:tc>
        <w:tc>
          <w:tcPr>
            <w:tcW w:w="536" w:type="pct"/>
            <w:tcBorders>
              <w:top w:val="nil"/>
              <w:left w:val="nil"/>
              <w:bottom w:val="single" w:sz="4" w:space="0" w:color="auto"/>
              <w:right w:val="single" w:sz="4" w:space="0" w:color="auto"/>
            </w:tcBorders>
            <w:shd w:val="clear" w:color="auto" w:fill="auto"/>
            <w:noWrap/>
            <w:vAlign w:val="center"/>
            <w:hideMark/>
          </w:tcPr>
          <w:p w14:paraId="66877542"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4 600 000.00</w:t>
            </w:r>
          </w:p>
        </w:tc>
        <w:tc>
          <w:tcPr>
            <w:tcW w:w="536" w:type="pct"/>
            <w:tcBorders>
              <w:top w:val="nil"/>
              <w:left w:val="nil"/>
              <w:bottom w:val="single" w:sz="4" w:space="0" w:color="auto"/>
              <w:right w:val="single" w:sz="4" w:space="0" w:color="auto"/>
            </w:tcBorders>
            <w:shd w:val="clear" w:color="auto" w:fill="auto"/>
            <w:noWrap/>
            <w:vAlign w:val="center"/>
            <w:hideMark/>
          </w:tcPr>
          <w:p w14:paraId="75AA5597"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13 800 000.00</w:t>
            </w:r>
          </w:p>
        </w:tc>
      </w:tr>
      <w:tr w:rsidR="008E74B8" w:rsidRPr="00FB5644" w14:paraId="29E2EF06"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4F6CEAE2" w14:textId="77777777" w:rsidR="008E74B8" w:rsidRPr="00FB5644" w:rsidRDefault="008E74B8" w:rsidP="00E05368">
            <w:pPr>
              <w:jc w:val="center"/>
              <w:rPr>
                <w:rFonts w:eastAsia="Times New Roman" w:cs="Arial"/>
                <w:color w:val="000000"/>
                <w:szCs w:val="20"/>
                <w:lang w:eastAsia="fr-FR"/>
              </w:rPr>
            </w:pPr>
            <w:r>
              <w:rPr>
                <w:rFonts w:eastAsia="Times New Roman" w:cs="Arial"/>
                <w:color w:val="000000"/>
                <w:szCs w:val="20"/>
                <w:lang w:eastAsia="fr-FR"/>
              </w:rPr>
              <w:t xml:space="preserve">NDICI </w:t>
            </w:r>
          </w:p>
        </w:tc>
        <w:tc>
          <w:tcPr>
            <w:tcW w:w="1798" w:type="pct"/>
            <w:tcBorders>
              <w:top w:val="nil"/>
              <w:left w:val="nil"/>
              <w:bottom w:val="single" w:sz="4" w:space="0" w:color="auto"/>
              <w:right w:val="single" w:sz="4" w:space="0" w:color="auto"/>
            </w:tcBorders>
            <w:shd w:val="clear" w:color="auto" w:fill="auto"/>
            <w:vAlign w:val="center"/>
            <w:hideMark/>
          </w:tcPr>
          <w:p w14:paraId="207BBB11"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Support to democratic reforms, human right mechanisms and rule of law principles in Latin America, Central Asia and Mongolia</w:t>
            </w:r>
          </w:p>
        </w:tc>
        <w:tc>
          <w:tcPr>
            <w:tcW w:w="373" w:type="pct"/>
            <w:tcBorders>
              <w:top w:val="nil"/>
              <w:left w:val="nil"/>
              <w:bottom w:val="single" w:sz="4" w:space="0" w:color="auto"/>
              <w:right w:val="single" w:sz="4" w:space="0" w:color="auto"/>
            </w:tcBorders>
            <w:shd w:val="clear" w:color="auto" w:fill="auto"/>
            <w:noWrap/>
            <w:vAlign w:val="center"/>
            <w:hideMark/>
          </w:tcPr>
          <w:p w14:paraId="45C4424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14/12/2023</w:t>
            </w:r>
          </w:p>
        </w:tc>
        <w:tc>
          <w:tcPr>
            <w:tcW w:w="454" w:type="pct"/>
            <w:tcBorders>
              <w:top w:val="nil"/>
              <w:left w:val="nil"/>
              <w:bottom w:val="single" w:sz="4" w:space="0" w:color="auto"/>
              <w:right w:val="single" w:sz="4" w:space="0" w:color="auto"/>
            </w:tcBorders>
            <w:shd w:val="clear" w:color="auto" w:fill="auto"/>
            <w:noWrap/>
            <w:vAlign w:val="center"/>
            <w:hideMark/>
          </w:tcPr>
          <w:p w14:paraId="152FAC76"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54" w:type="pct"/>
            <w:tcBorders>
              <w:top w:val="nil"/>
              <w:left w:val="nil"/>
              <w:bottom w:val="single" w:sz="4" w:space="0" w:color="auto"/>
              <w:right w:val="single" w:sz="4" w:space="0" w:color="auto"/>
            </w:tcBorders>
            <w:shd w:val="clear" w:color="auto" w:fill="auto"/>
            <w:noWrap/>
            <w:vAlign w:val="center"/>
            <w:hideMark/>
          </w:tcPr>
          <w:p w14:paraId="60F7D859"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31/12/2026</w:t>
            </w:r>
          </w:p>
        </w:tc>
        <w:tc>
          <w:tcPr>
            <w:tcW w:w="465" w:type="pct"/>
            <w:tcBorders>
              <w:top w:val="nil"/>
              <w:left w:val="nil"/>
              <w:bottom w:val="single" w:sz="4" w:space="0" w:color="auto"/>
              <w:right w:val="single" w:sz="4" w:space="0" w:color="auto"/>
            </w:tcBorders>
            <w:shd w:val="clear" w:color="auto" w:fill="auto"/>
            <w:noWrap/>
            <w:vAlign w:val="center"/>
            <w:hideMark/>
          </w:tcPr>
          <w:p w14:paraId="1F33B1FD"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763 160.00</w:t>
            </w:r>
          </w:p>
        </w:tc>
        <w:tc>
          <w:tcPr>
            <w:tcW w:w="536" w:type="pct"/>
            <w:tcBorders>
              <w:top w:val="nil"/>
              <w:left w:val="nil"/>
              <w:bottom w:val="single" w:sz="4" w:space="0" w:color="auto"/>
              <w:right w:val="single" w:sz="4" w:space="0" w:color="auto"/>
            </w:tcBorders>
            <w:shd w:val="clear" w:color="auto" w:fill="auto"/>
            <w:noWrap/>
            <w:vAlign w:val="center"/>
            <w:hideMark/>
          </w:tcPr>
          <w:p w14:paraId="1D4000B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725 000.00</w:t>
            </w:r>
          </w:p>
        </w:tc>
        <w:tc>
          <w:tcPr>
            <w:tcW w:w="536" w:type="pct"/>
            <w:tcBorders>
              <w:top w:val="nil"/>
              <w:left w:val="nil"/>
              <w:bottom w:val="single" w:sz="4" w:space="0" w:color="auto"/>
              <w:right w:val="single" w:sz="4" w:space="0" w:color="auto"/>
            </w:tcBorders>
            <w:shd w:val="clear" w:color="auto" w:fill="auto"/>
            <w:noWrap/>
            <w:vAlign w:val="center"/>
            <w:hideMark/>
          </w:tcPr>
          <w:p w14:paraId="3B684319"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38 160.00</w:t>
            </w:r>
          </w:p>
        </w:tc>
      </w:tr>
      <w:tr w:rsidR="008E74B8" w:rsidRPr="00FB5644" w14:paraId="50DA417B" w14:textId="77777777" w:rsidTr="00F456DB">
        <w:trPr>
          <w:trHeight w:val="1002"/>
        </w:trPr>
        <w:tc>
          <w:tcPr>
            <w:tcW w:w="384" w:type="pct"/>
            <w:tcBorders>
              <w:top w:val="nil"/>
              <w:left w:val="single" w:sz="4" w:space="0" w:color="auto"/>
              <w:bottom w:val="single" w:sz="4" w:space="0" w:color="auto"/>
              <w:right w:val="single" w:sz="4" w:space="0" w:color="auto"/>
            </w:tcBorders>
            <w:shd w:val="clear" w:color="auto" w:fill="auto"/>
            <w:vAlign w:val="center"/>
            <w:hideMark/>
          </w:tcPr>
          <w:p w14:paraId="01F883F6" w14:textId="77777777" w:rsidR="008E74B8" w:rsidRPr="00FB5644" w:rsidRDefault="008E74B8" w:rsidP="00E05368">
            <w:pPr>
              <w:jc w:val="center"/>
              <w:rPr>
                <w:rFonts w:eastAsia="Times New Roman" w:cs="Arial"/>
                <w:color w:val="000000"/>
                <w:szCs w:val="20"/>
                <w:lang w:eastAsia="fr-FR"/>
              </w:rPr>
            </w:pPr>
            <w:r>
              <w:rPr>
                <w:rFonts w:eastAsia="Times New Roman" w:cs="Arial"/>
                <w:color w:val="000000"/>
                <w:szCs w:val="20"/>
                <w:lang w:eastAsia="fr-FR"/>
              </w:rPr>
              <w:t xml:space="preserve">Erasmus+ </w:t>
            </w:r>
          </w:p>
        </w:tc>
        <w:tc>
          <w:tcPr>
            <w:tcW w:w="1798" w:type="pct"/>
            <w:tcBorders>
              <w:top w:val="nil"/>
              <w:left w:val="nil"/>
              <w:bottom w:val="single" w:sz="4" w:space="0" w:color="auto"/>
              <w:right w:val="single" w:sz="4" w:space="0" w:color="auto"/>
            </w:tcBorders>
            <w:shd w:val="clear" w:color="auto" w:fill="auto"/>
            <w:vAlign w:val="center"/>
            <w:hideMark/>
          </w:tcPr>
          <w:p w14:paraId="35EB327C" w14:textId="77777777" w:rsidR="008E74B8" w:rsidRPr="00FB5644" w:rsidRDefault="008E74B8" w:rsidP="00E05368">
            <w:pPr>
              <w:rPr>
                <w:rFonts w:eastAsia="Times New Roman" w:cs="Arial"/>
                <w:color w:val="000000"/>
                <w:szCs w:val="20"/>
                <w:lang w:eastAsia="fr-FR"/>
              </w:rPr>
            </w:pPr>
            <w:r w:rsidRPr="00FB5644">
              <w:rPr>
                <w:rFonts w:eastAsia="Times New Roman" w:cs="Arial"/>
                <w:color w:val="000000"/>
                <w:szCs w:val="20"/>
                <w:lang w:eastAsia="fr-FR"/>
              </w:rPr>
              <w:t>Innovative Methodologies and Assessment in Language</w:t>
            </w:r>
            <w:r w:rsidRPr="00FB5644">
              <w:rPr>
                <w:rFonts w:eastAsia="Times New Roman" w:cs="Arial"/>
                <w:color w:val="000000"/>
                <w:szCs w:val="20"/>
                <w:lang w:eastAsia="fr-FR"/>
              </w:rPr>
              <w:br/>
              <w:t>Learning</w:t>
            </w:r>
          </w:p>
        </w:tc>
        <w:tc>
          <w:tcPr>
            <w:tcW w:w="373" w:type="pct"/>
            <w:tcBorders>
              <w:top w:val="nil"/>
              <w:left w:val="nil"/>
              <w:bottom w:val="single" w:sz="4" w:space="0" w:color="auto"/>
              <w:right w:val="single" w:sz="4" w:space="0" w:color="auto"/>
            </w:tcBorders>
            <w:shd w:val="clear" w:color="auto" w:fill="auto"/>
            <w:noWrap/>
            <w:vAlign w:val="center"/>
            <w:hideMark/>
          </w:tcPr>
          <w:p w14:paraId="1AFC88C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17/12/2023</w:t>
            </w:r>
          </w:p>
        </w:tc>
        <w:tc>
          <w:tcPr>
            <w:tcW w:w="454" w:type="pct"/>
            <w:tcBorders>
              <w:top w:val="nil"/>
              <w:left w:val="nil"/>
              <w:bottom w:val="single" w:sz="4" w:space="0" w:color="auto"/>
              <w:right w:val="single" w:sz="4" w:space="0" w:color="auto"/>
            </w:tcBorders>
            <w:shd w:val="clear" w:color="auto" w:fill="auto"/>
            <w:noWrap/>
            <w:vAlign w:val="center"/>
            <w:hideMark/>
          </w:tcPr>
          <w:p w14:paraId="651820F1"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01/01/2024</w:t>
            </w:r>
          </w:p>
        </w:tc>
        <w:tc>
          <w:tcPr>
            <w:tcW w:w="454" w:type="pct"/>
            <w:tcBorders>
              <w:top w:val="nil"/>
              <w:left w:val="nil"/>
              <w:bottom w:val="single" w:sz="4" w:space="0" w:color="auto"/>
              <w:right w:val="single" w:sz="4" w:space="0" w:color="auto"/>
            </w:tcBorders>
            <w:shd w:val="clear" w:color="auto" w:fill="auto"/>
            <w:noWrap/>
            <w:vAlign w:val="center"/>
            <w:hideMark/>
          </w:tcPr>
          <w:p w14:paraId="69B4B7E8"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31/12/2024</w:t>
            </w:r>
          </w:p>
        </w:tc>
        <w:tc>
          <w:tcPr>
            <w:tcW w:w="465" w:type="pct"/>
            <w:tcBorders>
              <w:top w:val="nil"/>
              <w:left w:val="nil"/>
              <w:bottom w:val="single" w:sz="4" w:space="0" w:color="auto"/>
              <w:right w:val="single" w:sz="4" w:space="0" w:color="auto"/>
            </w:tcBorders>
            <w:shd w:val="clear" w:color="auto" w:fill="auto"/>
            <w:noWrap/>
            <w:vAlign w:val="center"/>
            <w:hideMark/>
          </w:tcPr>
          <w:p w14:paraId="550030DF"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875 000.00</w:t>
            </w:r>
          </w:p>
        </w:tc>
        <w:tc>
          <w:tcPr>
            <w:tcW w:w="536" w:type="pct"/>
            <w:tcBorders>
              <w:top w:val="nil"/>
              <w:left w:val="nil"/>
              <w:bottom w:val="single" w:sz="4" w:space="0" w:color="auto"/>
              <w:right w:val="single" w:sz="4" w:space="0" w:color="auto"/>
            </w:tcBorders>
            <w:shd w:val="clear" w:color="auto" w:fill="auto"/>
            <w:noWrap/>
            <w:vAlign w:val="center"/>
            <w:hideMark/>
          </w:tcPr>
          <w:p w14:paraId="035FC2F1"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700 000.00</w:t>
            </w:r>
          </w:p>
        </w:tc>
        <w:tc>
          <w:tcPr>
            <w:tcW w:w="536" w:type="pct"/>
            <w:tcBorders>
              <w:top w:val="nil"/>
              <w:left w:val="nil"/>
              <w:bottom w:val="single" w:sz="4" w:space="0" w:color="auto"/>
              <w:right w:val="single" w:sz="4" w:space="0" w:color="auto"/>
            </w:tcBorders>
            <w:shd w:val="clear" w:color="auto" w:fill="auto"/>
            <w:noWrap/>
            <w:vAlign w:val="center"/>
            <w:hideMark/>
          </w:tcPr>
          <w:p w14:paraId="0BC6488F" w14:textId="77777777" w:rsidR="008E74B8" w:rsidRPr="00FB5644" w:rsidRDefault="008E74B8" w:rsidP="00E05368">
            <w:pPr>
              <w:jc w:val="center"/>
              <w:rPr>
                <w:rFonts w:eastAsia="Times New Roman" w:cs="Arial"/>
                <w:color w:val="000000"/>
                <w:szCs w:val="20"/>
                <w:lang w:eastAsia="fr-FR"/>
              </w:rPr>
            </w:pPr>
            <w:r w:rsidRPr="00FB5644">
              <w:rPr>
                <w:rFonts w:eastAsia="Times New Roman" w:cs="Arial"/>
                <w:color w:val="000000"/>
                <w:szCs w:val="20"/>
                <w:lang w:eastAsia="fr-FR"/>
              </w:rPr>
              <w:t>175 000.00</w:t>
            </w:r>
          </w:p>
        </w:tc>
      </w:tr>
    </w:tbl>
    <w:p w14:paraId="600EF9FA" w14:textId="77777777" w:rsidR="008E74B8" w:rsidRDefault="008E74B8" w:rsidP="008E74B8"/>
    <w:p w14:paraId="3998D40C" w14:textId="77777777" w:rsidR="008E74B8" w:rsidRDefault="008E74B8" w:rsidP="008E74B8"/>
    <w:p w14:paraId="370B9D3D" w14:textId="77777777" w:rsidR="008E74B8" w:rsidRDefault="008E74B8" w:rsidP="008E74B8"/>
    <w:p w14:paraId="539BEE92" w14:textId="77777777" w:rsidR="008E74B8" w:rsidRDefault="008E74B8" w:rsidP="008E74B8"/>
    <w:p w14:paraId="201C46D6" w14:textId="77777777" w:rsidR="008E74B8" w:rsidRDefault="008E74B8" w:rsidP="008E74B8"/>
    <w:p w14:paraId="77D63384" w14:textId="77777777" w:rsidR="008E74B8" w:rsidRDefault="008E74B8" w:rsidP="008E74B8"/>
    <w:p w14:paraId="6F833C7F" w14:textId="77777777" w:rsidR="008E74B8" w:rsidRDefault="008E74B8" w:rsidP="008E74B8"/>
    <w:p w14:paraId="18B4C38F" w14:textId="77777777" w:rsidR="008E74B8" w:rsidRPr="000254B2" w:rsidRDefault="008E74B8" w:rsidP="008E74B8">
      <w:pPr>
        <w:spacing w:before="120" w:after="120" w:line="240" w:lineRule="atLeast"/>
        <w:rPr>
          <w:rFonts w:cs="Arial"/>
          <w:b/>
          <w:bCs/>
          <w:caps/>
          <w:szCs w:val="20"/>
        </w:rPr>
      </w:pPr>
    </w:p>
    <w:p w14:paraId="58602BC4" w14:textId="77777777" w:rsidR="008E74B8" w:rsidRDefault="008E74B8">
      <w:pPr>
        <w:rPr>
          <w:rFonts w:eastAsia="Times New Roman"/>
          <w:szCs w:val="24"/>
        </w:rPr>
      </w:pPr>
    </w:p>
    <w:p w14:paraId="367DAB46" w14:textId="77777777" w:rsidR="008E74B8" w:rsidRDefault="008E74B8">
      <w:pPr>
        <w:rPr>
          <w:rFonts w:eastAsia="Times New Roman"/>
          <w:szCs w:val="24"/>
        </w:rPr>
      </w:pPr>
    </w:p>
    <w:p w14:paraId="0EEF81A1" w14:textId="77777777" w:rsidR="0040027C" w:rsidRPr="00A12DEC" w:rsidRDefault="0040027C" w:rsidP="0037200F">
      <w:pPr>
        <w:rPr>
          <w:rFonts w:eastAsia="Times New Roman"/>
          <w:szCs w:val="24"/>
        </w:rPr>
      </w:pPr>
    </w:p>
    <w:sectPr w:rsidR="0040027C" w:rsidRPr="00A12DEC" w:rsidSect="00F456DB">
      <w:headerReference w:type="even" r:id="rId25"/>
      <w:headerReference w:type="default" r:id="rId26"/>
      <w:headerReference w:type="first" r:id="rId27"/>
      <w:pgSz w:w="16840" w:h="11907" w:orient="landscape" w:code="9"/>
      <w:pgMar w:top="1077" w:right="992" w:bottom="709" w:left="709" w:header="454" w:footer="340" w:gutter="113"/>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1155" w14:textId="77777777" w:rsidR="005D2DDA" w:rsidRDefault="005D2DDA" w:rsidP="00FD6043">
      <w:r>
        <w:separator/>
      </w:r>
    </w:p>
  </w:endnote>
  <w:endnote w:type="continuationSeparator" w:id="0">
    <w:p w14:paraId="6C3FC588" w14:textId="77777777" w:rsidR="005D2DDA" w:rsidRDefault="005D2DD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A036"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4B17"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EB21" w14:textId="77777777" w:rsidR="005D2DDA" w:rsidRDefault="005D2DDA" w:rsidP="00FD6043">
      <w:r>
        <w:separator/>
      </w:r>
    </w:p>
  </w:footnote>
  <w:footnote w:type="continuationSeparator" w:id="0">
    <w:p w14:paraId="3DDF18F2" w14:textId="77777777" w:rsidR="005D2DDA" w:rsidRDefault="005D2DDA" w:rsidP="00FD6043">
      <w:r>
        <w:continuationSeparator/>
      </w:r>
    </w:p>
  </w:footnote>
  <w:footnote w:id="1">
    <w:p w14:paraId="4D3DA560" w14:textId="77777777" w:rsidR="008E74B8" w:rsidRPr="00352406" w:rsidRDefault="008E74B8" w:rsidP="008E74B8">
      <w:pPr>
        <w:pStyle w:val="FootnoteText"/>
        <w:rPr>
          <w:lang w:val="en-US"/>
        </w:rPr>
      </w:pPr>
      <w:r>
        <w:rPr>
          <w:rStyle w:val="FootnoteReference"/>
        </w:rPr>
        <w:footnoteRef/>
      </w:r>
      <w:r>
        <w:t xml:space="preserve"> </w:t>
      </w:r>
      <w:r w:rsidRPr="000254B2">
        <w:rPr>
          <w:rFonts w:eastAsia="Times New Roman" w:cs="Arial"/>
        </w:rPr>
        <w:t>The FFPA is a generic agreement on contractual, administrative, and financial aspects of European Union-Council of Europe programme co-operation</w:t>
      </w:r>
    </w:p>
  </w:footnote>
  <w:footnote w:id="2">
    <w:p w14:paraId="50FE2F23" w14:textId="77777777" w:rsidR="008E74B8" w:rsidRPr="00C669C6" w:rsidRDefault="008E74B8" w:rsidP="008E74B8">
      <w:pPr>
        <w:pStyle w:val="FootnoteText"/>
        <w:jc w:val="both"/>
      </w:pPr>
      <w:r>
        <w:rPr>
          <w:rStyle w:val="FootnoteReference"/>
        </w:rPr>
        <w:footnoteRef/>
      </w:r>
      <w:r>
        <w:t xml:space="preserve"> </w:t>
      </w:r>
      <w:r w:rsidRPr="00C669C6">
        <w:t>The Council of Europe Human Rights Approach Practical Guide for Co-operation Projects contribute</w:t>
      </w:r>
      <w:r>
        <w:t>s</w:t>
      </w:r>
      <w:r w:rsidRPr="00C669C6">
        <w:t xml:space="preserve"> to application of </w:t>
      </w:r>
      <w:r>
        <w:t>the</w:t>
      </w:r>
      <w:r w:rsidRPr="00C669C6">
        <w:t xml:space="preserve"> human rights approach in project management and co-operation activities.</w:t>
      </w:r>
      <w:r>
        <w:t xml:space="preserve"> </w:t>
      </w:r>
    </w:p>
  </w:footnote>
  <w:footnote w:id="3">
    <w:p w14:paraId="426334B2" w14:textId="77777777" w:rsidR="008E74B8" w:rsidRPr="008C5CA4" w:rsidRDefault="008E74B8" w:rsidP="008E74B8">
      <w:pPr>
        <w:jc w:val="both"/>
        <w:rPr>
          <w:rFonts w:cs="Arial"/>
          <w:sz w:val="16"/>
          <w:szCs w:val="16"/>
        </w:rPr>
      </w:pPr>
      <w:r w:rsidRPr="008C5CA4">
        <w:rPr>
          <w:rStyle w:val="FootnoteReference"/>
          <w:rFonts w:cs="Arial"/>
          <w:sz w:val="16"/>
          <w:szCs w:val="16"/>
        </w:rPr>
        <w:footnoteRef/>
      </w:r>
      <w:r w:rsidRPr="008C5CA4">
        <w:rPr>
          <w:rFonts w:cs="Arial"/>
          <w:sz w:val="16"/>
          <w:szCs w:val="16"/>
        </w:rPr>
        <w:t xml:space="preserve"> As a component of the human rights approach, the </w:t>
      </w:r>
      <w:r>
        <w:rPr>
          <w:rFonts w:cs="Arial"/>
          <w:sz w:val="16"/>
          <w:szCs w:val="16"/>
        </w:rPr>
        <w:t>Council of Europe</w:t>
      </w:r>
      <w:r w:rsidRPr="008C5CA4">
        <w:rPr>
          <w:rFonts w:cs="Arial"/>
          <w:sz w:val="16"/>
          <w:szCs w:val="16"/>
        </w:rPr>
        <w:t xml:space="preserve"> emphasises gender mainstreaming throughout its project activities in line with its </w:t>
      </w:r>
      <w:hyperlink r:id="rId1" w:history="1">
        <w:r w:rsidRPr="00332BEC">
          <w:rPr>
            <w:rStyle w:val="Hyperlink"/>
            <w:rFonts w:cs="Arial"/>
            <w:sz w:val="16"/>
            <w:szCs w:val="16"/>
          </w:rPr>
          <w:t xml:space="preserve">Gender </w:t>
        </w:r>
        <w:r>
          <w:rPr>
            <w:rStyle w:val="Hyperlink"/>
            <w:rFonts w:cs="Arial"/>
            <w:sz w:val="16"/>
            <w:szCs w:val="16"/>
          </w:rPr>
          <w:t>E</w:t>
        </w:r>
        <w:r w:rsidRPr="00332BEC">
          <w:rPr>
            <w:rStyle w:val="Hyperlink"/>
            <w:rFonts w:cs="Arial"/>
            <w:sz w:val="16"/>
            <w:szCs w:val="16"/>
          </w:rPr>
          <w:t xml:space="preserve">quality </w:t>
        </w:r>
        <w:r>
          <w:rPr>
            <w:rStyle w:val="Hyperlink"/>
            <w:rFonts w:cs="Arial"/>
            <w:sz w:val="16"/>
            <w:szCs w:val="16"/>
          </w:rPr>
          <w:t>S</w:t>
        </w:r>
        <w:r w:rsidRPr="00332BEC">
          <w:rPr>
            <w:rStyle w:val="Hyperlink"/>
            <w:rFonts w:cs="Arial"/>
            <w:sz w:val="16"/>
            <w:szCs w:val="16"/>
          </w:rPr>
          <w:t>trategy 2018-2023</w:t>
        </w:r>
      </w:hyperlink>
      <w:r w:rsidRPr="00332BEC">
        <w:rPr>
          <w:rFonts w:cs="Arial"/>
          <w:sz w:val="16"/>
          <w:szCs w:val="16"/>
        </w:rPr>
        <w:t>.</w:t>
      </w:r>
      <w:r w:rsidRPr="008C5CA4">
        <w:rPr>
          <w:rFonts w:cs="Arial"/>
          <w:sz w:val="16"/>
          <w:szCs w:val="16"/>
        </w:rPr>
        <w:t xml:space="preserve"> For more information, see the Council of Europe</w:t>
      </w:r>
      <w:r w:rsidRPr="008C5CA4">
        <w:rPr>
          <w:rFonts w:cs="Arial"/>
          <w:i/>
          <w:sz w:val="16"/>
          <w:szCs w:val="16"/>
        </w:rPr>
        <w:t xml:space="preserve"> </w:t>
      </w:r>
      <w:hyperlink r:id="rId2" w:history="1">
        <w:r w:rsidRPr="00332BEC">
          <w:rPr>
            <w:rStyle w:val="Hyperlink"/>
            <w:rFonts w:cs="Arial"/>
            <w:sz w:val="16"/>
            <w:szCs w:val="16"/>
          </w:rPr>
          <w:t>web page on gender mainstreaming</w:t>
        </w:r>
      </w:hyperlink>
      <w:r w:rsidRPr="00332BEC">
        <w:rPr>
          <w:rFonts w:cs="Arial"/>
          <w:sz w:val="16"/>
          <w:szCs w:val="16"/>
        </w:rPr>
        <w:t>.</w:t>
      </w:r>
      <w:r w:rsidRPr="008C5CA4">
        <w:rPr>
          <w:rFonts w:cs="Arial"/>
          <w:sz w:val="16"/>
          <w:szCs w:val="16"/>
        </w:rPr>
        <w:t xml:space="preserve"> </w:t>
      </w:r>
    </w:p>
  </w:footnote>
  <w:footnote w:id="4">
    <w:p w14:paraId="72E9687A" w14:textId="77777777" w:rsidR="008E74B8" w:rsidRPr="008C5CA4" w:rsidRDefault="008E74B8" w:rsidP="008E74B8">
      <w:pPr>
        <w:jc w:val="both"/>
        <w:rPr>
          <w:rFonts w:cs="Arial"/>
          <w:bCs/>
          <w:iCs/>
          <w:sz w:val="16"/>
          <w:szCs w:val="16"/>
        </w:rPr>
      </w:pPr>
      <w:r w:rsidRPr="008C5CA4">
        <w:rPr>
          <w:rStyle w:val="FootnoteReference"/>
          <w:rFonts w:cs="Arial"/>
          <w:sz w:val="16"/>
          <w:szCs w:val="16"/>
        </w:rPr>
        <w:footnoteRef/>
      </w:r>
      <w:r w:rsidRPr="008C5CA4">
        <w:rPr>
          <w:rFonts w:cs="Arial"/>
          <w:sz w:val="16"/>
          <w:szCs w:val="16"/>
        </w:rPr>
        <w:t xml:space="preserve"> </w:t>
      </w:r>
      <w:r w:rsidRPr="008C5CA4">
        <w:rPr>
          <w:rFonts w:cs="Arial"/>
          <w:bCs/>
          <w:iCs/>
          <w:sz w:val="16"/>
          <w:szCs w:val="16"/>
        </w:rPr>
        <w:t xml:space="preserve">The Cumulative </w:t>
      </w:r>
      <w:r>
        <w:rPr>
          <w:rFonts w:cs="Arial"/>
          <w:bCs/>
          <w:iCs/>
          <w:sz w:val="16"/>
          <w:szCs w:val="16"/>
        </w:rPr>
        <w:t>B</w:t>
      </w:r>
      <w:r w:rsidRPr="008C5CA4">
        <w:rPr>
          <w:rFonts w:cs="Arial"/>
          <w:bCs/>
          <w:iCs/>
          <w:sz w:val="16"/>
          <w:szCs w:val="16"/>
        </w:rPr>
        <w:t xml:space="preserve">udgetary </w:t>
      </w:r>
      <w:r>
        <w:rPr>
          <w:rFonts w:cs="Arial"/>
          <w:bCs/>
          <w:iCs/>
          <w:sz w:val="16"/>
          <w:szCs w:val="16"/>
        </w:rPr>
        <w:t>E</w:t>
      </w:r>
      <w:r w:rsidRPr="008C5CA4">
        <w:rPr>
          <w:rFonts w:cs="Arial"/>
          <w:bCs/>
          <w:iCs/>
          <w:sz w:val="16"/>
          <w:szCs w:val="16"/>
        </w:rPr>
        <w:t>nvelope (CBE) is a sum of the budgetary envelopes of all JP contracts</w:t>
      </w:r>
      <w:r>
        <w:rPr>
          <w:rFonts w:cs="Arial"/>
          <w:bCs/>
          <w:iCs/>
          <w:sz w:val="16"/>
          <w:szCs w:val="16"/>
        </w:rPr>
        <w:t xml:space="preserve"> that were registered as “active” between 1</w:t>
      </w:r>
      <w:r w:rsidRPr="00783A5E">
        <w:rPr>
          <w:rFonts w:cs="Arial"/>
          <w:bCs/>
          <w:iCs/>
          <w:sz w:val="16"/>
          <w:szCs w:val="16"/>
          <w:vertAlign w:val="superscript"/>
        </w:rPr>
        <w:t>st</w:t>
      </w:r>
      <w:r>
        <w:rPr>
          <w:rFonts w:cs="Arial"/>
          <w:bCs/>
          <w:iCs/>
          <w:sz w:val="16"/>
          <w:szCs w:val="16"/>
        </w:rPr>
        <w:t xml:space="preserve"> January and 31</w:t>
      </w:r>
      <w:r w:rsidRPr="00783A5E">
        <w:rPr>
          <w:rFonts w:cs="Arial"/>
          <w:bCs/>
          <w:iCs/>
          <w:sz w:val="16"/>
          <w:szCs w:val="16"/>
          <w:vertAlign w:val="superscript"/>
        </w:rPr>
        <w:t>st</w:t>
      </w:r>
      <w:r>
        <w:rPr>
          <w:rFonts w:cs="Arial"/>
          <w:bCs/>
          <w:iCs/>
          <w:sz w:val="16"/>
          <w:szCs w:val="16"/>
        </w:rPr>
        <w:t xml:space="preserve"> December of a given year. </w:t>
      </w:r>
    </w:p>
  </w:footnote>
  <w:footnote w:id="5">
    <w:p w14:paraId="7F5A0C06" w14:textId="77777777" w:rsidR="008E74B8" w:rsidRPr="008C5CA4" w:rsidRDefault="008E74B8" w:rsidP="008E74B8">
      <w:pPr>
        <w:pStyle w:val="FootnoteText"/>
        <w:jc w:val="both"/>
        <w:rPr>
          <w:rFonts w:cs="Arial"/>
          <w:szCs w:val="16"/>
        </w:rPr>
      </w:pPr>
      <w:r w:rsidRPr="008C5CA4">
        <w:rPr>
          <w:rStyle w:val="FootnoteReference"/>
          <w:rFonts w:cs="Arial"/>
          <w:szCs w:val="16"/>
        </w:rPr>
        <w:footnoteRef/>
      </w:r>
      <w:r w:rsidRPr="008C5CA4">
        <w:rPr>
          <w:rFonts w:cs="Arial"/>
          <w:szCs w:val="16"/>
        </w:rPr>
        <w:t xml:space="preserve"> The Annual </w:t>
      </w:r>
      <w:r>
        <w:rPr>
          <w:rFonts w:cs="Arial"/>
          <w:szCs w:val="16"/>
        </w:rPr>
        <w:t>B</w:t>
      </w:r>
      <w:r w:rsidRPr="008C5CA4">
        <w:rPr>
          <w:rFonts w:cs="Arial"/>
          <w:szCs w:val="16"/>
        </w:rPr>
        <w:t xml:space="preserve">udgetary </w:t>
      </w:r>
      <w:r>
        <w:rPr>
          <w:rFonts w:cs="Arial"/>
          <w:szCs w:val="16"/>
        </w:rPr>
        <w:t>E</w:t>
      </w:r>
      <w:r w:rsidRPr="008C5CA4">
        <w:rPr>
          <w:rFonts w:cs="Arial"/>
          <w:szCs w:val="16"/>
        </w:rPr>
        <w:t xml:space="preserve">nvelope (ABE) is a statistical parameter calculated </w:t>
      </w:r>
      <w:r w:rsidRPr="008C5CA4">
        <w:rPr>
          <w:rFonts w:cs="Arial"/>
          <w:i/>
          <w:szCs w:val="16"/>
        </w:rPr>
        <w:t>pro rata temporis</w:t>
      </w:r>
      <w:r w:rsidRPr="008C5CA4">
        <w:rPr>
          <w:rFonts w:cs="Arial"/>
          <w:szCs w:val="16"/>
        </w:rPr>
        <w:t xml:space="preserve"> to CBE.</w:t>
      </w:r>
      <w:r>
        <w:rPr>
          <w:rFonts w:cs="Arial"/>
          <w:szCs w:val="16"/>
        </w:rPr>
        <w:t xml:space="preserve"> </w:t>
      </w:r>
    </w:p>
  </w:footnote>
  <w:footnote w:id="6">
    <w:p w14:paraId="3C8C3E30" w14:textId="77777777" w:rsidR="008E74B8" w:rsidRPr="00203C14" w:rsidRDefault="008E74B8" w:rsidP="008E74B8">
      <w:pPr>
        <w:pStyle w:val="FootnoteText"/>
      </w:pPr>
      <w:r w:rsidRPr="00C423CA">
        <w:rPr>
          <w:rStyle w:val="FootnoteReference"/>
        </w:rPr>
        <w:footnoteRef/>
      </w:r>
      <w:r w:rsidRPr="00C423CA">
        <w:t xml:space="preserve"> Increase in the average CoE co-financing ratio in the newly signed programmes</w:t>
      </w:r>
      <w:r>
        <w:t xml:space="preserve"> </w:t>
      </w:r>
      <w:r w:rsidRPr="00C423CA">
        <w:t>is due to the high rate of</w:t>
      </w:r>
      <w:r>
        <w:t xml:space="preserve"> </w:t>
      </w:r>
      <w:r w:rsidRPr="00C423CA">
        <w:t>EDQM co-financing in its new programme “Support to Pharmaceuticals” (EU 25%, EDQM 75%).</w:t>
      </w:r>
      <w:r>
        <w:t xml:space="preserve"> </w:t>
      </w:r>
    </w:p>
  </w:footnote>
  <w:footnote w:id="7">
    <w:p w14:paraId="6B3A8297" w14:textId="77777777" w:rsidR="008E74B8" w:rsidRDefault="008E74B8" w:rsidP="008E74B8">
      <w:pPr>
        <w:pStyle w:val="FootnoteText"/>
        <w:rPr>
          <w:lang w:val="en-US"/>
        </w:rPr>
      </w:pPr>
      <w:r>
        <w:rPr>
          <w:rStyle w:val="FootnoteReference"/>
        </w:rPr>
        <w:footnoteRef/>
      </w:r>
      <w:r>
        <w:t xml:space="preserve"> </w:t>
      </w:r>
      <w:r w:rsidRPr="00352406">
        <w:rPr>
          <w:lang w:val="en-US"/>
        </w:rPr>
        <w:t>Programmes sined in 2023 with the start in 2024, are not included in the calculation of CBE and ABE 2023.</w:t>
      </w:r>
    </w:p>
    <w:p w14:paraId="3EB0BBD0" w14:textId="77777777" w:rsidR="008E74B8" w:rsidRPr="00352406" w:rsidRDefault="008E74B8" w:rsidP="008E74B8">
      <w:pPr>
        <w:pStyle w:val="FootnoteText"/>
        <w:rPr>
          <w:lang w:val="en-US"/>
        </w:rPr>
      </w:pPr>
      <w:r w:rsidRPr="006664FA">
        <w:t>*All reference to Kosovo, whether the territory, institutions or population, in this text shall be understood in full compliance with United Nations Security Council Resolution 1244 and without prejudice to the status of Kosovo</w:t>
      </w:r>
      <w:r w:rsidRPr="00352406">
        <w:rPr>
          <w:lang w:val="en-US"/>
        </w:rPr>
        <w:t xml:space="preserve"> </w:t>
      </w:r>
    </w:p>
  </w:footnote>
  <w:footnote w:id="8">
    <w:p w14:paraId="1D21F634" w14:textId="77777777" w:rsidR="008E74B8" w:rsidRPr="002B48A0" w:rsidRDefault="008E74B8" w:rsidP="008E74B8">
      <w:pPr>
        <w:pStyle w:val="FootnoteText"/>
        <w:rPr>
          <w:rFonts w:cs="Arial"/>
          <w:lang w:val="en-US"/>
        </w:rPr>
      </w:pPr>
      <w:r w:rsidRPr="002B48A0">
        <w:rPr>
          <w:rStyle w:val="FootnoteReference"/>
          <w:rFonts w:cs="Arial"/>
        </w:rPr>
        <w:footnoteRef/>
      </w:r>
      <w:r w:rsidRPr="002B48A0">
        <w:rPr>
          <w:rFonts w:cs="Arial"/>
        </w:rPr>
        <w:t xml:space="preserve"> </w:t>
      </w:r>
      <w:r w:rsidRPr="002B48A0">
        <w:rPr>
          <w:rFonts w:cs="Arial"/>
          <w:lang w:val="en-US"/>
        </w:rPr>
        <w:t xml:space="preserve">Calculated </w:t>
      </w:r>
      <w:r w:rsidRPr="002B48A0">
        <w:rPr>
          <w:rFonts w:cs="Arial"/>
          <w:i/>
          <w:lang w:val="en-US"/>
        </w:rPr>
        <w:t>prorata temporis</w:t>
      </w:r>
      <w:r w:rsidRPr="002B48A0">
        <w:rPr>
          <w:rFonts w:cs="Arial"/>
          <w:lang w:val="en-US"/>
        </w:rPr>
        <w:t xml:space="preserve"> to CBE 20</w:t>
      </w:r>
      <w:r>
        <w:rPr>
          <w:rFonts w:cs="Arial"/>
          <w:lang w:val="en-US"/>
        </w:rPr>
        <w:t>23</w:t>
      </w:r>
      <w:r w:rsidRPr="002B48A0">
        <w:rPr>
          <w:rFonts w:cs="Arial"/>
          <w:lang w:val="en-US"/>
        </w:rPr>
        <w:t xml:space="preserve">. </w:t>
      </w:r>
    </w:p>
  </w:footnote>
  <w:footnote w:id="9">
    <w:p w14:paraId="3AEEE1FD" w14:textId="77777777" w:rsidR="008E74B8" w:rsidRPr="00E55340" w:rsidRDefault="008E74B8" w:rsidP="008E74B8">
      <w:pPr>
        <w:pStyle w:val="FootnoteText"/>
        <w:rPr>
          <w:lang w:val="en-US"/>
        </w:rPr>
      </w:pPr>
      <w:r>
        <w:rPr>
          <w:rStyle w:val="FootnoteReference"/>
        </w:rPr>
        <w:footnoteRef/>
      </w:r>
      <w:r>
        <w:t xml:space="preserve"> A</w:t>
      </w:r>
      <w:r w:rsidRPr="00FF3D19">
        <w:t xml:space="preserve">iming at publishing data about the judicial system, including statistical data, key performance indicators and other useful information </w:t>
      </w:r>
      <w:r w:rsidRPr="00E55340">
        <w:t>for evaluating the results of the activity of the courts.</w:t>
      </w:r>
    </w:p>
  </w:footnote>
  <w:footnote w:id="10">
    <w:p w14:paraId="79606A1E" w14:textId="77777777" w:rsidR="008E74B8" w:rsidRDefault="008E74B8" w:rsidP="008E74B8">
      <w:pPr>
        <w:pStyle w:val="FootnoteText"/>
      </w:pPr>
      <w:r>
        <w:rPr>
          <w:rStyle w:val="FootnoteReference"/>
        </w:rPr>
        <w:footnoteRef/>
      </w:r>
      <w:r>
        <w:t xml:space="preserve"> </w:t>
      </w:r>
      <w:r w:rsidRPr="004201A8">
        <w:rPr>
          <w:rFonts w:cs="Arial"/>
          <w:szCs w:val="16"/>
        </w:rPr>
        <w:t>See the European Uni</w:t>
      </w:r>
      <w:r w:rsidRPr="00C13ABF">
        <w:rPr>
          <w:rFonts w:cs="Arial"/>
          <w:szCs w:val="16"/>
        </w:rPr>
        <w:t xml:space="preserve">on </w:t>
      </w:r>
      <w:hyperlink r:id="rId3" w:history="1">
        <w:r w:rsidRPr="00C13ABF">
          <w:rPr>
            <w:rFonts w:cs="Arial"/>
            <w:szCs w:val="16"/>
          </w:rPr>
          <w:t>Renewed Partnership with the Southern Mediterranean</w:t>
        </w:r>
      </w:hyperlink>
      <w:r w:rsidRPr="00C13ABF">
        <w:rPr>
          <w:rFonts w:cs="Arial"/>
          <w:szCs w:val="16"/>
        </w:rPr>
        <w:t xml:space="preserve"> and the </w:t>
      </w:r>
      <w:hyperlink r:id="rId4" w:anchor=":~:text=The%20Policy%20of%20the%20Council,Europe%20and%20its%20neighbouring%20regions" w:history="1">
        <w:r w:rsidRPr="00C13ABF">
          <w:rPr>
            <w:rFonts w:cs="Arial"/>
            <w:szCs w:val="16"/>
          </w:rPr>
          <w:t>Council of Europe Policy towards Neighbouring Regions</w:t>
        </w:r>
      </w:hyperlink>
      <w:r w:rsidRPr="00C13ABF">
        <w:rPr>
          <w:rFonts w:cs="Arial"/>
          <w:szCs w:val="16"/>
        </w:rPr>
        <w:t>.</w:t>
      </w:r>
    </w:p>
  </w:footnote>
  <w:footnote w:id="11">
    <w:p w14:paraId="02D3FE7B" w14:textId="77777777" w:rsidR="008E74B8" w:rsidRPr="00ED7F40" w:rsidRDefault="008E74B8" w:rsidP="008E74B8">
      <w:pPr>
        <w:pStyle w:val="FootnoteText"/>
      </w:pPr>
      <w:r w:rsidRPr="00ED7F40">
        <w:rPr>
          <w:rStyle w:val="FootnoteReference"/>
        </w:rPr>
        <w:t>*</w:t>
      </w:r>
      <w:r w:rsidRPr="00ED7F40">
        <w:t xml:space="preserve"> </w:t>
      </w:r>
      <w:r w:rsidRPr="00ED7F40">
        <w:rPr>
          <w:szCs w:val="16"/>
        </w:rPr>
        <w:t>This designation shall not be construed as recognition of a State of Palestine and is without prejudice to the individual positions of Council of Europe member States on this issue.</w:t>
      </w:r>
    </w:p>
  </w:footnote>
  <w:footnote w:id="12">
    <w:p w14:paraId="19D678A5" w14:textId="77777777" w:rsidR="008E74B8" w:rsidRPr="00133FE4" w:rsidRDefault="008E74B8" w:rsidP="008E74B8">
      <w:pPr>
        <w:pStyle w:val="FootnoteText"/>
      </w:pPr>
      <w:r>
        <w:rPr>
          <w:rStyle w:val="FootnoteReference"/>
        </w:rPr>
        <w:footnoteRef/>
      </w:r>
      <w:r>
        <w:t xml:space="preserve"> </w:t>
      </w:r>
      <w:r w:rsidRPr="00945385">
        <w:t>See the conclusions of the launching event for more information:</w:t>
      </w:r>
      <w:r>
        <w:t xml:space="preserve"> </w:t>
      </w:r>
      <w:hyperlink r:id="rId5" w:history="1">
        <w:r w:rsidRPr="00C71075">
          <w:rPr>
            <w:rStyle w:val="Hyperlink"/>
          </w:rPr>
          <w:t>https://rm.coe.int/conclusions-south-programme-v-launching-event-fr/native/1680ab8262</w:t>
        </w:r>
      </w:hyperlink>
    </w:p>
  </w:footnote>
  <w:footnote w:id="13">
    <w:p w14:paraId="53DF221E" w14:textId="77777777" w:rsidR="008E74B8" w:rsidRPr="0066621C" w:rsidRDefault="008E74B8" w:rsidP="008E74B8">
      <w:pPr>
        <w:pStyle w:val="FootnoteText"/>
      </w:pPr>
      <w:r>
        <w:rPr>
          <w:rStyle w:val="FootnoteReference"/>
        </w:rPr>
        <w:footnoteRef/>
      </w:r>
      <w:r w:rsidRPr="0066621C">
        <w:t xml:space="preserve"> </w:t>
      </w:r>
      <w:r w:rsidRPr="00190427">
        <w:t>Convention on the Manipulation of Sports Competitions (CETS 215)</w:t>
      </w:r>
    </w:p>
  </w:footnote>
  <w:footnote w:id="14">
    <w:p w14:paraId="322CB104" w14:textId="77777777" w:rsidR="008E74B8" w:rsidRDefault="008E74B8" w:rsidP="008E74B8">
      <w:pPr>
        <w:pStyle w:val="FootnoteText"/>
      </w:pPr>
      <w:r w:rsidRPr="00590D10">
        <w:rPr>
          <w:rStyle w:val="FootnoteReference"/>
        </w:rPr>
        <w:footnoteRef/>
      </w:r>
      <w:r w:rsidRPr="00590D10">
        <w:t xml:space="preserve"> Convention for the Protection of Individuals with regard to Automatic Processing of Personal Data</w:t>
      </w:r>
      <w:r>
        <w:t xml:space="preserve"> (ETS 108); </w:t>
      </w:r>
      <w:r w:rsidRPr="00590D10">
        <w:t>Protocol amending the Convention for the Protection of Individuals with regard to Automatic Processing of Personal Data</w:t>
      </w:r>
      <w:r>
        <w:t xml:space="preserve"> (CETS 223).</w:t>
      </w:r>
    </w:p>
  </w:footnote>
  <w:footnote w:id="15">
    <w:p w14:paraId="778FB14E" w14:textId="77777777" w:rsidR="008E74B8" w:rsidRDefault="008E74B8" w:rsidP="008E74B8">
      <w:pPr>
        <w:pStyle w:val="FootnoteText"/>
      </w:pPr>
      <w:r w:rsidRPr="00590D10">
        <w:rPr>
          <w:rStyle w:val="FootnoteReference"/>
        </w:rPr>
        <w:footnoteRef/>
      </w:r>
      <w:r w:rsidRPr="00590D10">
        <w:t xml:space="preserve"> Convention on Action against Trafficking in Human Beings (CETS 197)</w:t>
      </w:r>
      <w:r>
        <w:t>.</w:t>
      </w:r>
    </w:p>
  </w:footnote>
  <w:footnote w:id="16">
    <w:p w14:paraId="5E91E8C8" w14:textId="77777777" w:rsidR="008E74B8" w:rsidRPr="0066621C" w:rsidRDefault="008E74B8" w:rsidP="008E74B8">
      <w:pPr>
        <w:pStyle w:val="FootnoteText"/>
        <w:rPr>
          <w:lang w:val="fr-FR"/>
        </w:rPr>
      </w:pPr>
      <w:r w:rsidRPr="00590D10">
        <w:rPr>
          <w:rStyle w:val="FootnoteReference"/>
        </w:rPr>
        <w:footnoteRef/>
      </w:r>
      <w:r w:rsidRPr="0066621C">
        <w:rPr>
          <w:lang w:val="fr-FR"/>
        </w:rPr>
        <w:t xml:space="preserve"> Convention on Cybercrime (Budapest Convention) (ETS 185).</w:t>
      </w:r>
    </w:p>
  </w:footnote>
  <w:footnote w:id="17">
    <w:p w14:paraId="1E9C2CC8" w14:textId="77777777" w:rsidR="008E74B8" w:rsidRPr="00590D10" w:rsidRDefault="008E74B8" w:rsidP="008E74B8">
      <w:pPr>
        <w:pStyle w:val="FootnoteText"/>
      </w:pPr>
      <w:r w:rsidRPr="00590D10">
        <w:rPr>
          <w:rStyle w:val="FootnoteReference"/>
        </w:rPr>
        <w:footnoteRef/>
      </w:r>
      <w:r w:rsidRPr="00590D10">
        <w:t xml:space="preserve"> Convention on the Protection of Children against Sexual Exploitation and Sexual Abuse (Lanzarote Convention) (CETS 201)</w:t>
      </w:r>
      <w:r>
        <w:t>.</w:t>
      </w:r>
    </w:p>
  </w:footnote>
  <w:footnote w:id="18">
    <w:p w14:paraId="686EAC40" w14:textId="77777777" w:rsidR="008E74B8" w:rsidRPr="00190427" w:rsidRDefault="008E74B8" w:rsidP="008E74B8">
      <w:pPr>
        <w:pStyle w:val="FootnoteText"/>
      </w:pPr>
      <w:r>
        <w:rPr>
          <w:rStyle w:val="FootnoteReference"/>
        </w:rPr>
        <w:footnoteRef/>
      </w:r>
      <w:r>
        <w:t xml:space="preserve"> </w:t>
      </w:r>
      <w:r w:rsidRPr="0066621C">
        <w:t>Convention on Access to Official Documents (CETS 205</w:t>
      </w:r>
      <w:r>
        <w:t>)</w:t>
      </w:r>
    </w:p>
  </w:footnote>
  <w:footnote w:id="19">
    <w:p w14:paraId="78D30AE8" w14:textId="77777777" w:rsidR="008E74B8" w:rsidRPr="00A9046A" w:rsidRDefault="008E74B8" w:rsidP="008E74B8">
      <w:pPr>
        <w:pStyle w:val="FootnoteText"/>
      </w:pPr>
      <w:r>
        <w:rPr>
          <w:rStyle w:val="FootnoteReference"/>
        </w:rPr>
        <w:footnoteRef/>
      </w:r>
      <w:r>
        <w:t xml:space="preserve"> </w:t>
      </w:r>
      <w:r w:rsidRPr="00190427">
        <w:t xml:space="preserve">More information on the </w:t>
      </w:r>
      <w:hyperlink r:id="rId6" w:history="1">
        <w:r w:rsidRPr="00190427">
          <w:rPr>
            <w:rStyle w:val="Hyperlink"/>
          </w:rPr>
          <w:t>Qu</w:t>
        </w:r>
        <w:r w:rsidRPr="00A9046A">
          <w:rPr>
            <w:rStyle w:val="Hyperlink"/>
          </w:rPr>
          <w:t>ick Response Mechanism</w:t>
        </w:r>
      </w:hyperlink>
      <w:r>
        <w:t xml:space="preserve"> (QRM): </w:t>
      </w:r>
      <w:r w:rsidRPr="0066621C">
        <w:t>https://pjp-eu.coe.int/en/web/south-programme/quick-response-mechanism</w:t>
      </w:r>
      <w:r>
        <w:t xml:space="preserve"> </w:t>
      </w:r>
    </w:p>
  </w:footnote>
  <w:footnote w:id="20">
    <w:p w14:paraId="5356698E" w14:textId="77777777" w:rsidR="008E74B8" w:rsidRDefault="008E74B8" w:rsidP="008E74B8">
      <w:pPr>
        <w:pStyle w:val="FootnoteText"/>
        <w:rPr>
          <w:rFonts w:cs="Arial"/>
          <w:sz w:val="18"/>
          <w:szCs w:val="18"/>
        </w:rPr>
      </w:pPr>
      <w:r w:rsidRPr="00783A5E">
        <w:rPr>
          <w:rStyle w:val="FootnoteReference"/>
          <w:rFonts w:cs="Arial"/>
          <w:szCs w:val="16"/>
        </w:rPr>
        <w:footnoteRef/>
      </w:r>
      <w:r w:rsidRPr="00783A5E">
        <w:rPr>
          <w:rFonts w:cs="Arial"/>
          <w:szCs w:val="16"/>
        </w:rPr>
        <w:t xml:space="preserve"> Joint First and Second Rounds Evaluation Report on Kazakhstan: https://rm.coe.int/joint-first-and-second-evaluation-rounds-evaluation-report-on-kazakhst/1680a6e276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4193" w14:textId="70BC687D" w:rsidR="00E24C57" w:rsidRPr="00E54322" w:rsidRDefault="002660DB" w:rsidP="00F456DB">
    <w:pPr>
      <w:pStyle w:val="Header"/>
      <w:tabs>
        <w:tab w:val="clear" w:pos="4820"/>
        <w:tab w:val="clear" w:pos="9639"/>
        <w:tab w:val="right" w:pos="5103"/>
      </w:tabs>
    </w:pPr>
    <w:r w:rsidRPr="00E54322">
      <w:t>CM(</w:t>
    </w:r>
    <w:r w:rsidR="00681C0C">
      <w:t>2024</w:t>
    </w:r>
    <w:r w:rsidRPr="00E54322">
      <w:t>)</w:t>
    </w:r>
    <w:r w:rsidR="00F456DB">
      <w:t>33-add</w:t>
    </w:r>
    <w:r w:rsidR="00EB4217">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9FB2" w14:textId="5DEAC1F3" w:rsidR="00E24C57" w:rsidRPr="00E54322" w:rsidRDefault="00E15639" w:rsidP="00EB4217">
    <w:pPr>
      <w:pStyle w:val="Header"/>
      <w:tabs>
        <w:tab w:val="clear" w:pos="4820"/>
        <w:tab w:val="clear" w:pos="9639"/>
        <w:tab w:val="left" w:pos="4536"/>
        <w:tab w:val="left" w:pos="7797"/>
        <w:tab w:val="left" w:pos="7938"/>
        <w:tab w:val="right" w:pos="14317"/>
      </w:tabs>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F456DB">
      <w:tab/>
    </w:r>
    <w:r w:rsidR="002660DB" w:rsidRPr="00E54322">
      <w:t>CM(</w:t>
    </w:r>
    <w:r w:rsidR="00681C0C">
      <w:t>2024</w:t>
    </w:r>
    <w:r w:rsidR="002660DB" w:rsidRPr="00E54322">
      <w:t>)</w:t>
    </w:r>
    <w:r w:rsidR="00F456DB">
      <w:t>33-add</w:t>
    </w:r>
    <w:r w:rsidR="00EB4217">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670D"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19F3F6B8" wp14:editId="3F4CB434">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BF81" w14:textId="56E5A0B8" w:rsidR="00F456DB" w:rsidRPr="00E54322" w:rsidRDefault="00F456DB" w:rsidP="00F456DB">
    <w:pPr>
      <w:pStyle w:val="Header"/>
      <w:tabs>
        <w:tab w:val="clear" w:pos="4820"/>
        <w:tab w:val="clear" w:pos="9639"/>
        <w:tab w:val="left" w:pos="7513"/>
      </w:tabs>
    </w:pPr>
    <w:r w:rsidRPr="00E54322">
      <w:t>CM(</w:t>
    </w:r>
    <w:r>
      <w:t>2024</w:t>
    </w:r>
    <w:r w:rsidRPr="00E54322">
      <w:t>)</w:t>
    </w:r>
    <w:r>
      <w:t>33-add</w:t>
    </w:r>
    <w:r>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9D3" w14:textId="77777777" w:rsidR="00F456DB" w:rsidRPr="00E54322" w:rsidRDefault="00F456DB" w:rsidP="00F456DB">
    <w:pPr>
      <w:pStyle w:val="Header"/>
      <w:tabs>
        <w:tab w:val="clear" w:pos="4820"/>
        <w:tab w:val="clear" w:pos="9639"/>
        <w:tab w:val="left" w:pos="7371"/>
        <w:tab w:val="right" w:pos="14317"/>
      </w:tabs>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t>CM(</w:t>
    </w:r>
    <w:r>
      <w:t>2024</w:t>
    </w:r>
    <w:r w:rsidRPr="00E54322">
      <w:t>)</w:t>
    </w:r>
    <w:r>
      <w:t>33-add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0E99" w14:textId="77777777" w:rsidR="00F456DB" w:rsidRDefault="00F456DB" w:rsidP="00123CDD">
    <w:pPr>
      <w:pStyle w:val="Header"/>
      <w:spacing w:after="2280"/>
    </w:pPr>
    <w:r>
      <w:rPr>
        <w:noProof/>
      </w:rPr>
      <w:drawing>
        <wp:anchor distT="0" distB="0" distL="114300" distR="114300" simplePos="0" relativeHeight="251660288" behindDoc="1" locked="0" layoutInCell="0" allowOverlap="0" wp14:anchorId="506FB9CB" wp14:editId="69377766">
          <wp:simplePos x="0" y="0"/>
          <wp:positionH relativeFrom="margin">
            <wp:posOffset>3240405</wp:posOffset>
          </wp:positionH>
          <wp:positionV relativeFrom="page">
            <wp:align>top</wp:align>
          </wp:positionV>
          <wp:extent cx="3168000" cy="1724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F3D"/>
    <w:multiLevelType w:val="hybridMultilevel"/>
    <w:tmpl w:val="3A60FEA6"/>
    <w:lvl w:ilvl="0" w:tplc="85EE6EA0">
      <w:start w:val="1"/>
      <w:numFmt w:val="lowerRoman"/>
      <w:lvlText w:val="%1)"/>
      <w:lvlJc w:val="left"/>
      <w:pPr>
        <w:ind w:left="1440" w:hanging="720"/>
      </w:pPr>
      <w:rPr>
        <w:rFonts w:eastAsia="Times New Roman" w:hint="default"/>
      </w:rPr>
    </w:lvl>
    <w:lvl w:ilvl="1" w:tplc="57AE13F4" w:tentative="1">
      <w:start w:val="1"/>
      <w:numFmt w:val="lowerLetter"/>
      <w:lvlText w:val="%2."/>
      <w:lvlJc w:val="left"/>
      <w:pPr>
        <w:ind w:left="1800" w:hanging="360"/>
      </w:pPr>
    </w:lvl>
    <w:lvl w:ilvl="2" w:tplc="B69E77EC" w:tentative="1">
      <w:start w:val="1"/>
      <w:numFmt w:val="lowerRoman"/>
      <w:lvlText w:val="%3."/>
      <w:lvlJc w:val="right"/>
      <w:pPr>
        <w:ind w:left="2520" w:hanging="180"/>
      </w:pPr>
    </w:lvl>
    <w:lvl w:ilvl="3" w:tplc="22B29054" w:tentative="1">
      <w:start w:val="1"/>
      <w:numFmt w:val="decimal"/>
      <w:lvlText w:val="%4."/>
      <w:lvlJc w:val="left"/>
      <w:pPr>
        <w:ind w:left="3240" w:hanging="360"/>
      </w:pPr>
    </w:lvl>
    <w:lvl w:ilvl="4" w:tplc="918C5000" w:tentative="1">
      <w:start w:val="1"/>
      <w:numFmt w:val="lowerLetter"/>
      <w:lvlText w:val="%5."/>
      <w:lvlJc w:val="left"/>
      <w:pPr>
        <w:ind w:left="3960" w:hanging="360"/>
      </w:pPr>
    </w:lvl>
    <w:lvl w:ilvl="5" w:tplc="68AAC32A" w:tentative="1">
      <w:start w:val="1"/>
      <w:numFmt w:val="lowerRoman"/>
      <w:lvlText w:val="%6."/>
      <w:lvlJc w:val="right"/>
      <w:pPr>
        <w:ind w:left="4680" w:hanging="180"/>
      </w:pPr>
    </w:lvl>
    <w:lvl w:ilvl="6" w:tplc="B786073C" w:tentative="1">
      <w:start w:val="1"/>
      <w:numFmt w:val="decimal"/>
      <w:lvlText w:val="%7."/>
      <w:lvlJc w:val="left"/>
      <w:pPr>
        <w:ind w:left="5400" w:hanging="360"/>
      </w:pPr>
    </w:lvl>
    <w:lvl w:ilvl="7" w:tplc="F20658AC" w:tentative="1">
      <w:start w:val="1"/>
      <w:numFmt w:val="lowerLetter"/>
      <w:lvlText w:val="%8."/>
      <w:lvlJc w:val="left"/>
      <w:pPr>
        <w:ind w:left="6120" w:hanging="360"/>
      </w:pPr>
    </w:lvl>
    <w:lvl w:ilvl="8" w:tplc="18BADD48" w:tentative="1">
      <w:start w:val="1"/>
      <w:numFmt w:val="lowerRoman"/>
      <w:lvlText w:val="%9."/>
      <w:lvlJc w:val="right"/>
      <w:pPr>
        <w:ind w:left="6840" w:hanging="180"/>
      </w:pPr>
    </w:lvl>
  </w:abstractNum>
  <w:abstractNum w:abstractNumId="1" w15:restartNumberingAfterBreak="0">
    <w:nsid w:val="095C3644"/>
    <w:multiLevelType w:val="hybridMultilevel"/>
    <w:tmpl w:val="60D0604E"/>
    <w:lvl w:ilvl="0" w:tplc="1C507848">
      <w:start w:val="1"/>
      <w:numFmt w:val="lowerRoman"/>
      <w:lvlText w:val="%1)"/>
      <w:lvlJc w:val="left"/>
      <w:pPr>
        <w:ind w:left="1080" w:hanging="720"/>
      </w:pPr>
      <w:rPr>
        <w:rFonts w:ascii="Arial" w:hAnsi="Arial" w:cs="Arial" w:hint="default"/>
        <w:sz w:val="20"/>
        <w:szCs w:val="20"/>
      </w:rPr>
    </w:lvl>
    <w:lvl w:ilvl="1" w:tplc="08F4C7A4" w:tentative="1">
      <w:start w:val="1"/>
      <w:numFmt w:val="lowerLetter"/>
      <w:lvlText w:val="%2."/>
      <w:lvlJc w:val="left"/>
      <w:pPr>
        <w:ind w:left="1440" w:hanging="360"/>
      </w:pPr>
    </w:lvl>
    <w:lvl w:ilvl="2" w:tplc="6F9C28B2" w:tentative="1">
      <w:start w:val="1"/>
      <w:numFmt w:val="lowerRoman"/>
      <w:lvlText w:val="%3."/>
      <w:lvlJc w:val="right"/>
      <w:pPr>
        <w:ind w:left="2160" w:hanging="180"/>
      </w:pPr>
    </w:lvl>
    <w:lvl w:ilvl="3" w:tplc="B4A009FC" w:tentative="1">
      <w:start w:val="1"/>
      <w:numFmt w:val="decimal"/>
      <w:lvlText w:val="%4."/>
      <w:lvlJc w:val="left"/>
      <w:pPr>
        <w:ind w:left="2880" w:hanging="360"/>
      </w:pPr>
    </w:lvl>
    <w:lvl w:ilvl="4" w:tplc="7A6AAB1E" w:tentative="1">
      <w:start w:val="1"/>
      <w:numFmt w:val="lowerLetter"/>
      <w:lvlText w:val="%5."/>
      <w:lvlJc w:val="left"/>
      <w:pPr>
        <w:ind w:left="3600" w:hanging="360"/>
      </w:pPr>
    </w:lvl>
    <w:lvl w:ilvl="5" w:tplc="4120E10E" w:tentative="1">
      <w:start w:val="1"/>
      <w:numFmt w:val="lowerRoman"/>
      <w:lvlText w:val="%6."/>
      <w:lvlJc w:val="right"/>
      <w:pPr>
        <w:ind w:left="4320" w:hanging="180"/>
      </w:pPr>
    </w:lvl>
    <w:lvl w:ilvl="6" w:tplc="6F64B9AA" w:tentative="1">
      <w:start w:val="1"/>
      <w:numFmt w:val="decimal"/>
      <w:lvlText w:val="%7."/>
      <w:lvlJc w:val="left"/>
      <w:pPr>
        <w:ind w:left="5040" w:hanging="360"/>
      </w:pPr>
    </w:lvl>
    <w:lvl w:ilvl="7" w:tplc="4E545B0C" w:tentative="1">
      <w:start w:val="1"/>
      <w:numFmt w:val="lowerLetter"/>
      <w:lvlText w:val="%8."/>
      <w:lvlJc w:val="left"/>
      <w:pPr>
        <w:ind w:left="5760" w:hanging="360"/>
      </w:pPr>
    </w:lvl>
    <w:lvl w:ilvl="8" w:tplc="3A3EE592" w:tentative="1">
      <w:start w:val="1"/>
      <w:numFmt w:val="lowerRoman"/>
      <w:lvlText w:val="%9."/>
      <w:lvlJc w:val="right"/>
      <w:pPr>
        <w:ind w:left="6480" w:hanging="180"/>
      </w:pPr>
    </w:lvl>
  </w:abstractNum>
  <w:abstractNum w:abstractNumId="2" w15:restartNumberingAfterBreak="0">
    <w:nsid w:val="0AB740E6"/>
    <w:multiLevelType w:val="hybridMultilevel"/>
    <w:tmpl w:val="A7307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545808"/>
    <w:multiLevelType w:val="hybridMultilevel"/>
    <w:tmpl w:val="6E10D38C"/>
    <w:lvl w:ilvl="0" w:tplc="2C1EDEC0">
      <w:start w:val="2"/>
      <w:numFmt w:val="bullet"/>
      <w:lvlText w:val="-"/>
      <w:lvlJc w:val="left"/>
      <w:pPr>
        <w:ind w:left="1080" w:hanging="72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C450C"/>
    <w:multiLevelType w:val="hybridMultilevel"/>
    <w:tmpl w:val="6E0883AC"/>
    <w:lvl w:ilvl="0" w:tplc="08090001">
      <w:start w:val="1"/>
      <w:numFmt w:val="bullet"/>
      <w:lvlText w:val=""/>
      <w:lvlJc w:val="left"/>
      <w:pPr>
        <w:ind w:left="1068" w:hanging="360"/>
      </w:pPr>
      <w:rPr>
        <w:rFonts w:ascii="Symbol" w:hAnsi="Symbol" w:hint="default"/>
      </w:rPr>
    </w:lvl>
    <w:lvl w:ilvl="1" w:tplc="F0F4802C">
      <w:numFmt w:val="bullet"/>
      <w:lvlText w:val="-"/>
      <w:lvlJc w:val="left"/>
      <w:pPr>
        <w:ind w:left="2133" w:hanging="705"/>
      </w:pPr>
      <w:rPr>
        <w:rFonts w:ascii="Tahoma" w:eastAsia="Times New Roman" w:hAnsi="Tahoma" w:cs="Tahoma"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5" w15:restartNumberingAfterBreak="0">
    <w:nsid w:val="19451BCD"/>
    <w:multiLevelType w:val="hybridMultilevel"/>
    <w:tmpl w:val="88A0FE4A"/>
    <w:lvl w:ilvl="0" w:tplc="159089EA">
      <w:start w:val="1"/>
      <w:numFmt w:val="bullet"/>
      <w:pStyle w:val="bul1a"/>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2D6D52"/>
    <w:multiLevelType w:val="multilevel"/>
    <w:tmpl w:val="72D86B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EC7DD0"/>
    <w:multiLevelType w:val="hybridMultilevel"/>
    <w:tmpl w:val="1ED2D12E"/>
    <w:lvl w:ilvl="0" w:tplc="341A4A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CE4FEB"/>
    <w:multiLevelType w:val="hybridMultilevel"/>
    <w:tmpl w:val="C5980536"/>
    <w:name w:val="WWNum2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2E1D9C"/>
    <w:multiLevelType w:val="hybridMultilevel"/>
    <w:tmpl w:val="66C2C126"/>
    <w:lvl w:ilvl="0" w:tplc="2C1EDEC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348FD"/>
    <w:multiLevelType w:val="hybridMultilevel"/>
    <w:tmpl w:val="E66E9ED6"/>
    <w:lvl w:ilvl="0" w:tplc="FEDAACE6">
      <w:start w:val="1"/>
      <w:numFmt w:val="bullet"/>
      <w:pStyle w:val="COEHI"/>
      <w:lvlText w:val="–"/>
      <w:lvlJc w:val="left"/>
      <w:pPr>
        <w:tabs>
          <w:tab w:val="num" w:pos="960"/>
        </w:tabs>
        <w:ind w:left="960" w:hanging="480"/>
      </w:pPr>
      <w:rPr>
        <w:rFonts w:ascii="Times New Roman" w:hAnsi="Times New Roman" w:cs="Times New Roman" w:hint="default"/>
        <w:lang w:val="fr-FR"/>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E39B3"/>
    <w:multiLevelType w:val="hybridMultilevel"/>
    <w:tmpl w:val="EA1CCF00"/>
    <w:lvl w:ilvl="0" w:tplc="4A3A1B7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0BF4F3C"/>
    <w:multiLevelType w:val="hybridMultilevel"/>
    <w:tmpl w:val="8F703A0A"/>
    <w:lvl w:ilvl="0" w:tplc="BDBE9D68">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3725D72"/>
    <w:multiLevelType w:val="hybridMultilevel"/>
    <w:tmpl w:val="CAACA8A2"/>
    <w:lvl w:ilvl="0" w:tplc="57920036">
      <w:start w:val="2"/>
      <w:numFmt w:val="bullet"/>
      <w:lvlText w:val="-"/>
      <w:lvlJc w:val="left"/>
      <w:pPr>
        <w:ind w:left="720" w:hanging="360"/>
      </w:pPr>
      <w:rPr>
        <w:rFonts w:ascii="Arial" w:eastAsia="Times New Roman" w:hAnsi="Arial" w:cs="Arial" w:hint="default"/>
      </w:rPr>
    </w:lvl>
    <w:lvl w:ilvl="1" w:tplc="85080684">
      <w:start w:val="1"/>
      <w:numFmt w:val="bullet"/>
      <w:lvlText w:val="o"/>
      <w:lvlJc w:val="left"/>
      <w:pPr>
        <w:ind w:left="1440" w:hanging="360"/>
      </w:pPr>
      <w:rPr>
        <w:rFonts w:ascii="Courier New" w:hAnsi="Courier New" w:cs="Courier New" w:hint="default"/>
      </w:rPr>
    </w:lvl>
    <w:lvl w:ilvl="2" w:tplc="7676EEEE" w:tentative="1">
      <w:start w:val="1"/>
      <w:numFmt w:val="bullet"/>
      <w:lvlText w:val=""/>
      <w:lvlJc w:val="left"/>
      <w:pPr>
        <w:ind w:left="2160" w:hanging="360"/>
      </w:pPr>
      <w:rPr>
        <w:rFonts w:ascii="Wingdings" w:hAnsi="Wingdings" w:hint="default"/>
      </w:rPr>
    </w:lvl>
    <w:lvl w:ilvl="3" w:tplc="AC70F52A" w:tentative="1">
      <w:start w:val="1"/>
      <w:numFmt w:val="bullet"/>
      <w:lvlText w:val=""/>
      <w:lvlJc w:val="left"/>
      <w:pPr>
        <w:ind w:left="2880" w:hanging="360"/>
      </w:pPr>
      <w:rPr>
        <w:rFonts w:ascii="Symbol" w:hAnsi="Symbol" w:hint="default"/>
      </w:rPr>
    </w:lvl>
    <w:lvl w:ilvl="4" w:tplc="CCBE4D74" w:tentative="1">
      <w:start w:val="1"/>
      <w:numFmt w:val="bullet"/>
      <w:lvlText w:val="o"/>
      <w:lvlJc w:val="left"/>
      <w:pPr>
        <w:ind w:left="3600" w:hanging="360"/>
      </w:pPr>
      <w:rPr>
        <w:rFonts w:ascii="Courier New" w:hAnsi="Courier New" w:cs="Courier New" w:hint="default"/>
      </w:rPr>
    </w:lvl>
    <w:lvl w:ilvl="5" w:tplc="D2CC8BBE" w:tentative="1">
      <w:start w:val="1"/>
      <w:numFmt w:val="bullet"/>
      <w:lvlText w:val=""/>
      <w:lvlJc w:val="left"/>
      <w:pPr>
        <w:ind w:left="4320" w:hanging="360"/>
      </w:pPr>
      <w:rPr>
        <w:rFonts w:ascii="Wingdings" w:hAnsi="Wingdings" w:hint="default"/>
      </w:rPr>
    </w:lvl>
    <w:lvl w:ilvl="6" w:tplc="886E79D2" w:tentative="1">
      <w:start w:val="1"/>
      <w:numFmt w:val="bullet"/>
      <w:lvlText w:val=""/>
      <w:lvlJc w:val="left"/>
      <w:pPr>
        <w:ind w:left="5040" w:hanging="360"/>
      </w:pPr>
      <w:rPr>
        <w:rFonts w:ascii="Symbol" w:hAnsi="Symbol" w:hint="default"/>
      </w:rPr>
    </w:lvl>
    <w:lvl w:ilvl="7" w:tplc="CDE0975A" w:tentative="1">
      <w:start w:val="1"/>
      <w:numFmt w:val="bullet"/>
      <w:lvlText w:val="o"/>
      <w:lvlJc w:val="left"/>
      <w:pPr>
        <w:ind w:left="5760" w:hanging="360"/>
      </w:pPr>
      <w:rPr>
        <w:rFonts w:ascii="Courier New" w:hAnsi="Courier New" w:cs="Courier New" w:hint="default"/>
      </w:rPr>
    </w:lvl>
    <w:lvl w:ilvl="8" w:tplc="F322E356" w:tentative="1">
      <w:start w:val="1"/>
      <w:numFmt w:val="bullet"/>
      <w:lvlText w:val=""/>
      <w:lvlJc w:val="left"/>
      <w:pPr>
        <w:ind w:left="6480" w:hanging="360"/>
      </w:pPr>
      <w:rPr>
        <w:rFonts w:ascii="Wingdings" w:hAnsi="Wingdings" w:hint="default"/>
      </w:rPr>
    </w:lvl>
  </w:abstractNum>
  <w:abstractNum w:abstractNumId="14" w15:restartNumberingAfterBreak="0">
    <w:nsid w:val="33BF52F4"/>
    <w:multiLevelType w:val="hybridMultilevel"/>
    <w:tmpl w:val="D2E654EC"/>
    <w:lvl w:ilvl="0" w:tplc="1F72AB44">
      <w:start w:val="2"/>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9E410E7"/>
    <w:multiLevelType w:val="hybridMultilevel"/>
    <w:tmpl w:val="7D26B4AA"/>
    <w:lvl w:ilvl="0" w:tplc="B6DC9EB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A3783"/>
    <w:multiLevelType w:val="hybridMultilevel"/>
    <w:tmpl w:val="BC907458"/>
    <w:lvl w:ilvl="0" w:tplc="59464368">
      <w:start w:val="7"/>
      <w:numFmt w:val="decimal"/>
      <w:lvlText w:val="%1."/>
      <w:lvlJc w:val="left"/>
      <w:pPr>
        <w:ind w:left="928" w:hanging="360"/>
      </w:pPr>
      <w:rPr>
        <w:rFonts w:hint="default"/>
        <w:b w:val="0"/>
        <w:bCs/>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850D91"/>
    <w:multiLevelType w:val="hybridMultilevel"/>
    <w:tmpl w:val="BA1C3892"/>
    <w:lvl w:ilvl="0" w:tplc="B46052D4">
      <w:start w:val="1"/>
      <w:numFmt w:val="lowerRoman"/>
      <w:lvlText w:val="%1)"/>
      <w:lvlJc w:val="left"/>
      <w:pPr>
        <w:ind w:left="1440" w:hanging="720"/>
      </w:pPr>
      <w:rPr>
        <w:rFonts w:hint="default"/>
      </w:rPr>
    </w:lvl>
    <w:lvl w:ilvl="1" w:tplc="DEE6AF5A" w:tentative="1">
      <w:start w:val="1"/>
      <w:numFmt w:val="lowerLetter"/>
      <w:lvlText w:val="%2."/>
      <w:lvlJc w:val="left"/>
      <w:pPr>
        <w:ind w:left="1800" w:hanging="360"/>
      </w:pPr>
    </w:lvl>
    <w:lvl w:ilvl="2" w:tplc="93B4CE5A" w:tentative="1">
      <w:start w:val="1"/>
      <w:numFmt w:val="lowerRoman"/>
      <w:lvlText w:val="%3."/>
      <w:lvlJc w:val="right"/>
      <w:pPr>
        <w:ind w:left="2520" w:hanging="180"/>
      </w:pPr>
    </w:lvl>
    <w:lvl w:ilvl="3" w:tplc="0D968710" w:tentative="1">
      <w:start w:val="1"/>
      <w:numFmt w:val="decimal"/>
      <w:lvlText w:val="%4."/>
      <w:lvlJc w:val="left"/>
      <w:pPr>
        <w:ind w:left="3240" w:hanging="360"/>
      </w:pPr>
    </w:lvl>
    <w:lvl w:ilvl="4" w:tplc="F05CBFD8" w:tentative="1">
      <w:start w:val="1"/>
      <w:numFmt w:val="lowerLetter"/>
      <w:lvlText w:val="%5."/>
      <w:lvlJc w:val="left"/>
      <w:pPr>
        <w:ind w:left="3960" w:hanging="360"/>
      </w:pPr>
    </w:lvl>
    <w:lvl w:ilvl="5" w:tplc="33BC3BC0" w:tentative="1">
      <w:start w:val="1"/>
      <w:numFmt w:val="lowerRoman"/>
      <w:lvlText w:val="%6."/>
      <w:lvlJc w:val="right"/>
      <w:pPr>
        <w:ind w:left="4680" w:hanging="180"/>
      </w:pPr>
    </w:lvl>
    <w:lvl w:ilvl="6" w:tplc="AD9E0AB2" w:tentative="1">
      <w:start w:val="1"/>
      <w:numFmt w:val="decimal"/>
      <w:lvlText w:val="%7."/>
      <w:lvlJc w:val="left"/>
      <w:pPr>
        <w:ind w:left="5400" w:hanging="360"/>
      </w:pPr>
    </w:lvl>
    <w:lvl w:ilvl="7" w:tplc="97C60F5A" w:tentative="1">
      <w:start w:val="1"/>
      <w:numFmt w:val="lowerLetter"/>
      <w:lvlText w:val="%8."/>
      <w:lvlJc w:val="left"/>
      <w:pPr>
        <w:ind w:left="6120" w:hanging="360"/>
      </w:pPr>
    </w:lvl>
    <w:lvl w:ilvl="8" w:tplc="6BF073A6" w:tentative="1">
      <w:start w:val="1"/>
      <w:numFmt w:val="lowerRoman"/>
      <w:lvlText w:val="%9."/>
      <w:lvlJc w:val="right"/>
      <w:pPr>
        <w:ind w:left="6840" w:hanging="180"/>
      </w:pPr>
    </w:lvl>
  </w:abstractNum>
  <w:abstractNum w:abstractNumId="18" w15:restartNumberingAfterBreak="0">
    <w:nsid w:val="3E8F45B1"/>
    <w:multiLevelType w:val="hybridMultilevel"/>
    <w:tmpl w:val="B752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4BF089E"/>
    <w:multiLevelType w:val="hybridMultilevel"/>
    <w:tmpl w:val="6F3019B0"/>
    <w:lvl w:ilvl="0" w:tplc="B5BECE1A">
      <w:start w:val="1"/>
      <w:numFmt w:val="bullet"/>
      <w:pStyle w:val="ListBullet1"/>
      <w:lvlText w:val=""/>
      <w:lvlJc w:val="left"/>
      <w:pPr>
        <w:tabs>
          <w:tab w:val="num" w:pos="1360"/>
        </w:tabs>
        <w:ind w:left="1360" w:hanging="170"/>
      </w:pPr>
      <w:rPr>
        <w:rFonts w:ascii="Symbol" w:hAnsi="Symbol" w:hint="default"/>
      </w:rPr>
    </w:lvl>
    <w:lvl w:ilvl="1" w:tplc="31A84AD8">
      <w:start w:val="1"/>
      <w:numFmt w:val="bullet"/>
      <w:lvlText w:val="o"/>
      <w:lvlJc w:val="left"/>
      <w:pPr>
        <w:tabs>
          <w:tab w:val="num" w:pos="2630"/>
        </w:tabs>
        <w:ind w:left="2630" w:hanging="360"/>
      </w:pPr>
      <w:rPr>
        <w:rFonts w:ascii="Courier New" w:hAnsi="Courier New" w:cs="Courier New" w:hint="default"/>
      </w:rPr>
    </w:lvl>
    <w:lvl w:ilvl="2" w:tplc="08090005">
      <w:start w:val="1"/>
      <w:numFmt w:val="bullet"/>
      <w:lvlText w:val=""/>
      <w:lvlJc w:val="left"/>
      <w:pPr>
        <w:tabs>
          <w:tab w:val="num" w:pos="3350"/>
        </w:tabs>
        <w:ind w:left="3350" w:hanging="360"/>
      </w:pPr>
      <w:rPr>
        <w:rFonts w:ascii="Wingdings" w:hAnsi="Wingdings" w:hint="default"/>
      </w:rPr>
    </w:lvl>
    <w:lvl w:ilvl="3" w:tplc="08090001">
      <w:start w:val="1"/>
      <w:numFmt w:val="bullet"/>
      <w:lvlText w:val=""/>
      <w:lvlJc w:val="left"/>
      <w:pPr>
        <w:tabs>
          <w:tab w:val="num" w:pos="4070"/>
        </w:tabs>
        <w:ind w:left="4070" w:hanging="360"/>
      </w:pPr>
      <w:rPr>
        <w:rFonts w:ascii="Symbol" w:hAnsi="Symbol" w:hint="default"/>
      </w:rPr>
    </w:lvl>
    <w:lvl w:ilvl="4" w:tplc="08090003">
      <w:start w:val="1"/>
      <w:numFmt w:val="bullet"/>
      <w:lvlText w:val="o"/>
      <w:lvlJc w:val="left"/>
      <w:pPr>
        <w:tabs>
          <w:tab w:val="num" w:pos="4790"/>
        </w:tabs>
        <w:ind w:left="4790" w:hanging="360"/>
      </w:pPr>
      <w:rPr>
        <w:rFonts w:ascii="Courier New" w:hAnsi="Courier New" w:cs="Courier New" w:hint="default"/>
      </w:rPr>
    </w:lvl>
    <w:lvl w:ilvl="5" w:tplc="08090005">
      <w:start w:val="1"/>
      <w:numFmt w:val="bullet"/>
      <w:lvlText w:val=""/>
      <w:lvlJc w:val="left"/>
      <w:pPr>
        <w:tabs>
          <w:tab w:val="num" w:pos="5510"/>
        </w:tabs>
        <w:ind w:left="5510" w:hanging="360"/>
      </w:pPr>
      <w:rPr>
        <w:rFonts w:ascii="Wingdings" w:hAnsi="Wingdings" w:hint="default"/>
      </w:rPr>
    </w:lvl>
    <w:lvl w:ilvl="6" w:tplc="08090001">
      <w:start w:val="1"/>
      <w:numFmt w:val="bullet"/>
      <w:lvlText w:val=""/>
      <w:lvlJc w:val="left"/>
      <w:pPr>
        <w:tabs>
          <w:tab w:val="num" w:pos="6230"/>
        </w:tabs>
        <w:ind w:left="6230" w:hanging="360"/>
      </w:pPr>
      <w:rPr>
        <w:rFonts w:ascii="Symbol" w:hAnsi="Symbol" w:hint="default"/>
      </w:rPr>
    </w:lvl>
    <w:lvl w:ilvl="7" w:tplc="08090003">
      <w:start w:val="1"/>
      <w:numFmt w:val="bullet"/>
      <w:lvlText w:val="o"/>
      <w:lvlJc w:val="left"/>
      <w:pPr>
        <w:tabs>
          <w:tab w:val="num" w:pos="6950"/>
        </w:tabs>
        <w:ind w:left="6950" w:hanging="360"/>
      </w:pPr>
      <w:rPr>
        <w:rFonts w:ascii="Courier New" w:hAnsi="Courier New" w:cs="Courier New" w:hint="default"/>
      </w:rPr>
    </w:lvl>
    <w:lvl w:ilvl="8" w:tplc="08090005">
      <w:start w:val="1"/>
      <w:numFmt w:val="bullet"/>
      <w:lvlText w:val=""/>
      <w:lvlJc w:val="left"/>
      <w:pPr>
        <w:tabs>
          <w:tab w:val="num" w:pos="7670"/>
        </w:tabs>
        <w:ind w:left="7670" w:hanging="360"/>
      </w:pPr>
      <w:rPr>
        <w:rFonts w:ascii="Wingdings" w:hAnsi="Wingdings" w:hint="default"/>
      </w:rPr>
    </w:lvl>
  </w:abstractNum>
  <w:abstractNum w:abstractNumId="20" w15:restartNumberingAfterBreak="0">
    <w:nsid w:val="491F6232"/>
    <w:multiLevelType w:val="hybridMultilevel"/>
    <w:tmpl w:val="0616BFAC"/>
    <w:lvl w:ilvl="0" w:tplc="62CA5440">
      <w:start w:val="1"/>
      <w:numFmt w:val="lowerRoman"/>
      <w:lvlText w:val="%1)"/>
      <w:lvlJc w:val="left"/>
      <w:pPr>
        <w:ind w:left="1080" w:hanging="720"/>
      </w:pPr>
      <w:rPr>
        <w:rFonts w:hint="default"/>
      </w:rPr>
    </w:lvl>
    <w:lvl w:ilvl="1" w:tplc="777C64C8" w:tentative="1">
      <w:start w:val="1"/>
      <w:numFmt w:val="lowerLetter"/>
      <w:lvlText w:val="%2."/>
      <w:lvlJc w:val="left"/>
      <w:pPr>
        <w:ind w:left="1440" w:hanging="360"/>
      </w:pPr>
    </w:lvl>
    <w:lvl w:ilvl="2" w:tplc="DB0AB962" w:tentative="1">
      <w:start w:val="1"/>
      <w:numFmt w:val="lowerRoman"/>
      <w:lvlText w:val="%3."/>
      <w:lvlJc w:val="right"/>
      <w:pPr>
        <w:ind w:left="2160" w:hanging="180"/>
      </w:pPr>
    </w:lvl>
    <w:lvl w:ilvl="3" w:tplc="79F41C60" w:tentative="1">
      <w:start w:val="1"/>
      <w:numFmt w:val="decimal"/>
      <w:lvlText w:val="%4."/>
      <w:lvlJc w:val="left"/>
      <w:pPr>
        <w:ind w:left="2880" w:hanging="360"/>
      </w:pPr>
    </w:lvl>
    <w:lvl w:ilvl="4" w:tplc="F35008CE" w:tentative="1">
      <w:start w:val="1"/>
      <w:numFmt w:val="lowerLetter"/>
      <w:lvlText w:val="%5."/>
      <w:lvlJc w:val="left"/>
      <w:pPr>
        <w:ind w:left="3600" w:hanging="360"/>
      </w:pPr>
    </w:lvl>
    <w:lvl w:ilvl="5" w:tplc="38743752" w:tentative="1">
      <w:start w:val="1"/>
      <w:numFmt w:val="lowerRoman"/>
      <w:lvlText w:val="%6."/>
      <w:lvlJc w:val="right"/>
      <w:pPr>
        <w:ind w:left="4320" w:hanging="180"/>
      </w:pPr>
    </w:lvl>
    <w:lvl w:ilvl="6" w:tplc="9828DDB6" w:tentative="1">
      <w:start w:val="1"/>
      <w:numFmt w:val="decimal"/>
      <w:lvlText w:val="%7."/>
      <w:lvlJc w:val="left"/>
      <w:pPr>
        <w:ind w:left="5040" w:hanging="360"/>
      </w:pPr>
    </w:lvl>
    <w:lvl w:ilvl="7" w:tplc="24648316" w:tentative="1">
      <w:start w:val="1"/>
      <w:numFmt w:val="lowerLetter"/>
      <w:lvlText w:val="%8."/>
      <w:lvlJc w:val="left"/>
      <w:pPr>
        <w:ind w:left="5760" w:hanging="360"/>
      </w:pPr>
    </w:lvl>
    <w:lvl w:ilvl="8" w:tplc="4CC6BD22" w:tentative="1">
      <w:start w:val="1"/>
      <w:numFmt w:val="lowerRoman"/>
      <w:lvlText w:val="%9."/>
      <w:lvlJc w:val="right"/>
      <w:pPr>
        <w:ind w:left="6480" w:hanging="180"/>
      </w:pPr>
    </w:lvl>
  </w:abstractNum>
  <w:abstractNum w:abstractNumId="21" w15:restartNumberingAfterBreak="0">
    <w:nsid w:val="4E0D7C5F"/>
    <w:multiLevelType w:val="hybridMultilevel"/>
    <w:tmpl w:val="641E42B2"/>
    <w:lvl w:ilvl="0" w:tplc="707CD35A">
      <w:start w:val="2"/>
      <w:numFmt w:val="bullet"/>
      <w:lvlText w:val="-"/>
      <w:lvlJc w:val="left"/>
      <w:pPr>
        <w:ind w:left="720" w:hanging="360"/>
      </w:pPr>
      <w:rPr>
        <w:rFonts w:ascii="Arial" w:eastAsia="Calibri" w:hAnsi="Arial" w:cs="Arial" w:hint="default"/>
        <w:b w:val="0"/>
      </w:rPr>
    </w:lvl>
    <w:lvl w:ilvl="1" w:tplc="C1546046" w:tentative="1">
      <w:start w:val="1"/>
      <w:numFmt w:val="bullet"/>
      <w:lvlText w:val="o"/>
      <w:lvlJc w:val="left"/>
      <w:pPr>
        <w:ind w:left="1440" w:hanging="360"/>
      </w:pPr>
      <w:rPr>
        <w:rFonts w:ascii="Courier New" w:hAnsi="Courier New" w:cs="Courier New" w:hint="default"/>
      </w:rPr>
    </w:lvl>
    <w:lvl w:ilvl="2" w:tplc="B46AC5F6" w:tentative="1">
      <w:start w:val="1"/>
      <w:numFmt w:val="bullet"/>
      <w:lvlText w:val=""/>
      <w:lvlJc w:val="left"/>
      <w:pPr>
        <w:ind w:left="2160" w:hanging="360"/>
      </w:pPr>
      <w:rPr>
        <w:rFonts w:ascii="Wingdings" w:hAnsi="Wingdings" w:hint="default"/>
      </w:rPr>
    </w:lvl>
    <w:lvl w:ilvl="3" w:tplc="0DD60A3E" w:tentative="1">
      <w:start w:val="1"/>
      <w:numFmt w:val="bullet"/>
      <w:lvlText w:val=""/>
      <w:lvlJc w:val="left"/>
      <w:pPr>
        <w:ind w:left="2880" w:hanging="360"/>
      </w:pPr>
      <w:rPr>
        <w:rFonts w:ascii="Symbol" w:hAnsi="Symbol" w:hint="default"/>
      </w:rPr>
    </w:lvl>
    <w:lvl w:ilvl="4" w:tplc="5E461E78" w:tentative="1">
      <w:start w:val="1"/>
      <w:numFmt w:val="bullet"/>
      <w:lvlText w:val="o"/>
      <w:lvlJc w:val="left"/>
      <w:pPr>
        <w:ind w:left="3600" w:hanging="360"/>
      </w:pPr>
      <w:rPr>
        <w:rFonts w:ascii="Courier New" w:hAnsi="Courier New" w:cs="Courier New" w:hint="default"/>
      </w:rPr>
    </w:lvl>
    <w:lvl w:ilvl="5" w:tplc="4E6037DC" w:tentative="1">
      <w:start w:val="1"/>
      <w:numFmt w:val="bullet"/>
      <w:lvlText w:val=""/>
      <w:lvlJc w:val="left"/>
      <w:pPr>
        <w:ind w:left="4320" w:hanging="360"/>
      </w:pPr>
      <w:rPr>
        <w:rFonts w:ascii="Wingdings" w:hAnsi="Wingdings" w:hint="default"/>
      </w:rPr>
    </w:lvl>
    <w:lvl w:ilvl="6" w:tplc="7DF24DD0" w:tentative="1">
      <w:start w:val="1"/>
      <w:numFmt w:val="bullet"/>
      <w:lvlText w:val=""/>
      <w:lvlJc w:val="left"/>
      <w:pPr>
        <w:ind w:left="5040" w:hanging="360"/>
      </w:pPr>
      <w:rPr>
        <w:rFonts w:ascii="Symbol" w:hAnsi="Symbol" w:hint="default"/>
      </w:rPr>
    </w:lvl>
    <w:lvl w:ilvl="7" w:tplc="9572C762" w:tentative="1">
      <w:start w:val="1"/>
      <w:numFmt w:val="bullet"/>
      <w:lvlText w:val="o"/>
      <w:lvlJc w:val="left"/>
      <w:pPr>
        <w:ind w:left="5760" w:hanging="360"/>
      </w:pPr>
      <w:rPr>
        <w:rFonts w:ascii="Courier New" w:hAnsi="Courier New" w:cs="Courier New" w:hint="default"/>
      </w:rPr>
    </w:lvl>
    <w:lvl w:ilvl="8" w:tplc="81A292C6" w:tentative="1">
      <w:start w:val="1"/>
      <w:numFmt w:val="bullet"/>
      <w:lvlText w:val=""/>
      <w:lvlJc w:val="left"/>
      <w:pPr>
        <w:ind w:left="6480" w:hanging="360"/>
      </w:pPr>
      <w:rPr>
        <w:rFonts w:ascii="Wingdings" w:hAnsi="Wingdings" w:hint="default"/>
      </w:rPr>
    </w:lvl>
  </w:abstractNum>
  <w:abstractNum w:abstractNumId="22" w15:restartNumberingAfterBreak="0">
    <w:nsid w:val="4E6968E6"/>
    <w:multiLevelType w:val="hybridMultilevel"/>
    <w:tmpl w:val="BB6214C2"/>
    <w:lvl w:ilvl="0" w:tplc="B0DC89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6F059A"/>
    <w:multiLevelType w:val="hybridMultilevel"/>
    <w:tmpl w:val="B9EE8CA8"/>
    <w:lvl w:ilvl="0" w:tplc="9F340C0C">
      <w:start w:val="1"/>
      <w:numFmt w:val="lowerRoman"/>
      <w:lvlText w:val="%1)"/>
      <w:lvlJc w:val="left"/>
      <w:pPr>
        <w:ind w:left="1080" w:hanging="720"/>
      </w:pPr>
    </w:lvl>
    <w:lvl w:ilvl="1" w:tplc="74404906">
      <w:start w:val="1"/>
      <w:numFmt w:val="lowerLetter"/>
      <w:lvlText w:val="%2."/>
      <w:lvlJc w:val="left"/>
      <w:pPr>
        <w:ind w:left="1440" w:hanging="360"/>
      </w:pPr>
    </w:lvl>
    <w:lvl w:ilvl="2" w:tplc="E1B0D31C">
      <w:start w:val="1"/>
      <w:numFmt w:val="lowerRoman"/>
      <w:lvlText w:val="%3."/>
      <w:lvlJc w:val="right"/>
      <w:pPr>
        <w:ind w:left="2160" w:hanging="180"/>
      </w:pPr>
    </w:lvl>
    <w:lvl w:ilvl="3" w:tplc="78DC2F3A">
      <w:start w:val="1"/>
      <w:numFmt w:val="decimal"/>
      <w:lvlText w:val="%4."/>
      <w:lvlJc w:val="left"/>
      <w:pPr>
        <w:ind w:left="2880" w:hanging="360"/>
      </w:pPr>
    </w:lvl>
    <w:lvl w:ilvl="4" w:tplc="40B6011E">
      <w:start w:val="1"/>
      <w:numFmt w:val="lowerLetter"/>
      <w:lvlText w:val="%5."/>
      <w:lvlJc w:val="left"/>
      <w:pPr>
        <w:ind w:left="3600" w:hanging="360"/>
      </w:pPr>
    </w:lvl>
    <w:lvl w:ilvl="5" w:tplc="291C6D20">
      <w:start w:val="1"/>
      <w:numFmt w:val="lowerRoman"/>
      <w:lvlText w:val="%6."/>
      <w:lvlJc w:val="right"/>
      <w:pPr>
        <w:ind w:left="4320" w:hanging="180"/>
      </w:pPr>
    </w:lvl>
    <w:lvl w:ilvl="6" w:tplc="064AC62C">
      <w:start w:val="1"/>
      <w:numFmt w:val="decimal"/>
      <w:lvlText w:val="%7."/>
      <w:lvlJc w:val="left"/>
      <w:pPr>
        <w:ind w:left="5040" w:hanging="360"/>
      </w:pPr>
    </w:lvl>
    <w:lvl w:ilvl="7" w:tplc="2DAA520A">
      <w:start w:val="1"/>
      <w:numFmt w:val="lowerLetter"/>
      <w:lvlText w:val="%8."/>
      <w:lvlJc w:val="left"/>
      <w:pPr>
        <w:ind w:left="5760" w:hanging="360"/>
      </w:pPr>
    </w:lvl>
    <w:lvl w:ilvl="8" w:tplc="A8E4DEFA">
      <w:start w:val="1"/>
      <w:numFmt w:val="lowerRoman"/>
      <w:lvlText w:val="%9."/>
      <w:lvlJc w:val="right"/>
      <w:pPr>
        <w:ind w:left="6480" w:hanging="180"/>
      </w:pPr>
    </w:lvl>
  </w:abstractNum>
  <w:abstractNum w:abstractNumId="24" w15:restartNumberingAfterBreak="0">
    <w:nsid w:val="511E357C"/>
    <w:multiLevelType w:val="multilevel"/>
    <w:tmpl w:val="3E083344"/>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51AD258E"/>
    <w:multiLevelType w:val="hybridMultilevel"/>
    <w:tmpl w:val="7CC61D1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641D96"/>
    <w:multiLevelType w:val="multilevel"/>
    <w:tmpl w:val="229282D2"/>
    <w:lvl w:ilvl="0">
      <w:start w:val="1"/>
      <w:numFmt w:val="decimal"/>
      <w:pStyle w:val="HeadingA"/>
      <w:lvlText w:val="%1."/>
      <w:lvlJc w:val="left"/>
      <w:pPr>
        <w:ind w:left="360" w:hanging="360"/>
      </w:pPr>
      <w:rPr>
        <w:b/>
        <w:lang w:val="en-GB"/>
      </w:rPr>
    </w:lvl>
    <w:lvl w:ilvl="1">
      <w:start w:val="1"/>
      <w:numFmt w:val="decimal"/>
      <w:pStyle w:val="HeadingB"/>
      <w:lvlText w:val="%1.%2."/>
      <w:lvlJc w:val="left"/>
      <w:pPr>
        <w:ind w:left="432" w:hanging="432"/>
      </w:pPr>
      <w:rPr>
        <w:rFonts w:asciiTheme="minorHAnsi" w:hAnsiTheme="minorHAnsi"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Style2"/>
      <w:lvlText w:val="%1.%2.%3."/>
      <w:lvlJc w:val="left"/>
      <w:pPr>
        <w:ind w:left="447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375BE"/>
    <w:multiLevelType w:val="hybridMultilevel"/>
    <w:tmpl w:val="7632F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E50B50"/>
    <w:multiLevelType w:val="hybridMultilevel"/>
    <w:tmpl w:val="DE806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A9499F"/>
    <w:multiLevelType w:val="hybridMultilevel"/>
    <w:tmpl w:val="BECA0420"/>
    <w:lvl w:ilvl="0" w:tplc="5E50905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841036"/>
    <w:multiLevelType w:val="hybridMultilevel"/>
    <w:tmpl w:val="5786034A"/>
    <w:lvl w:ilvl="0" w:tplc="3494893E">
      <w:start w:val="1"/>
      <w:numFmt w:val="bullet"/>
      <w:lvlText w:val="-"/>
      <w:lvlJc w:val="left"/>
      <w:pPr>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A71B1"/>
    <w:multiLevelType w:val="hybridMultilevel"/>
    <w:tmpl w:val="1736CE10"/>
    <w:lvl w:ilvl="0" w:tplc="1CC29F2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30208DB"/>
    <w:multiLevelType w:val="hybridMultilevel"/>
    <w:tmpl w:val="C2DA9DA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E8660F"/>
    <w:multiLevelType w:val="hybridMultilevel"/>
    <w:tmpl w:val="7CC61D10"/>
    <w:lvl w:ilvl="0" w:tplc="B6DC9EB2">
      <w:start w:val="1"/>
      <w:numFmt w:val="lowerRoman"/>
      <w:lvlText w:val="%1)"/>
      <w:lvlJc w:val="left"/>
      <w:pPr>
        <w:ind w:left="1080" w:hanging="720"/>
      </w:pPr>
      <w:rPr>
        <w:rFonts w:hint="default"/>
      </w:rPr>
    </w:lvl>
    <w:lvl w:ilvl="1" w:tplc="A8D22720" w:tentative="1">
      <w:start w:val="1"/>
      <w:numFmt w:val="lowerLetter"/>
      <w:lvlText w:val="%2."/>
      <w:lvlJc w:val="left"/>
      <w:pPr>
        <w:ind w:left="1440" w:hanging="360"/>
      </w:pPr>
    </w:lvl>
    <w:lvl w:ilvl="2" w:tplc="804C5C7C" w:tentative="1">
      <w:start w:val="1"/>
      <w:numFmt w:val="lowerRoman"/>
      <w:lvlText w:val="%3."/>
      <w:lvlJc w:val="right"/>
      <w:pPr>
        <w:ind w:left="2160" w:hanging="180"/>
      </w:pPr>
    </w:lvl>
    <w:lvl w:ilvl="3" w:tplc="84ECC3C4" w:tentative="1">
      <w:start w:val="1"/>
      <w:numFmt w:val="decimal"/>
      <w:lvlText w:val="%4."/>
      <w:lvlJc w:val="left"/>
      <w:pPr>
        <w:ind w:left="2880" w:hanging="360"/>
      </w:pPr>
    </w:lvl>
    <w:lvl w:ilvl="4" w:tplc="E786A762" w:tentative="1">
      <w:start w:val="1"/>
      <w:numFmt w:val="lowerLetter"/>
      <w:lvlText w:val="%5."/>
      <w:lvlJc w:val="left"/>
      <w:pPr>
        <w:ind w:left="3600" w:hanging="360"/>
      </w:pPr>
    </w:lvl>
    <w:lvl w:ilvl="5" w:tplc="E008461A" w:tentative="1">
      <w:start w:val="1"/>
      <w:numFmt w:val="lowerRoman"/>
      <w:lvlText w:val="%6."/>
      <w:lvlJc w:val="right"/>
      <w:pPr>
        <w:ind w:left="4320" w:hanging="180"/>
      </w:pPr>
    </w:lvl>
    <w:lvl w:ilvl="6" w:tplc="D980C3E6" w:tentative="1">
      <w:start w:val="1"/>
      <w:numFmt w:val="decimal"/>
      <w:lvlText w:val="%7."/>
      <w:lvlJc w:val="left"/>
      <w:pPr>
        <w:ind w:left="5040" w:hanging="360"/>
      </w:pPr>
    </w:lvl>
    <w:lvl w:ilvl="7" w:tplc="DE14342E" w:tentative="1">
      <w:start w:val="1"/>
      <w:numFmt w:val="lowerLetter"/>
      <w:lvlText w:val="%8."/>
      <w:lvlJc w:val="left"/>
      <w:pPr>
        <w:ind w:left="5760" w:hanging="360"/>
      </w:pPr>
    </w:lvl>
    <w:lvl w:ilvl="8" w:tplc="41C0C83E" w:tentative="1">
      <w:start w:val="1"/>
      <w:numFmt w:val="lowerRoman"/>
      <w:lvlText w:val="%9."/>
      <w:lvlJc w:val="right"/>
      <w:pPr>
        <w:ind w:left="6480" w:hanging="180"/>
      </w:pPr>
    </w:lvl>
  </w:abstractNum>
  <w:abstractNum w:abstractNumId="34" w15:restartNumberingAfterBreak="0">
    <w:nsid w:val="694B413E"/>
    <w:multiLevelType w:val="hybridMultilevel"/>
    <w:tmpl w:val="34C4AF4C"/>
    <w:lvl w:ilvl="0" w:tplc="77E059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1B875D2"/>
    <w:multiLevelType w:val="hybridMultilevel"/>
    <w:tmpl w:val="0616BFAC"/>
    <w:lvl w:ilvl="0" w:tplc="4DC27E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B2C2F"/>
    <w:multiLevelType w:val="hybridMultilevel"/>
    <w:tmpl w:val="3B7693DC"/>
    <w:lvl w:ilvl="0" w:tplc="929268BA">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781F123D"/>
    <w:multiLevelType w:val="hybridMultilevel"/>
    <w:tmpl w:val="6BBEDD32"/>
    <w:lvl w:ilvl="0" w:tplc="D0CCE1D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D25995"/>
    <w:multiLevelType w:val="hybridMultilevel"/>
    <w:tmpl w:val="2660B5C8"/>
    <w:lvl w:ilvl="0" w:tplc="9606EC5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921315E"/>
    <w:multiLevelType w:val="hybridMultilevel"/>
    <w:tmpl w:val="3D344670"/>
    <w:lvl w:ilvl="0" w:tplc="E1B0D31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EC034C"/>
    <w:multiLevelType w:val="hybridMultilevel"/>
    <w:tmpl w:val="4E56AB98"/>
    <w:lvl w:ilvl="0" w:tplc="04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9D53A7"/>
    <w:multiLevelType w:val="hybridMultilevel"/>
    <w:tmpl w:val="3D1EF3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EE4623"/>
    <w:multiLevelType w:val="hybridMultilevel"/>
    <w:tmpl w:val="772EB96A"/>
    <w:lvl w:ilvl="0" w:tplc="4E9E851E">
      <w:start w:val="1"/>
      <w:numFmt w:val="decimal"/>
      <w:lvlText w:val="%1."/>
      <w:lvlJc w:val="left"/>
      <w:pPr>
        <w:ind w:left="928" w:hanging="360"/>
      </w:pPr>
      <w:rPr>
        <w:rFonts w:hint="default"/>
        <w:b w:val="0"/>
        <w:bCs/>
        <w:strike w:val="0"/>
      </w:rPr>
    </w:lvl>
    <w:lvl w:ilvl="1" w:tplc="4D84417E">
      <w:start w:val="1"/>
      <w:numFmt w:val="lowerLetter"/>
      <w:lvlText w:val="%2."/>
      <w:lvlJc w:val="left"/>
      <w:pPr>
        <w:ind w:left="1222" w:hanging="360"/>
      </w:pPr>
    </w:lvl>
    <w:lvl w:ilvl="2" w:tplc="0F2ED49E" w:tentative="1">
      <w:start w:val="1"/>
      <w:numFmt w:val="lowerRoman"/>
      <w:lvlText w:val="%3."/>
      <w:lvlJc w:val="right"/>
      <w:pPr>
        <w:ind w:left="1942" w:hanging="180"/>
      </w:pPr>
    </w:lvl>
    <w:lvl w:ilvl="3" w:tplc="337698BA" w:tentative="1">
      <w:start w:val="1"/>
      <w:numFmt w:val="decimal"/>
      <w:lvlText w:val="%4."/>
      <w:lvlJc w:val="left"/>
      <w:pPr>
        <w:ind w:left="2662" w:hanging="360"/>
      </w:pPr>
    </w:lvl>
    <w:lvl w:ilvl="4" w:tplc="ADD43B7E" w:tentative="1">
      <w:start w:val="1"/>
      <w:numFmt w:val="lowerLetter"/>
      <w:lvlText w:val="%5."/>
      <w:lvlJc w:val="left"/>
      <w:pPr>
        <w:ind w:left="3382" w:hanging="360"/>
      </w:pPr>
    </w:lvl>
    <w:lvl w:ilvl="5" w:tplc="D296671E" w:tentative="1">
      <w:start w:val="1"/>
      <w:numFmt w:val="lowerRoman"/>
      <w:lvlText w:val="%6."/>
      <w:lvlJc w:val="right"/>
      <w:pPr>
        <w:ind w:left="4102" w:hanging="180"/>
      </w:pPr>
    </w:lvl>
    <w:lvl w:ilvl="6" w:tplc="4A446E18" w:tentative="1">
      <w:start w:val="1"/>
      <w:numFmt w:val="decimal"/>
      <w:lvlText w:val="%7."/>
      <w:lvlJc w:val="left"/>
      <w:pPr>
        <w:ind w:left="4822" w:hanging="360"/>
      </w:pPr>
    </w:lvl>
    <w:lvl w:ilvl="7" w:tplc="090C5CBE" w:tentative="1">
      <w:start w:val="1"/>
      <w:numFmt w:val="lowerLetter"/>
      <w:lvlText w:val="%8."/>
      <w:lvlJc w:val="left"/>
      <w:pPr>
        <w:ind w:left="5542" w:hanging="360"/>
      </w:pPr>
    </w:lvl>
    <w:lvl w:ilvl="8" w:tplc="42C88776" w:tentative="1">
      <w:start w:val="1"/>
      <w:numFmt w:val="lowerRoman"/>
      <w:lvlText w:val="%9."/>
      <w:lvlJc w:val="right"/>
      <w:pPr>
        <w:ind w:left="6262" w:hanging="180"/>
      </w:pPr>
    </w:lvl>
  </w:abstractNum>
  <w:abstractNum w:abstractNumId="43" w15:restartNumberingAfterBreak="0">
    <w:nsid w:val="7EF0186F"/>
    <w:multiLevelType w:val="hybridMultilevel"/>
    <w:tmpl w:val="16F033D8"/>
    <w:lvl w:ilvl="0" w:tplc="91E0E2A8">
      <w:start w:val="9"/>
      <w:numFmt w:val="bullet"/>
      <w:lvlText w:val="-"/>
      <w:lvlJc w:val="left"/>
      <w:pPr>
        <w:ind w:left="720" w:hanging="360"/>
      </w:pPr>
      <w:rPr>
        <w:rFonts w:ascii="Calibri" w:hAnsi="Calibri"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0430891">
    <w:abstractNumId w:val="19"/>
  </w:num>
  <w:num w:numId="2" w16cid:durableId="1394885107">
    <w:abstractNumId w:val="10"/>
  </w:num>
  <w:num w:numId="3" w16cid:durableId="1208571183">
    <w:abstractNumId w:val="5"/>
  </w:num>
  <w:num w:numId="4" w16cid:durableId="696585010">
    <w:abstractNumId w:val="42"/>
  </w:num>
  <w:num w:numId="5" w16cid:durableId="761529866">
    <w:abstractNumId w:val="13"/>
  </w:num>
  <w:num w:numId="6" w16cid:durableId="1472164808">
    <w:abstractNumId w:val="21"/>
  </w:num>
  <w:num w:numId="7" w16cid:durableId="2123262604">
    <w:abstractNumId w:val="33"/>
  </w:num>
  <w:num w:numId="8" w16cid:durableId="18681347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020758">
    <w:abstractNumId w:val="0"/>
  </w:num>
  <w:num w:numId="10" w16cid:durableId="2045867571">
    <w:abstractNumId w:val="20"/>
  </w:num>
  <w:num w:numId="11" w16cid:durableId="1615944790">
    <w:abstractNumId w:val="1"/>
  </w:num>
  <w:num w:numId="12" w16cid:durableId="729810918">
    <w:abstractNumId w:val="17"/>
  </w:num>
  <w:num w:numId="13" w16cid:durableId="2030790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7212486">
    <w:abstractNumId w:val="16"/>
  </w:num>
  <w:num w:numId="15" w16cid:durableId="49547498">
    <w:abstractNumId w:val="22"/>
  </w:num>
  <w:num w:numId="16" w16cid:durableId="780880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586691">
    <w:abstractNumId w:val="35"/>
  </w:num>
  <w:num w:numId="18" w16cid:durableId="1544634008">
    <w:abstractNumId w:val="38"/>
  </w:num>
  <w:num w:numId="19" w16cid:durableId="248470721">
    <w:abstractNumId w:val="7"/>
  </w:num>
  <w:num w:numId="20" w16cid:durableId="724644284">
    <w:abstractNumId w:val="27"/>
  </w:num>
  <w:num w:numId="21" w16cid:durableId="1912931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7898731">
    <w:abstractNumId w:val="37"/>
  </w:num>
  <w:num w:numId="23" w16cid:durableId="196281961">
    <w:abstractNumId w:val="32"/>
  </w:num>
  <w:num w:numId="24" w16cid:durableId="228468974">
    <w:abstractNumId w:val="6"/>
  </w:num>
  <w:num w:numId="25" w16cid:durableId="1680504592">
    <w:abstractNumId w:val="2"/>
  </w:num>
  <w:num w:numId="26" w16cid:durableId="2022706788">
    <w:abstractNumId w:val="24"/>
  </w:num>
  <w:num w:numId="27" w16cid:durableId="1196575145">
    <w:abstractNumId w:val="43"/>
  </w:num>
  <w:num w:numId="28" w16cid:durableId="185950234">
    <w:abstractNumId w:val="29"/>
  </w:num>
  <w:num w:numId="29" w16cid:durableId="376584691">
    <w:abstractNumId w:val="28"/>
  </w:num>
  <w:num w:numId="30" w16cid:durableId="1863279795">
    <w:abstractNumId w:val="41"/>
  </w:num>
  <w:num w:numId="31" w16cid:durableId="34962765">
    <w:abstractNumId w:val="3"/>
  </w:num>
  <w:num w:numId="32" w16cid:durableId="1240211535">
    <w:abstractNumId w:val="9"/>
  </w:num>
  <w:num w:numId="33" w16cid:durableId="933129268">
    <w:abstractNumId w:val="40"/>
  </w:num>
  <w:num w:numId="34" w16cid:durableId="1280986242">
    <w:abstractNumId w:val="30"/>
  </w:num>
  <w:num w:numId="35" w16cid:durableId="1643119701">
    <w:abstractNumId w:val="25"/>
  </w:num>
  <w:num w:numId="36" w16cid:durableId="1904674627">
    <w:abstractNumId w:val="34"/>
  </w:num>
  <w:num w:numId="37" w16cid:durableId="1233810482">
    <w:abstractNumId w:val="4"/>
  </w:num>
  <w:num w:numId="38" w16cid:durableId="1635016323">
    <w:abstractNumId w:val="11"/>
  </w:num>
  <w:num w:numId="39" w16cid:durableId="582450033">
    <w:abstractNumId w:val="18"/>
  </w:num>
  <w:num w:numId="40" w16cid:durableId="2129742120">
    <w:abstractNumId w:val="23"/>
  </w:num>
  <w:num w:numId="41" w16cid:durableId="1036782184">
    <w:abstractNumId w:val="39"/>
  </w:num>
  <w:num w:numId="42" w16cid:durableId="1926111672">
    <w:abstractNumId w:val="15"/>
  </w:num>
  <w:num w:numId="43" w16cid:durableId="918709603">
    <w:abstractNumId w:val="12"/>
  </w:num>
  <w:num w:numId="44" w16cid:durableId="1279601357">
    <w:abstractNumId w:val="14"/>
  </w:num>
  <w:num w:numId="45" w16cid:durableId="670642270">
    <w:abstractNumId w:val="8"/>
  </w:num>
  <w:num w:numId="46" w16cid:durableId="926040237">
    <w:abstractNumId w:val="31"/>
  </w:num>
  <w:num w:numId="47" w16cid:durableId="20317590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74B8"/>
    <w:rsid w:val="00010F6E"/>
    <w:rsid w:val="0001238D"/>
    <w:rsid w:val="00035FDF"/>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746C8"/>
    <w:rsid w:val="00276F42"/>
    <w:rsid w:val="002861FB"/>
    <w:rsid w:val="00293449"/>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B1FA1"/>
    <w:rsid w:val="005B3604"/>
    <w:rsid w:val="005C73BB"/>
    <w:rsid w:val="005D2DDA"/>
    <w:rsid w:val="005D7CDF"/>
    <w:rsid w:val="005F093B"/>
    <w:rsid w:val="005F3DC6"/>
    <w:rsid w:val="00614982"/>
    <w:rsid w:val="00631491"/>
    <w:rsid w:val="00643231"/>
    <w:rsid w:val="00643C3F"/>
    <w:rsid w:val="00644AD3"/>
    <w:rsid w:val="006455FA"/>
    <w:rsid w:val="00660638"/>
    <w:rsid w:val="00671684"/>
    <w:rsid w:val="00671EA2"/>
    <w:rsid w:val="00681C0C"/>
    <w:rsid w:val="006827E4"/>
    <w:rsid w:val="006908C5"/>
    <w:rsid w:val="006D745B"/>
    <w:rsid w:val="006E6FA7"/>
    <w:rsid w:val="006F0318"/>
    <w:rsid w:val="006F1D0E"/>
    <w:rsid w:val="006F6B48"/>
    <w:rsid w:val="00712E65"/>
    <w:rsid w:val="007150DE"/>
    <w:rsid w:val="00721866"/>
    <w:rsid w:val="00735569"/>
    <w:rsid w:val="007541C7"/>
    <w:rsid w:val="00761627"/>
    <w:rsid w:val="00773CFE"/>
    <w:rsid w:val="00780B1B"/>
    <w:rsid w:val="007A543D"/>
    <w:rsid w:val="007B3DD0"/>
    <w:rsid w:val="007C0AD1"/>
    <w:rsid w:val="007D7B20"/>
    <w:rsid w:val="007D7B2E"/>
    <w:rsid w:val="007E0D7D"/>
    <w:rsid w:val="007E168C"/>
    <w:rsid w:val="007F4F6E"/>
    <w:rsid w:val="00800A19"/>
    <w:rsid w:val="008042E6"/>
    <w:rsid w:val="00805F04"/>
    <w:rsid w:val="00810D5A"/>
    <w:rsid w:val="00814AA2"/>
    <w:rsid w:val="0082394F"/>
    <w:rsid w:val="00853C90"/>
    <w:rsid w:val="008575F2"/>
    <w:rsid w:val="00857F73"/>
    <w:rsid w:val="0087380A"/>
    <w:rsid w:val="00877E5C"/>
    <w:rsid w:val="008B07D4"/>
    <w:rsid w:val="008C12CC"/>
    <w:rsid w:val="008D1088"/>
    <w:rsid w:val="008E7000"/>
    <w:rsid w:val="008E74B8"/>
    <w:rsid w:val="00912CCF"/>
    <w:rsid w:val="00916BF5"/>
    <w:rsid w:val="009215B8"/>
    <w:rsid w:val="00923554"/>
    <w:rsid w:val="009270C4"/>
    <w:rsid w:val="00940F14"/>
    <w:rsid w:val="009432D0"/>
    <w:rsid w:val="00950D67"/>
    <w:rsid w:val="009527D7"/>
    <w:rsid w:val="00955512"/>
    <w:rsid w:val="00963962"/>
    <w:rsid w:val="00974C41"/>
    <w:rsid w:val="009A3946"/>
    <w:rsid w:val="009B3AB7"/>
    <w:rsid w:val="009C5258"/>
    <w:rsid w:val="009D28F3"/>
    <w:rsid w:val="009E1215"/>
    <w:rsid w:val="00A12DEC"/>
    <w:rsid w:val="00A22D53"/>
    <w:rsid w:val="00A37E36"/>
    <w:rsid w:val="00A474E5"/>
    <w:rsid w:val="00A842D4"/>
    <w:rsid w:val="00A93CA3"/>
    <w:rsid w:val="00AB6552"/>
    <w:rsid w:val="00AB67F8"/>
    <w:rsid w:val="00AB7727"/>
    <w:rsid w:val="00AC30A2"/>
    <w:rsid w:val="00AC73AA"/>
    <w:rsid w:val="00AE76B8"/>
    <w:rsid w:val="00B06133"/>
    <w:rsid w:val="00B129D8"/>
    <w:rsid w:val="00B227AE"/>
    <w:rsid w:val="00B41B03"/>
    <w:rsid w:val="00B41EC3"/>
    <w:rsid w:val="00B63F08"/>
    <w:rsid w:val="00B81BAC"/>
    <w:rsid w:val="00B849E0"/>
    <w:rsid w:val="00B90246"/>
    <w:rsid w:val="00B920E4"/>
    <w:rsid w:val="00BA79A3"/>
    <w:rsid w:val="00BB7DCE"/>
    <w:rsid w:val="00BD25C0"/>
    <w:rsid w:val="00BF78B3"/>
    <w:rsid w:val="00C049EE"/>
    <w:rsid w:val="00C109FD"/>
    <w:rsid w:val="00C14C2C"/>
    <w:rsid w:val="00C409C2"/>
    <w:rsid w:val="00C74E6F"/>
    <w:rsid w:val="00C8348A"/>
    <w:rsid w:val="00C92F89"/>
    <w:rsid w:val="00CC39DC"/>
    <w:rsid w:val="00CE1FF8"/>
    <w:rsid w:val="00CE4890"/>
    <w:rsid w:val="00CE6FD2"/>
    <w:rsid w:val="00D0182E"/>
    <w:rsid w:val="00D0265B"/>
    <w:rsid w:val="00D24A57"/>
    <w:rsid w:val="00D47395"/>
    <w:rsid w:val="00D53526"/>
    <w:rsid w:val="00D554E6"/>
    <w:rsid w:val="00D70628"/>
    <w:rsid w:val="00D9220B"/>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97CD0"/>
    <w:rsid w:val="00EA643A"/>
    <w:rsid w:val="00EB4217"/>
    <w:rsid w:val="00EE34E3"/>
    <w:rsid w:val="00F01885"/>
    <w:rsid w:val="00F168A4"/>
    <w:rsid w:val="00F2380B"/>
    <w:rsid w:val="00F24713"/>
    <w:rsid w:val="00F40699"/>
    <w:rsid w:val="00F433D6"/>
    <w:rsid w:val="00F456DB"/>
    <w:rsid w:val="00F61D34"/>
    <w:rsid w:val="00F76BBD"/>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9DC0A"/>
  <w15:docId w15:val="{220733E7-77DD-4B29-8E3E-873FC652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2"/>
    <w:uiPriority w:val="9"/>
    <w:qFormat/>
    <w:rsid w:val="008E74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E74B8"/>
    <w:pPr>
      <w:keepNext/>
      <w:keepLines/>
      <w:spacing w:before="40" w:line="276" w:lineRule="auto"/>
      <w:outlineLvl w:val="1"/>
    </w:pPr>
    <w:rPr>
      <w:rFonts w:ascii="Cambria" w:eastAsia="Times New Roman" w:hAnsi="Cambria"/>
      <w:b/>
      <w:bCs/>
      <w:color w:val="4F81BD"/>
      <w:sz w:val="26"/>
      <w:szCs w:val="26"/>
      <w:lang w:val="fr-FR"/>
    </w:rPr>
  </w:style>
  <w:style w:type="paragraph" w:styleId="Heading3">
    <w:name w:val="heading 3"/>
    <w:basedOn w:val="Normal"/>
    <w:next w:val="Normal"/>
    <w:link w:val="Heading3Char"/>
    <w:uiPriority w:val="9"/>
    <w:unhideWhenUsed/>
    <w:qFormat/>
    <w:rsid w:val="008E74B8"/>
    <w:pPr>
      <w:keepNext/>
      <w:keepLines/>
      <w:spacing w:before="40"/>
      <w:outlineLvl w:val="2"/>
    </w:pPr>
    <w:rPr>
      <w:rFonts w:ascii="Cambria" w:eastAsia="Times New Roman" w:hAnsi="Cambria"/>
      <w:color w:val="243F60"/>
      <w:sz w:val="24"/>
      <w:szCs w:val="24"/>
      <w:lang w:eastAsia="en-GB"/>
    </w:rPr>
  </w:style>
  <w:style w:type="paragraph" w:styleId="Heading4">
    <w:name w:val="heading 4"/>
    <w:basedOn w:val="Normal"/>
    <w:next w:val="Normal"/>
    <w:link w:val="Heading4Char"/>
    <w:uiPriority w:val="9"/>
    <w:semiHidden/>
    <w:unhideWhenUsed/>
    <w:qFormat/>
    <w:rsid w:val="008E74B8"/>
    <w:pPr>
      <w:keepNext/>
      <w:keepLines/>
      <w:spacing w:before="40"/>
      <w:outlineLvl w:val="3"/>
    </w:pPr>
    <w:rPr>
      <w:rFonts w:ascii="Cambria" w:eastAsia="Times New Roman" w:hAnsi="Cambria"/>
      <w:i/>
      <w:iCs/>
      <w:color w:val="365F91"/>
      <w:szCs w:val="20"/>
      <w:lang w:eastAsia="en-GB"/>
    </w:rPr>
  </w:style>
  <w:style w:type="paragraph" w:styleId="Heading5">
    <w:name w:val="heading 5"/>
    <w:basedOn w:val="Normal"/>
    <w:next w:val="Normal"/>
    <w:link w:val="Heading5Char"/>
    <w:uiPriority w:val="9"/>
    <w:semiHidden/>
    <w:unhideWhenUsed/>
    <w:qFormat/>
    <w:rsid w:val="008E74B8"/>
    <w:pPr>
      <w:keepNext/>
      <w:keepLines/>
      <w:spacing w:before="40"/>
      <w:outlineLvl w:val="4"/>
    </w:pPr>
    <w:rPr>
      <w:rFonts w:ascii="Cambria" w:eastAsia="Times New Roman" w:hAnsi="Cambria"/>
      <w:color w:val="365F91"/>
      <w:szCs w:val="20"/>
      <w:lang w:eastAsia="en-GB"/>
    </w:rPr>
  </w:style>
  <w:style w:type="paragraph" w:styleId="Heading6">
    <w:name w:val="heading 6"/>
    <w:basedOn w:val="Normal"/>
    <w:next w:val="Normal"/>
    <w:link w:val="Heading6Char"/>
    <w:uiPriority w:val="9"/>
    <w:semiHidden/>
    <w:unhideWhenUsed/>
    <w:qFormat/>
    <w:rsid w:val="008E74B8"/>
    <w:pPr>
      <w:keepNext/>
      <w:keepLines/>
      <w:spacing w:before="200" w:after="40" w:line="259" w:lineRule="auto"/>
      <w:outlineLvl w:val="5"/>
    </w:pPr>
    <w:rPr>
      <w:rFonts w:ascii="Calibri" w:hAnsi="Calibri" w:cs="Calibri"/>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5_G,fn"/>
    <w:basedOn w:val="Normal"/>
    <w:link w:val="FootnoteTextChar"/>
    <w:uiPriority w:val="99"/>
    <w:unhideWhenUsed/>
    <w:qFormat/>
    <w:rsid w:val="009C5258"/>
    <w:rPr>
      <w:sz w:val="16"/>
      <w:szCs w:val="20"/>
    </w:rPr>
  </w:style>
  <w:style w:type="character" w:customStyle="1" w:styleId="FootnoteTextChar">
    <w:name w:val="Footnote Text Char"/>
    <w:aliases w:val="Footnote Text Char1 Char2,Footnote Text Char Char Char2,Footnote Text Char1 Char Char Char1,Footnote Text Char Char Char Char Char1,Footnote Text Char Char1 Char1,Footnote Text Char1 Char Char2,Footnote Text Char Char Char Char2"/>
    <w:link w:val="FootnoteText"/>
    <w:uiPriority w:val="99"/>
    <w:qFormat/>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character" w:customStyle="1" w:styleId="Heading1Char">
    <w:name w:val="Heading 1 Char"/>
    <w:basedOn w:val="DefaultParagraphFont"/>
    <w:uiPriority w:val="9"/>
    <w:rsid w:val="008E74B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E74B8"/>
    <w:rPr>
      <w:rFonts w:ascii="Cambria" w:eastAsia="Times New Roman" w:hAnsi="Cambria"/>
      <w:b/>
      <w:bCs/>
      <w:color w:val="4F81BD"/>
      <w:sz w:val="26"/>
      <w:szCs w:val="26"/>
      <w:lang w:val="fr-FR" w:eastAsia="en-US"/>
    </w:rPr>
  </w:style>
  <w:style w:type="character" w:customStyle="1" w:styleId="Heading3Char">
    <w:name w:val="Heading 3 Char"/>
    <w:basedOn w:val="DefaultParagraphFont"/>
    <w:link w:val="Heading3"/>
    <w:uiPriority w:val="9"/>
    <w:rsid w:val="008E74B8"/>
    <w:rPr>
      <w:rFonts w:ascii="Cambria" w:eastAsia="Times New Roman" w:hAnsi="Cambria"/>
      <w:color w:val="243F60"/>
      <w:sz w:val="24"/>
      <w:szCs w:val="24"/>
    </w:rPr>
  </w:style>
  <w:style w:type="character" w:customStyle="1" w:styleId="Heading4Char">
    <w:name w:val="Heading 4 Char"/>
    <w:basedOn w:val="DefaultParagraphFont"/>
    <w:link w:val="Heading4"/>
    <w:uiPriority w:val="9"/>
    <w:semiHidden/>
    <w:rsid w:val="008E74B8"/>
    <w:rPr>
      <w:rFonts w:ascii="Cambria" w:eastAsia="Times New Roman" w:hAnsi="Cambria"/>
      <w:i/>
      <w:iCs/>
      <w:color w:val="365F91"/>
    </w:rPr>
  </w:style>
  <w:style w:type="character" w:customStyle="1" w:styleId="Heading5Char">
    <w:name w:val="Heading 5 Char"/>
    <w:basedOn w:val="DefaultParagraphFont"/>
    <w:link w:val="Heading5"/>
    <w:uiPriority w:val="9"/>
    <w:semiHidden/>
    <w:rsid w:val="008E74B8"/>
    <w:rPr>
      <w:rFonts w:ascii="Cambria" w:eastAsia="Times New Roman" w:hAnsi="Cambria"/>
      <w:color w:val="365F91"/>
    </w:rPr>
  </w:style>
  <w:style w:type="character" w:customStyle="1" w:styleId="Heading6Char">
    <w:name w:val="Heading 6 Char"/>
    <w:basedOn w:val="DefaultParagraphFont"/>
    <w:link w:val="Heading6"/>
    <w:uiPriority w:val="9"/>
    <w:semiHidden/>
    <w:rsid w:val="008E74B8"/>
    <w:rPr>
      <w:rFonts w:cs="Calibri"/>
      <w:b/>
    </w:rPr>
  </w:style>
  <w:style w:type="paragraph" w:styleId="ListParagraph">
    <w:name w:val="List Paragraph"/>
    <w:aliases w:val="bullets,LISTA,List Paragraph à moi,Dot pt,No Spacing1,List Paragraph Char Char Char,Indicator Text,Numbered Para 1,lista_2,Számozott lista 1,Eszeri felsorolás,Welt L Char,Welt L,Bullet List,FooterText,numbered,列出段落,列出段落1,MAIN CONTENT"/>
    <w:basedOn w:val="Normal"/>
    <w:link w:val="ListParagraphChar"/>
    <w:uiPriority w:val="34"/>
    <w:qFormat/>
    <w:rsid w:val="008E74B8"/>
    <w:pPr>
      <w:ind w:left="720"/>
    </w:pPr>
    <w:rPr>
      <w:rFonts w:ascii="Calibri" w:hAnsi="Calibri"/>
      <w:sz w:val="22"/>
    </w:rPr>
  </w:style>
  <w:style w:type="character" w:styleId="UnresolvedMention">
    <w:name w:val="Unresolved Mention"/>
    <w:basedOn w:val="DefaultParagraphFont"/>
    <w:uiPriority w:val="99"/>
    <w:unhideWhenUsed/>
    <w:rsid w:val="008E74B8"/>
    <w:rPr>
      <w:color w:val="605E5C"/>
      <w:shd w:val="clear" w:color="auto" w:fill="E1DFDD"/>
    </w:rPr>
  </w:style>
  <w:style w:type="paragraph" w:styleId="Revision">
    <w:name w:val="Revision"/>
    <w:hidden/>
    <w:uiPriority w:val="99"/>
    <w:semiHidden/>
    <w:rsid w:val="008E74B8"/>
    <w:rPr>
      <w:rFonts w:ascii="Arial" w:hAnsi="Arial"/>
      <w:szCs w:val="22"/>
      <w:lang w:eastAsia="en-US"/>
    </w:rPr>
  </w:style>
  <w:style w:type="character" w:customStyle="1" w:styleId="Heading1Char2">
    <w:name w:val="Heading 1 Char2"/>
    <w:basedOn w:val="DefaultParagraphFont"/>
    <w:link w:val="Heading1"/>
    <w:uiPriority w:val="9"/>
    <w:rsid w:val="008E74B8"/>
    <w:rPr>
      <w:rFonts w:asciiTheme="majorHAnsi" w:eastAsiaTheme="majorEastAsia" w:hAnsiTheme="majorHAnsi" w:cstheme="majorBidi"/>
      <w:color w:val="365F91" w:themeColor="accent1" w:themeShade="BF"/>
      <w:sz w:val="32"/>
      <w:szCs w:val="32"/>
      <w:lang w:eastAsia="en-US"/>
    </w:rPr>
  </w:style>
  <w:style w:type="paragraph" w:customStyle="1" w:styleId="Heading11">
    <w:name w:val="Heading 11"/>
    <w:basedOn w:val="Normal"/>
    <w:next w:val="Normal"/>
    <w:link w:val="Heading1Char1"/>
    <w:uiPriority w:val="9"/>
    <w:qFormat/>
    <w:rsid w:val="008E74B8"/>
    <w:pPr>
      <w:keepNext/>
      <w:keepLines/>
      <w:spacing w:before="240" w:line="276" w:lineRule="auto"/>
      <w:outlineLvl w:val="0"/>
    </w:pPr>
    <w:rPr>
      <w:rFonts w:ascii="Cambria" w:eastAsia="Times New Roman" w:hAnsi="Cambria"/>
      <w:color w:val="365F91"/>
      <w:sz w:val="32"/>
      <w:szCs w:val="32"/>
      <w:lang w:eastAsia="en-GB"/>
    </w:rPr>
  </w:style>
  <w:style w:type="paragraph" w:customStyle="1" w:styleId="Heading41">
    <w:name w:val="Heading 41"/>
    <w:basedOn w:val="Normal"/>
    <w:next w:val="Normal"/>
    <w:uiPriority w:val="9"/>
    <w:semiHidden/>
    <w:unhideWhenUsed/>
    <w:qFormat/>
    <w:rsid w:val="008E74B8"/>
    <w:pPr>
      <w:keepNext/>
      <w:keepLines/>
      <w:spacing w:before="40" w:line="276" w:lineRule="auto"/>
      <w:outlineLvl w:val="3"/>
    </w:pPr>
    <w:rPr>
      <w:rFonts w:ascii="Cambria" w:eastAsia="Times New Roman" w:hAnsi="Cambria"/>
      <w:i/>
      <w:iCs/>
      <w:color w:val="365F91"/>
      <w:sz w:val="22"/>
      <w:lang w:val="fr-FR"/>
    </w:rPr>
  </w:style>
  <w:style w:type="table" w:customStyle="1" w:styleId="TableGrid1">
    <w:name w:val="Table Grid1"/>
    <w:basedOn w:val="TableNormal"/>
    <w:next w:val="TableGrid"/>
    <w:uiPriority w:val="59"/>
    <w:rsid w:val="008E74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8E74B8"/>
    <w:pPr>
      <w:keepNext/>
      <w:keepLines/>
      <w:spacing w:before="200" w:line="276" w:lineRule="auto"/>
      <w:outlineLvl w:val="1"/>
    </w:pPr>
    <w:rPr>
      <w:rFonts w:ascii="Cambria" w:eastAsia="Times New Roman" w:hAnsi="Cambria"/>
      <w:b/>
      <w:bCs/>
      <w:color w:val="4F81BD"/>
      <w:sz w:val="26"/>
      <w:szCs w:val="26"/>
    </w:rPr>
  </w:style>
  <w:style w:type="table" w:customStyle="1" w:styleId="TableGrid11">
    <w:name w:val="Table Grid11"/>
    <w:basedOn w:val="TableNormal"/>
    <w:next w:val="TableGrid"/>
    <w:uiPriority w:val="59"/>
    <w:rsid w:val="008E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Text Char1 Char1,Footnote Text Char Char Char1,Footnote Text Char1 Char Char Char,Footnote Text Char Char Char Char Char,Footnote Text Char Char1 Char,Footnote Text Char1 Char Char1,Footnote Text Char Char Char Char1,n Char"/>
    <w:uiPriority w:val="99"/>
    <w:rsid w:val="008E74B8"/>
    <w:rPr>
      <w:rFonts w:ascii="Times New Roman" w:eastAsia="Times New Roman" w:hAnsi="Times New Roman" w:cs="Times New Roman"/>
      <w:sz w:val="20"/>
      <w:szCs w:val="24"/>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8E74B8"/>
    <w:pPr>
      <w:spacing w:after="160" w:line="240" w:lineRule="exact"/>
    </w:pPr>
    <w:rPr>
      <w:rFonts w:ascii="Calibri" w:hAnsi="Calibri"/>
      <w:szCs w:val="20"/>
      <w:vertAlign w:val="superscript"/>
      <w:lang w:eastAsia="en-GB"/>
    </w:rPr>
  </w:style>
  <w:style w:type="paragraph" w:customStyle="1" w:styleId="Default">
    <w:name w:val="Default"/>
    <w:rsid w:val="008E74B8"/>
    <w:pPr>
      <w:autoSpaceDE w:val="0"/>
      <w:autoSpaceDN w:val="0"/>
      <w:adjustRightInd w:val="0"/>
    </w:pPr>
    <w:rPr>
      <w:rFonts w:ascii="Palatino Linotype" w:hAnsi="Palatino Linotype" w:cs="Palatino Linotype"/>
      <w:color w:val="000000"/>
      <w:sz w:val="24"/>
      <w:szCs w:val="24"/>
      <w:lang w:val="en-US" w:eastAsia="en-US"/>
    </w:rPr>
  </w:style>
  <w:style w:type="paragraph" w:customStyle="1" w:styleId="COETitre">
    <w:name w:val="COE_Titre"/>
    <w:basedOn w:val="Normal"/>
    <w:link w:val="COETitreCar"/>
    <w:rsid w:val="008E74B8"/>
    <w:pPr>
      <w:spacing w:after="100" w:afterAutospacing="1"/>
      <w:jc w:val="both"/>
    </w:pPr>
    <w:rPr>
      <w:rFonts w:ascii="Verdana" w:eastAsia="Times New Roman" w:hAnsi="Verdana"/>
      <w:b/>
      <w:sz w:val="24"/>
      <w:szCs w:val="24"/>
      <w:lang w:val="fr-FR" w:eastAsia="fr-FR"/>
    </w:rPr>
  </w:style>
  <w:style w:type="character" w:customStyle="1" w:styleId="COETitreCar">
    <w:name w:val="COE_Titre Car"/>
    <w:link w:val="COETitre"/>
    <w:rsid w:val="008E74B8"/>
    <w:rPr>
      <w:rFonts w:ascii="Verdana" w:eastAsia="Times New Roman" w:hAnsi="Verdana"/>
      <w:b/>
      <w:sz w:val="24"/>
      <w:szCs w:val="24"/>
      <w:lang w:val="fr-FR" w:eastAsia="fr-FR"/>
    </w:rPr>
  </w:style>
  <w:style w:type="character" w:customStyle="1" w:styleId="FollowedHyperlink1">
    <w:name w:val="FollowedHyperlink1"/>
    <w:basedOn w:val="DefaultParagraphFont"/>
    <w:uiPriority w:val="99"/>
    <w:semiHidden/>
    <w:unhideWhenUsed/>
    <w:rsid w:val="008E74B8"/>
    <w:rPr>
      <w:color w:val="800080"/>
      <w:u w:val="single"/>
    </w:rPr>
  </w:style>
  <w:style w:type="table" w:customStyle="1" w:styleId="TableGrid111">
    <w:name w:val="Table Grid111"/>
    <w:basedOn w:val="TableNormal"/>
    <w:next w:val="TableGrid"/>
    <w:uiPriority w:val="59"/>
    <w:rsid w:val="008E74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1"/>
    <w:uiPriority w:val="9"/>
    <w:rsid w:val="008E74B8"/>
    <w:rPr>
      <w:rFonts w:ascii="Cambria" w:eastAsia="Times New Roman" w:hAnsi="Cambria"/>
      <w:color w:val="365F91"/>
      <w:sz w:val="32"/>
      <w:szCs w:val="32"/>
    </w:rPr>
  </w:style>
  <w:style w:type="paragraph" w:styleId="TOCHeading">
    <w:name w:val="TOC Heading"/>
    <w:basedOn w:val="Heading1"/>
    <w:next w:val="Normal"/>
    <w:uiPriority w:val="39"/>
    <w:unhideWhenUsed/>
    <w:qFormat/>
    <w:rsid w:val="008E74B8"/>
    <w:pPr>
      <w:spacing w:before="480" w:line="276" w:lineRule="auto"/>
      <w:outlineLvl w:val="9"/>
    </w:pPr>
    <w:rPr>
      <w:b/>
      <w:bCs/>
      <w:sz w:val="28"/>
      <w:szCs w:val="28"/>
      <w:lang w:eastAsia="ja-JP"/>
    </w:rPr>
  </w:style>
  <w:style w:type="paragraph" w:customStyle="1" w:styleId="TOC21">
    <w:name w:val="TOC 21"/>
    <w:basedOn w:val="Normal"/>
    <w:next w:val="Normal"/>
    <w:autoRedefine/>
    <w:uiPriority w:val="39"/>
    <w:semiHidden/>
    <w:unhideWhenUsed/>
    <w:qFormat/>
    <w:rsid w:val="008E74B8"/>
    <w:pPr>
      <w:spacing w:after="100" w:line="276" w:lineRule="auto"/>
      <w:ind w:left="220"/>
    </w:pPr>
    <w:rPr>
      <w:rFonts w:ascii="Calibri" w:eastAsia="Times New Roman" w:hAnsi="Calibri"/>
      <w:sz w:val="22"/>
      <w:lang w:eastAsia="ja-JP"/>
    </w:rPr>
  </w:style>
  <w:style w:type="paragraph" w:customStyle="1" w:styleId="TOC11">
    <w:name w:val="TOC 11"/>
    <w:basedOn w:val="Normal"/>
    <w:next w:val="Normal"/>
    <w:autoRedefine/>
    <w:uiPriority w:val="39"/>
    <w:semiHidden/>
    <w:unhideWhenUsed/>
    <w:qFormat/>
    <w:rsid w:val="008E74B8"/>
    <w:pPr>
      <w:spacing w:after="100" w:line="276" w:lineRule="auto"/>
    </w:pPr>
    <w:rPr>
      <w:rFonts w:ascii="Calibri" w:eastAsia="Times New Roman" w:hAnsi="Calibri"/>
      <w:sz w:val="22"/>
      <w:lang w:eastAsia="ja-JP"/>
    </w:rPr>
  </w:style>
  <w:style w:type="paragraph" w:customStyle="1" w:styleId="TOC31">
    <w:name w:val="TOC 31"/>
    <w:basedOn w:val="Normal"/>
    <w:next w:val="Normal"/>
    <w:autoRedefine/>
    <w:uiPriority w:val="39"/>
    <w:semiHidden/>
    <w:unhideWhenUsed/>
    <w:qFormat/>
    <w:rsid w:val="008E74B8"/>
    <w:pPr>
      <w:spacing w:after="100" w:line="276" w:lineRule="auto"/>
      <w:ind w:left="440"/>
    </w:pPr>
    <w:rPr>
      <w:rFonts w:ascii="Calibri" w:eastAsia="Times New Roman" w:hAnsi="Calibri"/>
      <w:sz w:val="22"/>
      <w:lang w:eastAsia="ja-JP"/>
    </w:rPr>
  </w:style>
  <w:style w:type="paragraph" w:customStyle="1" w:styleId="Caption1">
    <w:name w:val="Caption1"/>
    <w:basedOn w:val="Normal"/>
    <w:next w:val="Normal"/>
    <w:uiPriority w:val="35"/>
    <w:semiHidden/>
    <w:unhideWhenUsed/>
    <w:qFormat/>
    <w:rsid w:val="008E74B8"/>
    <w:pPr>
      <w:spacing w:after="200"/>
    </w:pPr>
    <w:rPr>
      <w:rFonts w:ascii="Calibri" w:hAnsi="Calibri"/>
      <w:b/>
      <w:bCs/>
      <w:color w:val="4F81BD"/>
      <w:sz w:val="18"/>
      <w:szCs w:val="18"/>
    </w:rPr>
  </w:style>
  <w:style w:type="table" w:customStyle="1" w:styleId="Calendar2">
    <w:name w:val="Calendar 2"/>
    <w:basedOn w:val="TableNormal"/>
    <w:uiPriority w:val="99"/>
    <w:qFormat/>
    <w:rsid w:val="008E74B8"/>
    <w:pPr>
      <w:jc w:val="center"/>
    </w:pPr>
    <w:rPr>
      <w:rFonts w:eastAsia="Times New Roman"/>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NormalWeb1">
    <w:name w:val="Normal (Web)1"/>
    <w:basedOn w:val="Normal"/>
    <w:next w:val="NormalWeb"/>
    <w:uiPriority w:val="99"/>
    <w:semiHidden/>
    <w:unhideWhenUsed/>
    <w:rsid w:val="008E74B8"/>
    <w:pPr>
      <w:spacing w:before="100" w:beforeAutospacing="1" w:after="240"/>
    </w:pPr>
    <w:rPr>
      <w:rFonts w:ascii="Verdana" w:hAnsi="Verdana"/>
      <w:color w:val="000000"/>
      <w:sz w:val="29"/>
      <w:szCs w:val="29"/>
      <w:lang w:eastAsia="en-GB"/>
    </w:rPr>
  </w:style>
  <w:style w:type="table" w:customStyle="1" w:styleId="TableGrid1111">
    <w:name w:val="Table Grid1111"/>
    <w:basedOn w:val="TableNormal"/>
    <w:next w:val="TableGrid"/>
    <w:uiPriority w:val="59"/>
    <w:rsid w:val="008E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74B8"/>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74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R"/>
    <w:basedOn w:val="Normal"/>
    <w:uiPriority w:val="99"/>
    <w:rsid w:val="008E74B8"/>
    <w:pPr>
      <w:spacing w:after="160" w:line="240" w:lineRule="exact"/>
    </w:pPr>
    <w:rPr>
      <w:rFonts w:ascii="Calibri" w:hAnsi="Calibri"/>
      <w:sz w:val="22"/>
      <w:vertAlign w:val="superscript"/>
    </w:rPr>
  </w:style>
  <w:style w:type="character" w:customStyle="1" w:styleId="Hyperlink1">
    <w:name w:val="Hyperlink1"/>
    <w:basedOn w:val="DefaultParagraphFont"/>
    <w:uiPriority w:val="99"/>
    <w:unhideWhenUsed/>
    <w:rsid w:val="008E74B8"/>
    <w:rPr>
      <w:color w:val="0563C1"/>
      <w:u w:val="single"/>
    </w:rPr>
  </w:style>
  <w:style w:type="character" w:customStyle="1" w:styleId="ListParagraphChar">
    <w:name w:val="List Paragraph Char"/>
    <w:aliases w:val="bullets Char,LISTA Char,List Paragraph à moi Char,Dot pt Char,No Spacing1 Char,List Paragraph Char Char Char Char,Indicator Text Char,Numbered Para 1 Char,lista_2 Char,Számozott lista 1 Char,Eszeri felsorolás Char,Welt L Char Char"/>
    <w:basedOn w:val="DefaultParagraphFont"/>
    <w:link w:val="ListParagraph"/>
    <w:uiPriority w:val="34"/>
    <w:qFormat/>
    <w:locked/>
    <w:rsid w:val="008E74B8"/>
    <w:rPr>
      <w:sz w:val="22"/>
      <w:szCs w:val="22"/>
      <w:lang w:eastAsia="en-US"/>
    </w:rPr>
  </w:style>
  <w:style w:type="character" w:customStyle="1" w:styleId="Heading2Char1">
    <w:name w:val="Heading 2 Char1"/>
    <w:basedOn w:val="DefaultParagraphFont"/>
    <w:uiPriority w:val="9"/>
    <w:semiHidden/>
    <w:rsid w:val="008E74B8"/>
    <w:rPr>
      <w:rFonts w:ascii="Cambria" w:eastAsia="Times New Roman" w:hAnsi="Cambria" w:cs="Times New Roman"/>
      <w:color w:val="365F91"/>
      <w:sz w:val="26"/>
      <w:szCs w:val="26"/>
    </w:rPr>
  </w:style>
  <w:style w:type="character" w:customStyle="1" w:styleId="FollowedHyperlink2">
    <w:name w:val="FollowedHyperlink2"/>
    <w:basedOn w:val="DefaultParagraphFont"/>
    <w:uiPriority w:val="99"/>
    <w:semiHidden/>
    <w:unhideWhenUsed/>
    <w:rsid w:val="008E74B8"/>
    <w:rPr>
      <w:color w:val="800080"/>
      <w:u w:val="single"/>
    </w:rPr>
  </w:style>
  <w:style w:type="paragraph" w:styleId="NormalWeb">
    <w:name w:val="Normal (Web)"/>
    <w:aliases w:val="Normal (Web) Char,Normal (Web) Char Char Char,Normal (Web) Char Char Char Char Char,Normal (Web) Char Char Char Char Char Char Char,Normal (Web) Char1 Char,Normal (Web) Char1 Char Char Char,Normal (Web) Char1 Char Char Char Char Char"/>
    <w:basedOn w:val="Normal"/>
    <w:link w:val="NormalWebChar1"/>
    <w:uiPriority w:val="99"/>
    <w:unhideWhenUsed/>
    <w:rsid w:val="008E74B8"/>
    <w:pPr>
      <w:spacing w:after="200" w:line="276" w:lineRule="auto"/>
    </w:pPr>
    <w:rPr>
      <w:rFonts w:ascii="Times New Roman" w:hAnsi="Times New Roman"/>
      <w:sz w:val="24"/>
      <w:szCs w:val="24"/>
      <w:lang w:val="fr-FR"/>
    </w:rPr>
  </w:style>
  <w:style w:type="table" w:customStyle="1" w:styleId="TableGrid4">
    <w:name w:val="Table Grid4"/>
    <w:basedOn w:val="TableNormal"/>
    <w:next w:val="TableGrid"/>
    <w:uiPriority w:val="59"/>
    <w:rsid w:val="008E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8E74B8"/>
    <w:pPr>
      <w:keepNext/>
      <w:keepLines/>
      <w:spacing w:before="40" w:line="276" w:lineRule="auto"/>
      <w:outlineLvl w:val="2"/>
    </w:pPr>
    <w:rPr>
      <w:rFonts w:ascii="Cambria" w:eastAsia="Times New Roman" w:hAnsi="Cambria"/>
      <w:color w:val="243F60"/>
      <w:sz w:val="24"/>
      <w:szCs w:val="24"/>
      <w:lang w:val="fr-FR"/>
    </w:rPr>
  </w:style>
  <w:style w:type="paragraph" w:customStyle="1" w:styleId="Heading51">
    <w:name w:val="Heading 51"/>
    <w:basedOn w:val="Normal"/>
    <w:next w:val="Normal"/>
    <w:uiPriority w:val="9"/>
    <w:semiHidden/>
    <w:unhideWhenUsed/>
    <w:qFormat/>
    <w:rsid w:val="008E74B8"/>
    <w:pPr>
      <w:keepNext/>
      <w:keepLines/>
      <w:spacing w:before="40" w:line="276" w:lineRule="auto"/>
      <w:outlineLvl w:val="4"/>
    </w:pPr>
    <w:rPr>
      <w:rFonts w:ascii="Cambria" w:eastAsia="Times New Roman" w:hAnsi="Cambria"/>
      <w:color w:val="365F91"/>
      <w:sz w:val="22"/>
      <w:lang w:val="fr-FR"/>
    </w:rPr>
  </w:style>
  <w:style w:type="table" w:customStyle="1" w:styleId="TableGrid12">
    <w:name w:val="Table Grid12"/>
    <w:basedOn w:val="TableNormal"/>
    <w:next w:val="TableGrid"/>
    <w:uiPriority w:val="59"/>
    <w:rsid w:val="008E74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8E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8E74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8E74B8"/>
    <w:rPr>
      <w:rFonts w:ascii="Cambria" w:eastAsia="Times New Roman" w:hAnsi="Cambria" w:cs="Times New Roman"/>
      <w:color w:val="365F91"/>
      <w:lang w:eastAsia="en-GB"/>
    </w:rPr>
  </w:style>
  <w:style w:type="table" w:customStyle="1" w:styleId="Calendar21">
    <w:name w:val="Calendar 21"/>
    <w:basedOn w:val="TableNormal"/>
    <w:uiPriority w:val="99"/>
    <w:qFormat/>
    <w:rsid w:val="008E74B8"/>
    <w:pPr>
      <w:jc w:val="center"/>
    </w:pPr>
    <w:rPr>
      <w:rFonts w:eastAsia="Times New Roman"/>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TableGrid111111">
    <w:name w:val="Table Grid111111"/>
    <w:basedOn w:val="TableNormal"/>
    <w:next w:val="TableGrid"/>
    <w:uiPriority w:val="59"/>
    <w:rsid w:val="008E7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E74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2">
    <w:name w:val="Normal (Web)2"/>
    <w:basedOn w:val="Normal"/>
    <w:next w:val="NormalWeb"/>
    <w:uiPriority w:val="99"/>
    <w:unhideWhenUsed/>
    <w:rsid w:val="008E74B8"/>
    <w:pPr>
      <w:spacing w:after="200" w:line="276" w:lineRule="auto"/>
    </w:pPr>
    <w:rPr>
      <w:rFonts w:ascii="Times New Roman" w:hAnsi="Times New Roman"/>
      <w:sz w:val="24"/>
      <w:szCs w:val="24"/>
      <w:lang w:val="fr-FR"/>
    </w:rPr>
  </w:style>
  <w:style w:type="character" w:customStyle="1" w:styleId="location">
    <w:name w:val="location"/>
    <w:basedOn w:val="DefaultParagraphFont"/>
    <w:rsid w:val="008E74B8"/>
  </w:style>
  <w:style w:type="character" w:customStyle="1" w:styleId="Date1">
    <w:name w:val="Date1"/>
    <w:basedOn w:val="DefaultParagraphFont"/>
    <w:rsid w:val="008E74B8"/>
  </w:style>
  <w:style w:type="paragraph" w:customStyle="1" w:styleId="diminuer">
    <w:name w:val="diminuer"/>
    <w:basedOn w:val="Normal"/>
    <w:rsid w:val="008E74B8"/>
    <w:pPr>
      <w:spacing w:before="100" w:beforeAutospacing="1" w:after="100" w:afterAutospacing="1"/>
    </w:pPr>
    <w:rPr>
      <w:rFonts w:ascii="Times New Roman" w:eastAsia="Times New Roman" w:hAnsi="Times New Roman"/>
      <w:sz w:val="24"/>
      <w:szCs w:val="24"/>
      <w:lang w:val="fr-FR" w:eastAsia="fr-FR"/>
    </w:rPr>
  </w:style>
  <w:style w:type="paragraph" w:customStyle="1" w:styleId="augmenter">
    <w:name w:val="augmenter"/>
    <w:basedOn w:val="Normal"/>
    <w:rsid w:val="008E74B8"/>
    <w:pPr>
      <w:spacing w:before="100" w:beforeAutospacing="1" w:after="100" w:afterAutospacing="1"/>
    </w:pPr>
    <w:rPr>
      <w:rFonts w:ascii="Times New Roman" w:eastAsia="Times New Roman" w:hAnsi="Times New Roman"/>
      <w:sz w:val="24"/>
      <w:szCs w:val="24"/>
      <w:lang w:val="fr-FR" w:eastAsia="fr-FR"/>
    </w:rPr>
  </w:style>
  <w:style w:type="paragraph" w:customStyle="1" w:styleId="imprimer">
    <w:name w:val="imprimer"/>
    <w:basedOn w:val="Normal"/>
    <w:rsid w:val="008E74B8"/>
    <w:pPr>
      <w:spacing w:before="100" w:beforeAutospacing="1" w:after="100" w:afterAutospacing="1"/>
    </w:pPr>
    <w:rPr>
      <w:rFonts w:ascii="Times New Roman" w:eastAsia="Times New Roman" w:hAnsi="Times New Roman"/>
      <w:sz w:val="24"/>
      <w:szCs w:val="24"/>
      <w:lang w:val="fr-FR" w:eastAsia="fr-FR"/>
    </w:rPr>
  </w:style>
  <w:style w:type="character" w:styleId="Strong">
    <w:name w:val="Strong"/>
    <w:basedOn w:val="DefaultParagraphFont"/>
    <w:uiPriority w:val="22"/>
    <w:qFormat/>
    <w:rsid w:val="008E74B8"/>
    <w:rPr>
      <w:b/>
      <w:bCs/>
    </w:rPr>
  </w:style>
  <w:style w:type="character" w:customStyle="1" w:styleId="FootnoteReference1">
    <w:name w:val="Footnote Reference1"/>
    <w:rsid w:val="008E74B8"/>
    <w:rPr>
      <w:vertAlign w:val="superscript"/>
    </w:rPr>
  </w:style>
  <w:style w:type="character" w:customStyle="1" w:styleId="Caractresdenotedebasdepage">
    <w:name w:val="Caractères de note de bas de page"/>
    <w:rsid w:val="008E74B8"/>
  </w:style>
  <w:style w:type="paragraph" w:customStyle="1" w:styleId="chapeau">
    <w:name w:val="chapeau"/>
    <w:basedOn w:val="Normal"/>
    <w:rsid w:val="008E74B8"/>
    <w:pPr>
      <w:spacing w:before="100" w:beforeAutospacing="1" w:after="100" w:afterAutospacing="1"/>
    </w:pPr>
    <w:rPr>
      <w:rFonts w:ascii="Times New Roman" w:eastAsia="Times New Roman" w:hAnsi="Times New Roman"/>
      <w:sz w:val="24"/>
      <w:szCs w:val="24"/>
      <w:lang w:eastAsia="fr-FR"/>
    </w:rPr>
  </w:style>
  <w:style w:type="paragraph" w:customStyle="1" w:styleId="BodyText1">
    <w:name w:val="Body Text1"/>
    <w:basedOn w:val="Normal"/>
    <w:next w:val="BodyText"/>
    <w:link w:val="BodyTextChar"/>
    <w:uiPriority w:val="99"/>
    <w:semiHidden/>
    <w:unhideWhenUsed/>
    <w:rsid w:val="008E74B8"/>
    <w:pPr>
      <w:spacing w:after="120" w:line="260" w:lineRule="atLeast"/>
    </w:pPr>
    <w:rPr>
      <w:rFonts w:ascii="Calibri" w:hAnsi="Calibri"/>
      <w:szCs w:val="20"/>
      <w:lang w:eastAsia="en-GB"/>
    </w:rPr>
  </w:style>
  <w:style w:type="character" w:customStyle="1" w:styleId="BodyTextChar">
    <w:name w:val="Body Text Char"/>
    <w:basedOn w:val="DefaultParagraphFont"/>
    <w:link w:val="BodyText1"/>
    <w:uiPriority w:val="99"/>
    <w:semiHidden/>
    <w:rsid w:val="008E74B8"/>
  </w:style>
  <w:style w:type="paragraph" w:customStyle="1" w:styleId="ListBullet1">
    <w:name w:val="List Bullet1"/>
    <w:basedOn w:val="Normal"/>
    <w:next w:val="ListBullet"/>
    <w:autoRedefine/>
    <w:uiPriority w:val="99"/>
    <w:semiHidden/>
    <w:unhideWhenUsed/>
    <w:rsid w:val="008E74B8"/>
    <w:pPr>
      <w:numPr>
        <w:numId w:val="1"/>
      </w:numPr>
      <w:tabs>
        <w:tab w:val="clear" w:pos="1360"/>
        <w:tab w:val="left" w:pos="851"/>
      </w:tabs>
      <w:spacing w:after="140" w:line="256" w:lineRule="auto"/>
      <w:ind w:left="0" w:firstLine="170"/>
    </w:pPr>
    <w:rPr>
      <w:rFonts w:ascii="Calibri" w:hAnsi="Calibri"/>
      <w:sz w:val="22"/>
      <w:lang w:val="fr-FR"/>
    </w:rPr>
  </w:style>
  <w:style w:type="paragraph" w:customStyle="1" w:styleId="Quote1">
    <w:name w:val="Quote1"/>
    <w:basedOn w:val="Normal"/>
    <w:next w:val="Normal"/>
    <w:uiPriority w:val="29"/>
    <w:qFormat/>
    <w:rsid w:val="008E74B8"/>
    <w:pPr>
      <w:spacing w:before="200" w:after="160" w:line="256" w:lineRule="auto"/>
      <w:ind w:left="864" w:right="864"/>
      <w:jc w:val="center"/>
    </w:pPr>
    <w:rPr>
      <w:rFonts w:ascii="Calibri" w:hAnsi="Calibri"/>
      <w:i/>
      <w:iCs/>
      <w:color w:val="404040"/>
      <w:sz w:val="22"/>
      <w:lang w:val="fr-FR"/>
    </w:rPr>
  </w:style>
  <w:style w:type="character" w:customStyle="1" w:styleId="QuoteChar">
    <w:name w:val="Quote Char"/>
    <w:basedOn w:val="DefaultParagraphFont"/>
    <w:link w:val="Quote"/>
    <w:uiPriority w:val="29"/>
    <w:rsid w:val="008E74B8"/>
    <w:rPr>
      <w:i/>
      <w:iCs/>
      <w:color w:val="404040"/>
    </w:rPr>
  </w:style>
  <w:style w:type="paragraph" w:customStyle="1" w:styleId="Bibliography1">
    <w:name w:val="Bibliography1"/>
    <w:basedOn w:val="Normal"/>
    <w:next w:val="Normal"/>
    <w:uiPriority w:val="37"/>
    <w:semiHidden/>
    <w:unhideWhenUsed/>
    <w:rsid w:val="008E74B8"/>
    <w:pPr>
      <w:spacing w:after="160" w:line="256" w:lineRule="auto"/>
    </w:pPr>
    <w:rPr>
      <w:rFonts w:ascii="Calibri" w:hAnsi="Calibri"/>
      <w:sz w:val="22"/>
      <w:lang w:val="fr-FR"/>
    </w:rPr>
  </w:style>
  <w:style w:type="paragraph" w:customStyle="1" w:styleId="boxout">
    <w:name w:val="boxout"/>
    <w:basedOn w:val="Heading2"/>
    <w:uiPriority w:val="99"/>
    <w:qFormat/>
    <w:rsid w:val="008E74B8"/>
    <w:pPr>
      <w:keepNext w:val="0"/>
      <w:keepLines w:val="0"/>
      <w:pBdr>
        <w:top w:val="single" w:sz="4" w:space="8" w:color="auto"/>
        <w:left w:val="single" w:sz="4" w:space="8" w:color="auto"/>
        <w:bottom w:val="single" w:sz="4" w:space="8" w:color="auto"/>
        <w:right w:val="single" w:sz="4" w:space="8" w:color="auto"/>
      </w:pBdr>
      <w:shd w:val="clear" w:color="auto" w:fill="EEECE1"/>
      <w:spacing w:before="100" w:beforeAutospacing="1" w:after="240" w:line="240" w:lineRule="auto"/>
    </w:pPr>
    <w:rPr>
      <w:rFonts w:ascii="Calibri" w:eastAsia="Calibri" w:hAnsi="Calibri"/>
      <w:b w:val="0"/>
      <w:bCs w:val="0"/>
      <w:color w:val="auto"/>
      <w:sz w:val="22"/>
      <w:szCs w:val="22"/>
    </w:rPr>
  </w:style>
  <w:style w:type="character" w:customStyle="1" w:styleId="Hyperlink2">
    <w:name w:val="Hyperlink.2"/>
    <w:basedOn w:val="DefaultParagraphFont"/>
    <w:rsid w:val="008E74B8"/>
    <w:rPr>
      <w:rFonts w:ascii="Arial" w:hAnsi="Arial"/>
      <w:color w:val="auto"/>
      <w:sz w:val="20"/>
      <w:u w:val="none"/>
      <w:lang w:val="en-US"/>
    </w:rPr>
  </w:style>
  <w:style w:type="paragraph" w:customStyle="1" w:styleId="Body">
    <w:name w:val="Body"/>
    <w:rsid w:val="008E74B8"/>
    <w:pPr>
      <w:pBdr>
        <w:top w:val="nil"/>
        <w:left w:val="nil"/>
        <w:bottom w:val="nil"/>
        <w:right w:val="nil"/>
        <w:between w:val="nil"/>
        <w:bar w:val="nil"/>
      </w:pBdr>
    </w:pPr>
    <w:rPr>
      <w:rFonts w:ascii="Arial" w:eastAsia="Arial" w:hAnsi="Arial" w:cs="Arial"/>
      <w:color w:val="000000"/>
      <w:sz w:val="22"/>
      <w:szCs w:val="22"/>
      <w:u w:color="000000"/>
      <w:bdr w:val="nil"/>
    </w:rPr>
  </w:style>
  <w:style w:type="character" w:customStyle="1" w:styleId="IntenseReference1">
    <w:name w:val="Intense Reference1"/>
    <w:basedOn w:val="DefaultParagraphFont"/>
    <w:uiPriority w:val="32"/>
    <w:qFormat/>
    <w:rsid w:val="008E74B8"/>
    <w:rPr>
      <w:b/>
      <w:bCs/>
      <w:smallCaps/>
      <w:color w:val="4F81BD"/>
      <w:spacing w:val="5"/>
    </w:rPr>
  </w:style>
  <w:style w:type="paragraph" w:customStyle="1" w:styleId="TOC32">
    <w:name w:val="TOC 32"/>
    <w:basedOn w:val="Normal"/>
    <w:next w:val="Normal"/>
    <w:autoRedefine/>
    <w:uiPriority w:val="39"/>
    <w:unhideWhenUsed/>
    <w:rsid w:val="008E74B8"/>
    <w:pPr>
      <w:spacing w:after="100" w:line="276" w:lineRule="auto"/>
      <w:ind w:left="440"/>
    </w:pPr>
    <w:rPr>
      <w:rFonts w:ascii="Calibri" w:hAnsi="Calibri"/>
      <w:sz w:val="22"/>
      <w:lang w:val="fr-FR"/>
    </w:rPr>
  </w:style>
  <w:style w:type="paragraph" w:customStyle="1" w:styleId="TOC12">
    <w:name w:val="TOC 12"/>
    <w:basedOn w:val="Normal"/>
    <w:next w:val="Normal"/>
    <w:autoRedefine/>
    <w:uiPriority w:val="39"/>
    <w:unhideWhenUsed/>
    <w:rsid w:val="008E74B8"/>
    <w:pPr>
      <w:spacing w:after="100" w:line="276" w:lineRule="auto"/>
    </w:pPr>
    <w:rPr>
      <w:rFonts w:ascii="Calibri" w:hAnsi="Calibri"/>
      <w:sz w:val="22"/>
      <w:lang w:val="fr-FR"/>
    </w:rPr>
  </w:style>
  <w:style w:type="paragraph" w:customStyle="1" w:styleId="TOC22">
    <w:name w:val="TOC 22"/>
    <w:basedOn w:val="Normal"/>
    <w:next w:val="Normal"/>
    <w:autoRedefine/>
    <w:uiPriority w:val="39"/>
    <w:unhideWhenUsed/>
    <w:rsid w:val="008E74B8"/>
    <w:pPr>
      <w:spacing w:after="100" w:line="276" w:lineRule="auto"/>
      <w:ind w:left="220"/>
    </w:pPr>
    <w:rPr>
      <w:rFonts w:ascii="Calibri" w:hAnsi="Calibri"/>
      <w:sz w:val="22"/>
      <w:lang w:val="fr-FR"/>
    </w:rPr>
  </w:style>
  <w:style w:type="paragraph" w:customStyle="1" w:styleId="Revision1">
    <w:name w:val="Revision1"/>
    <w:next w:val="Revision"/>
    <w:hidden/>
    <w:uiPriority w:val="99"/>
    <w:semiHidden/>
    <w:rsid w:val="008E74B8"/>
    <w:rPr>
      <w:sz w:val="22"/>
      <w:szCs w:val="22"/>
      <w:lang w:val="fr-FR" w:eastAsia="en-US"/>
    </w:rPr>
  </w:style>
  <w:style w:type="character" w:customStyle="1" w:styleId="Heading3Char1">
    <w:name w:val="Heading 3 Char1"/>
    <w:basedOn w:val="DefaultParagraphFont"/>
    <w:uiPriority w:val="9"/>
    <w:semiHidden/>
    <w:rsid w:val="008E74B8"/>
    <w:rPr>
      <w:rFonts w:ascii="Cambria" w:eastAsia="Times New Roman" w:hAnsi="Cambria" w:cs="Times New Roman"/>
      <w:color w:val="243F60"/>
      <w:sz w:val="24"/>
      <w:szCs w:val="24"/>
      <w:lang w:eastAsia="en-US"/>
    </w:rPr>
  </w:style>
  <w:style w:type="character" w:customStyle="1" w:styleId="Heading5Char1">
    <w:name w:val="Heading 5 Char1"/>
    <w:basedOn w:val="DefaultParagraphFont"/>
    <w:uiPriority w:val="9"/>
    <w:semiHidden/>
    <w:rsid w:val="008E74B8"/>
    <w:rPr>
      <w:rFonts w:ascii="Cambria" w:eastAsia="Times New Roman" w:hAnsi="Cambria" w:cs="Times New Roman"/>
      <w:color w:val="365F91"/>
      <w:szCs w:val="22"/>
      <w:lang w:eastAsia="en-US"/>
    </w:rPr>
  </w:style>
  <w:style w:type="paragraph" w:styleId="BodyText">
    <w:name w:val="Body Text"/>
    <w:basedOn w:val="Normal"/>
    <w:link w:val="BodyTextChar1"/>
    <w:uiPriority w:val="99"/>
    <w:semiHidden/>
    <w:unhideWhenUsed/>
    <w:rsid w:val="008E74B8"/>
    <w:pPr>
      <w:spacing w:after="120"/>
    </w:pPr>
  </w:style>
  <w:style w:type="character" w:customStyle="1" w:styleId="BodyTextChar1">
    <w:name w:val="Body Text Char1"/>
    <w:basedOn w:val="DefaultParagraphFont"/>
    <w:link w:val="BodyText"/>
    <w:uiPriority w:val="99"/>
    <w:semiHidden/>
    <w:rsid w:val="008E74B8"/>
    <w:rPr>
      <w:rFonts w:ascii="Arial" w:hAnsi="Arial"/>
      <w:szCs w:val="22"/>
      <w:lang w:eastAsia="en-US"/>
    </w:rPr>
  </w:style>
  <w:style w:type="paragraph" w:styleId="ListBullet">
    <w:name w:val="List Bullet"/>
    <w:basedOn w:val="Normal"/>
    <w:uiPriority w:val="99"/>
    <w:semiHidden/>
    <w:unhideWhenUsed/>
    <w:rsid w:val="008E74B8"/>
    <w:pPr>
      <w:ind w:left="360" w:hanging="360"/>
      <w:contextualSpacing/>
    </w:pPr>
  </w:style>
  <w:style w:type="paragraph" w:styleId="Quote">
    <w:name w:val="Quote"/>
    <w:basedOn w:val="Normal"/>
    <w:next w:val="Normal"/>
    <w:link w:val="QuoteChar"/>
    <w:uiPriority w:val="29"/>
    <w:qFormat/>
    <w:rsid w:val="008E74B8"/>
    <w:pPr>
      <w:spacing w:before="200" w:after="160"/>
      <w:ind w:left="864" w:right="864"/>
      <w:jc w:val="center"/>
    </w:pPr>
    <w:rPr>
      <w:rFonts w:ascii="Calibri" w:hAnsi="Calibri"/>
      <w:i/>
      <w:iCs/>
      <w:color w:val="404040"/>
      <w:szCs w:val="20"/>
      <w:lang w:eastAsia="en-GB"/>
    </w:rPr>
  </w:style>
  <w:style w:type="character" w:customStyle="1" w:styleId="QuoteChar1">
    <w:name w:val="Quote Char1"/>
    <w:basedOn w:val="DefaultParagraphFont"/>
    <w:uiPriority w:val="29"/>
    <w:rsid w:val="008E74B8"/>
    <w:rPr>
      <w:rFonts w:ascii="Arial" w:hAnsi="Arial"/>
      <w:i/>
      <w:iCs/>
      <w:color w:val="404040" w:themeColor="text1" w:themeTint="BF"/>
      <w:szCs w:val="22"/>
      <w:lang w:eastAsia="en-US"/>
    </w:rPr>
  </w:style>
  <w:style w:type="character" w:customStyle="1" w:styleId="CitationCar1">
    <w:name w:val="Citation Car1"/>
    <w:basedOn w:val="DefaultParagraphFont"/>
    <w:uiPriority w:val="29"/>
    <w:rsid w:val="008E74B8"/>
    <w:rPr>
      <w:rFonts w:ascii="Arial" w:hAnsi="Arial"/>
      <w:i/>
      <w:iCs/>
      <w:color w:val="404040" w:themeColor="text1" w:themeTint="BF"/>
      <w:szCs w:val="22"/>
      <w:lang w:eastAsia="en-US"/>
    </w:rPr>
  </w:style>
  <w:style w:type="character" w:customStyle="1" w:styleId="IntenseReference2">
    <w:name w:val="Intense Reference2"/>
    <w:basedOn w:val="DefaultParagraphFont"/>
    <w:uiPriority w:val="32"/>
    <w:qFormat/>
    <w:rsid w:val="008E74B8"/>
    <w:rPr>
      <w:b/>
      <w:bCs/>
      <w:smallCaps/>
      <w:color w:val="4F81BD"/>
      <w:spacing w:val="5"/>
    </w:rPr>
  </w:style>
  <w:style w:type="character" w:customStyle="1" w:styleId="IntenseReference3">
    <w:name w:val="Intense Reference3"/>
    <w:basedOn w:val="DefaultParagraphFont"/>
    <w:uiPriority w:val="32"/>
    <w:qFormat/>
    <w:rsid w:val="008E74B8"/>
    <w:rPr>
      <w:b/>
      <w:bCs/>
      <w:smallCaps/>
      <w:color w:val="4F81BD"/>
      <w:spacing w:val="5"/>
    </w:rPr>
  </w:style>
  <w:style w:type="paragraph" w:styleId="TOC1">
    <w:name w:val="toc 1"/>
    <w:basedOn w:val="Normal"/>
    <w:next w:val="Normal"/>
    <w:autoRedefine/>
    <w:uiPriority w:val="39"/>
    <w:unhideWhenUsed/>
    <w:rsid w:val="008E74B8"/>
    <w:pPr>
      <w:tabs>
        <w:tab w:val="left" w:pos="440"/>
        <w:tab w:val="right" w:leader="dot" w:pos="9498"/>
      </w:tabs>
      <w:spacing w:line="360" w:lineRule="auto"/>
    </w:pPr>
    <w:rPr>
      <w:rFonts w:eastAsia="Palatino Linotype" w:cs="Arial"/>
      <w:noProof/>
      <w:szCs w:val="20"/>
      <w:lang w:val="fr-FR"/>
    </w:rPr>
  </w:style>
  <w:style w:type="paragraph" w:styleId="TOC2">
    <w:name w:val="toc 2"/>
    <w:basedOn w:val="Normal"/>
    <w:next w:val="Normal"/>
    <w:autoRedefine/>
    <w:uiPriority w:val="39"/>
    <w:unhideWhenUsed/>
    <w:rsid w:val="008E74B8"/>
    <w:pPr>
      <w:tabs>
        <w:tab w:val="left" w:pos="567"/>
        <w:tab w:val="right" w:pos="9498"/>
      </w:tabs>
      <w:spacing w:line="360" w:lineRule="auto"/>
      <w:ind w:left="220"/>
    </w:pPr>
    <w:rPr>
      <w:rFonts w:ascii="Calibri" w:hAnsi="Calibri"/>
      <w:sz w:val="22"/>
      <w:lang w:val="fr-FR"/>
    </w:rPr>
  </w:style>
  <w:style w:type="paragraph" w:customStyle="1" w:styleId="xxmsonormal">
    <w:name w:val="x_xmsonormal"/>
    <w:basedOn w:val="Normal"/>
    <w:rsid w:val="008E74B8"/>
    <w:pPr>
      <w:spacing w:before="100" w:beforeAutospacing="1" w:after="100" w:afterAutospacing="1"/>
    </w:pPr>
    <w:rPr>
      <w:rFonts w:ascii="Times New Roman" w:eastAsia="Times New Roman" w:hAnsi="Times New Roman"/>
      <w:sz w:val="24"/>
      <w:szCs w:val="24"/>
      <w:lang w:val="es-ES" w:eastAsia="es-ES"/>
    </w:rPr>
  </w:style>
  <w:style w:type="paragraph" w:customStyle="1" w:styleId="xxmsolistparagraph">
    <w:name w:val="x_xmsolistparagraph"/>
    <w:basedOn w:val="Normal"/>
    <w:rsid w:val="008E74B8"/>
    <w:pPr>
      <w:spacing w:before="100" w:beforeAutospacing="1" w:after="100" w:afterAutospacing="1"/>
    </w:pPr>
    <w:rPr>
      <w:rFonts w:ascii="Times New Roman" w:eastAsia="Times New Roman" w:hAnsi="Times New Roman"/>
      <w:sz w:val="24"/>
      <w:szCs w:val="24"/>
      <w:lang w:val="es-ES" w:eastAsia="es-ES"/>
    </w:rPr>
  </w:style>
  <w:style w:type="paragraph" w:customStyle="1" w:styleId="COEHI">
    <w:name w:val="COE_HI"/>
    <w:basedOn w:val="Normal"/>
    <w:rsid w:val="008E74B8"/>
    <w:pPr>
      <w:numPr>
        <w:numId w:val="2"/>
      </w:numPr>
      <w:tabs>
        <w:tab w:val="clear" w:pos="960"/>
      </w:tabs>
      <w:spacing w:line="240" w:lineRule="exact"/>
      <w:ind w:left="360" w:hanging="360"/>
      <w:jc w:val="both"/>
    </w:pPr>
    <w:rPr>
      <w:rFonts w:ascii="Times New Roman" w:hAnsi="Times New Roman"/>
      <w:color w:val="000000"/>
      <w:sz w:val="21"/>
      <w:szCs w:val="21"/>
      <w:lang w:val="fr-FR" w:eastAsia="fr-FR"/>
    </w:rPr>
  </w:style>
  <w:style w:type="paragraph" w:customStyle="1" w:styleId="bul1a">
    <w:name w:val="bul1a"/>
    <w:basedOn w:val="ListParagraph"/>
    <w:qFormat/>
    <w:rsid w:val="008E74B8"/>
    <w:pPr>
      <w:numPr>
        <w:numId w:val="3"/>
      </w:numPr>
      <w:spacing w:line="280" w:lineRule="atLeast"/>
      <w:ind w:left="851" w:hanging="851"/>
      <w:contextualSpacing/>
      <w:jc w:val="both"/>
    </w:pPr>
    <w:rPr>
      <w:rFonts w:ascii="Tahoma" w:hAnsi="Tahoma" w:cs="Arial"/>
      <w:bCs/>
      <w:szCs w:val="24"/>
    </w:rPr>
  </w:style>
  <w:style w:type="paragraph" w:styleId="Subtitle">
    <w:name w:val="Subtitle"/>
    <w:basedOn w:val="Normal"/>
    <w:link w:val="SubtitleChar"/>
    <w:uiPriority w:val="11"/>
    <w:qFormat/>
    <w:rsid w:val="008E74B8"/>
    <w:pPr>
      <w:spacing w:before="120" w:after="120"/>
      <w:jc w:val="center"/>
    </w:pPr>
    <w:rPr>
      <w:rFonts w:ascii="Century Gothic" w:eastAsia="Times New Roman" w:hAnsi="Century Gothic" w:cs="Arial"/>
      <w:smallCaps/>
      <w:sz w:val="22"/>
    </w:rPr>
  </w:style>
  <w:style w:type="character" w:customStyle="1" w:styleId="SubtitleChar">
    <w:name w:val="Subtitle Char"/>
    <w:basedOn w:val="DefaultParagraphFont"/>
    <w:link w:val="Subtitle"/>
    <w:uiPriority w:val="11"/>
    <w:rsid w:val="008E74B8"/>
    <w:rPr>
      <w:rFonts w:ascii="Century Gothic" w:eastAsia="Times New Roman" w:hAnsi="Century Gothic" w:cs="Arial"/>
      <w:smallCaps/>
      <w:sz w:val="22"/>
      <w:szCs w:val="22"/>
      <w:lang w:eastAsia="en-US"/>
    </w:rPr>
  </w:style>
  <w:style w:type="paragraph" w:styleId="NoSpacing">
    <w:name w:val="No Spacing"/>
    <w:link w:val="NoSpacingChar"/>
    <w:uiPriority w:val="1"/>
    <w:qFormat/>
    <w:rsid w:val="008E74B8"/>
    <w:pPr>
      <w:jc w:val="both"/>
    </w:pPr>
    <w:rPr>
      <w:rFonts w:eastAsia="Times New Roman"/>
      <w:sz w:val="22"/>
      <w:szCs w:val="24"/>
      <w:lang w:eastAsia="en-US"/>
    </w:rPr>
  </w:style>
  <w:style w:type="character" w:customStyle="1" w:styleId="NoSpacingChar">
    <w:name w:val="No Spacing Char"/>
    <w:basedOn w:val="DefaultParagraphFont"/>
    <w:link w:val="NoSpacing"/>
    <w:uiPriority w:val="1"/>
    <w:rsid w:val="008E74B8"/>
    <w:rPr>
      <w:rFonts w:eastAsia="Times New Roman"/>
      <w:sz w:val="22"/>
      <w:szCs w:val="24"/>
      <w:lang w:eastAsia="en-US"/>
    </w:rPr>
  </w:style>
  <w:style w:type="character" w:styleId="Emphasis">
    <w:name w:val="Emphasis"/>
    <w:basedOn w:val="DefaultParagraphFont"/>
    <w:uiPriority w:val="20"/>
    <w:qFormat/>
    <w:rsid w:val="008E74B8"/>
    <w:rPr>
      <w:i/>
      <w:iCs/>
    </w:rPr>
  </w:style>
  <w:style w:type="paragraph" w:styleId="TOC3">
    <w:name w:val="toc 3"/>
    <w:basedOn w:val="Normal"/>
    <w:next w:val="Normal"/>
    <w:autoRedefine/>
    <w:uiPriority w:val="39"/>
    <w:unhideWhenUsed/>
    <w:rsid w:val="008E74B8"/>
    <w:pPr>
      <w:spacing w:after="100" w:line="276" w:lineRule="auto"/>
      <w:ind w:left="440"/>
    </w:pPr>
    <w:rPr>
      <w:rFonts w:ascii="Calibri" w:hAnsi="Calibri"/>
      <w:sz w:val="22"/>
      <w:lang w:val="fr-FR"/>
    </w:rPr>
  </w:style>
  <w:style w:type="paragraph" w:customStyle="1" w:styleId="xmsonormal">
    <w:name w:val="x_msonormal"/>
    <w:basedOn w:val="Normal"/>
    <w:rsid w:val="008E74B8"/>
    <w:rPr>
      <w:rFonts w:ascii="Calibri" w:hAnsi="Calibri" w:cs="Calibri"/>
      <w:sz w:val="22"/>
      <w:lang w:val="fr-FR" w:eastAsia="fr-FR"/>
    </w:rPr>
  </w:style>
  <w:style w:type="character" w:styleId="FollowedHyperlink">
    <w:name w:val="FollowedHyperlink"/>
    <w:basedOn w:val="DefaultParagraphFont"/>
    <w:uiPriority w:val="99"/>
    <w:semiHidden/>
    <w:unhideWhenUsed/>
    <w:rsid w:val="008E74B8"/>
    <w:rPr>
      <w:color w:val="800080" w:themeColor="followedHyperlink"/>
      <w:u w:val="single"/>
    </w:rPr>
  </w:style>
  <w:style w:type="character" w:styleId="IntenseReference">
    <w:name w:val="Intense Reference"/>
    <w:basedOn w:val="DefaultParagraphFont"/>
    <w:uiPriority w:val="32"/>
    <w:qFormat/>
    <w:rsid w:val="008E74B8"/>
    <w:rPr>
      <w:b/>
      <w:bCs/>
      <w:smallCaps/>
      <w:color w:val="4F81BD" w:themeColor="accent1"/>
      <w:spacing w:val="5"/>
    </w:rPr>
  </w:style>
  <w:style w:type="character" w:customStyle="1" w:styleId="Heading4Char1">
    <w:name w:val="Heading 4 Char1"/>
    <w:basedOn w:val="DefaultParagraphFont"/>
    <w:uiPriority w:val="9"/>
    <w:semiHidden/>
    <w:rsid w:val="008E74B8"/>
    <w:rPr>
      <w:rFonts w:asciiTheme="majorHAnsi" w:eastAsiaTheme="majorEastAsia" w:hAnsiTheme="majorHAnsi" w:cstheme="majorBidi"/>
      <w:i/>
      <w:iCs/>
      <w:color w:val="365F91" w:themeColor="accent1" w:themeShade="BF"/>
      <w:szCs w:val="22"/>
      <w:lang w:eastAsia="en-US"/>
    </w:rPr>
  </w:style>
  <w:style w:type="table" w:customStyle="1" w:styleId="TableNormal1">
    <w:name w:val="Table Normal1"/>
    <w:rsid w:val="008E74B8"/>
    <w:pPr>
      <w:spacing w:after="160" w:line="259" w:lineRule="auto"/>
    </w:pPr>
    <w:rPr>
      <w:rFonts w:cs="Calibri"/>
      <w:sz w:val="22"/>
      <w:szCs w:val="22"/>
      <w:lang w:val="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8E74B8"/>
    <w:pPr>
      <w:keepNext/>
      <w:keepLines/>
      <w:spacing w:before="480" w:after="120" w:line="259" w:lineRule="auto"/>
    </w:pPr>
    <w:rPr>
      <w:rFonts w:ascii="Calibri" w:hAnsi="Calibri" w:cs="Calibri"/>
      <w:b/>
      <w:sz w:val="72"/>
      <w:szCs w:val="72"/>
      <w:lang w:eastAsia="en-GB"/>
    </w:rPr>
  </w:style>
  <w:style w:type="character" w:customStyle="1" w:styleId="TitleChar">
    <w:name w:val="Title Char"/>
    <w:basedOn w:val="DefaultParagraphFont"/>
    <w:link w:val="Title"/>
    <w:uiPriority w:val="10"/>
    <w:rsid w:val="008E74B8"/>
    <w:rPr>
      <w:rFonts w:cs="Calibri"/>
      <w:b/>
      <w:sz w:val="72"/>
      <w:szCs w:val="72"/>
    </w:rPr>
  </w:style>
  <w:style w:type="character" w:customStyle="1" w:styleId="UnresolvedMention1">
    <w:name w:val="Unresolved Mention1"/>
    <w:basedOn w:val="DefaultParagraphFont"/>
    <w:uiPriority w:val="99"/>
    <w:semiHidden/>
    <w:unhideWhenUsed/>
    <w:rsid w:val="008E74B8"/>
    <w:rPr>
      <w:color w:val="605E5C"/>
      <w:shd w:val="clear" w:color="auto" w:fill="E1DFDD"/>
    </w:rPr>
  </w:style>
  <w:style w:type="character" w:customStyle="1" w:styleId="UnresolvedMention2">
    <w:name w:val="Unresolved Mention2"/>
    <w:basedOn w:val="DefaultParagraphFont"/>
    <w:uiPriority w:val="99"/>
    <w:semiHidden/>
    <w:unhideWhenUsed/>
    <w:rsid w:val="008E74B8"/>
    <w:rPr>
      <w:color w:val="605E5C"/>
      <w:shd w:val="clear" w:color="auto" w:fill="E1DFDD"/>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uiPriority w:val="99"/>
    <w:rsid w:val="008E74B8"/>
    <w:pPr>
      <w:spacing w:after="160" w:line="240" w:lineRule="exact"/>
      <w:jc w:val="both"/>
    </w:pPr>
    <w:rPr>
      <w:rFonts w:ascii="Calibri" w:hAnsi="Calibri"/>
      <w:szCs w:val="20"/>
      <w:vertAlign w:val="superscript"/>
      <w:lang w:eastAsia="en-GB"/>
    </w:rPr>
  </w:style>
  <w:style w:type="paragraph" w:customStyle="1" w:styleId="lead">
    <w:name w:val="lead"/>
    <w:basedOn w:val="Normal"/>
    <w:rsid w:val="008E74B8"/>
    <w:pPr>
      <w:spacing w:before="100" w:beforeAutospacing="1" w:after="100" w:afterAutospacing="1"/>
    </w:pPr>
    <w:rPr>
      <w:rFonts w:ascii="Times New Roman" w:eastAsiaTheme="minorHAnsi" w:hAnsi="Times New Roman"/>
      <w:sz w:val="24"/>
      <w:szCs w:val="24"/>
      <w:lang w:val="fr-FR" w:eastAsia="fr-FR"/>
    </w:rPr>
  </w:style>
  <w:style w:type="character" w:customStyle="1" w:styleId="NormalWebChar1">
    <w:name w:val="Normal (Web) Char1"/>
    <w:aliases w:val="Normal (Web) Char Char,Normal (Web) Char Char Char Char,Normal (Web) Char Char Char Char Char Char,Normal (Web) Char Char Char Char Char Char Char Char,Normal (Web) Char1 Char Char,Normal (Web) Char1 Char Char Char Char"/>
    <w:link w:val="NormalWeb"/>
    <w:uiPriority w:val="99"/>
    <w:locked/>
    <w:rsid w:val="008E74B8"/>
    <w:rPr>
      <w:rFonts w:ascii="Times New Roman" w:hAnsi="Times New Roman"/>
      <w:sz w:val="24"/>
      <w:szCs w:val="24"/>
      <w:lang w:val="fr-FR" w:eastAsia="en-US"/>
    </w:rPr>
  </w:style>
  <w:style w:type="paragraph" w:customStyle="1" w:styleId="wordsection1">
    <w:name w:val="wordsection1"/>
    <w:basedOn w:val="Normal"/>
    <w:uiPriority w:val="99"/>
    <w:rsid w:val="008E74B8"/>
    <w:pPr>
      <w:spacing w:before="100" w:beforeAutospacing="1" w:after="100" w:afterAutospacing="1"/>
    </w:pPr>
    <w:rPr>
      <w:rFonts w:ascii="Times New Roman" w:eastAsiaTheme="minorHAnsi" w:hAnsi="Times New Roman"/>
      <w:sz w:val="24"/>
      <w:szCs w:val="24"/>
      <w:lang w:val="fr-FR" w:eastAsia="ru-RU"/>
    </w:rPr>
  </w:style>
  <w:style w:type="character" w:customStyle="1" w:styleId="s15">
    <w:name w:val="s15"/>
    <w:basedOn w:val="DefaultParagraphFont"/>
    <w:rsid w:val="008E74B8"/>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Footnotes refss Car1,callout Car Car Char Char Car"/>
    <w:basedOn w:val="Normal"/>
    <w:uiPriority w:val="99"/>
    <w:rsid w:val="008E74B8"/>
    <w:pPr>
      <w:spacing w:after="160" w:line="240" w:lineRule="exact"/>
    </w:pPr>
    <w:rPr>
      <w:rFonts w:asciiTheme="minorHAnsi" w:eastAsiaTheme="minorHAnsi" w:hAnsiTheme="minorHAnsi" w:cstheme="minorBidi"/>
      <w:sz w:val="22"/>
      <w:vertAlign w:val="superscript"/>
      <w:lang w:val="fr-FR"/>
    </w:rPr>
  </w:style>
  <w:style w:type="paragraph" w:styleId="PlainText">
    <w:name w:val="Plain Text"/>
    <w:basedOn w:val="Normal"/>
    <w:link w:val="PlainTextChar"/>
    <w:uiPriority w:val="99"/>
    <w:unhideWhenUsed/>
    <w:rsid w:val="008E74B8"/>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8E74B8"/>
    <w:rPr>
      <w:rFonts w:eastAsiaTheme="minorHAnsi" w:cstheme="minorBidi"/>
      <w:sz w:val="22"/>
      <w:szCs w:val="21"/>
      <w:lang w:val="fr-FR" w:eastAsia="en-US"/>
    </w:rPr>
  </w:style>
  <w:style w:type="paragraph" w:styleId="HTMLPreformatted">
    <w:name w:val="HTML Preformatted"/>
    <w:basedOn w:val="Normal"/>
    <w:link w:val="HTMLPreformattedChar"/>
    <w:uiPriority w:val="99"/>
    <w:semiHidden/>
    <w:unhideWhenUsed/>
    <w:rsid w:val="008E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fr-FR" w:eastAsia="fr-FR"/>
    </w:rPr>
  </w:style>
  <w:style w:type="character" w:customStyle="1" w:styleId="HTMLPreformattedChar">
    <w:name w:val="HTML Preformatted Char"/>
    <w:basedOn w:val="DefaultParagraphFont"/>
    <w:link w:val="HTMLPreformatted"/>
    <w:uiPriority w:val="99"/>
    <w:semiHidden/>
    <w:rsid w:val="008E74B8"/>
    <w:rPr>
      <w:rFonts w:ascii="Courier New" w:eastAsia="Times New Roman" w:hAnsi="Courier New" w:cs="Courier New"/>
      <w:lang w:val="fr-FR" w:eastAsia="fr-FR"/>
    </w:rPr>
  </w:style>
  <w:style w:type="paragraph" w:customStyle="1" w:styleId="NormalHanging12a">
    <w:name w:val="NormalHanging12a"/>
    <w:basedOn w:val="Normal"/>
    <w:rsid w:val="008E74B8"/>
    <w:pPr>
      <w:widowControl w:val="0"/>
      <w:spacing w:after="240"/>
      <w:ind w:left="567" w:hanging="567"/>
    </w:pPr>
    <w:rPr>
      <w:rFonts w:ascii="Times New Roman" w:eastAsia="Times New Roman" w:hAnsi="Times New Roman"/>
      <w:sz w:val="24"/>
      <w:szCs w:val="20"/>
      <w:lang w:eastAsia="en-GB"/>
    </w:rPr>
  </w:style>
  <w:style w:type="paragraph" w:customStyle="1" w:styleId="calloutCharCharCharCharCharCharCharCharCharChar1CharCharCharChar">
    <w:name w:val="callout Char Char Char Char Char Char Char Char Char Char1 Char Char Char Char"/>
    <w:aliases w:val="Footnotes refss Char Char Char Char Char Char Char Char1 Char Char Char Char Char Char Char Char Char Char Char"/>
    <w:basedOn w:val="Normal"/>
    <w:uiPriority w:val="17"/>
    <w:rsid w:val="008E74B8"/>
    <w:pPr>
      <w:spacing w:after="160" w:line="240" w:lineRule="exact"/>
    </w:pPr>
    <w:rPr>
      <w:rFonts w:ascii="Calibri" w:hAnsi="Calibri"/>
      <w:szCs w:val="20"/>
      <w:vertAlign w:val="superscript"/>
      <w:lang w:eastAsia="en-GB"/>
    </w:rPr>
  </w:style>
  <w:style w:type="paragraph" w:customStyle="1" w:styleId="yiv9109008500msonormal">
    <w:name w:val="yiv9109008500msonormal"/>
    <w:basedOn w:val="Normal"/>
    <w:rsid w:val="008E74B8"/>
    <w:pPr>
      <w:spacing w:before="100" w:beforeAutospacing="1" w:after="100" w:afterAutospacing="1"/>
    </w:pPr>
    <w:rPr>
      <w:rFonts w:ascii="Times New Roman" w:eastAsia="Times New Roman" w:hAnsi="Times New Roman"/>
      <w:sz w:val="24"/>
      <w:szCs w:val="24"/>
      <w:lang w:val="en-US"/>
    </w:rPr>
  </w:style>
  <w:style w:type="character" w:customStyle="1" w:styleId="visual-border-emphase1">
    <w:name w:val="visual-border-emphase1"/>
    <w:basedOn w:val="DefaultParagraphFont"/>
    <w:rsid w:val="008E74B8"/>
    <w:rPr>
      <w:vanish w:val="0"/>
      <w:webHidden w:val="0"/>
      <w:bdr w:val="single" w:sz="6" w:space="4" w:color="D0D0D0" w:frame="1"/>
      <w:shd w:val="clear" w:color="auto" w:fill="F3F3F3"/>
      <w:specVanish w:val="0"/>
    </w:rPr>
  </w:style>
  <w:style w:type="character" w:customStyle="1" w:styleId="ilfuvd">
    <w:name w:val="ilfuvd"/>
    <w:basedOn w:val="DefaultParagraphFont"/>
    <w:rsid w:val="008E74B8"/>
  </w:style>
  <w:style w:type="paragraph" w:styleId="EndnoteText">
    <w:name w:val="endnote text"/>
    <w:basedOn w:val="Normal"/>
    <w:link w:val="EndnoteTextChar"/>
    <w:rsid w:val="008E74B8"/>
    <w:rPr>
      <w:rFonts w:ascii="Times New Roman" w:eastAsia="Times New Roman" w:hAnsi="Times New Roman"/>
      <w:szCs w:val="20"/>
      <w:lang w:eastAsia="fr-FR"/>
    </w:rPr>
  </w:style>
  <w:style w:type="character" w:customStyle="1" w:styleId="EndnoteTextChar">
    <w:name w:val="Endnote Text Char"/>
    <w:basedOn w:val="DefaultParagraphFont"/>
    <w:link w:val="EndnoteText"/>
    <w:rsid w:val="008E74B8"/>
    <w:rPr>
      <w:rFonts w:ascii="Times New Roman" w:eastAsia="Times New Roman" w:hAnsi="Times New Roman"/>
      <w:lang w:eastAsia="fr-FR"/>
    </w:rPr>
  </w:style>
  <w:style w:type="paragraph" w:customStyle="1" w:styleId="HeadingA">
    <w:name w:val="Heading A"/>
    <w:basedOn w:val="Heading3"/>
    <w:qFormat/>
    <w:rsid w:val="008E74B8"/>
    <w:pPr>
      <w:numPr>
        <w:numId w:val="8"/>
      </w:numPr>
      <w:tabs>
        <w:tab w:val="num" w:pos="360"/>
      </w:tabs>
      <w:spacing w:before="200" w:after="120"/>
      <w:ind w:left="0" w:firstLine="0"/>
    </w:pPr>
    <w:rPr>
      <w:rFonts w:asciiTheme="minorHAnsi" w:eastAsiaTheme="majorEastAsia" w:hAnsiTheme="minorHAnsi" w:cstheme="majorBidi"/>
      <w:b/>
      <w:color w:val="auto"/>
      <w:sz w:val="32"/>
      <w:szCs w:val="20"/>
      <w:lang w:eastAsia="de-DE"/>
    </w:rPr>
  </w:style>
  <w:style w:type="paragraph" w:customStyle="1" w:styleId="HeadingB">
    <w:name w:val="Heading B"/>
    <w:basedOn w:val="Heading4"/>
    <w:qFormat/>
    <w:rsid w:val="008E74B8"/>
    <w:pPr>
      <w:numPr>
        <w:ilvl w:val="1"/>
        <w:numId w:val="8"/>
      </w:numPr>
      <w:tabs>
        <w:tab w:val="num" w:pos="360"/>
      </w:tabs>
      <w:spacing w:before="200" w:after="120"/>
      <w:ind w:left="0" w:firstLine="0"/>
    </w:pPr>
    <w:rPr>
      <w:rFonts w:asciiTheme="minorHAnsi" w:eastAsiaTheme="majorEastAsia" w:hAnsiTheme="minorHAnsi" w:cstheme="majorBidi"/>
      <w:b/>
      <w:color w:val="auto"/>
      <w:sz w:val="28"/>
      <w:lang w:eastAsia="de-DE"/>
    </w:rPr>
  </w:style>
  <w:style w:type="paragraph" w:customStyle="1" w:styleId="Style2">
    <w:name w:val="Style2"/>
    <w:basedOn w:val="Heading5"/>
    <w:qFormat/>
    <w:rsid w:val="008E74B8"/>
    <w:pPr>
      <w:numPr>
        <w:ilvl w:val="2"/>
        <w:numId w:val="8"/>
      </w:numPr>
      <w:tabs>
        <w:tab w:val="num" w:pos="360"/>
      </w:tabs>
      <w:spacing w:before="120" w:after="120"/>
      <w:ind w:left="0" w:firstLine="0"/>
    </w:pPr>
    <w:rPr>
      <w:rFonts w:asciiTheme="minorHAnsi" w:eastAsiaTheme="majorEastAsia" w:hAnsiTheme="minorHAnsi" w:cstheme="majorBidi"/>
      <w:b/>
      <w:i/>
      <w:color w:val="auto"/>
      <w:sz w:val="24"/>
      <w:lang w:eastAsia="en-US"/>
    </w:rPr>
  </w:style>
  <w:style w:type="character" w:styleId="EndnoteReference">
    <w:name w:val="endnote reference"/>
    <w:basedOn w:val="DefaultParagraphFont"/>
    <w:uiPriority w:val="99"/>
    <w:semiHidden/>
    <w:unhideWhenUsed/>
    <w:rsid w:val="008E74B8"/>
    <w:rPr>
      <w:vertAlign w:val="superscript"/>
    </w:rPr>
  </w:style>
  <w:style w:type="character" w:customStyle="1" w:styleId="bumpedfont15">
    <w:name w:val="bumpedfont15"/>
    <w:basedOn w:val="DefaultParagraphFont"/>
    <w:rsid w:val="008E74B8"/>
  </w:style>
  <w:style w:type="character" w:customStyle="1" w:styleId="xcontentpasted0">
    <w:name w:val="x_contentpasted0"/>
    <w:basedOn w:val="DefaultParagraphFont"/>
    <w:rsid w:val="008E74B8"/>
  </w:style>
  <w:style w:type="paragraph" w:customStyle="1" w:styleId="paragraph">
    <w:name w:val="paragraph"/>
    <w:basedOn w:val="Normal"/>
    <w:rsid w:val="008E74B8"/>
    <w:pPr>
      <w:spacing w:before="100" w:beforeAutospacing="1" w:after="100" w:afterAutospacing="1"/>
    </w:pPr>
    <w:rPr>
      <w:rFonts w:ascii="Times New Roman" w:eastAsia="Times New Roman" w:hAnsi="Times New Roman"/>
      <w:sz w:val="24"/>
      <w:szCs w:val="24"/>
      <w:lang w:val="fr-FR" w:eastAsia="fr-FR"/>
    </w:rPr>
  </w:style>
  <w:style w:type="character" w:customStyle="1" w:styleId="normaltextrun">
    <w:name w:val="normaltextrun"/>
    <w:basedOn w:val="DefaultParagraphFont"/>
    <w:rsid w:val="008E74B8"/>
  </w:style>
  <w:style w:type="character" w:customStyle="1" w:styleId="Mentionnonrsolue1">
    <w:name w:val="Mention non résolue1"/>
    <w:basedOn w:val="DefaultParagraphFont"/>
    <w:uiPriority w:val="99"/>
    <w:semiHidden/>
    <w:unhideWhenUsed/>
    <w:rsid w:val="008E74B8"/>
    <w:rPr>
      <w:color w:val="605E5C"/>
      <w:shd w:val="clear" w:color="auto" w:fill="E1DFDD"/>
    </w:rPr>
  </w:style>
  <w:style w:type="character" w:customStyle="1" w:styleId="cf01">
    <w:name w:val="cf01"/>
    <w:basedOn w:val="DefaultParagraphFont"/>
    <w:rsid w:val="008E74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en/web/pgg2/home" TargetMode="External"/><Relationship Id="rId13" Type="http://schemas.openxmlformats.org/officeDocument/2006/relationships/image" Target="media/image2.png"/><Relationship Id="rId18" Type="http://schemas.openxmlformats.org/officeDocument/2006/relationships/hyperlink" Target="https://www.coe.int/en/web/european-commission-against-racism-and-intolerance/recommendation-no.15"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rm.coe.int/1680081561"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as.europa.eu/node/92844_fr"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https://pjp-eu.coe.int/en/web/south-programme/quick-response-mechanism" TargetMode="External"/><Relationship Id="rId5" Type="http://schemas.openxmlformats.org/officeDocument/2006/relationships/hyperlink" Target="https://rm.coe.int/conclusions-south-programme-v-launching-event-fr/native/1680ab8262" TargetMode="External"/><Relationship Id="rId4" Type="http://schemas.openxmlformats.org/officeDocument/2006/relationships/hyperlink" Target="https://www.coe.int/en/web/der/policy-towards-neighbouring-reg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tier\ND%20Office%20Echo\DE-WDB7MSWY\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v.5.dotx</Template>
  <TotalTime>4</TotalTime>
  <Pages>10</Pages>
  <Words>13313</Words>
  <Characters>73224</Characters>
  <Application>Microsoft Office Word</Application>
  <DocSecurity>0</DocSecurity>
  <Lines>610</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86365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HATTERSLEY Christine</cp:lastModifiedBy>
  <cp:revision>9</cp:revision>
  <cp:lastPrinted>2024-02-19T16:14:00Z</cp:lastPrinted>
  <dcterms:created xsi:type="dcterms:W3CDTF">2024-04-29T09:04:00Z</dcterms:created>
  <dcterms:modified xsi:type="dcterms:W3CDTF">2024-04-30T09:04:00Z</dcterms:modified>
</cp:coreProperties>
</file>